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DA47" w14:textId="77777777" w:rsidR="008B2CC1" w:rsidRPr="002D3E37" w:rsidRDefault="0040540C" w:rsidP="00C96FD6">
      <w:pPr>
        <w:pBdr>
          <w:bottom w:val="single" w:sz="4" w:space="11" w:color="auto"/>
        </w:pBdr>
        <w:spacing w:after="120"/>
        <w:jc w:val="right"/>
        <w:rPr>
          <w:lang w:val="fr-FR"/>
        </w:rPr>
      </w:pPr>
      <w:r w:rsidRPr="002D3E37">
        <w:rPr>
          <w:noProof/>
          <w:lang w:val="en-US" w:eastAsia="en-US"/>
        </w:rPr>
        <w:drawing>
          <wp:inline distT="0" distB="0" distL="0" distR="0" wp14:anchorId="0CE8358C" wp14:editId="435AE91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E32A0F2" w14:textId="29735B7C" w:rsidR="00B1090C" w:rsidRPr="004D4B77" w:rsidRDefault="007F0804" w:rsidP="00C96FD6">
      <w:pPr>
        <w:jc w:val="right"/>
        <w:rPr>
          <w:rFonts w:ascii="Arial Black" w:hAnsi="Arial Black"/>
          <w:caps/>
          <w:sz w:val="15"/>
          <w:lang w:val="fr-FR"/>
        </w:rPr>
      </w:pPr>
      <w:r>
        <w:rPr>
          <w:rFonts w:ascii="Arial Black" w:hAnsi="Arial Black"/>
          <w:caps/>
          <w:sz w:val="15"/>
          <w:szCs w:val="15"/>
        </w:rPr>
        <w:t>GRATK/DC/</w:t>
      </w:r>
      <w:bookmarkStart w:id="0" w:name="Code"/>
      <w:bookmarkEnd w:id="0"/>
      <w:r>
        <w:rPr>
          <w:rFonts w:ascii="Arial Black" w:hAnsi="Arial Black"/>
          <w:caps/>
          <w:sz w:val="15"/>
          <w:szCs w:val="15"/>
        </w:rPr>
        <w:t>INF/4</w:t>
      </w:r>
    </w:p>
    <w:p w14:paraId="575544DF" w14:textId="456E0DE1" w:rsidR="008B2CC1" w:rsidRPr="002D3E37" w:rsidRDefault="00B1090C" w:rsidP="00C96FD6">
      <w:pPr>
        <w:jc w:val="right"/>
        <w:rPr>
          <w:rFonts w:ascii="Arial Black" w:hAnsi="Arial Black"/>
          <w:sz w:val="15"/>
          <w:szCs w:val="15"/>
          <w:lang w:val="fr-FR"/>
        </w:rPr>
      </w:pPr>
      <w:r w:rsidRPr="002D3E37">
        <w:rPr>
          <w:rFonts w:ascii="Arial Black" w:hAnsi="Arial Black"/>
          <w:caps/>
          <w:sz w:val="15"/>
          <w:lang w:val="fr-FR"/>
        </w:rPr>
        <w:t>ORIGINAL</w:t>
      </w:r>
      <w:r w:rsidR="00B12926">
        <w:rPr>
          <w:rFonts w:ascii="Arial Black" w:hAnsi="Arial Black"/>
          <w:caps/>
          <w:sz w:val="15"/>
          <w:lang w:val="fr-FR"/>
        </w:rPr>
        <w:t> :</w:t>
      </w:r>
      <w:r w:rsidR="002956DE" w:rsidRPr="002D3E37">
        <w:rPr>
          <w:rFonts w:ascii="Arial Black" w:hAnsi="Arial Black"/>
          <w:caps/>
          <w:sz w:val="15"/>
          <w:lang w:val="fr-FR"/>
        </w:rPr>
        <w:t xml:space="preserve"> </w:t>
      </w:r>
      <w:bookmarkStart w:id="1" w:name="Original"/>
      <w:r w:rsidR="00DB654E" w:rsidRPr="002D3E37">
        <w:rPr>
          <w:rFonts w:ascii="Arial Black" w:hAnsi="Arial Black"/>
          <w:caps/>
          <w:sz w:val="15"/>
          <w:szCs w:val="15"/>
          <w:lang w:val="fr-FR"/>
        </w:rPr>
        <w:t>anglais</w:t>
      </w:r>
    </w:p>
    <w:bookmarkEnd w:id="1"/>
    <w:p w14:paraId="7D3FFA7F" w14:textId="59B1CBA7" w:rsidR="008B2CC1" w:rsidRPr="002D3E37" w:rsidRDefault="00B1090C" w:rsidP="00C96FD6">
      <w:pPr>
        <w:spacing w:after="1200"/>
        <w:jc w:val="right"/>
        <w:rPr>
          <w:rFonts w:ascii="Arial Black" w:hAnsi="Arial Black"/>
          <w:sz w:val="15"/>
          <w:szCs w:val="15"/>
          <w:lang w:val="fr-FR"/>
        </w:rPr>
      </w:pPr>
      <w:r w:rsidRPr="002D3E37">
        <w:rPr>
          <w:rFonts w:ascii="Arial Black" w:hAnsi="Arial Black"/>
          <w:caps/>
          <w:sz w:val="15"/>
          <w:szCs w:val="15"/>
          <w:lang w:val="fr-FR"/>
        </w:rPr>
        <w:t>DATE</w:t>
      </w:r>
      <w:r w:rsidR="00B12926">
        <w:rPr>
          <w:rFonts w:ascii="Arial Black" w:hAnsi="Arial Black"/>
          <w:caps/>
          <w:sz w:val="15"/>
          <w:szCs w:val="15"/>
          <w:lang w:val="fr-FR"/>
        </w:rPr>
        <w:t> :</w:t>
      </w:r>
      <w:r w:rsidR="002956DE" w:rsidRPr="002D3E37">
        <w:rPr>
          <w:rFonts w:ascii="Arial Black" w:hAnsi="Arial Black"/>
          <w:caps/>
          <w:sz w:val="15"/>
          <w:szCs w:val="15"/>
          <w:lang w:val="fr-FR"/>
        </w:rPr>
        <w:t xml:space="preserve"> </w:t>
      </w:r>
      <w:bookmarkStart w:id="2" w:name="Date"/>
      <w:r w:rsidR="007F0804">
        <w:rPr>
          <w:rFonts w:ascii="Arial Black" w:hAnsi="Arial Black"/>
          <w:caps/>
          <w:sz w:val="15"/>
          <w:szCs w:val="15"/>
          <w:lang w:val="fr-FR"/>
        </w:rPr>
        <w:t>14 décembre</w:t>
      </w:r>
      <w:r w:rsidR="00DB654E" w:rsidRPr="002D3E37">
        <w:rPr>
          <w:rFonts w:ascii="Arial Black" w:hAnsi="Arial Black"/>
          <w:caps/>
          <w:sz w:val="15"/>
          <w:szCs w:val="15"/>
          <w:lang w:val="fr-FR"/>
        </w:rPr>
        <w:t> 2023</w:t>
      </w:r>
    </w:p>
    <w:bookmarkEnd w:id="2"/>
    <w:p w14:paraId="1A79D206" w14:textId="1E957DE7" w:rsidR="003845C1" w:rsidRPr="002D3E37" w:rsidRDefault="007F0804" w:rsidP="00C96FD6">
      <w:pPr>
        <w:pStyle w:val="Title"/>
        <w:rPr>
          <w:lang w:val="fr-FR"/>
        </w:rPr>
      </w:pPr>
      <w:r w:rsidRPr="002D3E37">
        <w:rPr>
          <w:lang w:val="fr-FR"/>
        </w:rPr>
        <w:t>Conférence diplomatique pour la conclusion d</w:t>
      </w:r>
      <w:r w:rsidR="00B12926">
        <w:rPr>
          <w:lang w:val="fr-FR"/>
        </w:rPr>
        <w:t>’</w:t>
      </w:r>
      <w:r w:rsidRPr="002D3E37">
        <w:rPr>
          <w:lang w:val="fr-FR"/>
        </w:rPr>
        <w:t>un instrument juridique international sur la propriété intellectuelle relative aux ressources génétiques et aux savoirs traditionnels associés aux ressources génétiques</w:t>
      </w:r>
    </w:p>
    <w:p w14:paraId="4E7AFBA2" w14:textId="1063DCEC" w:rsidR="008B2CC1" w:rsidRPr="002D3E37" w:rsidRDefault="008D41C3" w:rsidP="00C96FD6">
      <w:pPr>
        <w:spacing w:after="720"/>
        <w:outlineLvl w:val="1"/>
        <w:rPr>
          <w:b/>
          <w:sz w:val="24"/>
          <w:szCs w:val="24"/>
          <w:lang w:val="fr-FR"/>
        </w:rPr>
      </w:pPr>
      <w:r w:rsidRPr="002D3E37">
        <w:rPr>
          <w:b/>
          <w:sz w:val="24"/>
          <w:szCs w:val="24"/>
          <w:lang w:val="fr-FR"/>
        </w:rPr>
        <w:t xml:space="preserve">Genève, </w:t>
      </w:r>
      <w:r w:rsidR="007F0804">
        <w:rPr>
          <w:b/>
          <w:sz w:val="24"/>
          <w:szCs w:val="24"/>
          <w:lang w:val="fr-FR"/>
        </w:rPr>
        <w:t>13</w:t>
      </w:r>
      <w:r w:rsidR="0081262E" w:rsidRPr="002D3E37">
        <w:rPr>
          <w:b/>
          <w:sz w:val="24"/>
          <w:szCs w:val="24"/>
          <w:lang w:val="fr-FR"/>
        </w:rPr>
        <w:t xml:space="preserve"> – </w:t>
      </w:r>
      <w:r w:rsidR="007F0804">
        <w:rPr>
          <w:b/>
          <w:sz w:val="24"/>
          <w:szCs w:val="24"/>
          <w:lang w:val="fr-FR"/>
        </w:rPr>
        <w:t>24 mai 2024</w:t>
      </w:r>
    </w:p>
    <w:p w14:paraId="5F144C51" w14:textId="113B115D" w:rsidR="008B2CC1" w:rsidRPr="002D3E37" w:rsidRDefault="007F0804" w:rsidP="00C96FD6">
      <w:pPr>
        <w:spacing w:after="360"/>
        <w:rPr>
          <w:caps/>
          <w:sz w:val="24"/>
          <w:lang w:val="fr-FR"/>
        </w:rPr>
      </w:pPr>
      <w:bookmarkStart w:id="3" w:name="TitleOfDoc"/>
      <w:r>
        <w:rPr>
          <w:caps/>
          <w:sz w:val="24"/>
          <w:lang w:val="fr-FR"/>
        </w:rPr>
        <w:t xml:space="preserve">Notes relatives au </w:t>
      </w:r>
      <w:r w:rsidR="00DB654E" w:rsidRPr="002D3E37">
        <w:rPr>
          <w:caps/>
          <w:sz w:val="24"/>
          <w:lang w:val="fr-FR"/>
        </w:rPr>
        <w:t>Texte d</w:t>
      </w:r>
      <w:r w:rsidR="00B12926">
        <w:rPr>
          <w:caps/>
          <w:sz w:val="24"/>
          <w:lang w:val="fr-FR"/>
        </w:rPr>
        <w:t>’</w:t>
      </w:r>
      <w:r w:rsidR="00DB654E" w:rsidRPr="002D3E37">
        <w:rPr>
          <w:caps/>
          <w:sz w:val="24"/>
          <w:lang w:val="fr-FR"/>
        </w:rPr>
        <w:t>un projet d</w:t>
      </w:r>
      <w:r w:rsidR="00B12926">
        <w:rPr>
          <w:caps/>
          <w:sz w:val="24"/>
          <w:lang w:val="fr-FR"/>
        </w:rPr>
        <w:t>’</w:t>
      </w:r>
      <w:r w:rsidR="00DB654E" w:rsidRPr="002D3E37">
        <w:rPr>
          <w:caps/>
          <w:sz w:val="24"/>
          <w:lang w:val="fr-FR"/>
        </w:rPr>
        <w:t>instrument juridique international sur la propriété intellectuelle relative aux ressources génétiques et aux savoirs traditionnels associés aux ressources génétiques</w:t>
      </w:r>
    </w:p>
    <w:p w14:paraId="28C0B0CB" w14:textId="47594FFC" w:rsidR="008B2CC1" w:rsidRPr="002D3E37" w:rsidRDefault="007F0804" w:rsidP="00C96FD6">
      <w:pPr>
        <w:spacing w:after="1040"/>
        <w:rPr>
          <w:i/>
          <w:lang w:val="fr-FR"/>
        </w:rPr>
      </w:pPr>
      <w:bookmarkStart w:id="4" w:name="Prepared"/>
      <w:bookmarkEnd w:id="3"/>
      <w:bookmarkEnd w:id="4"/>
      <w:r>
        <w:rPr>
          <w:i/>
          <w:lang w:val="fr-FR"/>
        </w:rPr>
        <w:t xml:space="preserve">Document </w:t>
      </w:r>
      <w:r w:rsidR="00DB654E" w:rsidRPr="002D3E37">
        <w:rPr>
          <w:i/>
          <w:lang w:val="fr-FR"/>
        </w:rPr>
        <w:t>établi par le Secrétariat</w:t>
      </w:r>
    </w:p>
    <w:p w14:paraId="034B2EC5" w14:textId="4175DC98" w:rsidR="00DB654E" w:rsidRPr="007F0804" w:rsidRDefault="007F0804" w:rsidP="00C96FD6">
      <w:pPr>
        <w:pStyle w:val="ONUMFS"/>
      </w:pPr>
      <w:r w:rsidRPr="007F0804">
        <w:t xml:space="preserve">La session spéciale du Comité intergouvernemental de la propriété intellectuelle relative aux ressources génétiques, aux savoirs traditionnels et au folklore (“IGC”), tenue </w:t>
      </w:r>
      <w:r w:rsidR="00DB654E" w:rsidRPr="007F0804">
        <w:t xml:space="preserve">du </w:t>
      </w:r>
      <w:r w:rsidRPr="007F0804">
        <w:t>4 au 8 septembre 2023</w:t>
      </w:r>
      <w:r w:rsidR="00DB654E" w:rsidRPr="007F0804">
        <w:t>,</w:t>
      </w:r>
      <w:r w:rsidRPr="007F0804">
        <w:t xml:space="preserve"> a décidé que les notes relatives à chaque article contenu dans le </w:t>
      </w:r>
      <w:r w:rsidR="00B12926" w:rsidRPr="007F0804">
        <w:t>document</w:t>
      </w:r>
      <w:r w:rsidR="004D4B77">
        <w:t> </w:t>
      </w:r>
      <w:r w:rsidR="00B12926" w:rsidRPr="007F0804">
        <w:t>WI</w:t>
      </w:r>
      <w:r w:rsidRPr="007F0804">
        <w:t>PO/GRTKF/IC/SS/GE/23/2 devraient être publiées séparément en tant que document d</w:t>
      </w:r>
      <w:r w:rsidR="00B12926">
        <w:t>’</w:t>
      </w:r>
      <w:r w:rsidRPr="007F0804">
        <w:t xml:space="preserve">information pour la </w:t>
      </w:r>
      <w:r w:rsidR="00DB654E" w:rsidRPr="007F0804">
        <w:t>Conférence diplomatique pour la conclusion d</w:t>
      </w:r>
      <w:r w:rsidR="00B12926">
        <w:t>’</w:t>
      </w:r>
      <w:r w:rsidR="00DB654E" w:rsidRPr="007F0804">
        <w:t>un instrument juridique international sur la propriété intellectuelle relative aux ressources génétiques et aux savoirs traditionnels associés aux ressources génétiqu</w:t>
      </w:r>
      <w:r w:rsidR="004D4B77" w:rsidRPr="007F0804">
        <w:t>es</w:t>
      </w:r>
      <w:r w:rsidR="004D4B77">
        <w:t xml:space="preserve">.  </w:t>
      </w:r>
      <w:r w:rsidR="004D4B77" w:rsidRPr="007F0804">
        <w:t>Le</w:t>
      </w:r>
      <w:r w:rsidRPr="007F0804">
        <w:t>s présentes notes ont été établies par M.</w:t>
      </w:r>
      <w:r>
        <w:t> </w:t>
      </w:r>
      <w:r w:rsidRPr="007F0804">
        <w:t>Ian</w:t>
      </w:r>
      <w:r>
        <w:t> </w:t>
      </w:r>
      <w:proofErr w:type="spellStart"/>
      <w:r w:rsidRPr="007F0804">
        <w:t>Goss</w:t>
      </w:r>
      <w:proofErr w:type="spellEnd"/>
      <w:r w:rsidRPr="007F0804">
        <w:t xml:space="preserve"> en avril 2019, alors qu</w:t>
      </w:r>
      <w:r w:rsidR="00B12926">
        <w:t>’</w:t>
      </w:r>
      <w:r w:rsidRPr="007F0804">
        <w:t>il était président de l</w:t>
      </w:r>
      <w:r w:rsidR="00B12926">
        <w:t>’</w:t>
      </w:r>
      <w:r w:rsidRPr="007F0804">
        <w:t>IGC</w:t>
      </w:r>
      <w:r w:rsidR="00DB654E" w:rsidRPr="007F0804">
        <w:t>.</w:t>
      </w:r>
    </w:p>
    <w:p w14:paraId="764DF8EE" w14:textId="39CFC087" w:rsidR="00DB654E" w:rsidRPr="002D3E37" w:rsidRDefault="00DB654E" w:rsidP="00C96FD6">
      <w:pPr>
        <w:pStyle w:val="ONUMFS"/>
        <w:rPr>
          <w:lang w:val="fr-FR"/>
        </w:rPr>
      </w:pPr>
      <w:r w:rsidRPr="002D3E37">
        <w:rPr>
          <w:lang w:val="fr-FR"/>
        </w:rPr>
        <w:t xml:space="preserve">Conformément à cette décision, </w:t>
      </w:r>
      <w:r w:rsidR="007F0804">
        <w:rPr>
          <w:lang w:val="fr-FR"/>
        </w:rPr>
        <w:t>les notes relatives à chaque article sont jointes en annexe au présent document</w:t>
      </w:r>
      <w:r w:rsidRPr="002D3E37">
        <w:rPr>
          <w:lang w:val="fr-FR"/>
        </w:rPr>
        <w:t>.</w:t>
      </w:r>
    </w:p>
    <w:p w14:paraId="495331BF" w14:textId="76E20080" w:rsidR="00DB654E" w:rsidRPr="001769AD" w:rsidRDefault="00DB654E" w:rsidP="00C96FD6">
      <w:pPr>
        <w:pStyle w:val="Endofdocument-Annex"/>
        <w:rPr>
          <w:lang w:val="fr-CH"/>
        </w:rPr>
      </w:pPr>
      <w:r w:rsidRPr="001769AD">
        <w:rPr>
          <w:lang w:val="fr-CH"/>
        </w:rPr>
        <w:t>[</w:t>
      </w:r>
      <w:r w:rsidR="007F0804">
        <w:rPr>
          <w:lang w:val="fr-CH"/>
        </w:rPr>
        <w:t>L</w:t>
      </w:r>
      <w:r w:rsidR="00B12926">
        <w:rPr>
          <w:lang w:val="fr-CH"/>
        </w:rPr>
        <w:t>’</w:t>
      </w:r>
      <w:r w:rsidR="007F0804">
        <w:rPr>
          <w:lang w:val="fr-CH"/>
        </w:rPr>
        <w:t xml:space="preserve">annexe </w:t>
      </w:r>
      <w:r w:rsidRPr="001769AD">
        <w:rPr>
          <w:lang w:val="fr-CH"/>
        </w:rPr>
        <w:t>suit]</w:t>
      </w:r>
    </w:p>
    <w:p w14:paraId="17A856B6" w14:textId="77777777" w:rsidR="00DB654E" w:rsidRPr="002D3E37" w:rsidRDefault="00DB654E" w:rsidP="00C96FD6">
      <w:pPr>
        <w:spacing w:after="220"/>
        <w:rPr>
          <w:lang w:val="fr-FR"/>
        </w:rPr>
        <w:sectPr w:rsidR="00DB654E" w:rsidRPr="002D3E37" w:rsidSect="00C63A63">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326"/>
        </w:sectPr>
      </w:pPr>
    </w:p>
    <w:p w14:paraId="5AD94CDE" w14:textId="6DD0E48D" w:rsidR="00F00174" w:rsidRPr="00E41678" w:rsidRDefault="00F00174" w:rsidP="00C96FD6">
      <w:pPr>
        <w:spacing w:after="220"/>
        <w:rPr>
          <w:szCs w:val="22"/>
          <w:u w:val="single"/>
          <w:lang w:val="fr-FR"/>
        </w:rPr>
      </w:pPr>
      <w:r w:rsidRPr="00E41678">
        <w:rPr>
          <w:szCs w:val="22"/>
          <w:u w:val="single"/>
          <w:lang w:val="fr-FR"/>
        </w:rPr>
        <w:lastRenderedPageBreak/>
        <w:t>Notes relatives à l</w:t>
      </w:r>
      <w:r w:rsidR="00B12926">
        <w:rPr>
          <w:szCs w:val="22"/>
          <w:u w:val="single"/>
          <w:lang w:val="fr-FR"/>
        </w:rPr>
        <w:t>’</w:t>
      </w:r>
      <w:r w:rsidRPr="00E41678">
        <w:rPr>
          <w:szCs w:val="22"/>
          <w:u w:val="single"/>
          <w:lang w:val="fr-FR"/>
        </w:rPr>
        <w:t>article</w:t>
      </w:r>
      <w:r>
        <w:rPr>
          <w:szCs w:val="22"/>
          <w:u w:val="single"/>
          <w:lang w:val="fr-FR"/>
        </w:rPr>
        <w:t> </w:t>
      </w:r>
      <w:r w:rsidRPr="00E41678">
        <w:rPr>
          <w:szCs w:val="22"/>
          <w:u w:val="single"/>
          <w:lang w:val="fr-FR"/>
        </w:rPr>
        <w:t>premier</w:t>
      </w:r>
    </w:p>
    <w:p w14:paraId="5D66CC65" w14:textId="7949EBB5" w:rsidR="00F00174" w:rsidRPr="00E41678" w:rsidRDefault="00F00174" w:rsidP="00C96FD6">
      <w:pPr>
        <w:rPr>
          <w:szCs w:val="22"/>
          <w:lang w:val="fr-FR"/>
        </w:rPr>
      </w:pPr>
      <w:r w:rsidRPr="00E41678">
        <w:rPr>
          <w:szCs w:val="22"/>
          <w:lang w:val="fr-FR"/>
        </w:rPr>
        <w:t>Les objectifs sont formulés de manière brève et conci</w:t>
      </w:r>
      <w:r w:rsidR="004D4B77" w:rsidRPr="00E41678">
        <w:rPr>
          <w:szCs w:val="22"/>
          <w:lang w:val="fr-FR"/>
        </w:rPr>
        <w:t>se</w:t>
      </w:r>
      <w:r w:rsidR="004D4B77">
        <w:rPr>
          <w:szCs w:val="22"/>
          <w:lang w:val="fr-FR"/>
        </w:rPr>
        <w:t xml:space="preserve">.  </w:t>
      </w:r>
      <w:r w:rsidR="004D4B77" w:rsidRPr="00E41678">
        <w:rPr>
          <w:szCs w:val="22"/>
          <w:lang w:val="fr-FR"/>
        </w:rPr>
        <w:t>Le</w:t>
      </w:r>
      <w:r w:rsidRPr="00E41678">
        <w:rPr>
          <w:szCs w:val="22"/>
          <w:lang w:val="fr-FR"/>
        </w:rPr>
        <w:t>s dispositions suivantes de l</w:t>
      </w:r>
      <w:r w:rsidR="00B12926">
        <w:rPr>
          <w:szCs w:val="22"/>
          <w:lang w:val="fr-FR"/>
        </w:rPr>
        <w:t>’</w:t>
      </w:r>
      <w:r w:rsidRPr="00E41678">
        <w:rPr>
          <w:szCs w:val="22"/>
          <w:lang w:val="fr-FR"/>
        </w:rPr>
        <w:t>instrument contiennent des mesures spécifiques relatives à leur mise en œuv</w:t>
      </w:r>
      <w:r w:rsidR="004D4B77" w:rsidRPr="00E41678">
        <w:rPr>
          <w:szCs w:val="22"/>
          <w:lang w:val="fr-FR"/>
        </w:rPr>
        <w:t>re</w:t>
      </w:r>
      <w:r w:rsidR="004D4B77">
        <w:rPr>
          <w:szCs w:val="22"/>
          <w:lang w:val="fr-FR"/>
        </w:rPr>
        <w:t xml:space="preserve">.  </w:t>
      </w:r>
      <w:r w:rsidR="004D4B77" w:rsidRPr="00E41678">
        <w:rPr>
          <w:szCs w:val="22"/>
          <w:lang w:val="fr-FR"/>
        </w:rPr>
        <w:t>Pa</w:t>
      </w:r>
      <w:r w:rsidRPr="00E41678">
        <w:rPr>
          <w:szCs w:val="22"/>
          <w:lang w:val="fr-FR"/>
        </w:rPr>
        <w:t>r ailleurs, l</w:t>
      </w:r>
      <w:r w:rsidR="00B12926">
        <w:rPr>
          <w:szCs w:val="22"/>
          <w:lang w:val="fr-FR"/>
        </w:rPr>
        <w:t>’</w:t>
      </w:r>
      <w:r w:rsidRPr="00E41678">
        <w:rPr>
          <w:szCs w:val="22"/>
          <w:lang w:val="fr-FR"/>
        </w:rPr>
        <w:t>instrument ne contient pas de dispositions déjà abordées dans d</w:t>
      </w:r>
      <w:r w:rsidR="00B12926">
        <w:rPr>
          <w:szCs w:val="22"/>
          <w:lang w:val="fr-FR"/>
        </w:rPr>
        <w:t>’</w:t>
      </w:r>
      <w:r w:rsidRPr="00E41678">
        <w:rPr>
          <w:szCs w:val="22"/>
          <w:lang w:val="fr-FR"/>
        </w:rPr>
        <w:t>autres instruments internationaux ou qui ne sont pas pertinentes pour le système des breve</w:t>
      </w:r>
      <w:r w:rsidR="004D4B77" w:rsidRPr="00E41678">
        <w:rPr>
          <w:szCs w:val="22"/>
          <w:lang w:val="fr-FR"/>
        </w:rPr>
        <w:t>ts</w:t>
      </w:r>
      <w:r w:rsidR="004D4B77">
        <w:rPr>
          <w:szCs w:val="22"/>
          <w:lang w:val="fr-FR"/>
        </w:rPr>
        <w:t xml:space="preserve">.  </w:t>
      </w:r>
      <w:r w:rsidR="004D4B77" w:rsidRPr="00E41678">
        <w:rPr>
          <w:szCs w:val="22"/>
          <w:lang w:val="fr-FR"/>
        </w:rPr>
        <w:t>Ai</w:t>
      </w:r>
      <w:r w:rsidRPr="00E41678">
        <w:rPr>
          <w:szCs w:val="22"/>
          <w:lang w:val="fr-FR"/>
        </w:rPr>
        <w:t>nsi, aucune référence n</w:t>
      </w:r>
      <w:r w:rsidR="00B12926">
        <w:rPr>
          <w:szCs w:val="22"/>
          <w:lang w:val="fr-FR"/>
        </w:rPr>
        <w:t>’</w:t>
      </w:r>
      <w:r w:rsidRPr="00E41678">
        <w:rPr>
          <w:szCs w:val="22"/>
          <w:lang w:val="fr-FR"/>
        </w:rPr>
        <w:t>est faite aux questions relatives à l</w:t>
      </w:r>
      <w:r w:rsidR="00B12926">
        <w:rPr>
          <w:szCs w:val="22"/>
          <w:lang w:val="fr-FR"/>
        </w:rPr>
        <w:t>’</w:t>
      </w:r>
      <w:r w:rsidRPr="00E41678">
        <w:rPr>
          <w:szCs w:val="22"/>
          <w:lang w:val="fr-FR"/>
        </w:rPr>
        <w:t>accès et au partage des avantages ou à l</w:t>
      </w:r>
      <w:r w:rsidR="00B12926">
        <w:rPr>
          <w:szCs w:val="22"/>
          <w:lang w:val="fr-FR"/>
        </w:rPr>
        <w:t>’</w:t>
      </w:r>
      <w:r w:rsidRPr="00E41678">
        <w:rPr>
          <w:szCs w:val="22"/>
          <w:lang w:val="fr-FR"/>
        </w:rPr>
        <w:t>appropriation illicite, dès lors que ces questions sont déjà traitées dans d</w:t>
      </w:r>
      <w:r w:rsidR="00B12926">
        <w:rPr>
          <w:szCs w:val="22"/>
          <w:lang w:val="fr-FR"/>
        </w:rPr>
        <w:t>’</w:t>
      </w:r>
      <w:r w:rsidRPr="00E41678">
        <w:rPr>
          <w:szCs w:val="22"/>
          <w:lang w:val="fr-FR"/>
        </w:rPr>
        <w:t>autres instruments internationaux, comme la Convention sur la diversité biologique, le Protocole de Nagoya sur l</w:t>
      </w:r>
      <w:r w:rsidR="00B12926">
        <w:rPr>
          <w:szCs w:val="22"/>
          <w:lang w:val="fr-FR"/>
        </w:rPr>
        <w:t>’</w:t>
      </w:r>
      <w:r w:rsidRPr="00E41678">
        <w:rPr>
          <w:szCs w:val="22"/>
          <w:lang w:val="fr-FR"/>
        </w:rPr>
        <w:t xml:space="preserve">accès aux ressources génétiques et le partage juste et équitable des avantages découlant de leur utilisation relatif à la Convention sur la diversité biologique, le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B12926">
        <w:rPr>
          <w:szCs w:val="22"/>
          <w:lang w:val="fr-FR"/>
        </w:rPr>
        <w:t>’</w:t>
      </w:r>
      <w:r w:rsidRPr="00E41678">
        <w:rPr>
          <w:szCs w:val="22"/>
          <w:lang w:val="fr-FR"/>
        </w:rPr>
        <w:t>alimentation et l</w:t>
      </w:r>
      <w:r w:rsidR="00B12926">
        <w:rPr>
          <w:szCs w:val="22"/>
          <w:lang w:val="fr-FR"/>
        </w:rPr>
        <w:t>’</w:t>
      </w:r>
      <w:r w:rsidRPr="00E41678">
        <w:rPr>
          <w:szCs w:val="22"/>
          <w:lang w:val="fr-FR"/>
        </w:rPr>
        <w:t>agriculture de l</w:t>
      </w:r>
      <w:r w:rsidR="00B12926">
        <w:rPr>
          <w:szCs w:val="22"/>
          <w:lang w:val="fr-FR"/>
        </w:rPr>
        <w:t>’</w:t>
      </w:r>
      <w:r w:rsidRPr="00E41678">
        <w:rPr>
          <w:szCs w:val="22"/>
          <w:lang w:val="fr-FR"/>
        </w:rPr>
        <w:t xml:space="preserve">Organisation des </w:t>
      </w:r>
      <w:r w:rsidR="00B12926">
        <w:rPr>
          <w:szCs w:val="22"/>
          <w:lang w:val="fr-FR"/>
        </w:rPr>
        <w:t>Nations Unies</w:t>
      </w:r>
      <w:r w:rsidRPr="00E41678">
        <w:rPr>
          <w:szCs w:val="22"/>
          <w:lang w:val="fr-FR"/>
        </w:rPr>
        <w:t xml:space="preserve"> pour l</w:t>
      </w:r>
      <w:r w:rsidR="00B12926">
        <w:rPr>
          <w:szCs w:val="22"/>
          <w:lang w:val="fr-FR"/>
        </w:rPr>
        <w:t>’</w:t>
      </w:r>
      <w:r w:rsidRPr="00E41678">
        <w:rPr>
          <w:szCs w:val="22"/>
          <w:lang w:val="fr-FR"/>
        </w:rPr>
        <w:t>alimentation et l</w:t>
      </w:r>
      <w:r w:rsidR="00B12926">
        <w:rPr>
          <w:szCs w:val="22"/>
          <w:lang w:val="fr-FR"/>
        </w:rPr>
        <w:t>’</w:t>
      </w:r>
      <w:r w:rsidRPr="00E41678">
        <w:rPr>
          <w:szCs w:val="22"/>
          <w:lang w:val="fr-FR"/>
        </w:rPr>
        <w:t xml:space="preserve">agriculture et le </w:t>
      </w:r>
      <w:r w:rsidRPr="00E41678">
        <w:rPr>
          <w:rStyle w:val="Emphasis"/>
          <w:szCs w:val="22"/>
          <w:lang w:val="fr-FR"/>
        </w:rPr>
        <w:t>Cadre de préparation en cas de grippe pandémique</w:t>
      </w:r>
      <w:r w:rsidRPr="00E41678">
        <w:rPr>
          <w:szCs w:val="22"/>
          <w:lang w:val="fr-FR"/>
        </w:rPr>
        <w:t xml:space="preserve"> de 2011 de l</w:t>
      </w:r>
      <w:r w:rsidR="00B12926">
        <w:rPr>
          <w:szCs w:val="22"/>
          <w:lang w:val="fr-FR"/>
        </w:rPr>
        <w:t>’</w:t>
      </w:r>
      <w:r w:rsidRPr="00E41678">
        <w:rPr>
          <w:szCs w:val="22"/>
          <w:lang w:val="fr-FR"/>
        </w:rPr>
        <w:t>Organisation mondiale de la San</w:t>
      </w:r>
      <w:r w:rsidR="004D4B77" w:rsidRPr="00E41678">
        <w:rPr>
          <w:szCs w:val="22"/>
          <w:lang w:val="fr-FR"/>
        </w:rPr>
        <w:t>té</w:t>
      </w:r>
      <w:r w:rsidR="004D4B77">
        <w:rPr>
          <w:szCs w:val="22"/>
          <w:lang w:val="fr-FR"/>
        </w:rPr>
        <w:t xml:space="preserve">.  </w:t>
      </w:r>
      <w:r w:rsidR="004D4B77" w:rsidRPr="00E41678">
        <w:rPr>
          <w:szCs w:val="22"/>
          <w:lang w:val="fr-FR"/>
        </w:rPr>
        <w:t>Il</w:t>
      </w:r>
      <w:r w:rsidRPr="00E41678">
        <w:rPr>
          <w:szCs w:val="22"/>
          <w:lang w:val="fr-FR"/>
        </w:rPr>
        <w:t xml:space="preserve"> est néanmoins important de noter que, à mon sens, une meilleure efficacité, une transparence accrue et une qualité améliorée du système des brevets contribueront, à terme, à faciliter le partage des avantages et à prévenir l</w:t>
      </w:r>
      <w:r w:rsidR="00B12926">
        <w:rPr>
          <w:szCs w:val="22"/>
          <w:lang w:val="fr-FR"/>
        </w:rPr>
        <w:t>’</w:t>
      </w:r>
      <w:r w:rsidRPr="00E41678">
        <w:rPr>
          <w:szCs w:val="22"/>
          <w:lang w:val="fr-FR"/>
        </w:rPr>
        <w:t>appropriation illici</w:t>
      </w:r>
      <w:r w:rsidR="004D4B77" w:rsidRPr="00E41678">
        <w:rPr>
          <w:szCs w:val="22"/>
          <w:lang w:val="fr-FR"/>
        </w:rPr>
        <w:t>te</w:t>
      </w:r>
      <w:r w:rsidR="004D4B77">
        <w:rPr>
          <w:szCs w:val="22"/>
          <w:lang w:val="fr-FR"/>
        </w:rPr>
        <w:t xml:space="preserve">.  </w:t>
      </w:r>
      <w:r w:rsidR="004D4B77" w:rsidRPr="00E41678">
        <w:rPr>
          <w:szCs w:val="22"/>
          <w:lang w:val="fr-FR"/>
        </w:rPr>
        <w:t>Le</w:t>
      </w:r>
      <w:r w:rsidRPr="00E41678">
        <w:rPr>
          <w:szCs w:val="22"/>
          <w:lang w:val="fr-FR"/>
        </w:rPr>
        <w:t xml:space="preserve"> terme “efficacité” indique du reste clairement qu</w:t>
      </w:r>
      <w:r w:rsidR="00B12926">
        <w:rPr>
          <w:szCs w:val="22"/>
          <w:lang w:val="fr-FR"/>
        </w:rPr>
        <w:t>’</w:t>
      </w:r>
      <w:r w:rsidRPr="00E41678">
        <w:rPr>
          <w:szCs w:val="22"/>
          <w:lang w:val="fr-FR"/>
        </w:rPr>
        <w:t>une exigence de divulgation appliquée au niveau national se doit d</w:t>
      </w:r>
      <w:r w:rsidR="00B12926">
        <w:rPr>
          <w:szCs w:val="22"/>
          <w:lang w:val="fr-FR"/>
        </w:rPr>
        <w:t>’</w:t>
      </w:r>
      <w:r w:rsidRPr="00E41678">
        <w:rPr>
          <w:szCs w:val="22"/>
          <w:lang w:val="fr-FR"/>
        </w:rPr>
        <w:t>être efficace, pratique et facile à mettre en œuvre et de ne pas entraîner de frais de transaction excessifs.</w:t>
      </w:r>
    </w:p>
    <w:p w14:paraId="4BBC202C" w14:textId="6956FED2" w:rsidR="0078326D" w:rsidRPr="00E41678" w:rsidRDefault="00F00174" w:rsidP="00C96FD6">
      <w:pPr>
        <w:jc w:val="center"/>
        <w:rPr>
          <w:szCs w:val="22"/>
          <w:u w:val="single"/>
          <w:lang w:val="fr-FR"/>
        </w:rPr>
      </w:pPr>
      <w:r w:rsidRPr="00E41678">
        <w:rPr>
          <w:b/>
          <w:szCs w:val="22"/>
          <w:lang w:val="fr-FR"/>
        </w:rPr>
        <w:br w:type="page"/>
      </w:r>
    </w:p>
    <w:p w14:paraId="6498BE38" w14:textId="1E0BCBDD" w:rsidR="00F00174" w:rsidRPr="00E41678" w:rsidRDefault="00F00174" w:rsidP="00C96FD6">
      <w:pPr>
        <w:spacing w:after="220"/>
        <w:rPr>
          <w:b/>
          <w:i/>
          <w:szCs w:val="22"/>
          <w:lang w:val="fr-FR"/>
        </w:rPr>
      </w:pPr>
      <w:r w:rsidRPr="00E41678">
        <w:rPr>
          <w:szCs w:val="22"/>
          <w:u w:val="single"/>
          <w:lang w:val="fr-FR"/>
        </w:rPr>
        <w:t>Notes relatives à l</w:t>
      </w:r>
      <w:r w:rsidR="00B12926">
        <w:rPr>
          <w:szCs w:val="22"/>
          <w:u w:val="single"/>
          <w:lang w:val="fr-FR"/>
        </w:rPr>
        <w:t>’</w:t>
      </w:r>
      <w:r w:rsidRPr="00E41678">
        <w:rPr>
          <w:szCs w:val="22"/>
          <w:u w:val="single"/>
          <w:lang w:val="fr-FR"/>
        </w:rPr>
        <w:t>article 2</w:t>
      </w:r>
    </w:p>
    <w:p w14:paraId="52C653FE" w14:textId="397F2503"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 xml:space="preserve">Les définitions des termes </w:t>
      </w:r>
      <w:r w:rsidRPr="00F260A3">
        <w:rPr>
          <w:rFonts w:ascii="Arial" w:hAnsi="Arial" w:cs="Arial"/>
          <w:i/>
          <w:iCs/>
          <w:lang w:val="fr-FR"/>
        </w:rPr>
        <w:t>ressources génétiques</w:t>
      </w:r>
      <w:r w:rsidRPr="00F260A3">
        <w:rPr>
          <w:rFonts w:ascii="Arial" w:hAnsi="Arial" w:cs="Arial"/>
          <w:lang w:val="fr-FR"/>
        </w:rPr>
        <w:t xml:space="preserve">, </w:t>
      </w:r>
      <w:r w:rsidRPr="00F260A3">
        <w:rPr>
          <w:rFonts w:ascii="Arial" w:hAnsi="Arial" w:cs="Arial"/>
          <w:i/>
          <w:iCs/>
          <w:lang w:val="fr-FR"/>
        </w:rPr>
        <w:t>matériel génétique</w:t>
      </w:r>
      <w:r w:rsidRPr="00F260A3">
        <w:rPr>
          <w:rFonts w:ascii="Arial" w:hAnsi="Arial" w:cs="Arial"/>
          <w:lang w:val="fr-FR"/>
        </w:rPr>
        <w:t xml:space="preserve">, </w:t>
      </w:r>
      <w:r w:rsidRPr="00F260A3">
        <w:rPr>
          <w:rFonts w:ascii="Arial" w:hAnsi="Arial" w:cs="Arial"/>
          <w:i/>
          <w:iCs/>
          <w:lang w:val="fr-FR"/>
        </w:rPr>
        <w:t>pays d</w:t>
      </w:r>
      <w:r w:rsidR="00B12926">
        <w:rPr>
          <w:rFonts w:ascii="Arial" w:hAnsi="Arial" w:cs="Arial"/>
          <w:i/>
          <w:iCs/>
          <w:lang w:val="fr-FR"/>
        </w:rPr>
        <w:t>’</w:t>
      </w:r>
      <w:r w:rsidRPr="00F260A3">
        <w:rPr>
          <w:rFonts w:ascii="Arial" w:hAnsi="Arial" w:cs="Arial"/>
          <w:i/>
          <w:iCs/>
          <w:lang w:val="fr-FR"/>
        </w:rPr>
        <w:t>origine</w:t>
      </w:r>
      <w:r w:rsidRPr="00F260A3">
        <w:rPr>
          <w:rFonts w:ascii="Arial" w:hAnsi="Arial" w:cs="Arial"/>
          <w:lang w:val="fr-FR"/>
        </w:rPr>
        <w:t xml:space="preserve"> et </w:t>
      </w:r>
      <w:r w:rsidRPr="00F260A3">
        <w:rPr>
          <w:rFonts w:ascii="Arial" w:hAnsi="Arial" w:cs="Arial"/>
          <w:i/>
          <w:iCs/>
          <w:lang w:val="fr-FR"/>
        </w:rPr>
        <w:t>conditions in situ</w:t>
      </w:r>
      <w:r w:rsidRPr="00F260A3">
        <w:rPr>
          <w:rFonts w:ascii="Arial" w:hAnsi="Arial" w:cs="Arial"/>
          <w:lang w:val="fr-FR"/>
        </w:rPr>
        <w:t xml:space="preserve"> figurant dans la liste de termes proviennent directement d</w:t>
      </w:r>
      <w:r w:rsidR="00B12926">
        <w:rPr>
          <w:rFonts w:ascii="Arial" w:hAnsi="Arial" w:cs="Arial"/>
          <w:lang w:val="fr-FR"/>
        </w:rPr>
        <w:t>’</w:t>
      </w:r>
      <w:r w:rsidRPr="00F260A3">
        <w:rPr>
          <w:rFonts w:ascii="Arial" w:hAnsi="Arial" w:cs="Arial"/>
          <w:lang w:val="fr-FR"/>
        </w:rPr>
        <w:t>accords multilatéraux existants relatifs aux ressources génétiques, notamment la Convention sur la diversité biologique.</w:t>
      </w:r>
    </w:p>
    <w:p w14:paraId="1D911576" w14:textId="07C555E0"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définitions suivantes n</w:t>
      </w:r>
      <w:r w:rsidR="00B12926">
        <w:rPr>
          <w:rFonts w:ascii="Arial" w:hAnsi="Arial" w:cs="Arial"/>
          <w:lang w:val="fr-FR"/>
        </w:rPr>
        <w:t>’</w:t>
      </w:r>
      <w:r w:rsidRPr="00F260A3">
        <w:rPr>
          <w:rFonts w:ascii="Arial" w:hAnsi="Arial" w:cs="Arial"/>
          <w:lang w:val="fr-FR"/>
        </w:rPr>
        <w:t>ont, à ce jour, pas été définies au niveau multilatéral</w:t>
      </w:r>
      <w:r w:rsidR="00B12926">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sensiblement/directement fondé sur</w:t>
      </w:r>
      <w:r w:rsidRPr="00F260A3">
        <w:rPr>
          <w:rFonts w:ascii="Arial" w:hAnsi="Arial" w:cs="Arial"/>
          <w:lang w:val="fr-FR"/>
        </w:rPr>
        <w:t xml:space="preserve">, </w:t>
      </w:r>
      <w:r w:rsidRPr="00F260A3">
        <w:rPr>
          <w:rFonts w:ascii="Arial" w:hAnsi="Arial" w:cs="Arial"/>
          <w:i/>
          <w:iCs/>
          <w:lang w:val="fr-FR"/>
        </w:rPr>
        <w:t>source de ressources génétiques</w:t>
      </w:r>
      <w:r w:rsidRPr="00F260A3">
        <w:rPr>
          <w:rFonts w:ascii="Arial" w:hAnsi="Arial" w:cs="Arial"/>
          <w:lang w:val="fr-FR"/>
        </w:rPr>
        <w:t xml:space="preserve"> et </w:t>
      </w:r>
      <w:r w:rsidRPr="00F260A3">
        <w:rPr>
          <w:rFonts w:ascii="Arial" w:hAnsi="Arial" w:cs="Arial"/>
          <w:i/>
          <w:iCs/>
          <w:lang w:val="fr-FR"/>
        </w:rPr>
        <w:t>source de savoirs traditionnels associés aux ressources génétiques</w:t>
      </w:r>
      <w:r w:rsidRPr="00F260A3">
        <w:rPr>
          <w:rFonts w:ascii="Arial" w:hAnsi="Arial" w:cs="Arial"/>
          <w:lang w:val="fr-FR"/>
        </w:rPr>
        <w:t>.</w:t>
      </w:r>
    </w:p>
    <w:p w14:paraId="61F10FB4" w14:textId="282CE8DB"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sensiblement/directement fondé sur</w:t>
      </w:r>
      <w:r w:rsidRPr="00F260A3">
        <w:rPr>
          <w:rFonts w:ascii="Arial" w:hAnsi="Arial" w:cs="Arial"/>
          <w:lang w:val="fr-FR"/>
        </w:rPr>
        <w:t>” précise la relation entre l</w:t>
      </w:r>
      <w:r w:rsidR="00B12926">
        <w:rPr>
          <w:rFonts w:ascii="Arial" w:hAnsi="Arial" w:cs="Arial"/>
          <w:lang w:val="fr-FR"/>
        </w:rPr>
        <w:t>’</w:t>
      </w:r>
      <w:r w:rsidRPr="00F260A3">
        <w:rPr>
          <w:rFonts w:ascii="Arial" w:hAnsi="Arial" w:cs="Arial"/>
          <w:lang w:val="fr-FR"/>
        </w:rPr>
        <w:t>invention revendiquée et les ressources génétiques et savoirs traditionnels connexes qui active l</w:t>
      </w:r>
      <w:r w:rsidR="00B12926">
        <w:rPr>
          <w:rFonts w:ascii="Arial" w:hAnsi="Arial" w:cs="Arial"/>
          <w:lang w:val="fr-FR"/>
        </w:rPr>
        <w:t>’</w:t>
      </w:r>
      <w:r w:rsidRPr="00F260A3">
        <w:rPr>
          <w:rFonts w:ascii="Arial" w:hAnsi="Arial" w:cs="Arial"/>
          <w:lang w:val="fr-FR"/>
        </w:rPr>
        <w:t>obligation de divulgation (qualifiée d</w:t>
      </w:r>
      <w:r w:rsidR="00B12926">
        <w:rPr>
          <w:rFonts w:ascii="Arial" w:hAnsi="Arial" w:cs="Arial"/>
          <w:lang w:val="fr-FR"/>
        </w:rPr>
        <w:t>’</w:t>
      </w:r>
      <w:r w:rsidRPr="00F260A3">
        <w:rPr>
          <w:rFonts w:ascii="Arial" w:hAnsi="Arial" w:cs="Arial"/>
          <w:lang w:val="fr-FR"/>
        </w:rPr>
        <w:t>“élément déclencheur” dans les discussions du comité intergouvernemental).</w:t>
      </w:r>
    </w:p>
    <w:p w14:paraId="77F4634C" w14:textId="2798C812"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éléments déclencheurs diffèrent substantiellement aux niveaux national et régional à l</w:t>
      </w:r>
      <w:r w:rsidR="00B12926">
        <w:rPr>
          <w:rFonts w:ascii="Arial" w:hAnsi="Arial" w:cs="Arial"/>
          <w:lang w:val="fr-FR"/>
        </w:rPr>
        <w:t>’</w:t>
      </w:r>
      <w:r w:rsidRPr="00F260A3">
        <w:rPr>
          <w:rFonts w:ascii="Arial" w:hAnsi="Arial" w:cs="Arial"/>
          <w:lang w:val="fr-FR"/>
        </w:rPr>
        <w:t>heure actuel</w:t>
      </w:r>
      <w:r w:rsidR="004D4B77" w:rsidRPr="00F260A3">
        <w:rPr>
          <w:rFonts w:ascii="Arial" w:hAnsi="Arial" w:cs="Arial"/>
          <w:lang w:val="fr-FR"/>
        </w:rPr>
        <w:t>le</w:t>
      </w:r>
      <w:r w:rsidR="004D4B77">
        <w:rPr>
          <w:rFonts w:ascii="Arial" w:hAnsi="Arial" w:cs="Arial"/>
          <w:lang w:val="fr-FR"/>
        </w:rPr>
        <w:t xml:space="preserve">.  </w:t>
      </w:r>
      <w:r w:rsidR="004D4B77" w:rsidRPr="00F260A3">
        <w:rPr>
          <w:rFonts w:ascii="Arial" w:hAnsi="Arial" w:cs="Arial"/>
          <w:lang w:val="fr-FR"/>
        </w:rPr>
        <w:t>Il</w:t>
      </w:r>
      <w:r w:rsidRPr="00F260A3">
        <w:rPr>
          <w:rFonts w:ascii="Arial" w:hAnsi="Arial" w:cs="Arial"/>
          <w:lang w:val="fr-FR"/>
        </w:rPr>
        <w:t xml:space="preserve"> peut notamment s</w:t>
      </w:r>
      <w:r w:rsidR="00B12926">
        <w:rPr>
          <w:rFonts w:ascii="Arial" w:hAnsi="Arial" w:cs="Arial"/>
          <w:lang w:val="fr-FR"/>
        </w:rPr>
        <w:t>’</w:t>
      </w:r>
      <w:r w:rsidRPr="00F260A3">
        <w:rPr>
          <w:rFonts w:ascii="Arial" w:hAnsi="Arial" w:cs="Arial"/>
          <w:lang w:val="fr-FR"/>
        </w:rPr>
        <w:t>agir des expressions suivantes</w:t>
      </w:r>
      <w:r w:rsidR="00B12926">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 xml:space="preserve">directement fondé sur, fondé sur, fondé sur ou découlant de, est le fondement de, utilisé dans une invention, invention concerne, se rapporte à ou utilise, </w:t>
      </w:r>
      <w:r w:rsidRPr="00EA3898">
        <w:rPr>
          <w:rStyle w:val="Strong"/>
          <w:rFonts w:ascii="Arial" w:hAnsi="Arial" w:cs="Arial"/>
          <w:i/>
          <w:iCs/>
          <w:bdr w:val="none" w:sz="0" w:space="0" w:color="auto" w:frame="1"/>
          <w:lang w:val="fr-FR"/>
        </w:rPr>
        <w:t>une invention</w:t>
      </w:r>
      <w:r w:rsidR="00C96FD6">
        <w:rPr>
          <w:rStyle w:val="Strong"/>
          <w:rFonts w:ascii="Arial" w:hAnsi="Arial" w:cs="Arial"/>
          <w:i/>
          <w:iCs/>
          <w:bdr w:val="none" w:sz="0" w:space="0" w:color="auto" w:frame="1"/>
          <w:lang w:val="fr-FR"/>
        </w:rPr>
        <w:noBreakHyphen/>
      </w:r>
      <w:r w:rsidRPr="00EA3898">
        <w:rPr>
          <w:rStyle w:val="Strong"/>
          <w:rFonts w:ascii="Arial" w:hAnsi="Arial" w:cs="Arial"/>
          <w:i/>
          <w:iCs/>
          <w:bdr w:val="none" w:sz="0" w:space="0" w:color="auto" w:frame="1"/>
          <w:lang w:val="fr-FR"/>
        </w:rPr>
        <w:t>création réalisée en s</w:t>
      </w:r>
      <w:r w:rsidR="00B12926">
        <w:rPr>
          <w:rStyle w:val="Strong"/>
          <w:rFonts w:ascii="Arial" w:hAnsi="Arial" w:cs="Arial"/>
          <w:i/>
          <w:iCs/>
          <w:bdr w:val="none" w:sz="0" w:space="0" w:color="auto" w:frame="1"/>
          <w:lang w:val="fr-FR"/>
        </w:rPr>
        <w:t>’</w:t>
      </w:r>
      <w:r w:rsidRPr="00EA3898">
        <w:rPr>
          <w:rStyle w:val="Strong"/>
          <w:rFonts w:ascii="Arial" w:hAnsi="Arial" w:cs="Arial"/>
          <w:i/>
          <w:iCs/>
          <w:bdr w:val="none" w:sz="0" w:space="0" w:color="auto" w:frame="1"/>
          <w:lang w:val="fr-FR"/>
        </w:rPr>
        <w:t>appuyant sur les ressources génétiqu</w:t>
      </w:r>
      <w:r w:rsidR="004D4B77" w:rsidRPr="00EA3898">
        <w:rPr>
          <w:rStyle w:val="Strong"/>
          <w:rFonts w:ascii="Arial" w:hAnsi="Arial" w:cs="Arial"/>
          <w:i/>
          <w:iCs/>
          <w:bdr w:val="none" w:sz="0" w:space="0" w:color="auto" w:frame="1"/>
          <w:lang w:val="fr-FR"/>
        </w:rPr>
        <w:t>es</w:t>
      </w:r>
      <w:r w:rsidR="004D4B77" w:rsidRPr="004D4B77">
        <w:rPr>
          <w:rStyle w:val="Strong"/>
          <w:rFonts w:ascii="Arial" w:hAnsi="Arial" w:cs="Arial"/>
          <w:b w:val="0"/>
          <w:bCs w:val="0"/>
          <w:bdr w:val="none" w:sz="0" w:space="0" w:color="auto" w:frame="1"/>
          <w:lang w:val="fr-FR"/>
        </w:rPr>
        <w:t xml:space="preserve">.  </w:t>
      </w:r>
      <w:r w:rsidR="004D4B77" w:rsidRPr="00F260A3">
        <w:rPr>
          <w:rFonts w:ascii="Arial" w:hAnsi="Arial" w:cs="Arial"/>
          <w:lang w:val="fr-FR"/>
        </w:rPr>
        <w:t>Il</w:t>
      </w:r>
      <w:r w:rsidRPr="00F260A3">
        <w:rPr>
          <w:rFonts w:ascii="Arial" w:hAnsi="Arial" w:cs="Arial"/>
          <w:lang w:val="fr-FR"/>
        </w:rPr>
        <w:t xml:space="preserve"> règne par ailleurs une ambiguïté significative concernant le sens de ces expressio</w:t>
      </w:r>
      <w:r w:rsidR="004D4B77" w:rsidRPr="00F260A3">
        <w:rPr>
          <w:rFonts w:ascii="Arial" w:hAnsi="Arial" w:cs="Arial"/>
          <w:lang w:val="fr-FR"/>
        </w:rPr>
        <w:t>ns</w:t>
      </w:r>
      <w:r w:rsidR="004D4B77">
        <w:rPr>
          <w:rFonts w:ascii="Arial" w:hAnsi="Arial" w:cs="Arial"/>
          <w:lang w:val="fr-FR"/>
        </w:rPr>
        <w:t xml:space="preserve">.  </w:t>
      </w:r>
      <w:r w:rsidR="004D4B77" w:rsidRPr="00F260A3">
        <w:rPr>
          <w:rFonts w:ascii="Arial" w:hAnsi="Arial" w:cs="Arial"/>
          <w:lang w:val="fr-FR"/>
        </w:rPr>
        <w:t>Af</w:t>
      </w:r>
      <w:r w:rsidRPr="00F260A3">
        <w:rPr>
          <w:rFonts w:ascii="Arial" w:hAnsi="Arial" w:cs="Arial"/>
          <w:lang w:val="fr-FR"/>
        </w:rPr>
        <w:t>in de garantir la plus grande sécurité juridique possible, deux adverbes amplificateurs (</w:t>
      </w:r>
      <w:r w:rsidRPr="00F260A3">
        <w:rPr>
          <w:rFonts w:ascii="Arial" w:hAnsi="Arial" w:cs="Arial"/>
          <w:i/>
          <w:iCs/>
          <w:lang w:val="fr-FR"/>
        </w:rPr>
        <w:t>sensiblement/directement</w:t>
      </w:r>
      <w:r w:rsidRPr="00F260A3">
        <w:rPr>
          <w:rFonts w:ascii="Arial" w:hAnsi="Arial" w:cs="Arial"/>
          <w:lang w:val="fr-FR"/>
        </w:rPr>
        <w:t>) ont été proposés pour examen par les États membres, outre l</w:t>
      </w:r>
      <w:r w:rsidR="00B12926">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reflétant les discussions menées en juin 2018 dans le cadre de la trente</w:t>
      </w:r>
      <w:r w:rsidR="00C96FD6">
        <w:rPr>
          <w:rFonts w:ascii="Arial" w:hAnsi="Arial" w:cs="Arial"/>
          <w:lang w:val="fr-FR"/>
        </w:rPr>
        <w:noBreakHyphen/>
      </w:r>
      <w:r w:rsidRPr="00F260A3">
        <w:rPr>
          <w:rFonts w:ascii="Arial" w:hAnsi="Arial" w:cs="Arial"/>
          <w:lang w:val="fr-FR"/>
        </w:rPr>
        <w:t>six</w:t>
      </w:r>
      <w:r w:rsidR="00B12926">
        <w:rPr>
          <w:rFonts w:ascii="Arial" w:hAnsi="Arial" w:cs="Arial"/>
          <w:lang w:val="fr-FR"/>
        </w:rPr>
        <w:t>ième session</w:t>
      </w:r>
      <w:r w:rsidRPr="00F260A3">
        <w:rPr>
          <w:rFonts w:ascii="Arial" w:hAnsi="Arial" w:cs="Arial"/>
          <w:lang w:val="fr-FR"/>
        </w:rPr>
        <w:t xml:space="preserve"> du Comité intergouvernemental de la propriété intellectuelle relative aux ressources génétiques, aux savoirs traditionnels et au folklo</w:t>
      </w:r>
      <w:r w:rsidR="004D4B77" w:rsidRPr="00F260A3">
        <w:rPr>
          <w:rFonts w:ascii="Arial" w:hAnsi="Arial" w:cs="Arial"/>
          <w:lang w:val="fr-FR"/>
        </w:rPr>
        <w:t>re</w:t>
      </w:r>
      <w:r w:rsidR="004D4B77">
        <w:rPr>
          <w:rFonts w:ascii="Arial" w:hAnsi="Arial" w:cs="Arial"/>
          <w:lang w:val="fr-FR"/>
        </w:rPr>
        <w:t xml:space="preserve">.  </w:t>
      </w:r>
      <w:r w:rsidR="004D4B77" w:rsidRPr="00F260A3">
        <w:rPr>
          <w:rFonts w:ascii="Arial" w:hAnsi="Arial" w:cs="Arial"/>
          <w:lang w:val="fr-FR"/>
        </w:rPr>
        <w:t>La</w:t>
      </w:r>
      <w:r w:rsidRPr="00F260A3">
        <w:rPr>
          <w:rFonts w:ascii="Arial" w:hAnsi="Arial" w:cs="Arial"/>
          <w:lang w:val="fr-FR"/>
        </w:rPr>
        <w:t xml:space="preserve"> variante “</w:t>
      </w:r>
      <w:r w:rsidRPr="00F260A3">
        <w:rPr>
          <w:rFonts w:ascii="Arial" w:hAnsi="Arial" w:cs="Arial"/>
          <w:i/>
          <w:iCs/>
          <w:lang w:val="fr-FR"/>
        </w:rPr>
        <w:t>sensiblement</w:t>
      </w:r>
      <w:r w:rsidRPr="00F260A3">
        <w:rPr>
          <w:rFonts w:ascii="Arial" w:hAnsi="Arial" w:cs="Arial"/>
          <w:lang w:val="fr-FR"/>
        </w:rPr>
        <w:t>” a été ajoutée au terme “</w:t>
      </w:r>
      <w:r w:rsidRPr="00F260A3">
        <w:rPr>
          <w:rFonts w:ascii="Arial" w:hAnsi="Arial" w:cs="Arial"/>
          <w:i/>
          <w:iCs/>
          <w:lang w:val="fr-FR"/>
        </w:rPr>
        <w:t>directement</w:t>
      </w:r>
      <w:r w:rsidRPr="00F260A3">
        <w:rPr>
          <w:rFonts w:ascii="Arial" w:hAnsi="Arial" w:cs="Arial"/>
          <w:lang w:val="fr-FR"/>
        </w:rPr>
        <w:t>”, controversé dans les délibérations du comi</w:t>
      </w:r>
      <w:r w:rsidR="004D4B77" w:rsidRPr="00F260A3">
        <w:rPr>
          <w:rFonts w:ascii="Arial" w:hAnsi="Arial" w:cs="Arial"/>
          <w:lang w:val="fr-FR"/>
        </w:rPr>
        <w:t>té</w:t>
      </w:r>
      <w:r w:rsidR="004D4B77">
        <w:rPr>
          <w:rFonts w:ascii="Arial" w:hAnsi="Arial" w:cs="Arial"/>
          <w:lang w:val="fr-FR"/>
        </w:rPr>
        <w:t xml:space="preserve">.  </w:t>
      </w:r>
      <w:r w:rsidR="004D4B77" w:rsidRPr="00F260A3">
        <w:rPr>
          <w:rFonts w:ascii="Arial" w:hAnsi="Arial" w:cs="Arial"/>
          <w:lang w:val="fr-FR"/>
        </w:rPr>
        <w:t>No</w:t>
      </w:r>
      <w:r w:rsidRPr="00F260A3">
        <w:rPr>
          <w:rFonts w:ascii="Arial" w:hAnsi="Arial" w:cs="Arial"/>
          <w:lang w:val="fr-FR"/>
        </w:rPr>
        <w:t>us espérons toutefois y avoir remédié en définissant ce terme dans la liste de term</w:t>
      </w:r>
      <w:r w:rsidR="004D4B77" w:rsidRPr="00F260A3">
        <w:rPr>
          <w:rFonts w:ascii="Arial" w:hAnsi="Arial" w:cs="Arial"/>
          <w:lang w:val="fr-FR"/>
        </w:rPr>
        <w:t>es</w:t>
      </w:r>
      <w:r w:rsidR="004D4B77">
        <w:rPr>
          <w:rFonts w:ascii="Arial" w:hAnsi="Arial" w:cs="Arial"/>
          <w:lang w:val="fr-FR"/>
        </w:rPr>
        <w:t xml:space="preserve">.  </w:t>
      </w:r>
      <w:r w:rsidR="004D4B77" w:rsidRPr="00F260A3">
        <w:rPr>
          <w:rFonts w:ascii="Arial" w:hAnsi="Arial" w:cs="Arial"/>
          <w:lang w:val="fr-FR"/>
        </w:rPr>
        <w:t>Un</w:t>
      </w:r>
      <w:r w:rsidRPr="00F260A3">
        <w:rPr>
          <w:rFonts w:ascii="Arial" w:hAnsi="Arial" w:cs="Arial"/>
          <w:lang w:val="fr-FR"/>
        </w:rPr>
        <w:t>e solution de substitution à l</w:t>
      </w:r>
      <w:r w:rsidR="00B12926">
        <w:rPr>
          <w:rFonts w:ascii="Arial" w:hAnsi="Arial" w:cs="Arial"/>
          <w:lang w:val="fr-FR"/>
        </w:rPr>
        <w:t>’</w:t>
      </w:r>
      <w:r w:rsidRPr="00F260A3">
        <w:rPr>
          <w:rFonts w:ascii="Arial" w:hAnsi="Arial" w:cs="Arial"/>
          <w:lang w:val="fr-FR"/>
        </w:rPr>
        <w:t>inclusion d</w:t>
      </w:r>
      <w:r w:rsidR="00B12926">
        <w:rPr>
          <w:rFonts w:ascii="Arial" w:hAnsi="Arial" w:cs="Arial"/>
          <w:lang w:val="fr-FR"/>
        </w:rPr>
        <w:t>’</w:t>
      </w:r>
      <w:r w:rsidRPr="00F260A3">
        <w:rPr>
          <w:rFonts w:ascii="Arial" w:hAnsi="Arial" w:cs="Arial"/>
          <w:lang w:val="fr-FR"/>
        </w:rPr>
        <w:t>adverbes amplificateurs (“</w:t>
      </w:r>
      <w:r w:rsidRPr="00F260A3">
        <w:rPr>
          <w:rFonts w:ascii="Arial" w:hAnsi="Arial" w:cs="Arial"/>
          <w:i/>
          <w:iCs/>
          <w:lang w:val="fr-FR"/>
        </w:rPr>
        <w:t>sensiblement/directement</w:t>
      </w:r>
      <w:r w:rsidRPr="00F260A3">
        <w:rPr>
          <w:rFonts w:ascii="Arial" w:hAnsi="Arial" w:cs="Arial"/>
          <w:lang w:val="fr-FR"/>
        </w:rPr>
        <w:t>”) dans les énoncés relatifs aux éléments déclencheurs consiste à simplement garder l</w:t>
      </w:r>
      <w:r w:rsidR="00B12926">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accompagné d</w:t>
      </w:r>
      <w:r w:rsidR="00B12926">
        <w:rPr>
          <w:rFonts w:ascii="Arial" w:hAnsi="Arial" w:cs="Arial"/>
          <w:lang w:val="fr-FR"/>
        </w:rPr>
        <w:t>’</w:t>
      </w:r>
      <w:r w:rsidRPr="00F260A3">
        <w:rPr>
          <w:rFonts w:ascii="Arial" w:hAnsi="Arial" w:cs="Arial"/>
          <w:lang w:val="fr-FR"/>
        </w:rPr>
        <w:t>une définition afin de clarifier la portée de l</w:t>
      </w:r>
      <w:r w:rsidR="00B12926">
        <w:rPr>
          <w:rFonts w:ascii="Arial" w:hAnsi="Arial" w:cs="Arial"/>
          <w:lang w:val="fr-FR"/>
        </w:rPr>
        <w:t>’</w:t>
      </w:r>
      <w:r w:rsidRPr="00F260A3">
        <w:rPr>
          <w:rFonts w:ascii="Arial" w:hAnsi="Arial" w:cs="Arial"/>
          <w:lang w:val="fr-FR"/>
        </w:rPr>
        <w:t>élément déclencheur.</w:t>
      </w:r>
    </w:p>
    <w:p w14:paraId="759264ED" w14:textId="43BD10C3"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Une question sujette à controverse concernant le concept “</w:t>
      </w:r>
      <w:r w:rsidRPr="00F260A3">
        <w:rPr>
          <w:rFonts w:ascii="Arial" w:hAnsi="Arial" w:cs="Arial"/>
          <w:i/>
          <w:iCs/>
          <w:lang w:val="fr-FR"/>
        </w:rPr>
        <w:t>directement fondé sur</w:t>
      </w:r>
      <w:r w:rsidRPr="00F260A3">
        <w:rPr>
          <w:rFonts w:ascii="Arial" w:hAnsi="Arial" w:cs="Arial"/>
          <w:lang w:val="fr-FR"/>
        </w:rPr>
        <w:t>” et qui figure dans la proposition de l</w:t>
      </w:r>
      <w:r w:rsidR="00B12926">
        <w:rPr>
          <w:rFonts w:ascii="Arial" w:hAnsi="Arial" w:cs="Arial"/>
          <w:lang w:val="fr-FR"/>
        </w:rPr>
        <w:t>’</w:t>
      </w:r>
      <w:r w:rsidRPr="00F260A3">
        <w:rPr>
          <w:rFonts w:ascii="Arial" w:hAnsi="Arial" w:cs="Arial"/>
          <w:lang w:val="fr-FR"/>
        </w:rPr>
        <w:t>Union européenne initialement présentée en 2005</w:t>
      </w:r>
      <w:r w:rsidRPr="00F260A3">
        <w:rPr>
          <w:rStyle w:val="FootnoteReference"/>
          <w:rFonts w:ascii="Arial" w:hAnsi="Arial" w:cs="Arial"/>
          <w:lang w:val="fr-FR"/>
        </w:rPr>
        <w:footnoteReference w:id="2"/>
      </w:r>
      <w:r w:rsidRPr="00F260A3">
        <w:rPr>
          <w:rFonts w:ascii="Arial" w:hAnsi="Arial" w:cs="Arial"/>
          <w:lang w:val="fr-FR"/>
        </w:rPr>
        <w:t xml:space="preserve"> est l</w:t>
      </w:r>
      <w:r w:rsidR="00B12926">
        <w:rPr>
          <w:rFonts w:ascii="Arial" w:hAnsi="Arial" w:cs="Arial"/>
          <w:lang w:val="fr-FR"/>
        </w:rPr>
        <w:t>’</w:t>
      </w:r>
      <w:r w:rsidRPr="00F260A3">
        <w:rPr>
          <w:rFonts w:ascii="Arial" w:hAnsi="Arial" w:cs="Arial"/>
          <w:lang w:val="fr-FR"/>
        </w:rPr>
        <w:t>exigence d</w:t>
      </w:r>
      <w:r w:rsidR="00B12926">
        <w:rPr>
          <w:rFonts w:ascii="Arial" w:hAnsi="Arial" w:cs="Arial"/>
          <w:lang w:val="fr-FR"/>
        </w:rPr>
        <w:t>’</w:t>
      </w:r>
      <w:r w:rsidRPr="00F260A3">
        <w:rPr>
          <w:rFonts w:ascii="Arial" w:hAnsi="Arial" w:cs="Arial"/>
          <w:lang w:val="fr-FR"/>
        </w:rPr>
        <w:t>accès physique aux ressources génétiques par l</w:t>
      </w:r>
      <w:r w:rsidR="00B12926">
        <w:rPr>
          <w:rFonts w:ascii="Arial" w:hAnsi="Arial" w:cs="Arial"/>
          <w:lang w:val="fr-FR"/>
        </w:rPr>
        <w:t>’</w:t>
      </w:r>
      <w:r w:rsidRPr="00F260A3">
        <w:rPr>
          <w:rFonts w:ascii="Arial" w:hAnsi="Arial" w:cs="Arial"/>
          <w:lang w:val="fr-FR"/>
        </w:rPr>
        <w:t>invente</w:t>
      </w:r>
      <w:r w:rsidR="004D4B77" w:rsidRPr="00F260A3">
        <w:rPr>
          <w:rFonts w:ascii="Arial" w:hAnsi="Arial" w:cs="Arial"/>
          <w:lang w:val="fr-FR"/>
        </w:rPr>
        <w:t>ur</w:t>
      </w:r>
      <w:r w:rsidR="004D4B77">
        <w:rPr>
          <w:rFonts w:ascii="Arial" w:hAnsi="Arial" w:cs="Arial"/>
          <w:lang w:val="fr-FR"/>
        </w:rPr>
        <w:t xml:space="preserve">.  </w:t>
      </w:r>
      <w:r w:rsidR="004D4B77" w:rsidRPr="00F260A3">
        <w:rPr>
          <w:rFonts w:ascii="Arial" w:hAnsi="Arial" w:cs="Arial"/>
          <w:lang w:val="fr-FR"/>
        </w:rPr>
        <w:t>Ce</w:t>
      </w:r>
      <w:r w:rsidRPr="00F260A3">
        <w:rPr>
          <w:rFonts w:ascii="Arial" w:hAnsi="Arial" w:cs="Arial"/>
          <w:lang w:val="fr-FR"/>
        </w:rPr>
        <w:t>la reflète différentes opinions au sein du comité intergouvernemental quant à la question de savoir si l</w:t>
      </w:r>
      <w:r w:rsidR="00B12926">
        <w:rPr>
          <w:rFonts w:ascii="Arial" w:hAnsi="Arial" w:cs="Arial"/>
          <w:lang w:val="fr-FR"/>
        </w:rPr>
        <w:t>’</w:t>
      </w:r>
      <w:r w:rsidRPr="00F260A3">
        <w:rPr>
          <w:rFonts w:ascii="Arial" w:hAnsi="Arial" w:cs="Arial"/>
          <w:lang w:val="fr-FR"/>
        </w:rPr>
        <w:t>accès physique à une ressource génétique par un inventeur signalant des avancées technologiques dans le domaine concerné reste ou non une conditi</w:t>
      </w:r>
      <w:r w:rsidR="004D4B77" w:rsidRPr="00F260A3">
        <w:rPr>
          <w:rFonts w:ascii="Arial" w:hAnsi="Arial" w:cs="Arial"/>
          <w:lang w:val="fr-FR"/>
        </w:rPr>
        <w:t>on</w:t>
      </w:r>
      <w:r w:rsidR="004D4B77">
        <w:rPr>
          <w:rFonts w:ascii="Arial" w:hAnsi="Arial" w:cs="Arial"/>
          <w:lang w:val="fr-FR"/>
        </w:rPr>
        <w:t xml:space="preserve">.  </w:t>
      </w:r>
      <w:r w:rsidR="004D4B77" w:rsidRPr="00F260A3">
        <w:rPr>
          <w:rFonts w:ascii="Arial" w:hAnsi="Arial" w:cs="Arial"/>
          <w:lang w:val="fr-FR"/>
        </w:rPr>
        <w:t>En</w:t>
      </w:r>
      <w:r w:rsidRPr="00F260A3">
        <w:rPr>
          <w:rFonts w:ascii="Arial" w:hAnsi="Arial" w:cs="Arial"/>
          <w:lang w:val="fr-FR"/>
        </w:rPr>
        <w:t xml:space="preserve"> réaction à ces différents points de vue, la définition est désormais silencieuse sur cette question.  L</w:t>
      </w:r>
      <w:r w:rsidR="00B12926">
        <w:rPr>
          <w:rFonts w:ascii="Arial" w:hAnsi="Arial" w:cs="Arial"/>
          <w:lang w:val="fr-FR"/>
        </w:rPr>
        <w:t>’</w:t>
      </w:r>
      <w:r w:rsidRPr="00F260A3">
        <w:rPr>
          <w:rFonts w:ascii="Arial" w:hAnsi="Arial" w:cs="Arial"/>
          <w:lang w:val="fr-FR"/>
        </w:rPr>
        <w:t>Union européenne a par ailleurs proposé que la définition contienne l</w:t>
      </w:r>
      <w:r w:rsidR="00B12926">
        <w:rPr>
          <w:rFonts w:ascii="Arial" w:hAnsi="Arial" w:cs="Arial"/>
          <w:lang w:val="fr-FR"/>
        </w:rPr>
        <w:t>’</w:t>
      </w:r>
      <w:r w:rsidRPr="00F260A3">
        <w:rPr>
          <w:rFonts w:ascii="Arial" w:hAnsi="Arial" w:cs="Arial"/>
          <w:lang w:val="fr-FR"/>
        </w:rPr>
        <w:t>expression “</w:t>
      </w:r>
      <w:r w:rsidRPr="00F260A3">
        <w:rPr>
          <w:rFonts w:ascii="Arial" w:hAnsi="Arial" w:cs="Arial"/>
          <w:i/>
          <w:iCs/>
          <w:lang w:val="fr-FR"/>
        </w:rPr>
        <w:t>doit utiliser directement</w:t>
      </w:r>
      <w:r w:rsidRPr="00F260A3">
        <w:rPr>
          <w:rFonts w:ascii="Arial" w:hAnsi="Arial" w:cs="Arial"/>
          <w:lang w:val="fr-FR"/>
        </w:rPr>
        <w:t>”.  Je fais respectueusement valoir qu</w:t>
      </w:r>
      <w:r w:rsidR="00B12926">
        <w:rPr>
          <w:rFonts w:ascii="Arial" w:hAnsi="Arial" w:cs="Arial"/>
          <w:lang w:val="fr-FR"/>
        </w:rPr>
        <w:t>’</w:t>
      </w:r>
      <w:r w:rsidRPr="00F260A3">
        <w:rPr>
          <w:rFonts w:ascii="Arial" w:hAnsi="Arial" w:cs="Arial"/>
          <w:lang w:val="fr-FR"/>
        </w:rPr>
        <w:t>il y a un manque de clarté quant au sens de ce ter</w:t>
      </w:r>
      <w:r w:rsidR="004D4B77" w:rsidRPr="00F260A3">
        <w:rPr>
          <w:rFonts w:ascii="Arial" w:hAnsi="Arial" w:cs="Arial"/>
          <w:lang w:val="fr-FR"/>
        </w:rPr>
        <w:t>me</w:t>
      </w:r>
      <w:r w:rsidR="004D4B77">
        <w:rPr>
          <w:rFonts w:ascii="Arial" w:hAnsi="Arial" w:cs="Arial"/>
          <w:lang w:val="fr-FR"/>
        </w:rPr>
        <w:t xml:space="preserve">.  </w:t>
      </w:r>
      <w:r w:rsidR="004D4B77" w:rsidRPr="00F260A3">
        <w:rPr>
          <w:rFonts w:ascii="Arial" w:hAnsi="Arial" w:cs="Arial"/>
          <w:lang w:val="fr-FR"/>
        </w:rPr>
        <w:t>En</w:t>
      </w:r>
      <w:r w:rsidRPr="00F260A3">
        <w:rPr>
          <w:rFonts w:ascii="Arial" w:hAnsi="Arial" w:cs="Arial"/>
          <w:lang w:val="fr-FR"/>
        </w:rPr>
        <w:t xml:space="preserve"> réponse à ce problème, les termes “</w:t>
      </w:r>
      <w:r w:rsidRPr="00F260A3">
        <w:rPr>
          <w:rFonts w:ascii="Arial" w:hAnsi="Arial" w:cs="Arial"/>
          <w:i/>
          <w:iCs/>
          <w:lang w:val="fr-FR"/>
        </w:rPr>
        <w:t>nécessaire</w:t>
      </w:r>
      <w:r w:rsidRPr="00F260A3">
        <w:rPr>
          <w:rFonts w:ascii="Arial" w:hAnsi="Arial" w:cs="Arial"/>
          <w:lang w:val="fr-FR"/>
        </w:rPr>
        <w:t>” et “</w:t>
      </w:r>
      <w:r w:rsidRPr="00F260A3">
        <w:rPr>
          <w:rFonts w:ascii="Arial" w:hAnsi="Arial" w:cs="Arial"/>
          <w:i/>
          <w:iCs/>
          <w:lang w:val="fr-FR"/>
        </w:rPr>
        <w:t>important pour</w:t>
      </w:r>
      <w:r w:rsidRPr="00F260A3">
        <w:rPr>
          <w:rFonts w:ascii="Arial" w:hAnsi="Arial" w:cs="Arial"/>
          <w:lang w:val="fr-FR"/>
        </w:rPr>
        <w:t>” ont été inclus afin d</w:t>
      </w:r>
      <w:r w:rsidR="00B12926">
        <w:rPr>
          <w:rFonts w:ascii="Arial" w:hAnsi="Arial" w:cs="Arial"/>
          <w:lang w:val="fr-FR"/>
        </w:rPr>
        <w:t>’</w:t>
      </w:r>
      <w:r w:rsidRPr="00F260A3">
        <w:rPr>
          <w:rFonts w:ascii="Arial" w:hAnsi="Arial" w:cs="Arial"/>
          <w:lang w:val="fr-FR"/>
        </w:rPr>
        <w:t>atténuer l</w:t>
      </w:r>
      <w:r w:rsidR="00B12926">
        <w:rPr>
          <w:rFonts w:ascii="Arial" w:hAnsi="Arial" w:cs="Arial"/>
          <w:lang w:val="fr-FR"/>
        </w:rPr>
        <w:t>’</w:t>
      </w:r>
      <w:r w:rsidRPr="00F260A3">
        <w:rPr>
          <w:rFonts w:ascii="Arial" w:hAnsi="Arial" w:cs="Arial"/>
          <w:lang w:val="fr-FR"/>
        </w:rPr>
        <w:t>ambiguï</w:t>
      </w:r>
      <w:r w:rsidR="004D4B77" w:rsidRPr="00F260A3">
        <w:rPr>
          <w:rFonts w:ascii="Arial" w:hAnsi="Arial" w:cs="Arial"/>
          <w:lang w:val="fr-FR"/>
        </w:rPr>
        <w:t>té</w:t>
      </w:r>
      <w:r w:rsidR="004D4B77">
        <w:rPr>
          <w:rFonts w:ascii="Arial" w:hAnsi="Arial" w:cs="Arial"/>
          <w:lang w:val="fr-FR"/>
        </w:rPr>
        <w:t xml:space="preserve">.  </w:t>
      </w:r>
      <w:r w:rsidR="004D4B77" w:rsidRPr="00F260A3">
        <w:rPr>
          <w:rFonts w:ascii="Arial" w:hAnsi="Arial" w:cs="Arial"/>
          <w:lang w:val="fr-FR"/>
        </w:rPr>
        <w:t>L</w:t>
      </w:r>
      <w:r w:rsidR="004D4B77">
        <w:rPr>
          <w:rFonts w:ascii="Arial" w:hAnsi="Arial" w:cs="Arial"/>
          <w:lang w:val="fr-FR"/>
        </w:rPr>
        <w:t>’</w:t>
      </w:r>
      <w:r w:rsidR="004D4B77" w:rsidRPr="00F260A3">
        <w:rPr>
          <w:rFonts w:ascii="Arial" w:hAnsi="Arial" w:cs="Arial"/>
          <w:lang w:val="fr-FR"/>
        </w:rPr>
        <w:t>e</w:t>
      </w:r>
      <w:r w:rsidRPr="00F260A3">
        <w:rPr>
          <w:rFonts w:ascii="Arial" w:hAnsi="Arial" w:cs="Arial"/>
          <w:lang w:val="fr-FR"/>
        </w:rPr>
        <w:t>xpression “</w:t>
      </w:r>
      <w:r w:rsidRPr="00F260A3">
        <w:rPr>
          <w:rFonts w:ascii="Arial" w:hAnsi="Arial" w:cs="Arial"/>
          <w:i/>
          <w:iCs/>
          <w:lang w:val="fr-FR"/>
        </w:rPr>
        <w:t>l</w:t>
      </w:r>
      <w:r w:rsidR="00B12926">
        <w:rPr>
          <w:rFonts w:ascii="Arial" w:hAnsi="Arial" w:cs="Arial"/>
          <w:i/>
          <w:iCs/>
          <w:lang w:val="fr-FR"/>
        </w:rPr>
        <w:t>’</w:t>
      </w:r>
      <w:r w:rsidRPr="00F260A3">
        <w:rPr>
          <w:rFonts w:ascii="Arial" w:hAnsi="Arial" w:cs="Arial"/>
          <w:i/>
          <w:iCs/>
          <w:lang w:val="fr-FR"/>
        </w:rPr>
        <w:t>invention revendiquée doit dépendre des propriétés spécifiques des ressources génétiques et des savoirs traditionnels connexes</w:t>
      </w:r>
      <w:r w:rsidRPr="00F260A3">
        <w:rPr>
          <w:rFonts w:ascii="Arial" w:hAnsi="Arial" w:cs="Arial"/>
          <w:lang w:val="fr-FR"/>
        </w:rPr>
        <w:t>” est en outre incluse dans la définition.</w:t>
      </w:r>
    </w:p>
    <w:p w14:paraId="0C36BDEE" w14:textId="77777777"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source</w:t>
      </w:r>
      <w:r w:rsidRPr="00F260A3">
        <w:rPr>
          <w:rFonts w:ascii="Arial" w:hAnsi="Arial" w:cs="Arial"/>
          <w:lang w:val="fr-FR"/>
        </w:rPr>
        <w:t>” est à interpréter dans son sens courant “</w:t>
      </w:r>
      <w:r w:rsidRPr="00F260A3">
        <w:rPr>
          <w:rFonts w:ascii="Arial" w:hAnsi="Arial" w:cs="Arial"/>
          <w:i/>
          <w:iCs/>
          <w:lang w:val="fr-FR"/>
        </w:rPr>
        <w:t>où quelque chose trouve son origine ou peut être obtenu</w:t>
      </w:r>
      <w:r w:rsidRPr="00F260A3">
        <w:rPr>
          <w:rFonts w:ascii="Arial" w:hAnsi="Arial" w:cs="Arial"/>
          <w:lang w:val="fr-FR"/>
        </w:rPr>
        <w:t>”</w:t>
      </w:r>
      <w:r w:rsidRPr="00F260A3">
        <w:rPr>
          <w:rStyle w:val="FootnoteReference"/>
          <w:rFonts w:ascii="Arial" w:hAnsi="Arial" w:cs="Arial"/>
          <w:i/>
          <w:lang w:val="fr-FR"/>
        </w:rPr>
        <w:footnoteReference w:id="3"/>
      </w:r>
      <w:r w:rsidRPr="00F260A3">
        <w:rPr>
          <w:rFonts w:ascii="Arial" w:hAnsi="Arial" w:cs="Arial"/>
          <w:lang w:val="fr-FR"/>
        </w:rPr>
        <w:t>.  Les deux définitions relatives aux ressources génétiques et aux savoirs traditionnels connexes fournissent simplement une liste non exhaustive des sources possibles des ressources génétiques ou des savoirs traditionnels connexes.</w:t>
      </w:r>
    </w:p>
    <w:p w14:paraId="2B21013E" w14:textId="4F468ABA" w:rsidR="00F00174" w:rsidRPr="00F260A3" w:rsidRDefault="00F00174" w:rsidP="00C96FD6">
      <w:pPr>
        <w:pStyle w:val="ListParagraph"/>
        <w:keepLines/>
        <w:numPr>
          <w:ilvl w:val="0"/>
          <w:numId w:val="10"/>
        </w:numPr>
        <w:spacing w:after="220" w:line="240" w:lineRule="auto"/>
        <w:ind w:left="0" w:firstLine="0"/>
        <w:rPr>
          <w:rFonts w:ascii="Arial" w:hAnsi="Arial" w:cs="Arial"/>
          <w:lang w:val="fr-FR"/>
        </w:rPr>
      </w:pPr>
      <w:r w:rsidRPr="00D15253">
        <w:rPr>
          <w:rFonts w:ascii="Arial" w:hAnsi="Arial" w:cs="Arial"/>
          <w:lang w:val="fr-CH"/>
        </w:rPr>
        <w:t>La définition des “</w:t>
      </w:r>
      <w:r w:rsidRPr="00D15253">
        <w:rPr>
          <w:rFonts w:ascii="Arial" w:hAnsi="Arial" w:cs="Arial"/>
          <w:i/>
          <w:lang w:val="fr-CH"/>
        </w:rPr>
        <w:t>savoirs traditionnels</w:t>
      </w:r>
      <w:r w:rsidRPr="00D15253">
        <w:rPr>
          <w:rFonts w:ascii="Arial" w:hAnsi="Arial" w:cs="Arial"/>
          <w:lang w:val="fr-CH"/>
        </w:rPr>
        <w:t>” est encore en cours de discussion au sein du comité intergouvernemental, dans le cadre des négociations relati</w:t>
      </w:r>
      <w:r>
        <w:rPr>
          <w:rFonts w:ascii="Arial" w:hAnsi="Arial" w:cs="Arial"/>
          <w:lang w:val="fr-CH"/>
        </w:rPr>
        <w:t>ves</w:t>
      </w:r>
      <w:r w:rsidRPr="00D15253">
        <w:rPr>
          <w:rFonts w:ascii="Arial" w:hAnsi="Arial" w:cs="Arial"/>
          <w:lang w:val="fr-CH"/>
        </w:rPr>
        <w:t xml:space="preserve"> aux savoirs traditionnels, et doit encore être convenue, même si, à mon sens, une certaine convergence</w:t>
      </w:r>
      <w:r>
        <w:rPr>
          <w:rFonts w:ascii="Arial" w:hAnsi="Arial" w:cs="Arial"/>
          <w:lang w:val="fr-CH"/>
        </w:rPr>
        <w:t xml:space="preserve"> de vues</w:t>
      </w:r>
      <w:r w:rsidRPr="00D15253">
        <w:rPr>
          <w:rFonts w:ascii="Arial" w:hAnsi="Arial" w:cs="Arial"/>
          <w:lang w:val="fr-CH"/>
        </w:rPr>
        <w:t xml:space="preserve"> a émergé au cours des discussions récent</w:t>
      </w:r>
      <w:r w:rsidR="004D4B77" w:rsidRPr="00D15253">
        <w:rPr>
          <w:rFonts w:ascii="Arial" w:hAnsi="Arial" w:cs="Arial"/>
          <w:lang w:val="fr-CH"/>
        </w:rPr>
        <w:t>es</w:t>
      </w:r>
      <w:r w:rsidR="004D4B77">
        <w:rPr>
          <w:rFonts w:ascii="Arial" w:hAnsi="Arial" w:cs="Arial"/>
          <w:lang w:val="fr-CH"/>
        </w:rPr>
        <w:t xml:space="preserve">.  </w:t>
      </w:r>
      <w:r w:rsidR="004D4B77" w:rsidRPr="00F260A3">
        <w:rPr>
          <w:rFonts w:ascii="Arial" w:hAnsi="Arial" w:cs="Arial"/>
          <w:lang w:val="fr-FR"/>
        </w:rPr>
        <w:t>Pa</w:t>
      </w:r>
      <w:r w:rsidRPr="00F260A3">
        <w:rPr>
          <w:rFonts w:ascii="Arial" w:hAnsi="Arial" w:cs="Arial"/>
          <w:lang w:val="fr-FR"/>
        </w:rPr>
        <w:t>r ailleurs, aucune définition n</w:t>
      </w:r>
      <w:r w:rsidR="00B12926">
        <w:rPr>
          <w:rFonts w:ascii="Arial" w:hAnsi="Arial" w:cs="Arial"/>
          <w:lang w:val="fr-FR"/>
        </w:rPr>
        <w:t>’</w:t>
      </w:r>
      <w:r w:rsidRPr="00F260A3">
        <w:rPr>
          <w:rFonts w:ascii="Arial" w:hAnsi="Arial" w:cs="Arial"/>
          <w:lang w:val="fr-FR"/>
        </w:rPr>
        <w:t>a été adoptée au niveau international dans le cadre d</w:t>
      </w:r>
      <w:r w:rsidR="00B12926">
        <w:rPr>
          <w:rFonts w:ascii="Arial" w:hAnsi="Arial" w:cs="Arial"/>
          <w:lang w:val="fr-FR"/>
        </w:rPr>
        <w:t>’</w:t>
      </w:r>
      <w:r w:rsidRPr="00F260A3">
        <w:rPr>
          <w:rFonts w:ascii="Arial" w:hAnsi="Arial" w:cs="Arial"/>
          <w:lang w:val="fr-FR"/>
        </w:rPr>
        <w:t>autres procédures, la définition étant laissée à l</w:t>
      </w:r>
      <w:r w:rsidR="00B12926">
        <w:rPr>
          <w:rFonts w:ascii="Arial" w:hAnsi="Arial" w:cs="Arial"/>
          <w:lang w:val="fr-FR"/>
        </w:rPr>
        <w:t>’</w:t>
      </w:r>
      <w:r w:rsidRPr="00F260A3">
        <w:rPr>
          <w:rFonts w:ascii="Arial" w:hAnsi="Arial" w:cs="Arial"/>
          <w:lang w:val="fr-FR"/>
        </w:rPr>
        <w:t>interprétation des pa</w:t>
      </w:r>
      <w:r w:rsidR="004D4B77" w:rsidRPr="00F260A3">
        <w:rPr>
          <w:rFonts w:ascii="Arial" w:hAnsi="Arial" w:cs="Arial"/>
          <w:lang w:val="fr-FR"/>
        </w:rPr>
        <w:t>ys</w:t>
      </w:r>
      <w:r w:rsidR="004D4B77">
        <w:rPr>
          <w:rFonts w:ascii="Arial" w:hAnsi="Arial" w:cs="Arial"/>
          <w:lang w:val="fr-FR"/>
        </w:rPr>
        <w:t xml:space="preserve">.  </w:t>
      </w:r>
      <w:r w:rsidR="004D4B77" w:rsidRPr="00F260A3">
        <w:rPr>
          <w:rFonts w:ascii="Arial" w:hAnsi="Arial" w:cs="Arial"/>
          <w:lang w:val="fr-FR"/>
        </w:rPr>
        <w:t>Da</w:t>
      </w:r>
      <w:r w:rsidRPr="00F260A3">
        <w:rPr>
          <w:rFonts w:ascii="Arial" w:hAnsi="Arial" w:cs="Arial"/>
          <w:lang w:val="fr-FR"/>
        </w:rPr>
        <w:t>ns l</w:t>
      </w:r>
      <w:r w:rsidR="00B12926">
        <w:rPr>
          <w:rFonts w:ascii="Arial" w:hAnsi="Arial" w:cs="Arial"/>
          <w:lang w:val="fr-FR"/>
        </w:rPr>
        <w:t>’</w:t>
      </w:r>
      <w:r w:rsidRPr="00F260A3">
        <w:rPr>
          <w:rFonts w:ascii="Arial" w:hAnsi="Arial" w:cs="Arial"/>
          <w:lang w:val="fr-FR"/>
        </w:rPr>
        <w:t>attente d</w:t>
      </w:r>
      <w:r w:rsidR="00B12926">
        <w:rPr>
          <w:rFonts w:ascii="Arial" w:hAnsi="Arial" w:cs="Arial"/>
          <w:lang w:val="fr-FR"/>
        </w:rPr>
        <w:t>’</w:t>
      </w:r>
      <w:r w:rsidRPr="00F260A3">
        <w:rPr>
          <w:rFonts w:ascii="Arial" w:hAnsi="Arial" w:cs="Arial"/>
          <w:lang w:val="fr-FR"/>
        </w:rPr>
        <w:t>un accord sur la question au sein du comité, il est proposé de ne pas définir ce terme pour le moment et de le laisser à l</w:t>
      </w:r>
      <w:r w:rsidR="00B12926">
        <w:rPr>
          <w:rFonts w:ascii="Arial" w:hAnsi="Arial" w:cs="Arial"/>
          <w:lang w:val="fr-FR"/>
        </w:rPr>
        <w:t>’</w:t>
      </w:r>
      <w:r w:rsidRPr="00F260A3">
        <w:rPr>
          <w:rFonts w:ascii="Arial" w:hAnsi="Arial" w:cs="Arial"/>
          <w:lang w:val="fr-FR"/>
        </w:rPr>
        <w:t>interprétation des pays.</w:t>
      </w:r>
    </w:p>
    <w:p w14:paraId="2C3980B1" w14:textId="68ACB8F5" w:rsidR="0078326D" w:rsidRPr="00F260A3" w:rsidRDefault="00F00174" w:rsidP="00C96FD6">
      <w:pPr>
        <w:jc w:val="center"/>
        <w:rPr>
          <w:szCs w:val="22"/>
          <w:u w:val="single"/>
          <w:lang w:val="fr-FR"/>
        </w:rPr>
      </w:pPr>
      <w:r w:rsidRPr="00E41678">
        <w:rPr>
          <w:szCs w:val="22"/>
          <w:lang w:val="fr-FR"/>
        </w:rPr>
        <w:br w:type="page"/>
      </w:r>
    </w:p>
    <w:p w14:paraId="6F81DB94" w14:textId="74032CDC" w:rsidR="00F00174" w:rsidRPr="00F260A3" w:rsidRDefault="00F00174" w:rsidP="00C96FD6">
      <w:pPr>
        <w:spacing w:after="220"/>
        <w:rPr>
          <w:szCs w:val="22"/>
          <w:u w:val="single"/>
          <w:lang w:val="fr-FR"/>
        </w:rPr>
      </w:pPr>
      <w:r w:rsidRPr="00F260A3">
        <w:rPr>
          <w:szCs w:val="22"/>
          <w:u w:val="single"/>
          <w:lang w:val="fr-FR"/>
        </w:rPr>
        <w:t>Notes relatives à l</w:t>
      </w:r>
      <w:r w:rsidR="00B12926">
        <w:rPr>
          <w:szCs w:val="22"/>
          <w:u w:val="single"/>
          <w:lang w:val="fr-FR"/>
        </w:rPr>
        <w:t>’</w:t>
      </w:r>
      <w:r w:rsidRPr="00F260A3">
        <w:rPr>
          <w:szCs w:val="22"/>
          <w:u w:val="single"/>
          <w:lang w:val="fr-FR"/>
        </w:rPr>
        <w:t>article 3</w:t>
      </w:r>
    </w:p>
    <w:p w14:paraId="63D1AB95" w14:textId="4D8D3504" w:rsidR="00F00174" w:rsidRPr="00F260A3" w:rsidRDefault="00F00174" w:rsidP="00C96FD6">
      <w:pPr>
        <w:spacing w:after="220"/>
        <w:rPr>
          <w:szCs w:val="22"/>
          <w:lang w:val="fr-FR"/>
        </w:rPr>
      </w:pPr>
      <w:r w:rsidRPr="00F260A3">
        <w:rPr>
          <w:szCs w:val="22"/>
          <w:lang w:val="fr-FR"/>
        </w:rPr>
        <w:t>1.</w:t>
      </w:r>
      <w:r w:rsidRPr="00F260A3">
        <w:rPr>
          <w:szCs w:val="22"/>
          <w:lang w:val="fr-FR"/>
        </w:rPr>
        <w:tab/>
        <w:t>L</w:t>
      </w:r>
      <w:r w:rsidR="00B12926">
        <w:rPr>
          <w:szCs w:val="22"/>
          <w:lang w:val="fr-FR"/>
        </w:rPr>
        <w:t>’</w:t>
      </w:r>
      <w:r w:rsidRPr="00F260A3">
        <w:rPr>
          <w:szCs w:val="22"/>
          <w:lang w:val="fr-FR"/>
        </w:rPr>
        <w:t>article 3 établit une exigence de divulgation obligatoi</w:t>
      </w:r>
      <w:r w:rsidR="004D4B77" w:rsidRPr="00F260A3">
        <w:rPr>
          <w:szCs w:val="22"/>
          <w:lang w:val="fr-FR"/>
        </w:rPr>
        <w:t>re</w:t>
      </w:r>
      <w:r w:rsidR="004D4B77">
        <w:rPr>
          <w:szCs w:val="22"/>
          <w:lang w:val="fr-FR"/>
        </w:rPr>
        <w:t xml:space="preserve">.  </w:t>
      </w:r>
      <w:r w:rsidR="004D4B77" w:rsidRPr="00F260A3">
        <w:rPr>
          <w:szCs w:val="22"/>
          <w:lang w:val="fr-FR"/>
        </w:rPr>
        <w:t xml:space="preserve">À </w:t>
      </w:r>
      <w:r w:rsidRPr="00F260A3">
        <w:rPr>
          <w:szCs w:val="22"/>
          <w:lang w:val="fr-FR"/>
        </w:rPr>
        <w:t>l</w:t>
      </w:r>
      <w:r w:rsidR="00B12926">
        <w:rPr>
          <w:szCs w:val="22"/>
          <w:lang w:val="fr-FR"/>
        </w:rPr>
        <w:t>’</w:t>
      </w:r>
      <w:r w:rsidRPr="00F260A3">
        <w:rPr>
          <w:szCs w:val="22"/>
          <w:lang w:val="fr-FR"/>
        </w:rPr>
        <w:t>appui de la sécurité juridique, il est crucial, à mon sens, que les dispositions relatives à une exigence de divulgation soient claires quant aux aspects suivants</w:t>
      </w:r>
      <w:r w:rsidR="00B12926">
        <w:rPr>
          <w:szCs w:val="22"/>
          <w:lang w:val="fr-FR"/>
        </w:rPr>
        <w:t> :</w:t>
      </w:r>
    </w:p>
    <w:p w14:paraId="7DB065D7" w14:textId="0575C27F" w:rsidR="00F00174" w:rsidRPr="00F260A3" w:rsidRDefault="00F00174" w:rsidP="00C96FD6">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la</w:t>
      </w:r>
      <w:proofErr w:type="gramEnd"/>
      <w:r w:rsidRPr="00F260A3">
        <w:rPr>
          <w:rFonts w:ascii="Arial" w:hAnsi="Arial" w:cs="Arial"/>
          <w:sz w:val="22"/>
          <w:szCs w:val="22"/>
          <w:lang w:val="fr-FR"/>
        </w:rPr>
        <w:t xml:space="preserve"> relation entre l</w:t>
      </w:r>
      <w:r w:rsidR="00B12926">
        <w:rPr>
          <w:rFonts w:ascii="Arial" w:hAnsi="Arial" w:cs="Arial"/>
          <w:sz w:val="22"/>
          <w:szCs w:val="22"/>
          <w:lang w:val="fr-FR"/>
        </w:rPr>
        <w:t>’</w:t>
      </w:r>
      <w:r w:rsidRPr="00F260A3">
        <w:rPr>
          <w:rFonts w:ascii="Arial" w:hAnsi="Arial" w:cs="Arial"/>
          <w:sz w:val="22"/>
          <w:szCs w:val="22"/>
          <w:lang w:val="fr-FR"/>
        </w:rPr>
        <w:t>invention revendiquée et les ressources génétiques et savoirs traditionnels connexes qui active l</w:t>
      </w:r>
      <w:r w:rsidR="00B12926">
        <w:rPr>
          <w:rFonts w:ascii="Arial" w:hAnsi="Arial" w:cs="Arial"/>
          <w:sz w:val="22"/>
          <w:szCs w:val="22"/>
          <w:lang w:val="fr-FR"/>
        </w:rPr>
        <w:t>’</w:t>
      </w:r>
      <w:r w:rsidRPr="00F260A3">
        <w:rPr>
          <w:rFonts w:ascii="Arial" w:hAnsi="Arial" w:cs="Arial"/>
          <w:sz w:val="22"/>
          <w:szCs w:val="22"/>
          <w:lang w:val="fr-FR"/>
        </w:rPr>
        <w:t>obligation de divulgation, qualifiée d</w:t>
      </w:r>
      <w:r w:rsidR="00B12926">
        <w:rPr>
          <w:rFonts w:ascii="Arial" w:hAnsi="Arial" w:cs="Arial"/>
          <w:sz w:val="22"/>
          <w:szCs w:val="22"/>
          <w:lang w:val="fr-FR"/>
        </w:rPr>
        <w:t>’</w:t>
      </w:r>
      <w:r w:rsidRPr="00F260A3">
        <w:rPr>
          <w:rFonts w:ascii="Arial" w:hAnsi="Arial" w:cs="Arial"/>
          <w:sz w:val="22"/>
          <w:szCs w:val="22"/>
          <w:lang w:val="fr-FR"/>
        </w:rPr>
        <w:t>“élément déclencheur” dans les discussions du comité intergouvernemental;  et</w:t>
      </w:r>
    </w:p>
    <w:p w14:paraId="733FECD4" w14:textId="22B51E5D" w:rsidR="00F00174" w:rsidRPr="00F260A3" w:rsidRDefault="00F00174" w:rsidP="00C96FD6">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l</w:t>
      </w:r>
      <w:r w:rsidR="00B12926">
        <w:rPr>
          <w:rFonts w:ascii="Arial" w:hAnsi="Arial" w:cs="Arial"/>
          <w:sz w:val="22"/>
          <w:szCs w:val="22"/>
          <w:lang w:val="fr-FR"/>
        </w:rPr>
        <w:t>’</w:t>
      </w:r>
      <w:r w:rsidRPr="00F260A3">
        <w:rPr>
          <w:rFonts w:ascii="Arial" w:hAnsi="Arial" w:cs="Arial"/>
          <w:sz w:val="22"/>
          <w:szCs w:val="22"/>
          <w:lang w:val="fr-FR"/>
        </w:rPr>
        <w:t>information</w:t>
      </w:r>
      <w:proofErr w:type="gramEnd"/>
      <w:r w:rsidRPr="00F260A3">
        <w:rPr>
          <w:rFonts w:ascii="Arial" w:hAnsi="Arial" w:cs="Arial"/>
          <w:sz w:val="22"/>
          <w:szCs w:val="22"/>
          <w:lang w:val="fr-FR"/>
        </w:rPr>
        <w:t xml:space="preserve"> qui doit être divulguée, appelée le “</w:t>
      </w:r>
      <w:r w:rsidRPr="00F260A3">
        <w:rPr>
          <w:rFonts w:ascii="Arial" w:hAnsi="Arial" w:cs="Arial"/>
          <w:i/>
          <w:iCs/>
          <w:sz w:val="22"/>
          <w:szCs w:val="22"/>
          <w:lang w:val="fr-FR"/>
        </w:rPr>
        <w:t>contenu</w:t>
      </w:r>
      <w:r w:rsidRPr="00F260A3">
        <w:rPr>
          <w:rFonts w:ascii="Arial" w:hAnsi="Arial" w:cs="Arial"/>
          <w:sz w:val="22"/>
          <w:szCs w:val="22"/>
          <w:lang w:val="fr-FR"/>
        </w:rPr>
        <w:t>” dans les discussions du comité.</w:t>
      </w:r>
    </w:p>
    <w:p w14:paraId="766D6771" w14:textId="04E356A0" w:rsidR="00F00174" w:rsidRPr="00F260A3" w:rsidRDefault="00F00174" w:rsidP="00C96FD6">
      <w:pPr>
        <w:spacing w:after="220"/>
        <w:rPr>
          <w:szCs w:val="22"/>
          <w:lang w:val="fr-FR"/>
        </w:rPr>
      </w:pPr>
      <w:r w:rsidRPr="00F260A3">
        <w:rPr>
          <w:szCs w:val="22"/>
          <w:lang w:val="fr-FR"/>
        </w:rPr>
        <w:t>2.</w:t>
      </w:r>
      <w:r w:rsidRPr="00F260A3">
        <w:rPr>
          <w:szCs w:val="22"/>
          <w:lang w:val="fr-FR"/>
        </w:rPr>
        <w:tab/>
        <w:t>L</w:t>
      </w:r>
      <w:r w:rsidR="00B12926">
        <w:rPr>
          <w:szCs w:val="22"/>
          <w:lang w:val="fr-FR"/>
        </w:rPr>
        <w:t>’</w:t>
      </w:r>
      <w:r w:rsidRPr="00F260A3">
        <w:rPr>
          <w:szCs w:val="22"/>
          <w:lang w:val="fr-FR"/>
        </w:rPr>
        <w:t>élément déclencheur et le contenu doivent être réalisables dans la pratique et refléter les différentes circonstances dans lesquelles la source des ressources génétiques et des savoirs traditionnels connexes peut être détermin</w:t>
      </w:r>
      <w:r w:rsidR="004D4B77" w:rsidRPr="00F260A3">
        <w:rPr>
          <w:szCs w:val="22"/>
          <w:lang w:val="fr-FR"/>
        </w:rPr>
        <w:t>ée</w:t>
      </w:r>
      <w:r w:rsidR="004D4B77">
        <w:rPr>
          <w:szCs w:val="22"/>
          <w:lang w:val="fr-FR"/>
        </w:rPr>
        <w:t xml:space="preserve">.  </w:t>
      </w:r>
      <w:r w:rsidR="004D4B77" w:rsidRPr="00F260A3">
        <w:rPr>
          <w:szCs w:val="22"/>
          <w:lang w:val="fr-FR"/>
        </w:rPr>
        <w:t>Ce</w:t>
      </w:r>
      <w:r w:rsidRPr="00F260A3">
        <w:rPr>
          <w:szCs w:val="22"/>
          <w:lang w:val="fr-FR"/>
        </w:rPr>
        <w:t>la signifie que l</w:t>
      </w:r>
      <w:r w:rsidR="00B12926">
        <w:rPr>
          <w:szCs w:val="22"/>
          <w:lang w:val="fr-FR"/>
        </w:rPr>
        <w:t>’</w:t>
      </w:r>
      <w:r w:rsidRPr="00F260A3">
        <w:rPr>
          <w:szCs w:val="22"/>
          <w:lang w:val="fr-FR"/>
        </w:rPr>
        <w:t>exigence de divulgation ne doit pas mener à des obligations irréalisables pour les déposants de demandes de brevet ou dont la réalisation suppose des efforts et une durée déraisonnables, et qui entraveraient de ce fait l</w:t>
      </w:r>
      <w:r w:rsidR="00B12926">
        <w:rPr>
          <w:szCs w:val="22"/>
          <w:lang w:val="fr-FR"/>
        </w:rPr>
        <w:t>’</w:t>
      </w:r>
      <w:r w:rsidRPr="00F260A3">
        <w:rPr>
          <w:szCs w:val="22"/>
          <w:lang w:val="fr-FR"/>
        </w:rPr>
        <w:t>innovation fondée sur les ressources génétiques et les savoirs traditionnels connexes.</w:t>
      </w:r>
    </w:p>
    <w:p w14:paraId="5E263F94" w14:textId="77777777" w:rsidR="00F00174" w:rsidRPr="00F260A3" w:rsidRDefault="00F00174" w:rsidP="00C96FD6">
      <w:pPr>
        <w:spacing w:after="220"/>
        <w:rPr>
          <w:i/>
          <w:szCs w:val="22"/>
          <w:lang w:val="fr-FR"/>
        </w:rPr>
      </w:pPr>
      <w:r w:rsidRPr="00F260A3">
        <w:rPr>
          <w:i/>
          <w:szCs w:val="22"/>
          <w:lang w:val="fr-FR"/>
        </w:rPr>
        <w:t>Élément déclencheur</w:t>
      </w:r>
    </w:p>
    <w:p w14:paraId="7C61EF66" w14:textId="1DCB0AC8" w:rsidR="00F00174" w:rsidRPr="00F260A3" w:rsidRDefault="00F00174" w:rsidP="00C96FD6">
      <w:pPr>
        <w:spacing w:after="220"/>
        <w:rPr>
          <w:szCs w:val="22"/>
          <w:lang w:val="fr-FR"/>
        </w:rPr>
      </w:pPr>
      <w:r w:rsidRPr="00F260A3">
        <w:rPr>
          <w:szCs w:val="22"/>
          <w:lang w:val="fr-FR"/>
        </w:rPr>
        <w:t>3.</w:t>
      </w:r>
      <w:r w:rsidRPr="00F260A3">
        <w:rPr>
          <w:szCs w:val="22"/>
          <w:lang w:val="fr-FR"/>
        </w:rPr>
        <w:tab/>
        <w:t>Les alinéas 3.1 et</w:t>
      </w:r>
      <w:r>
        <w:rPr>
          <w:szCs w:val="22"/>
          <w:lang w:val="fr-FR"/>
        </w:rPr>
        <w:t> </w:t>
      </w:r>
      <w:r w:rsidRPr="00F260A3">
        <w:rPr>
          <w:szCs w:val="22"/>
          <w:lang w:val="fr-FR"/>
        </w:rPr>
        <w:t>3.2 précisent la relation entre l</w:t>
      </w:r>
      <w:r w:rsidR="00B12926">
        <w:rPr>
          <w:szCs w:val="22"/>
          <w:lang w:val="fr-FR"/>
        </w:rPr>
        <w:t>’</w:t>
      </w:r>
      <w:r w:rsidRPr="00F260A3">
        <w:rPr>
          <w:szCs w:val="22"/>
          <w:lang w:val="fr-FR"/>
        </w:rPr>
        <w:t>invention revendiquée et les ressources génétiques et les savoirs traditionnels connexes qui active l</w:t>
      </w:r>
      <w:r w:rsidR="00B12926">
        <w:rPr>
          <w:szCs w:val="22"/>
          <w:lang w:val="fr-FR"/>
        </w:rPr>
        <w:t>’</w:t>
      </w:r>
      <w:r w:rsidRPr="00F260A3">
        <w:rPr>
          <w:szCs w:val="22"/>
          <w:lang w:val="fr-FR"/>
        </w:rPr>
        <w:t>obligation de divulgati</w:t>
      </w:r>
      <w:r w:rsidR="004D4B77" w:rsidRPr="00F260A3">
        <w:rPr>
          <w:szCs w:val="22"/>
          <w:lang w:val="fr-FR"/>
        </w:rPr>
        <w:t>on</w:t>
      </w:r>
      <w:r w:rsidR="004D4B77">
        <w:rPr>
          <w:szCs w:val="22"/>
          <w:lang w:val="fr-FR"/>
        </w:rPr>
        <w:t xml:space="preserve">.  </w:t>
      </w:r>
      <w:r w:rsidR="004D4B77" w:rsidRPr="00F260A3">
        <w:rPr>
          <w:szCs w:val="22"/>
          <w:lang w:val="fr-FR"/>
        </w:rPr>
        <w:t>Ce</w:t>
      </w:r>
      <w:r w:rsidRPr="00F260A3">
        <w:rPr>
          <w:szCs w:val="22"/>
          <w:lang w:val="fr-FR"/>
        </w:rPr>
        <w:t>s alinéas imposent par conséquent que l</w:t>
      </w:r>
      <w:r w:rsidR="00B12926">
        <w:rPr>
          <w:szCs w:val="22"/>
          <w:lang w:val="fr-FR"/>
        </w:rPr>
        <w:t>’</w:t>
      </w:r>
      <w:r w:rsidRPr="00F260A3">
        <w:rPr>
          <w:szCs w:val="22"/>
          <w:lang w:val="fr-FR"/>
        </w:rPr>
        <w:t>invention soit “</w:t>
      </w:r>
      <w:r w:rsidRPr="00F260A3">
        <w:rPr>
          <w:i/>
          <w:iCs/>
          <w:szCs w:val="22"/>
          <w:lang w:val="fr-FR"/>
        </w:rPr>
        <w:t>sensiblement/directement fondée sur</w:t>
      </w:r>
      <w:r w:rsidRPr="00F260A3">
        <w:rPr>
          <w:szCs w:val="22"/>
          <w:lang w:val="fr-FR"/>
        </w:rPr>
        <w:t>” une ou plusieurs ressources génétiques et savoirs traditionnels connexes.</w:t>
      </w:r>
    </w:p>
    <w:p w14:paraId="542A05B4" w14:textId="15294739" w:rsidR="00F00174" w:rsidRPr="00F260A3" w:rsidRDefault="00F00174" w:rsidP="00C96FD6">
      <w:pPr>
        <w:spacing w:after="220"/>
        <w:rPr>
          <w:szCs w:val="22"/>
          <w:lang w:val="fr-FR"/>
        </w:rPr>
      </w:pPr>
      <w:r w:rsidRPr="00F260A3">
        <w:rPr>
          <w:szCs w:val="22"/>
          <w:lang w:val="fr-FR"/>
        </w:rPr>
        <w:t>4.</w:t>
      </w:r>
      <w:r w:rsidRPr="00F260A3">
        <w:rPr>
          <w:szCs w:val="22"/>
          <w:lang w:val="fr-FR"/>
        </w:rPr>
        <w:tab/>
        <w:t>S</w:t>
      </w:r>
      <w:r w:rsidR="00B12926">
        <w:rPr>
          <w:szCs w:val="22"/>
          <w:lang w:val="fr-FR"/>
        </w:rPr>
        <w:t>’</w:t>
      </w:r>
      <w:r w:rsidRPr="00F260A3">
        <w:rPr>
          <w:szCs w:val="22"/>
          <w:lang w:val="fr-FR"/>
        </w:rPr>
        <w:t>agissant de ressources génétiques, l</w:t>
      </w:r>
      <w:r w:rsidR="00B12926">
        <w:rPr>
          <w:szCs w:val="22"/>
          <w:lang w:val="fr-FR"/>
        </w:rPr>
        <w:t>’</w:t>
      </w:r>
      <w:r w:rsidRPr="00F260A3">
        <w:rPr>
          <w:szCs w:val="22"/>
          <w:lang w:val="fr-FR"/>
        </w:rPr>
        <w:t>expression “</w:t>
      </w:r>
      <w:r w:rsidRPr="00F260A3">
        <w:rPr>
          <w:i/>
          <w:iCs/>
          <w:szCs w:val="22"/>
          <w:lang w:val="fr-FR"/>
        </w:rPr>
        <w:t>sensiblement/directement fondé sur</w:t>
      </w:r>
      <w:r w:rsidRPr="00F260A3">
        <w:rPr>
          <w:szCs w:val="22"/>
          <w:lang w:val="fr-FR"/>
        </w:rPr>
        <w:t>” précise que l</w:t>
      </w:r>
      <w:r w:rsidR="00B12926">
        <w:rPr>
          <w:szCs w:val="22"/>
          <w:lang w:val="fr-FR"/>
        </w:rPr>
        <w:t>’</w:t>
      </w:r>
      <w:r w:rsidRPr="00F260A3">
        <w:rPr>
          <w:szCs w:val="22"/>
          <w:lang w:val="fr-FR"/>
        </w:rPr>
        <w:t>objet qui déclenche la divulgation est une ressource génétique qui s</w:t>
      </w:r>
      <w:r w:rsidR="00B12926">
        <w:rPr>
          <w:szCs w:val="22"/>
          <w:lang w:val="fr-FR"/>
        </w:rPr>
        <w:t>’</w:t>
      </w:r>
      <w:r w:rsidRPr="00F260A3">
        <w:rPr>
          <w:szCs w:val="22"/>
          <w:lang w:val="fr-FR"/>
        </w:rPr>
        <w:t>est avérée nécessaire ou importante pour la mise au point de l</w:t>
      </w:r>
      <w:r w:rsidR="00B12926">
        <w:rPr>
          <w:szCs w:val="22"/>
          <w:lang w:val="fr-FR"/>
        </w:rPr>
        <w:t>’</w:t>
      </w:r>
      <w:r w:rsidRPr="00F260A3">
        <w:rPr>
          <w:szCs w:val="22"/>
          <w:lang w:val="fr-FR"/>
        </w:rPr>
        <w:t>invention revendiqu</w:t>
      </w:r>
      <w:r w:rsidR="004D4B77" w:rsidRPr="00F260A3">
        <w:rPr>
          <w:szCs w:val="22"/>
          <w:lang w:val="fr-FR"/>
        </w:rPr>
        <w:t>ée</w:t>
      </w:r>
      <w:r w:rsidR="004D4B77">
        <w:rPr>
          <w:szCs w:val="22"/>
          <w:lang w:val="fr-FR"/>
        </w:rPr>
        <w:t xml:space="preserve">.  </w:t>
      </w:r>
      <w:r w:rsidR="004D4B77" w:rsidRPr="00F260A3">
        <w:rPr>
          <w:szCs w:val="22"/>
          <w:lang w:val="fr-FR"/>
        </w:rPr>
        <w:t>L</w:t>
      </w:r>
      <w:r w:rsidR="004D4B77">
        <w:rPr>
          <w:szCs w:val="22"/>
          <w:lang w:val="fr-FR"/>
        </w:rPr>
        <w:t>’</w:t>
      </w:r>
      <w:r w:rsidR="004D4B77" w:rsidRPr="00F260A3">
        <w:rPr>
          <w:szCs w:val="22"/>
          <w:lang w:val="fr-FR"/>
        </w:rPr>
        <w:t>e</w:t>
      </w:r>
      <w:r w:rsidRPr="00F260A3">
        <w:rPr>
          <w:szCs w:val="22"/>
          <w:lang w:val="fr-FR"/>
        </w:rPr>
        <w:t>xpression “fondé sur” englobe toutes ressources génétiques qui sont intervenues dans la mise au point de l</w:t>
      </w:r>
      <w:r w:rsidR="00B12926">
        <w:rPr>
          <w:szCs w:val="22"/>
          <w:lang w:val="fr-FR"/>
        </w:rPr>
        <w:t>’</w:t>
      </w:r>
      <w:r w:rsidRPr="00F260A3">
        <w:rPr>
          <w:szCs w:val="22"/>
          <w:lang w:val="fr-FR"/>
        </w:rPr>
        <w:t>inventi</w:t>
      </w:r>
      <w:r w:rsidR="004D4B77" w:rsidRPr="00F260A3">
        <w:rPr>
          <w:szCs w:val="22"/>
          <w:lang w:val="fr-FR"/>
        </w:rPr>
        <w:t>on</w:t>
      </w:r>
      <w:r w:rsidR="004D4B77">
        <w:rPr>
          <w:szCs w:val="22"/>
          <w:lang w:val="fr-FR"/>
        </w:rPr>
        <w:t xml:space="preserve">.  </w:t>
      </w:r>
      <w:r w:rsidR="004D4B77" w:rsidRPr="00F260A3">
        <w:rPr>
          <w:szCs w:val="22"/>
          <w:lang w:val="fr-FR"/>
        </w:rPr>
        <w:t>L</w:t>
      </w:r>
      <w:r w:rsidR="004D4B77">
        <w:rPr>
          <w:szCs w:val="22"/>
          <w:lang w:val="fr-FR"/>
        </w:rPr>
        <w:t>’</w:t>
      </w:r>
      <w:r w:rsidR="004D4B77" w:rsidRPr="00F260A3">
        <w:rPr>
          <w:szCs w:val="22"/>
          <w:lang w:val="fr-FR"/>
        </w:rPr>
        <w:t>e</w:t>
      </w:r>
      <w:r w:rsidRPr="00F260A3">
        <w:rPr>
          <w:szCs w:val="22"/>
          <w:lang w:val="fr-FR"/>
        </w:rPr>
        <w:t>xpression “</w:t>
      </w:r>
      <w:r w:rsidRPr="00F260A3">
        <w:rPr>
          <w:i/>
          <w:iCs/>
          <w:szCs w:val="22"/>
          <w:lang w:val="fr-FR"/>
        </w:rPr>
        <w:t>sensiblement/directement</w:t>
      </w:r>
      <w:r w:rsidRPr="00F260A3">
        <w:rPr>
          <w:szCs w:val="22"/>
          <w:lang w:val="fr-FR"/>
        </w:rPr>
        <w:t>” indique qu</w:t>
      </w:r>
      <w:r w:rsidR="00B12926">
        <w:rPr>
          <w:szCs w:val="22"/>
          <w:lang w:val="fr-FR"/>
        </w:rPr>
        <w:t>’</w:t>
      </w:r>
      <w:r w:rsidRPr="00F260A3">
        <w:rPr>
          <w:szCs w:val="22"/>
          <w:lang w:val="fr-FR"/>
        </w:rPr>
        <w:t>il doit y avoir un lien de causalité entre l</w:t>
      </w:r>
      <w:r w:rsidR="00B12926">
        <w:rPr>
          <w:szCs w:val="22"/>
          <w:lang w:val="fr-FR"/>
        </w:rPr>
        <w:t>’</w:t>
      </w:r>
      <w:r w:rsidRPr="00F260A3">
        <w:rPr>
          <w:szCs w:val="22"/>
          <w:lang w:val="fr-FR"/>
        </w:rPr>
        <w:t>invention et les ressources génétiqu</w:t>
      </w:r>
      <w:r w:rsidR="004D4B77" w:rsidRPr="00F260A3">
        <w:rPr>
          <w:szCs w:val="22"/>
          <w:lang w:val="fr-FR"/>
        </w:rPr>
        <w:t>es</w:t>
      </w:r>
      <w:r w:rsidR="004D4B77">
        <w:rPr>
          <w:szCs w:val="22"/>
          <w:lang w:val="fr-FR"/>
        </w:rPr>
        <w:t xml:space="preserve">.  </w:t>
      </w:r>
      <w:r w:rsidR="004D4B77" w:rsidRPr="00F260A3">
        <w:rPr>
          <w:szCs w:val="22"/>
          <w:lang w:val="fr-FR"/>
        </w:rPr>
        <w:t>En</w:t>
      </w:r>
      <w:r w:rsidRPr="00F260A3">
        <w:rPr>
          <w:szCs w:val="22"/>
          <w:lang w:val="fr-FR"/>
        </w:rPr>
        <w:t xml:space="preserve"> termes pratiques, cela signifie que seules les ressources génétiques sans lesquelles l</w:t>
      </w:r>
      <w:r w:rsidR="00B12926">
        <w:rPr>
          <w:szCs w:val="22"/>
          <w:lang w:val="fr-FR"/>
        </w:rPr>
        <w:t>’</w:t>
      </w:r>
      <w:r w:rsidRPr="00F260A3">
        <w:rPr>
          <w:szCs w:val="22"/>
          <w:lang w:val="fr-FR"/>
        </w:rPr>
        <w:t>invention n</w:t>
      </w:r>
      <w:r w:rsidR="00B12926">
        <w:rPr>
          <w:szCs w:val="22"/>
          <w:lang w:val="fr-FR"/>
        </w:rPr>
        <w:t>’</w:t>
      </w:r>
      <w:r w:rsidRPr="00F260A3">
        <w:rPr>
          <w:szCs w:val="22"/>
          <w:lang w:val="fr-FR"/>
        </w:rPr>
        <w:t>aurait pas été possible doivent être divulgué</w:t>
      </w:r>
      <w:r w:rsidR="004D4B77" w:rsidRPr="00F260A3">
        <w:rPr>
          <w:szCs w:val="22"/>
          <w:lang w:val="fr-FR"/>
        </w:rPr>
        <w:t>es</w:t>
      </w:r>
      <w:r w:rsidR="004D4B77">
        <w:rPr>
          <w:szCs w:val="22"/>
          <w:lang w:val="fr-FR"/>
        </w:rPr>
        <w:t xml:space="preserve">.  </w:t>
      </w:r>
      <w:r w:rsidR="004D4B77" w:rsidRPr="00F260A3">
        <w:rPr>
          <w:szCs w:val="22"/>
          <w:lang w:val="fr-FR"/>
        </w:rPr>
        <w:t>Le</w:t>
      </w:r>
      <w:r w:rsidRPr="00F260A3">
        <w:rPr>
          <w:szCs w:val="22"/>
          <w:lang w:val="fr-FR"/>
        </w:rPr>
        <w:t>s ressources génétiques qui interviennent dans la mise au point de l</w:t>
      </w:r>
      <w:r w:rsidR="00B12926">
        <w:rPr>
          <w:szCs w:val="22"/>
          <w:lang w:val="fr-FR"/>
        </w:rPr>
        <w:t>’</w:t>
      </w:r>
      <w:r w:rsidRPr="00F260A3">
        <w:rPr>
          <w:szCs w:val="22"/>
          <w:lang w:val="fr-FR"/>
        </w:rPr>
        <w:t>invention mais ne sont pas essentielles à l</w:t>
      </w:r>
      <w:r w:rsidR="00B12926">
        <w:rPr>
          <w:szCs w:val="22"/>
          <w:lang w:val="fr-FR"/>
        </w:rPr>
        <w:t>’</w:t>
      </w:r>
      <w:r w:rsidRPr="00F260A3">
        <w:rPr>
          <w:szCs w:val="22"/>
          <w:lang w:val="fr-FR"/>
        </w:rPr>
        <w:t>invention revendiquée ne doivent pas déclencher l</w:t>
      </w:r>
      <w:r w:rsidR="00B12926">
        <w:rPr>
          <w:szCs w:val="22"/>
          <w:lang w:val="fr-FR"/>
        </w:rPr>
        <w:t>’</w:t>
      </w:r>
      <w:r w:rsidRPr="00F260A3">
        <w:rPr>
          <w:szCs w:val="22"/>
          <w:lang w:val="fr-FR"/>
        </w:rPr>
        <w:t>obligation de divulgati</w:t>
      </w:r>
      <w:r w:rsidR="004D4B77" w:rsidRPr="00F260A3">
        <w:rPr>
          <w:szCs w:val="22"/>
          <w:lang w:val="fr-FR"/>
        </w:rPr>
        <w:t>on</w:t>
      </w:r>
      <w:r w:rsidR="004D4B77">
        <w:rPr>
          <w:szCs w:val="22"/>
          <w:lang w:val="fr-FR"/>
        </w:rPr>
        <w:t xml:space="preserve">.  </w:t>
      </w:r>
      <w:r w:rsidR="004D4B77" w:rsidRPr="00F260A3">
        <w:rPr>
          <w:szCs w:val="22"/>
          <w:lang w:val="fr-FR"/>
        </w:rPr>
        <w:t>Ce</w:t>
      </w:r>
      <w:r w:rsidRPr="00F260A3">
        <w:rPr>
          <w:szCs w:val="22"/>
          <w:lang w:val="fr-FR"/>
        </w:rPr>
        <w:t>la vaut en particulier pour les outils de recherche comme les animaux et plantes de laboratoire, les levures, les bactéries, les plasmides et les vecteurs viraux, qui, s</w:t>
      </w:r>
      <w:r w:rsidR="00B12926">
        <w:rPr>
          <w:szCs w:val="22"/>
          <w:lang w:val="fr-FR"/>
        </w:rPr>
        <w:t>’</w:t>
      </w:r>
      <w:r w:rsidRPr="00F260A3">
        <w:rPr>
          <w:szCs w:val="22"/>
          <w:lang w:val="fr-FR"/>
        </w:rPr>
        <w:t>ils constituent techniquement des ressources génétiques, sont souvent des fournitures standard disponibles auprès de fournisseurs commerciaux et ne font pas partie de l</w:t>
      </w:r>
      <w:r w:rsidR="00B12926">
        <w:rPr>
          <w:szCs w:val="22"/>
          <w:lang w:val="fr-FR"/>
        </w:rPr>
        <w:t>’</w:t>
      </w:r>
      <w:r w:rsidRPr="00F260A3">
        <w:rPr>
          <w:szCs w:val="22"/>
          <w:lang w:val="fr-FR"/>
        </w:rPr>
        <w:t>invention revendiquée, et qu</w:t>
      </w:r>
      <w:r w:rsidR="00B12926">
        <w:rPr>
          <w:szCs w:val="22"/>
          <w:lang w:val="fr-FR"/>
        </w:rPr>
        <w:t>’</w:t>
      </w:r>
      <w:r w:rsidRPr="00F260A3">
        <w:rPr>
          <w:szCs w:val="22"/>
          <w:lang w:val="fr-FR"/>
        </w:rPr>
        <w:t>il n</w:t>
      </w:r>
      <w:r w:rsidR="00B12926">
        <w:rPr>
          <w:szCs w:val="22"/>
          <w:lang w:val="fr-FR"/>
        </w:rPr>
        <w:t>’</w:t>
      </w:r>
      <w:r w:rsidRPr="00F260A3">
        <w:rPr>
          <w:szCs w:val="22"/>
          <w:lang w:val="fr-FR"/>
        </w:rPr>
        <w:t>est dès lors pas nécessaire de divulguer.</w:t>
      </w:r>
    </w:p>
    <w:p w14:paraId="6B29A8B9" w14:textId="59401DBF" w:rsidR="00F00174" w:rsidRPr="00F260A3" w:rsidRDefault="00F00174" w:rsidP="00C96FD6">
      <w:pPr>
        <w:spacing w:after="220"/>
        <w:rPr>
          <w:szCs w:val="22"/>
          <w:lang w:val="fr-FR"/>
        </w:rPr>
      </w:pPr>
      <w:r w:rsidRPr="00F260A3">
        <w:rPr>
          <w:szCs w:val="22"/>
          <w:lang w:val="fr-FR"/>
        </w:rPr>
        <w:t>5.</w:t>
      </w:r>
      <w:r w:rsidRPr="00F260A3">
        <w:rPr>
          <w:szCs w:val="22"/>
          <w:lang w:val="fr-FR"/>
        </w:rPr>
        <w:tab/>
        <w:t>S</w:t>
      </w:r>
      <w:r w:rsidR="00B12926">
        <w:rPr>
          <w:szCs w:val="22"/>
          <w:lang w:val="fr-FR"/>
        </w:rPr>
        <w:t>’</w:t>
      </w:r>
      <w:r w:rsidRPr="00F260A3">
        <w:rPr>
          <w:szCs w:val="22"/>
          <w:lang w:val="fr-FR"/>
        </w:rPr>
        <w:t>agissant de savoirs traditionnels connexes, “</w:t>
      </w:r>
      <w:r w:rsidRPr="00F260A3">
        <w:rPr>
          <w:i/>
          <w:iCs/>
          <w:szCs w:val="22"/>
          <w:lang w:val="fr-FR"/>
        </w:rPr>
        <w:t>sensiblement/directement fondé sur</w:t>
      </w:r>
      <w:r w:rsidRPr="00F260A3">
        <w:rPr>
          <w:szCs w:val="22"/>
          <w:lang w:val="fr-FR"/>
        </w:rPr>
        <w:t>” signifie que l</w:t>
      </w:r>
      <w:r w:rsidR="00B12926">
        <w:rPr>
          <w:szCs w:val="22"/>
          <w:lang w:val="fr-FR"/>
        </w:rPr>
        <w:t>’</w:t>
      </w:r>
      <w:r w:rsidRPr="00F260A3">
        <w:rPr>
          <w:szCs w:val="22"/>
          <w:lang w:val="fr-FR"/>
        </w:rPr>
        <w:t>inventeur doit avoir utilisé les savoirs traditionnels lors de la mise au point de l</w:t>
      </w:r>
      <w:r w:rsidR="00B12926">
        <w:rPr>
          <w:szCs w:val="22"/>
          <w:lang w:val="fr-FR"/>
        </w:rPr>
        <w:t>’</w:t>
      </w:r>
      <w:r w:rsidRPr="00F260A3">
        <w:rPr>
          <w:szCs w:val="22"/>
          <w:lang w:val="fr-FR"/>
        </w:rPr>
        <w:t>invention revendiquée et que celle</w:t>
      </w:r>
      <w:r w:rsidR="00C96FD6">
        <w:rPr>
          <w:szCs w:val="22"/>
          <w:lang w:val="fr-FR"/>
        </w:rPr>
        <w:noBreakHyphen/>
      </w:r>
      <w:r w:rsidRPr="00F260A3">
        <w:rPr>
          <w:szCs w:val="22"/>
          <w:lang w:val="fr-FR"/>
        </w:rPr>
        <w:t>ci doit dépendre de ces savoirs.</w:t>
      </w:r>
    </w:p>
    <w:p w14:paraId="383AB559" w14:textId="77777777" w:rsidR="00F00174" w:rsidRPr="00F260A3" w:rsidRDefault="00F00174" w:rsidP="00C96FD6">
      <w:pPr>
        <w:spacing w:after="220"/>
        <w:rPr>
          <w:i/>
          <w:szCs w:val="22"/>
          <w:lang w:val="fr-FR"/>
        </w:rPr>
      </w:pPr>
      <w:r w:rsidRPr="00F260A3">
        <w:rPr>
          <w:i/>
          <w:szCs w:val="22"/>
          <w:lang w:val="fr-FR"/>
        </w:rPr>
        <w:t>Contenu de la divulgation</w:t>
      </w:r>
    </w:p>
    <w:p w14:paraId="3F4BDFCA" w14:textId="2F403442" w:rsidR="00F00174" w:rsidRPr="00F260A3" w:rsidRDefault="00F00174" w:rsidP="00C96FD6">
      <w:pPr>
        <w:spacing w:after="220"/>
        <w:rPr>
          <w:szCs w:val="22"/>
          <w:lang w:val="fr-FR"/>
        </w:rPr>
      </w:pPr>
      <w:r w:rsidRPr="00F260A3">
        <w:rPr>
          <w:szCs w:val="22"/>
          <w:lang w:val="fr-FR"/>
        </w:rPr>
        <w:t>6.</w:t>
      </w:r>
      <w:r w:rsidRPr="00F260A3">
        <w:rPr>
          <w:szCs w:val="22"/>
          <w:lang w:val="fr-FR"/>
        </w:rPr>
        <w:tab/>
        <w:t>Suivant les circonstances précises, l</w:t>
      </w:r>
      <w:r w:rsidR="00B12926">
        <w:rPr>
          <w:szCs w:val="22"/>
          <w:lang w:val="fr-FR"/>
        </w:rPr>
        <w:t>’</w:t>
      </w:r>
      <w:r w:rsidRPr="00F260A3">
        <w:rPr>
          <w:szCs w:val="22"/>
          <w:lang w:val="fr-FR"/>
        </w:rPr>
        <w:t>article 3 impose la divulgation de différentes informations dans les demandes de brevet</w:t>
      </w:r>
      <w:r w:rsidR="00B12926">
        <w:rPr>
          <w:szCs w:val="22"/>
          <w:lang w:val="fr-FR"/>
        </w:rPr>
        <w:t> :</w:t>
      </w:r>
    </w:p>
    <w:p w14:paraId="5CD514A9" w14:textId="77777777" w:rsidR="00F00174" w:rsidRPr="00F260A3" w:rsidRDefault="00F00174" w:rsidP="00C96FD6">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Les alinéas 3.1 et</w:t>
      </w:r>
      <w:r>
        <w:rPr>
          <w:rFonts w:ascii="Arial" w:hAnsi="Arial" w:cs="Arial"/>
          <w:lang w:val="fr-FR"/>
        </w:rPr>
        <w:t> </w:t>
      </w:r>
      <w:r w:rsidRPr="00F260A3">
        <w:rPr>
          <w:rFonts w:ascii="Arial" w:hAnsi="Arial" w:cs="Arial"/>
          <w:lang w:val="fr-FR"/>
        </w:rPr>
        <w:t>3.2 précisent les informations à divulguer, le cas échéant et si le déposant les connaît.</w:t>
      </w:r>
    </w:p>
    <w:p w14:paraId="75866DC9" w14:textId="54CA08F6" w:rsidR="00F00174" w:rsidRPr="00F260A3" w:rsidRDefault="00F00174" w:rsidP="00C96FD6">
      <w:pPr>
        <w:spacing w:after="220"/>
        <w:ind w:left="1134"/>
        <w:rPr>
          <w:szCs w:val="22"/>
          <w:lang w:val="fr-FR"/>
        </w:rPr>
      </w:pPr>
      <w:r w:rsidRPr="00F260A3">
        <w:rPr>
          <w:i/>
          <w:iCs/>
          <w:szCs w:val="22"/>
          <w:lang w:val="fr-FR"/>
        </w:rPr>
        <w:t>S</w:t>
      </w:r>
      <w:r w:rsidR="00B12926">
        <w:rPr>
          <w:i/>
          <w:iCs/>
          <w:szCs w:val="22"/>
          <w:lang w:val="fr-FR"/>
        </w:rPr>
        <w:t>’</w:t>
      </w:r>
      <w:r w:rsidRPr="00F260A3">
        <w:rPr>
          <w:i/>
          <w:iCs/>
          <w:szCs w:val="22"/>
          <w:lang w:val="fr-FR"/>
        </w:rPr>
        <w:t>agissant de ressources génétiques (alinéa 3.1)</w:t>
      </w:r>
      <w:r w:rsidRPr="00F260A3">
        <w:rPr>
          <w:szCs w:val="22"/>
          <w:lang w:val="fr-FR"/>
        </w:rPr>
        <w:t>, une partie contractante exige du déposant d</w:t>
      </w:r>
      <w:r w:rsidR="00B12926">
        <w:rPr>
          <w:szCs w:val="22"/>
          <w:lang w:val="fr-FR"/>
        </w:rPr>
        <w:t>’</w:t>
      </w:r>
      <w:r w:rsidRPr="00F260A3">
        <w:rPr>
          <w:szCs w:val="22"/>
          <w:lang w:val="fr-FR"/>
        </w:rPr>
        <w:t>une demande de brevet qu</w:t>
      </w:r>
      <w:r w:rsidR="00B12926">
        <w:rPr>
          <w:szCs w:val="22"/>
          <w:lang w:val="fr-FR"/>
        </w:rPr>
        <w:t>’</w:t>
      </w:r>
      <w:r w:rsidRPr="00F260A3">
        <w:rPr>
          <w:szCs w:val="22"/>
          <w:lang w:val="fr-FR"/>
        </w:rPr>
        <w:t>il divulgue leur pays d</w:t>
      </w:r>
      <w:r w:rsidR="00B12926">
        <w:rPr>
          <w:szCs w:val="22"/>
          <w:lang w:val="fr-FR"/>
        </w:rPr>
        <w:t>’</w:t>
      </w:r>
      <w:r w:rsidRPr="00F260A3">
        <w:rPr>
          <w:szCs w:val="22"/>
          <w:lang w:val="fr-FR"/>
        </w:rPr>
        <w:t>origi</w:t>
      </w:r>
      <w:r w:rsidR="004D4B77" w:rsidRPr="00F260A3">
        <w:rPr>
          <w:szCs w:val="22"/>
          <w:lang w:val="fr-FR"/>
        </w:rPr>
        <w:t>ne</w:t>
      </w:r>
      <w:r w:rsidR="004D4B77">
        <w:rPr>
          <w:szCs w:val="22"/>
          <w:lang w:val="fr-FR"/>
        </w:rPr>
        <w:t xml:space="preserve">.  </w:t>
      </w:r>
      <w:r w:rsidR="004D4B77" w:rsidRPr="00F260A3">
        <w:rPr>
          <w:szCs w:val="22"/>
          <w:lang w:val="fr-FR"/>
        </w:rPr>
        <w:t>Af</w:t>
      </w:r>
      <w:r w:rsidRPr="00F260A3">
        <w:rPr>
          <w:szCs w:val="22"/>
          <w:lang w:val="fr-FR"/>
        </w:rPr>
        <w:t>in d</w:t>
      </w:r>
      <w:r w:rsidR="00B12926">
        <w:rPr>
          <w:szCs w:val="22"/>
          <w:lang w:val="fr-FR"/>
        </w:rPr>
        <w:t>’</w:t>
      </w:r>
      <w:r w:rsidRPr="00F260A3">
        <w:rPr>
          <w:szCs w:val="22"/>
          <w:lang w:val="fr-FR"/>
        </w:rPr>
        <w:t>assurer la complémentarité avec d</w:t>
      </w:r>
      <w:r w:rsidR="00B12926">
        <w:rPr>
          <w:szCs w:val="22"/>
          <w:lang w:val="fr-FR"/>
        </w:rPr>
        <w:t>’</w:t>
      </w:r>
      <w:r w:rsidRPr="00F260A3">
        <w:rPr>
          <w:szCs w:val="22"/>
          <w:lang w:val="fr-FR"/>
        </w:rPr>
        <w:t>autres instruments internationaux, conformément aux principes du présent instrument, le pays d</w:t>
      </w:r>
      <w:r w:rsidR="00B12926">
        <w:rPr>
          <w:szCs w:val="22"/>
          <w:lang w:val="fr-FR"/>
        </w:rPr>
        <w:t>’</w:t>
      </w:r>
      <w:r w:rsidRPr="00F260A3">
        <w:rPr>
          <w:szCs w:val="22"/>
          <w:lang w:val="fr-FR"/>
        </w:rPr>
        <w:t>origine doit s</w:t>
      </w:r>
      <w:r w:rsidR="00B12926">
        <w:rPr>
          <w:szCs w:val="22"/>
          <w:lang w:val="fr-FR"/>
        </w:rPr>
        <w:t>’</w:t>
      </w:r>
      <w:r w:rsidRPr="00F260A3">
        <w:rPr>
          <w:szCs w:val="22"/>
          <w:lang w:val="fr-FR"/>
        </w:rPr>
        <w:t>entendre selon la définition qu</w:t>
      </w:r>
      <w:r w:rsidR="00B12926">
        <w:rPr>
          <w:szCs w:val="22"/>
          <w:lang w:val="fr-FR"/>
        </w:rPr>
        <w:t>’</w:t>
      </w:r>
      <w:r w:rsidRPr="00F260A3">
        <w:rPr>
          <w:szCs w:val="22"/>
          <w:lang w:val="fr-FR"/>
        </w:rPr>
        <w:t xml:space="preserve">en donne la Convention sur la diversité biologique, </w:t>
      </w:r>
      <w:r w:rsidR="00B12926">
        <w:rPr>
          <w:szCs w:val="22"/>
          <w:lang w:val="fr-FR"/>
        </w:rPr>
        <w:t>à savoir</w:t>
      </w:r>
      <w:r w:rsidRPr="00F260A3">
        <w:rPr>
          <w:szCs w:val="22"/>
          <w:lang w:val="fr-FR"/>
        </w:rPr>
        <w:t xml:space="preserve"> le pays qui possède les ressources génétiques dans des conditions</w:t>
      </w:r>
      <w:r w:rsidRPr="00F260A3">
        <w:rPr>
          <w:i/>
          <w:iCs/>
          <w:szCs w:val="22"/>
          <w:lang w:val="fr-FR"/>
        </w:rPr>
        <w:t xml:space="preserve"> in si</w:t>
      </w:r>
      <w:r w:rsidR="004D4B77" w:rsidRPr="00F260A3">
        <w:rPr>
          <w:i/>
          <w:iCs/>
          <w:szCs w:val="22"/>
          <w:lang w:val="fr-FR"/>
        </w:rPr>
        <w:t>tu</w:t>
      </w:r>
      <w:r w:rsidR="004D4B77">
        <w:rPr>
          <w:i/>
          <w:iCs/>
          <w:szCs w:val="22"/>
          <w:lang w:val="fr-FR"/>
        </w:rPr>
        <w:t xml:space="preserve">.  </w:t>
      </w:r>
      <w:r w:rsidR="004D4B77" w:rsidRPr="00F260A3">
        <w:rPr>
          <w:szCs w:val="22"/>
          <w:lang w:val="fr-FR"/>
        </w:rPr>
        <w:t>Ce</w:t>
      </w:r>
      <w:r w:rsidRPr="00F260A3">
        <w:rPr>
          <w:szCs w:val="22"/>
          <w:lang w:val="fr-FR"/>
        </w:rPr>
        <w:t xml:space="preserve">pendant, nombre de ressources génétiques sont présentes </w:t>
      </w:r>
      <w:r w:rsidRPr="00F260A3">
        <w:rPr>
          <w:i/>
          <w:iCs/>
          <w:szCs w:val="22"/>
          <w:lang w:val="fr-FR"/>
        </w:rPr>
        <w:t>in situ</w:t>
      </w:r>
      <w:r w:rsidRPr="00F260A3">
        <w:rPr>
          <w:szCs w:val="22"/>
          <w:lang w:val="fr-FR"/>
        </w:rPr>
        <w:t xml:space="preserve"> dans plusieurs pa</w:t>
      </w:r>
      <w:r w:rsidR="004D4B77" w:rsidRPr="00F260A3">
        <w:rPr>
          <w:szCs w:val="22"/>
          <w:lang w:val="fr-FR"/>
        </w:rPr>
        <w:t>ys</w:t>
      </w:r>
      <w:r w:rsidR="004D4B77">
        <w:rPr>
          <w:szCs w:val="22"/>
          <w:lang w:val="fr-FR"/>
        </w:rPr>
        <w:t xml:space="preserve">.  </w:t>
      </w:r>
      <w:r w:rsidR="004D4B77" w:rsidRPr="00F260A3">
        <w:rPr>
          <w:szCs w:val="22"/>
          <w:lang w:val="fr-FR"/>
        </w:rPr>
        <w:t>Pa</w:t>
      </w:r>
      <w:r w:rsidRPr="00F260A3">
        <w:rPr>
          <w:szCs w:val="22"/>
          <w:lang w:val="fr-FR"/>
        </w:rPr>
        <w:t>r conséquent, il existe souvent plus d</w:t>
      </w:r>
      <w:r w:rsidR="00B12926">
        <w:rPr>
          <w:szCs w:val="22"/>
          <w:lang w:val="fr-FR"/>
        </w:rPr>
        <w:t>’</w:t>
      </w:r>
      <w:r w:rsidRPr="00F260A3">
        <w:rPr>
          <w:szCs w:val="22"/>
          <w:lang w:val="fr-FR"/>
        </w:rPr>
        <w:t>un pays d</w:t>
      </w:r>
      <w:r w:rsidR="00B12926">
        <w:rPr>
          <w:szCs w:val="22"/>
          <w:lang w:val="fr-FR"/>
        </w:rPr>
        <w:t>’</w:t>
      </w:r>
      <w:r w:rsidRPr="00F260A3">
        <w:rPr>
          <w:szCs w:val="22"/>
          <w:lang w:val="fr-FR"/>
        </w:rPr>
        <w:t>origine pour une ressource génétique donn</w:t>
      </w:r>
      <w:r w:rsidR="004D4B77" w:rsidRPr="00F260A3">
        <w:rPr>
          <w:szCs w:val="22"/>
          <w:lang w:val="fr-FR"/>
        </w:rPr>
        <w:t>ée</w:t>
      </w:r>
      <w:r w:rsidR="004D4B77">
        <w:rPr>
          <w:szCs w:val="22"/>
          <w:lang w:val="fr-FR"/>
        </w:rPr>
        <w:t xml:space="preserve">.  </w:t>
      </w:r>
      <w:r w:rsidR="004D4B77" w:rsidRPr="00F260A3">
        <w:rPr>
          <w:szCs w:val="22"/>
          <w:lang w:val="fr-FR"/>
        </w:rPr>
        <w:t>Au</w:t>
      </w:r>
      <w:r w:rsidRPr="00F260A3">
        <w:rPr>
          <w:szCs w:val="22"/>
          <w:lang w:val="fr-FR"/>
        </w:rPr>
        <w:t xml:space="preserve"> titre de l</w:t>
      </w:r>
      <w:r w:rsidR="00B12926">
        <w:rPr>
          <w:szCs w:val="22"/>
          <w:lang w:val="fr-FR"/>
        </w:rPr>
        <w:t>’</w:t>
      </w:r>
      <w:r w:rsidRPr="00F260A3">
        <w:rPr>
          <w:szCs w:val="22"/>
          <w:lang w:val="fr-FR"/>
        </w:rPr>
        <w:t>alinéa 3.1.a), néanmoins, c</w:t>
      </w:r>
      <w:r w:rsidR="00B12926">
        <w:rPr>
          <w:szCs w:val="22"/>
          <w:lang w:val="fr-FR"/>
        </w:rPr>
        <w:t>’</w:t>
      </w:r>
      <w:r w:rsidRPr="00F260A3">
        <w:rPr>
          <w:szCs w:val="22"/>
          <w:lang w:val="fr-FR"/>
        </w:rPr>
        <w:t>est le pays d</w:t>
      </w:r>
      <w:r w:rsidR="00B12926">
        <w:rPr>
          <w:szCs w:val="22"/>
          <w:lang w:val="fr-FR"/>
        </w:rPr>
        <w:t>’</w:t>
      </w:r>
      <w:r w:rsidRPr="00F260A3">
        <w:rPr>
          <w:szCs w:val="22"/>
          <w:lang w:val="fr-FR"/>
        </w:rPr>
        <w:t xml:space="preserve">origine de </w:t>
      </w:r>
      <w:r w:rsidRPr="00F260A3">
        <w:rPr>
          <w:szCs w:val="22"/>
          <w:u w:val="single"/>
          <w:lang w:val="fr-FR"/>
        </w:rPr>
        <w:t>la</w:t>
      </w:r>
      <w:r w:rsidRPr="00F260A3">
        <w:rPr>
          <w:szCs w:val="22"/>
          <w:lang w:val="fr-FR"/>
        </w:rPr>
        <w:t xml:space="preserve"> ressource génétique concernée (soulignage ajouté) qu</w:t>
      </w:r>
      <w:r w:rsidR="00B12926">
        <w:rPr>
          <w:szCs w:val="22"/>
          <w:lang w:val="fr-FR"/>
        </w:rPr>
        <w:t>’</w:t>
      </w:r>
      <w:r w:rsidRPr="00F260A3">
        <w:rPr>
          <w:szCs w:val="22"/>
          <w:lang w:val="fr-FR"/>
        </w:rPr>
        <w:t>il y a lieu de divulguer, c</w:t>
      </w:r>
      <w:r w:rsidR="00B12926">
        <w:rPr>
          <w:szCs w:val="22"/>
          <w:lang w:val="fr-FR"/>
        </w:rPr>
        <w:t>’</w:t>
      </w:r>
      <w:r w:rsidRPr="00F260A3">
        <w:rPr>
          <w:szCs w:val="22"/>
          <w:lang w:val="fr-FR"/>
        </w:rPr>
        <w:t>est</w:t>
      </w:r>
      <w:r w:rsidR="00C96FD6">
        <w:rPr>
          <w:szCs w:val="22"/>
          <w:lang w:val="fr-FR"/>
        </w:rPr>
        <w:noBreakHyphen/>
      </w:r>
      <w:r w:rsidRPr="00F260A3">
        <w:rPr>
          <w:szCs w:val="22"/>
          <w:lang w:val="fr-FR"/>
        </w:rPr>
        <w:t>à</w:t>
      </w:r>
      <w:r w:rsidR="00C96FD6">
        <w:rPr>
          <w:szCs w:val="22"/>
          <w:lang w:val="fr-FR"/>
        </w:rPr>
        <w:noBreakHyphen/>
      </w:r>
      <w:r w:rsidRPr="00F260A3">
        <w:rPr>
          <w:szCs w:val="22"/>
          <w:lang w:val="fr-FR"/>
        </w:rPr>
        <w:t>dire la ressource génétique sur laquelle l</w:t>
      </w:r>
      <w:r w:rsidR="00B12926">
        <w:rPr>
          <w:szCs w:val="22"/>
          <w:lang w:val="fr-FR"/>
        </w:rPr>
        <w:t>’</w:t>
      </w:r>
      <w:r w:rsidRPr="00F260A3">
        <w:rPr>
          <w:szCs w:val="22"/>
          <w:lang w:val="fr-FR"/>
        </w:rPr>
        <w:t>invention revendiquée est [</w:t>
      </w:r>
      <w:r w:rsidRPr="00F260A3">
        <w:rPr>
          <w:i/>
          <w:iCs/>
          <w:szCs w:val="22"/>
          <w:lang w:val="fr-FR"/>
        </w:rPr>
        <w:t>sensiblement/directement</w:t>
      </w:r>
      <w:r w:rsidRPr="00F260A3">
        <w:rPr>
          <w:szCs w:val="22"/>
          <w:lang w:val="fr-FR"/>
        </w:rPr>
        <w:t>] fondée, autrement dit le pays où cette ressource génétique a effectivement été obtenue (</w:t>
      </w:r>
      <w:r w:rsidRPr="00F260A3">
        <w:rPr>
          <w:szCs w:val="22"/>
          <w:shd w:val="clear" w:color="auto" w:fill="FFFFFF"/>
          <w:lang w:val="fr-FR"/>
        </w:rPr>
        <w:t>chaque ressource génétique ne pouvant provenir que d</w:t>
      </w:r>
      <w:r w:rsidR="00B12926">
        <w:rPr>
          <w:szCs w:val="22"/>
          <w:shd w:val="clear" w:color="auto" w:fill="FFFFFF"/>
          <w:lang w:val="fr-FR"/>
        </w:rPr>
        <w:t>’</w:t>
      </w:r>
      <w:r w:rsidRPr="00F260A3">
        <w:rPr>
          <w:szCs w:val="22"/>
          <w:shd w:val="clear" w:color="auto" w:fill="FFFFFF"/>
          <w:lang w:val="fr-FR"/>
        </w:rPr>
        <w:t>un seul pays)</w:t>
      </w:r>
      <w:r w:rsidRPr="00F260A3">
        <w:rPr>
          <w:szCs w:val="22"/>
          <w:lang w:val="fr-FR"/>
        </w:rPr>
        <w:t>.</w:t>
      </w:r>
    </w:p>
    <w:p w14:paraId="412EA26B" w14:textId="136B7CAD" w:rsidR="00F00174" w:rsidRPr="00F260A3" w:rsidRDefault="00F00174" w:rsidP="00C96FD6">
      <w:pPr>
        <w:spacing w:after="220"/>
        <w:ind w:left="1134"/>
        <w:rPr>
          <w:szCs w:val="22"/>
          <w:lang w:val="fr-FR"/>
        </w:rPr>
      </w:pPr>
      <w:r w:rsidRPr="00F260A3">
        <w:rPr>
          <w:i/>
          <w:iCs/>
          <w:szCs w:val="22"/>
          <w:lang w:val="fr-FR"/>
        </w:rPr>
        <w:t>S</w:t>
      </w:r>
      <w:r w:rsidR="00B12926">
        <w:rPr>
          <w:i/>
          <w:iCs/>
          <w:szCs w:val="22"/>
          <w:lang w:val="fr-FR"/>
        </w:rPr>
        <w:t>’</w:t>
      </w:r>
      <w:r w:rsidRPr="00F260A3">
        <w:rPr>
          <w:i/>
          <w:iCs/>
          <w:szCs w:val="22"/>
          <w:lang w:val="fr-FR"/>
        </w:rPr>
        <w:t>agissant de savoirs traditionnels connexes</w:t>
      </w:r>
      <w:r w:rsidRPr="00F260A3">
        <w:rPr>
          <w:szCs w:val="22"/>
          <w:lang w:val="fr-FR"/>
        </w:rPr>
        <w:t>, une partie contractante exige du déposant d</w:t>
      </w:r>
      <w:r w:rsidR="00B12926">
        <w:rPr>
          <w:szCs w:val="22"/>
          <w:lang w:val="fr-FR"/>
        </w:rPr>
        <w:t>’</w:t>
      </w:r>
      <w:r w:rsidRPr="00F260A3">
        <w:rPr>
          <w:szCs w:val="22"/>
          <w:lang w:val="fr-FR"/>
        </w:rPr>
        <w:t>une demande de brevet qu</w:t>
      </w:r>
      <w:r w:rsidR="00B12926">
        <w:rPr>
          <w:szCs w:val="22"/>
          <w:lang w:val="fr-FR"/>
        </w:rPr>
        <w:t>’</w:t>
      </w:r>
      <w:r w:rsidRPr="00F260A3">
        <w:rPr>
          <w:szCs w:val="22"/>
          <w:lang w:val="fr-FR"/>
        </w:rPr>
        <w:t xml:space="preserve">il divulgue le peuple autochtone ou la communauté locale qui a fourni lesdits savoirs, </w:t>
      </w:r>
      <w:r w:rsidR="00B12926">
        <w:rPr>
          <w:szCs w:val="22"/>
          <w:lang w:val="fr-FR"/>
        </w:rPr>
        <w:t>à savoir</w:t>
      </w:r>
      <w:r w:rsidRPr="00F260A3">
        <w:rPr>
          <w:szCs w:val="22"/>
          <w:lang w:val="fr-FR"/>
        </w:rPr>
        <w:t xml:space="preserve"> le détenteur de ces savoirs auprès duquel ceux</w:t>
      </w:r>
      <w:r w:rsidR="00C96FD6">
        <w:rPr>
          <w:szCs w:val="22"/>
          <w:lang w:val="fr-FR"/>
        </w:rPr>
        <w:noBreakHyphen/>
      </w:r>
      <w:r w:rsidRPr="00F260A3">
        <w:rPr>
          <w:szCs w:val="22"/>
          <w:lang w:val="fr-FR"/>
        </w:rPr>
        <w:t>ci ont été obtenus ou appris.</w:t>
      </w:r>
    </w:p>
    <w:p w14:paraId="3519BA04" w14:textId="1E65123A" w:rsidR="00F00174" w:rsidRPr="00F260A3" w:rsidRDefault="00F00174" w:rsidP="00C96FD6">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 sous</w:t>
      </w:r>
      <w:r w:rsidR="00C96FD6">
        <w:rPr>
          <w:rFonts w:ascii="Arial" w:hAnsi="Arial" w:cs="Arial"/>
          <w:lang w:val="fr-FR"/>
        </w:rPr>
        <w:noBreakHyphen/>
      </w:r>
      <w:r w:rsidRPr="00F260A3">
        <w:rPr>
          <w:rFonts w:ascii="Arial" w:hAnsi="Arial" w:cs="Arial"/>
          <w:lang w:val="fr-FR"/>
        </w:rPr>
        <w:t>alinéa 3.1.b) ou</w:t>
      </w:r>
      <w:r>
        <w:rPr>
          <w:rFonts w:ascii="Arial" w:hAnsi="Arial" w:cs="Arial"/>
          <w:lang w:val="fr-FR"/>
        </w:rPr>
        <w:t> </w:t>
      </w:r>
      <w:r w:rsidRPr="00F260A3">
        <w:rPr>
          <w:rFonts w:ascii="Arial" w:hAnsi="Arial" w:cs="Arial"/>
          <w:lang w:val="fr-FR"/>
        </w:rPr>
        <w:t>3.2.b) s</w:t>
      </w:r>
      <w:r w:rsidR="00B12926">
        <w:rPr>
          <w:rFonts w:ascii="Arial" w:hAnsi="Arial" w:cs="Arial"/>
          <w:lang w:val="fr-FR"/>
        </w:rPr>
        <w:t>’</w:t>
      </w:r>
      <w:r w:rsidRPr="00F260A3">
        <w:rPr>
          <w:rFonts w:ascii="Arial" w:hAnsi="Arial" w:cs="Arial"/>
          <w:lang w:val="fr-FR"/>
        </w:rPr>
        <w:t>applique dans les cas où les informations visées au sous</w:t>
      </w:r>
      <w:r w:rsidR="00C96FD6">
        <w:rPr>
          <w:rFonts w:ascii="Arial" w:hAnsi="Arial" w:cs="Arial"/>
          <w:lang w:val="fr-FR"/>
        </w:rPr>
        <w:noBreakHyphen/>
      </w:r>
      <w:r w:rsidRPr="00F260A3">
        <w:rPr>
          <w:rFonts w:ascii="Arial" w:hAnsi="Arial" w:cs="Arial"/>
          <w:lang w:val="fr-FR"/>
        </w:rPr>
        <w:t>alinéa 3.1.a) ou</w:t>
      </w:r>
      <w:r>
        <w:rPr>
          <w:rFonts w:ascii="Arial" w:hAnsi="Arial" w:cs="Arial"/>
          <w:lang w:val="fr-FR"/>
        </w:rPr>
        <w:t> </w:t>
      </w:r>
      <w:r w:rsidRPr="00F260A3">
        <w:rPr>
          <w:rFonts w:ascii="Arial" w:hAnsi="Arial" w:cs="Arial"/>
          <w:lang w:val="fr-FR"/>
        </w:rPr>
        <w:t>3.2.a) ne sont pas disponibles ou si ces sous</w:t>
      </w:r>
      <w:r w:rsidR="00C96FD6">
        <w:rPr>
          <w:rFonts w:ascii="Arial" w:hAnsi="Arial" w:cs="Arial"/>
          <w:lang w:val="fr-FR"/>
        </w:rPr>
        <w:noBreakHyphen/>
      </w:r>
      <w:r w:rsidRPr="00F260A3">
        <w:rPr>
          <w:rFonts w:ascii="Arial" w:hAnsi="Arial" w:cs="Arial"/>
          <w:lang w:val="fr-FR"/>
        </w:rPr>
        <w:t>alinéas ne sont pas d</w:t>
      </w:r>
      <w:r w:rsidR="00B12926">
        <w:rPr>
          <w:rFonts w:ascii="Arial" w:hAnsi="Arial" w:cs="Arial"/>
          <w:lang w:val="fr-FR"/>
        </w:rPr>
        <w:t>’</w:t>
      </w:r>
      <w:r w:rsidRPr="00F260A3">
        <w:rPr>
          <w:rFonts w:ascii="Arial" w:hAnsi="Arial" w:cs="Arial"/>
          <w:lang w:val="fr-FR"/>
        </w:rPr>
        <w:t>application, et qu</w:t>
      </w:r>
      <w:r w:rsidR="00B12926">
        <w:rPr>
          <w:rFonts w:ascii="Arial" w:hAnsi="Arial" w:cs="Arial"/>
          <w:lang w:val="fr-FR"/>
        </w:rPr>
        <w:t>’</w:t>
      </w:r>
      <w:r w:rsidRPr="00F260A3">
        <w:rPr>
          <w:rFonts w:ascii="Arial" w:hAnsi="Arial" w:cs="Arial"/>
          <w:lang w:val="fr-FR"/>
        </w:rPr>
        <w:t>il est donc impossible pour le déposant de divulguer ces informatio</w:t>
      </w:r>
      <w:r w:rsidR="004D4B77" w:rsidRPr="00F260A3">
        <w:rPr>
          <w:rFonts w:ascii="Arial" w:hAnsi="Arial" w:cs="Arial"/>
          <w:lang w:val="fr-FR"/>
        </w:rPr>
        <w:t>ns</w:t>
      </w:r>
      <w:r w:rsidR="004D4B77">
        <w:rPr>
          <w:rFonts w:ascii="Arial" w:hAnsi="Arial" w:cs="Arial"/>
          <w:lang w:val="fr-FR"/>
        </w:rPr>
        <w:t xml:space="preserve">.  </w:t>
      </w:r>
      <w:r w:rsidR="004D4B77" w:rsidRPr="00F260A3">
        <w:rPr>
          <w:rFonts w:ascii="Arial" w:hAnsi="Arial" w:cs="Arial"/>
          <w:lang w:val="fr-FR"/>
        </w:rPr>
        <w:t>C</w:t>
      </w:r>
      <w:r w:rsidR="004D4B77">
        <w:rPr>
          <w:rFonts w:ascii="Arial" w:hAnsi="Arial" w:cs="Arial"/>
          <w:lang w:val="fr-FR"/>
        </w:rPr>
        <w:t>’</w:t>
      </w:r>
      <w:r w:rsidR="004D4B77" w:rsidRPr="00F260A3">
        <w:rPr>
          <w:rFonts w:ascii="Arial" w:hAnsi="Arial" w:cs="Arial"/>
          <w:lang w:val="fr-FR"/>
        </w:rPr>
        <w:t>e</w:t>
      </w:r>
      <w:r w:rsidRPr="00F260A3">
        <w:rPr>
          <w:rFonts w:ascii="Arial" w:hAnsi="Arial" w:cs="Arial"/>
          <w:lang w:val="fr-FR"/>
        </w:rPr>
        <w:t>st par exemple le cas des ressources génétiques provenant de lieux ne relevant pas de la juridiction nationale, comme la haute mer.</w:t>
      </w:r>
    </w:p>
    <w:p w14:paraId="3701E872" w14:textId="3B55CC45" w:rsidR="00F00174" w:rsidRDefault="00F00174" w:rsidP="00C96FD6">
      <w:pPr>
        <w:spacing w:after="220"/>
        <w:ind w:left="1134"/>
        <w:rPr>
          <w:szCs w:val="22"/>
          <w:lang w:val="fr-FR"/>
        </w:rPr>
      </w:pPr>
      <w:r w:rsidRPr="00F260A3">
        <w:rPr>
          <w:i/>
          <w:iCs/>
          <w:szCs w:val="22"/>
          <w:lang w:val="fr-FR"/>
        </w:rPr>
        <w:t>S</w:t>
      </w:r>
      <w:r w:rsidR="00B12926">
        <w:rPr>
          <w:i/>
          <w:iCs/>
          <w:szCs w:val="22"/>
          <w:lang w:val="fr-FR"/>
        </w:rPr>
        <w:t>’</w:t>
      </w:r>
      <w:r w:rsidRPr="00F260A3">
        <w:rPr>
          <w:i/>
          <w:iCs/>
          <w:szCs w:val="22"/>
          <w:lang w:val="fr-FR"/>
        </w:rPr>
        <w:t>agissant de ressources génétiques</w:t>
      </w:r>
      <w:r w:rsidRPr="00F260A3">
        <w:rPr>
          <w:szCs w:val="22"/>
          <w:lang w:val="fr-FR"/>
        </w:rPr>
        <w:t>, cela peut être le cas, par exemple, si l</w:t>
      </w:r>
      <w:r w:rsidR="00B12926">
        <w:rPr>
          <w:szCs w:val="22"/>
          <w:lang w:val="fr-FR"/>
        </w:rPr>
        <w:t>’</w:t>
      </w:r>
      <w:r w:rsidRPr="00F260A3">
        <w:rPr>
          <w:szCs w:val="22"/>
          <w:lang w:val="fr-FR"/>
        </w:rPr>
        <w:t xml:space="preserve">invention repose sur une ressource génétique issue du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B12926">
        <w:rPr>
          <w:szCs w:val="22"/>
          <w:lang w:val="fr-FR"/>
        </w:rPr>
        <w:t>’</w:t>
      </w:r>
      <w:r w:rsidRPr="00F260A3">
        <w:rPr>
          <w:szCs w:val="22"/>
          <w:lang w:val="fr-FR"/>
        </w:rPr>
        <w:t>alimentation et l</w:t>
      </w:r>
      <w:r w:rsidR="00B12926">
        <w:rPr>
          <w:szCs w:val="22"/>
          <w:lang w:val="fr-FR"/>
        </w:rPr>
        <w:t>’</w:t>
      </w:r>
      <w:r w:rsidRPr="00F260A3">
        <w:rPr>
          <w:szCs w:val="22"/>
          <w:lang w:val="fr-FR"/>
        </w:rPr>
        <w:t>agricultu</w:t>
      </w:r>
      <w:r w:rsidR="004D4B77" w:rsidRPr="00F260A3">
        <w:rPr>
          <w:szCs w:val="22"/>
          <w:lang w:val="fr-FR"/>
        </w:rPr>
        <w:t>re</w:t>
      </w:r>
      <w:r w:rsidR="004D4B77">
        <w:rPr>
          <w:szCs w:val="22"/>
          <w:lang w:val="fr-FR"/>
        </w:rPr>
        <w:t xml:space="preserve">.  </w:t>
      </w:r>
      <w:r w:rsidR="004D4B77" w:rsidRPr="00F260A3">
        <w:rPr>
          <w:szCs w:val="22"/>
          <w:lang w:val="fr-FR"/>
        </w:rPr>
        <w:t>Ce</w:t>
      </w:r>
      <w:r w:rsidRPr="00F260A3">
        <w:rPr>
          <w:szCs w:val="22"/>
          <w:lang w:val="fr-FR"/>
        </w:rPr>
        <w:t>la peut par ailleurs offrir une certaine souplesse au niveau national aux parties qui, au titre de l</w:t>
      </w:r>
      <w:r w:rsidR="00B12926">
        <w:rPr>
          <w:szCs w:val="22"/>
          <w:lang w:val="fr-FR"/>
        </w:rPr>
        <w:t>’</w:t>
      </w:r>
      <w:r w:rsidRPr="00F260A3">
        <w:rPr>
          <w:szCs w:val="22"/>
          <w:lang w:val="fr-FR"/>
        </w:rPr>
        <w:t>article 6, alinéa 3, point f) du Protocole de Nagoya, exigent des déposants de demandes de brevet qu</w:t>
      </w:r>
      <w:r w:rsidR="00B12926">
        <w:rPr>
          <w:szCs w:val="22"/>
          <w:lang w:val="fr-FR"/>
        </w:rPr>
        <w:t>’</w:t>
      </w:r>
      <w:r w:rsidRPr="00F260A3">
        <w:rPr>
          <w:szCs w:val="22"/>
          <w:lang w:val="fr-FR"/>
        </w:rPr>
        <w:t>ils divulguent le peuple autochtone ou la communauté locale spécifique auprès duquel ou de laquelle ils ont obtenu la ressource génétiq</w:t>
      </w:r>
      <w:r w:rsidR="004D4B77" w:rsidRPr="00F260A3">
        <w:rPr>
          <w:szCs w:val="22"/>
          <w:lang w:val="fr-FR"/>
        </w:rPr>
        <w:t>ue</w:t>
      </w:r>
      <w:r w:rsidR="004D4B77">
        <w:rPr>
          <w:szCs w:val="22"/>
          <w:lang w:val="fr-FR"/>
        </w:rPr>
        <w:t xml:space="preserve">.  </w:t>
      </w:r>
      <w:r w:rsidR="004D4B77" w:rsidRPr="00F260A3">
        <w:rPr>
          <w:szCs w:val="22"/>
          <w:lang w:val="fr-FR"/>
        </w:rPr>
        <w:t>Da</w:t>
      </w:r>
      <w:r w:rsidRPr="00F260A3">
        <w:rPr>
          <w:szCs w:val="22"/>
          <w:lang w:val="fr-FR"/>
        </w:rPr>
        <w:t xml:space="preserve">ns ces cas, qui sont de simples exemples, les sources applicables sont par conséquent le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B12926">
        <w:rPr>
          <w:szCs w:val="22"/>
          <w:lang w:val="fr-FR"/>
        </w:rPr>
        <w:t>’</w:t>
      </w:r>
      <w:r w:rsidRPr="00F260A3">
        <w:rPr>
          <w:szCs w:val="22"/>
          <w:lang w:val="fr-FR"/>
        </w:rPr>
        <w:t>alimentation et l</w:t>
      </w:r>
      <w:r w:rsidR="00B12926">
        <w:rPr>
          <w:szCs w:val="22"/>
          <w:lang w:val="fr-FR"/>
        </w:rPr>
        <w:t>’</w:t>
      </w:r>
      <w:r w:rsidRPr="00F260A3">
        <w:rPr>
          <w:szCs w:val="22"/>
          <w:lang w:val="fr-FR"/>
        </w:rPr>
        <w:t>agriculture ou la communauté en question, respectivement.</w:t>
      </w:r>
    </w:p>
    <w:p w14:paraId="5F3F31B5" w14:textId="098C5537" w:rsidR="00F00174" w:rsidRPr="00F260A3" w:rsidRDefault="00F00174" w:rsidP="00C96FD6">
      <w:pPr>
        <w:spacing w:after="220"/>
        <w:ind w:left="1134"/>
        <w:rPr>
          <w:szCs w:val="22"/>
          <w:lang w:val="fr-FR"/>
        </w:rPr>
      </w:pPr>
      <w:r w:rsidRPr="00F260A3">
        <w:rPr>
          <w:i/>
          <w:iCs/>
          <w:szCs w:val="22"/>
          <w:lang w:val="fr-FR"/>
        </w:rPr>
        <w:t>S</w:t>
      </w:r>
      <w:r w:rsidR="00B12926">
        <w:rPr>
          <w:i/>
          <w:iCs/>
          <w:szCs w:val="22"/>
          <w:lang w:val="fr-FR"/>
        </w:rPr>
        <w:t>’</w:t>
      </w:r>
      <w:r w:rsidRPr="00F260A3">
        <w:rPr>
          <w:i/>
          <w:iCs/>
          <w:szCs w:val="22"/>
          <w:lang w:val="fr-FR"/>
        </w:rPr>
        <w:t>agissant de savoirs traditionnels connexes</w:t>
      </w:r>
      <w:r w:rsidRPr="00F260A3">
        <w:rPr>
          <w:szCs w:val="22"/>
          <w:lang w:val="fr-FR"/>
        </w:rPr>
        <w:t>, le sous</w:t>
      </w:r>
      <w:r w:rsidR="00C96FD6">
        <w:rPr>
          <w:szCs w:val="22"/>
          <w:lang w:val="fr-FR"/>
        </w:rPr>
        <w:noBreakHyphen/>
      </w:r>
      <w:r w:rsidRPr="00F260A3">
        <w:rPr>
          <w:szCs w:val="22"/>
          <w:lang w:val="fr-FR"/>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w:t>
      </w:r>
      <w:r w:rsidR="004D4B77" w:rsidRPr="00F260A3">
        <w:rPr>
          <w:szCs w:val="22"/>
          <w:lang w:val="fr-FR"/>
        </w:rPr>
        <w:t>et</w:t>
      </w:r>
      <w:r w:rsidR="004D4B77">
        <w:rPr>
          <w:szCs w:val="22"/>
          <w:lang w:val="fr-FR"/>
        </w:rPr>
        <w:t xml:space="preserve">.  </w:t>
      </w:r>
      <w:r w:rsidR="004D4B77" w:rsidRPr="00F260A3">
        <w:rPr>
          <w:szCs w:val="22"/>
          <w:lang w:val="fr-FR"/>
        </w:rPr>
        <w:t>Il</w:t>
      </w:r>
      <w:r w:rsidRPr="00F260A3">
        <w:rPr>
          <w:szCs w:val="22"/>
          <w:lang w:val="fr-FR"/>
        </w:rPr>
        <w:t xml:space="preserve"> couvrirait également les situations où le savoir traditionnel a été tiré d</w:t>
      </w:r>
      <w:r w:rsidR="00B12926">
        <w:rPr>
          <w:szCs w:val="22"/>
          <w:lang w:val="fr-FR"/>
        </w:rPr>
        <w:t>’</w:t>
      </w:r>
      <w:r w:rsidRPr="00F260A3">
        <w:rPr>
          <w:szCs w:val="22"/>
          <w:lang w:val="fr-FR"/>
        </w:rPr>
        <w:t>une publication spécifique, laquelle ne précise pas quel peuple autochtone détenait le savoir concerné.</w:t>
      </w:r>
    </w:p>
    <w:p w14:paraId="1662D3DC" w14:textId="562A0AB2" w:rsidR="00F00174" w:rsidRPr="00F260A3" w:rsidRDefault="00F00174" w:rsidP="00C96FD6">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w:t>
      </w:r>
      <w:r w:rsidR="00B12926">
        <w:rPr>
          <w:rFonts w:ascii="Arial" w:hAnsi="Arial" w:cs="Arial"/>
          <w:lang w:val="fr-FR"/>
        </w:rPr>
        <w:t>’</w:t>
      </w:r>
      <w:r w:rsidRPr="00F260A3">
        <w:rPr>
          <w:rFonts w:ascii="Arial" w:hAnsi="Arial" w:cs="Arial"/>
          <w:lang w:val="fr-FR"/>
        </w:rPr>
        <w:t>alinéa 3.3 s</w:t>
      </w:r>
      <w:r w:rsidR="00B12926">
        <w:rPr>
          <w:rFonts w:ascii="Arial" w:hAnsi="Arial" w:cs="Arial"/>
          <w:lang w:val="fr-FR"/>
        </w:rPr>
        <w:t>’</w:t>
      </w:r>
      <w:r w:rsidRPr="00F260A3">
        <w:rPr>
          <w:rFonts w:ascii="Arial" w:hAnsi="Arial" w:cs="Arial"/>
          <w:lang w:val="fr-FR"/>
        </w:rPr>
        <w:t>applique lorsque le déposant de la demande de brevet ne connaît aucune des informations visées aux alinéas 3.1 ou</w:t>
      </w:r>
      <w:r>
        <w:rPr>
          <w:rFonts w:ascii="Arial" w:hAnsi="Arial" w:cs="Arial"/>
          <w:lang w:val="fr-FR"/>
        </w:rPr>
        <w:t> </w:t>
      </w:r>
      <w:r w:rsidRPr="00F260A3">
        <w:rPr>
          <w:rFonts w:ascii="Arial" w:hAnsi="Arial" w:cs="Arial"/>
          <w:lang w:val="fr-FR"/>
        </w:rPr>
        <w:t>3.2.  Le déposant déclare alors que l</w:t>
      </w:r>
      <w:r w:rsidR="00B12926">
        <w:rPr>
          <w:rFonts w:ascii="Arial" w:hAnsi="Arial" w:cs="Arial"/>
          <w:lang w:val="fr-FR"/>
        </w:rPr>
        <w:t>’</w:t>
      </w:r>
      <w:r w:rsidRPr="00F260A3">
        <w:rPr>
          <w:rFonts w:ascii="Arial" w:hAnsi="Arial" w:cs="Arial"/>
          <w:lang w:val="fr-FR"/>
        </w:rPr>
        <w:t>information concernée n</w:t>
      </w:r>
      <w:r w:rsidR="00B12926">
        <w:rPr>
          <w:rFonts w:ascii="Arial" w:hAnsi="Arial" w:cs="Arial"/>
          <w:lang w:val="fr-FR"/>
        </w:rPr>
        <w:t>’</w:t>
      </w:r>
      <w:r w:rsidRPr="00F260A3">
        <w:rPr>
          <w:rFonts w:ascii="Arial" w:hAnsi="Arial" w:cs="Arial"/>
          <w:lang w:val="fr-FR"/>
        </w:rPr>
        <w:t>est pas conn</w:t>
      </w:r>
      <w:r w:rsidR="004D4B77" w:rsidRPr="00F260A3">
        <w:rPr>
          <w:rFonts w:ascii="Arial" w:hAnsi="Arial" w:cs="Arial"/>
          <w:lang w:val="fr-FR"/>
        </w:rPr>
        <w:t>ue</w:t>
      </w:r>
      <w:r w:rsidR="004D4B77">
        <w:rPr>
          <w:rFonts w:ascii="Arial" w:hAnsi="Arial" w:cs="Arial"/>
          <w:lang w:val="fr-FR"/>
        </w:rPr>
        <w:t xml:space="preserve">.  </w:t>
      </w:r>
      <w:r w:rsidR="004D4B77" w:rsidRPr="00F260A3">
        <w:rPr>
          <w:rFonts w:ascii="Arial" w:hAnsi="Arial" w:cs="Arial"/>
          <w:lang w:val="fr-FR"/>
        </w:rPr>
        <w:t>Ce</w:t>
      </w:r>
      <w:r w:rsidRPr="00F260A3">
        <w:rPr>
          <w:rFonts w:ascii="Arial" w:hAnsi="Arial" w:cs="Arial"/>
          <w:lang w:val="fr-FR"/>
        </w:rPr>
        <w:t>t alinéa n</w:t>
      </w:r>
      <w:r w:rsidR="00B12926">
        <w:rPr>
          <w:rFonts w:ascii="Arial" w:hAnsi="Arial" w:cs="Arial"/>
          <w:lang w:val="fr-FR"/>
        </w:rPr>
        <w:t>’</w:t>
      </w:r>
      <w:r w:rsidRPr="00F260A3">
        <w:rPr>
          <w:rFonts w:ascii="Arial" w:hAnsi="Arial" w:cs="Arial"/>
          <w:lang w:val="fr-FR"/>
        </w:rPr>
        <w:t>est pas un substitut de l</w:t>
      </w:r>
      <w:r w:rsidR="00B12926">
        <w:rPr>
          <w:rFonts w:ascii="Arial" w:hAnsi="Arial" w:cs="Arial"/>
          <w:lang w:val="fr-FR"/>
        </w:rPr>
        <w:t>’</w:t>
      </w:r>
      <w:r w:rsidRPr="00F260A3">
        <w:rPr>
          <w:rFonts w:ascii="Arial" w:hAnsi="Arial" w:cs="Arial"/>
          <w:lang w:val="fr-FR"/>
        </w:rPr>
        <w:t>alinéa 3.1 ou 3.2, il s</w:t>
      </w:r>
      <w:r w:rsidR="00B12926">
        <w:rPr>
          <w:rFonts w:ascii="Arial" w:hAnsi="Arial" w:cs="Arial"/>
          <w:lang w:val="fr-FR"/>
        </w:rPr>
        <w:t>’</w:t>
      </w:r>
      <w:r w:rsidRPr="00F260A3">
        <w:rPr>
          <w:rFonts w:ascii="Arial" w:hAnsi="Arial" w:cs="Arial"/>
          <w:lang w:val="fr-FR"/>
        </w:rPr>
        <w:t>applique uniquement si les informations visées dans ces alinéas ne sont pas connues du déposant de la demande de brev</w:t>
      </w:r>
      <w:r w:rsidR="004D4B77" w:rsidRPr="00F260A3">
        <w:rPr>
          <w:rFonts w:ascii="Arial" w:hAnsi="Arial" w:cs="Arial"/>
          <w:lang w:val="fr-FR"/>
        </w:rPr>
        <w:t>et</w:t>
      </w:r>
      <w:r w:rsidR="004D4B77">
        <w:rPr>
          <w:rFonts w:ascii="Arial" w:hAnsi="Arial" w:cs="Arial"/>
          <w:lang w:val="fr-FR"/>
        </w:rPr>
        <w:t xml:space="preserve">.  </w:t>
      </w:r>
      <w:r w:rsidR="004D4B77" w:rsidRPr="00F260A3">
        <w:rPr>
          <w:rFonts w:ascii="Arial" w:hAnsi="Arial" w:cs="Arial"/>
          <w:lang w:val="fr-FR"/>
        </w:rPr>
        <w:t>Ce</w:t>
      </w:r>
      <w:r w:rsidRPr="00F260A3">
        <w:rPr>
          <w:rFonts w:ascii="Arial" w:hAnsi="Arial" w:cs="Arial"/>
          <w:lang w:val="fr-FR"/>
        </w:rPr>
        <w:t>la permet aux déposants de déposer malgré tout une demande de brevet si, pour des raisons tout à fait exceptionnelles et justifiées, ils ne détiennent pas les informations pertinentes, par exemple parce que la provenance d</w:t>
      </w:r>
      <w:r w:rsidR="00B12926">
        <w:rPr>
          <w:rFonts w:ascii="Arial" w:hAnsi="Arial" w:cs="Arial"/>
          <w:lang w:val="fr-FR"/>
        </w:rPr>
        <w:t>’</w:t>
      </w:r>
      <w:r w:rsidRPr="00F260A3">
        <w:rPr>
          <w:rFonts w:ascii="Arial" w:hAnsi="Arial" w:cs="Arial"/>
          <w:lang w:val="fr-FR"/>
        </w:rPr>
        <w:t>une ressource génétique ne peut plus être déterminée du fait d</w:t>
      </w:r>
      <w:r w:rsidR="00B12926">
        <w:rPr>
          <w:rFonts w:ascii="Arial" w:hAnsi="Arial" w:cs="Arial"/>
          <w:lang w:val="fr-FR"/>
        </w:rPr>
        <w:t>’</w:t>
      </w:r>
      <w:r w:rsidRPr="00F260A3">
        <w:rPr>
          <w:rFonts w:ascii="Arial" w:hAnsi="Arial" w:cs="Arial"/>
          <w:lang w:val="fr-FR"/>
        </w:rPr>
        <w:t>un cas de force majeure ayant entraîné la destruction des documents concernés.</w:t>
      </w:r>
    </w:p>
    <w:p w14:paraId="68664FFF" w14:textId="599EBDF1" w:rsidR="00F00174" w:rsidRPr="00F260A3" w:rsidRDefault="00F00174" w:rsidP="00C96FD6">
      <w:pPr>
        <w:spacing w:after="220"/>
        <w:rPr>
          <w:szCs w:val="22"/>
          <w:lang w:val="fr-FR"/>
        </w:rPr>
      </w:pPr>
      <w:r w:rsidRPr="00F260A3">
        <w:rPr>
          <w:szCs w:val="22"/>
          <w:lang w:val="fr-FR"/>
        </w:rPr>
        <w:t>7.</w:t>
      </w:r>
      <w:r w:rsidRPr="00F260A3">
        <w:rPr>
          <w:szCs w:val="22"/>
          <w:lang w:val="fr-FR"/>
        </w:rPr>
        <w:tab/>
        <w:t>L</w:t>
      </w:r>
      <w:r w:rsidR="00B12926">
        <w:rPr>
          <w:szCs w:val="22"/>
          <w:lang w:val="fr-FR"/>
        </w:rPr>
        <w:t>’</w:t>
      </w:r>
      <w:r w:rsidRPr="00F260A3">
        <w:rPr>
          <w:szCs w:val="22"/>
          <w:lang w:val="fr-FR"/>
        </w:rPr>
        <w:t>alinéa 3.5 indique expressément que les parties contractantes n</w:t>
      </w:r>
      <w:r w:rsidR="00B12926">
        <w:rPr>
          <w:szCs w:val="22"/>
          <w:lang w:val="fr-FR"/>
        </w:rPr>
        <w:t>’</w:t>
      </w:r>
      <w:r w:rsidRPr="00F260A3">
        <w:rPr>
          <w:szCs w:val="22"/>
          <w:lang w:val="fr-FR"/>
        </w:rPr>
        <w:t>imposent pas aux offices des brevets de vérifier l</w:t>
      </w:r>
      <w:r w:rsidR="00B12926">
        <w:rPr>
          <w:szCs w:val="22"/>
          <w:lang w:val="fr-FR"/>
        </w:rPr>
        <w:t>’</w:t>
      </w:r>
      <w:r w:rsidRPr="00F260A3">
        <w:rPr>
          <w:szCs w:val="22"/>
          <w:lang w:val="fr-FR"/>
        </w:rPr>
        <w:t>authenticité de la divulgati</w:t>
      </w:r>
      <w:r w:rsidR="004D4B77" w:rsidRPr="00F260A3">
        <w:rPr>
          <w:szCs w:val="22"/>
          <w:lang w:val="fr-FR"/>
        </w:rPr>
        <w:t>on</w:t>
      </w:r>
      <w:r w:rsidR="004D4B77">
        <w:rPr>
          <w:szCs w:val="22"/>
          <w:lang w:val="fr-FR"/>
        </w:rPr>
        <w:t xml:space="preserve">.  </w:t>
      </w:r>
      <w:r w:rsidR="004D4B77" w:rsidRPr="00F260A3">
        <w:rPr>
          <w:szCs w:val="22"/>
          <w:lang w:val="fr-FR"/>
        </w:rPr>
        <w:t>Ce</w:t>
      </w:r>
      <w:r w:rsidRPr="00F260A3">
        <w:rPr>
          <w:szCs w:val="22"/>
          <w:lang w:val="fr-FR"/>
        </w:rPr>
        <w:t>tte disposition vise à minimiser les coûts/charges transactionnels du régime de divulgation pour les offices des brevets et à éviter tout retard de traitement déraisonnable pour les déposan</w:t>
      </w:r>
      <w:r w:rsidR="004D4B77" w:rsidRPr="00F260A3">
        <w:rPr>
          <w:szCs w:val="22"/>
          <w:lang w:val="fr-FR"/>
        </w:rPr>
        <w:t>ts</w:t>
      </w:r>
      <w:r w:rsidR="004D4B77">
        <w:rPr>
          <w:szCs w:val="22"/>
          <w:lang w:val="fr-FR"/>
        </w:rPr>
        <w:t xml:space="preserve">.  </w:t>
      </w:r>
      <w:r w:rsidR="004D4B77" w:rsidRPr="00F260A3">
        <w:rPr>
          <w:szCs w:val="22"/>
          <w:lang w:val="fr-FR"/>
        </w:rPr>
        <w:t>Il</w:t>
      </w:r>
      <w:r w:rsidRPr="00F260A3">
        <w:rPr>
          <w:szCs w:val="22"/>
          <w:lang w:val="fr-FR"/>
        </w:rPr>
        <w:t xml:space="preserve"> reconnaît par ailleurs que les offices des brevets ne possèdent pas l</w:t>
      </w:r>
      <w:r w:rsidR="00B12926">
        <w:rPr>
          <w:szCs w:val="22"/>
          <w:lang w:val="fr-FR"/>
        </w:rPr>
        <w:t>’</w:t>
      </w:r>
      <w:r w:rsidRPr="00F260A3">
        <w:rPr>
          <w:szCs w:val="22"/>
          <w:lang w:val="fr-FR"/>
        </w:rPr>
        <w:t>expertise inhérente nécessaire pour prendre de telles mesures.</w:t>
      </w:r>
    </w:p>
    <w:p w14:paraId="3817E8DE" w14:textId="11FF8939" w:rsidR="00F00174" w:rsidRPr="00F260A3" w:rsidRDefault="00F00174" w:rsidP="00C96FD6">
      <w:pPr>
        <w:spacing w:after="220"/>
        <w:rPr>
          <w:szCs w:val="22"/>
          <w:lang w:val="fr-FR"/>
        </w:rPr>
      </w:pPr>
      <w:r w:rsidRPr="00F260A3">
        <w:rPr>
          <w:szCs w:val="22"/>
          <w:lang w:val="fr-FR"/>
        </w:rPr>
        <w:t>8.</w:t>
      </w:r>
      <w:r w:rsidRPr="00F260A3">
        <w:rPr>
          <w:szCs w:val="22"/>
          <w:lang w:val="fr-FR"/>
        </w:rPr>
        <w:tab/>
        <w:t>Un problème spécifique de portée concernant le régime de divulgation est l</w:t>
      </w:r>
      <w:r w:rsidR="00B12926">
        <w:rPr>
          <w:szCs w:val="22"/>
          <w:lang w:val="fr-FR"/>
        </w:rPr>
        <w:t>’</w:t>
      </w:r>
      <w:r w:rsidRPr="00F260A3">
        <w:rPr>
          <w:szCs w:val="22"/>
          <w:lang w:val="fr-FR"/>
        </w:rPr>
        <w:t>exigence pour les déposants de déclarer la source de savoirs traditionnels connexes s</w:t>
      </w:r>
      <w:r w:rsidR="00B12926">
        <w:rPr>
          <w:szCs w:val="22"/>
          <w:lang w:val="fr-FR"/>
        </w:rPr>
        <w:t>’</w:t>
      </w:r>
      <w:r w:rsidRPr="00F260A3">
        <w:rPr>
          <w:szCs w:val="22"/>
          <w:lang w:val="fr-FR"/>
        </w:rPr>
        <w:t>ils savent que l</w:t>
      </w:r>
      <w:r w:rsidR="00B12926">
        <w:rPr>
          <w:szCs w:val="22"/>
          <w:lang w:val="fr-FR"/>
        </w:rPr>
        <w:t>’</w:t>
      </w:r>
      <w:r w:rsidRPr="00F260A3">
        <w:rPr>
          <w:szCs w:val="22"/>
          <w:lang w:val="fr-FR"/>
        </w:rPr>
        <w:t>invention est sensiblement/directement fondée sur ces savoi</w:t>
      </w:r>
      <w:r w:rsidR="004D4B77" w:rsidRPr="00F260A3">
        <w:rPr>
          <w:szCs w:val="22"/>
          <w:lang w:val="fr-FR"/>
        </w:rPr>
        <w:t>rs</w:t>
      </w:r>
      <w:r w:rsidR="004D4B77">
        <w:rPr>
          <w:szCs w:val="22"/>
          <w:lang w:val="fr-FR"/>
        </w:rPr>
        <w:t xml:space="preserve">.  </w:t>
      </w:r>
      <w:r w:rsidR="004D4B77" w:rsidRPr="00F260A3">
        <w:rPr>
          <w:szCs w:val="22"/>
          <w:lang w:val="fr-FR"/>
        </w:rPr>
        <w:t>Je</w:t>
      </w:r>
      <w:r w:rsidRPr="00F260A3">
        <w:rPr>
          <w:szCs w:val="22"/>
          <w:lang w:val="fr-FR"/>
        </w:rPr>
        <w:t xml:space="preserve"> suis conscient de ce que certains membres estiment nécessaire de discuter de manière plus approfondie du concept de savoirs traditionnels avant d</w:t>
      </w:r>
      <w:r w:rsidR="00B12926">
        <w:rPr>
          <w:szCs w:val="22"/>
          <w:lang w:val="fr-FR"/>
        </w:rPr>
        <w:t>’</w:t>
      </w:r>
      <w:r w:rsidRPr="00F260A3">
        <w:rPr>
          <w:szCs w:val="22"/>
          <w:lang w:val="fr-FR"/>
        </w:rPr>
        <w:t>inclure des références à ceux</w:t>
      </w:r>
      <w:r w:rsidR="00C96FD6">
        <w:rPr>
          <w:szCs w:val="22"/>
          <w:lang w:val="fr-FR"/>
        </w:rPr>
        <w:noBreakHyphen/>
      </w:r>
      <w:r w:rsidRPr="00F260A3">
        <w:rPr>
          <w:szCs w:val="22"/>
          <w:lang w:val="fr-FR"/>
        </w:rPr>
        <w:t>ci dans un régime de divulgati</w:t>
      </w:r>
      <w:r w:rsidR="004D4B77" w:rsidRPr="00F260A3">
        <w:rPr>
          <w:szCs w:val="22"/>
          <w:lang w:val="fr-FR"/>
        </w:rPr>
        <w:t>on</w:t>
      </w:r>
      <w:r w:rsidR="004D4B77">
        <w:rPr>
          <w:szCs w:val="22"/>
          <w:lang w:val="fr-FR"/>
        </w:rPr>
        <w:t xml:space="preserve">.  </w:t>
      </w:r>
      <w:r w:rsidR="004D4B77" w:rsidRPr="00F260A3">
        <w:rPr>
          <w:szCs w:val="22"/>
          <w:lang w:val="fr-FR"/>
        </w:rPr>
        <w:t>Ce</w:t>
      </w:r>
      <w:r w:rsidRPr="00F260A3">
        <w:rPr>
          <w:szCs w:val="22"/>
          <w:lang w:val="fr-FR"/>
        </w:rPr>
        <w:t>pendant, compte tenu du fait que d</w:t>
      </w:r>
      <w:r w:rsidR="00B12926">
        <w:rPr>
          <w:szCs w:val="22"/>
          <w:lang w:val="fr-FR"/>
        </w:rPr>
        <w:t>’</w:t>
      </w:r>
      <w:r w:rsidRPr="00F260A3">
        <w:rPr>
          <w:szCs w:val="22"/>
          <w:lang w:val="fr-FR"/>
        </w:rPr>
        <w:t>autres instruments internationaux font référence aux savoirs traditionnels sans nécessairement les définir, et prenant note des objectifs du présent instrument et de l</w:t>
      </w:r>
      <w:r w:rsidR="00B12926">
        <w:rPr>
          <w:szCs w:val="22"/>
          <w:lang w:val="fr-FR"/>
        </w:rPr>
        <w:t>’</w:t>
      </w:r>
      <w:r w:rsidRPr="00F260A3">
        <w:rPr>
          <w:szCs w:val="22"/>
          <w:lang w:val="fr-FR"/>
        </w:rPr>
        <w:t>évolution actuelle dans ce domaine, cette question a été retenue.</w:t>
      </w:r>
    </w:p>
    <w:p w14:paraId="084D5076" w14:textId="3690863F" w:rsidR="0078326D" w:rsidRPr="00E41678" w:rsidRDefault="00F00174" w:rsidP="00C96FD6">
      <w:pPr>
        <w:jc w:val="center"/>
        <w:rPr>
          <w:szCs w:val="22"/>
          <w:u w:val="single"/>
          <w:lang w:val="fr-FR"/>
        </w:rPr>
      </w:pPr>
      <w:r w:rsidRPr="00E41678">
        <w:rPr>
          <w:szCs w:val="22"/>
          <w:lang w:val="fr-FR"/>
        </w:rPr>
        <w:br w:type="page"/>
      </w:r>
    </w:p>
    <w:p w14:paraId="5FC4040B" w14:textId="3781C01F" w:rsidR="00F00174" w:rsidRPr="00E41678" w:rsidRDefault="00F00174" w:rsidP="00C96FD6">
      <w:pPr>
        <w:spacing w:after="220"/>
        <w:rPr>
          <w:szCs w:val="22"/>
          <w:u w:val="single"/>
          <w:lang w:val="fr-FR"/>
        </w:rPr>
      </w:pPr>
      <w:r w:rsidRPr="00E41678">
        <w:rPr>
          <w:szCs w:val="22"/>
          <w:u w:val="single"/>
          <w:lang w:val="fr-FR"/>
        </w:rPr>
        <w:t>Notes relatives à l</w:t>
      </w:r>
      <w:r w:rsidR="00B12926">
        <w:rPr>
          <w:szCs w:val="22"/>
          <w:u w:val="single"/>
          <w:lang w:val="fr-FR"/>
        </w:rPr>
        <w:t>’</w:t>
      </w:r>
      <w:r w:rsidRPr="00E41678">
        <w:rPr>
          <w:szCs w:val="22"/>
          <w:u w:val="single"/>
          <w:lang w:val="fr-FR"/>
        </w:rPr>
        <w:t>article 5</w:t>
      </w:r>
    </w:p>
    <w:p w14:paraId="7DDC0990" w14:textId="1ACC87FB" w:rsidR="00F00174" w:rsidRPr="00E41678" w:rsidRDefault="00F00174" w:rsidP="00C96FD6">
      <w:pPr>
        <w:rPr>
          <w:szCs w:val="22"/>
          <w:lang w:val="fr-FR"/>
        </w:rPr>
      </w:pPr>
      <w:r w:rsidRPr="00E41678">
        <w:rPr>
          <w:szCs w:val="22"/>
          <w:lang w:val="fr-FR"/>
        </w:rPr>
        <w:t>Cet article reconnaît qu</w:t>
      </w:r>
      <w:r w:rsidR="00B12926">
        <w:rPr>
          <w:szCs w:val="22"/>
          <w:lang w:val="fr-FR"/>
        </w:rPr>
        <w:t>’</w:t>
      </w:r>
      <w:r w:rsidRPr="00E41678">
        <w:rPr>
          <w:szCs w:val="22"/>
          <w:lang w:val="fr-FR"/>
        </w:rPr>
        <w:t>afin d</w:t>
      </w:r>
      <w:r w:rsidR="00B12926">
        <w:rPr>
          <w:szCs w:val="22"/>
          <w:lang w:val="fr-FR"/>
        </w:rPr>
        <w:t>’</w:t>
      </w:r>
      <w:r w:rsidRPr="00E41678">
        <w:rPr>
          <w:szCs w:val="22"/>
          <w:lang w:val="fr-FR"/>
        </w:rPr>
        <w:t>assurer la sécurité juridique au sein du système des brevets, une clause de non</w:t>
      </w:r>
      <w:r w:rsidR="00C96FD6">
        <w:rPr>
          <w:szCs w:val="22"/>
          <w:lang w:val="fr-FR"/>
        </w:rPr>
        <w:noBreakHyphen/>
      </w:r>
      <w:r w:rsidRPr="00E41678">
        <w:rPr>
          <w:szCs w:val="22"/>
          <w:lang w:val="fr-FR"/>
        </w:rPr>
        <w:t>rétroactivité s</w:t>
      </w:r>
      <w:r w:rsidR="00B12926">
        <w:rPr>
          <w:szCs w:val="22"/>
          <w:lang w:val="fr-FR"/>
        </w:rPr>
        <w:t>’</w:t>
      </w:r>
      <w:r w:rsidRPr="00E41678">
        <w:rPr>
          <w:szCs w:val="22"/>
          <w:lang w:val="fr-FR"/>
        </w:rPr>
        <w:t>avère nécessai</w:t>
      </w:r>
      <w:r w:rsidR="004D4B77" w:rsidRPr="00E41678">
        <w:rPr>
          <w:szCs w:val="22"/>
          <w:lang w:val="fr-FR"/>
        </w:rPr>
        <w:t>re</w:t>
      </w:r>
      <w:r w:rsidR="004D4B77">
        <w:rPr>
          <w:szCs w:val="22"/>
          <w:lang w:val="fr-FR"/>
        </w:rPr>
        <w:t xml:space="preserve">.  </w:t>
      </w:r>
      <w:r w:rsidR="004D4B77" w:rsidRPr="00E41678">
        <w:rPr>
          <w:szCs w:val="22"/>
          <w:lang w:val="fr-FR"/>
        </w:rPr>
        <w:t>Il</w:t>
      </w:r>
      <w:r w:rsidRPr="00E41678">
        <w:rPr>
          <w:szCs w:val="22"/>
          <w:lang w:val="fr-FR"/>
        </w:rPr>
        <w:t xml:space="preserve"> reconnaît cependant aussi qu</w:t>
      </w:r>
      <w:r w:rsidR="00B12926">
        <w:rPr>
          <w:szCs w:val="22"/>
          <w:lang w:val="fr-FR"/>
        </w:rPr>
        <w:t>’</w:t>
      </w:r>
      <w:r w:rsidRPr="00E41678">
        <w:rPr>
          <w:szCs w:val="22"/>
          <w:lang w:val="fr-FR"/>
        </w:rPr>
        <w:t>il existe déjà un certain nombre de régimes de divulgation obligatoire aux niveaux national et régional.</w:t>
      </w:r>
    </w:p>
    <w:p w14:paraId="7D67C4E8" w14:textId="01C8E709" w:rsidR="0078326D" w:rsidRPr="00E41678" w:rsidRDefault="00F00174" w:rsidP="00C96FD6">
      <w:pPr>
        <w:jc w:val="center"/>
        <w:rPr>
          <w:szCs w:val="22"/>
          <w:u w:val="single"/>
          <w:lang w:val="fr-FR"/>
        </w:rPr>
      </w:pPr>
      <w:r w:rsidRPr="00E41678">
        <w:rPr>
          <w:b/>
          <w:szCs w:val="22"/>
          <w:lang w:val="fr-FR"/>
        </w:rPr>
        <w:br w:type="page"/>
      </w:r>
    </w:p>
    <w:p w14:paraId="3C24424A" w14:textId="081E3A0E" w:rsidR="00F00174" w:rsidRPr="00F260A3" w:rsidRDefault="00F00174" w:rsidP="00C96FD6">
      <w:pPr>
        <w:spacing w:after="220"/>
        <w:rPr>
          <w:szCs w:val="22"/>
          <w:u w:val="single"/>
          <w:lang w:val="fr-FR"/>
        </w:rPr>
      </w:pPr>
      <w:r w:rsidRPr="00E41678">
        <w:rPr>
          <w:szCs w:val="22"/>
          <w:u w:val="single"/>
          <w:lang w:val="fr-FR"/>
        </w:rPr>
        <w:t xml:space="preserve">Notes </w:t>
      </w:r>
      <w:r w:rsidRPr="00F260A3">
        <w:rPr>
          <w:szCs w:val="22"/>
          <w:u w:val="single"/>
          <w:lang w:val="fr-FR"/>
        </w:rPr>
        <w:t>relatives à l</w:t>
      </w:r>
      <w:r w:rsidR="00B12926">
        <w:rPr>
          <w:szCs w:val="22"/>
          <w:u w:val="single"/>
          <w:lang w:val="fr-FR"/>
        </w:rPr>
        <w:t>’</w:t>
      </w:r>
      <w:r w:rsidRPr="00F260A3">
        <w:rPr>
          <w:szCs w:val="22"/>
          <w:u w:val="single"/>
          <w:lang w:val="fr-FR"/>
        </w:rPr>
        <w:t>article 6</w:t>
      </w:r>
    </w:p>
    <w:p w14:paraId="560FD631" w14:textId="07413402" w:rsidR="00F00174" w:rsidRPr="00F260A3" w:rsidRDefault="00F00174" w:rsidP="00C96FD6">
      <w:pPr>
        <w:spacing w:after="220"/>
        <w:rPr>
          <w:szCs w:val="22"/>
          <w:lang w:val="fr-FR"/>
        </w:rPr>
      </w:pPr>
      <w:r w:rsidRPr="00F260A3">
        <w:rPr>
          <w:szCs w:val="22"/>
          <w:lang w:val="fr-FR"/>
        </w:rPr>
        <w:t>1.</w:t>
      </w:r>
      <w:r w:rsidRPr="00F260A3">
        <w:rPr>
          <w:szCs w:val="22"/>
          <w:lang w:val="fr-FR"/>
        </w:rPr>
        <w:tab/>
        <w:t>L</w:t>
      </w:r>
      <w:r w:rsidR="00B12926">
        <w:rPr>
          <w:szCs w:val="22"/>
          <w:lang w:val="fr-FR"/>
        </w:rPr>
        <w:t>’</w:t>
      </w:r>
      <w:r w:rsidRPr="00F260A3">
        <w:rPr>
          <w:szCs w:val="22"/>
          <w:lang w:val="fr-FR"/>
        </w:rPr>
        <w:t>alinéa 6.1 impose à chaque partie de mettre en place des mesures juridiques, administratives ou de politique appropriées et efficaces pour traiter du non</w:t>
      </w:r>
      <w:r w:rsidR="00C96FD6">
        <w:rPr>
          <w:szCs w:val="22"/>
          <w:lang w:val="fr-FR"/>
        </w:rPr>
        <w:noBreakHyphen/>
      </w:r>
      <w:r w:rsidRPr="00F260A3">
        <w:rPr>
          <w:szCs w:val="22"/>
          <w:lang w:val="fr-FR"/>
        </w:rPr>
        <w:t>respect de l</w:t>
      </w:r>
      <w:r w:rsidR="00B12926">
        <w:rPr>
          <w:szCs w:val="22"/>
          <w:lang w:val="fr-FR"/>
        </w:rPr>
        <w:t>’</w:t>
      </w:r>
      <w:r w:rsidRPr="00F260A3">
        <w:rPr>
          <w:szCs w:val="22"/>
          <w:lang w:val="fr-FR"/>
        </w:rPr>
        <w:t>exigence de divulgation visée à l</w:t>
      </w:r>
      <w:r w:rsidR="00B12926">
        <w:rPr>
          <w:szCs w:val="22"/>
          <w:lang w:val="fr-FR"/>
        </w:rPr>
        <w:t>’</w:t>
      </w:r>
      <w:r w:rsidRPr="00F260A3">
        <w:rPr>
          <w:szCs w:val="22"/>
          <w:lang w:val="fr-FR"/>
        </w:rPr>
        <w:t>article 3.  Cette disposition laisse aux parties le soin de décider quelles mesures s</w:t>
      </w:r>
      <w:r w:rsidR="00B12926">
        <w:rPr>
          <w:szCs w:val="22"/>
          <w:lang w:val="fr-FR"/>
        </w:rPr>
        <w:t>’</w:t>
      </w:r>
      <w:r w:rsidRPr="00F260A3">
        <w:rPr>
          <w:szCs w:val="22"/>
          <w:lang w:val="fr-FR"/>
        </w:rPr>
        <w:t>avèrent appropriées, efficaces et proportionné</w:t>
      </w:r>
      <w:r w:rsidR="004D4B77" w:rsidRPr="00F260A3">
        <w:rPr>
          <w:szCs w:val="22"/>
          <w:lang w:val="fr-FR"/>
        </w:rPr>
        <w:t>es</w:t>
      </w:r>
      <w:r w:rsidR="004D4B77">
        <w:rPr>
          <w:szCs w:val="22"/>
          <w:lang w:val="fr-FR"/>
        </w:rPr>
        <w:t xml:space="preserve">.  </w:t>
      </w:r>
      <w:r w:rsidR="004D4B77" w:rsidRPr="00F260A3">
        <w:rPr>
          <w:szCs w:val="22"/>
          <w:lang w:val="fr-FR"/>
        </w:rPr>
        <w:t>Ce</w:t>
      </w:r>
      <w:r w:rsidRPr="00F260A3">
        <w:rPr>
          <w:szCs w:val="22"/>
          <w:lang w:val="fr-FR"/>
        </w:rPr>
        <w:t>s mesures peuvent comprendre des sanctions applicables avant la délivrance du brevet, telles que la suspension de la poursuite du traitement d</w:t>
      </w:r>
      <w:r w:rsidR="00B12926">
        <w:rPr>
          <w:szCs w:val="22"/>
          <w:lang w:val="fr-FR"/>
        </w:rPr>
        <w:t>’</w:t>
      </w:r>
      <w:r w:rsidRPr="00F260A3">
        <w:rPr>
          <w:szCs w:val="22"/>
          <w:lang w:val="fr-FR"/>
        </w:rPr>
        <w:t>une demande de brevet tant que les exigences de divulgation ne sont pas remplies ou le retrait/la déchéance de la demande si le déposant manque ou se refuse à fournir les informations minimales visées à l</w:t>
      </w:r>
      <w:r w:rsidR="00B12926">
        <w:rPr>
          <w:szCs w:val="22"/>
          <w:lang w:val="fr-FR"/>
        </w:rPr>
        <w:t>’</w:t>
      </w:r>
      <w:r w:rsidRPr="00F260A3">
        <w:rPr>
          <w:szCs w:val="22"/>
          <w:lang w:val="fr-FR"/>
        </w:rPr>
        <w:t>article 3 dans un délai fixé au niveau nation</w:t>
      </w:r>
      <w:r w:rsidR="004D4B77" w:rsidRPr="00F260A3">
        <w:rPr>
          <w:szCs w:val="22"/>
          <w:lang w:val="fr-FR"/>
        </w:rPr>
        <w:t>al</w:t>
      </w:r>
      <w:r w:rsidR="004D4B77">
        <w:rPr>
          <w:szCs w:val="22"/>
          <w:lang w:val="fr-FR"/>
        </w:rPr>
        <w:t xml:space="preserve">.  </w:t>
      </w:r>
      <w:r w:rsidR="004D4B77" w:rsidRPr="00F260A3">
        <w:rPr>
          <w:szCs w:val="22"/>
          <w:lang w:val="fr-FR"/>
        </w:rPr>
        <w:t>Il</w:t>
      </w:r>
      <w:r w:rsidRPr="00F260A3">
        <w:rPr>
          <w:szCs w:val="22"/>
          <w:lang w:val="fr-FR"/>
        </w:rPr>
        <w:t xml:space="preserve"> peut également s</w:t>
      </w:r>
      <w:r w:rsidR="00B12926">
        <w:rPr>
          <w:szCs w:val="22"/>
          <w:lang w:val="fr-FR"/>
        </w:rPr>
        <w:t>’</w:t>
      </w:r>
      <w:r w:rsidRPr="00F260A3">
        <w:rPr>
          <w:szCs w:val="22"/>
          <w:lang w:val="fr-FR"/>
        </w:rPr>
        <w:t>agir de sanctions applicables après la délivrance du brevet, telles que des amendes pour non</w:t>
      </w:r>
      <w:r w:rsidR="00C96FD6">
        <w:rPr>
          <w:szCs w:val="22"/>
          <w:lang w:val="fr-FR"/>
        </w:rPr>
        <w:noBreakHyphen/>
      </w:r>
      <w:r w:rsidRPr="00F260A3">
        <w:rPr>
          <w:szCs w:val="22"/>
          <w:lang w:val="fr-FR"/>
        </w:rPr>
        <w:t>communication délibérée de l</w:t>
      </w:r>
      <w:r w:rsidR="00B12926">
        <w:rPr>
          <w:szCs w:val="22"/>
          <w:lang w:val="fr-FR"/>
        </w:rPr>
        <w:t>’</w:t>
      </w:r>
      <w:r w:rsidRPr="00F260A3">
        <w:rPr>
          <w:szCs w:val="22"/>
          <w:lang w:val="fr-FR"/>
        </w:rPr>
        <w:t>information requise ou pour communication d</w:t>
      </w:r>
      <w:r w:rsidR="00B12926">
        <w:rPr>
          <w:szCs w:val="22"/>
          <w:lang w:val="fr-FR"/>
        </w:rPr>
        <w:t>’</w:t>
      </w:r>
      <w:r w:rsidRPr="00F260A3">
        <w:rPr>
          <w:szCs w:val="22"/>
          <w:lang w:val="fr-FR"/>
        </w:rPr>
        <w:t>informations incorrectes, ou encore de la publication de décisions judiciaires.</w:t>
      </w:r>
    </w:p>
    <w:p w14:paraId="3898F051" w14:textId="4CB96AE9" w:rsidR="00F00174" w:rsidRPr="00F260A3" w:rsidRDefault="00F00174" w:rsidP="00C96FD6">
      <w:pPr>
        <w:spacing w:after="220"/>
        <w:rPr>
          <w:szCs w:val="22"/>
          <w:lang w:val="fr-FR"/>
        </w:rPr>
      </w:pPr>
      <w:r w:rsidRPr="00F260A3">
        <w:rPr>
          <w:szCs w:val="22"/>
          <w:lang w:val="fr-FR"/>
        </w:rPr>
        <w:t>2.</w:t>
      </w:r>
      <w:r w:rsidRPr="00F260A3">
        <w:rPr>
          <w:szCs w:val="22"/>
          <w:lang w:val="fr-FR"/>
        </w:rPr>
        <w:tab/>
        <w:t>L</w:t>
      </w:r>
      <w:r w:rsidR="00B12926">
        <w:rPr>
          <w:szCs w:val="22"/>
          <w:lang w:val="fr-FR"/>
        </w:rPr>
        <w:t>’</w:t>
      </w:r>
      <w:r w:rsidRPr="00F260A3">
        <w:rPr>
          <w:szCs w:val="22"/>
          <w:lang w:val="fr-FR"/>
        </w:rPr>
        <w:t>alinéa 6.2 prévoit de donner à un déposant qui aurait involontairement manqué de fournir les informations minimales visées à l</w:t>
      </w:r>
      <w:r w:rsidR="00B12926">
        <w:rPr>
          <w:szCs w:val="22"/>
          <w:lang w:val="fr-FR"/>
        </w:rPr>
        <w:t>’</w:t>
      </w:r>
      <w:r w:rsidRPr="00F260A3">
        <w:rPr>
          <w:szCs w:val="22"/>
          <w:lang w:val="fr-FR"/>
        </w:rPr>
        <w:t>article 3 la possibilité de satisfaire à l</w:t>
      </w:r>
      <w:r w:rsidR="00B12926">
        <w:rPr>
          <w:szCs w:val="22"/>
          <w:lang w:val="fr-FR"/>
        </w:rPr>
        <w:t>’</w:t>
      </w:r>
      <w:r w:rsidRPr="00F260A3">
        <w:rPr>
          <w:szCs w:val="22"/>
          <w:lang w:val="fr-FR"/>
        </w:rPr>
        <w:t>exigence de divulgati</w:t>
      </w:r>
      <w:r w:rsidR="004D4B77" w:rsidRPr="00F260A3">
        <w:rPr>
          <w:szCs w:val="22"/>
          <w:lang w:val="fr-FR"/>
        </w:rPr>
        <w:t>on</w:t>
      </w:r>
      <w:r w:rsidR="004D4B77">
        <w:rPr>
          <w:szCs w:val="22"/>
          <w:lang w:val="fr-FR"/>
        </w:rPr>
        <w:t xml:space="preserve">.  </w:t>
      </w:r>
      <w:r w:rsidR="004D4B77" w:rsidRPr="00F260A3">
        <w:rPr>
          <w:szCs w:val="22"/>
          <w:lang w:val="fr-FR"/>
        </w:rPr>
        <w:t>Le</w:t>
      </w:r>
      <w:r w:rsidRPr="00F260A3">
        <w:rPr>
          <w:szCs w:val="22"/>
          <w:lang w:val="fr-FR"/>
        </w:rPr>
        <w:t xml:space="preserve"> délai imparti pour remédier à ce manquement serait fixé selon la législation nationale en matière de breve</w:t>
      </w:r>
      <w:r w:rsidR="004D4B77" w:rsidRPr="00F260A3">
        <w:rPr>
          <w:szCs w:val="22"/>
          <w:lang w:val="fr-FR"/>
        </w:rPr>
        <w:t>ts</w:t>
      </w:r>
      <w:r w:rsidR="004D4B77">
        <w:rPr>
          <w:szCs w:val="22"/>
          <w:lang w:val="fr-FR"/>
        </w:rPr>
        <w:t xml:space="preserve">.  </w:t>
      </w:r>
      <w:r w:rsidR="004D4B77" w:rsidRPr="00F260A3">
        <w:rPr>
          <w:szCs w:val="22"/>
          <w:lang w:val="fr-FR"/>
        </w:rPr>
        <w:t>Vo</w:t>
      </w:r>
      <w:r w:rsidRPr="00F260A3">
        <w:rPr>
          <w:szCs w:val="22"/>
          <w:lang w:val="fr-FR"/>
        </w:rPr>
        <w:t>ir également l</w:t>
      </w:r>
      <w:r w:rsidR="00B12926">
        <w:rPr>
          <w:szCs w:val="22"/>
          <w:lang w:val="fr-FR"/>
        </w:rPr>
        <w:t>’</w:t>
      </w:r>
      <w:r w:rsidRPr="00F260A3">
        <w:rPr>
          <w:szCs w:val="22"/>
          <w:lang w:val="fr-FR"/>
        </w:rPr>
        <w:t>article 3, alinéa 4.</w:t>
      </w:r>
    </w:p>
    <w:p w14:paraId="5E481716" w14:textId="52AD59D5" w:rsidR="00F00174" w:rsidRPr="00F260A3" w:rsidRDefault="00F00174" w:rsidP="00C96FD6">
      <w:pPr>
        <w:spacing w:after="220"/>
        <w:rPr>
          <w:szCs w:val="22"/>
          <w:lang w:val="fr-FR"/>
        </w:rPr>
      </w:pPr>
      <w:r w:rsidRPr="00F260A3">
        <w:rPr>
          <w:szCs w:val="22"/>
          <w:lang w:val="fr-FR"/>
        </w:rPr>
        <w:t>3.</w:t>
      </w:r>
      <w:r w:rsidRPr="00F260A3">
        <w:rPr>
          <w:szCs w:val="22"/>
          <w:lang w:val="fr-FR"/>
        </w:rPr>
        <w:tab/>
        <w:t>L</w:t>
      </w:r>
      <w:r w:rsidR="00B12926">
        <w:rPr>
          <w:szCs w:val="22"/>
          <w:lang w:val="fr-FR"/>
        </w:rPr>
        <w:t>’</w:t>
      </w:r>
      <w:r w:rsidRPr="00F260A3">
        <w:rPr>
          <w:szCs w:val="22"/>
          <w:lang w:val="fr-FR"/>
        </w:rPr>
        <w:t>alinéa 6.3 propose une limitation du non</w:t>
      </w:r>
      <w:r w:rsidR="00C96FD6">
        <w:rPr>
          <w:szCs w:val="22"/>
          <w:lang w:val="fr-FR"/>
        </w:rPr>
        <w:noBreakHyphen/>
      </w:r>
      <w:r w:rsidRPr="00F260A3">
        <w:rPr>
          <w:szCs w:val="22"/>
          <w:lang w:val="fr-FR"/>
        </w:rPr>
        <w:t>respect des obligations de divulgation énoncées à l</w:t>
      </w:r>
      <w:r w:rsidR="00B12926">
        <w:rPr>
          <w:szCs w:val="22"/>
          <w:lang w:val="fr-FR"/>
        </w:rPr>
        <w:t>’</w:t>
      </w:r>
      <w:r w:rsidRPr="00F260A3">
        <w:rPr>
          <w:szCs w:val="22"/>
          <w:lang w:val="fr-FR"/>
        </w:rPr>
        <w:t>article 3.  Cette disposition vise à garantir qu</w:t>
      </w:r>
      <w:r w:rsidR="00B12926">
        <w:rPr>
          <w:szCs w:val="22"/>
          <w:lang w:val="fr-FR"/>
        </w:rPr>
        <w:t>’</w:t>
      </w:r>
      <w:r w:rsidRPr="00F260A3">
        <w:rPr>
          <w:szCs w:val="22"/>
          <w:lang w:val="fr-FR"/>
        </w:rPr>
        <w:t xml:space="preserve">aucun brevet ne soit révoqué ou rendu inopposable au </w:t>
      </w:r>
      <w:r w:rsidRPr="00F260A3">
        <w:rPr>
          <w:b/>
          <w:bCs/>
          <w:szCs w:val="22"/>
          <w:lang w:val="fr-FR"/>
        </w:rPr>
        <w:t>seul</w:t>
      </w:r>
      <w:r w:rsidRPr="00F260A3">
        <w:rPr>
          <w:szCs w:val="22"/>
          <w:lang w:val="fr-FR"/>
        </w:rPr>
        <w:t xml:space="preserve"> motif qu</w:t>
      </w:r>
      <w:r w:rsidR="00B12926">
        <w:rPr>
          <w:szCs w:val="22"/>
          <w:lang w:val="fr-FR"/>
        </w:rPr>
        <w:t>’</w:t>
      </w:r>
      <w:r w:rsidRPr="00F260A3">
        <w:rPr>
          <w:szCs w:val="22"/>
          <w:lang w:val="fr-FR"/>
        </w:rPr>
        <w:t>un déposant n</w:t>
      </w:r>
      <w:r w:rsidR="00B12926">
        <w:rPr>
          <w:szCs w:val="22"/>
          <w:lang w:val="fr-FR"/>
        </w:rPr>
        <w:t>’</w:t>
      </w:r>
      <w:r w:rsidRPr="00F260A3">
        <w:rPr>
          <w:szCs w:val="22"/>
          <w:lang w:val="fr-FR"/>
        </w:rPr>
        <w:t>a pas fourni les informations requises au titre de l</w:t>
      </w:r>
      <w:r w:rsidR="00B12926">
        <w:rPr>
          <w:szCs w:val="22"/>
          <w:lang w:val="fr-FR"/>
        </w:rPr>
        <w:t>’</w:t>
      </w:r>
      <w:r w:rsidRPr="00F260A3">
        <w:rPr>
          <w:szCs w:val="22"/>
          <w:lang w:val="fr-FR"/>
        </w:rPr>
        <w:t>article 3 du présent instrume</w:t>
      </w:r>
      <w:r w:rsidR="004D4B77" w:rsidRPr="00F260A3">
        <w:rPr>
          <w:szCs w:val="22"/>
          <w:lang w:val="fr-FR"/>
        </w:rPr>
        <w:t>nt</w:t>
      </w:r>
      <w:r w:rsidR="004D4B77">
        <w:rPr>
          <w:szCs w:val="22"/>
          <w:lang w:val="fr-FR"/>
        </w:rPr>
        <w:t xml:space="preserve">.  </w:t>
      </w:r>
      <w:r w:rsidR="004D4B77" w:rsidRPr="00F260A3">
        <w:rPr>
          <w:szCs w:val="22"/>
          <w:lang w:val="fr-FR"/>
        </w:rPr>
        <w:t>Ce</w:t>
      </w:r>
      <w:r w:rsidRPr="00F260A3">
        <w:rPr>
          <w:szCs w:val="22"/>
          <w:lang w:val="fr-FR"/>
        </w:rPr>
        <w:t>la est important pour offrir aux déposants de demandes de brevet la sécurité juridique dont ils ont beso</w:t>
      </w:r>
      <w:r w:rsidR="004D4B77" w:rsidRPr="00F260A3">
        <w:rPr>
          <w:szCs w:val="22"/>
          <w:lang w:val="fr-FR"/>
        </w:rPr>
        <w:t>in</w:t>
      </w:r>
      <w:r w:rsidR="004D4B77">
        <w:rPr>
          <w:szCs w:val="22"/>
          <w:lang w:val="fr-FR"/>
        </w:rPr>
        <w:t xml:space="preserve">.  </w:t>
      </w:r>
      <w:r w:rsidR="004D4B77" w:rsidRPr="00F260A3">
        <w:rPr>
          <w:szCs w:val="22"/>
          <w:lang w:val="fr-FR"/>
        </w:rPr>
        <w:t>Ce</w:t>
      </w:r>
      <w:r w:rsidRPr="00F260A3">
        <w:rPr>
          <w:szCs w:val="22"/>
          <w:lang w:val="fr-FR"/>
        </w:rPr>
        <w:t>la facilite du reste le partage des avantages, dès lors que la révocation d</w:t>
      </w:r>
      <w:r w:rsidR="00B12926">
        <w:rPr>
          <w:szCs w:val="22"/>
          <w:lang w:val="fr-FR"/>
        </w:rPr>
        <w:t>’</w:t>
      </w:r>
      <w:r w:rsidRPr="00F260A3">
        <w:rPr>
          <w:szCs w:val="22"/>
          <w:lang w:val="fr-FR"/>
        </w:rPr>
        <w:t>un brevet au motif du non</w:t>
      </w:r>
      <w:r w:rsidR="00C96FD6">
        <w:rPr>
          <w:szCs w:val="22"/>
          <w:lang w:val="fr-FR"/>
        </w:rPr>
        <w:noBreakHyphen/>
      </w:r>
      <w:r w:rsidRPr="00F260A3">
        <w:rPr>
          <w:szCs w:val="22"/>
          <w:lang w:val="fr-FR"/>
        </w:rPr>
        <w:t>respect de l</w:t>
      </w:r>
      <w:r w:rsidR="00B12926">
        <w:rPr>
          <w:szCs w:val="22"/>
          <w:lang w:val="fr-FR"/>
        </w:rPr>
        <w:t>’</w:t>
      </w:r>
      <w:r w:rsidRPr="00F260A3">
        <w:rPr>
          <w:szCs w:val="22"/>
          <w:lang w:val="fr-FR"/>
        </w:rPr>
        <w:t xml:space="preserve">exigence de divulgation détruirait le fondement même du partage des avantages, </w:t>
      </w:r>
      <w:r w:rsidR="00B12926">
        <w:rPr>
          <w:szCs w:val="22"/>
          <w:lang w:val="fr-FR"/>
        </w:rPr>
        <w:t>à savoir</w:t>
      </w:r>
      <w:r w:rsidRPr="00F260A3">
        <w:rPr>
          <w:szCs w:val="22"/>
          <w:lang w:val="fr-FR"/>
        </w:rPr>
        <w:t xml:space="preserve"> le brev</w:t>
      </w:r>
      <w:r w:rsidR="004D4B77" w:rsidRPr="00F260A3">
        <w:rPr>
          <w:szCs w:val="22"/>
          <w:lang w:val="fr-FR"/>
        </w:rPr>
        <w:t>et</w:t>
      </w:r>
      <w:r w:rsidR="004D4B77">
        <w:rPr>
          <w:szCs w:val="22"/>
          <w:lang w:val="fr-FR"/>
        </w:rPr>
        <w:t xml:space="preserve">.  </w:t>
      </w:r>
      <w:r w:rsidR="004D4B77" w:rsidRPr="00F260A3">
        <w:rPr>
          <w:szCs w:val="22"/>
          <w:lang w:val="fr-FR"/>
        </w:rPr>
        <w:t>En</w:t>
      </w:r>
      <w:r w:rsidRPr="00F260A3">
        <w:rPr>
          <w:szCs w:val="22"/>
          <w:lang w:val="fr-FR"/>
        </w:rPr>
        <w:t xml:space="preserve"> effet, l</w:t>
      </w:r>
      <w:r w:rsidR="00B12926">
        <w:rPr>
          <w:szCs w:val="22"/>
          <w:lang w:val="fr-FR"/>
        </w:rPr>
        <w:t>’</w:t>
      </w:r>
      <w:r w:rsidRPr="00F260A3">
        <w:rPr>
          <w:szCs w:val="22"/>
          <w:lang w:val="fr-FR"/>
        </w:rPr>
        <w:t>invention protégée par le brevet révoqué tomberait dans le domaine public et aucun avantage pécuniaire ne serait généré dans le cadre du système des breve</w:t>
      </w:r>
      <w:r w:rsidR="004D4B77" w:rsidRPr="00F260A3">
        <w:rPr>
          <w:szCs w:val="22"/>
          <w:lang w:val="fr-FR"/>
        </w:rPr>
        <w:t>ts</w:t>
      </w:r>
      <w:r w:rsidR="004D4B77">
        <w:rPr>
          <w:szCs w:val="22"/>
          <w:lang w:val="fr-FR"/>
        </w:rPr>
        <w:t xml:space="preserve">.  </w:t>
      </w:r>
      <w:r w:rsidR="004D4B77" w:rsidRPr="00F260A3">
        <w:rPr>
          <w:szCs w:val="22"/>
          <w:lang w:val="fr-FR"/>
        </w:rPr>
        <w:t>C</w:t>
      </w:r>
      <w:r w:rsidR="004D4B77">
        <w:rPr>
          <w:szCs w:val="22"/>
          <w:lang w:val="fr-FR"/>
        </w:rPr>
        <w:t>’</w:t>
      </w:r>
      <w:r w:rsidR="004D4B77" w:rsidRPr="00F260A3">
        <w:rPr>
          <w:szCs w:val="22"/>
          <w:lang w:val="fr-FR"/>
        </w:rPr>
        <w:t>e</w:t>
      </w:r>
      <w:r w:rsidRPr="00F260A3">
        <w:rPr>
          <w:szCs w:val="22"/>
          <w:lang w:val="fr-FR"/>
        </w:rPr>
        <w:t>st pourquoi révoquer des brevets ou les rendre inopposables irait à l</w:t>
      </w:r>
      <w:r w:rsidR="00B12926">
        <w:rPr>
          <w:szCs w:val="22"/>
          <w:lang w:val="fr-FR"/>
        </w:rPr>
        <w:t>’</w:t>
      </w:r>
      <w:r w:rsidRPr="00F260A3">
        <w:rPr>
          <w:szCs w:val="22"/>
          <w:lang w:val="fr-FR"/>
        </w:rPr>
        <w:t>encontre de l</w:t>
      </w:r>
      <w:r w:rsidR="00B12926">
        <w:rPr>
          <w:szCs w:val="22"/>
          <w:lang w:val="fr-FR"/>
        </w:rPr>
        <w:t>’</w:t>
      </w:r>
      <w:r w:rsidRPr="00F260A3">
        <w:rPr>
          <w:szCs w:val="22"/>
          <w:lang w:val="fr-FR"/>
        </w:rPr>
        <w:t>objectif premier de l</w:t>
      </w:r>
      <w:r w:rsidR="00B12926">
        <w:rPr>
          <w:szCs w:val="22"/>
          <w:lang w:val="fr-FR"/>
        </w:rPr>
        <w:t>’</w:t>
      </w:r>
      <w:r w:rsidRPr="00F260A3">
        <w:rPr>
          <w:szCs w:val="22"/>
          <w:lang w:val="fr-FR"/>
        </w:rPr>
        <w:t>instrument visant la protection efficace et équilibrée des ressources génétiques et des savoirs traditionnels qui y sont associés.</w:t>
      </w:r>
    </w:p>
    <w:p w14:paraId="0EAA81A9" w14:textId="7D137FA0" w:rsidR="00F00174" w:rsidRPr="00F260A3" w:rsidRDefault="00F00174" w:rsidP="00C96FD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4.</w:t>
      </w:r>
      <w:r w:rsidRPr="00F260A3">
        <w:rPr>
          <w:rFonts w:ascii="Arial" w:hAnsi="Arial" w:cs="Arial"/>
          <w:sz w:val="22"/>
          <w:szCs w:val="22"/>
          <w:lang w:val="fr-FR"/>
        </w:rPr>
        <w:tab/>
        <w:t>L</w:t>
      </w:r>
      <w:r w:rsidR="00B12926">
        <w:rPr>
          <w:rFonts w:ascii="Arial" w:hAnsi="Arial" w:cs="Arial"/>
          <w:sz w:val="22"/>
          <w:szCs w:val="22"/>
          <w:lang w:val="fr-FR"/>
        </w:rPr>
        <w:t>’</w:t>
      </w:r>
      <w:r w:rsidRPr="00F260A3">
        <w:rPr>
          <w:rFonts w:ascii="Arial" w:hAnsi="Arial" w:cs="Arial"/>
          <w:sz w:val="22"/>
          <w:szCs w:val="22"/>
          <w:lang w:val="fr-FR"/>
        </w:rPr>
        <w:t>alinéa 6.4 reconnaît la marge de manœuvre politique déjà présente dans les régimes de brevet internationaux, régionaux et nationaux en matière de révocation d</w:t>
      </w:r>
      <w:r w:rsidR="00B12926">
        <w:rPr>
          <w:rFonts w:ascii="Arial" w:hAnsi="Arial" w:cs="Arial"/>
          <w:sz w:val="22"/>
          <w:szCs w:val="22"/>
          <w:lang w:val="fr-FR"/>
        </w:rPr>
        <w:t>’</w:t>
      </w:r>
      <w:r w:rsidRPr="00F260A3">
        <w:rPr>
          <w:rFonts w:ascii="Arial" w:hAnsi="Arial" w:cs="Arial"/>
          <w:sz w:val="22"/>
          <w:szCs w:val="22"/>
          <w:lang w:val="fr-FR"/>
        </w:rPr>
        <w:t>un brevet ou de réduction de son champ d</w:t>
      </w:r>
      <w:r w:rsidR="00B12926">
        <w:rPr>
          <w:rFonts w:ascii="Arial" w:hAnsi="Arial" w:cs="Arial"/>
          <w:sz w:val="22"/>
          <w:szCs w:val="22"/>
          <w:lang w:val="fr-FR"/>
        </w:rPr>
        <w:t>’</w:t>
      </w:r>
      <w:r w:rsidRPr="00F260A3">
        <w:rPr>
          <w:rFonts w:ascii="Arial" w:hAnsi="Arial" w:cs="Arial"/>
          <w:sz w:val="22"/>
          <w:szCs w:val="22"/>
          <w:lang w:val="fr-FR"/>
        </w:rPr>
        <w:t>application après sa délivrance dans des cas extrêmes tels que la communication d</w:t>
      </w:r>
      <w:r w:rsidR="00B12926">
        <w:rPr>
          <w:rFonts w:ascii="Arial" w:hAnsi="Arial" w:cs="Arial"/>
          <w:sz w:val="22"/>
          <w:szCs w:val="22"/>
          <w:lang w:val="fr-FR"/>
        </w:rPr>
        <w:t>’</w:t>
      </w:r>
      <w:r w:rsidRPr="00F260A3">
        <w:rPr>
          <w:rFonts w:ascii="Arial" w:hAnsi="Arial" w:cs="Arial"/>
          <w:sz w:val="22"/>
          <w:szCs w:val="22"/>
          <w:lang w:val="fr-FR"/>
        </w:rPr>
        <w:t>informations fausses ou frauduleuses, soit par l</w:t>
      </w:r>
      <w:r w:rsidR="00B12926">
        <w:rPr>
          <w:rFonts w:ascii="Arial" w:hAnsi="Arial" w:cs="Arial"/>
          <w:sz w:val="22"/>
          <w:szCs w:val="22"/>
          <w:lang w:val="fr-FR"/>
        </w:rPr>
        <w:t>’</w:t>
      </w:r>
      <w:r w:rsidRPr="00F260A3">
        <w:rPr>
          <w:rFonts w:ascii="Arial" w:hAnsi="Arial" w:cs="Arial"/>
          <w:sz w:val="22"/>
          <w:szCs w:val="22"/>
          <w:lang w:val="fr-FR"/>
        </w:rPr>
        <w:t>office des brevets soit au travers d</w:t>
      </w:r>
      <w:r w:rsidR="00B12926">
        <w:rPr>
          <w:rFonts w:ascii="Arial" w:hAnsi="Arial" w:cs="Arial"/>
          <w:sz w:val="22"/>
          <w:szCs w:val="22"/>
          <w:lang w:val="fr-FR"/>
        </w:rPr>
        <w:t>’</w:t>
      </w:r>
      <w:r w:rsidRPr="00F260A3">
        <w:rPr>
          <w:rFonts w:ascii="Arial" w:hAnsi="Arial" w:cs="Arial"/>
          <w:sz w:val="22"/>
          <w:szCs w:val="22"/>
          <w:lang w:val="fr-FR"/>
        </w:rPr>
        <w:t>une procédure judiciaire intentée par un tie</w:t>
      </w:r>
      <w:r w:rsidR="004D4B77" w:rsidRPr="00F260A3">
        <w:rPr>
          <w:rFonts w:ascii="Arial" w:hAnsi="Arial" w:cs="Arial"/>
          <w:sz w:val="22"/>
          <w:szCs w:val="22"/>
          <w:lang w:val="fr-FR"/>
        </w:rPr>
        <w:t>rs</w:t>
      </w:r>
      <w:r w:rsidR="004D4B77">
        <w:rPr>
          <w:rFonts w:ascii="Arial" w:hAnsi="Arial" w:cs="Arial"/>
          <w:sz w:val="22"/>
          <w:szCs w:val="22"/>
          <w:lang w:val="fr-FR"/>
        </w:rPr>
        <w:t xml:space="preserve">.  </w:t>
      </w:r>
      <w:r w:rsidR="004D4B77" w:rsidRPr="00F260A3">
        <w:rPr>
          <w:rFonts w:ascii="Arial" w:hAnsi="Arial" w:cs="Arial"/>
          <w:sz w:val="22"/>
          <w:szCs w:val="22"/>
          <w:lang w:val="fr-FR"/>
        </w:rPr>
        <w:t>L</w:t>
      </w:r>
      <w:r w:rsidR="004D4B77">
        <w:rPr>
          <w:rFonts w:ascii="Arial" w:hAnsi="Arial" w:cs="Arial"/>
          <w:sz w:val="22"/>
          <w:szCs w:val="22"/>
          <w:lang w:val="fr-FR"/>
        </w:rPr>
        <w:t>’</w:t>
      </w:r>
      <w:r w:rsidR="004D4B77" w:rsidRPr="00F260A3">
        <w:rPr>
          <w:rFonts w:ascii="Arial" w:hAnsi="Arial" w:cs="Arial"/>
          <w:sz w:val="22"/>
          <w:szCs w:val="22"/>
          <w:lang w:val="fr-FR"/>
        </w:rPr>
        <w:t>a</w:t>
      </w:r>
      <w:r w:rsidRPr="00F260A3">
        <w:rPr>
          <w:rFonts w:ascii="Arial" w:hAnsi="Arial" w:cs="Arial"/>
          <w:sz w:val="22"/>
          <w:szCs w:val="22"/>
          <w:lang w:val="fr-FR"/>
        </w:rPr>
        <w:t>linéa 6.5 reconnaît les conséquences graves de la révocation d</w:t>
      </w:r>
      <w:r w:rsidR="00B12926">
        <w:rPr>
          <w:rFonts w:ascii="Arial" w:hAnsi="Arial" w:cs="Arial"/>
          <w:sz w:val="22"/>
          <w:szCs w:val="22"/>
          <w:lang w:val="fr-FR"/>
        </w:rPr>
        <w:t>’</w:t>
      </w:r>
      <w:r w:rsidRPr="00F260A3">
        <w:rPr>
          <w:rFonts w:ascii="Arial" w:hAnsi="Arial" w:cs="Arial"/>
          <w:sz w:val="22"/>
          <w:szCs w:val="22"/>
          <w:lang w:val="fr-FR"/>
        </w:rPr>
        <w:t>un brevet pour un fournisseur et un utilisateur, et impose la mise en place d</w:t>
      </w:r>
      <w:r w:rsidR="00B12926">
        <w:rPr>
          <w:rFonts w:ascii="Arial" w:hAnsi="Arial" w:cs="Arial"/>
          <w:sz w:val="22"/>
          <w:szCs w:val="22"/>
          <w:lang w:val="fr-FR"/>
        </w:rPr>
        <w:t>’</w:t>
      </w:r>
      <w:r w:rsidRPr="00F260A3">
        <w:rPr>
          <w:rFonts w:ascii="Arial" w:hAnsi="Arial" w:cs="Arial"/>
          <w:sz w:val="22"/>
          <w:szCs w:val="22"/>
          <w:lang w:val="fr-FR"/>
        </w:rPr>
        <w:t>un mode de règlement des litiges au niveau national permettant à toutes les parties de parvenir à une solution mutuellement convenue, telle que la négociation d</w:t>
      </w:r>
      <w:r w:rsidR="00B12926">
        <w:rPr>
          <w:rFonts w:ascii="Arial" w:hAnsi="Arial" w:cs="Arial"/>
          <w:sz w:val="22"/>
          <w:szCs w:val="22"/>
          <w:lang w:val="fr-FR"/>
        </w:rPr>
        <w:t>’</w:t>
      </w:r>
      <w:r w:rsidRPr="00F260A3">
        <w:rPr>
          <w:rFonts w:ascii="Arial" w:hAnsi="Arial" w:cs="Arial"/>
          <w:sz w:val="22"/>
          <w:szCs w:val="22"/>
          <w:lang w:val="fr-FR"/>
        </w:rPr>
        <w:t>un accord de redevance.</w:t>
      </w:r>
    </w:p>
    <w:p w14:paraId="3E3CDBA1" w14:textId="37776C31" w:rsidR="0078326D" w:rsidRPr="00E41678" w:rsidRDefault="00F00174" w:rsidP="00C96FD6">
      <w:pPr>
        <w:jc w:val="center"/>
        <w:rPr>
          <w:b/>
          <w:szCs w:val="22"/>
          <w:lang w:val="fr-FR"/>
        </w:rPr>
      </w:pPr>
      <w:r w:rsidRPr="00E41678">
        <w:rPr>
          <w:szCs w:val="22"/>
          <w:lang w:val="fr-FR"/>
        </w:rPr>
        <w:br w:type="page"/>
      </w:r>
    </w:p>
    <w:p w14:paraId="15EF6E06" w14:textId="2E10044A" w:rsidR="00F00174" w:rsidRPr="00E41678" w:rsidRDefault="00F00174" w:rsidP="00C96FD6">
      <w:pPr>
        <w:keepLines/>
        <w:spacing w:after="220"/>
        <w:rPr>
          <w:rFonts w:eastAsia="Calibri"/>
          <w:szCs w:val="22"/>
          <w:u w:val="single"/>
          <w:lang w:val="fr-FR"/>
        </w:rPr>
      </w:pPr>
      <w:r w:rsidRPr="00E41678">
        <w:rPr>
          <w:szCs w:val="22"/>
          <w:u w:val="single"/>
          <w:lang w:val="fr-FR"/>
        </w:rPr>
        <w:t>Notes relatives à l</w:t>
      </w:r>
      <w:r w:rsidR="00B12926">
        <w:rPr>
          <w:szCs w:val="22"/>
          <w:u w:val="single"/>
          <w:lang w:val="fr-FR"/>
        </w:rPr>
        <w:t>’</w:t>
      </w:r>
      <w:r w:rsidRPr="00E41678">
        <w:rPr>
          <w:szCs w:val="22"/>
          <w:u w:val="single"/>
          <w:lang w:val="fr-FR"/>
        </w:rPr>
        <w:t>article 9</w:t>
      </w:r>
    </w:p>
    <w:p w14:paraId="1D5CA589" w14:textId="02C2AA6B" w:rsidR="00F00174" w:rsidRPr="00E41678" w:rsidRDefault="00F00174" w:rsidP="00C96FD6">
      <w:pPr>
        <w:keepLines/>
        <w:spacing w:after="220"/>
        <w:rPr>
          <w:rFonts w:eastAsia="Calibri"/>
          <w:szCs w:val="22"/>
          <w:lang w:val="fr-FR"/>
        </w:rPr>
      </w:pPr>
      <w:r w:rsidRPr="00E41678">
        <w:rPr>
          <w:szCs w:val="22"/>
          <w:lang w:val="fr-FR"/>
        </w:rPr>
        <w:t>1.</w:t>
      </w:r>
      <w:r w:rsidRPr="00E41678">
        <w:rPr>
          <w:szCs w:val="22"/>
          <w:lang w:val="fr-FR"/>
        </w:rPr>
        <w:tab/>
        <w:t>Cet article est un compromis élaboré en réponse à l</w:t>
      </w:r>
      <w:r w:rsidR="00B12926">
        <w:rPr>
          <w:szCs w:val="22"/>
          <w:lang w:val="fr-FR"/>
        </w:rPr>
        <w:t>’</w:t>
      </w:r>
      <w:r w:rsidRPr="00E41678">
        <w:rPr>
          <w:szCs w:val="22"/>
          <w:lang w:val="fr-FR"/>
        </w:rPr>
        <w:t>opinion de certains membres selon laquelle la portée de l</w:t>
      </w:r>
      <w:r w:rsidR="00B12926">
        <w:rPr>
          <w:szCs w:val="22"/>
          <w:lang w:val="fr-FR"/>
        </w:rPr>
        <w:t>’</w:t>
      </w:r>
      <w:r w:rsidRPr="00E41678">
        <w:rPr>
          <w:szCs w:val="22"/>
          <w:lang w:val="fr-FR"/>
        </w:rPr>
        <w:t>instrument devrait inclure d</w:t>
      </w:r>
      <w:r w:rsidR="00B12926">
        <w:rPr>
          <w:szCs w:val="22"/>
          <w:lang w:val="fr-FR"/>
        </w:rPr>
        <w:t>’</w:t>
      </w:r>
      <w:r w:rsidRPr="00E41678">
        <w:rPr>
          <w:szCs w:val="22"/>
          <w:lang w:val="fr-FR"/>
        </w:rPr>
        <w:t>autres droits et questions relatifs à la propriété intellectuel</w:t>
      </w:r>
      <w:r w:rsidR="004D4B77" w:rsidRPr="00E41678">
        <w:rPr>
          <w:szCs w:val="22"/>
          <w:lang w:val="fr-FR"/>
        </w:rPr>
        <w:t>le</w:t>
      </w:r>
      <w:r w:rsidR="004D4B77">
        <w:rPr>
          <w:szCs w:val="22"/>
          <w:lang w:val="fr-FR"/>
        </w:rPr>
        <w:t xml:space="preserve">.  </w:t>
      </w:r>
      <w:r w:rsidR="004D4B77" w:rsidRPr="00E41678">
        <w:rPr>
          <w:szCs w:val="22"/>
          <w:lang w:val="fr-FR"/>
        </w:rPr>
        <w:t>No</w:t>
      </w:r>
      <w:r w:rsidRPr="00E41678">
        <w:rPr>
          <w:szCs w:val="22"/>
          <w:lang w:val="fr-FR"/>
        </w:rPr>
        <w:t>nobstant cette opinion, les membres reconnaissent également que l</w:t>
      </w:r>
      <w:r w:rsidR="00B12926">
        <w:rPr>
          <w:szCs w:val="22"/>
          <w:lang w:val="fr-FR"/>
        </w:rPr>
        <w:t>’</w:t>
      </w:r>
      <w:r w:rsidRPr="00E41678">
        <w:rPr>
          <w:szCs w:val="22"/>
          <w:lang w:val="fr-FR"/>
        </w:rPr>
        <w:t>utilisation commerciale principale des ressources génétiques au sein du système de la propriété intellectuelle s</w:t>
      </w:r>
      <w:r w:rsidR="00B12926">
        <w:rPr>
          <w:szCs w:val="22"/>
          <w:lang w:val="fr-FR"/>
        </w:rPr>
        <w:t>’</w:t>
      </w:r>
      <w:r w:rsidRPr="00E41678">
        <w:rPr>
          <w:szCs w:val="22"/>
          <w:lang w:val="fr-FR"/>
        </w:rPr>
        <w:t>inscrit dans le cadre du système des brevets, et qu</w:t>
      </w:r>
      <w:r w:rsidR="00B12926">
        <w:rPr>
          <w:szCs w:val="22"/>
          <w:lang w:val="fr-FR"/>
        </w:rPr>
        <w:t>’</w:t>
      </w:r>
      <w:r w:rsidRPr="00E41678">
        <w:rPr>
          <w:szCs w:val="22"/>
          <w:lang w:val="fr-FR"/>
        </w:rPr>
        <w:t>il est nécessaire de poursuivre les travaux en vue de déterminer l</w:t>
      </w:r>
      <w:r w:rsidR="00B12926">
        <w:rPr>
          <w:szCs w:val="22"/>
          <w:lang w:val="fr-FR"/>
        </w:rPr>
        <w:t>’</w:t>
      </w:r>
      <w:r w:rsidRPr="00E41678">
        <w:rPr>
          <w:szCs w:val="22"/>
          <w:lang w:val="fr-FR"/>
        </w:rPr>
        <w:t>applicabilité à d</w:t>
      </w:r>
      <w:r w:rsidR="00B12926">
        <w:rPr>
          <w:szCs w:val="22"/>
          <w:lang w:val="fr-FR"/>
        </w:rPr>
        <w:t>’</w:t>
      </w:r>
      <w:r w:rsidRPr="00E41678">
        <w:rPr>
          <w:szCs w:val="22"/>
          <w:lang w:val="fr-FR"/>
        </w:rPr>
        <w:t>autres droits de propriété intellectuel</w:t>
      </w:r>
      <w:r w:rsidR="004D4B77" w:rsidRPr="00E41678">
        <w:rPr>
          <w:szCs w:val="22"/>
          <w:lang w:val="fr-FR"/>
        </w:rPr>
        <w:t>le</w:t>
      </w:r>
      <w:r w:rsidR="004D4B77">
        <w:rPr>
          <w:szCs w:val="22"/>
          <w:lang w:val="fr-FR"/>
        </w:rPr>
        <w:t xml:space="preserve">.  </w:t>
      </w:r>
      <w:r w:rsidR="004D4B77" w:rsidRPr="00E41678">
        <w:rPr>
          <w:szCs w:val="22"/>
          <w:lang w:val="fr-FR"/>
        </w:rPr>
        <w:t>De</w:t>
      </w:r>
      <w:r w:rsidRPr="00E41678">
        <w:rPr>
          <w:szCs w:val="22"/>
          <w:lang w:val="fr-FR"/>
        </w:rPr>
        <w:t xml:space="preserve"> plus, cet article tente de réconcilier les différents points de vue concernant l</w:t>
      </w:r>
      <w:r w:rsidR="00B12926">
        <w:rPr>
          <w:szCs w:val="22"/>
          <w:lang w:val="fr-FR"/>
        </w:rPr>
        <w:t>’</w:t>
      </w:r>
      <w:r w:rsidRPr="00E41678">
        <w:rPr>
          <w:szCs w:val="22"/>
          <w:lang w:val="fr-FR"/>
        </w:rPr>
        <w:t>inclusion des dérivés dans le champ d</w:t>
      </w:r>
      <w:r w:rsidR="00B12926">
        <w:rPr>
          <w:szCs w:val="22"/>
          <w:lang w:val="fr-FR"/>
        </w:rPr>
        <w:t>’</w:t>
      </w:r>
      <w:r w:rsidRPr="00E41678">
        <w:rPr>
          <w:szCs w:val="22"/>
          <w:lang w:val="fr-FR"/>
        </w:rPr>
        <w:t>application de l</w:t>
      </w:r>
      <w:r w:rsidR="00B12926">
        <w:rPr>
          <w:szCs w:val="22"/>
          <w:lang w:val="fr-FR"/>
        </w:rPr>
        <w:t>’</w:t>
      </w:r>
      <w:r w:rsidRPr="00E41678">
        <w:rPr>
          <w:szCs w:val="22"/>
          <w:lang w:val="fr-FR"/>
        </w:rPr>
        <w:t>instrume</w:t>
      </w:r>
      <w:r w:rsidR="004D4B77" w:rsidRPr="00E41678">
        <w:rPr>
          <w:szCs w:val="22"/>
          <w:lang w:val="fr-FR"/>
        </w:rPr>
        <w:t>nt</w:t>
      </w:r>
      <w:r w:rsidR="004D4B77">
        <w:rPr>
          <w:szCs w:val="22"/>
          <w:lang w:val="fr-FR"/>
        </w:rPr>
        <w:t xml:space="preserve">.  </w:t>
      </w:r>
      <w:r w:rsidR="004D4B77" w:rsidRPr="00E41678">
        <w:rPr>
          <w:szCs w:val="22"/>
          <w:lang w:val="fr-FR"/>
        </w:rPr>
        <w:t>Ce</w:t>
      </w:r>
      <w:r w:rsidRPr="00E41678">
        <w:rPr>
          <w:szCs w:val="22"/>
          <w:lang w:val="fr-FR"/>
        </w:rPr>
        <w:t>la semble prudent compte tenu des discussions en cours dans d</w:t>
      </w:r>
      <w:r w:rsidR="00B12926">
        <w:rPr>
          <w:szCs w:val="22"/>
          <w:lang w:val="fr-FR"/>
        </w:rPr>
        <w:t>’</w:t>
      </w:r>
      <w:r w:rsidRPr="00E41678">
        <w:rPr>
          <w:szCs w:val="22"/>
          <w:lang w:val="fr-FR"/>
        </w:rPr>
        <w:t>autres enceintes internationales.</w:t>
      </w:r>
    </w:p>
    <w:p w14:paraId="06474BF2" w14:textId="03C9BD05" w:rsidR="00F00174" w:rsidRPr="00E41678" w:rsidRDefault="00F00174" w:rsidP="00C96FD6">
      <w:pPr>
        <w:keepLines/>
        <w:spacing w:after="220"/>
        <w:rPr>
          <w:rFonts w:eastAsia="Calibri"/>
          <w:szCs w:val="22"/>
          <w:lang w:val="fr-FR"/>
        </w:rPr>
      </w:pPr>
      <w:r w:rsidRPr="00E41678">
        <w:rPr>
          <w:szCs w:val="22"/>
          <w:lang w:val="fr-FR"/>
        </w:rPr>
        <w:t>2.</w:t>
      </w:r>
      <w:r w:rsidRPr="00E41678">
        <w:rPr>
          <w:szCs w:val="22"/>
          <w:lang w:val="fr-FR"/>
        </w:rPr>
        <w:tab/>
        <w:t>Cette approche permet de faire progresser l</w:t>
      </w:r>
      <w:r w:rsidR="00B12926">
        <w:rPr>
          <w:szCs w:val="22"/>
          <w:lang w:val="fr-FR"/>
        </w:rPr>
        <w:t>’</w:t>
      </w:r>
      <w:r w:rsidRPr="00E41678">
        <w:rPr>
          <w:szCs w:val="22"/>
          <w:lang w:val="fr-FR"/>
        </w:rPr>
        <w:t>instrument en tant qu</w:t>
      </w:r>
      <w:r w:rsidR="00B12926">
        <w:rPr>
          <w:szCs w:val="22"/>
          <w:lang w:val="fr-FR"/>
        </w:rPr>
        <w:t>’</w:t>
      </w:r>
      <w:r w:rsidRPr="00E41678">
        <w:rPr>
          <w:szCs w:val="22"/>
          <w:lang w:val="fr-FR"/>
        </w:rPr>
        <w:t>instrument fondateur doté d</w:t>
      </w:r>
      <w:r w:rsidR="00B12926">
        <w:rPr>
          <w:szCs w:val="22"/>
          <w:lang w:val="fr-FR"/>
        </w:rPr>
        <w:t>’</w:t>
      </w:r>
      <w:r w:rsidRPr="00E41678">
        <w:rPr>
          <w:szCs w:val="22"/>
          <w:lang w:val="fr-FR"/>
        </w:rPr>
        <w:t>un mécanisme intégré en vue de traiter toutes questions supplémentaires dans un délai prédéterminé.</w:t>
      </w:r>
    </w:p>
    <w:p w14:paraId="5C8F9F89" w14:textId="58DBF35C" w:rsidR="000F5E56" w:rsidRPr="002D3E37" w:rsidRDefault="00F00174" w:rsidP="00C96FD6">
      <w:pPr>
        <w:pStyle w:val="Endofdocument-Annex"/>
        <w:rPr>
          <w:lang w:val="fr-FR"/>
        </w:rPr>
      </w:pPr>
      <w:r w:rsidRPr="00E41678">
        <w:rPr>
          <w:lang w:val="fr-FR"/>
        </w:rPr>
        <w:t>[Fin de l</w:t>
      </w:r>
      <w:r w:rsidR="00B12926">
        <w:rPr>
          <w:lang w:val="fr-FR"/>
        </w:rPr>
        <w:t>’</w:t>
      </w:r>
      <w:r w:rsidRPr="00E41678">
        <w:rPr>
          <w:lang w:val="fr-FR"/>
        </w:rPr>
        <w:t>annexe et du document]</w:t>
      </w:r>
    </w:p>
    <w:sectPr w:rsidR="000F5E56" w:rsidRPr="002D3E37" w:rsidSect="00A40606">
      <w:headerReference w:type="even" r:id="rId11"/>
      <w:headerReference w:type="default" r:id="rId12"/>
      <w:footerReference w:type="even" r:id="rId13"/>
      <w:foot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3B9A" w14:textId="77777777" w:rsidR="00DB654E" w:rsidRDefault="00DB654E">
      <w:r>
        <w:separator/>
      </w:r>
    </w:p>
  </w:endnote>
  <w:endnote w:type="continuationSeparator" w:id="0">
    <w:p w14:paraId="22EBB3B7" w14:textId="77777777" w:rsidR="00DB654E" w:rsidRPr="009D30E6" w:rsidRDefault="00DB654E" w:rsidP="00D45252">
      <w:pPr>
        <w:rPr>
          <w:sz w:val="17"/>
          <w:szCs w:val="17"/>
        </w:rPr>
      </w:pPr>
      <w:r w:rsidRPr="009D30E6">
        <w:rPr>
          <w:sz w:val="17"/>
          <w:szCs w:val="17"/>
        </w:rPr>
        <w:separator/>
      </w:r>
    </w:p>
    <w:p w14:paraId="475A2B27" w14:textId="77777777" w:rsidR="00DB654E" w:rsidRPr="009D30E6" w:rsidRDefault="00DB654E" w:rsidP="00D45252">
      <w:pPr>
        <w:spacing w:after="60"/>
        <w:rPr>
          <w:sz w:val="17"/>
          <w:szCs w:val="17"/>
        </w:rPr>
      </w:pPr>
      <w:r w:rsidRPr="009D30E6">
        <w:rPr>
          <w:sz w:val="17"/>
          <w:szCs w:val="17"/>
        </w:rPr>
        <w:t>[Suite de la note de la page précédente]</w:t>
      </w:r>
    </w:p>
  </w:endnote>
  <w:endnote w:type="continuationNotice" w:id="1">
    <w:p w14:paraId="63922E1D" w14:textId="77777777" w:rsidR="00DB654E" w:rsidRPr="009D30E6" w:rsidRDefault="00DB654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863A" w14:textId="77777777" w:rsidR="00F85DC4" w:rsidRDefault="00C96FD6"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6214" w14:textId="77777777" w:rsidR="00F85DC4" w:rsidRDefault="00C9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1773" w14:textId="77777777" w:rsidR="00DB654E" w:rsidRDefault="00DB654E">
      <w:r>
        <w:separator/>
      </w:r>
    </w:p>
  </w:footnote>
  <w:footnote w:type="continuationSeparator" w:id="0">
    <w:p w14:paraId="099AFE64" w14:textId="77777777" w:rsidR="00DB654E" w:rsidRDefault="00DB654E" w:rsidP="007461F1">
      <w:r>
        <w:separator/>
      </w:r>
    </w:p>
    <w:p w14:paraId="1A1DFAD4" w14:textId="77777777" w:rsidR="00DB654E" w:rsidRPr="009D30E6" w:rsidRDefault="00DB654E" w:rsidP="007461F1">
      <w:pPr>
        <w:spacing w:after="60"/>
        <w:rPr>
          <w:sz w:val="17"/>
          <w:szCs w:val="17"/>
        </w:rPr>
      </w:pPr>
      <w:r w:rsidRPr="009D30E6">
        <w:rPr>
          <w:sz w:val="17"/>
          <w:szCs w:val="17"/>
        </w:rPr>
        <w:t>[Suite de la note de la page précédente]</w:t>
      </w:r>
    </w:p>
  </w:footnote>
  <w:footnote w:type="continuationNotice" w:id="1">
    <w:p w14:paraId="3CF3584A" w14:textId="77777777" w:rsidR="00DB654E" w:rsidRPr="009D30E6" w:rsidRDefault="00DB654E" w:rsidP="007461F1">
      <w:pPr>
        <w:spacing w:before="60"/>
        <w:jc w:val="right"/>
        <w:rPr>
          <w:sz w:val="17"/>
          <w:szCs w:val="17"/>
        </w:rPr>
      </w:pPr>
      <w:r w:rsidRPr="009D30E6">
        <w:rPr>
          <w:sz w:val="17"/>
          <w:szCs w:val="17"/>
        </w:rPr>
        <w:t>[Suite de la note page suivante]</w:t>
      </w:r>
    </w:p>
  </w:footnote>
  <w:footnote w:id="2">
    <w:p w14:paraId="7CDD8386" w14:textId="77777777" w:rsidR="00F00174" w:rsidRPr="001769AD" w:rsidRDefault="00F00174" w:rsidP="005A151B">
      <w:pPr>
        <w:pStyle w:val="FootnoteText"/>
        <w:rPr>
          <w:szCs w:val="18"/>
          <w:lang w:val="en-US"/>
        </w:rPr>
      </w:pPr>
      <w:r w:rsidRPr="00EF441F">
        <w:rPr>
          <w:rStyle w:val="FootnoteReference"/>
          <w:szCs w:val="18"/>
          <w:lang w:val="fr-FR"/>
        </w:rPr>
        <w:footnoteRef/>
      </w:r>
      <w:r w:rsidRPr="001769AD">
        <w:rPr>
          <w:szCs w:val="18"/>
          <w:lang w:val="en-US"/>
        </w:rPr>
        <w:t xml:space="preserve"> </w:t>
      </w:r>
      <w:r w:rsidRPr="001769AD">
        <w:rPr>
          <w:szCs w:val="18"/>
          <w:lang w:val="en-US"/>
        </w:rPr>
        <w:tab/>
        <w:t>Document WIPO/GRTKF/IC/8/11.</w:t>
      </w:r>
    </w:p>
  </w:footnote>
  <w:footnote w:id="3">
    <w:p w14:paraId="590BA776" w14:textId="77777777" w:rsidR="00F00174" w:rsidRPr="001769AD" w:rsidRDefault="00F00174" w:rsidP="005A151B">
      <w:pPr>
        <w:pStyle w:val="FootnoteText"/>
        <w:rPr>
          <w:szCs w:val="18"/>
          <w:lang w:val="en-US"/>
        </w:rPr>
      </w:pPr>
      <w:r w:rsidRPr="00EF441F">
        <w:rPr>
          <w:rStyle w:val="FootnoteReference"/>
          <w:szCs w:val="18"/>
          <w:lang w:val="fr-FR"/>
        </w:rPr>
        <w:footnoteRef/>
      </w:r>
      <w:r w:rsidRPr="001769AD">
        <w:rPr>
          <w:szCs w:val="18"/>
          <w:lang w:val="en-US"/>
        </w:rPr>
        <w:t xml:space="preserve"> </w:t>
      </w:r>
      <w:r w:rsidRPr="001769AD">
        <w:rPr>
          <w:szCs w:val="18"/>
          <w:lang w:val="en-US"/>
        </w:rPr>
        <w:tab/>
        <w:t>Oxford Dictionary of English (</w:t>
      </w:r>
      <w:proofErr w:type="spellStart"/>
      <w:r w:rsidRPr="001769AD">
        <w:rPr>
          <w:szCs w:val="18"/>
          <w:lang w:val="en-US"/>
        </w:rPr>
        <w:t>troisième</w:t>
      </w:r>
      <w:proofErr w:type="spellEnd"/>
      <w:r w:rsidRPr="001769AD">
        <w:rPr>
          <w:szCs w:val="18"/>
          <w:lang w:val="en-US"/>
        </w:rPr>
        <w:t> </w:t>
      </w:r>
      <w:proofErr w:type="spellStart"/>
      <w:r w:rsidRPr="001769AD">
        <w:rPr>
          <w:szCs w:val="18"/>
          <w:lang w:val="en-US"/>
        </w:rPr>
        <w:t>édition</w:t>
      </w:r>
      <w:proofErr w:type="spellEnd"/>
      <w:r w:rsidRPr="001769AD">
        <w:rPr>
          <w:szCs w:val="18"/>
          <w:lang w:val="en-US"/>
        </w:rPr>
        <w:t>) (2010), OUP Oxford.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CEC4" w14:textId="77777777" w:rsidR="00DB654E" w:rsidRPr="001769AD" w:rsidRDefault="00DB654E">
    <w:pPr>
      <w:pStyle w:val="Header"/>
      <w:jc w:val="right"/>
      <w:rPr>
        <w:lang w:val="en-US"/>
      </w:rPr>
    </w:pPr>
    <w:r w:rsidRPr="001769AD">
      <w:rPr>
        <w:lang w:val="en-US"/>
      </w:rPr>
      <w:t>WIPO/GRTKF/IC/SS/GE/23/2</w:t>
    </w:r>
  </w:p>
  <w:p w14:paraId="179217F6" w14:textId="77777777" w:rsidR="00DB654E" w:rsidRPr="009F285E" w:rsidRDefault="00DB654E" w:rsidP="002B1BC2">
    <w:pPr>
      <w:pStyle w:val="Header"/>
      <w:spacing w:after="240"/>
      <w:jc w:val="right"/>
    </w:pPr>
    <w:proofErr w:type="gramStart"/>
    <w:r>
      <w:t>page</w:t>
    </w:r>
    <w:proofErr w:type="gramEnd"/>
    <w:r w:rsidR="00EC4960">
      <w:t> </w:t>
    </w:r>
    <w:r>
      <w:fldChar w:fldCharType="begin"/>
    </w:r>
    <w:r>
      <w:instrText xml:space="preserve"> PAGE   \* MERGEFORMAT </w:instrText>
    </w:r>
    <w:r>
      <w:fldChar w:fldCharType="separate"/>
    </w:r>
    <w:r w:rsidR="001769AD">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C2B3" w14:textId="77777777" w:rsidR="00DB654E" w:rsidRDefault="00DB654E" w:rsidP="00AA7CE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B591" w14:textId="77777777" w:rsidR="00F85DC4" w:rsidRDefault="00C96FD6" w:rsidP="000F2AD2">
    <w:pPr>
      <w:jc w:val="right"/>
    </w:pPr>
  </w:p>
  <w:p w14:paraId="33717489" w14:textId="77777777" w:rsidR="00F85DC4" w:rsidRDefault="00F26EC1"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30</w:t>
    </w:r>
    <w:r>
      <w:fldChar w:fldCharType="end"/>
    </w:r>
  </w:p>
  <w:p w14:paraId="22908516" w14:textId="77777777" w:rsidR="00F85DC4" w:rsidRDefault="00C96FD6" w:rsidP="000F2AD2">
    <w:pPr>
      <w:jc w:val="right"/>
    </w:pPr>
  </w:p>
  <w:p w14:paraId="1D4E6440" w14:textId="77777777" w:rsidR="00F85DC4" w:rsidRDefault="00C96FD6"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5216" w14:textId="77777777" w:rsidR="0078326D" w:rsidRPr="002326AB" w:rsidRDefault="0078326D" w:rsidP="0078326D">
    <w:pPr>
      <w:jc w:val="right"/>
      <w:rPr>
        <w:caps/>
      </w:rPr>
    </w:pPr>
    <w:bookmarkStart w:id="5" w:name="Code2"/>
    <w:bookmarkEnd w:id="5"/>
    <w:r>
      <w:rPr>
        <w:caps/>
      </w:rPr>
      <w:t>GRATK/DC/INF/4</w:t>
    </w:r>
  </w:p>
  <w:p w14:paraId="7EBBE902" w14:textId="163579E2" w:rsidR="0078326D" w:rsidRDefault="0078326D" w:rsidP="0078326D">
    <w:pPr>
      <w:spacing w:after="480"/>
      <w:jc w:val="right"/>
    </w:pPr>
    <w:r>
      <w:t xml:space="preserve">Annexe, page </w:t>
    </w:r>
    <w:r>
      <w:fldChar w:fldCharType="begin"/>
    </w:r>
    <w:r>
      <w:instrText xml:space="preserve"> PAGE  \* MERGEFORMAT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48664"/>
      <w:docPartObj>
        <w:docPartGallery w:val="Page Numbers (Top of Page)"/>
        <w:docPartUnique/>
      </w:docPartObj>
    </w:sdtPr>
    <w:sdtEndPr>
      <w:rPr>
        <w:rFonts w:ascii="Times New Roman" w:hAnsi="Times New Roman" w:cs="Times New Roman"/>
        <w:noProof/>
        <w:szCs w:val="22"/>
      </w:rPr>
    </w:sdtEndPr>
    <w:sdtContent>
      <w:sdt>
        <w:sdtPr>
          <w:id w:val="1185947221"/>
          <w:docPartObj>
            <w:docPartGallery w:val="Page Numbers (Top of Page)"/>
            <w:docPartUnique/>
          </w:docPartObj>
        </w:sdtPr>
        <w:sdtEndPr>
          <w:rPr>
            <w:noProof/>
          </w:rPr>
        </w:sdtEndPr>
        <w:sdtContent>
          <w:p w14:paraId="059B6CB1" w14:textId="5DBDC8F2" w:rsidR="00F85DC4" w:rsidRDefault="007F0804" w:rsidP="0062775E">
            <w:pPr>
              <w:pStyle w:val="Header"/>
              <w:jc w:val="right"/>
            </w:pPr>
            <w:r>
              <w:t>GRATK/DC/INF/4</w:t>
            </w:r>
          </w:p>
          <w:p w14:paraId="36A56CB6" w14:textId="77777777" w:rsidR="00F85DC4" w:rsidRPr="0062775E" w:rsidRDefault="00F26EC1" w:rsidP="00F260A3">
            <w:pPr>
              <w:pStyle w:val="Header"/>
              <w:spacing w:after="480"/>
              <w:jc w:val="right"/>
              <w:rPr>
                <w:noProof/>
              </w:rPr>
            </w:pPr>
            <w:r>
              <w:t>ANNEXE</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42C51"/>
    <w:multiLevelType w:val="hybridMultilevel"/>
    <w:tmpl w:val="C722EFEC"/>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138D1"/>
    <w:multiLevelType w:val="hybridMultilevel"/>
    <w:tmpl w:val="E27C691E"/>
    <w:lvl w:ilvl="0" w:tplc="04090017">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7E6192"/>
    <w:multiLevelType w:val="hybridMultilevel"/>
    <w:tmpl w:val="E174C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6694C"/>
    <w:multiLevelType w:val="hybridMultilevel"/>
    <w:tmpl w:val="16007040"/>
    <w:lvl w:ilvl="0" w:tplc="04090017">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66481B17"/>
    <w:multiLevelType w:val="hybridMultilevel"/>
    <w:tmpl w:val="49B87076"/>
    <w:lvl w:ilvl="0" w:tplc="04090017">
      <w:start w:val="1"/>
      <w:numFmt w:val="lowerLetter"/>
      <w:lvlText w:val="%1)"/>
      <w:lvlJc w:val="left"/>
      <w:pPr>
        <w:ind w:left="1010" w:hanging="5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319C7"/>
    <w:multiLevelType w:val="hybridMultilevel"/>
    <w:tmpl w:val="2F3A1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9124472">
    <w:abstractNumId w:val="9"/>
  </w:num>
  <w:num w:numId="2" w16cid:durableId="783960210">
    <w:abstractNumId w:val="29"/>
  </w:num>
  <w:num w:numId="3" w16cid:durableId="1464957662">
    <w:abstractNumId w:val="0"/>
  </w:num>
  <w:num w:numId="4" w16cid:durableId="1940092666">
    <w:abstractNumId w:val="32"/>
  </w:num>
  <w:num w:numId="5" w16cid:durableId="1576090490">
    <w:abstractNumId w:val="4"/>
  </w:num>
  <w:num w:numId="6" w16cid:durableId="722338822">
    <w:abstractNumId w:val="15"/>
  </w:num>
  <w:num w:numId="7" w16cid:durableId="456920464">
    <w:abstractNumId w:val="43"/>
  </w:num>
  <w:num w:numId="8" w16cid:durableId="1560089538">
    <w:abstractNumId w:val="19"/>
  </w:num>
  <w:num w:numId="9" w16cid:durableId="79789717">
    <w:abstractNumId w:val="37"/>
  </w:num>
  <w:num w:numId="10" w16cid:durableId="1872260989">
    <w:abstractNumId w:val="13"/>
  </w:num>
  <w:num w:numId="11" w16cid:durableId="1935360516">
    <w:abstractNumId w:val="8"/>
  </w:num>
  <w:num w:numId="12" w16cid:durableId="2009861821">
    <w:abstractNumId w:val="45"/>
  </w:num>
  <w:num w:numId="13" w16cid:durableId="664094008">
    <w:abstractNumId w:val="38"/>
  </w:num>
  <w:num w:numId="14" w16cid:durableId="58211179">
    <w:abstractNumId w:val="21"/>
  </w:num>
  <w:num w:numId="15" w16cid:durableId="1931547536">
    <w:abstractNumId w:val="12"/>
  </w:num>
  <w:num w:numId="16" w16cid:durableId="660306505">
    <w:abstractNumId w:val="16"/>
  </w:num>
  <w:num w:numId="17" w16cid:durableId="1698659933">
    <w:abstractNumId w:val="17"/>
  </w:num>
  <w:num w:numId="18" w16cid:durableId="504589486">
    <w:abstractNumId w:val="25"/>
  </w:num>
  <w:num w:numId="19" w16cid:durableId="904679537">
    <w:abstractNumId w:val="24"/>
  </w:num>
  <w:num w:numId="20" w16cid:durableId="712652139">
    <w:abstractNumId w:val="41"/>
  </w:num>
  <w:num w:numId="21" w16cid:durableId="217400436">
    <w:abstractNumId w:val="3"/>
  </w:num>
  <w:num w:numId="22" w16cid:durableId="1063216015">
    <w:abstractNumId w:val="2"/>
  </w:num>
  <w:num w:numId="23" w16cid:durableId="826630935">
    <w:abstractNumId w:val="11"/>
  </w:num>
  <w:num w:numId="24" w16cid:durableId="2006392666">
    <w:abstractNumId w:val="30"/>
  </w:num>
  <w:num w:numId="25" w16cid:durableId="1554149465">
    <w:abstractNumId w:val="31"/>
  </w:num>
  <w:num w:numId="26" w16cid:durableId="1984039634">
    <w:abstractNumId w:val="28"/>
  </w:num>
  <w:num w:numId="27" w16cid:durableId="339115409">
    <w:abstractNumId w:val="1"/>
  </w:num>
  <w:num w:numId="28" w16cid:durableId="243564105">
    <w:abstractNumId w:val="14"/>
  </w:num>
  <w:num w:numId="29" w16cid:durableId="579994930">
    <w:abstractNumId w:val="26"/>
  </w:num>
  <w:num w:numId="30" w16cid:durableId="1966109617">
    <w:abstractNumId w:val="39"/>
  </w:num>
  <w:num w:numId="31" w16cid:durableId="2030711961">
    <w:abstractNumId w:val="35"/>
  </w:num>
  <w:num w:numId="32" w16cid:durableId="543836690">
    <w:abstractNumId w:val="22"/>
  </w:num>
  <w:num w:numId="33" w16cid:durableId="673269183">
    <w:abstractNumId w:val="23"/>
  </w:num>
  <w:num w:numId="34" w16cid:durableId="269094193">
    <w:abstractNumId w:val="18"/>
  </w:num>
  <w:num w:numId="35" w16cid:durableId="1869641820">
    <w:abstractNumId w:val="20"/>
  </w:num>
  <w:num w:numId="36" w16cid:durableId="1070662198">
    <w:abstractNumId w:val="5"/>
  </w:num>
  <w:num w:numId="37" w16cid:durableId="1988167491">
    <w:abstractNumId w:val="36"/>
  </w:num>
  <w:num w:numId="38" w16cid:durableId="1575430530">
    <w:abstractNumId w:val="6"/>
  </w:num>
  <w:num w:numId="39" w16cid:durableId="679240956">
    <w:abstractNumId w:val="42"/>
  </w:num>
  <w:num w:numId="40" w16cid:durableId="254293281">
    <w:abstractNumId w:val="7"/>
  </w:num>
  <w:num w:numId="41" w16cid:durableId="1468743208">
    <w:abstractNumId w:val="27"/>
  </w:num>
  <w:num w:numId="42" w16cid:durableId="1698115042">
    <w:abstractNumId w:val="34"/>
  </w:num>
  <w:num w:numId="43" w16cid:durableId="1136265376">
    <w:abstractNumId w:val="40"/>
  </w:num>
  <w:num w:numId="44" w16cid:durableId="1207108812">
    <w:abstractNumId w:val="10"/>
  </w:num>
  <w:num w:numId="45" w16cid:durableId="1028684037">
    <w:abstractNumId w:val="33"/>
  </w:num>
  <w:num w:numId="46" w16cid:durableId="1398551785">
    <w:abstractNumId w:val="44"/>
  </w:num>
  <w:num w:numId="47" w16cid:durableId="6876079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7792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4E"/>
    <w:rsid w:val="000025E3"/>
    <w:rsid w:val="00011B7D"/>
    <w:rsid w:val="00075432"/>
    <w:rsid w:val="0009458A"/>
    <w:rsid w:val="000F5E56"/>
    <w:rsid w:val="001362EE"/>
    <w:rsid w:val="001769AD"/>
    <w:rsid w:val="001832A6"/>
    <w:rsid w:val="00195C6E"/>
    <w:rsid w:val="001B266A"/>
    <w:rsid w:val="001B488E"/>
    <w:rsid w:val="001C6508"/>
    <w:rsid w:val="001D3D56"/>
    <w:rsid w:val="00240654"/>
    <w:rsid w:val="002634C4"/>
    <w:rsid w:val="002956DE"/>
    <w:rsid w:val="002B1BC2"/>
    <w:rsid w:val="002D3E37"/>
    <w:rsid w:val="002E4D1A"/>
    <w:rsid w:val="002F16BC"/>
    <w:rsid w:val="002F4E68"/>
    <w:rsid w:val="00322C0B"/>
    <w:rsid w:val="00381798"/>
    <w:rsid w:val="003845C1"/>
    <w:rsid w:val="003A67A3"/>
    <w:rsid w:val="003D1B43"/>
    <w:rsid w:val="004008A2"/>
    <w:rsid w:val="004025DF"/>
    <w:rsid w:val="0040540C"/>
    <w:rsid w:val="00423E3E"/>
    <w:rsid w:val="00427AF4"/>
    <w:rsid w:val="004647DA"/>
    <w:rsid w:val="00477D6B"/>
    <w:rsid w:val="00477F4A"/>
    <w:rsid w:val="004D4B77"/>
    <w:rsid w:val="004D6471"/>
    <w:rsid w:val="0051455D"/>
    <w:rsid w:val="00525B63"/>
    <w:rsid w:val="00525E59"/>
    <w:rsid w:val="00541348"/>
    <w:rsid w:val="005421DD"/>
    <w:rsid w:val="00554FA5"/>
    <w:rsid w:val="00567A4C"/>
    <w:rsid w:val="00574036"/>
    <w:rsid w:val="00595F07"/>
    <w:rsid w:val="005B2E5A"/>
    <w:rsid w:val="005E6516"/>
    <w:rsid w:val="00605827"/>
    <w:rsid w:val="00616671"/>
    <w:rsid w:val="006B0DB5"/>
    <w:rsid w:val="007461F1"/>
    <w:rsid w:val="0078326D"/>
    <w:rsid w:val="00792657"/>
    <w:rsid w:val="007D6961"/>
    <w:rsid w:val="007F07CB"/>
    <w:rsid w:val="007F0804"/>
    <w:rsid w:val="00810CEF"/>
    <w:rsid w:val="0081208D"/>
    <w:rsid w:val="0081262E"/>
    <w:rsid w:val="008B2CC1"/>
    <w:rsid w:val="008D41C3"/>
    <w:rsid w:val="008E7930"/>
    <w:rsid w:val="009058DD"/>
    <w:rsid w:val="0090731E"/>
    <w:rsid w:val="00966A22"/>
    <w:rsid w:val="00974CD6"/>
    <w:rsid w:val="009D30E6"/>
    <w:rsid w:val="009E3F6F"/>
    <w:rsid w:val="009F499F"/>
    <w:rsid w:val="00A11D74"/>
    <w:rsid w:val="00AC0AE4"/>
    <w:rsid w:val="00AD61DB"/>
    <w:rsid w:val="00B1090C"/>
    <w:rsid w:val="00B12926"/>
    <w:rsid w:val="00B35AF5"/>
    <w:rsid w:val="00B45C15"/>
    <w:rsid w:val="00BE0BE0"/>
    <w:rsid w:val="00C21CC0"/>
    <w:rsid w:val="00C576AB"/>
    <w:rsid w:val="00C63A63"/>
    <w:rsid w:val="00C664C8"/>
    <w:rsid w:val="00C96FD6"/>
    <w:rsid w:val="00CC6056"/>
    <w:rsid w:val="00CF0460"/>
    <w:rsid w:val="00D43E0F"/>
    <w:rsid w:val="00D45252"/>
    <w:rsid w:val="00D71B4D"/>
    <w:rsid w:val="00D75C1E"/>
    <w:rsid w:val="00D93D55"/>
    <w:rsid w:val="00DB1C48"/>
    <w:rsid w:val="00DB654E"/>
    <w:rsid w:val="00DD4917"/>
    <w:rsid w:val="00DD6A16"/>
    <w:rsid w:val="00E0091A"/>
    <w:rsid w:val="00E203AA"/>
    <w:rsid w:val="00E5217A"/>
    <w:rsid w:val="00E527A5"/>
    <w:rsid w:val="00E76456"/>
    <w:rsid w:val="00EC4960"/>
    <w:rsid w:val="00EE71CB"/>
    <w:rsid w:val="00F00174"/>
    <w:rsid w:val="00F16975"/>
    <w:rsid w:val="00F26EC1"/>
    <w:rsid w:val="00F66152"/>
    <w:rsid w:val="00FA40E5"/>
    <w:rsid w:val="00FE19E9"/>
    <w:rsid w:val="00FF09F0"/>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6EA1C0"/>
  <w15:docId w15:val="{3ABD5FF2-1512-417B-839C-2D84098A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2B1BC2"/>
    <w:pPr>
      <w:spacing w:before="720"/>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DB654E"/>
    <w:pPr>
      <w:spacing w:before="0" w:after="480"/>
    </w:pPr>
    <w:rPr>
      <w:caps w:val="0"/>
      <w:sz w:val="28"/>
    </w:rPr>
  </w:style>
  <w:style w:type="character" w:customStyle="1" w:styleId="TitleChar">
    <w:name w:val="Title Char"/>
    <w:basedOn w:val="DefaultParagraphFont"/>
    <w:link w:val="Title"/>
    <w:rsid w:val="00DB654E"/>
    <w:rPr>
      <w:rFonts w:ascii="Arial" w:eastAsia="SimSun" w:hAnsi="Arial" w:cs="Arial"/>
      <w:b/>
      <w:bCs/>
      <w:kern w:val="32"/>
      <w:sz w:val="28"/>
      <w:szCs w:val="32"/>
      <w:lang w:eastAsia="zh-CN"/>
    </w:rPr>
  </w:style>
  <w:style w:type="character" w:customStyle="1" w:styleId="HeaderChar">
    <w:name w:val="Header Char"/>
    <w:link w:val="Header"/>
    <w:rsid w:val="00DB654E"/>
    <w:rPr>
      <w:rFonts w:ascii="Arial" w:eastAsia="SimSun" w:hAnsi="Arial" w:cs="Arial"/>
      <w:sz w:val="22"/>
      <w:lang w:eastAsia="zh-CN"/>
    </w:rPr>
  </w:style>
  <w:style w:type="character" w:styleId="Hyperlink">
    <w:name w:val="Hyperlink"/>
    <w:basedOn w:val="DefaultParagraphFont"/>
    <w:uiPriority w:val="99"/>
    <w:unhideWhenUsed/>
    <w:rsid w:val="002D3E37"/>
    <w:rPr>
      <w:color w:val="0000FF" w:themeColor="hyperlink"/>
      <w:u w:val="single"/>
    </w:rPr>
  </w:style>
  <w:style w:type="paragraph" w:styleId="BalloonText">
    <w:name w:val="Balloon Text"/>
    <w:basedOn w:val="Normal"/>
    <w:link w:val="BalloonTextChar"/>
    <w:rsid w:val="00F00174"/>
    <w:rPr>
      <w:rFonts w:ascii="Tahoma" w:hAnsi="Tahoma" w:cs="Tahoma"/>
      <w:sz w:val="16"/>
      <w:szCs w:val="16"/>
      <w:lang w:val="en-AU"/>
    </w:rPr>
  </w:style>
  <w:style w:type="character" w:customStyle="1" w:styleId="BalloonTextChar">
    <w:name w:val="Balloon Text Char"/>
    <w:basedOn w:val="DefaultParagraphFont"/>
    <w:link w:val="BalloonText"/>
    <w:rsid w:val="00F00174"/>
    <w:rPr>
      <w:rFonts w:ascii="Tahoma" w:eastAsia="SimSun" w:hAnsi="Tahoma" w:cs="Tahoma"/>
      <w:sz w:val="16"/>
      <w:szCs w:val="16"/>
      <w:lang w:val="en-AU" w:eastAsia="zh-CN"/>
    </w:rPr>
  </w:style>
  <w:style w:type="paragraph" w:customStyle="1" w:styleId="DecisionInvitingPara">
    <w:name w:val="Decision Inviting Para."/>
    <w:basedOn w:val="Normal"/>
    <w:rsid w:val="00F00174"/>
    <w:pPr>
      <w:ind w:left="5534"/>
    </w:pPr>
    <w:rPr>
      <w:i/>
      <w:lang w:val="en-AU"/>
    </w:rPr>
  </w:style>
  <w:style w:type="character" w:styleId="FootnoteReference">
    <w:name w:val="footnote reference"/>
    <w:rsid w:val="00F00174"/>
    <w:rPr>
      <w:vertAlign w:val="superscript"/>
    </w:rPr>
  </w:style>
  <w:style w:type="character" w:customStyle="1" w:styleId="FootnoteTextChar">
    <w:name w:val="Footnote Text Char"/>
    <w:link w:val="FootnoteText"/>
    <w:semiHidden/>
    <w:rsid w:val="00F00174"/>
    <w:rPr>
      <w:rFonts w:ascii="Arial" w:eastAsia="SimSun" w:hAnsi="Arial" w:cs="Arial"/>
      <w:sz w:val="18"/>
      <w:lang w:eastAsia="zh-CN"/>
    </w:rPr>
  </w:style>
  <w:style w:type="paragraph" w:styleId="ListParagraph">
    <w:name w:val="List Paragraph"/>
    <w:basedOn w:val="Normal"/>
    <w:uiPriority w:val="34"/>
    <w:qFormat/>
    <w:rsid w:val="00F00174"/>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F00174"/>
  </w:style>
  <w:style w:type="character" w:styleId="CommentReference">
    <w:name w:val="annotation reference"/>
    <w:basedOn w:val="DefaultParagraphFont"/>
    <w:rsid w:val="00F00174"/>
    <w:rPr>
      <w:sz w:val="16"/>
      <w:szCs w:val="16"/>
    </w:rPr>
  </w:style>
  <w:style w:type="paragraph" w:styleId="CommentSubject">
    <w:name w:val="annotation subject"/>
    <w:basedOn w:val="CommentText"/>
    <w:next w:val="CommentText"/>
    <w:link w:val="CommentSubjectChar"/>
    <w:rsid w:val="00F00174"/>
    <w:rPr>
      <w:b/>
      <w:bCs/>
      <w:sz w:val="20"/>
      <w:lang w:val="en-AU"/>
    </w:rPr>
  </w:style>
  <w:style w:type="character" w:customStyle="1" w:styleId="CommentTextChar">
    <w:name w:val="Comment Text Char"/>
    <w:basedOn w:val="DefaultParagraphFont"/>
    <w:link w:val="CommentText"/>
    <w:semiHidden/>
    <w:rsid w:val="00F00174"/>
    <w:rPr>
      <w:rFonts w:ascii="Arial" w:eastAsia="SimSun" w:hAnsi="Arial" w:cs="Arial"/>
      <w:sz w:val="18"/>
      <w:lang w:eastAsia="zh-CN"/>
    </w:rPr>
  </w:style>
  <w:style w:type="character" w:customStyle="1" w:styleId="CommentSubjectChar">
    <w:name w:val="Comment Subject Char"/>
    <w:basedOn w:val="CommentTextChar"/>
    <w:link w:val="CommentSubject"/>
    <w:rsid w:val="00F00174"/>
    <w:rPr>
      <w:rFonts w:ascii="Arial" w:eastAsia="SimSun" w:hAnsi="Arial" w:cs="Arial"/>
      <w:b/>
      <w:bCs/>
      <w:sz w:val="18"/>
      <w:lang w:val="en-AU" w:eastAsia="zh-CN"/>
    </w:rPr>
  </w:style>
  <w:style w:type="paragraph" w:styleId="Revision">
    <w:name w:val="Revision"/>
    <w:hidden/>
    <w:uiPriority w:val="99"/>
    <w:semiHidden/>
    <w:rsid w:val="00F00174"/>
    <w:rPr>
      <w:rFonts w:ascii="Arial" w:eastAsia="SimSun" w:hAnsi="Arial" w:cs="Arial"/>
      <w:sz w:val="22"/>
      <w:lang w:val="en-US" w:eastAsia="zh-CN"/>
    </w:rPr>
  </w:style>
  <w:style w:type="paragraph" w:styleId="NormalWeb">
    <w:name w:val="Normal (Web)"/>
    <w:basedOn w:val="Normal"/>
    <w:uiPriority w:val="99"/>
    <w:unhideWhenUsed/>
    <w:rsid w:val="00F00174"/>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F00174"/>
  </w:style>
  <w:style w:type="character" w:styleId="Strong">
    <w:name w:val="Strong"/>
    <w:basedOn w:val="DefaultParagraphFont"/>
    <w:uiPriority w:val="22"/>
    <w:qFormat/>
    <w:rsid w:val="00F00174"/>
    <w:rPr>
      <w:b/>
      <w:bCs/>
    </w:rPr>
  </w:style>
  <w:style w:type="character" w:customStyle="1" w:styleId="ilfuvd">
    <w:name w:val="ilfuvd"/>
    <w:basedOn w:val="DefaultParagraphFont"/>
    <w:rsid w:val="00F00174"/>
  </w:style>
  <w:style w:type="character" w:customStyle="1" w:styleId="Heading2Char">
    <w:name w:val="Heading 2 Char"/>
    <w:basedOn w:val="DefaultParagraphFont"/>
    <w:link w:val="Heading2"/>
    <w:rsid w:val="00F00174"/>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F00174"/>
    <w:rPr>
      <w:color w:val="800080" w:themeColor="followedHyperlink"/>
      <w:u w:val="single"/>
    </w:rPr>
  </w:style>
  <w:style w:type="character" w:styleId="Emphasis">
    <w:name w:val="Emphasis"/>
    <w:basedOn w:val="DefaultParagraphFont"/>
    <w:uiPriority w:val="20"/>
    <w:qFormat/>
    <w:rsid w:val="00F00174"/>
    <w:rPr>
      <w:i/>
      <w:iCs/>
    </w:rPr>
  </w:style>
  <w:style w:type="character" w:customStyle="1" w:styleId="FooterChar">
    <w:name w:val="Footer Char"/>
    <w:basedOn w:val="DefaultParagraphFont"/>
    <w:link w:val="Footer"/>
    <w:semiHidden/>
    <w:rsid w:val="00F00174"/>
    <w:rPr>
      <w:rFonts w:ascii="Arial" w:eastAsia="SimSun" w:hAnsi="Arial" w:cs="Arial"/>
      <w:sz w:val="22"/>
      <w:lang w:eastAsia="zh-CN"/>
    </w:rPr>
  </w:style>
  <w:style w:type="paragraph" w:customStyle="1" w:styleId="Meetingplacedate">
    <w:name w:val="Meeting place &amp; date"/>
    <w:basedOn w:val="Normal"/>
    <w:next w:val="Normal"/>
    <w:rsid w:val="00F0017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00174"/>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64C2-10B1-40E2-B1E6-8F05F7B6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(F).dotm</Template>
  <TotalTime>14</TotalTime>
  <Pages>10</Pages>
  <Words>2934</Words>
  <Characters>17418</Characters>
  <Application>Microsoft Office Word</Application>
  <DocSecurity>0</DocSecurity>
  <Lines>316</Lines>
  <Paragraphs>181</Paragraphs>
  <ScaleCrop>false</ScaleCrop>
  <HeadingPairs>
    <vt:vector size="2" baseType="variant">
      <vt:variant>
        <vt:lpstr>Title</vt:lpstr>
      </vt:variant>
      <vt:variant>
        <vt:i4>1</vt:i4>
      </vt:variant>
    </vt:vector>
  </HeadingPairs>
  <TitlesOfParts>
    <vt:vector size="1" baseType="lpstr">
      <vt:lpstr>WIPO/GRTKF/IC/SS/GE/23/2</vt:lpstr>
    </vt:vector>
  </TitlesOfParts>
  <Company>WIPO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WIPO/GRTKF/IC/SS/GE/23/2</dc:title>
  <dc:creator>OLIVIÉ Karen</dc:creator>
  <cp:keywords>FOR OFFICIAL USE ONLY</cp:keywords>
  <cp:lastModifiedBy>Nadège Bernard</cp:lastModifiedBy>
  <cp:revision>6</cp:revision>
  <cp:lastPrinted>2011-05-19T12:37:00Z</cp:lastPrinted>
  <dcterms:created xsi:type="dcterms:W3CDTF">2023-09-06T13:04:00Z</dcterms:created>
  <dcterms:modified xsi:type="dcterms:W3CDTF">2024-01-10T15:11:00Z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2023-08-23T14:34:36Z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98c726b1-fabf-40e8-b310-7ace33ca5111</vt:lpwstr>
  </property>
  <property fmtid="{D5CDD505-2E9C-101B-9397-08002B2CF9AE}" pid="13" name="MSIP_Label_20773ee6-353b-4fb9-a59d-0b94c8c67bea_ContentBits">
    <vt:lpwstr>0</vt:lpwstr>
  </property>
</Properties>
</file>