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A1E5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A1E53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506B74" w:rsidP="00AB613D">
            <w:r w:rsidRPr="00EA1E53">
              <w:rPr>
                <w:noProof/>
                <w:lang w:val="en-US" w:eastAsia="en-US"/>
              </w:rPr>
              <w:drawing>
                <wp:inline distT="0" distB="0" distL="0" distR="0" wp14:anchorId="19FB8DE6" wp14:editId="627F63E1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E504E5" w:rsidP="00AB613D">
            <w:pPr>
              <w:jc w:val="right"/>
            </w:pPr>
            <w:r w:rsidRPr="00EA1E5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A1E5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A1E53" w:rsidRDefault="00611363" w:rsidP="00C0028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EA1E53">
              <w:rPr>
                <w:rFonts w:ascii="Arial Black" w:hAnsi="Arial Black"/>
                <w:caps/>
                <w:sz w:val="15"/>
              </w:rPr>
              <w:t>WIPO/GRTKF/IC/</w:t>
            </w:r>
            <w:r w:rsidR="00290A76">
              <w:rPr>
                <w:rFonts w:ascii="Arial Black" w:hAnsi="Arial Black"/>
                <w:caps/>
                <w:sz w:val="15"/>
              </w:rPr>
              <w:t>3</w:t>
            </w:r>
            <w:r w:rsidR="00C00282">
              <w:rPr>
                <w:rFonts w:ascii="Arial Black" w:hAnsi="Arial Black"/>
                <w:caps/>
                <w:sz w:val="15"/>
              </w:rPr>
              <w:t>2/6</w:t>
            </w:r>
          </w:p>
        </w:tc>
      </w:tr>
      <w:tr w:rsidR="008B2CC1" w:rsidRPr="00EA1E5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A1E53" w:rsidRDefault="008B2CC1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ORIGINAL: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inglés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EA1E5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A1E53" w:rsidRDefault="00675021" w:rsidP="00C002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>: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C00282">
              <w:rPr>
                <w:rFonts w:ascii="Arial Black" w:hAnsi="Arial Black"/>
                <w:caps/>
                <w:sz w:val="15"/>
              </w:rPr>
              <w:t>7</w:t>
            </w:r>
            <w:r w:rsidR="00290A76">
              <w:rPr>
                <w:rFonts w:ascii="Arial Black" w:hAnsi="Arial Black"/>
                <w:caps/>
                <w:sz w:val="15"/>
              </w:rPr>
              <w:t xml:space="preserve"> DE </w:t>
            </w:r>
            <w:r w:rsidR="00C00282">
              <w:rPr>
                <w:rFonts w:ascii="Arial Black" w:hAnsi="Arial Black"/>
                <w:caps/>
                <w:sz w:val="15"/>
              </w:rPr>
              <w:t>noviembre</w:t>
            </w:r>
            <w:r w:rsidR="00290A76">
              <w:rPr>
                <w:rFonts w:ascii="Arial Black" w:hAnsi="Arial Black"/>
                <w:caps/>
                <w:sz w:val="15"/>
              </w:rPr>
              <w:t xml:space="preserve"> DE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201</w:t>
            </w:r>
            <w:r w:rsidR="00570574" w:rsidRPr="00EA1E53">
              <w:rPr>
                <w:rFonts w:ascii="Arial Black" w:hAnsi="Arial Black"/>
                <w:caps/>
                <w:sz w:val="15"/>
              </w:rPr>
              <w:t>6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061078" w:rsidRPr="00EA1E53" w:rsidRDefault="00061078" w:rsidP="00061078">
      <w:pPr>
        <w:rPr>
          <w:b/>
          <w:sz w:val="28"/>
          <w:szCs w:val="28"/>
        </w:rPr>
      </w:pPr>
      <w:r w:rsidRPr="00EA1E53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061078" w:rsidRPr="00EA1E53" w:rsidRDefault="00061078" w:rsidP="00061078"/>
    <w:p w:rsidR="00061078" w:rsidRPr="00EA1E53" w:rsidRDefault="00061078" w:rsidP="00061078"/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>Trigésima</w:t>
      </w:r>
      <w:r w:rsidR="00290A76">
        <w:rPr>
          <w:b/>
          <w:sz w:val="24"/>
          <w:szCs w:val="24"/>
        </w:rPr>
        <w:t xml:space="preserve"> </w:t>
      </w:r>
      <w:r w:rsidR="00C00282">
        <w:rPr>
          <w:b/>
          <w:sz w:val="24"/>
          <w:szCs w:val="24"/>
        </w:rPr>
        <w:t>segunda</w:t>
      </w:r>
      <w:r w:rsidR="00290A76">
        <w:rPr>
          <w:b/>
          <w:sz w:val="24"/>
          <w:szCs w:val="24"/>
        </w:rPr>
        <w:t xml:space="preserve"> </w:t>
      </w:r>
      <w:r w:rsidRPr="00EA1E53">
        <w:rPr>
          <w:b/>
          <w:sz w:val="24"/>
          <w:szCs w:val="24"/>
        </w:rPr>
        <w:t>sesión</w:t>
      </w:r>
    </w:p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 xml:space="preserve">Ginebra, </w:t>
      </w:r>
      <w:r w:rsidR="00C00282">
        <w:rPr>
          <w:b/>
          <w:sz w:val="24"/>
          <w:szCs w:val="24"/>
        </w:rPr>
        <w:t>28 de noviembre a 2 de diciembre</w:t>
      </w:r>
      <w:r w:rsidR="00290A76" w:rsidRPr="0042334B">
        <w:rPr>
          <w:b/>
          <w:sz w:val="24"/>
          <w:szCs w:val="24"/>
        </w:rPr>
        <w:t xml:space="preserve"> </w:t>
      </w:r>
      <w:r w:rsidRPr="00EA1E53">
        <w:rPr>
          <w:b/>
          <w:sz w:val="24"/>
          <w:szCs w:val="24"/>
        </w:rPr>
        <w:t>de 2016</w:t>
      </w:r>
    </w:p>
    <w:p w:rsidR="00061078" w:rsidRPr="00EA1E53" w:rsidRDefault="00061078" w:rsidP="00061078">
      <w:pPr>
        <w:rPr>
          <w:b/>
          <w:sz w:val="24"/>
          <w:szCs w:val="24"/>
        </w:rPr>
      </w:pPr>
    </w:p>
    <w:p w:rsidR="00611363" w:rsidRPr="00EA1E53" w:rsidRDefault="00611363" w:rsidP="00611363"/>
    <w:p w:rsidR="00611363" w:rsidRPr="00EA1E53" w:rsidRDefault="00611363" w:rsidP="00611363"/>
    <w:p w:rsidR="00F46386" w:rsidRPr="00EA1E53" w:rsidRDefault="00F46386" w:rsidP="00F4638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916926">
        <w:rPr>
          <w:szCs w:val="22"/>
        </w:rPr>
        <w:t>CONEXOS</w:t>
      </w:r>
    </w:p>
    <w:p w:rsidR="005D630E" w:rsidRPr="00EA1E53" w:rsidRDefault="005D630E" w:rsidP="005D630E"/>
    <w:p w:rsidR="005D630E" w:rsidRPr="00EA1E53" w:rsidRDefault="00F46386" w:rsidP="005D630E">
      <w:pPr>
        <w:rPr>
          <w:i/>
        </w:rPr>
      </w:pPr>
      <w:bookmarkStart w:id="4" w:name="Prepared"/>
      <w:bookmarkEnd w:id="4"/>
      <w:r w:rsidRPr="00EA1E53">
        <w:rPr>
          <w:i/>
        </w:rPr>
        <w:t>Documento presentado por las Delegaciones del Canadá, los Estados Unidos de América, el Japón, Noruega y la República de Corea</w:t>
      </w:r>
    </w:p>
    <w:p w:rsidR="005D630E" w:rsidRPr="00EA1E53" w:rsidRDefault="005D630E" w:rsidP="005D630E"/>
    <w:p w:rsidR="005D630E" w:rsidRPr="00EA1E53" w:rsidRDefault="005D630E" w:rsidP="005D630E"/>
    <w:p w:rsidR="005D630E" w:rsidRPr="00EA1E53" w:rsidRDefault="005D630E" w:rsidP="004117E3">
      <w:pPr>
        <w:rPr>
          <w:i/>
        </w:rPr>
      </w:pPr>
    </w:p>
    <w:p w:rsidR="00854066" w:rsidRPr="00EA1E53" w:rsidRDefault="00854066" w:rsidP="00CD5AF4">
      <w:pPr>
        <w:pStyle w:val="ONUMFS"/>
        <w:rPr>
          <w:snapToGrid w:val="0"/>
          <w:szCs w:val="22"/>
        </w:rPr>
      </w:pPr>
      <w:r w:rsidRPr="00EA1E53">
        <w:t xml:space="preserve">El </w:t>
      </w:r>
      <w:r w:rsidR="000B567A">
        <w:t>7 de noviembre de</w:t>
      </w:r>
      <w:r w:rsidRPr="00EA1E53">
        <w:t xml:space="preserve"> </w:t>
      </w:r>
      <w:r w:rsidRPr="00EA1E53">
        <w:rPr>
          <w:snapToGrid w:val="0"/>
        </w:rPr>
        <w:t>201</w:t>
      </w:r>
      <w:r w:rsidR="00570574" w:rsidRPr="00EA1E53">
        <w:rPr>
          <w:snapToGrid w:val="0"/>
        </w:rPr>
        <w:t>6</w:t>
      </w:r>
      <w:r w:rsidRPr="00EA1E53">
        <w:t xml:space="preserve">, la Oficina Internacional de la Organización Mundial de la Propiedad Intelectual (OMPI) recibió una petición de la Misión </w:t>
      </w:r>
      <w:r w:rsidR="005A528E" w:rsidRPr="00EA1E53">
        <w:t xml:space="preserve">Permanente </w:t>
      </w:r>
      <w:r w:rsidRPr="00EA1E53">
        <w:t xml:space="preserve">de los Estados Unidos de América ante la </w:t>
      </w:r>
      <w:r w:rsidR="00570574" w:rsidRPr="00EA1E53">
        <w:t>Organización Mundial del Comercio (OMC)</w:t>
      </w:r>
      <w:r w:rsidRPr="00EA1E53">
        <w:t xml:space="preserve">, en nombre de las </w:t>
      </w:r>
      <w:r w:rsidR="00CF0940" w:rsidRPr="00EA1E53">
        <w:t xml:space="preserve">Delegaciones </w:t>
      </w:r>
      <w:r w:rsidRPr="00EA1E53">
        <w:t>del Canadá, los Estados Unidos de América, el Japón, Noruega y la República de Corea, para volver a presentar</w:t>
      </w:r>
      <w:r w:rsidR="00F46386" w:rsidRPr="00EA1E53">
        <w:t xml:space="preserve"> </w:t>
      </w:r>
      <w:r w:rsidRPr="00EA1E53">
        <w:rPr>
          <w:snapToGrid w:val="0"/>
          <w:szCs w:val="22"/>
        </w:rPr>
        <w:t xml:space="preserve">la “Recomendación conjunta sobre los recursos genéticos y los conocimientos tradicionales </w:t>
      </w:r>
      <w:r w:rsidR="00916926">
        <w:rPr>
          <w:snapToGrid w:val="0"/>
          <w:szCs w:val="22"/>
        </w:rPr>
        <w:t>conexos</w:t>
      </w:r>
      <w:r w:rsidRPr="00EA1E53">
        <w:rPr>
          <w:snapToGrid w:val="0"/>
          <w:szCs w:val="22"/>
        </w:rPr>
        <w:t>” contenida en el documento WIPO/GRTKF/IC/</w:t>
      </w:r>
      <w:r w:rsidR="000B567A">
        <w:rPr>
          <w:snapToGrid w:val="0"/>
          <w:szCs w:val="22"/>
        </w:rPr>
        <w:t>31</w:t>
      </w:r>
      <w:r w:rsidRPr="00EA1E53">
        <w:rPr>
          <w:snapToGrid w:val="0"/>
          <w:szCs w:val="22"/>
        </w:rPr>
        <w:t>/</w:t>
      </w:r>
      <w:r w:rsidR="000B567A">
        <w:rPr>
          <w:snapToGrid w:val="0"/>
          <w:szCs w:val="22"/>
        </w:rPr>
        <w:t>5</w:t>
      </w:r>
      <w:r w:rsidR="00F46386" w:rsidRPr="00EA1E53">
        <w:rPr>
          <w:snapToGrid w:val="0"/>
          <w:szCs w:val="22"/>
        </w:rPr>
        <w:t>, a exam</w:t>
      </w:r>
      <w:r w:rsidR="002B6844">
        <w:rPr>
          <w:snapToGrid w:val="0"/>
          <w:szCs w:val="22"/>
        </w:rPr>
        <w:t>en</w:t>
      </w:r>
      <w:r w:rsidR="00F46386" w:rsidRPr="00EA1E53">
        <w:rPr>
          <w:snapToGrid w:val="0"/>
          <w:szCs w:val="22"/>
        </w:rPr>
        <w:t xml:space="preserve"> </w:t>
      </w:r>
      <w:r w:rsidR="002B6844">
        <w:rPr>
          <w:snapToGrid w:val="0"/>
          <w:szCs w:val="22"/>
        </w:rPr>
        <w:t>en</w:t>
      </w:r>
      <w:r w:rsidR="00F46386" w:rsidRPr="00EA1E53">
        <w:rPr>
          <w:snapToGrid w:val="0"/>
          <w:szCs w:val="22"/>
        </w:rPr>
        <w:t xml:space="preserve"> la </w:t>
      </w:r>
      <w:r w:rsidR="00570574" w:rsidRPr="00EA1E53">
        <w:rPr>
          <w:snapToGrid w:val="0"/>
          <w:szCs w:val="22"/>
        </w:rPr>
        <w:t>trigésima</w:t>
      </w:r>
      <w:r w:rsidR="004A2F27">
        <w:rPr>
          <w:snapToGrid w:val="0"/>
          <w:szCs w:val="22"/>
        </w:rPr>
        <w:t xml:space="preserve"> </w:t>
      </w:r>
      <w:r w:rsidR="000B567A">
        <w:rPr>
          <w:snapToGrid w:val="0"/>
          <w:szCs w:val="22"/>
        </w:rPr>
        <w:t>segunda</w:t>
      </w:r>
      <w:r w:rsidR="005A528E" w:rsidRPr="00EA1E53">
        <w:rPr>
          <w:snapToGrid w:val="0"/>
          <w:szCs w:val="22"/>
        </w:rPr>
        <w:t xml:space="preserve"> </w:t>
      </w:r>
      <w:r w:rsidR="00F46386" w:rsidRPr="00EA1E53">
        <w:rPr>
          <w:snapToGrid w:val="0"/>
          <w:szCs w:val="22"/>
        </w:rPr>
        <w:t xml:space="preserve">sesión </w:t>
      </w:r>
      <w:r w:rsidR="00CF0940" w:rsidRPr="00EA1E53">
        <w:rPr>
          <w:snapToGrid w:val="0"/>
          <w:szCs w:val="22"/>
        </w:rPr>
        <w:t xml:space="preserve">del Comité Intergubernamental sobre Propiedad Intelectual y Recursos Genéticos, Conocimientos Tradicionales y Folclore (el CIG), </w:t>
      </w:r>
      <w:r w:rsidRPr="00EA1E53">
        <w:rPr>
          <w:snapToGrid w:val="0"/>
          <w:szCs w:val="22"/>
        </w:rPr>
        <w:t>en calidad de documento de trabajo.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</w:tabs>
      </w:pPr>
      <w:r w:rsidRPr="00EA1E53">
        <w:t xml:space="preserve">Conforme a la petición </w:t>
      </w:r>
      <w:r w:rsidR="00943404" w:rsidRPr="00390553">
        <w:t>referida anteriormente</w:t>
      </w:r>
      <w:r w:rsidRPr="00EA1E53">
        <w:t xml:space="preserve">, en el Anexo del presente documento </w:t>
      </w:r>
      <w:r w:rsidR="00943404" w:rsidRPr="00390553">
        <w:t>figura la propuesta mencionada</w:t>
      </w:r>
      <w:r w:rsidR="00943404">
        <w:t>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  <w:tab w:val="left" w:pos="5940"/>
        </w:tabs>
        <w:ind w:left="5390"/>
        <w:rPr>
          <w:i/>
        </w:rPr>
      </w:pPr>
      <w:r w:rsidRPr="00EA1E53">
        <w:rPr>
          <w:i/>
        </w:rPr>
        <w:t>Se invita al Comité a tomar nota del presente documento y de su Anexo.</w:t>
      </w:r>
    </w:p>
    <w:p w:rsidR="00854066" w:rsidRPr="00EA1E53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Pr="00EA1E53" w:rsidRDefault="00854066" w:rsidP="00854066">
      <w:pPr>
        <w:pStyle w:val="Endofdocument-Annex"/>
        <w:widowControl w:val="0"/>
        <w:rPr>
          <w:lang w:val="es-ES"/>
        </w:rPr>
      </w:pPr>
      <w:r w:rsidRPr="00EA1E53">
        <w:rPr>
          <w:lang w:val="es-ES"/>
        </w:rPr>
        <w:t>[Sigue el Anexo]</w:t>
      </w: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RPr="00EA1E53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Pr="00EA1E53" w:rsidRDefault="00854066" w:rsidP="00854066"/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916926">
        <w:rPr>
          <w:szCs w:val="22"/>
        </w:rPr>
        <w:t>CONEXOS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El Comité Intergubernamental sobre Propiedad Intelectual y Recursos Genéticos, Conocimientos Tradicionales y Folclore, y la </w:t>
      </w:r>
      <w:r w:rsidRPr="00EA1E53">
        <w:rPr>
          <w:color w:val="000000"/>
          <w:szCs w:val="22"/>
        </w:rPr>
        <w:t>Asamblea General</w:t>
      </w:r>
      <w:r w:rsidRPr="00EA1E53">
        <w:rPr>
          <w:szCs w:val="22"/>
        </w:rPr>
        <w:t xml:space="preserve"> de la Organización Mundial de la Propiedad Intelectual,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/>
        <w:rPr>
          <w:szCs w:val="22"/>
        </w:rPr>
      </w:pPr>
      <w:r w:rsidRPr="00EA1E53">
        <w:rPr>
          <w:i/>
          <w:szCs w:val="22"/>
        </w:rPr>
        <w:t>Reafirmando</w:t>
      </w:r>
      <w:r w:rsidRPr="00EA1E53">
        <w:rPr>
          <w:iCs/>
          <w:szCs w:val="22"/>
        </w:rPr>
        <w:t xml:space="preserve"> su convicción de </w:t>
      </w:r>
      <w:r w:rsidRPr="00EA1E53">
        <w:rPr>
          <w:szCs w:val="22"/>
        </w:rPr>
        <w:t xml:space="preserve">que los recursos genéticos y </w:t>
      </w:r>
      <w:r w:rsidR="00916926">
        <w:rPr>
          <w:szCs w:val="22"/>
        </w:rPr>
        <w:t>los conocimientos tradicionales conexos</w:t>
      </w:r>
      <w:r w:rsidRPr="00EA1E53">
        <w:rPr>
          <w:szCs w:val="22"/>
        </w:rPr>
        <w:t xml:space="preserve"> tienen un importante valor económico, científico y comercial para un gran número de sectores;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Reconociendo</w:t>
      </w:r>
      <w:r w:rsidRPr="00EA1E53">
        <w:rPr>
          <w:iCs/>
          <w:szCs w:val="22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="00916926">
        <w:rPr>
          <w:szCs w:val="22"/>
        </w:rPr>
        <w:t>conexos</w:t>
      </w:r>
      <w:r w:rsidRPr="00EA1E53">
        <w:rPr>
          <w:iCs/>
          <w:szCs w:val="22"/>
        </w:rPr>
        <w:t xml:space="preserve"> para favorecer el bienestar social y económico;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</w:t>
      </w:r>
      <w:r w:rsidRPr="00EA1E53">
        <w:rPr>
          <w:iCs/>
          <w:szCs w:val="22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</w:t>
      </w:r>
      <w:r w:rsidR="00916926">
        <w:rPr>
          <w:iCs/>
          <w:szCs w:val="22"/>
        </w:rPr>
        <w:t>conexos</w:t>
      </w:r>
      <w:r w:rsidRPr="00EA1E53">
        <w:rPr>
          <w:iCs/>
          <w:szCs w:val="22"/>
        </w:rPr>
        <w:t>, y reconociendo la capacidad inherente que tiene el sistema de patentes de obrar con ese fin;</w:t>
      </w:r>
    </w:p>
    <w:p w:rsidR="00854066" w:rsidRPr="00EA1E53" w:rsidRDefault="00854066" w:rsidP="00854066">
      <w:pPr>
        <w:ind w:left="567"/>
        <w:rPr>
          <w:iCs/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Subrayando, además,</w:t>
      </w:r>
      <w:r w:rsidRPr="00EA1E53">
        <w:rPr>
          <w:iCs/>
          <w:szCs w:val="22"/>
        </w:rPr>
        <w:t xml:space="preserve"> la necesidad de que las oficinas de patentes puedan acceder y examinar el estado de la técnica que exista en relación con los recursos genéticos  y los conocimientos tradicionales </w:t>
      </w:r>
      <w:r w:rsidR="00916926">
        <w:rPr>
          <w:iCs/>
          <w:szCs w:val="22"/>
        </w:rPr>
        <w:t>conexos</w:t>
      </w:r>
      <w:r w:rsidR="002371FB" w:rsidRPr="00EA1E53">
        <w:rPr>
          <w:iCs/>
          <w:szCs w:val="22"/>
        </w:rPr>
        <w:t>,</w:t>
      </w:r>
      <w:r w:rsidRPr="00EA1E53">
        <w:rPr>
          <w:iCs/>
          <w:szCs w:val="22"/>
        </w:rPr>
        <w:t xml:space="preserve">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2371FB">
      <w:pPr>
        <w:ind w:left="567"/>
        <w:rPr>
          <w:iCs/>
          <w:szCs w:val="22"/>
        </w:rPr>
      </w:pPr>
      <w:r w:rsidRPr="00EA1E53">
        <w:rPr>
          <w:i/>
          <w:szCs w:val="22"/>
        </w:rPr>
        <w:t xml:space="preserve">Recomiendan </w:t>
      </w:r>
      <w:r w:rsidRPr="00EA1E53">
        <w:rPr>
          <w:iCs/>
          <w:szCs w:val="22"/>
        </w:rPr>
        <w:t xml:space="preserve">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</w:t>
      </w:r>
      <w:r w:rsidR="00916926">
        <w:rPr>
          <w:iCs/>
          <w:szCs w:val="22"/>
        </w:rPr>
        <w:t>conexos</w:t>
      </w:r>
      <w:r w:rsidRPr="00EA1E53">
        <w:rPr>
          <w:iCs/>
          <w:szCs w:val="22"/>
        </w:rPr>
        <w:t>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continuación figuran las recomendaciones pertinentes.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>DEFINICIONES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los efectos de las presentes recomendaciones, se entenderá por: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“Material genético”, todo material de origen vegetal, animal, microbiano o de otro tipo que contenga unidades funcionales de la herencia.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“Recursos genéticos”, el material genético de valor real o potencial.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“Estado miembro”, todo Estado miembro de la Organización Mundial de la Propiedad Intelectual.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“Oficina de patentes”, toda Administración de un Estado miembro a quien incumba la concesión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lastRenderedPageBreak/>
        <w:t xml:space="preserve">“Conocimientos tradicionales </w:t>
      </w:r>
      <w:r w:rsidR="00916926">
        <w:rPr>
          <w:szCs w:val="22"/>
        </w:rPr>
        <w:t>conexos</w:t>
      </w:r>
      <w:r w:rsidR="002371FB" w:rsidRPr="00EA1E53">
        <w:rPr>
          <w:szCs w:val="22"/>
        </w:rPr>
        <w:t xml:space="preserve"> a</w:t>
      </w:r>
      <w:r w:rsidRPr="00EA1E53">
        <w:rPr>
          <w:szCs w:val="22"/>
        </w:rPr>
        <w:t xml:space="preserve">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>recursos genéticos</w:t>
      </w:r>
      <w:r w:rsidR="002371FB" w:rsidRPr="00EA1E53">
        <w:rPr>
          <w:szCs w:val="22"/>
        </w:rPr>
        <w:t>”</w:t>
      </w:r>
      <w:r w:rsidRPr="00EA1E53">
        <w:rPr>
          <w:szCs w:val="22"/>
        </w:rPr>
        <w:t>, los conocimientos sustantivos de las propiedades y los usos de los recursos genéticos que tienen los pueblos indígenas y las comunidades locales y que estén directamente relacionados con una invención reivindicada.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>OBJETIVOS Y PRINCIPIOS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miembros, al proteger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genéticos, deben tener por fin: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 xml:space="preserve">Impedir que se concedan patentes por error a invenciones que no sean nuevas ni impliquen actividad inventiva con respecto a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 xml:space="preserve">Proteger a los pueblos indígenas y a las comunidades locales de las limitaciones del uso tradicional de recursos genéticos y sus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que pueda</w:t>
      </w:r>
      <w:r w:rsidR="00D27A75" w:rsidRPr="00EA1E53">
        <w:rPr>
          <w:szCs w:val="22"/>
        </w:rPr>
        <w:t>n</w:t>
      </w:r>
      <w:r w:rsidRPr="00EA1E53">
        <w:rPr>
          <w:szCs w:val="22"/>
        </w:rPr>
        <w:t xml:space="preserve"> derivarse de la concesión errónea de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c)</w:t>
      </w:r>
      <w:r w:rsidRPr="00EA1E53">
        <w:rPr>
          <w:szCs w:val="22"/>
        </w:rPr>
        <w:tab/>
        <w:t xml:space="preserve">Velar por que las oficinas de patentes tengan acceso a la información adecuada sobre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que sea necesaria para tomar decisiones fundamentadas al otorgar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d)</w:t>
      </w:r>
      <w:r w:rsidRPr="00EA1E53">
        <w:rPr>
          <w:szCs w:val="22"/>
        </w:rPr>
        <w:tab/>
        <w:t>Mantener los incentivos a la innovación previstos en el sistema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>EVITAR LA CONCESIÓN ERRÓNEA DE PATENTES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 cuando, en virtud de la legislación nacional, esos recursos genéticos y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 xml:space="preserve">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D27A75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>c</w:t>
      </w:r>
      <w:r w:rsidR="00854066" w:rsidRPr="00EA1E53">
        <w:rPr>
          <w:szCs w:val="22"/>
        </w:rPr>
        <w:t>onstituyan anterioridad respecto de la invención reivindicada (no existe la novedad);  o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>hagan evidente la invención reivindicada (que sea evidente o no implique actividad inventiva).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4.</w:t>
      </w:r>
      <w:r w:rsidRPr="00EA1E53">
        <w:rPr>
          <w:szCs w:val="22"/>
        </w:rPr>
        <w:tab/>
        <w:t>MEDIDAS DE OPOSICIÓN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br w:type="page"/>
      </w:r>
      <w:r w:rsidRPr="00EA1E53">
        <w:rPr>
          <w:szCs w:val="22"/>
        </w:rPr>
        <w:lastRenderedPageBreak/>
        <w:t>5.</w:t>
      </w:r>
      <w:r w:rsidRPr="00EA1E53">
        <w:rPr>
          <w:szCs w:val="22"/>
        </w:rPr>
        <w:tab/>
        <w:t>MEDIDAS DE APOYO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 xml:space="preserve">Los Estados miembros deben alentar, cuando proceda, la elaboración y el uso de directrices y códigos de conducta voluntarios relativos a la protección del uso de los recursos genéticos y los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 xml:space="preserve">Los Estados miembros deben facilitar, cuando proceda, la creación, intercambio y difusión de bases de datos de recursos genéticos y 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</w:t>
      </w:r>
      <w:r w:rsidR="00D27A75" w:rsidRPr="00EA1E53">
        <w:rPr>
          <w:szCs w:val="22"/>
        </w:rPr>
        <w:t>,</w:t>
      </w:r>
      <w:r w:rsidRPr="00EA1E53">
        <w:rPr>
          <w:szCs w:val="22"/>
        </w:rPr>
        <w:t xml:space="preserve"> o relativas a ellos, así como el acceso a dichas bases de datos, con el fin de </w:t>
      </w:r>
      <w:r w:rsidR="00D27A75" w:rsidRPr="00EA1E53">
        <w:rPr>
          <w:szCs w:val="22"/>
        </w:rPr>
        <w:t>apoya</w:t>
      </w:r>
      <w:r w:rsidRPr="00EA1E53">
        <w:rPr>
          <w:szCs w:val="22"/>
        </w:rPr>
        <w:t>r las medidas mencionadas en los párrafos 3 y 4.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 xml:space="preserve">Los Estados miembros deberán utilizar la información contenida en las bases de datos mencionadas en el apartado 2 al determinar la novedad y la no evidencia con respecto a las solicitudes de patente que incluyan recursos genéticos </w:t>
      </w:r>
      <w:r w:rsidR="00D27A75" w:rsidRPr="00EA1E53">
        <w:rPr>
          <w:szCs w:val="22"/>
        </w:rPr>
        <w:t xml:space="preserve">y </w:t>
      </w:r>
      <w:r w:rsidRPr="00EA1E53">
        <w:rPr>
          <w:szCs w:val="22"/>
        </w:rPr>
        <w:t xml:space="preserve">conocimientos tradicionales </w:t>
      </w:r>
      <w:r w:rsidR="00916926">
        <w:rPr>
          <w:szCs w:val="22"/>
        </w:rPr>
        <w:t>conexos</w:t>
      </w:r>
      <w:r w:rsidR="00D27A75" w:rsidRPr="00EA1E53">
        <w:rPr>
          <w:szCs w:val="22"/>
        </w:rPr>
        <w:t xml:space="preserve">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6.</w:t>
      </w:r>
      <w:r w:rsidRPr="00EA1E53">
        <w:rPr>
          <w:szCs w:val="22"/>
        </w:rPr>
        <w:tab/>
        <w:t>APLICACIÓN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</w:t>
      </w:r>
      <w:r w:rsidR="00D27A75" w:rsidRPr="00EA1E53">
        <w:rPr>
          <w:szCs w:val="22"/>
        </w:rPr>
        <w:t xml:space="preserve">las </w:t>
      </w:r>
      <w:r w:rsidRPr="00EA1E53">
        <w:rPr>
          <w:szCs w:val="22"/>
        </w:rPr>
        <w:t>medidas jurídicas, normativas o administrativas</w:t>
      </w:r>
      <w:r w:rsidR="00D27A75" w:rsidRPr="00EA1E53">
        <w:rPr>
          <w:szCs w:val="22"/>
        </w:rPr>
        <w:t xml:space="preserve"> que sean adecuadas y eficaces</w:t>
      </w:r>
      <w:r w:rsidRPr="00EA1E53">
        <w:rPr>
          <w:szCs w:val="22"/>
        </w:rPr>
        <w:t>, cuando proceda y de conformidad con la legislación nacional, para facilitar la aplicación de las presentes Recomendaciones.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0071B2" w:rsidRPr="00EA1E53" w:rsidRDefault="00854066" w:rsidP="00C00282">
      <w:pPr>
        <w:ind w:left="5558"/>
        <w:rPr>
          <w:szCs w:val="22"/>
        </w:rPr>
      </w:pPr>
      <w:r w:rsidRPr="00EA1E53">
        <w:rPr>
          <w:szCs w:val="22"/>
        </w:rPr>
        <w:t>[Fin del Anexo y del documento]</w:t>
      </w:r>
    </w:p>
    <w:sectPr w:rsidR="000071B2" w:rsidRPr="00EA1E53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F" w:rsidRDefault="0017521F">
      <w:r>
        <w:separator/>
      </w:r>
    </w:p>
  </w:endnote>
  <w:end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F" w:rsidRDefault="0017521F">
      <w:r>
        <w:separator/>
      </w:r>
    </w:p>
  </w:footnote>
  <w:foot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5" w:name="Code2"/>
    <w:bookmarkEnd w:id="5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proofErr w:type="gramStart"/>
    <w:r>
      <w:rPr>
        <w:lang w:val="pt-BR"/>
      </w:rPr>
      <w:t>página</w:t>
    </w:r>
    <w:proofErr w:type="gramEnd"/>
    <w:r>
      <w:rPr>
        <w:lang w:val="pt-BR"/>
      </w:rPr>
      <w:t xml:space="preserve">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290A76" w:rsidRDefault="00570574" w:rsidP="00086C66">
    <w:pPr>
      <w:jc w:val="right"/>
      <w:rPr>
        <w:szCs w:val="22"/>
      </w:rPr>
    </w:pPr>
    <w:r w:rsidRPr="00290A76">
      <w:rPr>
        <w:rStyle w:val="PageNumber"/>
      </w:rPr>
      <w:t>WIPO/GRTKF/IC/3</w:t>
    </w:r>
    <w:r w:rsidR="00C00282">
      <w:rPr>
        <w:rStyle w:val="PageNumber"/>
      </w:rPr>
      <w:t>2/6</w:t>
    </w:r>
  </w:p>
  <w:p w:rsidR="00515BE2" w:rsidRPr="00290A76" w:rsidRDefault="00515BE2" w:rsidP="00D078B9">
    <w:pPr>
      <w:jc w:val="right"/>
      <w:rPr>
        <w:rStyle w:val="PageNumber"/>
      </w:rPr>
    </w:pPr>
    <w:r w:rsidRPr="00290A76">
      <w:t xml:space="preserve">Anexo, página </w:t>
    </w:r>
    <w:r w:rsidRPr="00290A76">
      <w:rPr>
        <w:rStyle w:val="PageNumber"/>
      </w:rPr>
      <w:fldChar w:fldCharType="begin"/>
    </w:r>
    <w:r w:rsidRPr="00290A76">
      <w:rPr>
        <w:rStyle w:val="PageNumber"/>
      </w:rPr>
      <w:instrText xml:space="preserve"> PAGE </w:instrText>
    </w:r>
    <w:r w:rsidRPr="00290A76">
      <w:rPr>
        <w:rStyle w:val="PageNumber"/>
      </w:rPr>
      <w:fldChar w:fldCharType="separate"/>
    </w:r>
    <w:r w:rsidR="00A26EAF">
      <w:rPr>
        <w:rStyle w:val="PageNumber"/>
        <w:noProof/>
      </w:rPr>
      <w:t>3</w:t>
    </w:r>
    <w:r w:rsidRPr="00290A76">
      <w:rPr>
        <w:rStyle w:val="PageNumber"/>
      </w:rPr>
      <w:fldChar w:fldCharType="end"/>
    </w:r>
  </w:p>
  <w:p w:rsidR="00515BE2" w:rsidRPr="00290A76" w:rsidRDefault="00515BE2" w:rsidP="00D078B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AE76C2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</w:t>
    </w:r>
    <w:r w:rsidR="00570574">
      <w:rPr>
        <w:lang w:val="es-ES_tradnl"/>
      </w:rPr>
      <w:t>3</w:t>
    </w:r>
    <w:r w:rsidR="00C00282">
      <w:rPr>
        <w:lang w:val="es-ES_tradnl"/>
      </w:rPr>
      <w:t>2/6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  <w:p w:rsidR="00515BE2" w:rsidRPr="006E63A5" w:rsidRDefault="00515BE2" w:rsidP="00AE76C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61078"/>
    <w:rsid w:val="000867D5"/>
    <w:rsid w:val="00086C66"/>
    <w:rsid w:val="00087A17"/>
    <w:rsid w:val="000942BA"/>
    <w:rsid w:val="00096B02"/>
    <w:rsid w:val="000A3D03"/>
    <w:rsid w:val="000A689D"/>
    <w:rsid w:val="000B0162"/>
    <w:rsid w:val="000B567A"/>
    <w:rsid w:val="000D13C7"/>
    <w:rsid w:val="000E3BB3"/>
    <w:rsid w:val="000E41A6"/>
    <w:rsid w:val="000F3438"/>
    <w:rsid w:val="000F5E56"/>
    <w:rsid w:val="001200C3"/>
    <w:rsid w:val="00121116"/>
    <w:rsid w:val="001362EE"/>
    <w:rsid w:val="00136ED0"/>
    <w:rsid w:val="0014405C"/>
    <w:rsid w:val="00147884"/>
    <w:rsid w:val="00152CEA"/>
    <w:rsid w:val="00161348"/>
    <w:rsid w:val="00166683"/>
    <w:rsid w:val="0017521F"/>
    <w:rsid w:val="001764DB"/>
    <w:rsid w:val="00181780"/>
    <w:rsid w:val="001832A6"/>
    <w:rsid w:val="001A3CBC"/>
    <w:rsid w:val="001A6A4E"/>
    <w:rsid w:val="001C2CFA"/>
    <w:rsid w:val="001C4DD3"/>
    <w:rsid w:val="001D0B2A"/>
    <w:rsid w:val="00204CD3"/>
    <w:rsid w:val="002114D0"/>
    <w:rsid w:val="002130D7"/>
    <w:rsid w:val="00214AF7"/>
    <w:rsid w:val="002371FB"/>
    <w:rsid w:val="002634C4"/>
    <w:rsid w:val="00281842"/>
    <w:rsid w:val="00290A76"/>
    <w:rsid w:val="00291EF7"/>
    <w:rsid w:val="002A6A62"/>
    <w:rsid w:val="002B241D"/>
    <w:rsid w:val="002B3E5E"/>
    <w:rsid w:val="002B6844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2F27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574"/>
    <w:rsid w:val="00570B70"/>
    <w:rsid w:val="00571B99"/>
    <w:rsid w:val="005872C2"/>
    <w:rsid w:val="00592406"/>
    <w:rsid w:val="005A528E"/>
    <w:rsid w:val="005C3870"/>
    <w:rsid w:val="005D0321"/>
    <w:rsid w:val="005D630E"/>
    <w:rsid w:val="005E5675"/>
    <w:rsid w:val="00605827"/>
    <w:rsid w:val="00606CFF"/>
    <w:rsid w:val="00611363"/>
    <w:rsid w:val="0066496D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80117"/>
    <w:rsid w:val="007D6502"/>
    <w:rsid w:val="007E5494"/>
    <w:rsid w:val="007E663E"/>
    <w:rsid w:val="00815082"/>
    <w:rsid w:val="00817996"/>
    <w:rsid w:val="0082174B"/>
    <w:rsid w:val="008226E6"/>
    <w:rsid w:val="008259B8"/>
    <w:rsid w:val="00836416"/>
    <w:rsid w:val="00850262"/>
    <w:rsid w:val="00854066"/>
    <w:rsid w:val="00880501"/>
    <w:rsid w:val="00891406"/>
    <w:rsid w:val="008968D4"/>
    <w:rsid w:val="008A5E02"/>
    <w:rsid w:val="008B2CC1"/>
    <w:rsid w:val="008B6E7F"/>
    <w:rsid w:val="008D79CB"/>
    <w:rsid w:val="0090074F"/>
    <w:rsid w:val="0090731E"/>
    <w:rsid w:val="00916926"/>
    <w:rsid w:val="009234E0"/>
    <w:rsid w:val="00932A1D"/>
    <w:rsid w:val="00936480"/>
    <w:rsid w:val="00943404"/>
    <w:rsid w:val="00943E38"/>
    <w:rsid w:val="0095076A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26EAF"/>
    <w:rsid w:val="00A32C9E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17EB"/>
    <w:rsid w:val="00AC5C35"/>
    <w:rsid w:val="00AE76C2"/>
    <w:rsid w:val="00AF7E6E"/>
    <w:rsid w:val="00B242A2"/>
    <w:rsid w:val="00B365D4"/>
    <w:rsid w:val="00B37504"/>
    <w:rsid w:val="00B65A0A"/>
    <w:rsid w:val="00B72D36"/>
    <w:rsid w:val="00B73B3E"/>
    <w:rsid w:val="00B80395"/>
    <w:rsid w:val="00BB48B5"/>
    <w:rsid w:val="00BC244A"/>
    <w:rsid w:val="00BC4164"/>
    <w:rsid w:val="00BC479C"/>
    <w:rsid w:val="00BD102E"/>
    <w:rsid w:val="00BD2DCC"/>
    <w:rsid w:val="00BE1A8C"/>
    <w:rsid w:val="00BF7073"/>
    <w:rsid w:val="00C00282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827DD"/>
    <w:rsid w:val="00C90559"/>
    <w:rsid w:val="00CB1361"/>
    <w:rsid w:val="00CC1B44"/>
    <w:rsid w:val="00CD5AF4"/>
    <w:rsid w:val="00CF0940"/>
    <w:rsid w:val="00CF412A"/>
    <w:rsid w:val="00CF7C18"/>
    <w:rsid w:val="00D078B9"/>
    <w:rsid w:val="00D200F3"/>
    <w:rsid w:val="00D27A75"/>
    <w:rsid w:val="00D40CF0"/>
    <w:rsid w:val="00D43162"/>
    <w:rsid w:val="00D527CF"/>
    <w:rsid w:val="00D56C7C"/>
    <w:rsid w:val="00D71B4D"/>
    <w:rsid w:val="00D7311B"/>
    <w:rsid w:val="00D90289"/>
    <w:rsid w:val="00D93D55"/>
    <w:rsid w:val="00DC6995"/>
    <w:rsid w:val="00E10B22"/>
    <w:rsid w:val="00E4027E"/>
    <w:rsid w:val="00E437B4"/>
    <w:rsid w:val="00E456E6"/>
    <w:rsid w:val="00E45C84"/>
    <w:rsid w:val="00E504E5"/>
    <w:rsid w:val="00E6424D"/>
    <w:rsid w:val="00E72454"/>
    <w:rsid w:val="00E75AB8"/>
    <w:rsid w:val="00E77408"/>
    <w:rsid w:val="00E92271"/>
    <w:rsid w:val="00E96826"/>
    <w:rsid w:val="00E97F2A"/>
    <w:rsid w:val="00EA1E53"/>
    <w:rsid w:val="00EB7A3E"/>
    <w:rsid w:val="00EC401A"/>
    <w:rsid w:val="00EF530A"/>
    <w:rsid w:val="00EF6622"/>
    <w:rsid w:val="00F06C42"/>
    <w:rsid w:val="00F10D1A"/>
    <w:rsid w:val="00F176E0"/>
    <w:rsid w:val="00F3227B"/>
    <w:rsid w:val="00F46386"/>
    <w:rsid w:val="00F467C3"/>
    <w:rsid w:val="00F55408"/>
    <w:rsid w:val="00F66152"/>
    <w:rsid w:val="00F66A22"/>
    <w:rsid w:val="00F67709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2B6C-1798-47C9-89A8-564AF0CD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WIPO/GRTKF/IC/32/6</vt:lpstr>
    </vt:vector>
  </TitlesOfParts>
  <Company>WIPO</Company>
  <LinksUpToDate>false</LinksUpToDate>
  <CharactersWithSpaces>7476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WIPO/GRTKF/IC/32/6</dc:title>
  <dc:subject>Recursos disponibles en las páginas del sitio web de la OMPI dedicadas a los conocimientos tradicionales, las expresiones culturales tradicionales y los recursos genéticos</dc:subject>
  <dc:creator>BOU LLORET Amparo</dc:creator>
  <dc:description>RM - 10/11/2016</dc:description>
  <cp:lastModifiedBy>BOU LLORET Amparo</cp:lastModifiedBy>
  <cp:revision>2</cp:revision>
  <cp:lastPrinted>2013-03-26T10:34:00Z</cp:lastPrinted>
  <dcterms:created xsi:type="dcterms:W3CDTF">2016-11-10T12:22:00Z</dcterms:created>
  <dcterms:modified xsi:type="dcterms:W3CDTF">2016-11-10T12:22:00Z</dcterms:modified>
</cp:coreProperties>
</file>