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A22E7" w:rsidRPr="0051497B" w:rsidTr="000A22E7">
        <w:tc>
          <w:tcPr>
            <w:tcW w:w="4513" w:type="dxa"/>
            <w:tcBorders>
              <w:bottom w:val="single" w:sz="4" w:space="0" w:color="auto"/>
            </w:tcBorders>
            <w:tcMar>
              <w:bottom w:w="170" w:type="dxa"/>
            </w:tcMar>
          </w:tcPr>
          <w:p w:rsidR="000A22E7" w:rsidRPr="0051497B" w:rsidRDefault="000A22E7" w:rsidP="00916EE2">
            <w:pPr>
              <w:rPr>
                <w:lang w:val="es-ES"/>
              </w:rPr>
            </w:pPr>
            <w:bookmarkStart w:id="0" w:name="_GoBack"/>
            <w:bookmarkEnd w:id="0"/>
          </w:p>
        </w:tc>
        <w:tc>
          <w:tcPr>
            <w:tcW w:w="4337" w:type="dxa"/>
            <w:tcBorders>
              <w:bottom w:val="single" w:sz="4" w:space="0" w:color="auto"/>
            </w:tcBorders>
            <w:tcMar>
              <w:left w:w="0" w:type="dxa"/>
              <w:right w:w="0" w:type="dxa"/>
            </w:tcMar>
          </w:tcPr>
          <w:p w:rsidR="000A22E7" w:rsidRPr="003760E3" w:rsidRDefault="000A22E7" w:rsidP="00AB2443">
            <w:pPr>
              <w:rPr>
                <w:lang w:val="es-ES_tradnl"/>
              </w:rPr>
            </w:pPr>
            <w:r w:rsidRPr="003760E3">
              <w:rPr>
                <w:noProof/>
                <w:lang w:eastAsia="en-US"/>
              </w:rPr>
              <w:drawing>
                <wp:inline distT="0" distB="0" distL="0" distR="0" wp14:anchorId="4C4E8B33" wp14:editId="7C3EEEFA">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A22E7" w:rsidRPr="003760E3" w:rsidRDefault="000A22E7" w:rsidP="00AB2443">
            <w:pPr>
              <w:jc w:val="right"/>
              <w:rPr>
                <w:lang w:val="es-ES_tradnl"/>
              </w:rPr>
            </w:pPr>
            <w:r w:rsidRPr="003760E3">
              <w:rPr>
                <w:b/>
                <w:sz w:val="40"/>
                <w:lang w:val="es-ES_tradnl"/>
              </w:rPr>
              <w:t>S</w:t>
            </w:r>
          </w:p>
        </w:tc>
      </w:tr>
      <w:tr w:rsidR="008B2CC1" w:rsidRPr="0051497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1497B" w:rsidRDefault="009E1DBC" w:rsidP="00AC03FB">
            <w:pPr>
              <w:jc w:val="right"/>
              <w:rPr>
                <w:rFonts w:ascii="Arial Black" w:hAnsi="Arial Black"/>
                <w:caps/>
                <w:sz w:val="15"/>
                <w:lang w:val="es-ES"/>
              </w:rPr>
            </w:pPr>
            <w:bookmarkStart w:id="1" w:name="Code"/>
            <w:bookmarkEnd w:id="1"/>
            <w:r w:rsidRPr="0051497B">
              <w:rPr>
                <w:rFonts w:ascii="Arial Black" w:hAnsi="Arial Black"/>
                <w:caps/>
                <w:sz w:val="15"/>
                <w:lang w:val="es-ES"/>
              </w:rPr>
              <w:t>WIPO/GRTKF/IC/</w:t>
            </w:r>
            <w:r w:rsidR="0012593E" w:rsidRPr="0051497B">
              <w:rPr>
                <w:rFonts w:ascii="Arial Black" w:hAnsi="Arial Black"/>
                <w:caps/>
                <w:sz w:val="15"/>
                <w:lang w:val="es-ES"/>
              </w:rPr>
              <w:t>30</w:t>
            </w:r>
            <w:r w:rsidR="001B260A" w:rsidRPr="0051497B">
              <w:rPr>
                <w:rFonts w:ascii="Arial Black" w:hAnsi="Arial Black"/>
                <w:caps/>
                <w:sz w:val="15"/>
                <w:lang w:val="es-ES"/>
              </w:rPr>
              <w:t>/</w:t>
            </w:r>
            <w:r w:rsidR="00E777F1" w:rsidRPr="0051497B">
              <w:rPr>
                <w:rFonts w:ascii="Arial Black" w:hAnsi="Arial Black"/>
                <w:caps/>
                <w:sz w:val="15"/>
                <w:lang w:val="es-ES"/>
              </w:rPr>
              <w:t xml:space="preserve">4 </w:t>
            </w:r>
          </w:p>
        </w:tc>
      </w:tr>
      <w:tr w:rsidR="008B2CC1" w:rsidRPr="0051497B" w:rsidTr="00916EE2">
        <w:trPr>
          <w:trHeight w:hRule="exact" w:val="170"/>
        </w:trPr>
        <w:tc>
          <w:tcPr>
            <w:tcW w:w="9356" w:type="dxa"/>
            <w:gridSpan w:val="3"/>
            <w:noWrap/>
            <w:tcMar>
              <w:left w:w="0" w:type="dxa"/>
              <w:right w:w="0" w:type="dxa"/>
            </w:tcMar>
            <w:vAlign w:val="bottom"/>
          </w:tcPr>
          <w:p w:rsidR="008B2CC1" w:rsidRPr="0051497B" w:rsidRDefault="008B2CC1" w:rsidP="000C10F7">
            <w:pPr>
              <w:jc w:val="right"/>
              <w:rPr>
                <w:rFonts w:ascii="Arial Black" w:hAnsi="Arial Black"/>
                <w:caps/>
                <w:sz w:val="15"/>
                <w:lang w:val="es-ES"/>
              </w:rPr>
            </w:pPr>
            <w:r w:rsidRPr="0051497B">
              <w:rPr>
                <w:rFonts w:ascii="Arial Black" w:hAnsi="Arial Black"/>
                <w:caps/>
                <w:sz w:val="15"/>
                <w:lang w:val="es-ES"/>
              </w:rPr>
              <w:t>ORIGINAL:</w:t>
            </w:r>
            <w:r w:rsidR="00A42DAF" w:rsidRPr="0051497B">
              <w:rPr>
                <w:rFonts w:ascii="Arial Black" w:hAnsi="Arial Black"/>
                <w:caps/>
                <w:sz w:val="15"/>
                <w:lang w:val="es-ES"/>
              </w:rPr>
              <w:t xml:space="preserve"> </w:t>
            </w:r>
            <w:r w:rsidRPr="0051497B">
              <w:rPr>
                <w:rFonts w:ascii="Arial Black" w:hAnsi="Arial Black"/>
                <w:caps/>
                <w:sz w:val="15"/>
                <w:lang w:val="es-ES"/>
              </w:rPr>
              <w:t xml:space="preserve"> </w:t>
            </w:r>
            <w:bookmarkStart w:id="2" w:name="Original"/>
            <w:bookmarkEnd w:id="2"/>
            <w:r w:rsidR="000C10F7">
              <w:rPr>
                <w:rFonts w:ascii="Arial Black" w:hAnsi="Arial Black"/>
                <w:caps/>
                <w:sz w:val="15"/>
                <w:lang w:val="es-ES"/>
              </w:rPr>
              <w:t>inglés</w:t>
            </w:r>
          </w:p>
        </w:tc>
      </w:tr>
      <w:tr w:rsidR="008B2CC1" w:rsidRPr="0051497B" w:rsidTr="00916EE2">
        <w:trPr>
          <w:trHeight w:hRule="exact" w:val="198"/>
        </w:trPr>
        <w:tc>
          <w:tcPr>
            <w:tcW w:w="9356" w:type="dxa"/>
            <w:gridSpan w:val="3"/>
            <w:tcMar>
              <w:left w:w="0" w:type="dxa"/>
              <w:right w:w="0" w:type="dxa"/>
            </w:tcMar>
            <w:vAlign w:val="bottom"/>
          </w:tcPr>
          <w:p w:rsidR="008B2CC1" w:rsidRPr="0051497B" w:rsidRDefault="000C10F7" w:rsidP="000C10F7">
            <w:pPr>
              <w:jc w:val="right"/>
              <w:rPr>
                <w:rFonts w:ascii="Arial Black" w:hAnsi="Arial Black"/>
                <w:caps/>
                <w:sz w:val="15"/>
                <w:lang w:val="es-ES"/>
              </w:rPr>
            </w:pPr>
            <w:r>
              <w:rPr>
                <w:rFonts w:ascii="Arial Black" w:hAnsi="Arial Black"/>
                <w:caps/>
                <w:sz w:val="15"/>
                <w:lang w:val="es-ES"/>
              </w:rPr>
              <w:t>fecha</w:t>
            </w:r>
            <w:r w:rsidR="008B2CC1" w:rsidRPr="0051497B">
              <w:rPr>
                <w:rFonts w:ascii="Arial Black" w:hAnsi="Arial Black"/>
                <w:caps/>
                <w:sz w:val="15"/>
                <w:lang w:val="es-ES"/>
              </w:rPr>
              <w:t>:</w:t>
            </w:r>
            <w:r w:rsidR="00A42DAF" w:rsidRPr="0051497B">
              <w:rPr>
                <w:rFonts w:ascii="Arial Black" w:hAnsi="Arial Black"/>
                <w:caps/>
                <w:sz w:val="15"/>
                <w:lang w:val="es-ES"/>
              </w:rPr>
              <w:t xml:space="preserve"> </w:t>
            </w:r>
            <w:r w:rsidR="008B2CC1" w:rsidRPr="0051497B">
              <w:rPr>
                <w:rFonts w:ascii="Arial Black" w:hAnsi="Arial Black"/>
                <w:caps/>
                <w:sz w:val="15"/>
                <w:lang w:val="es-ES"/>
              </w:rPr>
              <w:t xml:space="preserve"> </w:t>
            </w:r>
            <w:bookmarkStart w:id="3" w:name="Date"/>
            <w:bookmarkEnd w:id="3"/>
            <w:r>
              <w:rPr>
                <w:rFonts w:ascii="Arial Black" w:hAnsi="Arial Black"/>
                <w:caps/>
                <w:sz w:val="15"/>
                <w:lang w:val="es-ES"/>
              </w:rPr>
              <w:t>9 de marzo de</w:t>
            </w:r>
            <w:r w:rsidR="001B260A" w:rsidRPr="0051497B">
              <w:rPr>
                <w:rFonts w:ascii="Arial Black" w:hAnsi="Arial Black"/>
                <w:caps/>
                <w:sz w:val="15"/>
                <w:lang w:val="es-ES"/>
              </w:rPr>
              <w:t xml:space="preserve"> 201</w:t>
            </w:r>
            <w:r w:rsidR="0012593E" w:rsidRPr="0051497B">
              <w:rPr>
                <w:rFonts w:ascii="Arial Black" w:hAnsi="Arial Black"/>
                <w:caps/>
                <w:sz w:val="15"/>
                <w:lang w:val="es-ES"/>
              </w:rPr>
              <w:t>6</w:t>
            </w:r>
          </w:p>
        </w:tc>
      </w:tr>
    </w:tbl>
    <w:p w:rsidR="008B2CC1" w:rsidRPr="0051497B" w:rsidRDefault="008B2CC1" w:rsidP="008B2CC1">
      <w:pPr>
        <w:rPr>
          <w:lang w:val="es-ES"/>
        </w:rPr>
      </w:pPr>
    </w:p>
    <w:p w:rsidR="008B2CC1" w:rsidRPr="0051497B" w:rsidRDefault="008B2CC1" w:rsidP="008B2CC1">
      <w:pPr>
        <w:rPr>
          <w:lang w:val="es-ES"/>
        </w:rPr>
      </w:pPr>
    </w:p>
    <w:p w:rsidR="008B2CC1" w:rsidRPr="0051497B" w:rsidRDefault="008B2CC1" w:rsidP="008B2CC1">
      <w:pPr>
        <w:rPr>
          <w:lang w:val="es-ES"/>
        </w:rPr>
      </w:pPr>
    </w:p>
    <w:p w:rsidR="008B2CC1" w:rsidRPr="0051497B" w:rsidRDefault="008B2CC1" w:rsidP="008B2CC1">
      <w:pPr>
        <w:rPr>
          <w:lang w:val="es-ES"/>
        </w:rPr>
      </w:pPr>
    </w:p>
    <w:p w:rsidR="008B2CC1" w:rsidRPr="0051497B" w:rsidRDefault="008B2CC1" w:rsidP="008B2CC1">
      <w:pPr>
        <w:rPr>
          <w:lang w:val="es-ES"/>
        </w:rPr>
      </w:pPr>
    </w:p>
    <w:p w:rsidR="0051497B" w:rsidRPr="0051497B" w:rsidRDefault="0051497B" w:rsidP="0051497B">
      <w:pPr>
        <w:rPr>
          <w:b/>
          <w:sz w:val="28"/>
          <w:szCs w:val="28"/>
          <w:lang w:val="es-ES"/>
        </w:rPr>
      </w:pPr>
      <w:r w:rsidRPr="0051497B">
        <w:rPr>
          <w:b/>
          <w:sz w:val="28"/>
          <w:szCs w:val="28"/>
          <w:lang w:val="es-ES"/>
        </w:rPr>
        <w:t>Comité Intergubernamental sobre Propiedad Intelectual y Recursos Genéticos, Conocimientos Tradicionales y Folclore</w:t>
      </w:r>
    </w:p>
    <w:p w:rsidR="0051497B" w:rsidRPr="0051497B" w:rsidRDefault="0051497B" w:rsidP="0051497B">
      <w:pPr>
        <w:rPr>
          <w:lang w:val="es-ES"/>
        </w:rPr>
      </w:pPr>
    </w:p>
    <w:p w:rsidR="003845C1" w:rsidRPr="0051497B" w:rsidRDefault="003845C1" w:rsidP="003845C1">
      <w:pPr>
        <w:rPr>
          <w:lang w:val="es-ES"/>
        </w:rPr>
      </w:pPr>
    </w:p>
    <w:p w:rsidR="0012593E" w:rsidRPr="0051497B" w:rsidRDefault="0012593E" w:rsidP="0012593E">
      <w:pPr>
        <w:rPr>
          <w:b/>
          <w:sz w:val="24"/>
          <w:szCs w:val="24"/>
          <w:lang w:val="es-ES"/>
        </w:rPr>
      </w:pPr>
      <w:r w:rsidRPr="0051497B">
        <w:rPr>
          <w:b/>
          <w:sz w:val="24"/>
          <w:szCs w:val="24"/>
          <w:lang w:val="es-ES"/>
        </w:rPr>
        <w:t>T</w:t>
      </w:r>
      <w:r w:rsidR="0051497B">
        <w:rPr>
          <w:b/>
          <w:sz w:val="24"/>
          <w:szCs w:val="24"/>
          <w:lang w:val="es-ES"/>
        </w:rPr>
        <w:t>rigésima sesión</w:t>
      </w:r>
    </w:p>
    <w:p w:rsidR="0012593E" w:rsidRPr="0051497B" w:rsidRDefault="0012593E" w:rsidP="0012593E">
      <w:pPr>
        <w:rPr>
          <w:b/>
          <w:sz w:val="24"/>
          <w:szCs w:val="24"/>
          <w:lang w:val="es-ES"/>
        </w:rPr>
      </w:pPr>
      <w:r w:rsidRPr="0051497B">
        <w:rPr>
          <w:b/>
          <w:sz w:val="24"/>
          <w:szCs w:val="24"/>
          <w:lang w:val="es-ES"/>
        </w:rPr>
        <w:t>G</w:t>
      </w:r>
      <w:r w:rsidR="0051497B">
        <w:rPr>
          <w:b/>
          <w:sz w:val="24"/>
          <w:szCs w:val="24"/>
          <w:lang w:val="es-ES"/>
        </w:rPr>
        <w:t>inebra, 30 de mayo a 3 de junio de</w:t>
      </w:r>
      <w:r w:rsidRPr="0051497B">
        <w:rPr>
          <w:b/>
          <w:sz w:val="24"/>
          <w:szCs w:val="24"/>
          <w:lang w:val="es-ES"/>
        </w:rPr>
        <w:t xml:space="preserve"> 2016</w:t>
      </w:r>
    </w:p>
    <w:p w:rsidR="008B2CC1" w:rsidRPr="0051497B" w:rsidRDefault="008B2CC1" w:rsidP="008B2CC1">
      <w:pPr>
        <w:rPr>
          <w:lang w:val="es-ES"/>
        </w:rPr>
      </w:pPr>
    </w:p>
    <w:p w:rsidR="008B2CC1" w:rsidRPr="0051497B" w:rsidRDefault="008B2CC1" w:rsidP="008B2CC1">
      <w:pPr>
        <w:rPr>
          <w:lang w:val="es-ES"/>
        </w:rPr>
      </w:pPr>
    </w:p>
    <w:p w:rsidR="0051497B" w:rsidRPr="000A22E7" w:rsidRDefault="0051497B" w:rsidP="0051497B">
      <w:pPr>
        <w:rPr>
          <w:caps/>
          <w:sz w:val="24"/>
          <w:szCs w:val="24"/>
          <w:lang w:val="es-ES"/>
        </w:rPr>
      </w:pPr>
      <w:bookmarkStart w:id="4" w:name="TitleOfDoc"/>
      <w:bookmarkEnd w:id="4"/>
      <w:r w:rsidRPr="000A22E7">
        <w:rPr>
          <w:sz w:val="24"/>
          <w:szCs w:val="24"/>
          <w:lang w:val="es-ES"/>
        </w:rPr>
        <w:t>DOCUMENTO CONSOLIDADO EN RELACIÓN CON LA PROPIEDAD INTELECTUAL Y LOS RECURSOS GENÉTICOS</w:t>
      </w:r>
    </w:p>
    <w:p w:rsidR="00307A3C" w:rsidRPr="0051497B" w:rsidRDefault="00307A3C" w:rsidP="00307A3C">
      <w:pPr>
        <w:rPr>
          <w:lang w:val="es-ES"/>
        </w:rPr>
      </w:pPr>
    </w:p>
    <w:p w:rsidR="008B2CC1" w:rsidRPr="0051497B" w:rsidRDefault="000C10F7" w:rsidP="008B2CC1">
      <w:pPr>
        <w:rPr>
          <w:i/>
          <w:lang w:val="es-ES"/>
        </w:rPr>
      </w:pPr>
      <w:bookmarkStart w:id="5" w:name="Prepared"/>
      <w:bookmarkEnd w:id="5"/>
      <w:r>
        <w:rPr>
          <w:i/>
          <w:lang w:val="es-ES"/>
        </w:rPr>
        <w:t>p</w:t>
      </w:r>
      <w:r w:rsidR="009E1DBC" w:rsidRPr="0051497B">
        <w:rPr>
          <w:i/>
          <w:lang w:val="es-ES"/>
        </w:rPr>
        <w:t>repar</w:t>
      </w:r>
      <w:r>
        <w:rPr>
          <w:i/>
          <w:lang w:val="es-ES"/>
        </w:rPr>
        <w:t>ado por la Secretaría</w:t>
      </w:r>
    </w:p>
    <w:p w:rsidR="00AC205C" w:rsidRPr="0051497B" w:rsidRDefault="00AC205C">
      <w:pPr>
        <w:rPr>
          <w:lang w:val="es-ES"/>
        </w:rPr>
      </w:pPr>
    </w:p>
    <w:p w:rsidR="000F5E56" w:rsidRPr="0051497B" w:rsidRDefault="000F5E56">
      <w:pPr>
        <w:rPr>
          <w:lang w:val="es-ES"/>
        </w:rPr>
      </w:pPr>
    </w:p>
    <w:p w:rsidR="002928D3" w:rsidRPr="0051497B" w:rsidRDefault="002928D3">
      <w:pPr>
        <w:rPr>
          <w:lang w:val="es-ES"/>
        </w:rPr>
      </w:pPr>
    </w:p>
    <w:p w:rsidR="00A21AB4" w:rsidRPr="0051497B" w:rsidRDefault="00A21AB4">
      <w:pPr>
        <w:rPr>
          <w:lang w:val="es-ES"/>
        </w:rPr>
      </w:pPr>
    </w:p>
    <w:p w:rsidR="00A21AB4" w:rsidRPr="0051497B" w:rsidRDefault="00A21AB4">
      <w:pPr>
        <w:rPr>
          <w:lang w:val="es-ES"/>
        </w:rPr>
      </w:pPr>
    </w:p>
    <w:p w:rsidR="00DC37D4" w:rsidRPr="0051497B" w:rsidRDefault="00A21AB4" w:rsidP="00D27862">
      <w:pPr>
        <w:rPr>
          <w:lang w:val="es-ES"/>
        </w:rPr>
      </w:pPr>
      <w:r w:rsidRPr="0051497B">
        <w:rPr>
          <w:lang w:val="es-ES"/>
        </w:rPr>
        <w:fldChar w:fldCharType="begin"/>
      </w:r>
      <w:r w:rsidRPr="0051497B">
        <w:rPr>
          <w:lang w:val="es-ES"/>
        </w:rPr>
        <w:instrText xml:space="preserve"> AUTONUM  </w:instrText>
      </w:r>
      <w:r w:rsidRPr="0051497B">
        <w:rPr>
          <w:lang w:val="es-ES"/>
        </w:rPr>
        <w:fldChar w:fldCharType="end"/>
      </w:r>
      <w:r w:rsidRPr="0051497B">
        <w:rPr>
          <w:lang w:val="es-ES"/>
        </w:rPr>
        <w:tab/>
      </w:r>
      <w:r w:rsidR="0051497B" w:rsidRPr="0063412A">
        <w:rPr>
          <w:color w:val="000000"/>
          <w:szCs w:val="22"/>
          <w:lang w:val="es-ES"/>
        </w:rPr>
        <w:t xml:space="preserve">En la vigésima sexta sesión del </w:t>
      </w:r>
      <w:r w:rsidR="0051497B" w:rsidRPr="0063412A">
        <w:rPr>
          <w:lang w:val="es-ES"/>
        </w:rPr>
        <w:t xml:space="preserve">Comité Intergubernamental de la OMPI sobre Propiedad Intelectual y Recursos Genéticos, Conocimientos Tradicionales y Folclore (el CIG), </w:t>
      </w:r>
      <w:r w:rsidR="0051497B" w:rsidRPr="0063412A">
        <w:rPr>
          <w:color w:val="000000"/>
          <w:szCs w:val="22"/>
          <w:lang w:val="es-ES"/>
        </w:rPr>
        <w:t xml:space="preserve">celebrada en Ginebra del 3 al 7 de febrero de 2014, el CIG elaboró, sobre la base del </w:t>
      </w:r>
      <w:r w:rsidR="0063412A">
        <w:rPr>
          <w:color w:val="000000"/>
          <w:szCs w:val="22"/>
          <w:lang w:val="es-ES"/>
        </w:rPr>
        <w:t xml:space="preserve">documento </w:t>
      </w:r>
      <w:r w:rsidR="00DC37D4" w:rsidRPr="0063412A">
        <w:rPr>
          <w:color w:val="000000"/>
          <w:szCs w:val="22"/>
          <w:lang w:val="es-ES"/>
        </w:rPr>
        <w:t>WIPO/GRTKF/IC/26/4</w:t>
      </w:r>
      <w:r w:rsidR="006E606A" w:rsidRPr="0063412A">
        <w:rPr>
          <w:color w:val="000000"/>
          <w:szCs w:val="22"/>
          <w:lang w:val="es-ES"/>
        </w:rPr>
        <w:t xml:space="preserve">, </w:t>
      </w:r>
      <w:r w:rsidR="0051497B" w:rsidRPr="0063412A">
        <w:rPr>
          <w:color w:val="000000"/>
          <w:szCs w:val="22"/>
          <w:lang w:val="es-ES"/>
        </w:rPr>
        <w:t>un</w:t>
      </w:r>
      <w:r w:rsidR="00BD7A5A" w:rsidRPr="0063412A">
        <w:rPr>
          <w:color w:val="000000"/>
          <w:szCs w:val="22"/>
          <w:lang w:val="es-ES"/>
        </w:rPr>
        <w:t xml:space="preserve"> </w:t>
      </w:r>
      <w:r w:rsidR="006E606A" w:rsidRPr="0063412A">
        <w:rPr>
          <w:color w:val="000000"/>
          <w:szCs w:val="22"/>
          <w:lang w:val="es-ES"/>
        </w:rPr>
        <w:t>“</w:t>
      </w:r>
      <w:r w:rsidR="0051497B" w:rsidRPr="0063412A">
        <w:rPr>
          <w:color w:val="000000"/>
          <w:szCs w:val="22"/>
          <w:lang w:val="es-ES"/>
        </w:rPr>
        <w:t>Documento consolidado en relación con la propiedad intelectual y los recursos genéticos Rev. 2</w:t>
      </w:r>
      <w:r w:rsidR="006E606A" w:rsidRPr="0063412A">
        <w:rPr>
          <w:color w:val="000000"/>
          <w:szCs w:val="22"/>
          <w:lang w:val="es-ES"/>
        </w:rPr>
        <w:t xml:space="preserve">”. </w:t>
      </w:r>
      <w:r w:rsidR="00327953" w:rsidRPr="0063412A">
        <w:rPr>
          <w:color w:val="000000"/>
          <w:szCs w:val="22"/>
          <w:lang w:val="es-ES"/>
        </w:rPr>
        <w:t xml:space="preserve"> </w:t>
      </w:r>
      <w:r w:rsidR="0051497B" w:rsidRPr="0063412A">
        <w:rPr>
          <w:color w:val="000000"/>
          <w:szCs w:val="22"/>
          <w:lang w:val="es-ES"/>
        </w:rPr>
        <w:t>El texto se puso a disposición en la vigesimoctava sesión del CIG en tanto que</w:t>
      </w:r>
      <w:r w:rsidR="00DC37D4" w:rsidRPr="0063412A">
        <w:rPr>
          <w:color w:val="000000"/>
          <w:szCs w:val="22"/>
          <w:lang w:val="es-ES"/>
        </w:rPr>
        <w:t xml:space="preserve"> document</w:t>
      </w:r>
      <w:r w:rsidR="0051497B" w:rsidRPr="0063412A">
        <w:rPr>
          <w:color w:val="000000"/>
          <w:szCs w:val="22"/>
          <w:lang w:val="es-ES"/>
        </w:rPr>
        <w:t>o</w:t>
      </w:r>
      <w:r w:rsidR="00DC37D4" w:rsidRPr="0063412A">
        <w:rPr>
          <w:color w:val="000000"/>
          <w:szCs w:val="22"/>
          <w:lang w:val="es-ES"/>
        </w:rPr>
        <w:t xml:space="preserve"> WIPO/GRTKF/IC/28/4 </w:t>
      </w:r>
      <w:r w:rsidR="0051497B" w:rsidRPr="0063412A">
        <w:rPr>
          <w:color w:val="000000"/>
          <w:szCs w:val="22"/>
          <w:lang w:val="es-ES"/>
        </w:rPr>
        <w:t>y fue transmitido a la Asamblea General en 2014 como</w:t>
      </w:r>
      <w:r w:rsidR="00DC37D4" w:rsidRPr="0063412A">
        <w:rPr>
          <w:color w:val="000000"/>
          <w:szCs w:val="22"/>
          <w:lang w:val="es-ES"/>
        </w:rPr>
        <w:t xml:space="preserve"> Anex</w:t>
      </w:r>
      <w:r w:rsidR="0051497B" w:rsidRPr="0063412A">
        <w:rPr>
          <w:color w:val="000000"/>
          <w:szCs w:val="22"/>
          <w:lang w:val="es-ES"/>
        </w:rPr>
        <w:t>o</w:t>
      </w:r>
      <w:r w:rsidR="00DC37D4" w:rsidRPr="0063412A">
        <w:rPr>
          <w:color w:val="000000"/>
          <w:szCs w:val="22"/>
          <w:lang w:val="es-ES"/>
        </w:rPr>
        <w:t xml:space="preserve"> A </w:t>
      </w:r>
      <w:r w:rsidR="0051497B" w:rsidRPr="0063412A">
        <w:rPr>
          <w:color w:val="000000"/>
          <w:szCs w:val="22"/>
          <w:lang w:val="es-ES"/>
        </w:rPr>
        <w:t>del</w:t>
      </w:r>
      <w:r w:rsidR="00DC37D4" w:rsidRPr="0063412A">
        <w:rPr>
          <w:color w:val="000000"/>
          <w:szCs w:val="22"/>
          <w:lang w:val="es-ES"/>
        </w:rPr>
        <w:t xml:space="preserve"> document</w:t>
      </w:r>
      <w:r w:rsidR="0051497B" w:rsidRPr="0063412A">
        <w:rPr>
          <w:color w:val="000000"/>
          <w:szCs w:val="22"/>
          <w:lang w:val="es-ES"/>
        </w:rPr>
        <w:t>o</w:t>
      </w:r>
      <w:r w:rsidR="00DC37D4" w:rsidRPr="0063412A">
        <w:rPr>
          <w:color w:val="000000"/>
          <w:szCs w:val="22"/>
          <w:lang w:val="es-ES"/>
        </w:rPr>
        <w:t xml:space="preserve"> WO/GA/46/6.  </w:t>
      </w:r>
      <w:r w:rsidR="0051497B" w:rsidRPr="0063412A">
        <w:rPr>
          <w:color w:val="000000"/>
          <w:szCs w:val="22"/>
          <w:lang w:val="es-ES"/>
        </w:rPr>
        <w:t>Durante las sesiones de la Asamblea General de 2014 no se tomó decisión alguna acerca del CIG</w:t>
      </w:r>
      <w:r w:rsidR="00DC37D4" w:rsidRPr="0063412A">
        <w:rPr>
          <w:color w:val="000000"/>
          <w:szCs w:val="22"/>
          <w:lang w:val="es-ES"/>
        </w:rPr>
        <w:t xml:space="preserve">.  </w:t>
      </w:r>
      <w:r w:rsidR="0051497B" w:rsidRPr="0063412A">
        <w:rPr>
          <w:color w:val="000000"/>
          <w:szCs w:val="22"/>
          <w:lang w:val="es-ES"/>
        </w:rPr>
        <w:t xml:space="preserve">El presente documento fue presentado a la Asamblea General en </w:t>
      </w:r>
      <w:r w:rsidR="00DC37D4" w:rsidRPr="0063412A">
        <w:rPr>
          <w:color w:val="000000"/>
          <w:szCs w:val="22"/>
          <w:lang w:val="es-ES"/>
        </w:rPr>
        <w:t>2015</w:t>
      </w:r>
      <w:r w:rsidR="0051497B" w:rsidRPr="0063412A">
        <w:rPr>
          <w:color w:val="000000"/>
          <w:szCs w:val="22"/>
          <w:lang w:val="es-ES"/>
        </w:rPr>
        <w:t xml:space="preserve"> como</w:t>
      </w:r>
      <w:r w:rsidR="00DC37D4" w:rsidRPr="0063412A">
        <w:rPr>
          <w:color w:val="000000"/>
          <w:szCs w:val="22"/>
          <w:lang w:val="es-ES"/>
        </w:rPr>
        <w:t xml:space="preserve"> Anex</w:t>
      </w:r>
      <w:r w:rsidR="0051497B" w:rsidRPr="0063412A">
        <w:rPr>
          <w:color w:val="000000"/>
          <w:szCs w:val="22"/>
          <w:lang w:val="es-ES"/>
        </w:rPr>
        <w:t>o</w:t>
      </w:r>
      <w:r w:rsidR="00DC37D4" w:rsidRPr="0063412A">
        <w:rPr>
          <w:color w:val="000000"/>
          <w:szCs w:val="22"/>
          <w:lang w:val="es-ES"/>
        </w:rPr>
        <w:t xml:space="preserve"> A </w:t>
      </w:r>
      <w:r w:rsidR="0051497B" w:rsidRPr="0063412A">
        <w:rPr>
          <w:color w:val="000000"/>
          <w:szCs w:val="22"/>
          <w:lang w:val="es-ES"/>
        </w:rPr>
        <w:t xml:space="preserve">del </w:t>
      </w:r>
      <w:r w:rsidR="00DC37D4" w:rsidRPr="0063412A">
        <w:rPr>
          <w:color w:val="000000"/>
          <w:szCs w:val="22"/>
          <w:lang w:val="es-ES"/>
        </w:rPr>
        <w:t>document</w:t>
      </w:r>
      <w:r w:rsidR="0051497B" w:rsidRPr="0063412A">
        <w:rPr>
          <w:color w:val="000000"/>
          <w:szCs w:val="22"/>
          <w:lang w:val="es-ES"/>
        </w:rPr>
        <w:t>o</w:t>
      </w:r>
      <w:r w:rsidR="00DC37D4" w:rsidRPr="0063412A">
        <w:rPr>
          <w:color w:val="000000"/>
          <w:szCs w:val="22"/>
          <w:lang w:val="es-ES"/>
        </w:rPr>
        <w:t xml:space="preserve"> WO/GA/47/12</w:t>
      </w:r>
      <w:r w:rsidR="00DC37D4" w:rsidRPr="0051497B">
        <w:rPr>
          <w:color w:val="000000"/>
          <w:szCs w:val="22"/>
          <w:lang w:val="es-ES"/>
        </w:rPr>
        <w:t>.</w:t>
      </w:r>
    </w:p>
    <w:p w:rsidR="006E606A" w:rsidRPr="0051497B" w:rsidRDefault="006E606A" w:rsidP="00DC37D4">
      <w:pPr>
        <w:rPr>
          <w:color w:val="000000"/>
          <w:szCs w:val="22"/>
          <w:lang w:val="es-ES"/>
        </w:rPr>
      </w:pPr>
    </w:p>
    <w:p w:rsidR="007E0EC1" w:rsidRPr="0051497B" w:rsidRDefault="006E606A" w:rsidP="00D27862">
      <w:pPr>
        <w:rPr>
          <w:color w:val="000000"/>
          <w:szCs w:val="22"/>
          <w:lang w:val="es-ES"/>
        </w:rPr>
      </w:pPr>
      <w:r w:rsidRPr="0051497B">
        <w:rPr>
          <w:lang w:val="es-ES"/>
        </w:rPr>
        <w:fldChar w:fldCharType="begin"/>
      </w:r>
      <w:r w:rsidRPr="0051497B">
        <w:rPr>
          <w:lang w:val="es-ES"/>
        </w:rPr>
        <w:instrText xml:space="preserve"> AUTONUM  </w:instrText>
      </w:r>
      <w:r w:rsidRPr="0051497B">
        <w:rPr>
          <w:lang w:val="es-ES"/>
        </w:rPr>
        <w:fldChar w:fldCharType="end"/>
      </w:r>
      <w:r w:rsidRPr="0051497B">
        <w:rPr>
          <w:lang w:val="es-ES"/>
        </w:rPr>
        <w:tab/>
      </w:r>
      <w:r w:rsidR="00CC3242" w:rsidRPr="00CC3242">
        <w:rPr>
          <w:lang w:val="es-ES"/>
        </w:rPr>
        <w:t xml:space="preserve">En 2015, la Asamblea General de la OMPI tomó nota del documento WO/GA/47/12, incluidos sus anexos, y decidió que el CIG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P.I. que aseguren la protección eficaz y equilibrada de los recursos genéticos (RR.GG.), los conocimientos tradicionales (CC.TT.) y las expresiones culturales tradicionales (ECT)” y que “en el bienio 2016/17, las actividades del Comité tendrán como punto de partida la labor que ya ha efectuado”, y que “hará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w:t>
      </w:r>
      <w:r w:rsidR="00CC3242" w:rsidRPr="00CC3242">
        <w:rPr>
          <w:lang w:val="es-ES"/>
        </w:rPr>
        <w:lastRenderedPageBreak/>
        <w:t>se prevé proteger, además de la contribución de todo grupo de expertos creado por el Comité, y seminarios y talleres en relación con el CIG celebrados en el marco del programa 4”.</w:t>
      </w:r>
    </w:p>
    <w:p w:rsidR="007E0EC1" w:rsidRPr="0051497B" w:rsidRDefault="007E0EC1" w:rsidP="00D27862">
      <w:pPr>
        <w:rPr>
          <w:color w:val="000000"/>
          <w:szCs w:val="22"/>
          <w:lang w:val="es-ES"/>
        </w:rPr>
      </w:pPr>
    </w:p>
    <w:p w:rsidR="00612C72" w:rsidRPr="0051497B" w:rsidRDefault="007E0EC1" w:rsidP="007E0EC1">
      <w:pPr>
        <w:rPr>
          <w:color w:val="000000"/>
          <w:szCs w:val="22"/>
          <w:lang w:val="es-ES"/>
        </w:rPr>
      </w:pPr>
      <w:r w:rsidRPr="0051497B">
        <w:rPr>
          <w:color w:val="000000"/>
          <w:szCs w:val="22"/>
          <w:lang w:val="es-ES"/>
        </w:rPr>
        <w:t>3.</w:t>
      </w:r>
      <w:r w:rsidRPr="0051497B">
        <w:rPr>
          <w:color w:val="000000"/>
          <w:szCs w:val="22"/>
          <w:lang w:val="es-ES"/>
        </w:rPr>
        <w:tab/>
      </w:r>
      <w:r w:rsidR="00431D6B">
        <w:rPr>
          <w:color w:val="000000"/>
          <w:szCs w:val="22"/>
          <w:lang w:val="es-ES"/>
        </w:rPr>
        <w:t>En el programa de trabajo que figura en anexo del</w:t>
      </w:r>
      <w:r w:rsidR="009425C1">
        <w:rPr>
          <w:color w:val="000000"/>
          <w:szCs w:val="22"/>
          <w:lang w:val="es-ES"/>
        </w:rPr>
        <w:t xml:space="preserve"> mandato del CIG para el bienio </w:t>
      </w:r>
      <w:r w:rsidR="00431D6B">
        <w:rPr>
          <w:color w:val="000000"/>
          <w:szCs w:val="22"/>
          <w:lang w:val="es-ES"/>
        </w:rPr>
        <w:t>2016/2017 se indica que en su vigesimonovena y trigésima sesiones, el Comité emprenderá “</w:t>
      </w:r>
      <w:r w:rsidR="00431D6B" w:rsidRPr="00431D6B">
        <w:rPr>
          <w:color w:val="000000"/>
          <w:szCs w:val="22"/>
          <w:lang w:val="es-ES"/>
        </w:rPr>
        <w:t>negociaciones sobre RR.GG. centrándose en el examen de las cuestiones no resueltas y la consideración de distintas opciones relativas a un proyecto de instrumento jurídico</w:t>
      </w:r>
      <w:r w:rsidR="00431D6B">
        <w:rPr>
          <w:color w:val="000000"/>
          <w:szCs w:val="22"/>
          <w:lang w:val="es-ES"/>
        </w:rPr>
        <w:t>”.</w:t>
      </w:r>
    </w:p>
    <w:p w:rsidR="00612C72" w:rsidRPr="0051497B" w:rsidRDefault="00612C72" w:rsidP="00DC37D4">
      <w:pPr>
        <w:rPr>
          <w:color w:val="000000"/>
          <w:szCs w:val="22"/>
          <w:lang w:val="es-ES"/>
        </w:rPr>
      </w:pPr>
    </w:p>
    <w:p w:rsidR="002B79CE" w:rsidRPr="0051497B" w:rsidRDefault="007E0EC1" w:rsidP="00FA4227">
      <w:pPr>
        <w:rPr>
          <w:color w:val="000000"/>
          <w:szCs w:val="22"/>
          <w:lang w:val="es-ES"/>
        </w:rPr>
      </w:pPr>
      <w:r w:rsidRPr="0051497B">
        <w:rPr>
          <w:color w:val="000000"/>
          <w:szCs w:val="22"/>
          <w:lang w:val="es-ES"/>
        </w:rPr>
        <w:t>4.</w:t>
      </w:r>
      <w:r w:rsidR="00612C72" w:rsidRPr="0051497B">
        <w:rPr>
          <w:color w:val="000000"/>
          <w:szCs w:val="22"/>
          <w:lang w:val="es-ES"/>
        </w:rPr>
        <w:tab/>
      </w:r>
      <w:r w:rsidR="00431D6B">
        <w:rPr>
          <w:color w:val="000000"/>
          <w:szCs w:val="22"/>
          <w:lang w:val="es-ES"/>
        </w:rPr>
        <w:t>El A</w:t>
      </w:r>
      <w:r w:rsidR="00810EC7" w:rsidRPr="0051497B">
        <w:rPr>
          <w:color w:val="000000"/>
          <w:szCs w:val="22"/>
          <w:lang w:val="es-ES"/>
        </w:rPr>
        <w:t>nex</w:t>
      </w:r>
      <w:r w:rsidR="00431D6B">
        <w:rPr>
          <w:color w:val="000000"/>
          <w:szCs w:val="22"/>
          <w:lang w:val="es-ES"/>
        </w:rPr>
        <w:t>o</w:t>
      </w:r>
      <w:r w:rsidR="00810EC7" w:rsidRPr="0051497B">
        <w:rPr>
          <w:color w:val="000000"/>
          <w:szCs w:val="22"/>
          <w:lang w:val="es-ES"/>
        </w:rPr>
        <w:t xml:space="preserve"> A </w:t>
      </w:r>
      <w:r w:rsidR="00431D6B">
        <w:rPr>
          <w:color w:val="000000"/>
          <w:szCs w:val="22"/>
          <w:lang w:val="es-ES"/>
        </w:rPr>
        <w:t>del</w:t>
      </w:r>
      <w:r w:rsidR="00810EC7" w:rsidRPr="0051497B">
        <w:rPr>
          <w:color w:val="000000"/>
          <w:szCs w:val="22"/>
          <w:lang w:val="es-ES"/>
        </w:rPr>
        <w:t xml:space="preserve"> document</w:t>
      </w:r>
      <w:r w:rsidR="00431D6B">
        <w:rPr>
          <w:color w:val="000000"/>
          <w:szCs w:val="22"/>
          <w:lang w:val="es-ES"/>
        </w:rPr>
        <w:t>o</w:t>
      </w:r>
      <w:r w:rsidR="00810EC7" w:rsidRPr="0051497B">
        <w:rPr>
          <w:color w:val="000000"/>
          <w:szCs w:val="22"/>
          <w:lang w:val="es-ES"/>
        </w:rPr>
        <w:t xml:space="preserve"> WO/GA/47/12 </w:t>
      </w:r>
      <w:r w:rsidR="00E750CF">
        <w:rPr>
          <w:color w:val="000000"/>
          <w:szCs w:val="22"/>
          <w:lang w:val="es-ES"/>
        </w:rPr>
        <w:t>se hizo constar en el A</w:t>
      </w:r>
      <w:r w:rsidR="00431D6B">
        <w:rPr>
          <w:color w:val="000000"/>
          <w:szCs w:val="22"/>
          <w:lang w:val="es-ES"/>
        </w:rPr>
        <w:t>nexo del documento</w:t>
      </w:r>
      <w:r w:rsidR="00810EC7" w:rsidRPr="0051497B">
        <w:rPr>
          <w:szCs w:val="22"/>
          <w:lang w:val="es-ES"/>
        </w:rPr>
        <w:t xml:space="preserve"> WIPO/GRTKF/IC/29/4 </w:t>
      </w:r>
      <w:r w:rsidR="00431D6B">
        <w:rPr>
          <w:szCs w:val="22"/>
          <w:lang w:val="es-ES"/>
        </w:rPr>
        <w:t xml:space="preserve">a los fines de </w:t>
      </w:r>
      <w:r w:rsidR="00E750CF">
        <w:rPr>
          <w:szCs w:val="22"/>
          <w:lang w:val="es-ES"/>
        </w:rPr>
        <w:t>su examen</w:t>
      </w:r>
      <w:r w:rsidR="00431D6B">
        <w:rPr>
          <w:szCs w:val="22"/>
          <w:lang w:val="es-ES"/>
        </w:rPr>
        <w:t xml:space="preserve"> por el CIG en su vigesimonovena sesión, que tuvo lugar en Ginebra, del 15 al 19 de febrero de </w:t>
      </w:r>
      <w:r w:rsidR="00810EC7" w:rsidRPr="0051497B">
        <w:rPr>
          <w:szCs w:val="22"/>
          <w:lang w:val="es-ES"/>
        </w:rPr>
        <w:t xml:space="preserve">2016. </w:t>
      </w:r>
      <w:r w:rsidR="00431D6B">
        <w:rPr>
          <w:szCs w:val="22"/>
          <w:lang w:val="es-ES"/>
        </w:rPr>
        <w:t xml:space="preserve"> En su vigesimonovena sesión, el Comité decidió transmitir el texto que figura en el anexo del documento</w:t>
      </w:r>
      <w:r w:rsidR="002B0C42" w:rsidRPr="0051497B">
        <w:rPr>
          <w:color w:val="000000"/>
          <w:szCs w:val="22"/>
          <w:lang w:val="es-ES"/>
        </w:rPr>
        <w:t xml:space="preserve"> WIPO/GRTKF/IC/29/4, </w:t>
      </w:r>
      <w:r w:rsidR="00431D6B">
        <w:rPr>
          <w:color w:val="000000"/>
          <w:szCs w:val="22"/>
          <w:lang w:val="es-ES"/>
        </w:rPr>
        <w:t>previa supresión del</w:t>
      </w:r>
      <w:r w:rsidR="002B0C42" w:rsidRPr="0051497B">
        <w:rPr>
          <w:color w:val="000000"/>
          <w:szCs w:val="22"/>
          <w:lang w:val="es-ES"/>
        </w:rPr>
        <w:t xml:space="preserve"> Art</w:t>
      </w:r>
      <w:r w:rsidR="00431D6B">
        <w:rPr>
          <w:color w:val="000000"/>
          <w:szCs w:val="22"/>
          <w:lang w:val="es-ES"/>
        </w:rPr>
        <w:t>ículo</w:t>
      </w:r>
      <w:r w:rsidR="002B0C42" w:rsidRPr="0051497B">
        <w:rPr>
          <w:color w:val="000000"/>
          <w:szCs w:val="22"/>
          <w:lang w:val="es-ES"/>
        </w:rPr>
        <w:t xml:space="preserve"> 2, </w:t>
      </w:r>
      <w:r w:rsidR="00431D6B">
        <w:rPr>
          <w:color w:val="000000"/>
          <w:szCs w:val="22"/>
          <w:lang w:val="es-ES"/>
        </w:rPr>
        <w:t>a la trigésima sesión del Comité</w:t>
      </w:r>
      <w:r w:rsidR="002B0C42" w:rsidRPr="0051497B">
        <w:rPr>
          <w:color w:val="000000"/>
          <w:szCs w:val="22"/>
          <w:lang w:val="es-ES"/>
        </w:rPr>
        <w:t>.</w:t>
      </w:r>
    </w:p>
    <w:p w:rsidR="002B0C42" w:rsidRPr="0051497B" w:rsidRDefault="002B0C42" w:rsidP="00FA4227">
      <w:pPr>
        <w:rPr>
          <w:color w:val="000000"/>
          <w:szCs w:val="22"/>
          <w:lang w:val="es-ES"/>
        </w:rPr>
      </w:pPr>
    </w:p>
    <w:p w:rsidR="002B0C42" w:rsidRPr="0051497B" w:rsidRDefault="007E0EC1" w:rsidP="00FA4227">
      <w:pPr>
        <w:rPr>
          <w:color w:val="000000"/>
          <w:szCs w:val="22"/>
          <w:lang w:val="es-ES"/>
        </w:rPr>
      </w:pPr>
      <w:r w:rsidRPr="0051497B">
        <w:rPr>
          <w:color w:val="000000"/>
          <w:szCs w:val="22"/>
          <w:lang w:val="es-ES"/>
        </w:rPr>
        <w:t>5.</w:t>
      </w:r>
      <w:r w:rsidR="003A1D6C" w:rsidRPr="0051497B">
        <w:rPr>
          <w:color w:val="000000"/>
          <w:szCs w:val="22"/>
          <w:lang w:val="es-ES"/>
        </w:rPr>
        <w:tab/>
      </w:r>
      <w:r w:rsidR="003F7BE7">
        <w:rPr>
          <w:color w:val="000000"/>
          <w:szCs w:val="22"/>
          <w:lang w:val="es-ES"/>
        </w:rPr>
        <w:t xml:space="preserve">En el Anexo del presente documento figura un </w:t>
      </w:r>
      <w:r w:rsidR="003A1D6C" w:rsidRPr="0051497B">
        <w:rPr>
          <w:color w:val="000000"/>
          <w:szCs w:val="22"/>
          <w:lang w:val="es-ES"/>
        </w:rPr>
        <w:t>“</w:t>
      </w:r>
      <w:r w:rsidR="003F7BE7" w:rsidRPr="000A22E7">
        <w:rPr>
          <w:color w:val="000000"/>
          <w:szCs w:val="22"/>
          <w:lang w:val="es-ES"/>
        </w:rPr>
        <w:t>Documento consolidado en relación con la propiedad intelectual y los recursos genéticos </w:t>
      </w:r>
      <w:r w:rsidR="003A1D6C" w:rsidRPr="0051497B">
        <w:rPr>
          <w:color w:val="000000"/>
          <w:szCs w:val="22"/>
          <w:lang w:val="es-ES"/>
        </w:rPr>
        <w:t>”</w:t>
      </w:r>
      <w:r w:rsidR="006450C3" w:rsidRPr="0051497B">
        <w:rPr>
          <w:color w:val="000000"/>
          <w:szCs w:val="22"/>
          <w:lang w:val="es-ES"/>
        </w:rPr>
        <w:t>,</w:t>
      </w:r>
      <w:r w:rsidR="003A1D6C" w:rsidRPr="0051497B">
        <w:rPr>
          <w:color w:val="000000"/>
          <w:szCs w:val="22"/>
          <w:lang w:val="es-ES"/>
        </w:rPr>
        <w:t xml:space="preserve"> </w:t>
      </w:r>
      <w:r w:rsidR="003F7BE7">
        <w:rPr>
          <w:color w:val="000000"/>
          <w:szCs w:val="22"/>
          <w:lang w:val="es-ES"/>
        </w:rPr>
        <w:t>en la forma en que consta en el Anexo del documento</w:t>
      </w:r>
      <w:r w:rsidR="006450C3" w:rsidRPr="0051497B">
        <w:rPr>
          <w:color w:val="000000"/>
          <w:szCs w:val="22"/>
          <w:lang w:val="es-ES"/>
        </w:rPr>
        <w:t xml:space="preserve"> WIPO/GRTKF/IC/29/4, </w:t>
      </w:r>
      <w:r w:rsidR="003F7BE7">
        <w:rPr>
          <w:color w:val="000000"/>
          <w:szCs w:val="22"/>
          <w:lang w:val="es-ES"/>
        </w:rPr>
        <w:t>salvo la supresión del Artículo</w:t>
      </w:r>
      <w:r w:rsidR="006450C3" w:rsidRPr="0051497B">
        <w:rPr>
          <w:color w:val="000000"/>
          <w:szCs w:val="22"/>
          <w:lang w:val="es-ES"/>
        </w:rPr>
        <w:t xml:space="preserve"> 2</w:t>
      </w:r>
      <w:r w:rsidR="003A1D6C" w:rsidRPr="0051497B">
        <w:rPr>
          <w:color w:val="000000"/>
          <w:szCs w:val="22"/>
          <w:lang w:val="es-ES"/>
        </w:rPr>
        <w:t>.</w:t>
      </w:r>
    </w:p>
    <w:p w:rsidR="00810EC7" w:rsidRPr="0051497B" w:rsidRDefault="00810EC7" w:rsidP="00D27862">
      <w:pPr>
        <w:ind w:left="540" w:hanging="540"/>
        <w:rPr>
          <w:color w:val="000000"/>
          <w:szCs w:val="22"/>
          <w:lang w:val="es-ES"/>
        </w:rPr>
      </w:pPr>
    </w:p>
    <w:p w:rsidR="007136FD" w:rsidRPr="0051497B" w:rsidRDefault="007E0EC1" w:rsidP="007136FD">
      <w:pPr>
        <w:autoSpaceDE w:val="0"/>
        <w:autoSpaceDN w:val="0"/>
        <w:adjustRightInd w:val="0"/>
        <w:ind w:left="5580" w:hanging="47"/>
        <w:rPr>
          <w:b/>
          <w:i/>
          <w:lang w:val="es-ES"/>
        </w:rPr>
      </w:pPr>
      <w:r w:rsidRPr="0051497B">
        <w:rPr>
          <w:rFonts w:eastAsia="Times New Roman"/>
          <w:i/>
          <w:sz w:val="21"/>
          <w:szCs w:val="21"/>
          <w:lang w:val="es-ES" w:eastAsia="ko-KR"/>
        </w:rPr>
        <w:t>6</w:t>
      </w:r>
      <w:r w:rsidR="00810EC7" w:rsidRPr="0051497B">
        <w:rPr>
          <w:rFonts w:eastAsia="Times New Roman"/>
          <w:i/>
          <w:sz w:val="21"/>
          <w:szCs w:val="21"/>
          <w:lang w:val="es-ES" w:eastAsia="ko-KR"/>
        </w:rPr>
        <w:t>.</w:t>
      </w:r>
      <w:r w:rsidR="00D27862" w:rsidRPr="0051497B">
        <w:rPr>
          <w:i/>
          <w:lang w:val="es-ES"/>
        </w:rPr>
        <w:tab/>
      </w:r>
      <w:r w:rsidR="003F7BE7" w:rsidRPr="003F7BE7">
        <w:rPr>
          <w:i/>
          <w:lang w:val="es-ES"/>
        </w:rPr>
        <w:t>Se invita al Comité a examinar el documento contenido en el Anexo, y formular comentarios al respecto, con miras a elaborar una versión revisada del mismo</w:t>
      </w:r>
      <w:r w:rsidR="007136FD" w:rsidRPr="0051497B">
        <w:rPr>
          <w:i/>
          <w:lang w:val="es-ES"/>
        </w:rPr>
        <w:t>.</w:t>
      </w:r>
    </w:p>
    <w:p w:rsidR="005A0E0B" w:rsidRPr="0051497B" w:rsidRDefault="005A0E0B" w:rsidP="00FA4227">
      <w:pPr>
        <w:autoSpaceDE w:val="0"/>
        <w:autoSpaceDN w:val="0"/>
        <w:adjustRightInd w:val="0"/>
        <w:ind w:left="5580" w:hanging="47"/>
        <w:rPr>
          <w:color w:val="000000"/>
          <w:szCs w:val="22"/>
          <w:lang w:val="es-ES"/>
        </w:rPr>
      </w:pPr>
    </w:p>
    <w:p w:rsidR="00EB26D0" w:rsidRPr="0051497B" w:rsidRDefault="00EB26D0" w:rsidP="00FA4227">
      <w:pPr>
        <w:autoSpaceDE w:val="0"/>
        <w:autoSpaceDN w:val="0"/>
        <w:adjustRightInd w:val="0"/>
        <w:ind w:left="5580" w:hanging="47"/>
        <w:rPr>
          <w:color w:val="000000"/>
          <w:szCs w:val="22"/>
          <w:lang w:val="es-ES"/>
        </w:rPr>
      </w:pPr>
    </w:p>
    <w:p w:rsidR="00A21AB4" w:rsidRPr="0051497B" w:rsidRDefault="00A21AB4" w:rsidP="00A21AB4">
      <w:pPr>
        <w:pStyle w:val="DecisionInvitingPara"/>
        <w:ind w:left="6237" w:hanging="703"/>
        <w:rPr>
          <w:i w:val="0"/>
          <w:lang w:val="es-ES"/>
        </w:rPr>
      </w:pPr>
      <w:r w:rsidRPr="0051497B">
        <w:rPr>
          <w:i w:val="0"/>
          <w:lang w:val="es-ES"/>
        </w:rPr>
        <w:t>[</w:t>
      </w:r>
      <w:r w:rsidR="003F7BE7">
        <w:rPr>
          <w:i w:val="0"/>
          <w:lang w:val="es-ES"/>
        </w:rPr>
        <w:t>Sigue el Anexo</w:t>
      </w:r>
      <w:r w:rsidRPr="0051497B">
        <w:rPr>
          <w:i w:val="0"/>
          <w:lang w:val="es-ES"/>
        </w:rPr>
        <w:t>]</w:t>
      </w:r>
    </w:p>
    <w:p w:rsidR="00A21AB4" w:rsidRPr="0051497B" w:rsidRDefault="00A21AB4" w:rsidP="00A21AB4">
      <w:pPr>
        <w:pStyle w:val="DecisionInvitingPara"/>
        <w:ind w:left="6237" w:hanging="703"/>
        <w:rPr>
          <w:i w:val="0"/>
          <w:lang w:val="es-ES"/>
        </w:rPr>
      </w:pPr>
    </w:p>
    <w:p w:rsidR="00150C3C" w:rsidRPr="0051497B" w:rsidRDefault="00150C3C" w:rsidP="00A21AB4">
      <w:pPr>
        <w:pStyle w:val="DecisionInvitingPara"/>
        <w:ind w:left="6237" w:hanging="703"/>
        <w:rPr>
          <w:i w:val="0"/>
          <w:lang w:val="es-ES"/>
        </w:rPr>
        <w:sectPr w:rsidR="00150C3C" w:rsidRPr="0051497B" w:rsidSect="00A21AB4">
          <w:headerReference w:type="default" r:id="rId10"/>
          <w:endnotePr>
            <w:numFmt w:val="decimal"/>
          </w:endnotePr>
          <w:pgSz w:w="11907" w:h="16840" w:code="9"/>
          <w:pgMar w:top="567" w:right="1134" w:bottom="1418" w:left="1418" w:header="510" w:footer="1021" w:gutter="0"/>
          <w:cols w:space="720"/>
          <w:titlePg/>
          <w:docGrid w:linePitch="299"/>
        </w:sectPr>
      </w:pPr>
    </w:p>
    <w:p w:rsidR="0041227F" w:rsidRPr="0051497B" w:rsidRDefault="0041227F" w:rsidP="0041227F">
      <w:pPr>
        <w:rPr>
          <w:lang w:val="es-ES"/>
        </w:rPr>
      </w:pPr>
    </w:p>
    <w:p w:rsidR="0041227F" w:rsidRPr="0051497B" w:rsidRDefault="0041227F" w:rsidP="0041227F">
      <w:pPr>
        <w:rPr>
          <w:lang w:val="es-ES"/>
        </w:rPr>
      </w:pPr>
    </w:p>
    <w:p w:rsidR="0041227F" w:rsidRPr="0051497B" w:rsidRDefault="0041227F" w:rsidP="0041227F">
      <w:pPr>
        <w:rPr>
          <w:lang w:val="es-ES"/>
        </w:rPr>
      </w:pPr>
    </w:p>
    <w:p w:rsidR="0041227F" w:rsidRPr="0051497B" w:rsidRDefault="0041227F" w:rsidP="0041227F">
      <w:pPr>
        <w:rPr>
          <w:lang w:val="es-ES"/>
        </w:rPr>
      </w:pPr>
    </w:p>
    <w:p w:rsidR="000F4DC5" w:rsidRPr="0051497B" w:rsidRDefault="003F7BE7" w:rsidP="000F4DC5">
      <w:pPr>
        <w:rPr>
          <w:b/>
          <w:sz w:val="32"/>
          <w:szCs w:val="32"/>
          <w:lang w:val="es-ES"/>
        </w:rPr>
      </w:pPr>
      <w:r>
        <w:rPr>
          <w:b/>
          <w:sz w:val="32"/>
          <w:szCs w:val="32"/>
          <w:lang w:val="es-ES"/>
        </w:rPr>
        <w:t>Fecha</w:t>
      </w:r>
      <w:r w:rsidR="000F4DC5" w:rsidRPr="0051497B">
        <w:rPr>
          <w:b/>
          <w:sz w:val="32"/>
          <w:szCs w:val="32"/>
          <w:lang w:val="es-ES"/>
        </w:rPr>
        <w:t xml:space="preserve">:  </w:t>
      </w:r>
      <w:r>
        <w:rPr>
          <w:b/>
          <w:sz w:val="32"/>
          <w:szCs w:val="32"/>
          <w:lang w:val="es-ES"/>
        </w:rPr>
        <w:t xml:space="preserve">19 de febrero de </w:t>
      </w:r>
      <w:r w:rsidR="000F4DC5" w:rsidRPr="0051497B">
        <w:rPr>
          <w:b/>
          <w:sz w:val="32"/>
          <w:szCs w:val="32"/>
          <w:lang w:val="es-ES"/>
        </w:rPr>
        <w:t>201</w:t>
      </w:r>
      <w:r w:rsidR="0012593E" w:rsidRPr="0051497B">
        <w:rPr>
          <w:b/>
          <w:sz w:val="32"/>
          <w:szCs w:val="32"/>
          <w:lang w:val="es-ES"/>
        </w:rPr>
        <w:t>6</w:t>
      </w:r>
    </w:p>
    <w:p w:rsidR="000F4DC5" w:rsidRPr="0051497B" w:rsidRDefault="000F4DC5" w:rsidP="000F4DC5">
      <w:pPr>
        <w:tabs>
          <w:tab w:val="left" w:pos="6133"/>
        </w:tabs>
        <w:rPr>
          <w:b/>
          <w:sz w:val="32"/>
          <w:szCs w:val="32"/>
          <w:lang w:val="es-ES"/>
        </w:rPr>
      </w:pPr>
    </w:p>
    <w:p w:rsidR="000F4DC5" w:rsidRPr="0051497B" w:rsidRDefault="000F4DC5" w:rsidP="000F4DC5">
      <w:pPr>
        <w:rPr>
          <w:b/>
          <w:sz w:val="32"/>
          <w:szCs w:val="32"/>
          <w:lang w:val="es-ES"/>
        </w:rPr>
      </w:pPr>
    </w:p>
    <w:p w:rsidR="000F4DC5" w:rsidRPr="0051497B" w:rsidRDefault="003F7BE7" w:rsidP="000F4DC5">
      <w:pPr>
        <w:rPr>
          <w:b/>
          <w:sz w:val="32"/>
          <w:szCs w:val="32"/>
          <w:lang w:val="es-ES"/>
        </w:rPr>
      </w:pPr>
      <w:r w:rsidRPr="000A22E7">
        <w:rPr>
          <w:b/>
          <w:sz w:val="32"/>
          <w:szCs w:val="32"/>
          <w:lang w:val="es-ES"/>
        </w:rPr>
        <w:t>Documento consolidado en relación con la propiedad intelectual y los recursos genéticos</w:t>
      </w:r>
    </w:p>
    <w:p w:rsidR="0041227F" w:rsidRPr="0051497B" w:rsidRDefault="0041227F" w:rsidP="0041227F">
      <w:pPr>
        <w:rPr>
          <w:lang w:val="es-ES"/>
        </w:rPr>
      </w:pPr>
    </w:p>
    <w:p w:rsidR="0041227F" w:rsidRPr="0051497B" w:rsidRDefault="0041227F" w:rsidP="0041227F">
      <w:pPr>
        <w:rPr>
          <w:lang w:val="es-ES"/>
        </w:rPr>
      </w:pPr>
    </w:p>
    <w:p w:rsidR="0041227F" w:rsidRPr="0051497B" w:rsidRDefault="0041227F" w:rsidP="0041227F">
      <w:pPr>
        <w:rPr>
          <w:lang w:val="es-ES"/>
        </w:rPr>
      </w:pPr>
    </w:p>
    <w:p w:rsidR="0041227F" w:rsidRPr="0051497B" w:rsidRDefault="000F4DC5" w:rsidP="0041227F">
      <w:pPr>
        <w:rPr>
          <w:lang w:val="es-ES"/>
        </w:rPr>
      </w:pPr>
      <w:r w:rsidRPr="0051497B">
        <w:rPr>
          <w:lang w:val="es-ES"/>
        </w:rPr>
        <w:br w:type="page"/>
      </w:r>
    </w:p>
    <w:p w:rsidR="0063412A" w:rsidRPr="00805432" w:rsidRDefault="0063412A" w:rsidP="0063412A">
      <w:pPr>
        <w:widowControl w:val="0"/>
        <w:jc w:val="center"/>
        <w:rPr>
          <w:b/>
          <w:szCs w:val="22"/>
          <w:lang w:val="es-ES"/>
        </w:rPr>
      </w:pPr>
      <w:r w:rsidRPr="00805432">
        <w:rPr>
          <w:b/>
          <w:szCs w:val="22"/>
          <w:lang w:val="es-ES"/>
        </w:rPr>
        <w:lastRenderedPageBreak/>
        <w:t>LISTA DE TÉRMINOS</w:t>
      </w:r>
    </w:p>
    <w:p w:rsidR="0063412A" w:rsidRPr="00805432" w:rsidRDefault="0063412A" w:rsidP="0063412A">
      <w:pPr>
        <w:widowControl w:val="0"/>
        <w:rPr>
          <w:szCs w:val="22"/>
          <w:lang w:val="es-ES"/>
        </w:rPr>
      </w:pPr>
    </w:p>
    <w:p w:rsidR="0063412A" w:rsidRPr="00805432" w:rsidRDefault="0063412A" w:rsidP="0063412A">
      <w:pPr>
        <w:widowControl w:val="0"/>
        <w:rPr>
          <w:szCs w:val="22"/>
          <w:lang w:val="es-ES"/>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[Conocimientos tradicionales conexos</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b w:val="0"/>
          <w:sz w:val="22"/>
          <w:szCs w:val="22"/>
          <w:lang w:val="es-ES_tradnl"/>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[Conocimientos tradicionales asociados a los recursos genéticos</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b w:val="0"/>
          <w:sz w:val="22"/>
          <w:szCs w:val="22"/>
          <w:lang w:val="es-ES_tradnl"/>
        </w:rPr>
        <w:t>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[Biotecnología</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b w:val="0"/>
          <w:sz w:val="22"/>
          <w:szCs w:val="22"/>
          <w:lang w:val="es-ES_tradnl"/>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[País de origen</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b w:val="0"/>
          <w:sz w:val="22"/>
          <w:szCs w:val="22"/>
          <w:lang w:val="es-ES_tradnl"/>
        </w:rPr>
        <w:t xml:space="preserve">Por “país de origen” se entiende el [primer] país que posee esos recursos genéticos en condiciones </w:t>
      </w:r>
      <w:r w:rsidRPr="00805432">
        <w:rPr>
          <w:rFonts w:ascii="Arial" w:hAnsi="Arial" w:cs="Arial"/>
          <w:b w:val="0"/>
          <w:i/>
          <w:iCs/>
          <w:sz w:val="22"/>
          <w:szCs w:val="22"/>
          <w:lang w:val="es-ES_tradnl"/>
        </w:rPr>
        <w:t>in situ</w:t>
      </w:r>
      <w:r w:rsidRPr="00805432">
        <w:rPr>
          <w:rFonts w:ascii="Arial" w:hAnsi="Arial" w:cs="Arial"/>
          <w:b w:val="0"/>
          <w:sz w:val="22"/>
          <w:szCs w:val="22"/>
          <w:lang w:val="es-ES_tradnl"/>
        </w:rPr>
        <w:t>.]</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[[País que aporta] [país proveedor]</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b w:val="0"/>
          <w:sz w:val="22"/>
          <w:szCs w:val="22"/>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[País que aporta recursos genéticos</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b w:val="0"/>
          <w:sz w:val="22"/>
          <w:szCs w:val="22"/>
          <w:lang w:val="es-ES_tradnl"/>
        </w:rPr>
        <w:t xml:space="preserve">Por “país que aporta recursos genéticos” se entiende el país que suministra recursos genéticos obtenidos de fuentes </w:t>
      </w:r>
      <w:r w:rsidRPr="00805432">
        <w:rPr>
          <w:rFonts w:ascii="Arial" w:hAnsi="Arial" w:cs="Arial"/>
          <w:b w:val="0"/>
          <w:i/>
          <w:iCs/>
          <w:sz w:val="22"/>
          <w:szCs w:val="22"/>
          <w:lang w:val="es-ES_tradnl"/>
        </w:rPr>
        <w:t>in situ</w:t>
      </w:r>
      <w:r w:rsidRPr="00805432">
        <w:rPr>
          <w:rFonts w:ascii="Arial" w:hAnsi="Arial" w:cs="Arial"/>
          <w:b w:val="0"/>
          <w:sz w:val="22"/>
          <w:szCs w:val="22"/>
          <w:lang w:val="es-ES_tradnl"/>
        </w:rPr>
        <w:t xml:space="preserve">, incluidas las poblaciones de especies silvestres y domesticadas, o de fuentes </w:t>
      </w:r>
      <w:r w:rsidRPr="00805432">
        <w:rPr>
          <w:rFonts w:ascii="Arial" w:hAnsi="Arial" w:cs="Arial"/>
          <w:b w:val="0"/>
          <w:i/>
          <w:iCs/>
          <w:sz w:val="22"/>
          <w:szCs w:val="22"/>
          <w:lang w:val="es-ES_tradnl"/>
        </w:rPr>
        <w:t>ex situ</w:t>
      </w:r>
      <w:r w:rsidRPr="00805432">
        <w:rPr>
          <w:rFonts w:ascii="Arial" w:hAnsi="Arial" w:cs="Arial"/>
          <w:b w:val="0"/>
          <w:sz w:val="22"/>
          <w:szCs w:val="22"/>
          <w:lang w:val="es-ES_tradnl"/>
        </w:rPr>
        <w:t>, que pueden tener o no su origen en ese país.]</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805432">
      <w:pPr>
        <w:pStyle w:val="BodyText2"/>
        <w:keepNext/>
        <w:keepLines/>
        <w:widowControl w:val="0"/>
        <w:rPr>
          <w:rFonts w:ascii="Arial" w:hAnsi="Arial" w:cs="Arial"/>
          <w:b w:val="0"/>
          <w:sz w:val="22"/>
          <w:szCs w:val="22"/>
          <w:lang w:val="es-ES_tradnl"/>
        </w:rPr>
      </w:pPr>
      <w:r w:rsidRPr="00805432">
        <w:rPr>
          <w:rFonts w:ascii="Arial" w:hAnsi="Arial" w:cs="Arial"/>
          <w:sz w:val="22"/>
          <w:szCs w:val="22"/>
          <w:lang w:val="es-ES_tradnl"/>
        </w:rPr>
        <w:lastRenderedPageBreak/>
        <w:t>[Derivado</w:t>
      </w:r>
    </w:p>
    <w:p w:rsidR="0063412A" w:rsidRPr="00805432" w:rsidRDefault="0063412A" w:rsidP="00805432">
      <w:pPr>
        <w:pStyle w:val="BodyText2"/>
        <w:keepNext/>
        <w:keepLines/>
        <w:widowControl w:val="0"/>
        <w:rPr>
          <w:rFonts w:ascii="Arial" w:hAnsi="Arial" w:cs="Arial"/>
          <w:b w:val="0"/>
          <w:sz w:val="22"/>
          <w:szCs w:val="22"/>
          <w:lang w:val="es-ES_tradnl"/>
        </w:rPr>
      </w:pPr>
    </w:p>
    <w:p w:rsidR="0063412A" w:rsidRPr="00805432" w:rsidRDefault="0063412A" w:rsidP="00805432">
      <w:pPr>
        <w:pStyle w:val="BodyText2"/>
        <w:keepNext/>
        <w:keepLines/>
        <w:widowControl w:val="0"/>
        <w:rPr>
          <w:rFonts w:ascii="Arial" w:hAnsi="Arial" w:cs="Arial"/>
          <w:b w:val="0"/>
          <w:sz w:val="22"/>
          <w:szCs w:val="22"/>
          <w:lang w:val="es-ES_tradnl"/>
        </w:rPr>
      </w:pPr>
      <w:r w:rsidRPr="00805432">
        <w:rPr>
          <w:rFonts w:ascii="Arial" w:hAnsi="Arial" w:cs="Arial"/>
          <w:b w:val="0"/>
          <w:sz w:val="22"/>
          <w:szCs w:val="22"/>
          <w:lang w:val="es-ES_tradnl"/>
        </w:rPr>
        <w:t>Por “derivado” se entiende un compuesto bioquímico que existe naturalmente producido por la expresión genética o el metabolismo de los recursos biológicos o genéticos, incluso aunque no contenga unidades funcionales de la herencia.]</w:t>
      </w:r>
    </w:p>
    <w:p w:rsidR="0063412A" w:rsidRPr="00805432"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iCs/>
          <w:sz w:val="22"/>
          <w:szCs w:val="22"/>
          <w:lang w:val="es-ES_tradnl"/>
        </w:rPr>
      </w:pPr>
    </w:p>
    <w:p w:rsidR="0063412A" w:rsidRPr="00805432" w:rsidRDefault="0063412A" w:rsidP="0063412A">
      <w:pPr>
        <w:pStyle w:val="BodyText2"/>
        <w:widowControl w:val="0"/>
        <w:rPr>
          <w:rFonts w:ascii="Arial" w:hAnsi="Arial" w:cs="Arial"/>
          <w:b w:val="0"/>
          <w:iCs/>
          <w:sz w:val="22"/>
          <w:szCs w:val="22"/>
          <w:lang w:val="es-ES_tradnl"/>
        </w:rPr>
      </w:pPr>
      <w:r w:rsidRPr="00805432">
        <w:rPr>
          <w:rFonts w:ascii="Arial" w:hAnsi="Arial" w:cs="Arial"/>
          <w:iCs/>
          <w:sz w:val="22"/>
          <w:szCs w:val="22"/>
          <w:lang w:val="es-ES_tradnl"/>
        </w:rPr>
        <w:t xml:space="preserve">Conservación </w:t>
      </w:r>
      <w:r w:rsidRPr="00805432">
        <w:rPr>
          <w:rFonts w:ascii="Arial" w:hAnsi="Arial" w:cs="Arial"/>
          <w:i/>
          <w:iCs/>
          <w:sz w:val="22"/>
          <w:szCs w:val="22"/>
          <w:lang w:val="es-ES_tradnl"/>
        </w:rPr>
        <w:t>ex situ</w:t>
      </w:r>
    </w:p>
    <w:p w:rsidR="0063412A" w:rsidRPr="00363AFD" w:rsidRDefault="0063412A" w:rsidP="0063412A">
      <w:pPr>
        <w:pStyle w:val="BodyText2"/>
        <w:widowControl w:val="0"/>
        <w:rPr>
          <w:rFonts w:ascii="Arial" w:hAnsi="Arial" w:cs="Arial"/>
          <w:b w:val="0"/>
          <w:i/>
          <w:iCs/>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iCs/>
          <w:sz w:val="22"/>
          <w:szCs w:val="22"/>
          <w:lang w:val="es-ES_tradnl"/>
        </w:rPr>
        <w:t>Por “conservación</w:t>
      </w:r>
      <w:r w:rsidRPr="00363AFD">
        <w:rPr>
          <w:rFonts w:ascii="Arial" w:hAnsi="Arial" w:cs="Arial"/>
          <w:b w:val="0"/>
          <w:i/>
          <w:iCs/>
          <w:sz w:val="22"/>
          <w:szCs w:val="22"/>
          <w:lang w:val="es-ES_tradnl"/>
        </w:rPr>
        <w:t xml:space="preserve"> ex situ</w:t>
      </w:r>
      <w:r w:rsidRPr="00363AFD">
        <w:rPr>
          <w:rFonts w:ascii="Arial" w:hAnsi="Arial" w:cs="Arial"/>
          <w:b w:val="0"/>
          <w:iCs/>
          <w:sz w:val="22"/>
          <w:szCs w:val="22"/>
          <w:lang w:val="es-ES_tradnl"/>
        </w:rPr>
        <w:t>”</w:t>
      </w:r>
      <w:r w:rsidRPr="00363AFD">
        <w:rPr>
          <w:rFonts w:ascii="Arial" w:hAnsi="Arial" w:cs="Arial"/>
          <w:b w:val="0"/>
          <w:i/>
          <w:iCs/>
          <w:sz w:val="22"/>
          <w:szCs w:val="22"/>
          <w:lang w:val="es-ES_tradnl"/>
        </w:rPr>
        <w:t xml:space="preserve"> </w:t>
      </w:r>
      <w:r w:rsidRPr="00363AFD">
        <w:rPr>
          <w:rFonts w:ascii="Arial" w:hAnsi="Arial" w:cs="Arial"/>
          <w:b w:val="0"/>
          <w:sz w:val="22"/>
          <w:szCs w:val="22"/>
          <w:lang w:val="es-ES_tradnl"/>
        </w:rPr>
        <w:t>se entiende la conservación de componentes de la diversidad biológica fuera de sus hábitats naturales.</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Material genético</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Por “material genético” se entiende todo material de origen vegetal, animal, microbiano o de otro tipo que contenga unidades funcionales de la herencia.</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Recursos genéticos</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Por “recursos genéticos” se entiende el material genético de valor real o potencial.</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i/>
          <w:sz w:val="22"/>
          <w:szCs w:val="22"/>
          <w:lang w:val="es-ES_tradnl"/>
        </w:rPr>
      </w:pPr>
      <w:r w:rsidRPr="00805432">
        <w:rPr>
          <w:rFonts w:ascii="Arial" w:hAnsi="Arial" w:cs="Arial"/>
          <w:sz w:val="22"/>
          <w:szCs w:val="22"/>
          <w:lang w:val="es-ES_tradnl"/>
        </w:rPr>
        <w:t xml:space="preserve">Condiciones </w:t>
      </w:r>
      <w:r w:rsidRPr="00805432">
        <w:rPr>
          <w:rFonts w:ascii="Arial" w:hAnsi="Arial" w:cs="Arial"/>
          <w:i/>
          <w:sz w:val="22"/>
          <w:szCs w:val="22"/>
          <w:lang w:val="es-ES_tradnl"/>
        </w:rPr>
        <w:t>in situ</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 xml:space="preserve">Por “condiciones </w:t>
      </w:r>
      <w:r w:rsidRPr="00363AFD">
        <w:rPr>
          <w:rFonts w:ascii="Arial" w:hAnsi="Arial" w:cs="Arial"/>
          <w:b w:val="0"/>
          <w:i/>
          <w:sz w:val="22"/>
          <w:szCs w:val="22"/>
          <w:lang w:val="es-ES_tradnl"/>
        </w:rPr>
        <w:t>in situ</w:t>
      </w:r>
      <w:r w:rsidRPr="00363AFD">
        <w:rPr>
          <w:rFonts w:ascii="Arial" w:hAnsi="Arial" w:cs="Arial"/>
          <w:b w:val="0"/>
          <w:sz w:val="22"/>
          <w:szCs w:val="22"/>
          <w:lang w:val="es-ES_tradnl"/>
        </w:rPr>
        <w:t>” se entiende las condiciones en que existen recursos genéticos dentro de ecosistemas y hábitats naturales y, en el caso de las especies domesticadas o cultivadas, en los entornos en que hayan desarrollado sus propiedades específicas [</w:t>
      </w:r>
      <w:r w:rsidRPr="00363AFD">
        <w:rPr>
          <w:rFonts w:ascii="Arial" w:hAnsi="Arial" w:cs="Arial"/>
          <w:b w:val="0"/>
          <w:snapToGrid w:val="0"/>
          <w:sz w:val="22"/>
          <w:szCs w:val="22"/>
          <w:lang w:val="es-ES_tradnl"/>
        </w:rPr>
        <w:t>artículo 2, CDB</w:t>
      </w:r>
      <w:r w:rsidRPr="00363AFD">
        <w:rPr>
          <w:rFonts w:ascii="Arial" w:hAnsi="Arial" w:cs="Arial"/>
          <w:b w:val="0"/>
          <w:sz w:val="22"/>
          <w:szCs w:val="22"/>
          <w:lang w:val="es-ES_tradnl"/>
        </w:rPr>
        <w:t>].</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[Certificado de cumplimiento reconocido internacionalmente</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 xml:space="preserve">Por “certificado de cumplimiento reconocido internacionalmente” se entiende el instrumento previsto en el </w:t>
      </w:r>
      <w:r w:rsidRPr="00363AFD">
        <w:rPr>
          <w:rFonts w:ascii="Arial" w:hAnsi="Arial" w:cs="Arial"/>
          <w:b w:val="0"/>
          <w:snapToGrid w:val="0"/>
          <w:sz w:val="22"/>
          <w:szCs w:val="22"/>
          <w:lang w:val="es-ES_tradnl"/>
        </w:rPr>
        <w:t>artículo</w:t>
      </w:r>
      <w:r w:rsidRPr="00363AFD">
        <w:rPr>
          <w:rFonts w:ascii="Arial" w:hAnsi="Arial" w:cs="Arial"/>
          <w:b w:val="0"/>
          <w:sz w:val="22"/>
          <w:szCs w:val="22"/>
          <w:lang w:val="es-ES_tradnl"/>
        </w:rPr>
        <w:t> 17.2 del Protocolo de Nagoya sobre acceso a los Recursos Genéticos y Participación Justa y Equitativa en los Beneficios que se Deriven de su Utilización al Convenio sobre la Diversidad Biológica.]</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sz w:val="22"/>
          <w:szCs w:val="22"/>
          <w:lang w:val="es-ES_tradnl"/>
        </w:rPr>
      </w:pPr>
      <w:r w:rsidRPr="00805432">
        <w:rPr>
          <w:rFonts w:ascii="Arial" w:hAnsi="Arial" w:cs="Arial"/>
          <w:sz w:val="22"/>
          <w:szCs w:val="22"/>
          <w:lang w:val="es-ES_tradnl"/>
        </w:rPr>
        <w:t>[Estado miembro</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Por “Estado miembro” se entiende un Estado miembro de la Organización Mundial de la Propiedad Intelectual.]</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[Apropiación indebida</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Opción 1</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Por “apropiación indebida” se entiende la [adquisición] [utilización] de recursos genéticos[,sus derivados] [y] [o] [conocimientos tradicionales conexos]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keepNext/>
        <w:widowControl w:val="0"/>
        <w:rPr>
          <w:rFonts w:ascii="Arial" w:hAnsi="Arial" w:cs="Arial"/>
          <w:b w:val="0"/>
          <w:sz w:val="22"/>
          <w:szCs w:val="22"/>
          <w:lang w:val="es-ES_tradnl"/>
        </w:rPr>
      </w:pPr>
      <w:r w:rsidRPr="00363AFD">
        <w:rPr>
          <w:rFonts w:ascii="Arial" w:hAnsi="Arial" w:cs="Arial"/>
          <w:b w:val="0"/>
          <w:sz w:val="22"/>
          <w:szCs w:val="22"/>
          <w:lang w:val="es-ES_tradnl"/>
        </w:rPr>
        <w:t>Opción 2</w:t>
      </w:r>
    </w:p>
    <w:p w:rsidR="0063412A" w:rsidRPr="00363AFD" w:rsidRDefault="0063412A" w:rsidP="0063412A">
      <w:pPr>
        <w:pStyle w:val="BodyText2"/>
        <w:keepNext/>
        <w:widowControl w:val="0"/>
        <w:rPr>
          <w:rFonts w:ascii="Arial" w:hAnsi="Arial" w:cs="Arial"/>
          <w:b w:val="0"/>
          <w:sz w:val="22"/>
          <w:szCs w:val="22"/>
          <w:lang w:val="es-ES_tradnl"/>
        </w:rPr>
      </w:pPr>
    </w:p>
    <w:p w:rsidR="0063412A" w:rsidRPr="00363AFD" w:rsidRDefault="0063412A" w:rsidP="0063412A">
      <w:pPr>
        <w:pStyle w:val="BodyText2"/>
        <w:keepNext/>
        <w:widowControl w:val="0"/>
        <w:rPr>
          <w:rFonts w:ascii="Arial" w:hAnsi="Arial" w:cs="Arial"/>
          <w:b w:val="0"/>
          <w:sz w:val="22"/>
          <w:szCs w:val="22"/>
          <w:lang w:val="es-ES_tradnl"/>
        </w:rPr>
      </w:pPr>
      <w:r w:rsidRPr="00363AFD">
        <w:rPr>
          <w:rFonts w:ascii="Arial" w:hAnsi="Arial" w:cs="Arial"/>
          <w:b w:val="0"/>
          <w:sz w:val="22"/>
          <w:szCs w:val="22"/>
          <w:lang w:val="es-ES_tradnl"/>
        </w:rPr>
        <w:t>Por “apropiación indebida” se entiende el uso de los recursos genéticos[, sus derivados] y/o los [conocimientos tradicionales conexos]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conexos]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conexos] [conocimientos tradicionales asociados a los recursos genéticos], así como la omisión de tomar medidas razonables de protección.]</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[Oficina de propiedad intelectual] [Oficina de patentes]</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Por [“Oficina de propiedad intelectual”] [“Oficina de patentes”] se entiende la autoridad de un Estado miembro encargada de la concesión de [derechos de propiedad intelectual] [patentes].]</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[Acceso [físico]</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[Fuente</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Opción 1</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Por “fuente” se entiende toda fuente distinta del país de origen, de la que el solicitante haya adquirido los recursos genéticos, por ejemplo, un poseedor de recursos, un centro de investigación, un banco de genes o un jardín botánico.</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[Opción 2</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rPr>
          <w:rFonts w:ascii="Arial" w:hAnsi="Arial" w:cs="Arial"/>
          <w:b w:val="0"/>
          <w:sz w:val="22"/>
          <w:szCs w:val="22"/>
          <w:lang w:val="es-ES_tradnl"/>
        </w:rPr>
      </w:pPr>
      <w:r w:rsidRPr="00363AFD">
        <w:rPr>
          <w:rFonts w:ascii="Arial" w:hAnsi="Arial" w:cs="Arial"/>
          <w:b w:val="0"/>
          <w:sz w:val="22"/>
          <w:szCs w:val="22"/>
          <w:lang w:val="es-ES_tradnl"/>
        </w:rPr>
        <w:t>El término “fuente” debe considerarse en el sentido más amplio posible:</w:t>
      </w:r>
    </w:p>
    <w:p w:rsidR="0063412A" w:rsidRPr="00363AFD" w:rsidRDefault="0063412A" w:rsidP="0063412A">
      <w:pPr>
        <w:pStyle w:val="BodyText2"/>
        <w:widowControl w:val="0"/>
        <w:rPr>
          <w:rFonts w:ascii="Arial" w:hAnsi="Arial" w:cs="Arial"/>
          <w:b w:val="0"/>
          <w:sz w:val="22"/>
          <w:szCs w:val="22"/>
          <w:lang w:val="es-ES_tradnl"/>
        </w:rPr>
      </w:pPr>
    </w:p>
    <w:p w:rsidR="0063412A" w:rsidRPr="00363AFD" w:rsidRDefault="0063412A" w:rsidP="0063412A">
      <w:pPr>
        <w:pStyle w:val="BodyText2"/>
        <w:widowControl w:val="0"/>
        <w:tabs>
          <w:tab w:val="left" w:pos="550"/>
        </w:tabs>
        <w:rPr>
          <w:rFonts w:ascii="Arial" w:hAnsi="Arial" w:cs="Arial"/>
          <w:b w:val="0"/>
          <w:snapToGrid w:val="0"/>
          <w:sz w:val="22"/>
          <w:szCs w:val="22"/>
          <w:lang w:val="es-ES_tradnl"/>
        </w:rPr>
      </w:pPr>
      <w:r w:rsidRPr="00363AFD">
        <w:rPr>
          <w:rFonts w:ascii="Arial" w:hAnsi="Arial" w:cs="Arial"/>
          <w:b w:val="0"/>
          <w:sz w:val="22"/>
          <w:szCs w:val="22"/>
          <w:lang w:val="es-ES_tradnl"/>
        </w:rPr>
        <w:t>i)</w:t>
      </w:r>
      <w:r w:rsidRPr="00363AFD">
        <w:rPr>
          <w:rFonts w:ascii="Arial" w:hAnsi="Arial" w:cs="Arial"/>
          <w:b w:val="0"/>
          <w:sz w:val="22"/>
          <w:szCs w:val="22"/>
          <w:lang w:val="es-ES_tradnl"/>
        </w:rPr>
        <w:tab/>
        <w:t xml:space="preserve">fuentes principales, en particular [las Partes Contratantes] [los países] que aportan recursos genéticos, el </w:t>
      </w:r>
      <w:r w:rsidRPr="00363AFD">
        <w:rPr>
          <w:rFonts w:ascii="Arial" w:hAnsi="Arial" w:cs="Arial"/>
          <w:b w:val="0"/>
          <w:snapToGrid w:val="0"/>
          <w:sz w:val="22"/>
          <w:szCs w:val="22"/>
          <w:lang w:val="es-ES_tradnl"/>
        </w:rPr>
        <w:t>sistema multilateral del ITPGRFA, las comunidades indígenas y locales;  y</w:t>
      </w:r>
    </w:p>
    <w:p w:rsidR="0063412A" w:rsidRPr="00363AFD" w:rsidRDefault="0063412A" w:rsidP="0063412A">
      <w:pPr>
        <w:pStyle w:val="BodyText2"/>
        <w:widowControl w:val="0"/>
        <w:tabs>
          <w:tab w:val="left" w:pos="550"/>
          <w:tab w:val="left" w:pos="1100"/>
        </w:tabs>
        <w:rPr>
          <w:rFonts w:ascii="Arial" w:hAnsi="Arial" w:cs="Arial"/>
          <w:b w:val="0"/>
          <w:snapToGrid w:val="0"/>
          <w:sz w:val="22"/>
          <w:szCs w:val="22"/>
          <w:lang w:val="es-ES_tradnl"/>
        </w:rPr>
      </w:pPr>
    </w:p>
    <w:p w:rsidR="0063412A" w:rsidRPr="00363AFD" w:rsidRDefault="0063412A" w:rsidP="0063412A">
      <w:pPr>
        <w:pStyle w:val="BodyText2"/>
        <w:widowControl w:val="0"/>
        <w:tabs>
          <w:tab w:val="left" w:pos="550"/>
          <w:tab w:val="left" w:pos="1100"/>
        </w:tabs>
        <w:rPr>
          <w:rFonts w:ascii="Arial" w:hAnsi="Arial" w:cs="Arial"/>
          <w:b w:val="0"/>
          <w:snapToGrid w:val="0"/>
          <w:sz w:val="22"/>
          <w:szCs w:val="22"/>
          <w:lang w:val="es-ES_tradnl"/>
        </w:rPr>
      </w:pPr>
      <w:r w:rsidRPr="00363AFD">
        <w:rPr>
          <w:rFonts w:ascii="Arial" w:hAnsi="Arial" w:cs="Arial"/>
          <w:b w:val="0"/>
          <w:snapToGrid w:val="0"/>
          <w:sz w:val="22"/>
          <w:szCs w:val="22"/>
          <w:lang w:val="es-ES_tradnl"/>
        </w:rPr>
        <w:t>ii)</w:t>
      </w:r>
      <w:r w:rsidRPr="00363AFD">
        <w:rPr>
          <w:rFonts w:ascii="Arial" w:hAnsi="Arial" w:cs="Arial"/>
          <w:b w:val="0"/>
          <w:snapToGrid w:val="0"/>
          <w:sz w:val="22"/>
          <w:szCs w:val="22"/>
          <w:lang w:val="es-ES_tradnl"/>
        </w:rPr>
        <w:tab/>
        <w:t xml:space="preserve">fuentes secundarias, en especial las colecciones </w:t>
      </w:r>
      <w:r w:rsidRPr="00363AFD">
        <w:rPr>
          <w:rFonts w:ascii="Arial" w:hAnsi="Arial" w:cs="Arial"/>
          <w:b w:val="0"/>
          <w:i/>
          <w:snapToGrid w:val="0"/>
          <w:sz w:val="22"/>
          <w:szCs w:val="22"/>
          <w:lang w:val="es-ES_tradnl"/>
        </w:rPr>
        <w:t>ex situ</w:t>
      </w:r>
      <w:r w:rsidRPr="00363AFD">
        <w:rPr>
          <w:rFonts w:ascii="Arial" w:hAnsi="Arial" w:cs="Arial"/>
          <w:b w:val="0"/>
          <w:snapToGrid w:val="0"/>
          <w:sz w:val="22"/>
          <w:szCs w:val="22"/>
          <w:lang w:val="es-ES_tradnl"/>
        </w:rPr>
        <w:t xml:space="preserve"> y la bibliografía científica.]]</w:t>
      </w:r>
    </w:p>
    <w:p w:rsidR="0063412A" w:rsidRPr="00363AFD" w:rsidRDefault="0063412A" w:rsidP="0063412A">
      <w:pPr>
        <w:pStyle w:val="BodyText2"/>
        <w:widowControl w:val="0"/>
        <w:rPr>
          <w:rFonts w:ascii="Arial" w:hAnsi="Arial" w:cs="Arial"/>
          <w:b w:val="0"/>
          <w:snapToGrid w:val="0"/>
          <w:sz w:val="22"/>
          <w:szCs w:val="22"/>
          <w:lang w:val="es-ES_tradnl"/>
        </w:rPr>
      </w:pPr>
    </w:p>
    <w:p w:rsidR="0063412A" w:rsidRPr="00363AFD" w:rsidRDefault="0063412A" w:rsidP="0063412A">
      <w:pPr>
        <w:pStyle w:val="BodyText2"/>
        <w:widowControl w:val="0"/>
        <w:rPr>
          <w:rFonts w:ascii="Arial" w:hAnsi="Arial" w:cs="Arial"/>
          <w:b w:val="0"/>
          <w:snapToGrid w:val="0"/>
          <w:sz w:val="22"/>
          <w:szCs w:val="22"/>
          <w:lang w:val="es-ES_tradnl"/>
        </w:rPr>
      </w:pPr>
    </w:p>
    <w:p w:rsidR="0063412A" w:rsidRPr="00805432" w:rsidRDefault="0063412A" w:rsidP="0063412A">
      <w:pPr>
        <w:pStyle w:val="BodyText2"/>
        <w:widowControl w:val="0"/>
        <w:rPr>
          <w:rFonts w:ascii="Arial" w:hAnsi="Arial" w:cs="Arial"/>
          <w:b w:val="0"/>
          <w:sz w:val="22"/>
          <w:szCs w:val="22"/>
          <w:lang w:val="es-ES_tradnl"/>
        </w:rPr>
      </w:pPr>
      <w:r w:rsidRPr="00805432">
        <w:rPr>
          <w:rFonts w:ascii="Arial" w:hAnsi="Arial" w:cs="Arial"/>
          <w:sz w:val="22"/>
          <w:szCs w:val="22"/>
          <w:lang w:val="es-ES_tradnl"/>
        </w:rPr>
        <w:t>Utilización</w:t>
      </w:r>
    </w:p>
    <w:p w:rsidR="0063412A" w:rsidRPr="00164FA3" w:rsidRDefault="0063412A" w:rsidP="0063412A">
      <w:pPr>
        <w:pStyle w:val="BodyText2"/>
        <w:widowControl w:val="0"/>
        <w:rPr>
          <w:rFonts w:ascii="Arial" w:hAnsi="Arial" w:cs="Arial"/>
          <w:b w:val="0"/>
          <w:sz w:val="22"/>
          <w:szCs w:val="22"/>
          <w:lang w:val="es-ES_tradnl"/>
        </w:rPr>
      </w:pPr>
    </w:p>
    <w:p w:rsidR="0063412A" w:rsidRPr="00164FA3" w:rsidRDefault="0063412A" w:rsidP="0063412A">
      <w:pPr>
        <w:pStyle w:val="BodyText2"/>
        <w:widowControl w:val="0"/>
        <w:rPr>
          <w:rFonts w:ascii="Arial" w:hAnsi="Arial" w:cs="Arial"/>
          <w:b w:val="0"/>
          <w:sz w:val="22"/>
          <w:szCs w:val="22"/>
          <w:lang w:val="es-ES_tradnl"/>
        </w:rPr>
      </w:pPr>
      <w:r w:rsidRPr="00164FA3">
        <w:rPr>
          <w:rFonts w:ascii="Arial" w:hAnsi="Arial" w:cs="Arial"/>
          <w:b w:val="0"/>
          <w:sz w:val="22"/>
          <w:szCs w:val="22"/>
          <w:lang w:val="es-ES_tradnl"/>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w:t>
      </w:r>
      <w:r w:rsidRPr="00164FA3">
        <w:rPr>
          <w:rFonts w:ascii="Arial" w:hAnsi="Arial" w:cs="Arial"/>
          <w:b w:val="0"/>
          <w:sz w:val="22"/>
          <w:szCs w:val="22"/>
          <w:lang w:val="es-ES_tradnl"/>
        </w:rPr>
        <w:lastRenderedPageBreak/>
        <w:t xml:space="preserve">[incluyendo mediante la aplicación de biotecnología] [conforme a la definición que se estipula en el </w:t>
      </w:r>
      <w:r w:rsidRPr="00164FA3">
        <w:rPr>
          <w:rFonts w:ascii="Arial" w:hAnsi="Arial" w:cs="Arial"/>
          <w:b w:val="0"/>
          <w:snapToGrid w:val="0"/>
          <w:sz w:val="22"/>
          <w:szCs w:val="22"/>
          <w:lang w:val="es-ES_tradnl"/>
        </w:rPr>
        <w:t>artículo 2 del Convenio sobre la Diversidad Biológica</w:t>
      </w:r>
      <w:r w:rsidRPr="00164FA3">
        <w:rPr>
          <w:rFonts w:ascii="Arial" w:hAnsi="Arial" w:cs="Arial"/>
          <w:b w:val="0"/>
          <w:sz w:val="22"/>
          <w:szCs w:val="22"/>
          <w:lang w:val="es-ES_tradnl"/>
        </w:rPr>
        <w:t>].]</w:t>
      </w:r>
    </w:p>
    <w:p w:rsidR="0063412A" w:rsidRPr="00164FA3" w:rsidRDefault="0063412A" w:rsidP="0063412A">
      <w:pPr>
        <w:rPr>
          <w:szCs w:val="22"/>
          <w:lang w:val="es-ES"/>
        </w:rPr>
      </w:pPr>
    </w:p>
    <w:p w:rsidR="0063412A" w:rsidRPr="00164FA3" w:rsidRDefault="0063412A" w:rsidP="0063412A">
      <w:pPr>
        <w:rPr>
          <w:szCs w:val="22"/>
          <w:lang w:val="es-ES"/>
        </w:rPr>
      </w:pPr>
    </w:p>
    <w:p w:rsidR="0063412A" w:rsidRPr="00164FA3" w:rsidRDefault="0063412A" w:rsidP="0063412A">
      <w:pPr>
        <w:rPr>
          <w:szCs w:val="22"/>
          <w:lang w:val="es-ES"/>
        </w:rPr>
      </w:pPr>
    </w:p>
    <w:p w:rsidR="0063412A" w:rsidRPr="00805432" w:rsidRDefault="0063412A" w:rsidP="0063412A">
      <w:pPr>
        <w:pStyle w:val="BodyText2"/>
        <w:widowControl w:val="0"/>
        <w:jc w:val="center"/>
        <w:rPr>
          <w:rFonts w:ascii="Arial" w:hAnsi="Arial" w:cs="Arial"/>
          <w:b w:val="0"/>
          <w:bCs w:val="0"/>
          <w:sz w:val="22"/>
          <w:szCs w:val="22"/>
          <w:lang w:val="es-ES_tradnl"/>
        </w:rPr>
      </w:pPr>
      <w:r w:rsidRPr="00805432">
        <w:rPr>
          <w:rFonts w:ascii="Arial" w:hAnsi="Arial" w:cs="Arial"/>
          <w:sz w:val="22"/>
          <w:szCs w:val="22"/>
          <w:lang w:val="es-ES_tradnl"/>
        </w:rPr>
        <w:t>[PREÁMBULO</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[Velar por [alentar a] que se respeten [los derechos soberanos] [los derechos] de las comunidades locales [e] [y los pueblos] indígenas [así como el de [los pueblos] [que se hallen] bajo ocupación total o parcial] sobre sus recursos genéticos[, sus derivados]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Alentar a que se respeten las comunidades locales [e] [y los pueblos] indígenas.</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[El sistema [de propiedad intelectual] [de patentes] debe/deberá brindar seguridad jurídica a los usuarios y proveedores legítimos de los recursos genéticos[, sus derivados] y/o [conocimientos tradicionales conexos] [conocimientos tradicionales asociados a los recursos genéticos].]</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[Reconocer la función del sistema de [propiedad intelectual] [patentes] de contribuir a fomentar la innovación [, y la trasferencia y difusión de tecnología] [en beneficio recíproco de los sectores interesados, proveedores, poseedores y usuarios de los recursos genéticos[, sus derivados] y[/o] [conocimientos tradicionales conexos] [conocimientos tradicionales asociados a los recursos genéticos].]</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[Fomentar la transparencia y la difusión de información.]</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[Fomentar la protección [mediante patente] [mediante derechos de propiedad industrial] y el desarrollo de los recursos genéticos[, sus derivados] y los [conocimientos tradicionales conexos] [conocimientos tradicionales asociados a los recursos genéticos] y alentar las actividades de investigación a escala internacional con la mirada puesta en la innovación.]</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[La divulgación de la fuente haría aumentar la confianza mutua entre las diversas partes interesadas en lo que respecta al acceso y la participación en los beneficios.  Todas las partes interesadas pueden ser proveedores y/o usuarios de recursos genéticos[, sus derivados] y [conocimientos tradicionales conexos]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63412A" w:rsidRPr="00B330FD" w:rsidRDefault="0063412A" w:rsidP="0063412A">
      <w:pPr>
        <w:pStyle w:val="BodyText2"/>
        <w:widowControl w:val="0"/>
        <w:rPr>
          <w:rFonts w:ascii="Arial" w:hAnsi="Arial" w:cs="Arial"/>
          <w:b w:val="0"/>
          <w:sz w:val="22"/>
          <w:szCs w:val="22"/>
          <w:lang w:val="es-ES_tradnl"/>
        </w:rPr>
      </w:pPr>
    </w:p>
    <w:p w:rsidR="0063412A" w:rsidRPr="00B330FD" w:rsidRDefault="0063412A" w:rsidP="0063412A">
      <w:pPr>
        <w:pStyle w:val="BodyText2"/>
        <w:widowControl w:val="0"/>
        <w:rPr>
          <w:rFonts w:ascii="Arial" w:hAnsi="Arial" w:cs="Arial"/>
          <w:b w:val="0"/>
          <w:sz w:val="22"/>
          <w:szCs w:val="22"/>
          <w:lang w:val="es-ES_tradnl"/>
        </w:rPr>
      </w:pPr>
      <w:r w:rsidRPr="00B330FD">
        <w:rPr>
          <w:rFonts w:ascii="Arial" w:hAnsi="Arial" w:cs="Arial"/>
          <w:b w:val="0"/>
          <w:sz w:val="22"/>
          <w:szCs w:val="22"/>
          <w:lang w:val="es-ES_tradnl"/>
        </w:rPr>
        <w:t>[Velar por] [Recomendar] que no se [concedan patentes] [obtengan derechos de propiedad intelectual] sobre formas de vida, incluidos los seres humanos.]</w:t>
      </w:r>
    </w:p>
    <w:p w:rsidR="0063412A" w:rsidRPr="00812419" w:rsidRDefault="0063412A" w:rsidP="0063412A">
      <w:pPr>
        <w:pStyle w:val="BodyText2"/>
        <w:widowControl w:val="0"/>
        <w:rPr>
          <w:rFonts w:ascii="Arial" w:hAnsi="Arial" w:cs="Arial"/>
          <w:b w:val="0"/>
          <w:sz w:val="22"/>
          <w:szCs w:val="22"/>
          <w:lang w:val="es-ES_tradnl"/>
        </w:rPr>
      </w:pPr>
    </w:p>
    <w:p w:rsidR="0063412A" w:rsidRPr="00812419" w:rsidRDefault="0063412A" w:rsidP="0063412A">
      <w:pPr>
        <w:pStyle w:val="BodyText2"/>
        <w:widowControl w:val="0"/>
        <w:rPr>
          <w:rFonts w:ascii="Arial" w:hAnsi="Arial" w:cs="Arial"/>
          <w:b w:val="0"/>
          <w:sz w:val="22"/>
          <w:szCs w:val="22"/>
          <w:lang w:val="es-ES_tradnl"/>
        </w:rPr>
      </w:pPr>
      <w:r w:rsidRPr="00812419">
        <w:rPr>
          <w:rFonts w:ascii="Arial" w:hAnsi="Arial" w:cs="Arial"/>
          <w:b w:val="0"/>
          <w:sz w:val="22"/>
          <w:szCs w:val="22"/>
          <w:lang w:val="es-ES_tradnl"/>
        </w:rPr>
        <w:t xml:space="preserve">[Reconocer que quienes accedan en un país a recursos genéticos[, sus derivados] y [conocimientos tradicionales conexos] [conocimientos tradicionales asociados a los recursos genéticos], cuando así se exija, deben/deberán cumplir con la legislación nacional de ese país en virtud de la cual se protegen los recursos genéticos[, sus derivados] y los [conocimientos </w:t>
      </w:r>
      <w:r w:rsidRPr="00812419">
        <w:rPr>
          <w:rFonts w:ascii="Arial" w:hAnsi="Arial" w:cs="Arial"/>
          <w:b w:val="0"/>
          <w:sz w:val="22"/>
          <w:szCs w:val="22"/>
          <w:lang w:val="es-ES_tradnl"/>
        </w:rPr>
        <w:lastRenderedPageBreak/>
        <w:t>tradicionales conexos] [conocimientos tradicionales asociados a los recursos genéticos].]</w:t>
      </w:r>
    </w:p>
    <w:p w:rsidR="0063412A" w:rsidRPr="00812419" w:rsidRDefault="0063412A" w:rsidP="0063412A">
      <w:pPr>
        <w:pStyle w:val="BodyText2"/>
        <w:widowControl w:val="0"/>
        <w:rPr>
          <w:rFonts w:ascii="Arial" w:hAnsi="Arial" w:cs="Arial"/>
          <w:b w:val="0"/>
          <w:sz w:val="22"/>
          <w:szCs w:val="22"/>
          <w:lang w:val="es-ES_tradnl"/>
        </w:rPr>
      </w:pPr>
    </w:p>
    <w:p w:rsidR="0063412A" w:rsidRPr="00812419" w:rsidRDefault="0063412A" w:rsidP="0063412A">
      <w:pPr>
        <w:pStyle w:val="BodyText2"/>
        <w:widowControl w:val="0"/>
        <w:rPr>
          <w:rFonts w:ascii="Arial" w:hAnsi="Arial" w:cs="Arial"/>
          <w:b w:val="0"/>
          <w:sz w:val="22"/>
          <w:szCs w:val="22"/>
          <w:lang w:val="es-ES_tradnl"/>
        </w:rPr>
      </w:pPr>
      <w:r w:rsidRPr="00812419">
        <w:rPr>
          <w:rFonts w:ascii="Arial" w:hAnsi="Arial" w:cs="Arial"/>
          <w:b w:val="0"/>
          <w:sz w:val="22"/>
          <w:szCs w:val="22"/>
          <w:lang w:val="es-ES_tradnl"/>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63412A" w:rsidRPr="00812419" w:rsidRDefault="0063412A" w:rsidP="0063412A">
      <w:pPr>
        <w:pStyle w:val="BodyText2"/>
        <w:widowControl w:val="0"/>
        <w:rPr>
          <w:rFonts w:ascii="Arial" w:hAnsi="Arial" w:cs="Arial"/>
          <w:b w:val="0"/>
          <w:sz w:val="22"/>
          <w:szCs w:val="22"/>
          <w:lang w:val="es-ES_tradnl"/>
        </w:rPr>
      </w:pPr>
    </w:p>
    <w:p w:rsidR="0063412A" w:rsidRPr="00812419" w:rsidRDefault="0063412A" w:rsidP="0063412A">
      <w:pPr>
        <w:pStyle w:val="BodyText2"/>
        <w:widowControl w:val="0"/>
        <w:rPr>
          <w:rFonts w:ascii="Arial" w:hAnsi="Arial" w:cs="Arial"/>
          <w:b w:val="0"/>
          <w:sz w:val="22"/>
          <w:szCs w:val="22"/>
          <w:lang w:val="es-ES_tradnl"/>
        </w:rPr>
      </w:pPr>
      <w:r w:rsidRPr="00812419">
        <w:rPr>
          <w:rFonts w:ascii="Arial" w:hAnsi="Arial" w:cs="Arial"/>
          <w:b w:val="0"/>
          <w:sz w:val="22"/>
          <w:szCs w:val="22"/>
          <w:lang w:val="es-ES_tradnl"/>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63412A" w:rsidRPr="00805432" w:rsidRDefault="0063412A" w:rsidP="0063412A">
      <w:pPr>
        <w:pStyle w:val="BodyText2"/>
        <w:widowControl w:val="0"/>
        <w:rPr>
          <w:rFonts w:ascii="Arial" w:hAnsi="Arial" w:cs="Arial"/>
          <w:sz w:val="22"/>
          <w:szCs w:val="22"/>
          <w:lang w:val="es-ES_tradnl"/>
        </w:rPr>
      </w:pPr>
    </w:p>
    <w:p w:rsidR="0063412A" w:rsidRPr="00805432" w:rsidRDefault="0063412A" w:rsidP="0063412A">
      <w:pPr>
        <w:pStyle w:val="BodyText2"/>
        <w:widowControl w:val="0"/>
        <w:rPr>
          <w:rFonts w:ascii="Arial" w:hAnsi="Arial" w:cs="Arial"/>
          <w:sz w:val="22"/>
          <w:szCs w:val="22"/>
          <w:lang w:val="es-ES_tradnl"/>
        </w:rPr>
      </w:pPr>
      <w:r w:rsidRPr="00805432">
        <w:rPr>
          <w:rFonts w:ascii="Arial" w:hAnsi="Arial" w:cs="Arial"/>
          <w:sz w:val="22"/>
          <w:szCs w:val="22"/>
          <w:lang w:val="es-ES_tradnl"/>
        </w:rPr>
        <w:br w:type="page"/>
      </w:r>
    </w:p>
    <w:p w:rsidR="0063412A" w:rsidRPr="00805432" w:rsidRDefault="0063412A" w:rsidP="0063412A">
      <w:pPr>
        <w:widowControl w:val="0"/>
        <w:tabs>
          <w:tab w:val="num" w:pos="993"/>
        </w:tabs>
        <w:autoSpaceDE w:val="0"/>
        <w:autoSpaceDN w:val="0"/>
        <w:adjustRightInd w:val="0"/>
        <w:jc w:val="center"/>
        <w:rPr>
          <w:b/>
          <w:szCs w:val="22"/>
        </w:rPr>
      </w:pPr>
      <w:r w:rsidRPr="00805432">
        <w:rPr>
          <w:b/>
          <w:szCs w:val="22"/>
        </w:rPr>
        <w:lastRenderedPageBreak/>
        <w:t>OBJETIVO [OBJETIVOS] DE POLÍTICA</w:t>
      </w:r>
    </w:p>
    <w:p w:rsidR="0063412A" w:rsidRPr="00805432" w:rsidRDefault="0063412A" w:rsidP="0063412A">
      <w:pPr>
        <w:widowControl w:val="0"/>
        <w:tabs>
          <w:tab w:val="num" w:pos="993"/>
        </w:tabs>
        <w:autoSpaceDE w:val="0"/>
        <w:autoSpaceDN w:val="0"/>
        <w:adjustRightInd w:val="0"/>
        <w:rPr>
          <w:szCs w:val="22"/>
        </w:rPr>
      </w:pPr>
    </w:p>
    <w:p w:rsidR="0063412A" w:rsidRPr="00805432" w:rsidRDefault="0063412A" w:rsidP="0063412A">
      <w:pPr>
        <w:widowControl w:val="0"/>
        <w:tabs>
          <w:tab w:val="num" w:pos="993"/>
        </w:tabs>
        <w:autoSpaceDE w:val="0"/>
        <w:autoSpaceDN w:val="0"/>
        <w:adjustRightInd w:val="0"/>
        <w:rPr>
          <w:szCs w:val="22"/>
        </w:rPr>
      </w:pPr>
    </w:p>
    <w:p w:rsidR="0063412A" w:rsidRPr="00805432" w:rsidRDefault="0063412A" w:rsidP="0063412A">
      <w:pPr>
        <w:widowControl w:val="0"/>
        <w:rPr>
          <w:szCs w:val="22"/>
        </w:rPr>
      </w:pPr>
      <w:r w:rsidRPr="00805432">
        <w:rPr>
          <w:szCs w:val="22"/>
          <w:lang w:val="es-ES"/>
        </w:rPr>
        <w:t xml:space="preserve">[El objetivo del presente instrumento es [contribuir a que se impida] [impedir] la [apropiación indebida] de los recursos genéticos[, sus derivados] y los [conocimientos tradicionales conexos] [conocimientos tradicionales asociados a los recursos genéticos] [mediante el] [en el contexto del] sistema de derechos de [P.I.] </w:t>
      </w:r>
      <w:r w:rsidRPr="00805432">
        <w:rPr>
          <w:szCs w:val="22"/>
        </w:rPr>
        <w:t>[patente], de la forma siguiente:]</w:t>
      </w:r>
    </w:p>
    <w:p w:rsidR="0063412A" w:rsidRPr="00805432" w:rsidRDefault="0063412A" w:rsidP="0063412A">
      <w:pPr>
        <w:widowControl w:val="0"/>
        <w:rPr>
          <w:szCs w:val="22"/>
        </w:rPr>
      </w:pPr>
    </w:p>
    <w:p w:rsidR="0063412A" w:rsidRPr="00805432" w:rsidRDefault="0063412A" w:rsidP="00335FF6">
      <w:pPr>
        <w:pStyle w:val="ListParagraph"/>
        <w:widowControl w:val="0"/>
        <w:numPr>
          <w:ilvl w:val="0"/>
          <w:numId w:val="4"/>
        </w:numPr>
        <w:spacing w:after="0" w:line="240" w:lineRule="auto"/>
        <w:ind w:left="1134" w:hanging="567"/>
        <w:contextualSpacing/>
        <w:rPr>
          <w:rFonts w:ascii="Arial" w:hAnsi="Arial" w:cs="Arial"/>
        </w:rPr>
      </w:pPr>
      <w:r w:rsidRPr="00805432">
        <w:rPr>
          <w:rFonts w:ascii="Arial" w:hAnsi="Arial" w:cs="Arial"/>
        </w:rPr>
        <w:t>velando por que las oficinas de [P.I.] [patentes] tengan acceso a la información adecuada sobre los recursos genéticos[, sus derivados] y los [conocimientos tradicionales conexos] [conocimientos tradicionales asociados a los recursos genéticos] para impedir la concesión errónea de derechos de [P.I.] [de patente];</w:t>
      </w:r>
    </w:p>
    <w:p w:rsidR="0063412A" w:rsidRPr="00805432" w:rsidRDefault="0063412A" w:rsidP="00335FF6">
      <w:pPr>
        <w:pStyle w:val="ListParagraph"/>
        <w:widowControl w:val="0"/>
        <w:numPr>
          <w:ilvl w:val="0"/>
          <w:numId w:val="4"/>
        </w:numPr>
        <w:spacing w:after="0" w:line="240" w:lineRule="auto"/>
        <w:ind w:left="1134" w:hanging="567"/>
        <w:contextualSpacing/>
        <w:rPr>
          <w:rFonts w:ascii="Arial" w:hAnsi="Arial" w:cs="Arial"/>
        </w:rPr>
      </w:pPr>
      <w:r w:rsidRPr="00805432">
        <w:rPr>
          <w:rFonts w:ascii="Arial" w:hAnsi="Arial" w:cs="Arial"/>
        </w:rPr>
        <w:t>[mejorando la transparencia en el sistema de [P.I.][patentes] [y de acceso y participación de los beneficios]]; y,</w:t>
      </w:r>
    </w:p>
    <w:p w:rsidR="0063412A" w:rsidRPr="00805432" w:rsidRDefault="0063412A" w:rsidP="00335FF6">
      <w:pPr>
        <w:pStyle w:val="ListParagraph"/>
        <w:widowControl w:val="0"/>
        <w:numPr>
          <w:ilvl w:val="0"/>
          <w:numId w:val="4"/>
        </w:numPr>
        <w:spacing w:after="0" w:line="240" w:lineRule="auto"/>
        <w:ind w:left="1134" w:hanging="567"/>
        <w:contextualSpacing/>
        <w:rPr>
          <w:rFonts w:ascii="Arial" w:hAnsi="Arial" w:cs="Arial"/>
        </w:rPr>
      </w:pPr>
      <w:r w:rsidRPr="00805432">
        <w:rPr>
          <w:rFonts w:ascii="Arial" w:hAnsi="Arial" w:cs="Arial"/>
        </w:rPr>
        <w:t>[velando por] [fomentando] [facilitando] [la complementariedad] [el apoyo mutuo] con los acuerdos internacional del ámbito de la protección de los recursos genéticos[, sus derivados] y/o [los conocimientos tradicionales conexos] [los conocimientos tradicionales asociados a los recursos genéticos] [y los del ámbito de la P.I.].</w:t>
      </w:r>
    </w:p>
    <w:p w:rsidR="0063412A" w:rsidRPr="00805432" w:rsidRDefault="0063412A" w:rsidP="0063412A">
      <w:pPr>
        <w:rPr>
          <w:szCs w:val="22"/>
          <w:lang w:val="es-ES"/>
        </w:rPr>
      </w:pPr>
      <w:r w:rsidRPr="00805432">
        <w:rPr>
          <w:szCs w:val="22"/>
          <w:lang w:val="es-ES"/>
        </w:rPr>
        <w:br w:type="page"/>
      </w:r>
    </w:p>
    <w:p w:rsidR="0063412A" w:rsidRPr="00805432" w:rsidRDefault="0063412A" w:rsidP="0063412A">
      <w:pPr>
        <w:widowControl w:val="0"/>
        <w:rPr>
          <w:szCs w:val="22"/>
          <w:lang w:val="es-ES"/>
        </w:rPr>
      </w:pPr>
    </w:p>
    <w:p w:rsidR="0063412A" w:rsidRPr="00805432" w:rsidRDefault="0063412A" w:rsidP="0063412A">
      <w:pPr>
        <w:widowControl w:val="0"/>
        <w:jc w:val="center"/>
        <w:rPr>
          <w:b/>
          <w:szCs w:val="22"/>
        </w:rPr>
      </w:pPr>
      <w:r w:rsidRPr="00805432">
        <w:rPr>
          <w:b/>
          <w:szCs w:val="22"/>
        </w:rPr>
        <w:t>[ARTÍCULO 1]</w:t>
      </w:r>
    </w:p>
    <w:p w:rsidR="0063412A" w:rsidRPr="00805432" w:rsidRDefault="0063412A" w:rsidP="0063412A">
      <w:pPr>
        <w:widowControl w:val="0"/>
        <w:jc w:val="center"/>
        <w:rPr>
          <w:b/>
          <w:szCs w:val="22"/>
        </w:rPr>
      </w:pPr>
      <w:r w:rsidRPr="00805432">
        <w:rPr>
          <w:b/>
          <w:szCs w:val="22"/>
        </w:rPr>
        <w:t>MATERIA OBJETO DEL INSTRUMENTO</w:t>
      </w:r>
    </w:p>
    <w:p w:rsidR="0063412A" w:rsidRPr="00805432" w:rsidRDefault="0063412A" w:rsidP="0063412A">
      <w:pPr>
        <w:widowControl w:val="0"/>
        <w:rPr>
          <w:szCs w:val="22"/>
        </w:rPr>
      </w:pPr>
    </w:p>
    <w:p w:rsidR="0063412A" w:rsidRPr="00805432" w:rsidRDefault="0063412A" w:rsidP="0063412A">
      <w:pPr>
        <w:widowControl w:val="0"/>
        <w:rPr>
          <w:szCs w:val="22"/>
          <w:lang w:val="es-ES"/>
        </w:rPr>
      </w:pPr>
      <w:r w:rsidRPr="00805432">
        <w:rPr>
          <w:szCs w:val="22"/>
          <w:lang w:val="es-ES"/>
        </w:rPr>
        <w:t>1.1</w:t>
      </w:r>
      <w:r w:rsidRPr="00805432">
        <w:rPr>
          <w:szCs w:val="22"/>
          <w:lang w:val="es-ES"/>
        </w:rPr>
        <w:tab/>
        <w:t>[El presente instrumento jurídico internacional debe/deberá aplicarse a cualquier derecho o [solicitud] [de derechos de P.I.] [de patente] [, invención reivindicada] [derivada de] [la utilización de] [directamente basada en] recursos genéticos[, sus derivados] y [conocimientos tradicionales conexos] [conocimientos tradicionales asociados a los recursos genéticos].  [El presente instrumento se aplica a los recursos genéticos[, sus derivados] y los [conocimientos tradicionales conexos] [conocimientos tradicionales asociados a los recursos genéticos].]</w:t>
      </w:r>
    </w:p>
    <w:p w:rsidR="0063412A" w:rsidRPr="00805432" w:rsidRDefault="0063412A" w:rsidP="0063412A">
      <w:pPr>
        <w:widowControl w:val="0"/>
        <w:rPr>
          <w:szCs w:val="22"/>
          <w:lang w:val="es-ES"/>
        </w:rPr>
      </w:pPr>
    </w:p>
    <w:p w:rsidR="0063412A" w:rsidRPr="00805432" w:rsidRDefault="0063412A" w:rsidP="0063412A">
      <w:pPr>
        <w:widowControl w:val="0"/>
        <w:rPr>
          <w:szCs w:val="22"/>
          <w:lang w:val="es-ES"/>
        </w:rPr>
      </w:pPr>
    </w:p>
    <w:p w:rsidR="0063412A" w:rsidRPr="00432E5C" w:rsidRDefault="0063412A" w:rsidP="0063412A">
      <w:pPr>
        <w:widowControl w:val="0"/>
        <w:jc w:val="center"/>
        <w:rPr>
          <w:b/>
          <w:szCs w:val="22"/>
          <w:lang w:val="es-ES"/>
        </w:rPr>
      </w:pPr>
      <w:r w:rsidRPr="00432E5C">
        <w:rPr>
          <w:b/>
          <w:szCs w:val="22"/>
          <w:lang w:val="es-ES"/>
        </w:rPr>
        <w:t>[ARTÍCULO </w:t>
      </w:r>
      <w:r w:rsidR="00450B24">
        <w:rPr>
          <w:b/>
          <w:szCs w:val="22"/>
          <w:lang w:val="es-ES"/>
        </w:rPr>
        <w:t>2</w:t>
      </w:r>
      <w:r w:rsidRPr="00432E5C">
        <w:rPr>
          <w:b/>
          <w:szCs w:val="22"/>
          <w:lang w:val="es-ES"/>
        </w:rPr>
        <w:t>]</w:t>
      </w:r>
    </w:p>
    <w:p w:rsidR="0063412A" w:rsidRPr="00432E5C" w:rsidRDefault="0063412A" w:rsidP="0063412A">
      <w:pPr>
        <w:widowControl w:val="0"/>
        <w:jc w:val="center"/>
        <w:rPr>
          <w:b/>
          <w:szCs w:val="22"/>
          <w:lang w:val="es-ES"/>
        </w:rPr>
      </w:pPr>
      <w:r w:rsidRPr="00432E5C">
        <w:rPr>
          <w:b/>
          <w:szCs w:val="22"/>
          <w:lang w:val="es-ES"/>
        </w:rPr>
        <w:t>REQUISITOS DE DIVULGACIÓN</w:t>
      </w:r>
    </w:p>
    <w:p w:rsidR="0063412A" w:rsidRPr="00432E5C" w:rsidRDefault="0063412A" w:rsidP="0063412A">
      <w:pPr>
        <w:widowControl w:val="0"/>
        <w:rPr>
          <w:b/>
          <w:szCs w:val="22"/>
          <w:lang w:val="es-ES"/>
        </w:rPr>
      </w:pPr>
    </w:p>
    <w:p w:rsidR="0063412A" w:rsidRPr="00805432" w:rsidRDefault="00432E5C" w:rsidP="0063412A">
      <w:pPr>
        <w:widowControl w:val="0"/>
        <w:rPr>
          <w:szCs w:val="22"/>
          <w:lang w:val="es-ES"/>
        </w:rPr>
      </w:pPr>
      <w:r>
        <w:rPr>
          <w:szCs w:val="22"/>
          <w:lang w:val="es-ES"/>
        </w:rPr>
        <w:t>2</w:t>
      </w:r>
      <w:r w:rsidR="0063412A" w:rsidRPr="00805432">
        <w:rPr>
          <w:szCs w:val="22"/>
          <w:lang w:val="es-ES"/>
        </w:rPr>
        <w:t>.1</w:t>
      </w:r>
      <w:r w:rsidR="0063412A" w:rsidRPr="00805432">
        <w:rPr>
          <w:szCs w:val="22"/>
          <w:lang w:val="es-ES"/>
        </w:rPr>
        <w:tab/>
        <w:t>Cuando, en una solicitud de [derechos de P.I.] [patente], la [materia] [invención reivindicada] [incluya la utilización de] [esté basada directamente en] [haya sido elaborada conscientemente a partir de] recursos genéticos[, sus derivados] y [conocimientos tradicionales conexos] [conocimientos tradicionales asociados a los recursos genéticos], las Partes Contratantes deben/deberán exigir a los solicitantes:</w:t>
      </w:r>
    </w:p>
    <w:p w:rsidR="0063412A" w:rsidRPr="00805432" w:rsidRDefault="0063412A" w:rsidP="0063412A">
      <w:pPr>
        <w:widowControl w:val="0"/>
        <w:rPr>
          <w:szCs w:val="22"/>
          <w:lang w:val="es-ES"/>
        </w:rPr>
      </w:pPr>
    </w:p>
    <w:p w:rsidR="0063412A" w:rsidRPr="00805432" w:rsidRDefault="0063412A" w:rsidP="0063412A">
      <w:pPr>
        <w:widowControl w:val="0"/>
        <w:ind w:left="426" w:hanging="426"/>
        <w:rPr>
          <w:szCs w:val="22"/>
          <w:lang w:val="es-ES"/>
        </w:rPr>
      </w:pPr>
      <w:r w:rsidRPr="00805432">
        <w:rPr>
          <w:szCs w:val="22"/>
          <w:lang w:val="es-ES"/>
        </w:rPr>
        <w:t>a)</w:t>
      </w:r>
      <w:r w:rsidRPr="00805432">
        <w:rPr>
          <w:szCs w:val="22"/>
          <w:lang w:val="es-ES"/>
        </w:rPr>
        <w:tab/>
        <w:t>Que divulguen [el país de origen [y]] [o, de no conocerse éste,] la fuente de los recursos genéticos[, sus derivados] y los [conocimientos tradicionales conexos] [conocimientos tradicionales asociados a los recursos genéticos].</w:t>
      </w:r>
    </w:p>
    <w:p w:rsidR="0063412A" w:rsidRPr="00805432" w:rsidRDefault="0063412A" w:rsidP="0063412A">
      <w:pPr>
        <w:widowControl w:val="0"/>
        <w:ind w:left="426" w:hanging="426"/>
        <w:rPr>
          <w:szCs w:val="22"/>
          <w:lang w:val="es-ES"/>
        </w:rPr>
      </w:pPr>
      <w:r w:rsidRPr="00805432">
        <w:rPr>
          <w:szCs w:val="22"/>
          <w:lang w:val="es-ES"/>
        </w:rPr>
        <w:t>b)</w:t>
      </w:r>
      <w:r w:rsidRPr="00805432">
        <w:rPr>
          <w:szCs w:val="22"/>
          <w:lang w:val="es-ES"/>
        </w:rPr>
        <w:tab/>
        <w:t>[Que proporcionen información pertinente, según lo exija la normativa nacional que rige la oficina de [P.I.] [patentes], sobre el cumplimiento de los requisitos de acceso y participación en los beneficios, incluido el consentimiento fundamentado previo, [en particular de las comunidades locales [e] [y los pueblos] indígenas], cuando proceda.]</w:t>
      </w:r>
    </w:p>
    <w:p w:rsidR="0063412A" w:rsidRPr="00805432" w:rsidRDefault="0063412A" w:rsidP="0063412A">
      <w:pPr>
        <w:widowControl w:val="0"/>
        <w:ind w:left="426" w:hanging="426"/>
        <w:rPr>
          <w:szCs w:val="22"/>
          <w:lang w:val="es-ES"/>
        </w:rPr>
      </w:pPr>
      <w:r w:rsidRPr="00805432">
        <w:rPr>
          <w:szCs w:val="22"/>
          <w:lang w:val="es-ES"/>
        </w:rPr>
        <w:t>c)</w:t>
      </w:r>
      <w:r w:rsidRPr="00805432">
        <w:rPr>
          <w:szCs w:val="22"/>
          <w:lang w:val="es-ES"/>
        </w:rPr>
        <w:tab/>
        <w:t>Si no se conoce la fuente y/o el país de origen, una declaración en ese sentido.</w:t>
      </w:r>
    </w:p>
    <w:p w:rsidR="0063412A" w:rsidRPr="00805432" w:rsidRDefault="0063412A" w:rsidP="0063412A">
      <w:pPr>
        <w:widowControl w:val="0"/>
        <w:rPr>
          <w:szCs w:val="22"/>
          <w:lang w:val="es-ES"/>
        </w:rPr>
      </w:pPr>
    </w:p>
    <w:p w:rsidR="0063412A" w:rsidRPr="00805432" w:rsidRDefault="00432E5C" w:rsidP="0063412A">
      <w:pPr>
        <w:widowControl w:val="0"/>
        <w:rPr>
          <w:szCs w:val="22"/>
          <w:lang w:val="es-ES"/>
        </w:rPr>
      </w:pPr>
      <w:r>
        <w:rPr>
          <w:szCs w:val="22"/>
          <w:lang w:val="es-ES"/>
        </w:rPr>
        <w:t>2</w:t>
      </w:r>
      <w:r w:rsidR="0063412A" w:rsidRPr="00805432">
        <w:rPr>
          <w:szCs w:val="22"/>
          <w:lang w:val="es-ES"/>
        </w:rPr>
        <w:t>.2</w:t>
      </w:r>
      <w:r w:rsidR="0063412A" w:rsidRPr="00805432">
        <w:rPr>
          <w:szCs w:val="22"/>
          <w:lang w:val="es-ES"/>
        </w:rPr>
        <w:tab/>
        <w:t xml:space="preserve">El requisito de divulgación no [debe/deberá obligar] [obliga] a las oficinas de [P.I.] </w:t>
      </w:r>
      <w:r w:rsidR="0063412A" w:rsidRPr="00432E5C">
        <w:rPr>
          <w:szCs w:val="22"/>
          <w:lang w:val="es-ES"/>
        </w:rPr>
        <w:t xml:space="preserve">[patentes] a verificar el contenido de la divulgación.  </w:t>
      </w:r>
      <w:r w:rsidR="0063412A" w:rsidRPr="00805432">
        <w:rPr>
          <w:szCs w:val="22"/>
          <w:lang w:val="es-ES"/>
        </w:rPr>
        <w:t>[Sin embargo, se exigirá a las oficinas de [P.I.] [patentes] que proporcionen a los solicitantes de [derechos de P.I.] [patentes] orientación eficaz acerca de la forma de cumplir con los requisitos de divulgación, y les den la oportunidad de obtener de las oficinas de [P.I.] [patentes] una decisión favorable en el sentido de que se han cumplido los requisitos de divulgación.]</w:t>
      </w:r>
    </w:p>
    <w:p w:rsidR="0063412A" w:rsidRPr="00805432" w:rsidRDefault="0063412A" w:rsidP="0063412A">
      <w:pPr>
        <w:widowControl w:val="0"/>
        <w:rPr>
          <w:szCs w:val="22"/>
          <w:lang w:val="es-ES"/>
        </w:rPr>
      </w:pPr>
    </w:p>
    <w:p w:rsidR="0063412A" w:rsidRPr="00432E5C" w:rsidRDefault="00432E5C" w:rsidP="0063412A">
      <w:pPr>
        <w:widowControl w:val="0"/>
        <w:rPr>
          <w:szCs w:val="22"/>
          <w:lang w:val="es-ES"/>
        </w:rPr>
      </w:pPr>
      <w:r>
        <w:rPr>
          <w:szCs w:val="22"/>
          <w:lang w:val="es-ES"/>
        </w:rPr>
        <w:t>2</w:t>
      </w:r>
      <w:r w:rsidR="0063412A" w:rsidRPr="00805432">
        <w:rPr>
          <w:szCs w:val="22"/>
          <w:lang w:val="es-ES"/>
        </w:rPr>
        <w:t>.3</w:t>
      </w:r>
      <w:r w:rsidR="0063412A" w:rsidRPr="00805432">
        <w:rPr>
          <w:szCs w:val="22"/>
          <w:lang w:val="es-ES"/>
        </w:rPr>
        <w:tab/>
        <w:t xml:space="preserve">Debe/Deberá introducirse un procedimiento sencillo de notificación en las oficinas de [patentes] [P.I.] que reciben una declaración.  [Cabría seleccionar, en particular, el mecanismo de facilitación del CDB/ITPGRFA como organismo central al que las oficinas de [P.I.] </w:t>
      </w:r>
      <w:r w:rsidR="0063412A" w:rsidRPr="00432E5C">
        <w:rPr>
          <w:szCs w:val="22"/>
          <w:lang w:val="es-ES"/>
        </w:rPr>
        <w:t>[patentes] podrían enviar la información disponible.]</w:t>
      </w:r>
    </w:p>
    <w:p w:rsidR="0063412A" w:rsidRPr="00432E5C" w:rsidRDefault="0063412A" w:rsidP="0063412A">
      <w:pPr>
        <w:widowControl w:val="0"/>
        <w:rPr>
          <w:szCs w:val="22"/>
          <w:lang w:val="es-ES"/>
        </w:rPr>
      </w:pPr>
    </w:p>
    <w:p w:rsidR="0063412A" w:rsidRPr="00805432" w:rsidRDefault="00432E5C" w:rsidP="0063412A">
      <w:pPr>
        <w:widowControl w:val="0"/>
        <w:rPr>
          <w:szCs w:val="22"/>
          <w:lang w:val="es-ES"/>
        </w:rPr>
      </w:pPr>
      <w:r w:rsidRPr="00432E5C">
        <w:rPr>
          <w:szCs w:val="22"/>
          <w:lang w:val="es-ES"/>
        </w:rPr>
        <w:t>2</w:t>
      </w:r>
      <w:r w:rsidR="0063412A" w:rsidRPr="00805432">
        <w:rPr>
          <w:szCs w:val="22"/>
          <w:lang w:val="es-ES"/>
        </w:rPr>
        <w:t>.4</w:t>
      </w:r>
      <w:r w:rsidR="0063412A" w:rsidRPr="00805432">
        <w:rPr>
          <w:szCs w:val="22"/>
          <w:lang w:val="es-ES"/>
        </w:rPr>
        <w:tab/>
        <w:t>[Las Partes Contratantes deben/deberán poner a disposición del público la información divulgada en el momento de la publicación.]</w:t>
      </w:r>
    </w:p>
    <w:p w:rsidR="0063412A" w:rsidRPr="00805432" w:rsidRDefault="0063412A" w:rsidP="0063412A">
      <w:pPr>
        <w:widowControl w:val="0"/>
        <w:rPr>
          <w:szCs w:val="22"/>
          <w:lang w:val="es-ES"/>
        </w:rPr>
      </w:pPr>
    </w:p>
    <w:p w:rsidR="0063412A" w:rsidRPr="00432E5C" w:rsidRDefault="00432E5C" w:rsidP="0063412A">
      <w:pPr>
        <w:widowControl w:val="0"/>
        <w:rPr>
          <w:szCs w:val="22"/>
          <w:lang w:val="es-ES"/>
        </w:rPr>
      </w:pPr>
      <w:r>
        <w:rPr>
          <w:szCs w:val="22"/>
          <w:lang w:val="es-ES"/>
        </w:rPr>
        <w:t>2</w:t>
      </w:r>
      <w:r w:rsidR="0063412A" w:rsidRPr="00805432">
        <w:rPr>
          <w:szCs w:val="22"/>
          <w:lang w:val="es-ES"/>
        </w:rPr>
        <w:t>.5</w:t>
      </w:r>
      <w:r w:rsidR="0063412A" w:rsidRPr="00805432">
        <w:rPr>
          <w:szCs w:val="22"/>
          <w:lang w:val="es-ES"/>
        </w:rPr>
        <w:tab/>
        <w:t xml:space="preserve">[Los recursos genéticos y [sus derivados] tal como se encuentran en la naturaleza o aislados de ella no deben/deberán considerarse [invenciones] [P.I.] y, por lo tanto, no deben/deberán concederse derechos de [P.I.] </w:t>
      </w:r>
      <w:r w:rsidR="0063412A" w:rsidRPr="00432E5C">
        <w:rPr>
          <w:szCs w:val="22"/>
          <w:lang w:val="es-ES"/>
        </w:rPr>
        <w:t>[patente] sobre ellos.]]</w:t>
      </w:r>
    </w:p>
    <w:p w:rsidR="0063412A" w:rsidRPr="00432E5C" w:rsidRDefault="0063412A" w:rsidP="0063412A">
      <w:pPr>
        <w:widowControl w:val="0"/>
        <w:rPr>
          <w:szCs w:val="22"/>
          <w:lang w:val="es-ES"/>
        </w:rPr>
      </w:pPr>
    </w:p>
    <w:p w:rsidR="0063412A" w:rsidRPr="00432E5C" w:rsidRDefault="0063412A" w:rsidP="0063412A">
      <w:pPr>
        <w:widowControl w:val="0"/>
        <w:rPr>
          <w:szCs w:val="22"/>
          <w:lang w:val="es-ES"/>
        </w:rPr>
      </w:pPr>
    </w:p>
    <w:p w:rsidR="0063412A" w:rsidRPr="00432E5C" w:rsidRDefault="0063412A" w:rsidP="00450B24">
      <w:pPr>
        <w:keepNext/>
        <w:keepLines/>
        <w:widowControl w:val="0"/>
        <w:jc w:val="center"/>
        <w:rPr>
          <w:b/>
          <w:szCs w:val="22"/>
          <w:lang w:val="es-ES"/>
        </w:rPr>
      </w:pPr>
      <w:r w:rsidRPr="00432E5C">
        <w:rPr>
          <w:b/>
          <w:szCs w:val="22"/>
          <w:lang w:val="es-ES"/>
        </w:rPr>
        <w:lastRenderedPageBreak/>
        <w:t>[ARTÍCULO </w:t>
      </w:r>
      <w:r w:rsidR="00450B24">
        <w:rPr>
          <w:b/>
          <w:szCs w:val="22"/>
          <w:lang w:val="es-ES"/>
        </w:rPr>
        <w:t>3</w:t>
      </w:r>
      <w:r w:rsidRPr="00432E5C">
        <w:rPr>
          <w:b/>
          <w:szCs w:val="22"/>
          <w:lang w:val="es-ES"/>
        </w:rPr>
        <w:t>]</w:t>
      </w:r>
    </w:p>
    <w:p w:rsidR="0063412A" w:rsidRPr="00432E5C" w:rsidRDefault="0063412A" w:rsidP="00450B24">
      <w:pPr>
        <w:keepNext/>
        <w:keepLines/>
        <w:widowControl w:val="0"/>
        <w:jc w:val="center"/>
        <w:rPr>
          <w:b/>
          <w:szCs w:val="22"/>
          <w:lang w:val="es-ES"/>
        </w:rPr>
      </w:pPr>
      <w:r w:rsidRPr="00432E5C">
        <w:rPr>
          <w:b/>
          <w:szCs w:val="22"/>
          <w:lang w:val="es-ES"/>
        </w:rPr>
        <w:t>EXCEPCIONES Y LIMITACIONES</w:t>
      </w:r>
    </w:p>
    <w:p w:rsidR="0063412A" w:rsidRPr="00432E5C" w:rsidRDefault="0063412A" w:rsidP="00450B24">
      <w:pPr>
        <w:keepNext/>
        <w:keepLines/>
        <w:widowControl w:val="0"/>
        <w:rPr>
          <w:szCs w:val="22"/>
          <w:lang w:val="es-ES"/>
        </w:rPr>
      </w:pPr>
    </w:p>
    <w:p w:rsidR="0063412A" w:rsidRPr="00805432" w:rsidRDefault="00450B24" w:rsidP="00450B24">
      <w:pPr>
        <w:keepNext/>
        <w:keepLines/>
        <w:widowControl w:val="0"/>
        <w:rPr>
          <w:szCs w:val="22"/>
          <w:lang w:val="es-ES"/>
        </w:rPr>
      </w:pPr>
      <w:r>
        <w:rPr>
          <w:szCs w:val="22"/>
          <w:lang w:val="es-ES"/>
        </w:rPr>
        <w:t>3</w:t>
      </w:r>
      <w:r w:rsidR="0063412A" w:rsidRPr="00805432">
        <w:rPr>
          <w:szCs w:val="22"/>
          <w:lang w:val="es-ES"/>
        </w:rPr>
        <w:t>.1</w:t>
      </w:r>
      <w:r w:rsidR="0063412A" w:rsidRPr="00805432">
        <w:rPr>
          <w:szCs w:val="22"/>
          <w:lang w:val="es-ES"/>
        </w:rPr>
        <w:tab/>
        <w:t>El requisito de divulgación respecto de [la P.I. relacionada] [las patentes relacionadas] con recursos genéticos[, sus derivados] y [conocimientos tradicionales conexos] [conocimientos tradicionales asociados a los recursos genéticos] no debe/deberá aplicarse a lo siguiente:</w:t>
      </w:r>
    </w:p>
    <w:p w:rsidR="0063412A" w:rsidRPr="00805432" w:rsidRDefault="0063412A" w:rsidP="00450B24">
      <w:pPr>
        <w:keepNext/>
        <w:keepLines/>
        <w:widowControl w:val="0"/>
        <w:rPr>
          <w:szCs w:val="22"/>
          <w:lang w:val="es-ES"/>
        </w:rPr>
      </w:pPr>
    </w:p>
    <w:p w:rsidR="0063412A" w:rsidRPr="00805432" w:rsidRDefault="0063412A" w:rsidP="00450B24">
      <w:pPr>
        <w:pStyle w:val="ListParagraph"/>
        <w:keepNext/>
        <w:keepLines/>
        <w:widowControl w:val="0"/>
        <w:numPr>
          <w:ilvl w:val="0"/>
          <w:numId w:val="6"/>
        </w:numPr>
        <w:spacing w:after="0" w:line="240" w:lineRule="auto"/>
        <w:ind w:left="0" w:firstLine="0"/>
        <w:contextualSpacing/>
        <w:rPr>
          <w:rFonts w:ascii="Arial" w:hAnsi="Arial" w:cs="Arial"/>
        </w:rPr>
      </w:pPr>
      <w:r w:rsidRPr="00805432">
        <w:rPr>
          <w:rFonts w:ascii="Arial" w:hAnsi="Arial" w:cs="Arial"/>
        </w:rPr>
        <w:t>[todos los [recursos genéticos humanos] [recursos genéticos tomados de seres humanos] [incluidos los patógenos humanos];]</w:t>
      </w:r>
    </w:p>
    <w:p w:rsidR="0063412A" w:rsidRPr="00805432" w:rsidRDefault="0063412A" w:rsidP="00450B24">
      <w:pPr>
        <w:pStyle w:val="ListParagraph"/>
        <w:keepNext/>
        <w:keepLines/>
        <w:widowControl w:val="0"/>
        <w:numPr>
          <w:ilvl w:val="0"/>
          <w:numId w:val="6"/>
        </w:numPr>
        <w:spacing w:after="0" w:line="240" w:lineRule="auto"/>
        <w:ind w:left="0" w:firstLine="0"/>
        <w:contextualSpacing/>
        <w:rPr>
          <w:rFonts w:ascii="Arial" w:hAnsi="Arial" w:cs="Arial"/>
        </w:rPr>
      </w:pPr>
      <w:r w:rsidRPr="00805432">
        <w:rPr>
          <w:rFonts w:ascii="Arial" w:hAnsi="Arial" w:cs="Arial"/>
        </w:rPr>
        <w:t>[derivados];</w:t>
      </w:r>
    </w:p>
    <w:p w:rsidR="0063412A" w:rsidRPr="00805432" w:rsidRDefault="0063412A" w:rsidP="0063412A">
      <w:pPr>
        <w:pStyle w:val="ListParagraph"/>
        <w:widowControl w:val="0"/>
        <w:numPr>
          <w:ilvl w:val="0"/>
          <w:numId w:val="6"/>
        </w:numPr>
        <w:spacing w:after="0" w:line="240" w:lineRule="auto"/>
        <w:ind w:left="0" w:firstLine="0"/>
        <w:contextualSpacing/>
        <w:rPr>
          <w:rFonts w:ascii="Arial" w:hAnsi="Arial" w:cs="Arial"/>
        </w:rPr>
      </w:pPr>
      <w:r w:rsidRPr="00805432">
        <w:rPr>
          <w:rFonts w:ascii="Arial" w:hAnsi="Arial" w:cs="Arial"/>
        </w:rPr>
        <w:t>[productos básicos];</w:t>
      </w:r>
    </w:p>
    <w:p w:rsidR="0063412A" w:rsidRPr="00805432" w:rsidRDefault="0063412A" w:rsidP="0063412A">
      <w:pPr>
        <w:pStyle w:val="ListParagraph"/>
        <w:widowControl w:val="0"/>
        <w:numPr>
          <w:ilvl w:val="0"/>
          <w:numId w:val="6"/>
        </w:numPr>
        <w:spacing w:after="0" w:line="240" w:lineRule="auto"/>
        <w:ind w:left="0" w:firstLine="0"/>
        <w:contextualSpacing/>
        <w:rPr>
          <w:rFonts w:ascii="Arial" w:hAnsi="Arial" w:cs="Arial"/>
        </w:rPr>
      </w:pPr>
      <w:r w:rsidRPr="00805432">
        <w:rPr>
          <w:rFonts w:ascii="Arial" w:hAnsi="Arial" w:cs="Arial"/>
        </w:rPr>
        <w:t>[conocimientos tradicionales que formen parte del dominio público];</w:t>
      </w:r>
    </w:p>
    <w:p w:rsidR="0063412A" w:rsidRPr="00805432" w:rsidRDefault="0063412A" w:rsidP="0063412A">
      <w:pPr>
        <w:pStyle w:val="ListParagraph"/>
        <w:widowControl w:val="0"/>
        <w:numPr>
          <w:ilvl w:val="0"/>
          <w:numId w:val="6"/>
        </w:numPr>
        <w:spacing w:after="0" w:line="240" w:lineRule="auto"/>
        <w:ind w:left="0" w:firstLine="0"/>
        <w:contextualSpacing/>
        <w:rPr>
          <w:rFonts w:ascii="Arial" w:hAnsi="Arial" w:cs="Arial"/>
        </w:rPr>
      </w:pPr>
      <w:r w:rsidRPr="00805432">
        <w:rPr>
          <w:rFonts w:ascii="Arial" w:hAnsi="Arial" w:cs="Arial"/>
        </w:rPr>
        <w:t>[recursos genéticos procedentes de zonas que se encuentran fuera de las jurisdicciones nacionales [y zonas económicas]]; y</w:t>
      </w:r>
    </w:p>
    <w:p w:rsidR="0063412A" w:rsidRPr="00805432" w:rsidRDefault="0063412A" w:rsidP="0063412A">
      <w:pPr>
        <w:pStyle w:val="ListParagraph"/>
        <w:widowControl w:val="0"/>
        <w:numPr>
          <w:ilvl w:val="0"/>
          <w:numId w:val="6"/>
        </w:numPr>
        <w:spacing w:after="0" w:line="240" w:lineRule="auto"/>
        <w:ind w:left="0" w:firstLine="0"/>
        <w:contextualSpacing/>
        <w:rPr>
          <w:rFonts w:ascii="Arial" w:hAnsi="Arial" w:cs="Arial"/>
        </w:rPr>
      </w:pPr>
      <w:r w:rsidRPr="00805432">
        <w:rPr>
          <w:rFonts w:ascii="Arial" w:hAnsi="Arial" w:cs="Arial"/>
        </w:rPr>
        <w:t>[todos los recursos genéticos [adquiridos] [a los que se haya tenido acceso] antes de [la entrada en vigor del Convenio sobre la Diversidad Biológica] [antes del 29 de diciembre de 1993].]</w:t>
      </w:r>
    </w:p>
    <w:p w:rsidR="0063412A" w:rsidRPr="00805432" w:rsidRDefault="0063412A" w:rsidP="0063412A">
      <w:pPr>
        <w:pStyle w:val="ListParagraph"/>
        <w:widowControl w:val="0"/>
        <w:ind w:left="0"/>
        <w:rPr>
          <w:rFonts w:ascii="Arial" w:hAnsi="Arial" w:cs="Arial"/>
        </w:rPr>
      </w:pPr>
    </w:p>
    <w:p w:rsidR="0063412A" w:rsidRPr="00805432" w:rsidRDefault="00776103" w:rsidP="0063412A">
      <w:pPr>
        <w:widowControl w:val="0"/>
        <w:rPr>
          <w:szCs w:val="22"/>
          <w:lang w:val="es-ES"/>
        </w:rPr>
      </w:pPr>
      <w:r>
        <w:rPr>
          <w:szCs w:val="22"/>
          <w:lang w:val="es-ES"/>
        </w:rPr>
        <w:t>3</w:t>
      </w:r>
      <w:r w:rsidR="0063412A" w:rsidRPr="00805432">
        <w:rPr>
          <w:szCs w:val="22"/>
          <w:lang w:val="es-ES"/>
        </w:rPr>
        <w:t>.2</w:t>
      </w:r>
      <w:r w:rsidR="0063412A" w:rsidRPr="00805432">
        <w:rPr>
          <w:szCs w:val="22"/>
          <w:lang w:val="es-ES"/>
        </w:rPr>
        <w:tab/>
        <w:t>[Los Estados miembros no deben/deberán imponer los requisitos de divulgación previstos en el presente instrumento en relación con las solicitudes de [derechos de P.I.] [patente] presentadas antes de la entrada en vigor del presente instrumento[, con sujeción a la legislación nacional vigente antes de la entrada en vigor del presente instrumento].]]</w:t>
      </w:r>
    </w:p>
    <w:p w:rsidR="0063412A" w:rsidRPr="00805432" w:rsidRDefault="0063412A" w:rsidP="0063412A">
      <w:pPr>
        <w:widowControl w:val="0"/>
        <w:rPr>
          <w:szCs w:val="22"/>
          <w:lang w:val="es-ES"/>
        </w:rPr>
      </w:pPr>
    </w:p>
    <w:p w:rsidR="0063412A" w:rsidRPr="00805432" w:rsidRDefault="0063412A" w:rsidP="0063412A">
      <w:pPr>
        <w:widowControl w:val="0"/>
        <w:rPr>
          <w:b/>
          <w:szCs w:val="22"/>
          <w:lang w:val="es-ES"/>
        </w:rPr>
      </w:pPr>
    </w:p>
    <w:p w:rsidR="0063412A" w:rsidRPr="00805432" w:rsidRDefault="0063412A" w:rsidP="0063412A">
      <w:pPr>
        <w:widowControl w:val="0"/>
        <w:jc w:val="center"/>
        <w:rPr>
          <w:b/>
          <w:szCs w:val="22"/>
          <w:lang w:val="es-ES"/>
        </w:rPr>
      </w:pPr>
      <w:r w:rsidRPr="00805432">
        <w:rPr>
          <w:b/>
          <w:szCs w:val="22"/>
          <w:lang w:val="es-ES"/>
        </w:rPr>
        <w:t>[ARTÍCULO </w:t>
      </w:r>
      <w:r w:rsidR="00776103">
        <w:rPr>
          <w:b/>
          <w:szCs w:val="22"/>
          <w:lang w:val="es-ES"/>
        </w:rPr>
        <w:t>4</w:t>
      </w:r>
      <w:r w:rsidRPr="00805432">
        <w:rPr>
          <w:b/>
          <w:szCs w:val="22"/>
          <w:lang w:val="es-ES"/>
        </w:rPr>
        <w:t>]</w:t>
      </w:r>
    </w:p>
    <w:p w:rsidR="0063412A" w:rsidRPr="00805432" w:rsidRDefault="0063412A" w:rsidP="0063412A">
      <w:pPr>
        <w:widowControl w:val="0"/>
        <w:jc w:val="center"/>
        <w:rPr>
          <w:b/>
          <w:szCs w:val="22"/>
          <w:lang w:val="es-ES"/>
        </w:rPr>
      </w:pPr>
      <w:r w:rsidRPr="00805432">
        <w:rPr>
          <w:b/>
          <w:szCs w:val="22"/>
          <w:lang w:val="es-ES"/>
        </w:rPr>
        <w:t>[RELACIÓN CON EL [PCT] Y EL [PLT]</w:t>
      </w:r>
    </w:p>
    <w:p w:rsidR="0063412A" w:rsidRPr="00805432" w:rsidRDefault="0063412A" w:rsidP="0063412A">
      <w:pPr>
        <w:widowControl w:val="0"/>
        <w:rPr>
          <w:b/>
          <w:szCs w:val="22"/>
          <w:lang w:val="es-ES"/>
        </w:rPr>
      </w:pPr>
    </w:p>
    <w:p w:rsidR="0063412A" w:rsidRPr="00805432" w:rsidRDefault="00776103" w:rsidP="0063412A">
      <w:pPr>
        <w:widowControl w:val="0"/>
        <w:rPr>
          <w:szCs w:val="22"/>
          <w:lang w:val="es-ES"/>
        </w:rPr>
      </w:pPr>
      <w:r>
        <w:rPr>
          <w:szCs w:val="22"/>
          <w:lang w:val="es-ES"/>
        </w:rPr>
        <w:t>4</w:t>
      </w:r>
      <w:r w:rsidR="0063412A" w:rsidRPr="00805432">
        <w:rPr>
          <w:szCs w:val="22"/>
          <w:lang w:val="es-ES"/>
        </w:rPr>
        <w:t>.1</w:t>
      </w:r>
      <w:r w:rsidR="0063412A" w:rsidRPr="00805432">
        <w:rPr>
          <w:szCs w:val="22"/>
          <w:lang w:val="es-ES"/>
        </w:rPr>
        <w:tab/>
        <w:t>El [PCT] y el [PLT] se modificarán para [incluir] [posibilitar a las Partes en el [PCT] y el [PLT] que contemplen en su legislación nacional] un requisito de divulgación obligatoria del origen y la fuente de los recursos genéticos[, sus derivados] y los [conocimientos tradicionales conexos] [conocimientos tradicionales asociados a los recursos genéticos]. Entre las modificaciones cabe/cabrá incluir la exigencia de que se confirme que se obtuvo el consentimiento fundamentado previo, y se pruebe que la participación en los beneficios se rige por condiciones mutuamente convenidas con el país de origen.]</w:t>
      </w:r>
    </w:p>
    <w:p w:rsidR="0063412A" w:rsidRPr="00805432" w:rsidRDefault="0063412A" w:rsidP="0063412A">
      <w:pPr>
        <w:widowControl w:val="0"/>
        <w:rPr>
          <w:szCs w:val="22"/>
          <w:lang w:val="es-ES"/>
        </w:rPr>
      </w:pPr>
    </w:p>
    <w:p w:rsidR="0063412A" w:rsidRPr="00805432" w:rsidRDefault="0063412A" w:rsidP="0063412A">
      <w:pPr>
        <w:widowControl w:val="0"/>
        <w:rPr>
          <w:b/>
          <w:szCs w:val="22"/>
          <w:lang w:val="es-ES"/>
        </w:rPr>
      </w:pPr>
    </w:p>
    <w:p w:rsidR="0063412A" w:rsidRPr="00776103" w:rsidRDefault="0063412A" w:rsidP="0063412A">
      <w:pPr>
        <w:widowControl w:val="0"/>
        <w:jc w:val="center"/>
        <w:rPr>
          <w:b/>
          <w:szCs w:val="22"/>
          <w:lang w:val="es-ES"/>
        </w:rPr>
      </w:pPr>
      <w:r w:rsidRPr="00776103">
        <w:rPr>
          <w:b/>
          <w:szCs w:val="22"/>
          <w:lang w:val="es-ES"/>
        </w:rPr>
        <w:t>[ARTÍCULO </w:t>
      </w:r>
      <w:r w:rsidR="00776103" w:rsidRPr="00776103">
        <w:rPr>
          <w:b/>
          <w:szCs w:val="22"/>
          <w:lang w:val="es-ES"/>
        </w:rPr>
        <w:t>5</w:t>
      </w:r>
      <w:r w:rsidRPr="00776103">
        <w:rPr>
          <w:b/>
          <w:szCs w:val="22"/>
          <w:lang w:val="es-ES"/>
        </w:rPr>
        <w:t>]</w:t>
      </w:r>
    </w:p>
    <w:p w:rsidR="0063412A" w:rsidRPr="00776103" w:rsidRDefault="0063412A" w:rsidP="0063412A">
      <w:pPr>
        <w:widowControl w:val="0"/>
        <w:jc w:val="center"/>
        <w:rPr>
          <w:b/>
          <w:szCs w:val="22"/>
          <w:lang w:val="es-ES"/>
        </w:rPr>
      </w:pPr>
      <w:r w:rsidRPr="00776103">
        <w:rPr>
          <w:b/>
          <w:szCs w:val="22"/>
          <w:lang w:val="es-ES"/>
        </w:rPr>
        <w:t>SANCIONES Y RECURSOS</w:t>
      </w:r>
    </w:p>
    <w:p w:rsidR="0063412A" w:rsidRPr="00776103" w:rsidRDefault="0063412A" w:rsidP="0063412A">
      <w:pPr>
        <w:widowControl w:val="0"/>
        <w:rPr>
          <w:szCs w:val="22"/>
          <w:lang w:val="es-ES"/>
        </w:rPr>
      </w:pPr>
    </w:p>
    <w:p w:rsidR="0063412A" w:rsidRPr="00805432" w:rsidRDefault="00776103" w:rsidP="0063412A">
      <w:pPr>
        <w:widowControl w:val="0"/>
        <w:rPr>
          <w:szCs w:val="22"/>
          <w:lang w:val="es-ES"/>
        </w:rPr>
      </w:pPr>
      <w:r>
        <w:rPr>
          <w:szCs w:val="22"/>
          <w:lang w:val="es-ES"/>
        </w:rPr>
        <w:t>5</w:t>
      </w:r>
      <w:r w:rsidR="0063412A" w:rsidRPr="00805432">
        <w:rPr>
          <w:szCs w:val="22"/>
          <w:lang w:val="es-ES"/>
        </w:rPr>
        <w:t>.1</w:t>
      </w:r>
      <w:r w:rsidR="0063412A" w:rsidRPr="00805432">
        <w:rPr>
          <w:szCs w:val="22"/>
          <w:lang w:val="es-ES"/>
        </w:rPr>
        <w:tab/>
        <w:t>[[Las Partes] [Los países] deben/deberán establecer disposiciones legales y administrativas adecuadas, eficaces y proporcionadas para hacer frente al incumplimiento del párrafo 3.1[, con inclusión de mecanismos de solución de controversias].  Con sujeción a lo dispuesto en la legislación nacional, las sanciones y los recursos [deben/deberán] [pueden] [incluir, entre otras cosas] consistir en:</w:t>
      </w:r>
    </w:p>
    <w:p w:rsidR="0063412A" w:rsidRPr="00805432" w:rsidRDefault="0063412A" w:rsidP="0063412A">
      <w:pPr>
        <w:widowControl w:val="0"/>
        <w:rPr>
          <w:szCs w:val="22"/>
          <w:lang w:val="es-ES"/>
        </w:rPr>
      </w:pPr>
    </w:p>
    <w:p w:rsidR="0063412A" w:rsidRPr="00805432" w:rsidRDefault="0063412A" w:rsidP="0063412A">
      <w:pPr>
        <w:pStyle w:val="ListParagraph"/>
        <w:keepNext/>
        <w:widowControl w:val="0"/>
        <w:numPr>
          <w:ilvl w:val="0"/>
          <w:numId w:val="7"/>
        </w:numPr>
        <w:spacing w:after="0" w:line="240" w:lineRule="auto"/>
        <w:ind w:left="567" w:hanging="567"/>
        <w:contextualSpacing/>
        <w:rPr>
          <w:rFonts w:ascii="Arial" w:hAnsi="Arial" w:cs="Arial"/>
        </w:rPr>
      </w:pPr>
      <w:r w:rsidRPr="00805432">
        <w:rPr>
          <w:rFonts w:ascii="Arial" w:hAnsi="Arial" w:cs="Arial"/>
        </w:rPr>
        <w:t>Antes de la concesión:</w:t>
      </w:r>
    </w:p>
    <w:p w:rsidR="0063412A" w:rsidRPr="00805432" w:rsidRDefault="0063412A" w:rsidP="0063412A">
      <w:pPr>
        <w:keepNext/>
        <w:widowControl w:val="0"/>
        <w:ind w:left="1134" w:hanging="567"/>
        <w:rPr>
          <w:szCs w:val="22"/>
          <w:lang w:val="es-ES"/>
        </w:rPr>
      </w:pPr>
      <w:r w:rsidRPr="00805432">
        <w:rPr>
          <w:szCs w:val="22"/>
          <w:lang w:val="es-ES"/>
        </w:rPr>
        <w:t>i)</w:t>
      </w:r>
      <w:r w:rsidRPr="00805432">
        <w:rPr>
          <w:szCs w:val="22"/>
          <w:lang w:val="es-ES"/>
        </w:rPr>
        <w:tab/>
        <w:t>Impedir que prosiga la tramitación de solicitudes de [P.I.] [patente] hasta tanto no se cumplan los requisitos de divulgación.</w:t>
      </w:r>
    </w:p>
    <w:p w:rsidR="0063412A" w:rsidRPr="00805432" w:rsidRDefault="0063412A" w:rsidP="0063412A">
      <w:pPr>
        <w:widowControl w:val="0"/>
        <w:ind w:left="1134" w:hanging="567"/>
        <w:rPr>
          <w:szCs w:val="22"/>
          <w:lang w:val="es-ES"/>
        </w:rPr>
      </w:pPr>
      <w:r w:rsidRPr="00805432">
        <w:rPr>
          <w:szCs w:val="22"/>
          <w:lang w:val="es-ES"/>
        </w:rPr>
        <w:t>ii)</w:t>
      </w:r>
      <w:r w:rsidRPr="00805432">
        <w:rPr>
          <w:szCs w:val="22"/>
          <w:lang w:val="es-ES"/>
        </w:rPr>
        <w:tab/>
        <w:t>Que una oficina de [P.I.] [patente] considere que la solicitud ha sido retirada [de conformidad con la legislación nacional].</w:t>
      </w:r>
    </w:p>
    <w:p w:rsidR="0063412A" w:rsidRPr="00805432" w:rsidRDefault="0063412A" w:rsidP="0063412A">
      <w:pPr>
        <w:widowControl w:val="0"/>
        <w:ind w:firstLine="567"/>
        <w:rPr>
          <w:szCs w:val="22"/>
        </w:rPr>
      </w:pPr>
      <w:r w:rsidRPr="00805432">
        <w:rPr>
          <w:szCs w:val="22"/>
          <w:lang w:val="es-ES"/>
        </w:rPr>
        <w:t>iii)</w:t>
      </w:r>
      <w:r w:rsidRPr="00805432">
        <w:rPr>
          <w:szCs w:val="22"/>
          <w:lang w:val="es-ES"/>
        </w:rPr>
        <w:tab/>
        <w:t xml:space="preserve">Impedir que se conceda o denegar [una derecho de P.I.] </w:t>
      </w:r>
      <w:r w:rsidRPr="00805432">
        <w:rPr>
          <w:szCs w:val="22"/>
        </w:rPr>
        <w:t>[una patente].</w:t>
      </w:r>
    </w:p>
    <w:p w:rsidR="0063412A" w:rsidRPr="00805432" w:rsidRDefault="0063412A" w:rsidP="0063412A">
      <w:pPr>
        <w:pStyle w:val="ListParagraph"/>
        <w:widowControl w:val="0"/>
        <w:ind w:left="360"/>
        <w:rPr>
          <w:rFonts w:ascii="Arial" w:hAnsi="Arial" w:cs="Arial"/>
        </w:rPr>
      </w:pPr>
    </w:p>
    <w:p w:rsidR="0063412A" w:rsidRPr="00805432" w:rsidRDefault="0063412A" w:rsidP="0063412A">
      <w:pPr>
        <w:pStyle w:val="ListParagraph"/>
        <w:widowControl w:val="0"/>
        <w:numPr>
          <w:ilvl w:val="0"/>
          <w:numId w:val="7"/>
        </w:numPr>
        <w:spacing w:after="0" w:line="240" w:lineRule="auto"/>
        <w:ind w:left="567" w:hanging="567"/>
        <w:contextualSpacing/>
        <w:rPr>
          <w:rFonts w:ascii="Arial" w:hAnsi="Arial" w:cs="Arial"/>
        </w:rPr>
      </w:pPr>
      <w:r w:rsidRPr="00805432">
        <w:rPr>
          <w:rFonts w:ascii="Arial" w:hAnsi="Arial" w:cs="Arial"/>
        </w:rPr>
        <w:t>[Después de la concesión:</w:t>
      </w:r>
    </w:p>
    <w:p w:rsidR="0063412A" w:rsidRPr="00805432" w:rsidRDefault="0063412A" w:rsidP="0063412A">
      <w:pPr>
        <w:widowControl w:val="0"/>
        <w:ind w:firstLine="567"/>
        <w:rPr>
          <w:szCs w:val="22"/>
          <w:lang w:val="es-ES"/>
        </w:rPr>
      </w:pPr>
      <w:r w:rsidRPr="00805432">
        <w:rPr>
          <w:szCs w:val="22"/>
          <w:lang w:val="es-ES"/>
        </w:rPr>
        <w:t>i)</w:t>
      </w:r>
      <w:r w:rsidRPr="00805432">
        <w:rPr>
          <w:szCs w:val="22"/>
          <w:lang w:val="es-ES"/>
        </w:rPr>
        <w:tab/>
        <w:t xml:space="preserve">La publicación de decisiones judiciales en relación con la no divulgación. </w:t>
      </w:r>
    </w:p>
    <w:p w:rsidR="0063412A" w:rsidRPr="00805432" w:rsidRDefault="0063412A" w:rsidP="0063412A">
      <w:pPr>
        <w:widowControl w:val="0"/>
        <w:ind w:left="1134" w:hanging="567"/>
        <w:rPr>
          <w:szCs w:val="22"/>
          <w:lang w:val="es-ES"/>
        </w:rPr>
      </w:pPr>
      <w:r w:rsidRPr="00805432">
        <w:rPr>
          <w:szCs w:val="22"/>
          <w:lang w:val="es-ES"/>
        </w:rPr>
        <w:lastRenderedPageBreak/>
        <w:t>ii)</w:t>
      </w:r>
      <w:r w:rsidRPr="00805432">
        <w:rPr>
          <w:szCs w:val="22"/>
          <w:lang w:val="es-ES"/>
        </w:rPr>
        <w:tab/>
        <w:t>[Multas o la adecuada compensación de los daños y perjuicios, incluido el pago de regalías.]</w:t>
      </w:r>
    </w:p>
    <w:p w:rsidR="0063412A" w:rsidRPr="00805432" w:rsidRDefault="0063412A" w:rsidP="0063412A">
      <w:pPr>
        <w:widowControl w:val="0"/>
        <w:ind w:left="1134" w:hanging="567"/>
        <w:rPr>
          <w:szCs w:val="22"/>
          <w:lang w:val="es-ES"/>
        </w:rPr>
      </w:pPr>
      <w:r w:rsidRPr="00805432">
        <w:rPr>
          <w:szCs w:val="22"/>
          <w:lang w:val="es-ES"/>
        </w:rPr>
        <w:t>iii)</w:t>
      </w:r>
      <w:r w:rsidRPr="00805432">
        <w:rPr>
          <w:szCs w:val="22"/>
          <w:lang w:val="es-ES"/>
        </w:rPr>
        <w:tab/>
        <w:t>Podrán tomarse en consideración otras medidas [incluida la revocación], en función de las circunstancias del caso, de conformidad con la legislación nacional.]]</w:t>
      </w:r>
    </w:p>
    <w:p w:rsidR="0063412A" w:rsidRPr="00805432" w:rsidRDefault="0063412A" w:rsidP="0063412A">
      <w:pPr>
        <w:widowControl w:val="0"/>
        <w:rPr>
          <w:szCs w:val="22"/>
          <w:lang w:val="es-ES"/>
        </w:rPr>
      </w:pPr>
    </w:p>
    <w:p w:rsidR="0063412A" w:rsidRPr="00FC037D" w:rsidRDefault="00FC037D" w:rsidP="0063412A">
      <w:pPr>
        <w:widowControl w:val="0"/>
        <w:rPr>
          <w:i/>
          <w:szCs w:val="22"/>
          <w:lang w:val="es-ES"/>
        </w:rPr>
      </w:pPr>
      <w:r>
        <w:rPr>
          <w:szCs w:val="22"/>
          <w:lang w:val="es-ES"/>
        </w:rPr>
        <w:t>5</w:t>
      </w:r>
      <w:r w:rsidR="0063412A" w:rsidRPr="00805432">
        <w:rPr>
          <w:szCs w:val="22"/>
          <w:lang w:val="es-ES"/>
        </w:rPr>
        <w:t>.2</w:t>
      </w:r>
      <w:r w:rsidR="0063412A" w:rsidRPr="00805432">
        <w:rPr>
          <w:szCs w:val="22"/>
          <w:lang w:val="es-ES"/>
        </w:rPr>
        <w:tab/>
        <w:t xml:space="preserve">[El incumplimiento del requisito de divulgación[, en ausencia de fraude,] no afectará la validez o fuerza ejecutiva de los derechos de [P.I.] </w:t>
      </w:r>
      <w:r w:rsidR="0063412A" w:rsidRPr="00FC037D">
        <w:rPr>
          <w:szCs w:val="22"/>
          <w:lang w:val="es-ES"/>
        </w:rPr>
        <w:t>[de patente] concedidos.]</w:t>
      </w:r>
    </w:p>
    <w:p w:rsidR="0063412A" w:rsidRPr="00FC037D" w:rsidRDefault="0063412A" w:rsidP="0063412A">
      <w:pPr>
        <w:widowControl w:val="0"/>
        <w:rPr>
          <w:i/>
          <w:szCs w:val="22"/>
          <w:lang w:val="es-ES"/>
        </w:rPr>
      </w:pPr>
    </w:p>
    <w:p w:rsidR="0063412A" w:rsidRPr="00FC037D" w:rsidRDefault="0063412A" w:rsidP="0063412A">
      <w:pPr>
        <w:widowControl w:val="0"/>
        <w:jc w:val="center"/>
        <w:rPr>
          <w:b/>
          <w:szCs w:val="22"/>
          <w:lang w:val="es-ES"/>
        </w:rPr>
      </w:pPr>
    </w:p>
    <w:p w:rsidR="0063412A" w:rsidRPr="00FC037D" w:rsidRDefault="000864B9" w:rsidP="0063412A">
      <w:pPr>
        <w:widowControl w:val="0"/>
        <w:jc w:val="center"/>
        <w:rPr>
          <w:b/>
          <w:szCs w:val="22"/>
          <w:lang w:val="es-ES"/>
        </w:rPr>
      </w:pPr>
      <w:r>
        <w:rPr>
          <w:b/>
          <w:szCs w:val="22"/>
          <w:lang w:val="es-ES"/>
        </w:rPr>
        <w:t>[ARTÍCULO 6</w:t>
      </w:r>
      <w:r w:rsidR="0063412A" w:rsidRPr="00FC037D">
        <w:rPr>
          <w:b/>
          <w:szCs w:val="22"/>
          <w:lang w:val="es-ES"/>
        </w:rPr>
        <w:t>]</w:t>
      </w:r>
    </w:p>
    <w:p w:rsidR="0063412A" w:rsidRPr="00FC037D" w:rsidRDefault="0063412A" w:rsidP="0063412A">
      <w:pPr>
        <w:widowControl w:val="0"/>
        <w:jc w:val="center"/>
        <w:rPr>
          <w:b/>
          <w:szCs w:val="22"/>
          <w:lang w:val="es-ES"/>
        </w:rPr>
      </w:pPr>
      <w:r w:rsidRPr="00FC037D">
        <w:rPr>
          <w:b/>
          <w:szCs w:val="22"/>
          <w:lang w:val="es-ES"/>
        </w:rPr>
        <w:t>[AUSENCIA DE REQUISITO DE NUEVA DIVULGACIÓN</w:t>
      </w:r>
    </w:p>
    <w:p w:rsidR="0063412A" w:rsidRPr="00FC037D" w:rsidRDefault="0063412A" w:rsidP="0063412A">
      <w:pPr>
        <w:widowControl w:val="0"/>
        <w:rPr>
          <w:szCs w:val="22"/>
          <w:lang w:val="es-ES"/>
        </w:rPr>
      </w:pPr>
    </w:p>
    <w:p w:rsidR="0063412A" w:rsidRPr="00805432" w:rsidRDefault="000864B9" w:rsidP="0063412A">
      <w:pPr>
        <w:widowControl w:val="0"/>
        <w:rPr>
          <w:szCs w:val="22"/>
          <w:lang w:val="es-ES"/>
        </w:rPr>
      </w:pPr>
      <w:r>
        <w:rPr>
          <w:szCs w:val="22"/>
          <w:lang w:val="es-ES"/>
        </w:rPr>
        <w:t>6</w:t>
      </w:r>
      <w:r w:rsidR="0063412A" w:rsidRPr="00805432">
        <w:rPr>
          <w:szCs w:val="22"/>
          <w:lang w:val="es-ES"/>
        </w:rPr>
        <w:t>.1</w:t>
      </w:r>
      <w:r w:rsidR="0063412A" w:rsidRPr="00805432">
        <w:rPr>
          <w:szCs w:val="22"/>
          <w:lang w:val="es-ES"/>
        </w:rPr>
        <w:tab/>
        <w:t>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sus derivados] y los [conocimientos tradicionales conexos] [conocimientos tradicionales asociados a los recursos genéticos], por motivos que no sean los que se relacionan con la novedad, la actividad inventiva, la aplicación industrial o la habilitación.]</w:t>
      </w:r>
    </w:p>
    <w:p w:rsidR="0063412A" w:rsidRPr="00805432" w:rsidRDefault="0063412A" w:rsidP="0063412A">
      <w:pPr>
        <w:widowControl w:val="0"/>
        <w:rPr>
          <w:szCs w:val="22"/>
          <w:lang w:val="es-ES"/>
        </w:rPr>
      </w:pPr>
    </w:p>
    <w:p w:rsidR="0063412A" w:rsidRPr="00805432" w:rsidRDefault="0063412A" w:rsidP="0063412A">
      <w:pPr>
        <w:widowControl w:val="0"/>
        <w:rPr>
          <w:szCs w:val="22"/>
          <w:lang w:val="es-ES"/>
        </w:rPr>
      </w:pPr>
    </w:p>
    <w:p w:rsidR="0063412A" w:rsidRPr="00805432" w:rsidRDefault="0063412A" w:rsidP="0063412A">
      <w:pPr>
        <w:widowControl w:val="0"/>
        <w:rPr>
          <w:szCs w:val="22"/>
          <w:lang w:val="es-ES"/>
        </w:rPr>
      </w:pPr>
    </w:p>
    <w:p w:rsidR="0063412A" w:rsidRPr="00805432" w:rsidRDefault="0063412A" w:rsidP="0063412A">
      <w:pPr>
        <w:widowControl w:val="0"/>
        <w:jc w:val="center"/>
        <w:rPr>
          <w:b/>
          <w:szCs w:val="22"/>
          <w:lang w:val="es-ES"/>
        </w:rPr>
      </w:pPr>
      <w:r w:rsidRPr="00805432">
        <w:rPr>
          <w:b/>
          <w:szCs w:val="22"/>
          <w:lang w:val="es-ES"/>
        </w:rPr>
        <w:t>[MEDIDAS PREVENTIVAS</w:t>
      </w:r>
      <w:r w:rsidRPr="00805432">
        <w:rPr>
          <w:rStyle w:val="FootnoteReference"/>
          <w:b/>
          <w:szCs w:val="22"/>
        </w:rPr>
        <w:footnoteReference w:id="2"/>
      </w:r>
    </w:p>
    <w:p w:rsidR="0063412A" w:rsidRPr="00805432" w:rsidRDefault="0063412A" w:rsidP="0063412A">
      <w:pPr>
        <w:widowControl w:val="0"/>
        <w:rPr>
          <w:szCs w:val="22"/>
          <w:lang w:val="es-ES"/>
        </w:rPr>
      </w:pPr>
    </w:p>
    <w:p w:rsidR="0063412A" w:rsidRPr="00805432" w:rsidRDefault="0063412A" w:rsidP="0063412A">
      <w:pPr>
        <w:widowControl w:val="0"/>
        <w:rPr>
          <w:b/>
          <w:szCs w:val="22"/>
          <w:lang w:val="es-ES"/>
        </w:rPr>
      </w:pPr>
    </w:p>
    <w:p w:rsidR="0063412A" w:rsidRPr="00805432" w:rsidRDefault="0063412A" w:rsidP="0063412A">
      <w:pPr>
        <w:widowControl w:val="0"/>
        <w:jc w:val="center"/>
        <w:rPr>
          <w:b/>
          <w:szCs w:val="22"/>
          <w:lang w:val="es-ES"/>
        </w:rPr>
      </w:pPr>
      <w:r w:rsidRPr="00805432">
        <w:rPr>
          <w:b/>
          <w:szCs w:val="22"/>
          <w:lang w:val="es-ES"/>
        </w:rPr>
        <w:t>[ARTÍCULO </w:t>
      </w:r>
      <w:r w:rsidR="000864B9">
        <w:rPr>
          <w:b/>
          <w:szCs w:val="22"/>
          <w:lang w:val="es-ES"/>
        </w:rPr>
        <w:t>7</w:t>
      </w:r>
      <w:r w:rsidRPr="00805432">
        <w:rPr>
          <w:b/>
          <w:szCs w:val="22"/>
          <w:lang w:val="es-ES"/>
        </w:rPr>
        <w:t>]</w:t>
      </w:r>
    </w:p>
    <w:p w:rsidR="0063412A" w:rsidRPr="00805432" w:rsidRDefault="0063412A" w:rsidP="0063412A">
      <w:pPr>
        <w:widowControl w:val="0"/>
        <w:jc w:val="center"/>
        <w:rPr>
          <w:b/>
          <w:szCs w:val="22"/>
          <w:lang w:val="es-ES"/>
        </w:rPr>
      </w:pPr>
      <w:r w:rsidRPr="00805432">
        <w:rPr>
          <w:b/>
          <w:szCs w:val="22"/>
          <w:lang w:val="es-ES"/>
        </w:rPr>
        <w:t>DILIGENCIA DEBIDA</w:t>
      </w:r>
    </w:p>
    <w:p w:rsidR="0063412A" w:rsidRPr="00805432" w:rsidRDefault="0063412A" w:rsidP="0063412A">
      <w:pPr>
        <w:widowControl w:val="0"/>
        <w:rPr>
          <w:szCs w:val="22"/>
          <w:lang w:val="es-ES"/>
        </w:rPr>
      </w:pPr>
    </w:p>
    <w:p w:rsidR="0063412A" w:rsidRPr="00805432" w:rsidRDefault="000864B9" w:rsidP="0063412A">
      <w:pPr>
        <w:widowControl w:val="0"/>
        <w:rPr>
          <w:szCs w:val="22"/>
          <w:lang w:val="es-ES"/>
        </w:rPr>
      </w:pPr>
      <w:r>
        <w:rPr>
          <w:szCs w:val="22"/>
          <w:lang w:val="es-ES"/>
        </w:rPr>
        <w:t>7</w:t>
      </w:r>
      <w:r w:rsidR="0063412A" w:rsidRPr="00805432">
        <w:rPr>
          <w:szCs w:val="22"/>
          <w:lang w:val="es-ES"/>
        </w:rPr>
        <w:t>.1</w:t>
      </w:r>
      <w:r w:rsidR="0063412A" w:rsidRPr="00805432">
        <w:rPr>
          <w:szCs w:val="22"/>
          <w:lang w:val="es-ES"/>
        </w:rPr>
        <w:tab/>
        <w:t>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w:t>
      </w:r>
    </w:p>
    <w:p w:rsidR="0063412A" w:rsidRPr="00805432" w:rsidRDefault="0063412A" w:rsidP="0063412A">
      <w:pPr>
        <w:widowControl w:val="0"/>
        <w:rPr>
          <w:szCs w:val="22"/>
          <w:lang w:val="es-ES"/>
        </w:rPr>
      </w:pPr>
    </w:p>
    <w:p w:rsidR="0063412A" w:rsidRPr="00805432" w:rsidRDefault="0063412A" w:rsidP="0063412A">
      <w:pPr>
        <w:pStyle w:val="ListParagraph"/>
        <w:widowControl w:val="0"/>
        <w:numPr>
          <w:ilvl w:val="0"/>
          <w:numId w:val="5"/>
        </w:numPr>
        <w:spacing w:after="0" w:line="240" w:lineRule="auto"/>
        <w:contextualSpacing/>
        <w:rPr>
          <w:rFonts w:ascii="Arial" w:hAnsi="Arial" w:cs="Arial"/>
        </w:rPr>
      </w:pPr>
      <w:r w:rsidRPr="00805432">
        <w:rPr>
          <w:rFonts w:ascii="Arial" w:hAnsi="Arial" w:cs="Arial"/>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63412A" w:rsidRPr="00805432" w:rsidRDefault="0063412A" w:rsidP="0063412A">
      <w:pPr>
        <w:widowControl w:val="0"/>
        <w:rPr>
          <w:szCs w:val="22"/>
          <w:lang w:val="es-ES"/>
        </w:rPr>
      </w:pPr>
    </w:p>
    <w:p w:rsidR="0063412A" w:rsidRPr="00805432" w:rsidRDefault="0063412A" w:rsidP="0063412A">
      <w:pPr>
        <w:pStyle w:val="ListParagraph"/>
        <w:keepLines/>
        <w:widowControl w:val="0"/>
        <w:numPr>
          <w:ilvl w:val="0"/>
          <w:numId w:val="5"/>
        </w:numPr>
        <w:spacing w:after="0" w:line="240" w:lineRule="auto"/>
        <w:contextualSpacing/>
        <w:rPr>
          <w:rFonts w:ascii="Arial" w:hAnsi="Arial" w:cs="Arial"/>
        </w:rPr>
      </w:pPr>
      <w:r w:rsidRPr="00805432">
        <w:rPr>
          <w:rFonts w:ascii="Arial" w:hAnsi="Arial" w:cs="Arial"/>
        </w:rPr>
        <w:t>Esas bases de datos deben/deberán ser accesibles a los eventuales licenciatarios de una patente para confirmar la legitimidad de la cadena de la titularidad de los recursos genéticos protegidos en los que se basa una patente.]</w:t>
      </w:r>
    </w:p>
    <w:p w:rsidR="0063412A" w:rsidRPr="00805432" w:rsidRDefault="0063412A" w:rsidP="0063412A">
      <w:pPr>
        <w:keepLines/>
        <w:widowControl w:val="0"/>
        <w:rPr>
          <w:szCs w:val="22"/>
          <w:lang w:val="es-ES"/>
        </w:rPr>
      </w:pPr>
    </w:p>
    <w:p w:rsidR="0063412A" w:rsidRPr="00805432" w:rsidRDefault="0063412A" w:rsidP="0063412A">
      <w:pPr>
        <w:widowControl w:val="0"/>
        <w:rPr>
          <w:b/>
          <w:szCs w:val="22"/>
          <w:lang w:val="es-ES"/>
        </w:rPr>
      </w:pPr>
    </w:p>
    <w:p w:rsidR="0063412A" w:rsidRPr="00805432" w:rsidRDefault="0063412A" w:rsidP="0063412A">
      <w:pPr>
        <w:widowControl w:val="0"/>
        <w:jc w:val="center"/>
        <w:rPr>
          <w:b/>
          <w:szCs w:val="22"/>
          <w:lang w:val="es-ES"/>
        </w:rPr>
      </w:pPr>
      <w:r w:rsidRPr="00805432">
        <w:rPr>
          <w:b/>
          <w:szCs w:val="22"/>
          <w:lang w:val="es-ES"/>
        </w:rPr>
        <w:t>[ARTÍCULO </w:t>
      </w:r>
      <w:r w:rsidR="000864B9">
        <w:rPr>
          <w:b/>
          <w:szCs w:val="22"/>
          <w:lang w:val="es-ES"/>
        </w:rPr>
        <w:t>8</w:t>
      </w:r>
      <w:r w:rsidRPr="00805432">
        <w:rPr>
          <w:b/>
          <w:szCs w:val="22"/>
          <w:lang w:val="es-ES"/>
        </w:rPr>
        <w:t>]</w:t>
      </w:r>
    </w:p>
    <w:p w:rsidR="0063412A" w:rsidRPr="00805432" w:rsidRDefault="0063412A" w:rsidP="0063412A">
      <w:pPr>
        <w:widowControl w:val="0"/>
        <w:jc w:val="center"/>
        <w:rPr>
          <w:b/>
          <w:szCs w:val="22"/>
          <w:lang w:val="es-ES"/>
        </w:rPr>
      </w:pPr>
      <w:r w:rsidRPr="00805432">
        <w:rPr>
          <w:b/>
          <w:szCs w:val="22"/>
          <w:lang w:val="es-ES"/>
        </w:rPr>
        <w:t>[EVITAR LA CONCESIÓN ERRÓNEA DE PATENTES Y CÓDIGOS DE CONDUCTA VOLUNTARIOS</w:t>
      </w:r>
    </w:p>
    <w:p w:rsidR="0063412A" w:rsidRPr="00805432" w:rsidRDefault="0063412A" w:rsidP="0063412A">
      <w:pPr>
        <w:widowControl w:val="0"/>
        <w:rPr>
          <w:i/>
          <w:szCs w:val="22"/>
          <w:lang w:val="es-ES"/>
        </w:rPr>
      </w:pPr>
    </w:p>
    <w:p w:rsidR="0063412A" w:rsidRPr="00805432" w:rsidRDefault="000864B9" w:rsidP="0063412A">
      <w:pPr>
        <w:widowControl w:val="0"/>
        <w:rPr>
          <w:szCs w:val="22"/>
          <w:lang w:val="es-ES"/>
        </w:rPr>
      </w:pPr>
      <w:r>
        <w:rPr>
          <w:szCs w:val="22"/>
          <w:lang w:val="es-ES"/>
        </w:rPr>
        <w:t>8</w:t>
      </w:r>
      <w:r w:rsidR="0063412A" w:rsidRPr="00805432">
        <w:rPr>
          <w:szCs w:val="22"/>
          <w:lang w:val="es-ES"/>
        </w:rPr>
        <w:t>.1</w:t>
      </w:r>
      <w:r w:rsidR="0063412A" w:rsidRPr="00805432">
        <w:rPr>
          <w:szCs w:val="22"/>
          <w:lang w:val="es-ES"/>
        </w:rPr>
        <w:tab/>
        <w:t>Los Estados miembros deben/deberán:</w:t>
      </w:r>
    </w:p>
    <w:p w:rsidR="0063412A" w:rsidRPr="00805432" w:rsidRDefault="0063412A" w:rsidP="0063412A">
      <w:pPr>
        <w:widowControl w:val="0"/>
        <w:rPr>
          <w:szCs w:val="22"/>
          <w:lang w:val="es-ES"/>
        </w:rPr>
      </w:pPr>
    </w:p>
    <w:p w:rsidR="0063412A" w:rsidRPr="00805432" w:rsidRDefault="0063412A" w:rsidP="0063412A">
      <w:pPr>
        <w:pStyle w:val="ListParagraph"/>
        <w:widowControl w:val="0"/>
        <w:numPr>
          <w:ilvl w:val="0"/>
          <w:numId w:val="8"/>
        </w:numPr>
        <w:spacing w:after="0" w:line="240" w:lineRule="auto"/>
        <w:contextualSpacing/>
        <w:rPr>
          <w:rFonts w:ascii="Arial" w:hAnsi="Arial" w:cs="Arial"/>
        </w:rPr>
      </w:pPr>
      <w:r w:rsidRPr="00805432">
        <w:rPr>
          <w:rFonts w:ascii="Arial" w:hAnsi="Arial" w:cs="Arial"/>
        </w:rPr>
        <w:t xml:space="preserve">Adoptar medidas legales, administrativas o de política, según proceda y de conformidad con la legislación nacional, para evitar la concesión errónea de patentes con respecto a </w:t>
      </w:r>
      <w:r w:rsidRPr="00805432">
        <w:rPr>
          <w:rFonts w:ascii="Arial" w:hAnsi="Arial" w:cs="Arial"/>
        </w:rPr>
        <w:lastRenderedPageBreak/>
        <w:t>invenciones reivindicadas que incluyan recursos genéticos[, sus derivados] y [conocimientos tradicionales conexos] [conocimientos tradicionales asociados a los recursos genéticos] cuando, en virtud de la legislación nacional, esos recursos genéticos[, sus derivados] y los [conocimientos tradicionales conexos] [conocimientos tradicionales asociados a los recursos genéticos]:</w:t>
      </w:r>
    </w:p>
    <w:p w:rsidR="0063412A" w:rsidRPr="00805432" w:rsidRDefault="0063412A" w:rsidP="0063412A">
      <w:pPr>
        <w:widowControl w:val="0"/>
        <w:rPr>
          <w:szCs w:val="22"/>
          <w:lang w:val="es-ES"/>
        </w:rPr>
      </w:pPr>
    </w:p>
    <w:p w:rsidR="0063412A" w:rsidRPr="00805432" w:rsidRDefault="0063412A" w:rsidP="0063412A">
      <w:pPr>
        <w:pStyle w:val="ListParagraph"/>
        <w:widowControl w:val="0"/>
        <w:numPr>
          <w:ilvl w:val="0"/>
          <w:numId w:val="9"/>
        </w:numPr>
        <w:spacing w:after="0" w:line="240" w:lineRule="auto"/>
        <w:ind w:left="1701" w:hanging="561"/>
        <w:contextualSpacing/>
        <w:rPr>
          <w:rFonts w:ascii="Arial" w:hAnsi="Arial" w:cs="Arial"/>
        </w:rPr>
      </w:pPr>
      <w:r w:rsidRPr="00805432">
        <w:rPr>
          <w:rFonts w:ascii="Arial" w:hAnsi="Arial" w:cs="Arial"/>
        </w:rPr>
        <w:t>anticipen una invención reivindicada (ausencia de novedad);  o</w:t>
      </w:r>
    </w:p>
    <w:p w:rsidR="0063412A" w:rsidRPr="00805432" w:rsidRDefault="0063412A" w:rsidP="0063412A">
      <w:pPr>
        <w:pStyle w:val="ListParagraph"/>
        <w:widowControl w:val="0"/>
        <w:numPr>
          <w:ilvl w:val="0"/>
          <w:numId w:val="9"/>
        </w:numPr>
        <w:spacing w:after="0" w:line="240" w:lineRule="auto"/>
        <w:ind w:left="1701" w:hanging="561"/>
        <w:contextualSpacing/>
        <w:rPr>
          <w:rFonts w:ascii="Arial" w:hAnsi="Arial" w:cs="Arial"/>
        </w:rPr>
      </w:pPr>
      <w:r w:rsidRPr="00805432">
        <w:rPr>
          <w:rFonts w:ascii="Arial" w:hAnsi="Arial" w:cs="Arial"/>
        </w:rPr>
        <w:t xml:space="preserve">hagan evidente la invención reivindicada (que sea evidente o no implique actividad inventiva). </w:t>
      </w:r>
    </w:p>
    <w:p w:rsidR="0063412A" w:rsidRPr="00805432" w:rsidRDefault="0063412A" w:rsidP="0063412A">
      <w:pPr>
        <w:widowControl w:val="0"/>
        <w:rPr>
          <w:szCs w:val="22"/>
          <w:lang w:val="es-ES"/>
        </w:rPr>
      </w:pPr>
    </w:p>
    <w:p w:rsidR="0063412A" w:rsidRPr="00805432" w:rsidRDefault="0063412A" w:rsidP="0063412A">
      <w:pPr>
        <w:pStyle w:val="ListParagraph"/>
        <w:widowControl w:val="0"/>
        <w:numPr>
          <w:ilvl w:val="0"/>
          <w:numId w:val="8"/>
        </w:numPr>
        <w:spacing w:after="0" w:line="240" w:lineRule="auto"/>
        <w:contextualSpacing/>
        <w:rPr>
          <w:rFonts w:ascii="Arial" w:hAnsi="Arial" w:cs="Arial"/>
        </w:rPr>
      </w:pPr>
      <w:r w:rsidRPr="00805432">
        <w:rPr>
          <w:rFonts w:ascii="Arial" w:hAnsi="Arial" w:cs="Arial"/>
        </w:rPr>
        <w:t>Adoptar medidas legales, administrativas o de política, según proceda y de conformidad con la legislación nacional, que permitan a terceros cuestionar la validez de una patente, presentando el estado de la técnica, con respecto a invenciones que incluyen recursos genéticos[, sus derivados] y [conocimientos tradicionales conexos] [conocimientos tradicionales asociados a los recursos genéticos].</w:t>
      </w:r>
    </w:p>
    <w:p w:rsidR="0063412A" w:rsidRPr="00805432" w:rsidRDefault="0063412A" w:rsidP="0063412A">
      <w:pPr>
        <w:widowControl w:val="0"/>
        <w:rPr>
          <w:szCs w:val="22"/>
          <w:lang w:val="es-ES"/>
        </w:rPr>
      </w:pPr>
    </w:p>
    <w:p w:rsidR="0063412A" w:rsidRPr="00805432" w:rsidRDefault="0063412A" w:rsidP="0063412A">
      <w:pPr>
        <w:pStyle w:val="ListParagraph"/>
        <w:widowControl w:val="0"/>
        <w:numPr>
          <w:ilvl w:val="0"/>
          <w:numId w:val="8"/>
        </w:numPr>
        <w:spacing w:after="0" w:line="240" w:lineRule="auto"/>
        <w:contextualSpacing/>
        <w:rPr>
          <w:rFonts w:ascii="Arial" w:hAnsi="Arial" w:cs="Arial"/>
        </w:rPr>
      </w:pPr>
      <w:r w:rsidRPr="00805432">
        <w:rPr>
          <w:rFonts w:ascii="Arial" w:hAnsi="Arial" w:cs="Arial"/>
        </w:rPr>
        <w:t>[Alentar, según proceda, la elaboración y el uso de códigos de conducta voluntarios y directrices para los usuarios acerca de la protección de los recursos genéticos [, sus derivados] y los [conocimientos tradicionales conexos] [conocimientos tradicionales asociados a los recursos genéticos].]</w:t>
      </w:r>
    </w:p>
    <w:p w:rsidR="0063412A" w:rsidRPr="00805432" w:rsidRDefault="0063412A" w:rsidP="0063412A">
      <w:pPr>
        <w:pStyle w:val="ListParagraph"/>
        <w:widowControl w:val="0"/>
        <w:rPr>
          <w:rFonts w:ascii="Arial" w:hAnsi="Arial" w:cs="Arial"/>
        </w:rPr>
      </w:pPr>
    </w:p>
    <w:p w:rsidR="0063412A" w:rsidRPr="00805432" w:rsidRDefault="0063412A" w:rsidP="0063412A">
      <w:pPr>
        <w:pStyle w:val="ListParagraph"/>
        <w:widowControl w:val="0"/>
        <w:numPr>
          <w:ilvl w:val="0"/>
          <w:numId w:val="8"/>
        </w:numPr>
        <w:spacing w:after="0" w:line="240" w:lineRule="auto"/>
        <w:contextualSpacing/>
        <w:rPr>
          <w:rFonts w:ascii="Arial" w:hAnsi="Arial" w:cs="Arial"/>
        </w:rPr>
      </w:pPr>
      <w:r w:rsidRPr="00805432">
        <w:rPr>
          <w:rFonts w:ascii="Arial" w:hAnsi="Arial" w:cs="Arial"/>
        </w:rPr>
        <w:t xml:space="preserve">Facilitar, según proceda, la creación, el intercambio y la difusión de bases de datos de recursos genéticos[, sus derivados] y [conocimientos tradicionales conexos] [conocimientos tradicionales asociados a los recursos genéticos], y el acceso a dichas bases de datos para su utilización por las oficinas de patentes.] </w:t>
      </w:r>
    </w:p>
    <w:p w:rsidR="0063412A" w:rsidRPr="00805432" w:rsidRDefault="0063412A" w:rsidP="0063412A">
      <w:pPr>
        <w:widowControl w:val="0"/>
        <w:ind w:left="720"/>
        <w:rPr>
          <w:szCs w:val="22"/>
          <w:lang w:val="es-ES"/>
        </w:rPr>
      </w:pPr>
    </w:p>
    <w:p w:rsidR="0063412A" w:rsidRPr="00805432" w:rsidRDefault="0063412A" w:rsidP="0063412A">
      <w:pPr>
        <w:widowControl w:val="0"/>
        <w:rPr>
          <w:b/>
          <w:szCs w:val="22"/>
          <w:lang w:val="es-ES"/>
        </w:rPr>
      </w:pPr>
    </w:p>
    <w:p w:rsidR="0063412A" w:rsidRPr="00805432" w:rsidRDefault="0063412A" w:rsidP="0063412A">
      <w:pPr>
        <w:widowControl w:val="0"/>
        <w:rPr>
          <w:b/>
          <w:szCs w:val="22"/>
          <w:lang w:val="es-ES"/>
        </w:rPr>
      </w:pPr>
      <w:r w:rsidRPr="00805432">
        <w:rPr>
          <w:b/>
          <w:szCs w:val="22"/>
          <w:lang w:val="es-ES"/>
        </w:rPr>
        <w:t>SISTEMAS DE BÚSQUEDA EN BASES DE DATOS</w:t>
      </w:r>
    </w:p>
    <w:p w:rsidR="0063412A" w:rsidRPr="00805432" w:rsidRDefault="0063412A" w:rsidP="0063412A">
      <w:pPr>
        <w:widowControl w:val="0"/>
        <w:rPr>
          <w:szCs w:val="22"/>
          <w:lang w:val="es-ES"/>
        </w:rPr>
      </w:pPr>
    </w:p>
    <w:p w:rsidR="0063412A" w:rsidRPr="00805432" w:rsidRDefault="000864B9" w:rsidP="0063412A">
      <w:pPr>
        <w:widowControl w:val="0"/>
        <w:rPr>
          <w:szCs w:val="22"/>
          <w:lang w:val="es-ES"/>
        </w:rPr>
      </w:pPr>
      <w:r>
        <w:rPr>
          <w:szCs w:val="22"/>
          <w:lang w:val="es-ES"/>
        </w:rPr>
        <w:t>8</w:t>
      </w:r>
      <w:r w:rsidR="0063412A" w:rsidRPr="00805432">
        <w:rPr>
          <w:szCs w:val="22"/>
          <w:lang w:val="es-ES"/>
        </w:rPr>
        <w:t>.2</w:t>
      </w:r>
      <w:r w:rsidR="0063412A" w:rsidRPr="00805432">
        <w:rPr>
          <w:szCs w:val="22"/>
          <w:lang w:val="es-ES"/>
        </w:rPr>
        <w:tab/>
        <w:t>Se alienta a los miembros a facilitar el establecimiento de bases de datos sobre recursos genéticos[, sus derivados] y [conocimientos tradicionales conexos]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w:t>
      </w:r>
    </w:p>
    <w:p w:rsidR="0063412A" w:rsidRPr="00805432" w:rsidRDefault="0063412A" w:rsidP="0063412A">
      <w:pPr>
        <w:widowControl w:val="0"/>
        <w:rPr>
          <w:szCs w:val="22"/>
          <w:lang w:val="es-ES"/>
        </w:rPr>
      </w:pPr>
    </w:p>
    <w:p w:rsidR="0063412A" w:rsidRPr="00805432" w:rsidRDefault="0063412A" w:rsidP="0063412A">
      <w:pPr>
        <w:pStyle w:val="ListParagraph"/>
        <w:widowControl w:val="0"/>
        <w:numPr>
          <w:ilvl w:val="0"/>
          <w:numId w:val="10"/>
        </w:numPr>
        <w:spacing w:after="0" w:line="240" w:lineRule="auto"/>
        <w:ind w:left="709" w:hanging="349"/>
        <w:contextualSpacing/>
        <w:rPr>
          <w:rFonts w:ascii="Arial" w:hAnsi="Arial" w:cs="Arial"/>
        </w:rPr>
      </w:pPr>
      <w:r w:rsidRPr="00805432">
        <w:rPr>
          <w:rFonts w:ascii="Arial" w:hAnsi="Arial" w:cs="Arial"/>
        </w:rPr>
        <w:t>Con miras a la compatibilidad mutua, las bases de datos deben/deberán cumplir con normas mínimas y estructura de contenido.</w:t>
      </w:r>
    </w:p>
    <w:p w:rsidR="0063412A" w:rsidRPr="00805432" w:rsidRDefault="0063412A" w:rsidP="0063412A">
      <w:pPr>
        <w:widowControl w:val="0"/>
        <w:ind w:left="360"/>
        <w:rPr>
          <w:szCs w:val="22"/>
          <w:lang w:val="es-ES"/>
        </w:rPr>
      </w:pPr>
    </w:p>
    <w:p w:rsidR="0063412A" w:rsidRPr="00805432" w:rsidRDefault="0063412A" w:rsidP="0063412A">
      <w:pPr>
        <w:pStyle w:val="ListParagraph"/>
        <w:widowControl w:val="0"/>
        <w:numPr>
          <w:ilvl w:val="0"/>
          <w:numId w:val="10"/>
        </w:numPr>
        <w:spacing w:after="0" w:line="240" w:lineRule="auto"/>
        <w:contextualSpacing/>
        <w:rPr>
          <w:rFonts w:ascii="Arial" w:hAnsi="Arial" w:cs="Arial"/>
        </w:rPr>
      </w:pPr>
      <w:r w:rsidRPr="00805432">
        <w:rPr>
          <w:rFonts w:ascii="Arial" w:hAnsi="Arial" w:cs="Arial"/>
        </w:rPr>
        <w:t>Deben/deberán crearse las salvaguardias adecuadas, de conformidad con la legislación nacional.</w:t>
      </w:r>
    </w:p>
    <w:p w:rsidR="0063412A" w:rsidRPr="00805432" w:rsidRDefault="0063412A" w:rsidP="0063412A">
      <w:pPr>
        <w:widowControl w:val="0"/>
        <w:ind w:left="360"/>
        <w:rPr>
          <w:szCs w:val="22"/>
          <w:lang w:val="es-ES"/>
        </w:rPr>
      </w:pPr>
    </w:p>
    <w:p w:rsidR="0063412A" w:rsidRPr="00805432" w:rsidRDefault="0063412A" w:rsidP="0063412A">
      <w:pPr>
        <w:pStyle w:val="ListParagraph"/>
        <w:widowControl w:val="0"/>
        <w:numPr>
          <w:ilvl w:val="0"/>
          <w:numId w:val="10"/>
        </w:numPr>
        <w:spacing w:after="0" w:line="240" w:lineRule="auto"/>
        <w:contextualSpacing/>
        <w:rPr>
          <w:rFonts w:ascii="Arial" w:hAnsi="Arial" w:cs="Arial"/>
        </w:rPr>
      </w:pPr>
      <w:r w:rsidRPr="00805432">
        <w:rPr>
          <w:rFonts w:ascii="Arial" w:hAnsi="Arial" w:cs="Arial"/>
        </w:rPr>
        <w:t>Podrán acceder a esas bases de datos las oficinas de patentes y otros usuarios autorizados.</w:t>
      </w:r>
    </w:p>
    <w:p w:rsidR="0063412A" w:rsidRPr="00805432" w:rsidRDefault="0063412A" w:rsidP="0063412A">
      <w:pPr>
        <w:widowControl w:val="0"/>
        <w:rPr>
          <w:szCs w:val="22"/>
          <w:lang w:val="es-ES"/>
        </w:rPr>
      </w:pPr>
    </w:p>
    <w:p w:rsidR="0063412A" w:rsidRPr="00805432" w:rsidRDefault="0063412A" w:rsidP="0063412A">
      <w:pPr>
        <w:widowControl w:val="0"/>
        <w:rPr>
          <w:b/>
          <w:szCs w:val="22"/>
          <w:lang w:val="es-ES"/>
        </w:rPr>
      </w:pPr>
    </w:p>
    <w:p w:rsidR="0063412A" w:rsidRPr="00805432" w:rsidRDefault="0063412A" w:rsidP="0063412A">
      <w:pPr>
        <w:keepNext/>
        <w:widowControl w:val="0"/>
        <w:rPr>
          <w:b/>
          <w:szCs w:val="22"/>
          <w:lang w:val="es-ES"/>
        </w:rPr>
      </w:pPr>
      <w:r w:rsidRPr="00805432">
        <w:rPr>
          <w:b/>
          <w:szCs w:val="22"/>
          <w:lang w:val="es-ES"/>
        </w:rPr>
        <w:t>PORTAL DEL SITIO WEB DE LA OMPI</w:t>
      </w:r>
    </w:p>
    <w:p w:rsidR="0063412A" w:rsidRPr="00805432" w:rsidRDefault="0063412A" w:rsidP="0063412A">
      <w:pPr>
        <w:keepNext/>
        <w:widowControl w:val="0"/>
        <w:rPr>
          <w:szCs w:val="22"/>
          <w:lang w:val="es-ES"/>
        </w:rPr>
      </w:pPr>
    </w:p>
    <w:p w:rsidR="0063412A" w:rsidRPr="00805432" w:rsidRDefault="000864B9" w:rsidP="0063412A">
      <w:pPr>
        <w:keepNext/>
        <w:widowControl w:val="0"/>
        <w:rPr>
          <w:szCs w:val="22"/>
          <w:lang w:val="es-ES"/>
        </w:rPr>
      </w:pPr>
      <w:r>
        <w:rPr>
          <w:szCs w:val="22"/>
          <w:lang w:val="es-ES"/>
        </w:rPr>
        <w:t>8</w:t>
      </w:r>
      <w:r w:rsidR="0063412A" w:rsidRPr="00805432">
        <w:rPr>
          <w:szCs w:val="22"/>
          <w:lang w:val="es-ES"/>
        </w:rPr>
        <w:t>.3</w:t>
      </w:r>
      <w:r w:rsidR="0063412A" w:rsidRPr="00805432">
        <w:rPr>
          <w:szCs w:val="22"/>
          <w:lang w:val="es-ES"/>
        </w:rPr>
        <w:tab/>
        <w:t>Los Estados miembros deben/deberán establecer un sistema de búsqueda en bases de datos (el Portal de la OMPI) que vincule las bases de datos de los miembros de la OMPI que contengan información sobre los recursos genéticos, [sus derivados] y los [conocimientos tradicionales conexos] [conocimientos tradicionales asociados a los recursos genéticos], que no sean secretos, que se encuentren dentro de su territorio.  El Portal de la OMPI permitirá a los examinadores acceder directamente y recuperar los datos de las bases de datos nacionales.  Asimismo, el Portal de la OMPI incluirá las salvaguardias adecuadas.]</w:t>
      </w:r>
    </w:p>
    <w:p w:rsidR="0063412A" w:rsidRPr="00805432" w:rsidRDefault="0063412A" w:rsidP="0063412A">
      <w:pPr>
        <w:widowControl w:val="0"/>
        <w:rPr>
          <w:szCs w:val="22"/>
          <w:lang w:val="es-ES"/>
        </w:rPr>
      </w:pPr>
    </w:p>
    <w:p w:rsidR="0063412A" w:rsidRPr="00805432" w:rsidRDefault="0063412A" w:rsidP="0063412A">
      <w:pPr>
        <w:widowControl w:val="0"/>
        <w:rPr>
          <w:szCs w:val="22"/>
          <w:lang w:val="es-ES"/>
        </w:rPr>
      </w:pPr>
    </w:p>
    <w:p w:rsidR="0063412A" w:rsidRPr="00805432" w:rsidRDefault="0063412A" w:rsidP="0063412A">
      <w:pPr>
        <w:widowControl w:val="0"/>
        <w:jc w:val="center"/>
        <w:rPr>
          <w:b/>
          <w:szCs w:val="22"/>
          <w:lang w:val="es-ES"/>
        </w:rPr>
      </w:pPr>
      <w:r w:rsidRPr="00805432">
        <w:rPr>
          <w:b/>
          <w:szCs w:val="22"/>
          <w:lang w:val="es-ES"/>
        </w:rPr>
        <w:t>[ARTÍCULO </w:t>
      </w:r>
      <w:r w:rsidR="000864B9">
        <w:rPr>
          <w:b/>
          <w:szCs w:val="22"/>
          <w:lang w:val="es-ES"/>
        </w:rPr>
        <w:t>9</w:t>
      </w:r>
      <w:r w:rsidRPr="00805432">
        <w:rPr>
          <w:b/>
          <w:szCs w:val="22"/>
          <w:lang w:val="es-ES"/>
        </w:rPr>
        <w:t>]</w:t>
      </w:r>
    </w:p>
    <w:p w:rsidR="0063412A" w:rsidRPr="00805432" w:rsidRDefault="0063412A" w:rsidP="0063412A">
      <w:pPr>
        <w:widowControl w:val="0"/>
        <w:jc w:val="center"/>
        <w:rPr>
          <w:b/>
          <w:szCs w:val="22"/>
          <w:lang w:val="es-ES"/>
        </w:rPr>
      </w:pPr>
      <w:r w:rsidRPr="00805432">
        <w:rPr>
          <w:b/>
          <w:szCs w:val="22"/>
          <w:lang w:val="es-ES"/>
        </w:rPr>
        <w:t>RELACIÓN CON OTROS ACUERDOS INTERNACIONALES</w:t>
      </w:r>
    </w:p>
    <w:p w:rsidR="0063412A" w:rsidRPr="00805432" w:rsidRDefault="0063412A" w:rsidP="0063412A">
      <w:pPr>
        <w:widowControl w:val="0"/>
        <w:jc w:val="center"/>
        <w:rPr>
          <w:b/>
          <w:szCs w:val="22"/>
          <w:lang w:val="es-ES"/>
        </w:rPr>
      </w:pPr>
    </w:p>
    <w:p w:rsidR="0063412A" w:rsidRPr="00805432" w:rsidRDefault="000864B9" w:rsidP="0063412A">
      <w:pPr>
        <w:widowControl w:val="0"/>
        <w:rPr>
          <w:szCs w:val="22"/>
          <w:lang w:val="es-ES"/>
        </w:rPr>
      </w:pPr>
      <w:r>
        <w:rPr>
          <w:szCs w:val="22"/>
          <w:lang w:val="es-ES"/>
        </w:rPr>
        <w:t>9</w:t>
      </w:r>
      <w:r w:rsidR="0063412A" w:rsidRPr="00805432">
        <w:rPr>
          <w:szCs w:val="22"/>
          <w:lang w:val="es-ES"/>
        </w:rPr>
        <w:t>.1</w:t>
      </w:r>
      <w:r w:rsidR="0063412A" w:rsidRPr="00805432">
        <w:rPr>
          <w:szCs w:val="22"/>
          <w:lang w:val="es-ES"/>
        </w:rPr>
        <w:tab/>
        <w:t>El presente instrumento debe/deberá establecer una relación de apoyo recíproco [entre los derechos de [propiedad intelectual] [patente] [basados directamente en] [que atañen a] [la utilización de] recursos genéticos[,sus derivados] y [conocimientos tradicionales conexos] [conocimientos tradicionales asociados a los recursos genéticos] y los acuerdos y tratados internacionales vigentes.</w:t>
      </w:r>
    </w:p>
    <w:p w:rsidR="0063412A" w:rsidRPr="00805432" w:rsidRDefault="0063412A" w:rsidP="0063412A">
      <w:pPr>
        <w:widowControl w:val="0"/>
        <w:rPr>
          <w:szCs w:val="22"/>
          <w:lang w:val="es-ES"/>
        </w:rPr>
      </w:pPr>
    </w:p>
    <w:p w:rsidR="0063412A" w:rsidRPr="00805432" w:rsidRDefault="000864B9" w:rsidP="0063412A">
      <w:pPr>
        <w:widowControl w:val="0"/>
        <w:rPr>
          <w:szCs w:val="22"/>
          <w:lang w:val="es-ES"/>
        </w:rPr>
      </w:pPr>
      <w:r>
        <w:rPr>
          <w:szCs w:val="22"/>
          <w:lang w:val="es-ES"/>
        </w:rPr>
        <w:t>9</w:t>
      </w:r>
      <w:r w:rsidR="0063412A" w:rsidRPr="00805432">
        <w:rPr>
          <w:szCs w:val="22"/>
          <w:lang w:val="es-ES"/>
        </w:rPr>
        <w:t>.2</w:t>
      </w:r>
      <w:r w:rsidR="0063412A" w:rsidRPr="00805432">
        <w:rPr>
          <w:szCs w:val="22"/>
          <w:lang w:val="es-ES"/>
        </w:rPr>
        <w:tab/>
        <w:t>[El presente instrumento debe/deberá tener carácter complementario y no se prevé que modifique otros acuerdos sobre materia relacionada, y debe/deberá respaldar, en particular, el artículo 31 de la Declaración de las Naciones Unidas sobre los Derechos de los Pueblos Indígenas.]</w:t>
      </w:r>
    </w:p>
    <w:p w:rsidR="0063412A" w:rsidRPr="00805432" w:rsidRDefault="0063412A" w:rsidP="0063412A">
      <w:pPr>
        <w:widowControl w:val="0"/>
        <w:rPr>
          <w:szCs w:val="22"/>
          <w:lang w:val="es-ES"/>
        </w:rPr>
      </w:pPr>
    </w:p>
    <w:p w:rsidR="0063412A" w:rsidRPr="00805432" w:rsidRDefault="0063412A" w:rsidP="0063412A">
      <w:pPr>
        <w:widowControl w:val="0"/>
        <w:rPr>
          <w:b/>
          <w:szCs w:val="22"/>
          <w:lang w:val="es-ES"/>
        </w:rPr>
      </w:pPr>
    </w:p>
    <w:p w:rsidR="0063412A" w:rsidRPr="00805432" w:rsidRDefault="0063412A" w:rsidP="0063412A">
      <w:pPr>
        <w:widowControl w:val="0"/>
        <w:jc w:val="center"/>
        <w:rPr>
          <w:b/>
          <w:szCs w:val="22"/>
          <w:lang w:val="es-ES"/>
        </w:rPr>
      </w:pPr>
      <w:r w:rsidRPr="00805432">
        <w:rPr>
          <w:b/>
          <w:szCs w:val="22"/>
          <w:lang w:val="es-ES"/>
        </w:rPr>
        <w:t>[ARTÍCULO </w:t>
      </w:r>
      <w:r w:rsidR="000864B9">
        <w:rPr>
          <w:b/>
          <w:szCs w:val="22"/>
          <w:lang w:val="es-ES"/>
        </w:rPr>
        <w:t>10</w:t>
      </w:r>
      <w:r w:rsidRPr="00805432">
        <w:rPr>
          <w:b/>
          <w:szCs w:val="22"/>
          <w:lang w:val="es-ES"/>
        </w:rPr>
        <w:t>]</w:t>
      </w:r>
    </w:p>
    <w:p w:rsidR="0063412A" w:rsidRPr="00805432" w:rsidRDefault="0063412A" w:rsidP="0063412A">
      <w:pPr>
        <w:widowControl w:val="0"/>
        <w:jc w:val="center"/>
        <w:rPr>
          <w:b/>
          <w:szCs w:val="22"/>
          <w:lang w:val="es-ES"/>
        </w:rPr>
      </w:pPr>
      <w:r w:rsidRPr="00805432">
        <w:rPr>
          <w:b/>
          <w:szCs w:val="22"/>
          <w:lang w:val="es-ES"/>
        </w:rPr>
        <w:t>COOPERACIÓN INTERNACIONAL</w:t>
      </w:r>
    </w:p>
    <w:p w:rsidR="0063412A" w:rsidRPr="00805432" w:rsidRDefault="0063412A" w:rsidP="0063412A">
      <w:pPr>
        <w:widowControl w:val="0"/>
        <w:rPr>
          <w:szCs w:val="22"/>
          <w:lang w:val="es-ES"/>
        </w:rPr>
      </w:pPr>
    </w:p>
    <w:p w:rsidR="0063412A" w:rsidRPr="00805432" w:rsidRDefault="000864B9" w:rsidP="000864B9">
      <w:pPr>
        <w:widowControl w:val="0"/>
        <w:rPr>
          <w:szCs w:val="22"/>
          <w:lang w:val="es-ES"/>
        </w:rPr>
      </w:pPr>
      <w:r>
        <w:rPr>
          <w:szCs w:val="22"/>
          <w:lang w:val="es-ES"/>
        </w:rPr>
        <w:t>1</w:t>
      </w:r>
      <w:r w:rsidR="00D8150C">
        <w:rPr>
          <w:szCs w:val="22"/>
          <w:lang w:val="es-ES"/>
        </w:rPr>
        <w:t>0</w:t>
      </w:r>
      <w:r w:rsidR="0063412A" w:rsidRPr="00805432">
        <w:rPr>
          <w:szCs w:val="22"/>
          <w:lang w:val="es-ES"/>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conexos] [conocimientos tradicionales asociados a los recursos genéticos]] [la divulgación administrativa del origen o la fuente] por las Administraciones internacionales de búsqueda y examen en virtud del Tratado de Cooperación en materia de Patentes].</w:t>
      </w:r>
    </w:p>
    <w:p w:rsidR="0063412A" w:rsidRPr="00805432" w:rsidRDefault="0063412A" w:rsidP="0063412A">
      <w:pPr>
        <w:widowControl w:val="0"/>
        <w:jc w:val="center"/>
        <w:rPr>
          <w:szCs w:val="22"/>
          <w:lang w:val="es-ES"/>
        </w:rPr>
      </w:pPr>
    </w:p>
    <w:p w:rsidR="0063412A" w:rsidRPr="00805432" w:rsidRDefault="0063412A" w:rsidP="0063412A">
      <w:pPr>
        <w:widowControl w:val="0"/>
        <w:jc w:val="center"/>
        <w:rPr>
          <w:szCs w:val="22"/>
          <w:lang w:val="es-ES"/>
        </w:rPr>
      </w:pPr>
    </w:p>
    <w:p w:rsidR="0063412A" w:rsidRPr="00805432" w:rsidRDefault="0063412A" w:rsidP="0063412A">
      <w:pPr>
        <w:widowControl w:val="0"/>
        <w:jc w:val="center"/>
        <w:rPr>
          <w:b/>
          <w:szCs w:val="22"/>
          <w:lang w:val="es-ES"/>
        </w:rPr>
      </w:pPr>
      <w:r w:rsidRPr="00805432">
        <w:rPr>
          <w:b/>
          <w:szCs w:val="22"/>
          <w:lang w:val="es-ES"/>
        </w:rPr>
        <w:t>[ARTÍCULO </w:t>
      </w:r>
      <w:r w:rsidR="000864B9">
        <w:rPr>
          <w:b/>
          <w:szCs w:val="22"/>
          <w:lang w:val="es-ES"/>
        </w:rPr>
        <w:t>11</w:t>
      </w:r>
      <w:r w:rsidRPr="00805432">
        <w:rPr>
          <w:b/>
          <w:szCs w:val="22"/>
          <w:lang w:val="es-ES"/>
        </w:rPr>
        <w:t>]</w:t>
      </w:r>
    </w:p>
    <w:p w:rsidR="0063412A" w:rsidRPr="00805432" w:rsidRDefault="0063412A" w:rsidP="0063412A">
      <w:pPr>
        <w:widowControl w:val="0"/>
        <w:jc w:val="center"/>
        <w:rPr>
          <w:b/>
          <w:szCs w:val="22"/>
          <w:lang w:val="es-ES"/>
        </w:rPr>
      </w:pPr>
      <w:r w:rsidRPr="00805432">
        <w:rPr>
          <w:b/>
          <w:szCs w:val="22"/>
          <w:lang w:val="es-ES"/>
        </w:rPr>
        <w:t>COOPERACIÓN TRANSFRONTERIZA</w:t>
      </w:r>
    </w:p>
    <w:p w:rsidR="0063412A" w:rsidRPr="00805432" w:rsidRDefault="0063412A" w:rsidP="0063412A">
      <w:pPr>
        <w:widowControl w:val="0"/>
        <w:rPr>
          <w:szCs w:val="22"/>
          <w:lang w:val="es-ES"/>
        </w:rPr>
      </w:pPr>
    </w:p>
    <w:p w:rsidR="0063412A" w:rsidRPr="00805432" w:rsidRDefault="000864B9" w:rsidP="0063412A">
      <w:pPr>
        <w:widowControl w:val="0"/>
        <w:rPr>
          <w:szCs w:val="22"/>
          <w:lang w:val="es-ES"/>
        </w:rPr>
      </w:pPr>
      <w:r>
        <w:rPr>
          <w:szCs w:val="22"/>
          <w:lang w:val="es-ES"/>
        </w:rPr>
        <w:t>11</w:t>
      </w:r>
      <w:r w:rsidR="0063412A" w:rsidRPr="00805432">
        <w:rPr>
          <w:szCs w:val="22"/>
          <w:lang w:val="es-ES"/>
        </w:rPr>
        <w:tab/>
        <w:t xml:space="preserve">[En los casos en los que los mismos recursos genéticos [, sus derivados] y [los conocimientos tradicionales conexos] [los conocimientos tradicionales asociados a recursos genéticos] se encuentren en condiciones </w:t>
      </w:r>
      <w:r w:rsidR="0063412A" w:rsidRPr="00805432">
        <w:rPr>
          <w:i/>
          <w:szCs w:val="22"/>
          <w:lang w:val="es-ES"/>
        </w:rPr>
        <w:t>in situ</w:t>
      </w:r>
      <w:r w:rsidR="0063412A" w:rsidRPr="00805432">
        <w:rPr>
          <w:szCs w:val="22"/>
          <w:lang w:val="es-ES"/>
        </w:rPr>
        <w:t xml:space="preserve"> en el territorio de más de una Parte, esas Partes se esforzarán por cooperar, según sea apropiado, con la participación de las comunidades locales [e] [y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63412A" w:rsidRPr="00805432" w:rsidRDefault="0063412A" w:rsidP="0063412A">
      <w:pPr>
        <w:widowControl w:val="0"/>
        <w:rPr>
          <w:szCs w:val="22"/>
          <w:lang w:val="es-ES"/>
        </w:rPr>
      </w:pPr>
    </w:p>
    <w:p w:rsidR="0063412A" w:rsidRPr="00805432" w:rsidRDefault="0063412A" w:rsidP="0063412A">
      <w:pPr>
        <w:widowControl w:val="0"/>
        <w:rPr>
          <w:szCs w:val="22"/>
          <w:lang w:val="es-ES"/>
        </w:rPr>
      </w:pPr>
    </w:p>
    <w:p w:rsidR="0063412A" w:rsidRPr="00805432" w:rsidRDefault="0063412A" w:rsidP="0063412A">
      <w:pPr>
        <w:widowControl w:val="0"/>
        <w:jc w:val="center"/>
        <w:rPr>
          <w:b/>
          <w:szCs w:val="22"/>
          <w:lang w:val="es-ES"/>
        </w:rPr>
      </w:pPr>
      <w:r w:rsidRPr="00805432">
        <w:rPr>
          <w:b/>
          <w:szCs w:val="22"/>
          <w:lang w:val="es-ES"/>
        </w:rPr>
        <w:t>[ARTÍCULO </w:t>
      </w:r>
      <w:r w:rsidR="00D8150C">
        <w:rPr>
          <w:b/>
          <w:szCs w:val="22"/>
          <w:lang w:val="es-ES"/>
        </w:rPr>
        <w:t>12</w:t>
      </w:r>
      <w:r w:rsidRPr="00805432">
        <w:rPr>
          <w:b/>
          <w:szCs w:val="22"/>
          <w:lang w:val="es-ES"/>
        </w:rPr>
        <w:t>]</w:t>
      </w:r>
    </w:p>
    <w:p w:rsidR="0063412A" w:rsidRPr="00805432" w:rsidRDefault="0063412A" w:rsidP="0063412A">
      <w:pPr>
        <w:widowControl w:val="0"/>
        <w:jc w:val="center"/>
        <w:rPr>
          <w:b/>
          <w:szCs w:val="22"/>
          <w:lang w:val="es-ES"/>
        </w:rPr>
      </w:pPr>
      <w:r w:rsidRPr="00805432">
        <w:rPr>
          <w:b/>
          <w:szCs w:val="22"/>
          <w:lang w:val="es-ES"/>
        </w:rPr>
        <w:t>ASISTENCIA TÉCNICA, COOPERACIÓN Y CREACIÓN DE CAPACIDAD</w:t>
      </w:r>
    </w:p>
    <w:p w:rsidR="0063412A" w:rsidRPr="00805432" w:rsidRDefault="0063412A" w:rsidP="0063412A">
      <w:pPr>
        <w:widowControl w:val="0"/>
        <w:tabs>
          <w:tab w:val="left" w:pos="4113"/>
        </w:tabs>
        <w:rPr>
          <w:szCs w:val="22"/>
          <w:lang w:val="es-ES"/>
        </w:rPr>
      </w:pPr>
    </w:p>
    <w:p w:rsidR="0063412A" w:rsidRPr="00805432" w:rsidRDefault="00D8150C" w:rsidP="0063412A">
      <w:pPr>
        <w:widowControl w:val="0"/>
        <w:rPr>
          <w:szCs w:val="22"/>
          <w:lang w:val="es-ES"/>
        </w:rPr>
      </w:pPr>
      <w:r>
        <w:rPr>
          <w:szCs w:val="22"/>
          <w:lang w:val="es-ES"/>
        </w:rPr>
        <w:t>12</w:t>
      </w:r>
      <w:r w:rsidR="0063412A" w:rsidRPr="00805432">
        <w:rPr>
          <w:szCs w:val="22"/>
          <w:lang w:val="es-ES"/>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63412A" w:rsidRPr="00805432" w:rsidRDefault="0063412A" w:rsidP="0063412A">
      <w:pPr>
        <w:widowControl w:val="0"/>
        <w:rPr>
          <w:szCs w:val="22"/>
          <w:lang w:val="es-ES"/>
        </w:rPr>
      </w:pPr>
    </w:p>
    <w:p w:rsidR="0063412A" w:rsidRPr="00805432" w:rsidRDefault="0063412A" w:rsidP="0063412A">
      <w:pPr>
        <w:widowControl w:val="0"/>
        <w:rPr>
          <w:szCs w:val="22"/>
          <w:lang w:val="es-ES"/>
        </w:rPr>
      </w:pPr>
    </w:p>
    <w:p w:rsidR="0063412A" w:rsidRPr="00805432" w:rsidRDefault="0063412A" w:rsidP="0063412A">
      <w:pPr>
        <w:widowControl w:val="0"/>
        <w:ind w:left="5533"/>
        <w:rPr>
          <w:szCs w:val="22"/>
          <w:lang w:val="es-ES"/>
        </w:rPr>
      </w:pPr>
      <w:r w:rsidRPr="00805432">
        <w:rPr>
          <w:szCs w:val="22"/>
          <w:lang w:val="es-ES"/>
        </w:rPr>
        <w:t>[Fin del Anexo y del documento]</w:t>
      </w:r>
    </w:p>
    <w:p w:rsidR="0063412A" w:rsidRPr="00805432" w:rsidRDefault="0063412A" w:rsidP="0063412A">
      <w:pPr>
        <w:rPr>
          <w:szCs w:val="22"/>
          <w:lang w:val="es-ES_tradnl"/>
        </w:rPr>
      </w:pPr>
    </w:p>
    <w:p w:rsidR="0063412A" w:rsidRPr="00805432" w:rsidRDefault="0063412A" w:rsidP="0063412A">
      <w:pPr>
        <w:jc w:val="center"/>
        <w:rPr>
          <w:szCs w:val="22"/>
          <w:lang w:val="es-ES"/>
        </w:rPr>
      </w:pPr>
    </w:p>
    <w:sectPr w:rsidR="0063412A" w:rsidRPr="00805432" w:rsidSect="0080543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69" w:rsidRDefault="00761B69">
      <w:r>
        <w:separator/>
      </w:r>
    </w:p>
  </w:endnote>
  <w:endnote w:type="continuationSeparator" w:id="0">
    <w:p w:rsidR="00761B69" w:rsidRDefault="00761B69" w:rsidP="003B38C1">
      <w:r>
        <w:separator/>
      </w:r>
    </w:p>
    <w:p w:rsidR="00761B69" w:rsidRPr="003B38C1" w:rsidRDefault="00761B69" w:rsidP="003B38C1">
      <w:pPr>
        <w:spacing w:after="60"/>
        <w:rPr>
          <w:sz w:val="17"/>
        </w:rPr>
      </w:pPr>
      <w:r>
        <w:rPr>
          <w:sz w:val="17"/>
        </w:rPr>
        <w:t>[Endnote continued from previous page]</w:t>
      </w:r>
    </w:p>
  </w:endnote>
  <w:endnote w:type="continuationNotice" w:id="1">
    <w:p w:rsidR="00761B69" w:rsidRPr="003B38C1" w:rsidRDefault="00761B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69" w:rsidRDefault="00761B69">
      <w:r>
        <w:separator/>
      </w:r>
    </w:p>
  </w:footnote>
  <w:footnote w:type="continuationSeparator" w:id="0">
    <w:p w:rsidR="00761B69" w:rsidRDefault="00761B69" w:rsidP="008B60B2">
      <w:r>
        <w:separator/>
      </w:r>
    </w:p>
    <w:p w:rsidR="00761B69" w:rsidRPr="00ED77FB" w:rsidRDefault="00761B69" w:rsidP="008B60B2">
      <w:pPr>
        <w:spacing w:after="60"/>
        <w:rPr>
          <w:sz w:val="17"/>
          <w:szCs w:val="17"/>
        </w:rPr>
      </w:pPr>
      <w:r w:rsidRPr="00ED77FB">
        <w:rPr>
          <w:sz w:val="17"/>
          <w:szCs w:val="17"/>
        </w:rPr>
        <w:t>[Footnote continued from previous page]</w:t>
      </w:r>
    </w:p>
  </w:footnote>
  <w:footnote w:type="continuationNotice" w:id="1">
    <w:p w:rsidR="00761B69" w:rsidRPr="00ED77FB" w:rsidRDefault="00761B69" w:rsidP="008B60B2">
      <w:pPr>
        <w:spacing w:before="60"/>
        <w:jc w:val="right"/>
        <w:rPr>
          <w:sz w:val="17"/>
          <w:szCs w:val="17"/>
        </w:rPr>
      </w:pPr>
      <w:r w:rsidRPr="00ED77FB">
        <w:rPr>
          <w:sz w:val="17"/>
          <w:szCs w:val="17"/>
        </w:rPr>
        <w:t>[Footnote continued on next page]</w:t>
      </w:r>
    </w:p>
  </w:footnote>
  <w:footnote w:id="2">
    <w:p w:rsidR="0063412A" w:rsidRPr="000C6583" w:rsidRDefault="0063412A" w:rsidP="0063412A">
      <w:pPr>
        <w:pStyle w:val="FootnoteText"/>
        <w:rPr>
          <w:lang w:val="es-ES_tradnl"/>
        </w:rPr>
      </w:pPr>
      <w:r>
        <w:rPr>
          <w:rStyle w:val="FootnoteReference"/>
        </w:rPr>
        <w:footnoteRef/>
      </w:r>
      <w:r w:rsidRPr="000A22E7">
        <w:rPr>
          <w:lang w:val="es-ES"/>
        </w:rPr>
        <w:t xml:space="preserve"> </w:t>
      </w:r>
      <w:r w:rsidRPr="000A22E7">
        <w:rPr>
          <w:lang w:val="es-ES"/>
        </w:rPr>
        <w:tab/>
      </w:r>
      <w:r w:rsidRPr="000A22E7">
        <w:rPr>
          <w:bCs/>
          <w:lang w:val="es-ES"/>
        </w:rPr>
        <w:t xml:space="preserve">Nota de los facilitadores.  </w:t>
      </w:r>
      <w:r w:rsidRPr="00F27A18">
        <w:rPr>
          <w:bCs/>
          <w:lang w:val="es-ES_tradnl"/>
        </w:rPr>
        <w:t>Los</w:t>
      </w:r>
      <w:r>
        <w:rPr>
          <w:lang w:val="es-ES_tradnl"/>
        </w:rPr>
        <w:t xml:space="preserve"> miembros</w:t>
      </w:r>
      <w:r w:rsidRPr="000C6583">
        <w:rPr>
          <w:lang w:val="es-ES_tradnl"/>
        </w:rPr>
        <w:t xml:space="preserve"> deberán tener presente que algunos miembros consideran que las medidas preventivas constituyen una opción alternativa a la divulgación, mientras que otros las consideran como una opción complementaria.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79" w:rsidRDefault="00CB2179" w:rsidP="00307A3C">
    <w:pPr>
      <w:jc w:val="right"/>
      <w:rPr>
        <w:rStyle w:val="PageNumber"/>
      </w:rPr>
    </w:pPr>
    <w:r>
      <w:rPr>
        <w:rStyle w:val="PageNumber"/>
      </w:rPr>
      <w:t>WIPO/GRTKF/IC/</w:t>
    </w:r>
    <w:r w:rsidR="0012593E">
      <w:rPr>
        <w:rStyle w:val="PageNumber"/>
      </w:rPr>
      <w:t>30</w:t>
    </w:r>
    <w:r>
      <w:rPr>
        <w:rStyle w:val="PageNumber"/>
      </w:rPr>
      <w:t>/</w:t>
    </w:r>
    <w:r w:rsidR="00E777F1">
      <w:rPr>
        <w:rStyle w:val="PageNumber"/>
      </w:rPr>
      <w:t>4</w:t>
    </w:r>
  </w:p>
  <w:p w:rsidR="00CB2179" w:rsidRDefault="00DC0245" w:rsidP="00A21AB4">
    <w:pPr>
      <w:jc w:val="right"/>
      <w:rPr>
        <w:rStyle w:val="PageNumber"/>
      </w:rPr>
    </w:pPr>
    <w:r>
      <w:rPr>
        <w:rStyle w:val="PageNumber"/>
      </w:rPr>
      <w:t>página</w:t>
    </w:r>
    <w:r w:rsidR="00CB2179">
      <w:rPr>
        <w:rStyle w:val="PageNumber"/>
      </w:rPr>
      <w:t xml:space="preserve"> </w:t>
    </w:r>
    <w:r w:rsidR="000F4DC5">
      <w:rPr>
        <w:rStyle w:val="PageNumber"/>
      </w:rPr>
      <w:t>2</w:t>
    </w:r>
  </w:p>
  <w:p w:rsidR="00CB2179" w:rsidRPr="006E2CE9" w:rsidRDefault="00CB2179"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28" w:rsidRDefault="007E7928" w:rsidP="00307A3C">
    <w:pPr>
      <w:jc w:val="right"/>
      <w:rPr>
        <w:rStyle w:val="PageNumber"/>
      </w:rPr>
    </w:pPr>
    <w:r>
      <w:rPr>
        <w:rStyle w:val="PageNumber"/>
      </w:rPr>
      <w:t>WIPO/GRTKF/IC/</w:t>
    </w:r>
    <w:r w:rsidR="0012593E">
      <w:rPr>
        <w:rStyle w:val="PageNumber"/>
      </w:rPr>
      <w:t>30</w:t>
    </w:r>
    <w:r>
      <w:rPr>
        <w:rStyle w:val="PageNumber"/>
      </w:rPr>
      <w:t>/</w:t>
    </w:r>
    <w:r w:rsidR="000F4DC5">
      <w:rPr>
        <w:rStyle w:val="PageNumber"/>
      </w:rPr>
      <w:t>4</w:t>
    </w:r>
  </w:p>
  <w:p w:rsidR="007E7928" w:rsidRDefault="00805432" w:rsidP="00A21AB4">
    <w:pPr>
      <w:jc w:val="right"/>
      <w:rPr>
        <w:rStyle w:val="PageNumber"/>
      </w:rPr>
    </w:pPr>
    <w:r>
      <w:rPr>
        <w:rStyle w:val="PageNumber"/>
      </w:rPr>
      <w:t>An</w:t>
    </w:r>
    <w:r w:rsidR="007E7928">
      <w:rPr>
        <w:rStyle w:val="PageNumber"/>
      </w:rPr>
      <w:t>ex</w:t>
    </w:r>
    <w:r>
      <w:rPr>
        <w:rStyle w:val="PageNumber"/>
      </w:rPr>
      <w:t>o</w:t>
    </w:r>
    <w:r w:rsidR="007E7928">
      <w:rPr>
        <w:rStyle w:val="PageNumber"/>
      </w:rPr>
      <w:t xml:space="preserve">, </w:t>
    </w:r>
    <w:r>
      <w:rPr>
        <w:rStyle w:val="PageNumber"/>
      </w:rPr>
      <w:t>página</w:t>
    </w:r>
    <w:r w:rsidR="007E7928">
      <w:rPr>
        <w:rStyle w:val="PageNumber"/>
      </w:rPr>
      <w:t xml:space="preserve"> </w:t>
    </w:r>
    <w:r w:rsidR="008D77E9" w:rsidRPr="008D77E9">
      <w:rPr>
        <w:rStyle w:val="PageNumber"/>
      </w:rPr>
      <w:fldChar w:fldCharType="begin"/>
    </w:r>
    <w:r w:rsidR="008D77E9" w:rsidRPr="008D77E9">
      <w:rPr>
        <w:rStyle w:val="PageNumber"/>
      </w:rPr>
      <w:instrText xml:space="preserve"> PAGE   \* MERGEFORMAT </w:instrText>
    </w:r>
    <w:r w:rsidR="008D77E9" w:rsidRPr="008D77E9">
      <w:rPr>
        <w:rStyle w:val="PageNumber"/>
      </w:rPr>
      <w:fldChar w:fldCharType="separate"/>
    </w:r>
    <w:r w:rsidR="00127E1D">
      <w:rPr>
        <w:rStyle w:val="PageNumber"/>
        <w:noProof/>
      </w:rPr>
      <w:t>12</w:t>
    </w:r>
    <w:r w:rsidR="008D77E9" w:rsidRPr="008D77E9">
      <w:rPr>
        <w:rStyle w:val="PageNumber"/>
        <w:noProof/>
      </w:rPr>
      <w:fldChar w:fldCharType="end"/>
    </w:r>
  </w:p>
  <w:p w:rsidR="007E7928" w:rsidRPr="006E2CE9" w:rsidRDefault="007E7928"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C4" w:rsidRDefault="005428C4" w:rsidP="005428C4">
    <w:pPr>
      <w:jc w:val="right"/>
      <w:rPr>
        <w:rStyle w:val="PageNumber"/>
      </w:rPr>
    </w:pPr>
    <w:r>
      <w:rPr>
        <w:rStyle w:val="PageNumber"/>
      </w:rPr>
      <w:t>WIPO/GRTKF/IC/</w:t>
    </w:r>
    <w:r w:rsidR="0012593E">
      <w:rPr>
        <w:rStyle w:val="PageNumber"/>
      </w:rPr>
      <w:t>30</w:t>
    </w:r>
    <w:r>
      <w:rPr>
        <w:rStyle w:val="PageNumber"/>
      </w:rPr>
      <w:t>/4</w:t>
    </w:r>
  </w:p>
  <w:p w:rsidR="005428C4" w:rsidRDefault="00805432" w:rsidP="005428C4">
    <w:pPr>
      <w:pStyle w:val="Header"/>
      <w:jc w:val="right"/>
    </w:pPr>
    <w:r>
      <w:rPr>
        <w:rStyle w:val="PageNumber"/>
      </w:rPr>
      <w:t>ANEXO</w:t>
    </w:r>
  </w:p>
  <w:p w:rsidR="009B6D38" w:rsidRPr="00805432" w:rsidRDefault="009B6D38" w:rsidP="00C050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833ABF"/>
    <w:multiLevelType w:val="hybridMultilevel"/>
    <w:tmpl w:val="14AECB8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0B86C62"/>
    <w:multiLevelType w:val="hybridMultilevel"/>
    <w:tmpl w:val="C610C59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903BD9"/>
    <w:multiLevelType w:val="hybridMultilevel"/>
    <w:tmpl w:val="8F124E94"/>
    <w:lvl w:ilvl="0" w:tplc="AA32F1CA">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5">
    <w:nsid w:val="34C24469"/>
    <w:multiLevelType w:val="hybridMultilevel"/>
    <w:tmpl w:val="674EB932"/>
    <w:lvl w:ilvl="0" w:tplc="D6DC42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A8417C"/>
    <w:multiLevelType w:val="hybridMultilevel"/>
    <w:tmpl w:val="FC086266"/>
    <w:lvl w:ilvl="0" w:tplc="4F0CE0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BE73E9"/>
    <w:multiLevelType w:val="hybridMultilevel"/>
    <w:tmpl w:val="D3F89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86B2C"/>
    <w:multiLevelType w:val="hybridMultilevel"/>
    <w:tmpl w:val="68ECBAAE"/>
    <w:lvl w:ilvl="0" w:tplc="86201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9"/>
  </w:num>
  <w:num w:numId="6">
    <w:abstractNumId w:val="6"/>
  </w:num>
  <w:num w:numId="7">
    <w:abstractNumId w:val="5"/>
  </w:num>
  <w:num w:numId="8">
    <w:abstractNumId w:val="3"/>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10D14"/>
    <w:rsid w:val="000115A4"/>
    <w:rsid w:val="00021494"/>
    <w:rsid w:val="00026B91"/>
    <w:rsid w:val="000274BE"/>
    <w:rsid w:val="00034EA2"/>
    <w:rsid w:val="00043CAA"/>
    <w:rsid w:val="00046426"/>
    <w:rsid w:val="00046C71"/>
    <w:rsid w:val="000578F4"/>
    <w:rsid w:val="00062648"/>
    <w:rsid w:val="00064D56"/>
    <w:rsid w:val="00074BD9"/>
    <w:rsid w:val="00075432"/>
    <w:rsid w:val="000864B9"/>
    <w:rsid w:val="000968ED"/>
    <w:rsid w:val="000A2016"/>
    <w:rsid w:val="000A22E7"/>
    <w:rsid w:val="000B2DD3"/>
    <w:rsid w:val="000B5FB1"/>
    <w:rsid w:val="000C10F7"/>
    <w:rsid w:val="000C28CF"/>
    <w:rsid w:val="000C28FA"/>
    <w:rsid w:val="000D4407"/>
    <w:rsid w:val="000D59F9"/>
    <w:rsid w:val="000D697A"/>
    <w:rsid w:val="000E740E"/>
    <w:rsid w:val="000F219B"/>
    <w:rsid w:val="000F4DC5"/>
    <w:rsid w:val="000F5E56"/>
    <w:rsid w:val="0010411D"/>
    <w:rsid w:val="00105133"/>
    <w:rsid w:val="00111B26"/>
    <w:rsid w:val="00111E98"/>
    <w:rsid w:val="00117286"/>
    <w:rsid w:val="001177CF"/>
    <w:rsid w:val="0012593E"/>
    <w:rsid w:val="001266CF"/>
    <w:rsid w:val="00127E1D"/>
    <w:rsid w:val="00127EE0"/>
    <w:rsid w:val="001362EE"/>
    <w:rsid w:val="00150C3C"/>
    <w:rsid w:val="00151AF8"/>
    <w:rsid w:val="001540A3"/>
    <w:rsid w:val="00154C11"/>
    <w:rsid w:val="00157948"/>
    <w:rsid w:val="00164FA3"/>
    <w:rsid w:val="001742A7"/>
    <w:rsid w:val="001832A6"/>
    <w:rsid w:val="00197B49"/>
    <w:rsid w:val="001B260A"/>
    <w:rsid w:val="001C2B87"/>
    <w:rsid w:val="001D1FED"/>
    <w:rsid w:val="001F6882"/>
    <w:rsid w:val="002154E8"/>
    <w:rsid w:val="002439CA"/>
    <w:rsid w:val="00247A13"/>
    <w:rsid w:val="002634C4"/>
    <w:rsid w:val="002652E4"/>
    <w:rsid w:val="00291F83"/>
    <w:rsid w:val="002928D3"/>
    <w:rsid w:val="00294594"/>
    <w:rsid w:val="002A7A27"/>
    <w:rsid w:val="002B0C42"/>
    <w:rsid w:val="002B45A7"/>
    <w:rsid w:val="002B789C"/>
    <w:rsid w:val="002B79CE"/>
    <w:rsid w:val="002C73B3"/>
    <w:rsid w:val="002D3095"/>
    <w:rsid w:val="002F1FE6"/>
    <w:rsid w:val="002F4E68"/>
    <w:rsid w:val="0030150A"/>
    <w:rsid w:val="00302EB7"/>
    <w:rsid w:val="00303DEB"/>
    <w:rsid w:val="00307A3C"/>
    <w:rsid w:val="00307BF7"/>
    <w:rsid w:val="00312F7F"/>
    <w:rsid w:val="00315897"/>
    <w:rsid w:val="0032078B"/>
    <w:rsid w:val="00327953"/>
    <w:rsid w:val="00333323"/>
    <w:rsid w:val="00335B3C"/>
    <w:rsid w:val="00335FF6"/>
    <w:rsid w:val="00361450"/>
    <w:rsid w:val="00362021"/>
    <w:rsid w:val="00363AFD"/>
    <w:rsid w:val="003673CF"/>
    <w:rsid w:val="00372E4B"/>
    <w:rsid w:val="00377470"/>
    <w:rsid w:val="00383795"/>
    <w:rsid w:val="003845C1"/>
    <w:rsid w:val="00387B1C"/>
    <w:rsid w:val="0039351F"/>
    <w:rsid w:val="00394946"/>
    <w:rsid w:val="003A1075"/>
    <w:rsid w:val="003A1D6C"/>
    <w:rsid w:val="003A6F89"/>
    <w:rsid w:val="003B38C1"/>
    <w:rsid w:val="003B54E9"/>
    <w:rsid w:val="003C199A"/>
    <w:rsid w:val="003C469C"/>
    <w:rsid w:val="003C5E7F"/>
    <w:rsid w:val="003C7E66"/>
    <w:rsid w:val="003D3650"/>
    <w:rsid w:val="003D45CF"/>
    <w:rsid w:val="003F7BE7"/>
    <w:rsid w:val="0041227F"/>
    <w:rsid w:val="004130BC"/>
    <w:rsid w:val="00417EA4"/>
    <w:rsid w:val="00420DFD"/>
    <w:rsid w:val="00423E3E"/>
    <w:rsid w:val="00427AF4"/>
    <w:rsid w:val="00431D6B"/>
    <w:rsid w:val="00432E5C"/>
    <w:rsid w:val="0043454A"/>
    <w:rsid w:val="00437CB5"/>
    <w:rsid w:val="004431FD"/>
    <w:rsid w:val="0044419B"/>
    <w:rsid w:val="00450B24"/>
    <w:rsid w:val="00452195"/>
    <w:rsid w:val="004563B0"/>
    <w:rsid w:val="00457917"/>
    <w:rsid w:val="0046081D"/>
    <w:rsid w:val="004647DA"/>
    <w:rsid w:val="004648C2"/>
    <w:rsid w:val="00474062"/>
    <w:rsid w:val="00475C95"/>
    <w:rsid w:val="00477D6B"/>
    <w:rsid w:val="004842C9"/>
    <w:rsid w:val="00494BC8"/>
    <w:rsid w:val="004B1A32"/>
    <w:rsid w:val="004C1C8D"/>
    <w:rsid w:val="004C603A"/>
    <w:rsid w:val="004E3735"/>
    <w:rsid w:val="004E72B2"/>
    <w:rsid w:val="004F3608"/>
    <w:rsid w:val="005019FF"/>
    <w:rsid w:val="00501FB4"/>
    <w:rsid w:val="00504D8C"/>
    <w:rsid w:val="0051497B"/>
    <w:rsid w:val="00530308"/>
    <w:rsid w:val="0053057A"/>
    <w:rsid w:val="00532037"/>
    <w:rsid w:val="005428C4"/>
    <w:rsid w:val="00560A29"/>
    <w:rsid w:val="005642F9"/>
    <w:rsid w:val="00566D43"/>
    <w:rsid w:val="005753F3"/>
    <w:rsid w:val="00577ADA"/>
    <w:rsid w:val="00583DED"/>
    <w:rsid w:val="00594F73"/>
    <w:rsid w:val="00596F8F"/>
    <w:rsid w:val="005A0E0B"/>
    <w:rsid w:val="005B3437"/>
    <w:rsid w:val="005C6649"/>
    <w:rsid w:val="005F02DD"/>
    <w:rsid w:val="005F743D"/>
    <w:rsid w:val="00605827"/>
    <w:rsid w:val="00612C72"/>
    <w:rsid w:val="00615BE6"/>
    <w:rsid w:val="006174A0"/>
    <w:rsid w:val="00627699"/>
    <w:rsid w:val="0063369E"/>
    <w:rsid w:val="0063412A"/>
    <w:rsid w:val="006362B4"/>
    <w:rsid w:val="006450C3"/>
    <w:rsid w:val="00645F10"/>
    <w:rsid w:val="00646050"/>
    <w:rsid w:val="00652AAE"/>
    <w:rsid w:val="00652D80"/>
    <w:rsid w:val="006573E2"/>
    <w:rsid w:val="006713CA"/>
    <w:rsid w:val="006768AB"/>
    <w:rsid w:val="00676C5C"/>
    <w:rsid w:val="0068074D"/>
    <w:rsid w:val="00683D92"/>
    <w:rsid w:val="006A0ECF"/>
    <w:rsid w:val="006C2688"/>
    <w:rsid w:val="006D353C"/>
    <w:rsid w:val="006E0AB9"/>
    <w:rsid w:val="006E4ECB"/>
    <w:rsid w:val="006E606A"/>
    <w:rsid w:val="006F5F38"/>
    <w:rsid w:val="00702537"/>
    <w:rsid w:val="007052DD"/>
    <w:rsid w:val="007136FD"/>
    <w:rsid w:val="00714701"/>
    <w:rsid w:val="00723315"/>
    <w:rsid w:val="00725EC7"/>
    <w:rsid w:val="00755C05"/>
    <w:rsid w:val="00761B69"/>
    <w:rsid w:val="00763036"/>
    <w:rsid w:val="00770768"/>
    <w:rsid w:val="00776103"/>
    <w:rsid w:val="0078047B"/>
    <w:rsid w:val="00796F6D"/>
    <w:rsid w:val="007A1275"/>
    <w:rsid w:val="007B18AC"/>
    <w:rsid w:val="007B4051"/>
    <w:rsid w:val="007D1613"/>
    <w:rsid w:val="007E043F"/>
    <w:rsid w:val="007E0EC1"/>
    <w:rsid w:val="007E6F48"/>
    <w:rsid w:val="007E7928"/>
    <w:rsid w:val="00803888"/>
    <w:rsid w:val="00805432"/>
    <w:rsid w:val="00810EC7"/>
    <w:rsid w:val="00812419"/>
    <w:rsid w:val="0082351B"/>
    <w:rsid w:val="00830117"/>
    <w:rsid w:val="00835881"/>
    <w:rsid w:val="008669E7"/>
    <w:rsid w:val="00891123"/>
    <w:rsid w:val="0089412A"/>
    <w:rsid w:val="00896D9A"/>
    <w:rsid w:val="008A2FA6"/>
    <w:rsid w:val="008B2CC1"/>
    <w:rsid w:val="008B60B2"/>
    <w:rsid w:val="008B71C3"/>
    <w:rsid w:val="008C46B3"/>
    <w:rsid w:val="008D77E9"/>
    <w:rsid w:val="008F0899"/>
    <w:rsid w:val="009049F1"/>
    <w:rsid w:val="0090731E"/>
    <w:rsid w:val="00916EE2"/>
    <w:rsid w:val="0091731A"/>
    <w:rsid w:val="00924D6D"/>
    <w:rsid w:val="009263A3"/>
    <w:rsid w:val="009403F3"/>
    <w:rsid w:val="00940A02"/>
    <w:rsid w:val="009425C1"/>
    <w:rsid w:val="00944383"/>
    <w:rsid w:val="00963DAF"/>
    <w:rsid w:val="009651E0"/>
    <w:rsid w:val="00966A22"/>
    <w:rsid w:val="0096722F"/>
    <w:rsid w:val="00980843"/>
    <w:rsid w:val="00984BA0"/>
    <w:rsid w:val="009A459E"/>
    <w:rsid w:val="009B3325"/>
    <w:rsid w:val="009B52DF"/>
    <w:rsid w:val="009B6D38"/>
    <w:rsid w:val="009C44EC"/>
    <w:rsid w:val="009E1DBC"/>
    <w:rsid w:val="009E2791"/>
    <w:rsid w:val="009E3F6F"/>
    <w:rsid w:val="009E7D3D"/>
    <w:rsid w:val="009F417E"/>
    <w:rsid w:val="009F499F"/>
    <w:rsid w:val="00A06A05"/>
    <w:rsid w:val="00A073F5"/>
    <w:rsid w:val="00A21AB4"/>
    <w:rsid w:val="00A32F98"/>
    <w:rsid w:val="00A33E15"/>
    <w:rsid w:val="00A3436B"/>
    <w:rsid w:val="00A36C80"/>
    <w:rsid w:val="00A42DAF"/>
    <w:rsid w:val="00A44E2F"/>
    <w:rsid w:val="00A45BD8"/>
    <w:rsid w:val="00A5074C"/>
    <w:rsid w:val="00A50A7B"/>
    <w:rsid w:val="00A51A10"/>
    <w:rsid w:val="00A869B7"/>
    <w:rsid w:val="00A86CBC"/>
    <w:rsid w:val="00A90B88"/>
    <w:rsid w:val="00A95DB5"/>
    <w:rsid w:val="00AB3754"/>
    <w:rsid w:val="00AC03FB"/>
    <w:rsid w:val="00AC205C"/>
    <w:rsid w:val="00AC78B2"/>
    <w:rsid w:val="00AF0A6B"/>
    <w:rsid w:val="00B05A69"/>
    <w:rsid w:val="00B065E0"/>
    <w:rsid w:val="00B10020"/>
    <w:rsid w:val="00B13413"/>
    <w:rsid w:val="00B309E7"/>
    <w:rsid w:val="00B320EE"/>
    <w:rsid w:val="00B330FD"/>
    <w:rsid w:val="00B354E7"/>
    <w:rsid w:val="00B523DC"/>
    <w:rsid w:val="00B57F08"/>
    <w:rsid w:val="00B62EE5"/>
    <w:rsid w:val="00B638E4"/>
    <w:rsid w:val="00B731CE"/>
    <w:rsid w:val="00B82604"/>
    <w:rsid w:val="00B864FF"/>
    <w:rsid w:val="00B872E3"/>
    <w:rsid w:val="00B90946"/>
    <w:rsid w:val="00B96680"/>
    <w:rsid w:val="00B96EF7"/>
    <w:rsid w:val="00B9734B"/>
    <w:rsid w:val="00BA560A"/>
    <w:rsid w:val="00BA7C37"/>
    <w:rsid w:val="00BB29BF"/>
    <w:rsid w:val="00BB3DCB"/>
    <w:rsid w:val="00BB7265"/>
    <w:rsid w:val="00BC3742"/>
    <w:rsid w:val="00BD2CF2"/>
    <w:rsid w:val="00BD5781"/>
    <w:rsid w:val="00BD7A5A"/>
    <w:rsid w:val="00BE66E3"/>
    <w:rsid w:val="00BF46C9"/>
    <w:rsid w:val="00BF7AEF"/>
    <w:rsid w:val="00C0505D"/>
    <w:rsid w:val="00C11BFE"/>
    <w:rsid w:val="00C427C7"/>
    <w:rsid w:val="00C45EFD"/>
    <w:rsid w:val="00C61B17"/>
    <w:rsid w:val="00C64CDE"/>
    <w:rsid w:val="00C71774"/>
    <w:rsid w:val="00C75DCC"/>
    <w:rsid w:val="00C77CF3"/>
    <w:rsid w:val="00C85B47"/>
    <w:rsid w:val="00C90EBD"/>
    <w:rsid w:val="00C91A3D"/>
    <w:rsid w:val="00CA249D"/>
    <w:rsid w:val="00CB2179"/>
    <w:rsid w:val="00CC113C"/>
    <w:rsid w:val="00CC3242"/>
    <w:rsid w:val="00CC7136"/>
    <w:rsid w:val="00CC76F7"/>
    <w:rsid w:val="00CF2C02"/>
    <w:rsid w:val="00CF602A"/>
    <w:rsid w:val="00CF7775"/>
    <w:rsid w:val="00D171F1"/>
    <w:rsid w:val="00D1763D"/>
    <w:rsid w:val="00D27862"/>
    <w:rsid w:val="00D410B7"/>
    <w:rsid w:val="00D4222F"/>
    <w:rsid w:val="00D45252"/>
    <w:rsid w:val="00D56E7D"/>
    <w:rsid w:val="00D6233C"/>
    <w:rsid w:val="00D64398"/>
    <w:rsid w:val="00D71B4D"/>
    <w:rsid w:val="00D8150C"/>
    <w:rsid w:val="00D90623"/>
    <w:rsid w:val="00D93D55"/>
    <w:rsid w:val="00DB2020"/>
    <w:rsid w:val="00DC0245"/>
    <w:rsid w:val="00DC1677"/>
    <w:rsid w:val="00DC37D4"/>
    <w:rsid w:val="00DD45B6"/>
    <w:rsid w:val="00DD4B19"/>
    <w:rsid w:val="00DD5ECF"/>
    <w:rsid w:val="00DE6887"/>
    <w:rsid w:val="00DF3E6D"/>
    <w:rsid w:val="00E040EF"/>
    <w:rsid w:val="00E10918"/>
    <w:rsid w:val="00E13F1F"/>
    <w:rsid w:val="00E20F0E"/>
    <w:rsid w:val="00E335FE"/>
    <w:rsid w:val="00E34EDB"/>
    <w:rsid w:val="00E36F3A"/>
    <w:rsid w:val="00E41937"/>
    <w:rsid w:val="00E46D9D"/>
    <w:rsid w:val="00E5707F"/>
    <w:rsid w:val="00E60A23"/>
    <w:rsid w:val="00E669CF"/>
    <w:rsid w:val="00E70F55"/>
    <w:rsid w:val="00E750CF"/>
    <w:rsid w:val="00E76AE1"/>
    <w:rsid w:val="00E777F1"/>
    <w:rsid w:val="00E81CB6"/>
    <w:rsid w:val="00E92A12"/>
    <w:rsid w:val="00E96CBD"/>
    <w:rsid w:val="00EA2484"/>
    <w:rsid w:val="00EA3C4F"/>
    <w:rsid w:val="00EB1F1F"/>
    <w:rsid w:val="00EB26D0"/>
    <w:rsid w:val="00EC4E49"/>
    <w:rsid w:val="00EC5493"/>
    <w:rsid w:val="00ED3254"/>
    <w:rsid w:val="00ED444C"/>
    <w:rsid w:val="00ED77FB"/>
    <w:rsid w:val="00EE45FA"/>
    <w:rsid w:val="00EF0EFF"/>
    <w:rsid w:val="00F024BD"/>
    <w:rsid w:val="00F039BA"/>
    <w:rsid w:val="00F07EC6"/>
    <w:rsid w:val="00F141A2"/>
    <w:rsid w:val="00F263C8"/>
    <w:rsid w:val="00F32994"/>
    <w:rsid w:val="00F33245"/>
    <w:rsid w:val="00F43377"/>
    <w:rsid w:val="00F61BCA"/>
    <w:rsid w:val="00F61F8B"/>
    <w:rsid w:val="00F66152"/>
    <w:rsid w:val="00F72D7D"/>
    <w:rsid w:val="00F808D9"/>
    <w:rsid w:val="00FA4227"/>
    <w:rsid w:val="00FA6466"/>
    <w:rsid w:val="00FB585D"/>
    <w:rsid w:val="00FC037D"/>
    <w:rsid w:val="00FC5C5D"/>
    <w:rsid w:val="00FD5D77"/>
    <w:rsid w:val="00FD6E92"/>
    <w:rsid w:val="00FE279F"/>
    <w:rsid w:val="00FE470E"/>
    <w:rsid w:val="00FE4A52"/>
    <w:rsid w:val="00FF33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aliases w:val="Footnote ak"/>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aliases w:val="Footnote ak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aliases w:val="Footnote ak"/>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aliases w:val="Footnote ak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FE1D-9064-44DF-B077-2BACA1FF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MORENO PALESTINI Maria Del Pilar</cp:lastModifiedBy>
  <cp:revision>32</cp:revision>
  <cp:lastPrinted>2016-03-17T10:43:00Z</cp:lastPrinted>
  <dcterms:created xsi:type="dcterms:W3CDTF">2016-03-16T13:35:00Z</dcterms:created>
  <dcterms:modified xsi:type="dcterms:W3CDTF">2016-03-17T10:43:00Z</dcterms:modified>
</cp:coreProperties>
</file>