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5872F5" w:rsidTr="00A953E1">
        <w:tc>
          <w:tcPr>
            <w:tcW w:w="4513" w:type="dxa"/>
            <w:tcMar>
              <w:left w:w="0" w:type="dxa"/>
              <w:right w:w="0" w:type="dxa"/>
            </w:tcMar>
          </w:tcPr>
          <w:p w:rsidR="00A953E1" w:rsidRPr="005872F5" w:rsidRDefault="00A953E1">
            <w:pPr>
              <w:rPr>
                <w:lang w:val="es-ES"/>
              </w:rPr>
            </w:pPr>
            <w:bookmarkStart w:id="0" w:name="_GoBack"/>
            <w:bookmarkEnd w:id="0"/>
          </w:p>
        </w:tc>
        <w:tc>
          <w:tcPr>
            <w:tcW w:w="0" w:type="auto"/>
            <w:tcMar>
              <w:left w:w="0" w:type="dxa"/>
              <w:bottom w:w="142" w:type="dxa"/>
              <w:right w:w="0" w:type="dxa"/>
            </w:tcMar>
          </w:tcPr>
          <w:p w:rsidR="00A953E1" w:rsidRPr="005872F5" w:rsidRDefault="001E1A97">
            <w:pPr>
              <w:rPr>
                <w:lang w:val="es-ES"/>
              </w:rPr>
            </w:pPr>
            <w:r w:rsidRPr="005872F5">
              <w:rPr>
                <w:noProof/>
                <w:lang w:val="es-ES" w:eastAsia="en-US"/>
              </w:rPr>
              <w:drawing>
                <wp:inline distT="0" distB="0" distL="0" distR="0" wp14:anchorId="6966E249" wp14:editId="2B03FFB5">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r>
    </w:tbl>
    <w:p w:rsidR="0077228E" w:rsidRPr="005872F5" w:rsidRDefault="0077228E" w:rsidP="0077228E">
      <w:pPr>
        <w:jc w:val="right"/>
        <w:rPr>
          <w:rFonts w:ascii="Arial Black" w:hAnsi="Arial Black"/>
          <w:caps/>
          <w:sz w:val="15"/>
          <w:lang w:val="es-ES"/>
        </w:rPr>
      </w:pPr>
      <w:r w:rsidRPr="005872F5">
        <w:rPr>
          <w:rFonts w:ascii="Arial Black" w:hAnsi="Arial Black"/>
          <w:caps/>
          <w:sz w:val="15"/>
          <w:lang w:val="es-ES"/>
        </w:rPr>
        <w:t>WIPO/GRTKF/IC/2</w:t>
      </w:r>
      <w:r w:rsidR="00036418" w:rsidRPr="005872F5">
        <w:rPr>
          <w:rFonts w:ascii="Arial Black" w:hAnsi="Arial Black"/>
          <w:caps/>
          <w:sz w:val="15"/>
          <w:lang w:val="es-ES"/>
        </w:rPr>
        <w:t>9</w:t>
      </w:r>
      <w:r w:rsidR="001635AA" w:rsidRPr="005872F5">
        <w:rPr>
          <w:rFonts w:ascii="Arial Black" w:hAnsi="Arial Black"/>
          <w:caps/>
          <w:sz w:val="15"/>
          <w:lang w:val="es-ES"/>
        </w:rPr>
        <w:t>/6</w:t>
      </w:r>
    </w:p>
    <w:p w:rsidR="0077228E" w:rsidRPr="005872F5" w:rsidRDefault="0077228E" w:rsidP="0077228E">
      <w:pPr>
        <w:jc w:val="right"/>
        <w:rPr>
          <w:rFonts w:ascii="Arial Black" w:hAnsi="Arial Black"/>
          <w:caps/>
          <w:sz w:val="15"/>
          <w:lang w:val="es-ES"/>
        </w:rPr>
      </w:pPr>
      <w:r w:rsidRPr="005872F5">
        <w:rPr>
          <w:rFonts w:ascii="Arial Black" w:hAnsi="Arial Black"/>
          <w:caps/>
          <w:sz w:val="15"/>
          <w:lang w:val="es-ES"/>
        </w:rPr>
        <w:t xml:space="preserve">ORIGINAL:  </w:t>
      </w:r>
      <w:bookmarkStart w:id="1" w:name="Original"/>
      <w:bookmarkEnd w:id="1"/>
      <w:r w:rsidRPr="005872F5">
        <w:rPr>
          <w:rFonts w:ascii="Arial Black" w:hAnsi="Arial Black"/>
          <w:caps/>
          <w:sz w:val="15"/>
          <w:lang w:val="es-ES"/>
        </w:rPr>
        <w:t>INGLÉS</w:t>
      </w:r>
    </w:p>
    <w:p w:rsidR="0077228E" w:rsidRPr="005872F5" w:rsidRDefault="0077228E" w:rsidP="0077228E">
      <w:pPr>
        <w:jc w:val="right"/>
        <w:rPr>
          <w:rFonts w:ascii="Arial Black" w:hAnsi="Arial Black"/>
          <w:caps/>
          <w:sz w:val="15"/>
          <w:lang w:val="es-ES"/>
        </w:rPr>
      </w:pPr>
      <w:r w:rsidRPr="005872F5">
        <w:rPr>
          <w:rFonts w:ascii="Arial Black" w:hAnsi="Arial Black"/>
          <w:caps/>
          <w:sz w:val="15"/>
          <w:lang w:val="es-ES"/>
        </w:rPr>
        <w:t xml:space="preserve">FECHA:  </w:t>
      </w:r>
      <w:r w:rsidR="00036418" w:rsidRPr="005872F5">
        <w:rPr>
          <w:rFonts w:ascii="Arial Black" w:hAnsi="Arial Black"/>
          <w:caps/>
          <w:sz w:val="15"/>
          <w:lang w:val="es-ES"/>
        </w:rPr>
        <w:t>25</w:t>
      </w:r>
      <w:r w:rsidRPr="005872F5">
        <w:rPr>
          <w:rFonts w:ascii="Arial Black" w:hAnsi="Arial Black"/>
          <w:caps/>
          <w:sz w:val="15"/>
          <w:lang w:val="es-ES"/>
        </w:rPr>
        <w:t xml:space="preserve"> DE </w:t>
      </w:r>
      <w:r w:rsidR="00036418" w:rsidRPr="005872F5">
        <w:rPr>
          <w:rFonts w:ascii="Arial Black" w:hAnsi="Arial Black"/>
          <w:caps/>
          <w:sz w:val="15"/>
          <w:lang w:val="es-ES"/>
        </w:rPr>
        <w:t>ENERO DE 2016</w:t>
      </w:r>
    </w:p>
    <w:p w:rsidR="0077228E" w:rsidRPr="005872F5" w:rsidRDefault="0077228E" w:rsidP="0077228E">
      <w:pPr>
        <w:rPr>
          <w:lang w:val="es-ES"/>
        </w:rPr>
      </w:pPr>
    </w:p>
    <w:p w:rsidR="0077228E" w:rsidRPr="005872F5" w:rsidRDefault="0077228E" w:rsidP="0077228E">
      <w:pPr>
        <w:rPr>
          <w:lang w:val="es-ES"/>
        </w:rPr>
      </w:pPr>
    </w:p>
    <w:p w:rsidR="0077228E" w:rsidRPr="005872F5" w:rsidRDefault="0077228E" w:rsidP="0077228E">
      <w:pPr>
        <w:rPr>
          <w:lang w:val="es-ES"/>
        </w:rPr>
      </w:pPr>
    </w:p>
    <w:p w:rsidR="0077228E" w:rsidRPr="005872F5" w:rsidRDefault="0077228E" w:rsidP="0077228E">
      <w:pPr>
        <w:rPr>
          <w:lang w:val="es-ES"/>
        </w:rPr>
      </w:pPr>
    </w:p>
    <w:p w:rsidR="0077228E" w:rsidRPr="005872F5" w:rsidRDefault="0077228E" w:rsidP="0077228E">
      <w:pPr>
        <w:rPr>
          <w:lang w:val="es-ES"/>
        </w:rPr>
      </w:pPr>
    </w:p>
    <w:p w:rsidR="0077228E" w:rsidRPr="005872F5" w:rsidRDefault="0077228E" w:rsidP="0077228E">
      <w:pPr>
        <w:rPr>
          <w:b/>
          <w:sz w:val="28"/>
          <w:szCs w:val="28"/>
          <w:lang w:val="es-ES"/>
        </w:rPr>
      </w:pPr>
      <w:r w:rsidRPr="005872F5">
        <w:rPr>
          <w:b/>
          <w:sz w:val="28"/>
          <w:szCs w:val="28"/>
          <w:lang w:val="es-ES"/>
        </w:rPr>
        <w:t>Comité Intergubernamental sobre Propiedad Intelectual y Recursos Genéticos, Conocimientos Tradicionales y Folclore</w:t>
      </w:r>
    </w:p>
    <w:p w:rsidR="0077228E" w:rsidRPr="005872F5" w:rsidRDefault="0077228E" w:rsidP="0077228E">
      <w:pPr>
        <w:rPr>
          <w:lang w:val="es-ES"/>
        </w:rPr>
      </w:pPr>
    </w:p>
    <w:p w:rsidR="0077228E" w:rsidRPr="005872F5" w:rsidRDefault="0077228E" w:rsidP="0077228E">
      <w:pPr>
        <w:rPr>
          <w:lang w:val="es-ES"/>
        </w:rPr>
      </w:pPr>
    </w:p>
    <w:p w:rsidR="0077228E" w:rsidRPr="005872F5" w:rsidRDefault="00036418" w:rsidP="0077228E">
      <w:pPr>
        <w:rPr>
          <w:b/>
          <w:sz w:val="24"/>
          <w:szCs w:val="24"/>
          <w:lang w:val="es-ES"/>
        </w:rPr>
      </w:pPr>
      <w:r w:rsidRPr="005872F5">
        <w:rPr>
          <w:b/>
          <w:sz w:val="24"/>
          <w:szCs w:val="24"/>
          <w:lang w:val="es-ES"/>
        </w:rPr>
        <w:t xml:space="preserve">Vigesimonovena </w:t>
      </w:r>
      <w:r w:rsidR="0077228E" w:rsidRPr="005872F5">
        <w:rPr>
          <w:b/>
          <w:sz w:val="24"/>
          <w:szCs w:val="24"/>
          <w:lang w:val="es-ES"/>
        </w:rPr>
        <w:t>sesión</w:t>
      </w:r>
    </w:p>
    <w:p w:rsidR="0077228E" w:rsidRPr="005872F5" w:rsidRDefault="00036418" w:rsidP="0077228E">
      <w:pPr>
        <w:rPr>
          <w:b/>
          <w:sz w:val="24"/>
          <w:szCs w:val="24"/>
          <w:lang w:val="es-ES"/>
        </w:rPr>
      </w:pPr>
      <w:r w:rsidRPr="005872F5">
        <w:rPr>
          <w:b/>
          <w:sz w:val="24"/>
          <w:szCs w:val="24"/>
          <w:lang w:val="es-ES"/>
        </w:rPr>
        <w:t>Ginebra, 15</w:t>
      </w:r>
      <w:r w:rsidR="001635AA" w:rsidRPr="005872F5">
        <w:rPr>
          <w:b/>
          <w:sz w:val="24"/>
          <w:szCs w:val="24"/>
          <w:lang w:val="es-ES"/>
        </w:rPr>
        <w:t xml:space="preserve"> a </w:t>
      </w:r>
      <w:r w:rsidRPr="005872F5">
        <w:rPr>
          <w:b/>
          <w:sz w:val="24"/>
          <w:szCs w:val="24"/>
          <w:lang w:val="es-ES"/>
        </w:rPr>
        <w:t>19</w:t>
      </w:r>
      <w:r w:rsidR="0077228E" w:rsidRPr="005872F5">
        <w:rPr>
          <w:b/>
          <w:sz w:val="24"/>
          <w:szCs w:val="24"/>
          <w:lang w:val="es-ES"/>
        </w:rPr>
        <w:t xml:space="preserve"> de </w:t>
      </w:r>
      <w:r w:rsidR="001635AA" w:rsidRPr="005872F5">
        <w:rPr>
          <w:b/>
          <w:sz w:val="24"/>
          <w:szCs w:val="24"/>
          <w:lang w:val="es-ES"/>
        </w:rPr>
        <w:t xml:space="preserve">febrero </w:t>
      </w:r>
      <w:r w:rsidR="0077228E" w:rsidRPr="005872F5">
        <w:rPr>
          <w:b/>
          <w:sz w:val="24"/>
          <w:szCs w:val="24"/>
          <w:lang w:val="es-ES"/>
        </w:rPr>
        <w:t>de 201</w:t>
      </w:r>
      <w:r w:rsidRPr="005872F5">
        <w:rPr>
          <w:b/>
          <w:sz w:val="24"/>
          <w:szCs w:val="24"/>
          <w:lang w:val="es-ES"/>
        </w:rPr>
        <w:t>6</w:t>
      </w:r>
    </w:p>
    <w:p w:rsidR="0077228E" w:rsidRPr="005872F5" w:rsidRDefault="0077228E" w:rsidP="0077228E">
      <w:pPr>
        <w:rPr>
          <w:lang w:val="es-ES"/>
        </w:rPr>
      </w:pPr>
    </w:p>
    <w:p w:rsidR="0077228E" w:rsidRPr="005872F5" w:rsidRDefault="0077228E" w:rsidP="0077228E">
      <w:pPr>
        <w:rPr>
          <w:lang w:val="es-ES"/>
        </w:rPr>
      </w:pPr>
    </w:p>
    <w:p w:rsidR="0077228E" w:rsidRPr="005872F5" w:rsidRDefault="0077228E" w:rsidP="0077228E">
      <w:pPr>
        <w:rPr>
          <w:sz w:val="24"/>
          <w:szCs w:val="24"/>
          <w:lang w:val="es-ES"/>
        </w:rPr>
      </w:pPr>
    </w:p>
    <w:p w:rsidR="0077228E" w:rsidRPr="005872F5" w:rsidRDefault="0077228E" w:rsidP="0077228E">
      <w:pPr>
        <w:rPr>
          <w:caps/>
          <w:sz w:val="24"/>
          <w:lang w:val="es-ES"/>
        </w:rPr>
      </w:pPr>
      <w:r w:rsidRPr="005872F5">
        <w:rPr>
          <w:caps/>
          <w:sz w:val="24"/>
          <w:lang w:val="es-ES"/>
        </w:rPr>
        <w:t>recomendación conjunta sobre el uso de bases de datos para la protección preventiva de los recursos genéticos y los conocimientos tradicionales asociados a los recursos genéticos</w:t>
      </w:r>
    </w:p>
    <w:p w:rsidR="0077228E" w:rsidRPr="005872F5" w:rsidRDefault="0077228E" w:rsidP="0077228E">
      <w:pPr>
        <w:rPr>
          <w:caps/>
          <w:sz w:val="24"/>
          <w:lang w:val="es-ES"/>
        </w:rPr>
      </w:pPr>
    </w:p>
    <w:p w:rsidR="0077228E" w:rsidRPr="005872F5" w:rsidRDefault="0077228E" w:rsidP="0077228E">
      <w:pPr>
        <w:rPr>
          <w:i/>
          <w:lang w:val="es-ES"/>
        </w:rPr>
      </w:pPr>
      <w:r w:rsidRPr="005872F5">
        <w:rPr>
          <w:i/>
          <w:lang w:val="es-ES"/>
        </w:rPr>
        <w:t xml:space="preserve">Documento presentado por las Delegaciones del Canadá, </w:t>
      </w:r>
      <w:r w:rsidR="00C80FAC" w:rsidRPr="005872F5">
        <w:rPr>
          <w:i/>
          <w:lang w:val="es-ES"/>
        </w:rPr>
        <w:t xml:space="preserve">los </w:t>
      </w:r>
      <w:r w:rsidRPr="005872F5">
        <w:rPr>
          <w:i/>
          <w:lang w:val="es-ES"/>
        </w:rPr>
        <w:t xml:space="preserve">Estados Unidos de América, </w:t>
      </w:r>
      <w:r w:rsidR="00C80FAC" w:rsidRPr="005872F5">
        <w:rPr>
          <w:i/>
          <w:lang w:val="es-ES"/>
        </w:rPr>
        <w:t xml:space="preserve">el </w:t>
      </w:r>
      <w:r w:rsidRPr="005872F5">
        <w:rPr>
          <w:i/>
          <w:lang w:val="es-ES"/>
        </w:rPr>
        <w:t xml:space="preserve">Japón y la República de Corea </w:t>
      </w:r>
    </w:p>
    <w:p w:rsidR="0077228E" w:rsidRPr="005872F5" w:rsidRDefault="0077228E" w:rsidP="0077228E">
      <w:pPr>
        <w:rPr>
          <w:iCs/>
          <w:lang w:val="es-ES"/>
        </w:rPr>
      </w:pPr>
    </w:p>
    <w:p w:rsidR="0077228E" w:rsidRPr="005872F5" w:rsidRDefault="0077228E" w:rsidP="0077228E">
      <w:pPr>
        <w:rPr>
          <w:iCs/>
          <w:lang w:val="es-ES"/>
        </w:rPr>
      </w:pPr>
      <w:bookmarkStart w:id="2" w:name="Prepared"/>
      <w:bookmarkEnd w:id="2"/>
    </w:p>
    <w:p w:rsidR="0077228E" w:rsidRPr="005872F5" w:rsidRDefault="0077228E" w:rsidP="0077228E">
      <w:pPr>
        <w:rPr>
          <w:iCs/>
          <w:lang w:val="es-ES"/>
        </w:rPr>
      </w:pPr>
    </w:p>
    <w:p w:rsidR="0077228E" w:rsidRPr="005872F5" w:rsidRDefault="0077228E" w:rsidP="0077228E">
      <w:pPr>
        <w:rPr>
          <w:iCs/>
          <w:lang w:val="es-ES"/>
        </w:rPr>
      </w:pPr>
    </w:p>
    <w:p w:rsidR="0077228E" w:rsidRPr="005872F5" w:rsidRDefault="0077228E" w:rsidP="0077228E">
      <w:pPr>
        <w:rPr>
          <w:iCs/>
          <w:lang w:val="es-ES"/>
        </w:rPr>
      </w:pPr>
      <w:r w:rsidRPr="005872F5">
        <w:rPr>
          <w:iCs/>
          <w:lang w:val="es-ES"/>
        </w:rPr>
        <w:t>INTRODUCCIÓN</w:t>
      </w:r>
    </w:p>
    <w:p w:rsidR="0077228E" w:rsidRPr="005872F5" w:rsidRDefault="0077228E" w:rsidP="0077228E">
      <w:pPr>
        <w:rPr>
          <w:iCs/>
          <w:lang w:val="es-ES"/>
        </w:rPr>
      </w:pPr>
    </w:p>
    <w:p w:rsidR="0077228E" w:rsidRPr="005872F5" w:rsidRDefault="0077228E" w:rsidP="0077228E">
      <w:pPr>
        <w:pStyle w:val="ONUMFS"/>
        <w:numPr>
          <w:ilvl w:val="0"/>
          <w:numId w:val="0"/>
        </w:numPr>
        <w:rPr>
          <w:lang w:val="es-ES"/>
        </w:rPr>
      </w:pPr>
      <w:r w:rsidRPr="005872F5">
        <w:rPr>
          <w:lang w:val="es-ES"/>
        </w:rPr>
        <w:t>1.</w:t>
      </w:r>
      <w:r w:rsidRPr="005872F5">
        <w:rPr>
          <w:lang w:val="es-ES"/>
        </w:rPr>
        <w:tab/>
        <w:t xml:space="preserve">El </w:t>
      </w:r>
      <w:r w:rsidR="00D16146" w:rsidRPr="005872F5">
        <w:rPr>
          <w:lang w:val="es-ES"/>
        </w:rPr>
        <w:t>22</w:t>
      </w:r>
      <w:r w:rsidRPr="005872F5">
        <w:rPr>
          <w:lang w:val="es-ES"/>
        </w:rPr>
        <w:t xml:space="preserve"> de </w:t>
      </w:r>
      <w:r w:rsidR="00DC2835" w:rsidRPr="005872F5">
        <w:rPr>
          <w:lang w:val="es-ES"/>
        </w:rPr>
        <w:t xml:space="preserve">enero </w:t>
      </w:r>
      <w:r w:rsidRPr="005872F5">
        <w:rPr>
          <w:lang w:val="es-ES"/>
        </w:rPr>
        <w:t>de 201</w:t>
      </w:r>
      <w:r w:rsidR="00D16146" w:rsidRPr="005872F5">
        <w:rPr>
          <w:lang w:val="es-ES"/>
        </w:rPr>
        <w:t>6</w:t>
      </w:r>
      <w:r w:rsidRPr="005872F5">
        <w:rPr>
          <w:lang w:val="es-ES"/>
        </w:rPr>
        <w:t xml:space="preserve">, la Oficina Internacional de la Organización Mundial de la Propiedad Intelectual (OMPI) recibió una petición de la </w:t>
      </w:r>
      <w:r w:rsidR="00DC2835" w:rsidRPr="005872F5">
        <w:rPr>
          <w:lang w:val="es-ES"/>
        </w:rPr>
        <w:t xml:space="preserve">Misión </w:t>
      </w:r>
      <w:r w:rsidR="00D16146" w:rsidRPr="005872F5">
        <w:rPr>
          <w:lang w:val="es-ES"/>
        </w:rPr>
        <w:t xml:space="preserve">Permanente </w:t>
      </w:r>
      <w:r w:rsidR="00DC2835" w:rsidRPr="005872F5">
        <w:rPr>
          <w:lang w:val="es-ES"/>
        </w:rPr>
        <w:t xml:space="preserve">de los Estados Unidos de América ante la </w:t>
      </w:r>
      <w:r w:rsidR="00D16146" w:rsidRPr="005872F5">
        <w:rPr>
          <w:lang w:val="es-ES"/>
        </w:rPr>
        <w:t>Organización Mundial del Comercio (OMC)</w:t>
      </w:r>
      <w:r w:rsidRPr="005872F5">
        <w:rPr>
          <w:lang w:val="es-ES"/>
        </w:rPr>
        <w:t xml:space="preserve">, en nombre de las Delegaciones del Canadá, </w:t>
      </w:r>
      <w:r w:rsidR="00C80FAC" w:rsidRPr="005872F5">
        <w:rPr>
          <w:lang w:val="es-ES"/>
        </w:rPr>
        <w:t xml:space="preserve">los </w:t>
      </w:r>
      <w:r w:rsidRPr="005872F5">
        <w:rPr>
          <w:lang w:val="es-ES"/>
        </w:rPr>
        <w:t>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WIPO/GRTKF/IC/2</w:t>
      </w:r>
      <w:r w:rsidR="00D16146" w:rsidRPr="005872F5">
        <w:rPr>
          <w:lang w:val="es-ES"/>
        </w:rPr>
        <w:t>8/8</w:t>
      </w:r>
      <w:r w:rsidRPr="005872F5">
        <w:rPr>
          <w:lang w:val="es-ES"/>
        </w:rPr>
        <w:t>, vuelva a someterse a debate como documento de</w:t>
      </w:r>
      <w:r w:rsidR="00DC2835" w:rsidRPr="005872F5">
        <w:rPr>
          <w:lang w:val="es-ES"/>
        </w:rPr>
        <w:t xml:space="preserve"> trabajo </w:t>
      </w:r>
      <w:r w:rsidRPr="005872F5">
        <w:rPr>
          <w:lang w:val="es-ES"/>
        </w:rPr>
        <w:t xml:space="preserve">de la </w:t>
      </w:r>
      <w:r w:rsidR="00D16146" w:rsidRPr="005872F5">
        <w:rPr>
          <w:lang w:val="es-ES"/>
        </w:rPr>
        <w:t xml:space="preserve">vigesimonovena </w:t>
      </w:r>
      <w:r w:rsidRPr="005872F5">
        <w:rPr>
          <w:lang w:val="es-ES"/>
        </w:rPr>
        <w:t>sesión del Comité Intergubernamental sobre Propiedad Intelectual y Recursos Genéticos, Conocimientos Tradicionales y Folclore (CIG)</w:t>
      </w:r>
      <w:r w:rsidR="00D16146" w:rsidRPr="005872F5">
        <w:rPr>
          <w:lang w:val="es-ES"/>
        </w:rPr>
        <w:t xml:space="preserve"> en el marco del punto del orden del día “Recursos genéticos”.</w:t>
      </w:r>
    </w:p>
    <w:p w:rsidR="0077228E" w:rsidRPr="005872F5" w:rsidRDefault="0077228E" w:rsidP="0077228E">
      <w:pPr>
        <w:pStyle w:val="ONUMFS"/>
        <w:numPr>
          <w:ilvl w:val="0"/>
          <w:numId w:val="0"/>
        </w:numPr>
        <w:rPr>
          <w:lang w:val="es-ES"/>
        </w:rPr>
      </w:pPr>
      <w:r w:rsidRPr="005872F5">
        <w:rPr>
          <w:lang w:val="es-ES"/>
        </w:rPr>
        <w:t>2.</w:t>
      </w:r>
      <w:r w:rsidRPr="005872F5">
        <w:rPr>
          <w:lang w:val="es-ES"/>
        </w:rPr>
        <w:tab/>
        <w:t xml:space="preserve">Como consecuencia de la dicha petición, </w:t>
      </w:r>
      <w:r w:rsidR="00C80FAC" w:rsidRPr="005872F5">
        <w:rPr>
          <w:lang w:val="es-ES"/>
        </w:rPr>
        <w:t>se reproduce</w:t>
      </w:r>
      <w:r w:rsidRPr="005872F5">
        <w:rPr>
          <w:lang w:val="es-ES"/>
        </w:rPr>
        <w:t xml:space="preserve"> en el Anexo del presente documento la propuesta mencionada.</w:t>
      </w:r>
    </w:p>
    <w:p w:rsidR="0077228E" w:rsidRPr="005872F5" w:rsidRDefault="0077228E" w:rsidP="0077228E">
      <w:pPr>
        <w:pStyle w:val="ONUMFS"/>
        <w:numPr>
          <w:ilvl w:val="0"/>
          <w:numId w:val="0"/>
        </w:numPr>
        <w:ind w:left="5533"/>
        <w:rPr>
          <w:i/>
          <w:lang w:val="es-ES"/>
        </w:rPr>
      </w:pPr>
      <w:r w:rsidRPr="005872F5">
        <w:rPr>
          <w:i/>
          <w:lang w:val="es-ES"/>
        </w:rPr>
        <w:t>3.</w:t>
      </w:r>
      <w:r w:rsidRPr="005872F5">
        <w:rPr>
          <w:i/>
          <w:lang w:val="es-ES"/>
        </w:rPr>
        <w:tab/>
        <w:t>Se invita al Comité a tomar nota de la propuesta contenida en el Anexo del presente documento y a examinar su contenido.</w:t>
      </w:r>
    </w:p>
    <w:p w:rsidR="0077228E" w:rsidRPr="005872F5" w:rsidRDefault="0077228E" w:rsidP="0077228E">
      <w:pPr>
        <w:pStyle w:val="ONUMFS"/>
        <w:numPr>
          <w:ilvl w:val="0"/>
          <w:numId w:val="0"/>
        </w:numPr>
        <w:ind w:left="5533"/>
        <w:rPr>
          <w:lang w:val="es-ES"/>
        </w:rPr>
        <w:sectPr w:rsidR="0077228E" w:rsidRPr="005872F5" w:rsidSect="0077228E">
          <w:headerReference w:type="first" r:id="rId10"/>
          <w:pgSz w:w="11907" w:h="16840" w:code="9"/>
          <w:pgMar w:top="567" w:right="1134" w:bottom="1418" w:left="1418" w:header="510" w:footer="1021" w:gutter="0"/>
          <w:cols w:space="720"/>
          <w:docGrid w:linePitch="299"/>
        </w:sectPr>
      </w:pPr>
      <w:r w:rsidRPr="005872F5">
        <w:rPr>
          <w:lang w:val="es-ES"/>
        </w:rPr>
        <w:t>[Sigue el Anexo]</w:t>
      </w:r>
    </w:p>
    <w:p w:rsidR="0077228E" w:rsidRPr="005872F5" w:rsidRDefault="0077228E" w:rsidP="0077228E">
      <w:pPr>
        <w:rPr>
          <w:caps/>
          <w:sz w:val="24"/>
          <w:lang w:val="es-ES"/>
        </w:rPr>
      </w:pPr>
    </w:p>
    <w:p w:rsidR="0077228E" w:rsidRPr="005872F5" w:rsidRDefault="0077228E" w:rsidP="0077228E">
      <w:pPr>
        <w:rPr>
          <w:caps/>
          <w:sz w:val="24"/>
          <w:lang w:val="es-ES"/>
        </w:rPr>
      </w:pPr>
      <w:r w:rsidRPr="005872F5">
        <w:rPr>
          <w:caps/>
          <w:sz w:val="24"/>
          <w:lang w:val="es-ES"/>
        </w:rPr>
        <w:t>recomendación conjunta sobre el uso de bases de datos para la protección preventiva de los recursos genéticos y los conocimientos tradicionales asociados a los recursos genéticos</w:t>
      </w:r>
    </w:p>
    <w:p w:rsidR="0077228E" w:rsidRPr="005872F5" w:rsidRDefault="0077228E" w:rsidP="0077228E">
      <w:pPr>
        <w:rPr>
          <w:caps/>
          <w:sz w:val="24"/>
          <w:lang w:val="es-ES"/>
        </w:rPr>
      </w:pPr>
    </w:p>
    <w:p w:rsidR="0077228E" w:rsidRPr="005872F5" w:rsidRDefault="0077228E" w:rsidP="0077228E">
      <w:pPr>
        <w:pStyle w:val="ONUMFS"/>
        <w:numPr>
          <w:ilvl w:val="0"/>
          <w:numId w:val="0"/>
        </w:numPr>
        <w:spacing w:after="0"/>
        <w:rPr>
          <w:lang w:val="es-ES"/>
        </w:rPr>
      </w:pPr>
      <w:r w:rsidRPr="005872F5">
        <w:rPr>
          <w:lang w:val="es-ES"/>
        </w:rPr>
        <w:t>El Comité Intergubernamental sobre Propiedad Intelectual y Recursos Genéticos, Conocimientos Tradicionales y Folclore, y la Asamblea General de la Organización Mundial de la Propiedad Intelectual</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r w:rsidRPr="005872F5">
        <w:rPr>
          <w:i/>
          <w:lang w:val="es-ES"/>
        </w:rPr>
        <w:t>Reafirmando</w:t>
      </w:r>
      <w:r w:rsidRPr="005872F5">
        <w:rPr>
          <w:lang w:val="es-ES"/>
        </w:rPr>
        <w:t xml:space="preserve"> el importante valor económico, científico y comercial de los recursos genéticos y los conocimientos tradicionales asociados a los recursos genéticos;</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r w:rsidRPr="005872F5">
        <w:rPr>
          <w:i/>
          <w:lang w:val="es-ES"/>
        </w:rPr>
        <w:t>Reconociendo</w:t>
      </w:r>
      <w:r w:rsidRPr="005872F5">
        <w:rPr>
          <w:lang w:val="es-ES"/>
        </w:rPr>
        <w:t xml:space="preserve"> la importante contribución del </w:t>
      </w:r>
      <w:r w:rsidRPr="005872F5">
        <w:rPr>
          <w:snapToGrid w:val="0"/>
          <w:lang w:val="es-ES"/>
        </w:rPr>
        <w:t>sistema de patentes</w:t>
      </w:r>
      <w:r w:rsidRPr="005872F5">
        <w:rPr>
          <w:lang w:val="es-ES"/>
        </w:rPr>
        <w:t xml:space="preserve"> a la investigación y el desarrollo científico, la innovación y el desarrollo económico:</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r w:rsidRPr="005872F5">
        <w:rPr>
          <w:i/>
          <w:lang w:val="es-ES"/>
        </w:rPr>
        <w:t>Reconociendo</w:t>
      </w:r>
      <w:r w:rsidRPr="005872F5">
        <w:rPr>
          <w:lang w:val="es-ES"/>
        </w:rPr>
        <w:t xml:space="preserve"> la complementariedad entre el </w:t>
      </w:r>
      <w:r w:rsidRPr="005872F5">
        <w:rPr>
          <w:snapToGrid w:val="0"/>
          <w:lang w:val="es-ES"/>
        </w:rPr>
        <w:t>sistema de patentes</w:t>
      </w:r>
      <w:r w:rsidRPr="005872F5">
        <w:rPr>
          <w:lang w:val="es-ES"/>
        </w:rPr>
        <w:t xml:space="preserve"> y el Convenio sobre la Diversidad Biológica;</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r w:rsidRPr="005872F5">
        <w:rPr>
          <w:i/>
          <w:lang w:val="es-ES"/>
        </w:rPr>
        <w:t>Subrayando</w:t>
      </w:r>
      <w:r w:rsidRPr="005872F5">
        <w:rPr>
          <w:lang w:val="es-ES"/>
        </w:rPr>
        <w:t xml:space="preserve"> la necesidad de impedir que se concedan por error patentes sobre invenciones relacionadas con los recursos genéticos y los conocimientos tradicionales asociados a los recursos genéticos;</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snapToGrid w:val="0"/>
          <w:szCs w:val="22"/>
          <w:lang w:val="es-ES"/>
        </w:rPr>
      </w:pPr>
      <w:r w:rsidRPr="005872F5">
        <w:rPr>
          <w:i/>
          <w:lang w:val="es-ES"/>
        </w:rPr>
        <w:t>Recomienda</w:t>
      </w:r>
      <w:r w:rsidRPr="005872F5">
        <w:rPr>
          <w:lang w:val="es-ES"/>
        </w:rPr>
        <w:t xml:space="preserve"> que cada Estado miembro y la Oficina Internacional de la OMPI consideren la utilización de la presente Recomendación, previamente aprobada por el </w:t>
      </w:r>
      <w:r w:rsidRPr="005872F5">
        <w:rPr>
          <w:snapToGrid w:val="0"/>
          <w:szCs w:val="22"/>
          <w:lang w:val="es-ES"/>
        </w:rPr>
        <w:t>Comité Intergubernamental sobre Propiedad Intelectual y Recursos Genéticos, Conocimientos Tradicionales y Folclore, en tanto que directrices para el establecimiento, mejora y utilización de bases de datos para la protección preventiva de los recursos genéticos y los conocimientos tradicionales asociados a los recursos genéticos.</w:t>
      </w: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numPr>
          <w:ilvl w:val="0"/>
          <w:numId w:val="0"/>
        </w:numPr>
        <w:spacing w:after="0"/>
        <w:rPr>
          <w:snapToGrid w:val="0"/>
          <w:szCs w:val="22"/>
          <w:lang w:val="es-ES"/>
        </w:rPr>
      </w:pPr>
      <w:r w:rsidRPr="005872F5">
        <w:rPr>
          <w:snapToGrid w:val="0"/>
          <w:szCs w:val="22"/>
          <w:lang w:val="es-ES"/>
        </w:rPr>
        <w:t>I.</w:t>
      </w:r>
      <w:r w:rsidRPr="005872F5">
        <w:rPr>
          <w:snapToGrid w:val="0"/>
          <w:szCs w:val="22"/>
          <w:lang w:val="es-ES"/>
        </w:rPr>
        <w:tab/>
        <w:t>INTRODUCCIÓN</w:t>
      </w: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spacing w:after="0"/>
        <w:rPr>
          <w:snapToGrid w:val="0"/>
          <w:szCs w:val="22"/>
          <w:lang w:val="es-ES"/>
        </w:rPr>
      </w:pPr>
      <w:r w:rsidRPr="005872F5">
        <w:rPr>
          <w:snapToGrid w:val="0"/>
          <w:szCs w:val="22"/>
          <w:lang w:val="es-ES"/>
        </w:rPr>
        <w:t xml:space="preserve">La </w:t>
      </w:r>
      <w:r w:rsidRPr="005872F5">
        <w:rPr>
          <w:lang w:val="es-ES"/>
        </w:rPr>
        <w:t>concesión</w:t>
      </w:r>
      <w:r w:rsidRPr="005872F5">
        <w:rPr>
          <w:snapToGrid w:val="0"/>
          <w:szCs w:val="22"/>
          <w:lang w:val="es-ES"/>
        </w:rPr>
        <w:t xml:space="preserve"> de patentes por error ha sido señalada como una cuestión importante en los debates celebrados en la OMPI y en la OMC.</w:t>
      </w: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spacing w:after="0"/>
        <w:rPr>
          <w:snapToGrid w:val="0"/>
          <w:szCs w:val="22"/>
          <w:lang w:val="es-ES"/>
        </w:rPr>
      </w:pPr>
      <w:r w:rsidRPr="005872F5">
        <w:rPr>
          <w:snapToGrid w:val="0"/>
          <w:szCs w:val="22"/>
          <w:lang w:val="es-ES"/>
        </w:rPr>
        <w:t>La concesión de patentes por error puede ser abordada eficazmente mejorando las bases de datos que se utilizan en las búsquedas del estado de la técnica</w:t>
      </w:r>
      <w:r w:rsidR="00DF54B3" w:rsidRPr="005872F5">
        <w:rPr>
          <w:snapToGrid w:val="0"/>
          <w:szCs w:val="22"/>
          <w:lang w:val="es-ES"/>
        </w:rPr>
        <w:t xml:space="preserve"> o material de referencia</w:t>
      </w:r>
      <w:r w:rsidR="00DF54B3" w:rsidRPr="005872F5">
        <w:rPr>
          <w:rStyle w:val="FootnoteReference"/>
          <w:snapToGrid w:val="0"/>
          <w:szCs w:val="22"/>
          <w:lang w:val="es-ES"/>
        </w:rPr>
        <w:footnoteReference w:id="2"/>
      </w:r>
      <w:r w:rsidRPr="005872F5">
        <w:rPr>
          <w:snapToGrid w:val="0"/>
          <w:szCs w:val="22"/>
          <w:lang w:val="es-ES"/>
        </w:rPr>
        <w:t xml:space="preserve"> para que en ellas se puedan almacenar datos relativos a los recursos genéticos y los conocimientos tradicionales </w:t>
      </w:r>
      <w:r w:rsidR="003E27D4" w:rsidRPr="005872F5">
        <w:rPr>
          <w:snapToGrid w:val="0"/>
          <w:szCs w:val="22"/>
          <w:lang w:val="es-ES"/>
        </w:rPr>
        <w:t xml:space="preserve">no secretos </w:t>
      </w:r>
      <w:r w:rsidRPr="005872F5">
        <w:rPr>
          <w:snapToGrid w:val="0"/>
          <w:szCs w:val="22"/>
          <w:lang w:val="es-ES"/>
        </w:rPr>
        <w:t>asociados a los recursos genéticos, y utilizando con mayor eficacia determinados sistemas institucionales como los sistemas de suministro de información y el sistema de invalidación por vía judicial.</w:t>
      </w: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spacing w:after="0"/>
        <w:rPr>
          <w:snapToGrid w:val="0"/>
          <w:szCs w:val="22"/>
          <w:lang w:val="es-ES"/>
        </w:rPr>
      </w:pPr>
      <w:r w:rsidRPr="005872F5">
        <w:rPr>
          <w:snapToGrid w:val="0"/>
          <w:szCs w:val="22"/>
          <w:lang w:val="es-ES"/>
        </w:rPr>
        <w:t xml:space="preserve">Un sistema de búsqueda centralizada en las bases de datos ayudará a los examinadores a realizar más eficazmente las búsquedas del estado de la técnica </w:t>
      </w:r>
      <w:r w:rsidR="003E27D4" w:rsidRPr="005872F5">
        <w:rPr>
          <w:snapToGrid w:val="0"/>
          <w:szCs w:val="22"/>
          <w:lang w:val="es-ES"/>
        </w:rPr>
        <w:t xml:space="preserve">o material de referencia </w:t>
      </w:r>
      <w:r w:rsidRPr="005872F5">
        <w:rPr>
          <w:snapToGrid w:val="0"/>
          <w:szCs w:val="22"/>
          <w:lang w:val="es-ES"/>
        </w:rPr>
        <w:t xml:space="preserve">relacionadas con los recursos genéticos y los conocimientos tradicionales </w:t>
      </w:r>
      <w:r w:rsidR="003E27D4" w:rsidRPr="005872F5">
        <w:rPr>
          <w:snapToGrid w:val="0"/>
          <w:szCs w:val="22"/>
          <w:lang w:val="es-ES"/>
        </w:rPr>
        <w:t xml:space="preserve">no secretos </w:t>
      </w:r>
      <w:r w:rsidRPr="005872F5">
        <w:rPr>
          <w:snapToGrid w:val="0"/>
          <w:szCs w:val="22"/>
          <w:lang w:val="es-ES"/>
        </w:rPr>
        <w:t>asociados a los recursos genéticos, además de impedir el acceso de terceros al contenido de las bases de datos del sistema de búsqueda centralizada.</w:t>
      </w: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numPr>
          <w:ilvl w:val="0"/>
          <w:numId w:val="0"/>
        </w:numPr>
        <w:spacing w:after="0"/>
        <w:rPr>
          <w:snapToGrid w:val="0"/>
          <w:szCs w:val="22"/>
          <w:lang w:val="es-ES"/>
        </w:rPr>
      </w:pPr>
    </w:p>
    <w:p w:rsidR="0077228E" w:rsidRPr="005872F5" w:rsidRDefault="0077228E" w:rsidP="0077228E">
      <w:pPr>
        <w:pStyle w:val="ONUMFS"/>
        <w:numPr>
          <w:ilvl w:val="0"/>
          <w:numId w:val="0"/>
        </w:numPr>
        <w:spacing w:after="0"/>
        <w:ind w:left="567" w:hanging="567"/>
        <w:rPr>
          <w:snapToGrid w:val="0"/>
          <w:szCs w:val="22"/>
          <w:lang w:val="es-ES"/>
        </w:rPr>
      </w:pPr>
      <w:r w:rsidRPr="005872F5">
        <w:rPr>
          <w:snapToGrid w:val="0"/>
          <w:szCs w:val="22"/>
          <w:lang w:val="es-ES"/>
        </w:rPr>
        <w:lastRenderedPageBreak/>
        <w:t>II.</w:t>
      </w:r>
      <w:r w:rsidRPr="005872F5">
        <w:rPr>
          <w:snapToGrid w:val="0"/>
          <w:szCs w:val="22"/>
          <w:lang w:val="es-ES"/>
        </w:rPr>
        <w:tab/>
        <w:t>ESTRUCTURA DEL SISTEMA DE BÚSQUEDA CENTRALIZADA EN LAS BASES DE DATOS</w:t>
      </w:r>
    </w:p>
    <w:p w:rsidR="0077228E" w:rsidRPr="005872F5" w:rsidRDefault="0077228E" w:rsidP="0077228E">
      <w:pPr>
        <w:pStyle w:val="ONUMFS"/>
        <w:numPr>
          <w:ilvl w:val="0"/>
          <w:numId w:val="0"/>
        </w:numPr>
        <w:spacing w:after="0"/>
        <w:ind w:left="567" w:hanging="567"/>
        <w:rPr>
          <w:snapToGrid w:val="0"/>
          <w:szCs w:val="22"/>
          <w:lang w:val="es-ES"/>
        </w:rPr>
      </w:pPr>
    </w:p>
    <w:p w:rsidR="0077228E" w:rsidRPr="005872F5" w:rsidRDefault="0077228E" w:rsidP="0077228E">
      <w:pPr>
        <w:pStyle w:val="ONUMFS"/>
        <w:spacing w:after="0"/>
        <w:rPr>
          <w:lang w:val="es-ES"/>
        </w:rPr>
      </w:pPr>
      <w:r w:rsidRPr="005872F5">
        <w:rPr>
          <w:lang w:val="es-ES"/>
        </w:rPr>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77228E" w:rsidRPr="005872F5" w:rsidRDefault="0077228E" w:rsidP="0077228E">
      <w:pPr>
        <w:pStyle w:val="ONUMFS"/>
        <w:numPr>
          <w:ilvl w:val="0"/>
          <w:numId w:val="0"/>
        </w:numPr>
        <w:spacing w:after="0"/>
        <w:rPr>
          <w:lang w:val="es-ES"/>
        </w:rPr>
      </w:pPr>
    </w:p>
    <w:p w:rsidR="0077228E" w:rsidRPr="005872F5" w:rsidRDefault="0077228E" w:rsidP="00D47B95">
      <w:pPr>
        <w:pStyle w:val="ONUMFS"/>
        <w:spacing w:after="0"/>
        <w:rPr>
          <w:lang w:val="es-ES"/>
        </w:rPr>
      </w:pPr>
      <w:r w:rsidRPr="005872F5">
        <w:rPr>
          <w:lang w:val="es-ES"/>
        </w:rPr>
        <w:t xml:space="preserve">Los Estados participantes, miembros de la OMPI, compilarán, como estimen necesario, información en sus respectivos territorios sobre los recursos genéticos y los conocimientos tradicionales </w:t>
      </w:r>
      <w:r w:rsidR="00F02982" w:rsidRPr="005872F5">
        <w:rPr>
          <w:lang w:val="es-ES"/>
        </w:rPr>
        <w:t xml:space="preserve">no secretos </w:t>
      </w:r>
      <w:r w:rsidRPr="005872F5">
        <w:rPr>
          <w:lang w:val="es-ES"/>
        </w:rPr>
        <w:t>asociados a los recursos genéticos,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F02982" w:rsidRPr="005872F5">
        <w:rPr>
          <w:lang w:val="es-ES"/>
        </w:rPr>
        <w:t xml:space="preserve">  Al elaborar las bases de datos nacionales, los Estados miembros deberán consultar con los correspondientes sectores indígenas interesados en el territorio antes de poner en las bases de datos los conocimientos tradicionales y los recursos genéticos de las tierras tribales.  </w:t>
      </w:r>
      <w:r w:rsidRPr="005872F5">
        <w:rPr>
          <w:lang w:val="es-ES"/>
        </w:rPr>
        <w:t>En lo que atañe a</w:t>
      </w:r>
      <w:r w:rsidR="00CE5DDD" w:rsidRPr="005872F5">
        <w:rPr>
          <w:lang w:val="es-ES"/>
        </w:rPr>
        <w:t xml:space="preserve"> </w:t>
      </w:r>
      <w:r w:rsidRPr="005872F5">
        <w:rPr>
          <w:lang w:val="es-ES"/>
        </w:rPr>
        <w:t>l</w:t>
      </w:r>
      <w:r w:rsidR="00CE5DDD" w:rsidRPr="005872F5">
        <w:rPr>
          <w:lang w:val="es-ES"/>
        </w:rPr>
        <w:t>a estructura</w:t>
      </w:r>
      <w:r w:rsidRPr="005872F5">
        <w:rPr>
          <w:lang w:val="es-ES"/>
        </w:rPr>
        <w:t xml:space="preserve"> de las bases de datos, la OMPI debería proporcionar un tipo de </w:t>
      </w:r>
      <w:r w:rsidR="003D61EA" w:rsidRPr="005872F5">
        <w:rPr>
          <w:lang w:val="es-ES"/>
        </w:rPr>
        <w:t>formato</w:t>
      </w:r>
      <w:r w:rsidR="00CE5DDD" w:rsidRPr="005872F5">
        <w:rPr>
          <w:lang w:val="es-ES"/>
        </w:rPr>
        <w:t xml:space="preserve"> básic</w:t>
      </w:r>
      <w:r w:rsidR="003D61EA" w:rsidRPr="005872F5">
        <w:rPr>
          <w:lang w:val="es-ES"/>
        </w:rPr>
        <w:t>o</w:t>
      </w:r>
      <w:r w:rsidRPr="005872F5">
        <w:rPr>
          <w:lang w:val="es-ES"/>
        </w:rPr>
        <w:t xml:space="preserve"> para inscribir datos en las bases</w:t>
      </w:r>
      <w:r w:rsidR="00D47B95" w:rsidRPr="005872F5">
        <w:rPr>
          <w:lang w:val="es-ES"/>
        </w:rPr>
        <w:t>, teniendo en cuenta que la modalidad admisible de estado de la técnica o material de referencia (por ejemplo, la forma escrita/oral) podrá variar con arreglo a la legislación y la práctica de patentes de cada país</w:t>
      </w:r>
      <w:r w:rsidRPr="005872F5">
        <w:rPr>
          <w:lang w:val="es-ES"/>
        </w:rPr>
        <w:t>.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w:t>
      </w:r>
      <w:r w:rsidR="00CE5DDD" w:rsidRPr="005872F5">
        <w:rPr>
          <w:lang w:val="es-ES"/>
        </w:rPr>
        <w:t xml:space="preserve">  En la labor ulterior del CIG se podrá incluir la elaboraci</w:t>
      </w:r>
      <w:r w:rsidR="00FF11C3" w:rsidRPr="005872F5">
        <w:rPr>
          <w:lang w:val="es-ES"/>
        </w:rPr>
        <w:t xml:space="preserve">ón de un formato </w:t>
      </w:r>
      <w:r w:rsidR="00CE5DDD" w:rsidRPr="005872F5">
        <w:rPr>
          <w:lang w:val="es-ES"/>
        </w:rPr>
        <w:t>uniforme e inter</w:t>
      </w:r>
      <w:r w:rsidR="00FF11C3" w:rsidRPr="005872F5">
        <w:rPr>
          <w:lang w:val="es-ES"/>
        </w:rPr>
        <w:t>operativo</w:t>
      </w:r>
      <w:r w:rsidR="00CE5DDD" w:rsidRPr="005872F5">
        <w:rPr>
          <w:lang w:val="es-ES"/>
        </w:rPr>
        <w:t xml:space="preserve"> para la información contenida en la base de datos.</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El portal de la OMPI dispondrá de dos funciones básicas:  i) una función que permita al examinador acceder directamente a las bases de datos de los Estados participantes, y ii) una función que permita al examinador recuperar datos de las bases de datos a las que ha entrado.</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 xml:space="preserve">Si bien es cierto que los idiomas empleados en las bases de datos serán diferentes, es posible solucionar ese problema.  Por ejemplo, el nombre y la breve descripción de cada recurso genético pueden (y deben) ser traducidos al inglés e inscritos en la base de datos </w:t>
      </w:r>
      <w:r w:rsidRPr="005872F5">
        <w:rPr>
          <w:lang w:val="es-ES"/>
        </w:rPr>
        <w:lastRenderedPageBreak/>
        <w:t>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77228E" w:rsidRPr="005872F5" w:rsidRDefault="0077228E" w:rsidP="00ED30E8">
      <w:pPr>
        <w:pStyle w:val="ONUMFS"/>
        <w:widowControl w:val="0"/>
        <w:numPr>
          <w:ilvl w:val="0"/>
          <w:numId w:val="0"/>
        </w:numPr>
        <w:spacing w:after="0"/>
        <w:rPr>
          <w:lang w:val="es-ES"/>
        </w:rPr>
      </w:pPr>
    </w:p>
    <w:p w:rsidR="0077228E" w:rsidRPr="005872F5" w:rsidRDefault="0077228E" w:rsidP="00ED30E8">
      <w:pPr>
        <w:pStyle w:val="ONUMFS"/>
        <w:widowControl w:val="0"/>
        <w:numPr>
          <w:ilvl w:val="0"/>
          <w:numId w:val="0"/>
        </w:numPr>
        <w:spacing w:after="0"/>
        <w:rPr>
          <w:lang w:val="es-ES"/>
        </w:rPr>
      </w:pPr>
    </w:p>
    <w:p w:rsidR="0077228E" w:rsidRPr="005872F5" w:rsidRDefault="0077228E" w:rsidP="00ED30E8">
      <w:pPr>
        <w:pStyle w:val="ONUMFS"/>
        <w:widowControl w:val="0"/>
        <w:numPr>
          <w:ilvl w:val="0"/>
          <w:numId w:val="0"/>
        </w:numPr>
        <w:spacing w:after="0"/>
        <w:rPr>
          <w:lang w:val="es-ES"/>
        </w:rPr>
      </w:pPr>
      <w:r w:rsidRPr="005872F5">
        <w:rPr>
          <w:lang w:val="es-ES"/>
        </w:rPr>
        <w:t>III.</w:t>
      </w:r>
      <w:r w:rsidRPr="005872F5">
        <w:rPr>
          <w:lang w:val="es-ES"/>
        </w:rPr>
        <w:tab/>
        <w:t>IMPEDIR EL ACCESO DE TERCEROS</w:t>
      </w:r>
    </w:p>
    <w:p w:rsidR="0077228E" w:rsidRPr="005872F5" w:rsidRDefault="0077228E" w:rsidP="00ED30E8">
      <w:pPr>
        <w:pStyle w:val="ONUMFS"/>
        <w:widowControl w:val="0"/>
        <w:numPr>
          <w:ilvl w:val="0"/>
          <w:numId w:val="0"/>
        </w:numPr>
        <w:spacing w:after="0"/>
        <w:rPr>
          <w:lang w:val="es-ES"/>
        </w:rPr>
      </w:pPr>
    </w:p>
    <w:p w:rsidR="0077228E" w:rsidRPr="005872F5" w:rsidRDefault="0077228E" w:rsidP="00ED30E8">
      <w:pPr>
        <w:pStyle w:val="ONUMFS"/>
        <w:widowControl w:val="0"/>
        <w:spacing w:after="0"/>
        <w:rPr>
          <w:lang w:val="es-ES"/>
        </w:rPr>
      </w:pPr>
      <w:r w:rsidRPr="005872F5">
        <w:rPr>
          <w:lang w:val="es-ES"/>
        </w:rPr>
        <w:t xml:space="preserve">A fin de impedir el acceso de terceros, al portal de la OMPI sólo se podrá acceder desde direcciones IP (siglas en inglés de </w:t>
      </w:r>
      <w:r w:rsidRPr="005872F5">
        <w:rPr>
          <w:i/>
          <w:lang w:val="es-ES"/>
        </w:rPr>
        <w:t>Internet Protocol</w:t>
      </w:r>
      <w:r w:rsidRPr="005872F5">
        <w:rPr>
          <w:lang w:val="es-ES"/>
        </w:rPr>
        <w:t>) previamente registradas.</w:t>
      </w:r>
    </w:p>
    <w:p w:rsidR="0077228E" w:rsidRPr="005872F5" w:rsidRDefault="0077228E" w:rsidP="00ED30E8">
      <w:pPr>
        <w:pStyle w:val="ONUMFS"/>
        <w:widowControl w:val="0"/>
        <w:numPr>
          <w:ilvl w:val="0"/>
          <w:numId w:val="0"/>
        </w:numPr>
        <w:spacing w:after="0"/>
        <w:rPr>
          <w:lang w:val="es-ES"/>
        </w:rPr>
      </w:pPr>
    </w:p>
    <w:p w:rsidR="0077228E" w:rsidRPr="005872F5" w:rsidRDefault="0077228E" w:rsidP="00ED30E8">
      <w:pPr>
        <w:pStyle w:val="ONUMFS"/>
        <w:widowControl w:val="0"/>
        <w:spacing w:after="0"/>
        <w:rPr>
          <w:lang w:val="es-ES"/>
        </w:rPr>
      </w:pPr>
      <w:r w:rsidRPr="005872F5">
        <w:rPr>
          <w:lang w:val="es-ES"/>
        </w:rPr>
        <w:t>Más específicamente, se incorporará al portal de la OMPI un sistema de autenticación de direcciones IP (IPAAS, por sus siglas en inglés).  De esta forma, sólo tendrán acceso las direcciones IP previamente registradas.  (Véase el gráfico 1.)</w:t>
      </w:r>
    </w:p>
    <w:p w:rsidR="0077228E" w:rsidRPr="005872F5" w:rsidRDefault="0077228E" w:rsidP="00ED30E8">
      <w:pPr>
        <w:pStyle w:val="ONUMFS"/>
        <w:widowControl w:val="0"/>
        <w:numPr>
          <w:ilvl w:val="0"/>
          <w:numId w:val="0"/>
        </w:numPr>
        <w:spacing w:after="0"/>
        <w:rPr>
          <w:lang w:val="es-ES"/>
        </w:rPr>
      </w:pPr>
    </w:p>
    <w:p w:rsidR="0077228E" w:rsidRPr="005872F5" w:rsidRDefault="0077228E" w:rsidP="00ED30E8">
      <w:pPr>
        <w:pStyle w:val="ONUMFS"/>
        <w:widowControl w:val="0"/>
        <w:spacing w:after="0"/>
        <w:rPr>
          <w:lang w:val="es-ES"/>
        </w:rPr>
      </w:pPr>
      <w:r w:rsidRPr="005872F5">
        <w:rPr>
          <w:lang w:val="es-ES"/>
        </w:rPr>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respectivas direcciones IP ante la OMPI.</w:t>
      </w:r>
    </w:p>
    <w:p w:rsidR="002217F8" w:rsidRPr="005872F5" w:rsidRDefault="002217F8" w:rsidP="00ED30E8">
      <w:pPr>
        <w:pStyle w:val="ListParagraph"/>
        <w:ind w:left="0"/>
        <w:rPr>
          <w:lang w:val="es-ES"/>
        </w:rPr>
      </w:pPr>
    </w:p>
    <w:p w:rsidR="002217F8" w:rsidRPr="005872F5" w:rsidRDefault="002217F8" w:rsidP="0077228E">
      <w:pPr>
        <w:pStyle w:val="ONUMFS"/>
        <w:spacing w:after="0"/>
        <w:rPr>
          <w:lang w:val="es-ES"/>
        </w:rPr>
      </w:pPr>
      <w:r w:rsidRPr="005872F5">
        <w:rPr>
          <w:lang w:val="es-ES"/>
        </w:rPr>
        <w:t xml:space="preserve">Por otra parte, hay algo de verdad en que los sectores interesados pueden contribuir a que no se concedan patentes por error, realizando una búsqueda del estado de la técnica o de material de referencia respecto de sus solicitudes de patentes o de </w:t>
      </w:r>
      <w:r w:rsidR="0056417A" w:rsidRPr="005872F5">
        <w:rPr>
          <w:lang w:val="es-ES"/>
        </w:rPr>
        <w:t>otras solicitudes</w:t>
      </w:r>
      <w:r w:rsidRPr="005872F5">
        <w:rPr>
          <w:lang w:val="es-ES"/>
        </w:rPr>
        <w:t>.  Dado lo cual, no debería excluirse del todo la posibilidad de autorizar el acceso limitado del público al portal de la OMPI antes de examinar detenidamente esta cuestión.</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r w:rsidRPr="005872F5">
        <w:rPr>
          <w:lang w:val="es-ES"/>
        </w:rPr>
        <w:t>IV.</w:t>
      </w:r>
      <w:r w:rsidRPr="005872F5">
        <w:rPr>
          <w:lang w:val="es-ES"/>
        </w:rPr>
        <w:tab/>
        <w:t>REGISTRO DE INFORMACIÓN CITADA O QUE SE USA COMO REFERENCIA</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 xml:space="preserve">Al acceder al portal de la OMPI es posible que el examinador obtenga importante información relativa a recursos genéticos y/o conocimientos tradicionales </w:t>
      </w:r>
      <w:r w:rsidR="0056417A" w:rsidRPr="005872F5">
        <w:rPr>
          <w:lang w:val="es-ES"/>
        </w:rPr>
        <w:t xml:space="preserve">no secretos </w:t>
      </w:r>
      <w:r w:rsidRPr="005872F5">
        <w:rPr>
          <w:lang w:val="es-ES"/>
        </w:rPr>
        <w:t xml:space="preserve">asociados a los recursos genéticos que le permita establecer el estado de la técnica respecto de la solicitud de patente que esté examinando.  En este tipo de casos, sería muy útil que el portal de la OMPI dispusiera de una función para que el examinador pudiera agregar todo dato pertinente relacionado con la solicitud (por ejemplo, el número de la solicitud) bajo el código numeral del recurso genético y/o conocimientos tradicionales </w:t>
      </w:r>
      <w:r w:rsidR="0056417A" w:rsidRPr="005872F5">
        <w:rPr>
          <w:lang w:val="es-ES"/>
        </w:rPr>
        <w:t xml:space="preserve">no secretos </w:t>
      </w:r>
      <w:r w:rsidRPr="005872F5">
        <w:rPr>
          <w:lang w:val="es-ES"/>
        </w:rPr>
        <w:t xml:space="preserve">asociados a los recursos genéticos en cuestión.  De esta forma quedarían vinculados dos datos útiles:  el código numeral relativo a un recurso genético y/o conocimientos tradicionales </w:t>
      </w:r>
      <w:r w:rsidR="0056417A" w:rsidRPr="005872F5">
        <w:rPr>
          <w:lang w:val="es-ES"/>
        </w:rPr>
        <w:t xml:space="preserve">no secretos </w:t>
      </w:r>
      <w:r w:rsidRPr="005872F5">
        <w:rPr>
          <w:lang w:val="es-ES"/>
        </w:rPr>
        <w:t xml:space="preserve">asociados a los recursos genéticos y el número de la solicitud de patente pertinente.  Los datos de las solicitudes de patente vinculadas a un recurso genético y/o conocimientos tradicionales </w:t>
      </w:r>
      <w:r w:rsidR="0056417A" w:rsidRPr="005872F5">
        <w:rPr>
          <w:lang w:val="es-ES"/>
        </w:rPr>
        <w:t xml:space="preserve">no secretos </w:t>
      </w:r>
      <w:r w:rsidRPr="005872F5">
        <w:rPr>
          <w:lang w:val="es-ES"/>
        </w:rPr>
        <w:t xml:space="preserve">asociados a los recursos genéticos serán de utilidad para las partes interesadas que deseen averiguar ante qué oficina de propiedad industrial han sido presentadas solicitudes de patentes relacionada con los recursos en cuestión.  La administración encargada del examen, u otra autoridad competente, podrá autorizar a las partes interesadas (por ejemplo, un pueblo indígena) que hayan suministrado información sobre los recursos genéticos y/o conocimientos tradicionales </w:t>
      </w:r>
      <w:r w:rsidR="0056417A" w:rsidRPr="005872F5">
        <w:rPr>
          <w:lang w:val="es-ES"/>
        </w:rPr>
        <w:t xml:space="preserve">no secretos </w:t>
      </w:r>
      <w:r w:rsidRPr="005872F5">
        <w:rPr>
          <w:lang w:val="es-ES"/>
        </w:rPr>
        <w:t>asociados a los recursos genéticos en cuestión a tener acceso a la información de ese tipo que figure en las solicitudes de patente pertinentes.</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 xml:space="preserve">Cabe señalar, sin embargo, que los datos que figuran en una solicitud de patente que es objeto de una referencia cruzada con y/o conocimientos tradicionales </w:t>
      </w:r>
      <w:r w:rsidR="0056417A" w:rsidRPr="005872F5">
        <w:rPr>
          <w:lang w:val="es-ES"/>
        </w:rPr>
        <w:t xml:space="preserve">no secretos </w:t>
      </w:r>
      <w:r w:rsidRPr="005872F5">
        <w:rPr>
          <w:lang w:val="es-ES"/>
        </w:rPr>
        <w:t>asociados a los recursos genéticos anotados en una base de datos no guardan relación con el hecho de que la invención reivindicada en la solicitud haya sido o no hecha de conformidad con lo dispuesto en el CDB.</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numPr>
          <w:ilvl w:val="0"/>
          <w:numId w:val="0"/>
        </w:numPr>
        <w:spacing w:after="0"/>
        <w:rPr>
          <w:lang w:val="es-ES"/>
        </w:rPr>
      </w:pPr>
      <w:r w:rsidRPr="005872F5">
        <w:rPr>
          <w:lang w:val="es-ES"/>
        </w:rPr>
        <w:t>V.</w:t>
      </w:r>
      <w:r w:rsidRPr="005872F5">
        <w:rPr>
          <w:lang w:val="es-ES"/>
        </w:rPr>
        <w:tab/>
        <w:t>APLICACIÓN</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El establecimiento, mejora y utilización de las bases de datos estará sujeto a la disponibilidad de los recursos.</w:t>
      </w:r>
    </w:p>
    <w:p w:rsidR="0077228E" w:rsidRPr="005872F5" w:rsidRDefault="0077228E" w:rsidP="0077228E">
      <w:pPr>
        <w:pStyle w:val="ONUMFS"/>
        <w:numPr>
          <w:ilvl w:val="0"/>
          <w:numId w:val="0"/>
        </w:numPr>
        <w:spacing w:after="0"/>
        <w:rPr>
          <w:lang w:val="es-ES"/>
        </w:rPr>
      </w:pPr>
    </w:p>
    <w:p w:rsidR="0077228E" w:rsidRPr="005872F5" w:rsidRDefault="0077228E" w:rsidP="0077228E">
      <w:pPr>
        <w:pStyle w:val="ONUMFS"/>
        <w:spacing w:after="0"/>
        <w:rPr>
          <w:lang w:val="es-ES"/>
        </w:rPr>
      </w:pPr>
      <w:r w:rsidRPr="005872F5">
        <w:rPr>
          <w:lang w:val="es-ES"/>
        </w:rP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77228E" w:rsidRPr="005872F5" w:rsidRDefault="0077228E" w:rsidP="0077228E">
      <w:pPr>
        <w:pStyle w:val="ONUMFS"/>
        <w:numPr>
          <w:ilvl w:val="0"/>
          <w:numId w:val="0"/>
        </w:numPr>
        <w:spacing w:after="0"/>
        <w:rPr>
          <w:lang w:val="es-ES"/>
        </w:rPr>
      </w:pPr>
    </w:p>
    <w:p w:rsidR="007356F8" w:rsidRPr="005872F5" w:rsidRDefault="007356F8" w:rsidP="0077228E">
      <w:pPr>
        <w:pStyle w:val="ONUMFS"/>
        <w:numPr>
          <w:ilvl w:val="0"/>
          <w:numId w:val="0"/>
        </w:numPr>
        <w:spacing w:after="0"/>
        <w:rPr>
          <w:lang w:val="es-ES"/>
        </w:rPr>
      </w:pPr>
    </w:p>
    <w:p w:rsidR="007356F8" w:rsidRPr="005872F5" w:rsidRDefault="007356F8" w:rsidP="0077228E">
      <w:pPr>
        <w:pStyle w:val="ONUMFS"/>
        <w:numPr>
          <w:ilvl w:val="0"/>
          <w:numId w:val="0"/>
        </w:numPr>
        <w:spacing w:after="0"/>
        <w:rPr>
          <w:lang w:val="es-ES"/>
        </w:rPr>
      </w:pPr>
      <w:r w:rsidRPr="005872F5">
        <w:rPr>
          <w:lang w:val="es-ES"/>
        </w:rPr>
        <w:t>VI.</w:t>
      </w:r>
      <w:r w:rsidRPr="005872F5">
        <w:rPr>
          <w:lang w:val="es-ES"/>
        </w:rPr>
        <w:tab/>
        <w:t>LABOR FUTURA</w:t>
      </w:r>
    </w:p>
    <w:p w:rsidR="007356F8" w:rsidRPr="005872F5" w:rsidRDefault="007356F8" w:rsidP="0077228E">
      <w:pPr>
        <w:pStyle w:val="ONUMFS"/>
        <w:numPr>
          <w:ilvl w:val="0"/>
          <w:numId w:val="0"/>
        </w:numPr>
        <w:spacing w:after="0"/>
        <w:rPr>
          <w:lang w:val="es-ES"/>
        </w:rPr>
      </w:pPr>
    </w:p>
    <w:p w:rsidR="0056417A" w:rsidRPr="005872F5" w:rsidRDefault="00F71A31" w:rsidP="0077228E">
      <w:pPr>
        <w:pStyle w:val="ONUMFS"/>
        <w:spacing w:after="0"/>
        <w:rPr>
          <w:lang w:val="es-ES"/>
        </w:rPr>
      </w:pPr>
      <w:r w:rsidRPr="005872F5">
        <w:rPr>
          <w:lang w:val="es-ES"/>
        </w:rPr>
        <w:t xml:space="preserve">Se invita a los Estados miembros a considerar </w:t>
      </w:r>
      <w:r w:rsidR="00B9042D" w:rsidRPr="005872F5">
        <w:rPr>
          <w:lang w:val="es-ES"/>
        </w:rPr>
        <w:t xml:space="preserve">las siguientes cuestiones esenciales </w:t>
      </w:r>
      <w:r w:rsidRPr="005872F5">
        <w:rPr>
          <w:lang w:val="es-ES"/>
        </w:rPr>
        <w:t>y compartir sus opiniones y experiencias</w:t>
      </w:r>
      <w:r w:rsidR="00B9042D" w:rsidRPr="005872F5">
        <w:rPr>
          <w:lang w:val="es-ES"/>
        </w:rPr>
        <w:t xml:space="preserve"> al respecto</w:t>
      </w:r>
      <w:r w:rsidRPr="005872F5">
        <w:rPr>
          <w:lang w:val="es-ES"/>
        </w:rPr>
        <w:t>:</w:t>
      </w:r>
    </w:p>
    <w:p w:rsidR="00ED30E8" w:rsidRPr="005872F5" w:rsidRDefault="00ED30E8" w:rsidP="00ED30E8">
      <w:pPr>
        <w:pStyle w:val="ONUMFS"/>
        <w:numPr>
          <w:ilvl w:val="0"/>
          <w:numId w:val="0"/>
        </w:numPr>
        <w:spacing w:after="0"/>
        <w:rPr>
          <w:lang w:val="es-ES"/>
        </w:rPr>
      </w:pPr>
    </w:p>
    <w:p w:rsidR="00F71A31" w:rsidRPr="005872F5" w:rsidRDefault="00ED30E8" w:rsidP="00ED30E8">
      <w:pPr>
        <w:pStyle w:val="ONUMFS"/>
        <w:numPr>
          <w:ilvl w:val="0"/>
          <w:numId w:val="8"/>
        </w:numPr>
        <w:spacing w:after="0"/>
        <w:ind w:left="1134" w:hanging="567"/>
        <w:rPr>
          <w:lang w:val="es-ES"/>
        </w:rPr>
      </w:pPr>
      <w:r w:rsidRPr="005872F5">
        <w:rPr>
          <w:lang w:val="es-ES"/>
        </w:rPr>
        <w:t>d</w:t>
      </w:r>
      <w:r w:rsidR="004F17EB" w:rsidRPr="005872F5">
        <w:rPr>
          <w:lang w:val="es-ES"/>
        </w:rPr>
        <w:t>atos estructurados que han de almacenarse en las bases de datos (por ejemplo, recursos genéticos y conocimientos tradicionales no secretos asoc</w:t>
      </w:r>
      <w:r w:rsidRPr="005872F5">
        <w:rPr>
          <w:lang w:val="es-ES"/>
        </w:rPr>
        <w:t>iados a los recursos genéticos);</w:t>
      </w:r>
      <w:r w:rsidR="004F17EB" w:rsidRPr="005872F5">
        <w:rPr>
          <w:lang w:val="es-ES"/>
        </w:rPr>
        <w:t xml:space="preserve"> </w:t>
      </w:r>
    </w:p>
    <w:p w:rsidR="004F17EB" w:rsidRPr="005872F5" w:rsidRDefault="00A66E3F" w:rsidP="00ED30E8">
      <w:pPr>
        <w:pStyle w:val="ONUMFS"/>
        <w:numPr>
          <w:ilvl w:val="0"/>
          <w:numId w:val="8"/>
        </w:numPr>
        <w:spacing w:after="0"/>
        <w:ind w:left="1134" w:hanging="567"/>
        <w:rPr>
          <w:lang w:val="es-ES"/>
        </w:rPr>
      </w:pPr>
      <w:r w:rsidRPr="005872F5">
        <w:rPr>
          <w:lang w:val="es-ES"/>
        </w:rPr>
        <w:t xml:space="preserve">la modalidad </w:t>
      </w:r>
      <w:r w:rsidR="004F17EB" w:rsidRPr="005872F5">
        <w:rPr>
          <w:lang w:val="es-ES"/>
        </w:rPr>
        <w:t xml:space="preserve">admisible de </w:t>
      </w:r>
      <w:r w:rsidR="00D16E6A" w:rsidRPr="005872F5">
        <w:rPr>
          <w:lang w:val="es-ES"/>
        </w:rPr>
        <w:t>estado de la técnica o material de referencia (por ejemplo, forma escrita y forma oral) de conformidad con la legi</w:t>
      </w:r>
      <w:r w:rsidR="00ED30E8" w:rsidRPr="005872F5">
        <w:rPr>
          <w:lang w:val="es-ES"/>
        </w:rPr>
        <w:t>slación y práctica de cada país;</w:t>
      </w:r>
    </w:p>
    <w:p w:rsidR="00D16E6A" w:rsidRPr="005872F5" w:rsidRDefault="00EB6AEC" w:rsidP="00ED30E8">
      <w:pPr>
        <w:pStyle w:val="ONUMFS"/>
        <w:numPr>
          <w:ilvl w:val="0"/>
          <w:numId w:val="8"/>
        </w:numPr>
        <w:spacing w:after="0"/>
        <w:ind w:left="1134" w:hanging="567"/>
        <w:rPr>
          <w:lang w:val="es-ES"/>
        </w:rPr>
      </w:pPr>
      <w:r w:rsidRPr="005872F5">
        <w:rPr>
          <w:lang w:val="es-ES"/>
        </w:rPr>
        <w:t>l</w:t>
      </w:r>
      <w:r w:rsidR="00D16E6A" w:rsidRPr="005872F5">
        <w:rPr>
          <w:lang w:val="es-ES"/>
        </w:rPr>
        <w:t>a accesibilidad del porta</w:t>
      </w:r>
      <w:r w:rsidR="0034545A" w:rsidRPr="005872F5">
        <w:rPr>
          <w:lang w:val="es-ES"/>
        </w:rPr>
        <w:t>l</w:t>
      </w:r>
      <w:r w:rsidR="00D16E6A" w:rsidRPr="005872F5">
        <w:rPr>
          <w:lang w:val="es-ES"/>
        </w:rPr>
        <w:t xml:space="preserve"> de la OMPI (por ejemplo, Oficinas de P.I. y sectores interesados);</w:t>
      </w:r>
    </w:p>
    <w:p w:rsidR="00D16E6A" w:rsidRPr="005872F5" w:rsidRDefault="00EB6AEC" w:rsidP="00ED30E8">
      <w:pPr>
        <w:pStyle w:val="ONUMFS"/>
        <w:numPr>
          <w:ilvl w:val="0"/>
          <w:numId w:val="8"/>
        </w:numPr>
        <w:spacing w:after="0"/>
        <w:ind w:left="1134" w:hanging="567"/>
        <w:rPr>
          <w:lang w:val="es-ES"/>
        </w:rPr>
      </w:pPr>
      <w:r w:rsidRPr="005872F5">
        <w:rPr>
          <w:lang w:val="es-ES"/>
        </w:rPr>
        <w:t>l</w:t>
      </w:r>
      <w:r w:rsidR="00D16E6A" w:rsidRPr="005872F5">
        <w:rPr>
          <w:lang w:val="es-ES"/>
        </w:rPr>
        <w:t xml:space="preserve">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w:t>
      </w:r>
      <w:r w:rsidR="005F2BED" w:rsidRPr="005872F5">
        <w:rPr>
          <w:lang w:val="es-ES"/>
        </w:rPr>
        <w:t xml:space="preserve"> </w:t>
      </w:r>
      <w:r w:rsidR="00D16E6A" w:rsidRPr="005872F5">
        <w:rPr>
          <w:lang w:val="es-ES"/>
        </w:rPr>
        <w:t>y</w:t>
      </w:r>
    </w:p>
    <w:p w:rsidR="00D16E6A" w:rsidRPr="005872F5" w:rsidRDefault="00EB6AEC" w:rsidP="00ED30E8">
      <w:pPr>
        <w:pStyle w:val="ONUMFS"/>
        <w:numPr>
          <w:ilvl w:val="0"/>
          <w:numId w:val="8"/>
        </w:numPr>
        <w:spacing w:after="0"/>
        <w:ind w:left="1134" w:hanging="567"/>
        <w:rPr>
          <w:lang w:val="es-ES"/>
        </w:rPr>
      </w:pPr>
      <w:r w:rsidRPr="005872F5">
        <w:rPr>
          <w:lang w:val="es-ES"/>
        </w:rPr>
        <w:t>e</w:t>
      </w:r>
      <w:r w:rsidR="00D16E6A" w:rsidRPr="005872F5">
        <w:rPr>
          <w:lang w:val="es-ES"/>
        </w:rPr>
        <w:t>l procedimiento utilizado para alimentar las bases de datos nacionales (por ejemplo, las consultas con los sectores indígenas interesados).</w:t>
      </w:r>
    </w:p>
    <w:p w:rsidR="0056417A" w:rsidRPr="005872F5" w:rsidRDefault="0056417A" w:rsidP="00ED30E8">
      <w:pPr>
        <w:pStyle w:val="ListParagraph"/>
        <w:ind w:left="0"/>
        <w:rPr>
          <w:lang w:val="es-ES"/>
        </w:rPr>
      </w:pPr>
    </w:p>
    <w:p w:rsidR="0077228E" w:rsidRPr="005872F5" w:rsidRDefault="0077228E" w:rsidP="0077228E">
      <w:pPr>
        <w:pStyle w:val="ONUMFS"/>
        <w:spacing w:after="0"/>
        <w:rPr>
          <w:lang w:val="es-ES"/>
        </w:rPr>
      </w:pPr>
      <w:r w:rsidRPr="005872F5">
        <w:rPr>
          <w:lang w:val="es-ES"/>
        </w:rPr>
        <w:t>La Oficina Internacional de la OMPI debe estudiar la posibilidad de crear la base de datos sin perjuicio de los propios derechos.</w:t>
      </w:r>
      <w:r w:rsidR="0056417A" w:rsidRPr="005872F5">
        <w:rPr>
          <w:lang w:val="es-ES"/>
        </w:rPr>
        <w:t xml:space="preserve">  </w:t>
      </w:r>
      <w:r w:rsidR="007356F8" w:rsidRPr="005872F5">
        <w:rPr>
          <w:lang w:val="es-ES"/>
        </w:rPr>
        <w:t xml:space="preserve">Los estudios </w:t>
      </w:r>
      <w:r w:rsidR="00D16E6A" w:rsidRPr="005872F5">
        <w:rPr>
          <w:lang w:val="es-ES"/>
        </w:rPr>
        <w:t xml:space="preserve">de viabilidad que realice la Oficina Internacional de la OMPI </w:t>
      </w:r>
      <w:r w:rsidR="007356F8" w:rsidRPr="005872F5">
        <w:rPr>
          <w:lang w:val="es-ES"/>
        </w:rPr>
        <w:t>podrán incluir, entre otras cosas</w:t>
      </w:r>
      <w:r w:rsidR="00D16E6A" w:rsidRPr="005872F5">
        <w:rPr>
          <w:lang w:val="es-ES"/>
        </w:rPr>
        <w:t>:</w:t>
      </w:r>
    </w:p>
    <w:p w:rsidR="00ED30E8" w:rsidRPr="005872F5" w:rsidRDefault="00ED30E8" w:rsidP="00ED30E8">
      <w:pPr>
        <w:pStyle w:val="ONUMFS"/>
        <w:numPr>
          <w:ilvl w:val="0"/>
          <w:numId w:val="0"/>
        </w:numPr>
        <w:spacing w:after="0"/>
        <w:rPr>
          <w:lang w:val="es-ES"/>
        </w:rPr>
      </w:pPr>
    </w:p>
    <w:p w:rsidR="0056417A" w:rsidRPr="005872F5" w:rsidRDefault="00ED30E8" w:rsidP="00ED30E8">
      <w:pPr>
        <w:pStyle w:val="ONUMFS"/>
        <w:numPr>
          <w:ilvl w:val="0"/>
          <w:numId w:val="8"/>
        </w:numPr>
        <w:spacing w:after="0"/>
        <w:ind w:left="1134" w:hanging="567"/>
        <w:rPr>
          <w:lang w:val="es-ES"/>
        </w:rPr>
      </w:pPr>
      <w:r w:rsidRPr="005872F5">
        <w:rPr>
          <w:lang w:val="es-ES"/>
        </w:rPr>
        <w:t>e</w:t>
      </w:r>
      <w:r w:rsidR="00D16E6A" w:rsidRPr="005872F5">
        <w:rPr>
          <w:lang w:val="es-ES"/>
        </w:rPr>
        <w:t>l estudio de</w:t>
      </w:r>
      <w:r w:rsidR="00EB6AEC" w:rsidRPr="005872F5">
        <w:rPr>
          <w:lang w:val="es-ES"/>
        </w:rPr>
        <w:t xml:space="preserve"> los requisitos técnicos necesarios para establecer la conexión entre el portal de la OMPI y las bases de datos de los </w:t>
      </w:r>
      <w:r w:rsidRPr="005872F5">
        <w:rPr>
          <w:lang w:val="es-ES"/>
        </w:rPr>
        <w:t>Estados miembros;</w:t>
      </w:r>
    </w:p>
    <w:p w:rsidR="00D16E6A" w:rsidRPr="005872F5" w:rsidRDefault="00EB6AEC" w:rsidP="00ED30E8">
      <w:pPr>
        <w:pStyle w:val="ONUMFS"/>
        <w:numPr>
          <w:ilvl w:val="0"/>
          <w:numId w:val="8"/>
        </w:numPr>
        <w:spacing w:after="0"/>
        <w:ind w:left="1134" w:hanging="567"/>
        <w:rPr>
          <w:lang w:val="es-ES"/>
        </w:rPr>
      </w:pPr>
      <w:r w:rsidRPr="005872F5">
        <w:rPr>
          <w:lang w:val="es-ES"/>
        </w:rPr>
        <w:t xml:space="preserve">la creación de un prototipo </w:t>
      </w:r>
      <w:r w:rsidR="005F2BED" w:rsidRPr="005872F5">
        <w:rPr>
          <w:lang w:val="es-ES"/>
        </w:rPr>
        <w:t>del portal de la OMPI y un proyecto de directrices para el uso y las funciones de la base de datos;  y</w:t>
      </w:r>
    </w:p>
    <w:p w:rsidR="005F2BED" w:rsidRPr="005872F5" w:rsidRDefault="005F2BED" w:rsidP="00ED30E8">
      <w:pPr>
        <w:pStyle w:val="ONUMFS"/>
        <w:numPr>
          <w:ilvl w:val="0"/>
          <w:numId w:val="8"/>
        </w:numPr>
        <w:spacing w:after="0"/>
        <w:ind w:left="1134" w:hanging="567"/>
        <w:rPr>
          <w:lang w:val="es-ES"/>
        </w:rPr>
      </w:pPr>
      <w:r w:rsidRPr="005872F5">
        <w:rPr>
          <w:lang w:val="es-ES"/>
        </w:rPr>
        <w:t>la posibilidad de ofrecer asistencia técnica a los Estados miembros para la elaboración de la base de datos.</w:t>
      </w:r>
    </w:p>
    <w:p w:rsidR="0077228E" w:rsidRPr="005872F5" w:rsidRDefault="0077228E" w:rsidP="0077228E">
      <w:pPr>
        <w:rPr>
          <w:rFonts w:ascii="Times New Roman" w:hAnsi="Times New Roman" w:cs="Times New Roman"/>
          <w:sz w:val="24"/>
          <w:szCs w:val="24"/>
          <w:lang w:val="es-ES"/>
        </w:rPr>
      </w:pPr>
    </w:p>
    <w:p w:rsidR="0077228E" w:rsidRPr="005872F5" w:rsidRDefault="001E1A97" w:rsidP="0077228E">
      <w:pPr>
        <w:rPr>
          <w:lang w:val="es-ES"/>
        </w:rPr>
      </w:pPr>
      <w:r w:rsidRPr="005872F5">
        <w:rPr>
          <w:noProof/>
          <w:lang w:val="es-ES" w:eastAsia="en-US"/>
        </w:rPr>
        <w:lastRenderedPageBreak/>
        <mc:AlternateContent>
          <mc:Choice Requires="wps">
            <w:drawing>
              <wp:anchor distT="0" distB="0" distL="114300" distR="114300" simplePos="0" relativeHeight="251657216" behindDoc="0" locked="0" layoutInCell="0" allowOverlap="1" wp14:anchorId="53759FE4" wp14:editId="6283BF33">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1:  Funcionamiento del sistema de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77228E" w:rsidRPr="003A6A20" w:rsidRDefault="0077228E" w:rsidP="0077228E">
                      <w:r w:rsidRPr="003A6A20">
                        <w:t>Gráfico 1:  Funcionamiento del sistema de  búsqueda centralizada aplicado a las bases de datos de los Estados miembros de la OMPI.</w:t>
                      </w:r>
                    </w:p>
                  </w:txbxContent>
                </v:textbox>
              </v:shape>
            </w:pict>
          </mc:Fallback>
        </mc:AlternateContent>
      </w:r>
      <w:r w:rsidRPr="005872F5">
        <w:rPr>
          <w:noProof/>
          <w:lang w:val="es-ES" w:eastAsia="en-US"/>
        </w:rPr>
        <w:drawing>
          <wp:inline distT="0" distB="0" distL="0" distR="0" wp14:anchorId="734AEB67" wp14:editId="1C35D37E">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77228E" w:rsidRPr="005872F5" w:rsidRDefault="0077228E" w:rsidP="0077228E">
      <w:pPr>
        <w:rPr>
          <w:rFonts w:ascii="Times New Roman" w:hAnsi="Times New Roman" w:cs="Times New Roman"/>
          <w:sz w:val="24"/>
          <w:szCs w:val="24"/>
          <w:lang w:val="es-ES"/>
        </w:rPr>
      </w:pPr>
    </w:p>
    <w:p w:rsidR="0077228E" w:rsidRPr="005872F5" w:rsidRDefault="001E1A97" w:rsidP="0077228E">
      <w:pPr>
        <w:rPr>
          <w:rFonts w:ascii="Times New Roman" w:hAnsi="Times New Roman" w:cs="Times New Roman"/>
          <w:sz w:val="24"/>
          <w:szCs w:val="24"/>
          <w:lang w:val="es-ES"/>
        </w:rPr>
      </w:pPr>
      <w:r w:rsidRPr="005872F5">
        <w:rPr>
          <w:noProof/>
          <w:lang w:val="es-ES" w:eastAsia="en-US"/>
        </w:rPr>
        <mc:AlternateContent>
          <mc:Choice Requires="wps">
            <w:drawing>
              <wp:anchor distT="0" distB="0" distL="114300" distR="114300" simplePos="0" relativeHeight="251658240" behindDoc="0" locked="0" layoutInCell="1" allowOverlap="1" wp14:anchorId="57FF5307" wp14:editId="79210D9B">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3.7pt;width:250.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77228E" w:rsidRPr="003A6A20" w:rsidRDefault="0077228E" w:rsidP="0077228E">
                      <w:r w:rsidRPr="003A6A20">
                        <w:t>Gráfico 2:  Ejemplo de resultado de la búsqueda</w:t>
                      </w:r>
                    </w:p>
                  </w:txbxContent>
                </v:textbox>
                <w10:wrap type="square"/>
              </v:shape>
            </w:pict>
          </mc:Fallback>
        </mc:AlternateContent>
      </w:r>
    </w:p>
    <w:p w:rsidR="0077228E" w:rsidRPr="005872F5" w:rsidRDefault="0077228E" w:rsidP="0077228E">
      <w:pPr>
        <w:rPr>
          <w:rFonts w:ascii="Times New Roman" w:hAnsi="Times New Roman" w:cs="Times New Roman"/>
          <w:sz w:val="24"/>
          <w:szCs w:val="24"/>
          <w:lang w:val="es-ES"/>
        </w:rPr>
      </w:pPr>
    </w:p>
    <w:p w:rsidR="0077228E" w:rsidRPr="005872F5" w:rsidRDefault="0077228E" w:rsidP="0077228E">
      <w:pPr>
        <w:rPr>
          <w:rFonts w:ascii="Times New Roman" w:hAnsi="Times New Roman" w:cs="Times New Roman"/>
          <w:sz w:val="24"/>
          <w:szCs w:val="24"/>
          <w:lang w:val="es-ES"/>
        </w:rPr>
      </w:pPr>
    </w:p>
    <w:p w:rsidR="0077228E" w:rsidRPr="005872F5" w:rsidRDefault="0077228E" w:rsidP="0077228E">
      <w:pPr>
        <w:rPr>
          <w:rFonts w:ascii="Times New Roman" w:hAnsi="Times New Roman" w:cs="Times New Roman"/>
          <w:noProof/>
          <w:sz w:val="24"/>
          <w:szCs w:val="24"/>
          <w:lang w:val="es-ES" w:eastAsia="en-US"/>
        </w:rPr>
      </w:pPr>
    </w:p>
    <w:p w:rsidR="00A74F09" w:rsidRPr="005872F5" w:rsidRDefault="00A74F09" w:rsidP="0077228E">
      <w:pPr>
        <w:rPr>
          <w:rFonts w:ascii="Times New Roman" w:hAnsi="Times New Roman" w:cs="Times New Roman"/>
          <w:noProof/>
          <w:sz w:val="24"/>
          <w:szCs w:val="24"/>
          <w:lang w:val="es-ES" w:eastAsia="en-US"/>
        </w:rPr>
      </w:pPr>
    </w:p>
    <w:p w:rsidR="00A74F09" w:rsidRPr="005872F5" w:rsidRDefault="00A74F09" w:rsidP="0077228E">
      <w:pPr>
        <w:rPr>
          <w:rFonts w:ascii="Times New Roman" w:hAnsi="Times New Roman" w:cs="Times New Roman"/>
          <w:noProof/>
          <w:sz w:val="24"/>
          <w:szCs w:val="24"/>
          <w:lang w:val="es-ES" w:eastAsia="en-US"/>
        </w:rPr>
      </w:pPr>
    </w:p>
    <w:p w:rsidR="00A74F09" w:rsidRPr="005872F5" w:rsidRDefault="00A74F09" w:rsidP="0077228E">
      <w:pPr>
        <w:rPr>
          <w:rFonts w:ascii="Times New Roman" w:hAnsi="Times New Roman" w:cs="Times New Roman"/>
          <w:noProof/>
          <w:sz w:val="24"/>
          <w:szCs w:val="24"/>
          <w:lang w:val="es-ES" w:eastAsia="en-US"/>
        </w:rPr>
      </w:pPr>
      <w:r w:rsidRPr="005872F5">
        <w:rPr>
          <w:rFonts w:ascii="Times New Roman" w:hAnsi="Times New Roman" w:cs="Times New Roman"/>
          <w:noProof/>
          <w:sz w:val="24"/>
          <w:szCs w:val="24"/>
          <w:lang w:val="es-ES" w:eastAsia="en-US"/>
        </w:rPr>
        <w:drawing>
          <wp:inline distT="0" distB="0" distL="0" distR="0" wp14:anchorId="0413D9E4" wp14:editId="089AA692">
            <wp:extent cx="5434965" cy="286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p>
    <w:p w:rsidR="00A74F09" w:rsidRPr="005872F5" w:rsidRDefault="00A74F09" w:rsidP="0077228E">
      <w:pPr>
        <w:rPr>
          <w:rFonts w:ascii="Times New Roman" w:hAnsi="Times New Roman" w:cs="Times New Roman"/>
          <w:sz w:val="24"/>
          <w:szCs w:val="24"/>
          <w:lang w:val="es-ES"/>
        </w:rPr>
      </w:pPr>
    </w:p>
    <w:p w:rsidR="0077228E" w:rsidRPr="005872F5" w:rsidRDefault="0077228E" w:rsidP="0077228E">
      <w:pPr>
        <w:rPr>
          <w:lang w:val="es-ES"/>
        </w:rPr>
      </w:pPr>
    </w:p>
    <w:p w:rsidR="0077228E" w:rsidRPr="005872F5" w:rsidRDefault="0077228E" w:rsidP="0077228E">
      <w:pPr>
        <w:rPr>
          <w:lang w:val="es-ES"/>
        </w:rPr>
      </w:pPr>
    </w:p>
    <w:p w:rsidR="00582AD5" w:rsidRPr="005872F5" w:rsidRDefault="0077228E" w:rsidP="001635AA">
      <w:pPr>
        <w:pStyle w:val="Endofdocument-Annex"/>
        <w:rPr>
          <w:lang w:val="es-ES"/>
        </w:rPr>
      </w:pPr>
      <w:r w:rsidRPr="005872F5">
        <w:rPr>
          <w:lang w:val="es-ES"/>
        </w:rPr>
        <w:t>[Fin del Anexo y del documento]</w:t>
      </w:r>
    </w:p>
    <w:sectPr w:rsidR="00582AD5" w:rsidRPr="005872F5" w:rsidSect="0077228E">
      <w:headerReference w:type="default" r:id="rId13"/>
      <w:footerReference w:type="firs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78" w:rsidRDefault="00F31278">
      <w:r>
        <w:separator/>
      </w:r>
    </w:p>
  </w:endnote>
  <w:endnote w:type="continuationSeparator" w:id="0">
    <w:p w:rsidR="00F31278" w:rsidRDefault="00F31278" w:rsidP="00A326CA">
      <w:r>
        <w:separator/>
      </w:r>
    </w:p>
    <w:p w:rsidR="00F31278" w:rsidRPr="0078064A" w:rsidRDefault="00F31278" w:rsidP="0078064A">
      <w:pPr>
        <w:spacing w:after="60"/>
        <w:rPr>
          <w:sz w:val="17"/>
          <w:szCs w:val="17"/>
        </w:rPr>
      </w:pPr>
      <w:r>
        <w:rPr>
          <w:sz w:val="17"/>
        </w:rPr>
        <w:t>[Continuación de la nota de la página anterior]</w:t>
      </w:r>
    </w:p>
  </w:endnote>
  <w:endnote w:type="continuationNotice" w:id="1">
    <w:p w:rsidR="00F31278" w:rsidRPr="0078064A" w:rsidRDefault="00F31278"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77228E" w:rsidRDefault="0077228E" w:rsidP="00772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78" w:rsidRDefault="00F31278">
      <w:r>
        <w:separator/>
      </w:r>
    </w:p>
  </w:footnote>
  <w:footnote w:type="continuationSeparator" w:id="0">
    <w:p w:rsidR="00F31278" w:rsidRDefault="00F31278" w:rsidP="00A326CA">
      <w:r>
        <w:separator/>
      </w:r>
    </w:p>
    <w:p w:rsidR="00F31278" w:rsidRPr="0078064A" w:rsidRDefault="00F31278" w:rsidP="0078064A">
      <w:pPr>
        <w:spacing w:after="60"/>
        <w:rPr>
          <w:sz w:val="17"/>
          <w:szCs w:val="17"/>
        </w:rPr>
      </w:pPr>
      <w:r>
        <w:rPr>
          <w:sz w:val="17"/>
        </w:rPr>
        <w:t>[Continuación de la nota de la página anterior]</w:t>
      </w:r>
    </w:p>
  </w:footnote>
  <w:footnote w:type="continuationNotice" w:id="1">
    <w:p w:rsidR="00F31278" w:rsidRPr="0078064A" w:rsidRDefault="00F31278" w:rsidP="0078064A">
      <w:pPr>
        <w:spacing w:before="60"/>
        <w:jc w:val="right"/>
        <w:rPr>
          <w:sz w:val="17"/>
          <w:szCs w:val="17"/>
        </w:rPr>
      </w:pPr>
      <w:r w:rsidRPr="0078064A">
        <w:rPr>
          <w:sz w:val="17"/>
          <w:szCs w:val="17"/>
        </w:rPr>
        <w:t>[Sigue la nota en la página siguiente]</w:t>
      </w:r>
    </w:p>
  </w:footnote>
  <w:footnote w:id="2">
    <w:p w:rsidR="00DF54B3" w:rsidRDefault="00DF54B3" w:rsidP="00ED30E8">
      <w:pPr>
        <w:pStyle w:val="FootnoteText"/>
        <w:tabs>
          <w:tab w:val="left" w:pos="567"/>
        </w:tabs>
      </w:pPr>
      <w:r>
        <w:rPr>
          <w:rStyle w:val="FootnoteReference"/>
        </w:rPr>
        <w:footnoteRef/>
      </w:r>
      <w:r>
        <w:t xml:space="preserve"> </w:t>
      </w:r>
      <w:r w:rsidR="00ED30E8">
        <w:tab/>
      </w:r>
      <w:r w:rsidR="003E27D4"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Default="0077228E" w:rsidP="0077228E">
    <w:pPr>
      <w:pStyle w:val="Header"/>
      <w:jc w:val="right"/>
    </w:pPr>
    <w:r>
      <w:t>WIPO/GRTKF/IC/2</w:t>
    </w:r>
    <w:r w:rsidR="00D16146">
      <w:t>9</w:t>
    </w:r>
    <w:r w:rsidR="001635AA">
      <w:t>/6</w:t>
    </w:r>
  </w:p>
  <w:p w:rsidR="0077228E" w:rsidRDefault="0077228E" w:rsidP="0077228E">
    <w:pPr>
      <w:pStyle w:val="Header"/>
      <w:jc w:val="right"/>
    </w:pPr>
    <w:r>
      <w:t>ANEXO</w:t>
    </w:r>
  </w:p>
  <w:p w:rsidR="0077228E" w:rsidRPr="006861F1" w:rsidRDefault="0077228E" w:rsidP="0077228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Default="0077228E" w:rsidP="0077228E">
    <w:pPr>
      <w:pStyle w:val="Header"/>
      <w:jc w:val="right"/>
    </w:pPr>
    <w:r>
      <w:t>WIPO/GRTKF/IC/2</w:t>
    </w:r>
    <w:r w:rsidR="00D16146">
      <w:t>9</w:t>
    </w:r>
    <w:r w:rsidR="001635AA">
      <w:t>/6</w:t>
    </w:r>
  </w:p>
  <w:p w:rsidR="0077228E" w:rsidRDefault="0077228E" w:rsidP="0077228E">
    <w:pPr>
      <w:pStyle w:val="Header"/>
      <w:jc w:val="right"/>
    </w:pPr>
    <w:r>
      <w:t>Anexo, página</w:t>
    </w:r>
    <w:r w:rsidRPr="00A74F09">
      <w:t xml:space="preserve"> </w:t>
    </w:r>
    <w:r>
      <w:fldChar w:fldCharType="begin"/>
    </w:r>
    <w:r>
      <w:instrText>PAGE   \* MERGEFORMAT</w:instrText>
    </w:r>
    <w:r>
      <w:fldChar w:fldCharType="separate"/>
    </w:r>
    <w:r w:rsidR="005872F5" w:rsidRPr="005872F5">
      <w:rPr>
        <w:noProof/>
        <w:lang w:val="es-ES"/>
      </w:rPr>
      <w:t>4</w:t>
    </w:r>
    <w:r>
      <w:fldChar w:fldCharType="end"/>
    </w:r>
  </w:p>
  <w:p w:rsidR="0077228E" w:rsidRDefault="0077228E" w:rsidP="00772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E14E7"/>
    <w:multiLevelType w:val="hybridMultilevel"/>
    <w:tmpl w:val="340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97"/>
    <w:rsid w:val="00036418"/>
    <w:rsid w:val="00065A2B"/>
    <w:rsid w:val="000F5E56"/>
    <w:rsid w:val="001635AA"/>
    <w:rsid w:val="001D4629"/>
    <w:rsid w:val="001E1A97"/>
    <w:rsid w:val="002217F8"/>
    <w:rsid w:val="00284C09"/>
    <w:rsid w:val="002B3353"/>
    <w:rsid w:val="00321ACB"/>
    <w:rsid w:val="0034545A"/>
    <w:rsid w:val="003B6CDA"/>
    <w:rsid w:val="003D61EA"/>
    <w:rsid w:val="003E27D4"/>
    <w:rsid w:val="003F1195"/>
    <w:rsid w:val="00457EEF"/>
    <w:rsid w:val="004F17EB"/>
    <w:rsid w:val="0050662A"/>
    <w:rsid w:val="00524649"/>
    <w:rsid w:val="00525444"/>
    <w:rsid w:val="0056417A"/>
    <w:rsid w:val="00582AD5"/>
    <w:rsid w:val="005872F5"/>
    <w:rsid w:val="005C6BE1"/>
    <w:rsid w:val="005F2BED"/>
    <w:rsid w:val="006345D6"/>
    <w:rsid w:val="006F61DA"/>
    <w:rsid w:val="00731655"/>
    <w:rsid w:val="007356F8"/>
    <w:rsid w:val="0077228E"/>
    <w:rsid w:val="0078064A"/>
    <w:rsid w:val="007B5CAC"/>
    <w:rsid w:val="007F0734"/>
    <w:rsid w:val="008374B7"/>
    <w:rsid w:val="008D0F0F"/>
    <w:rsid w:val="008E47EB"/>
    <w:rsid w:val="00936B9E"/>
    <w:rsid w:val="009E489A"/>
    <w:rsid w:val="00A326CA"/>
    <w:rsid w:val="00A4457C"/>
    <w:rsid w:val="00A66E3F"/>
    <w:rsid w:val="00A74F09"/>
    <w:rsid w:val="00A953E1"/>
    <w:rsid w:val="00B903B3"/>
    <w:rsid w:val="00B9042D"/>
    <w:rsid w:val="00BE5C92"/>
    <w:rsid w:val="00C31614"/>
    <w:rsid w:val="00C6506E"/>
    <w:rsid w:val="00C80FAC"/>
    <w:rsid w:val="00CE5DDD"/>
    <w:rsid w:val="00D05E9C"/>
    <w:rsid w:val="00D16146"/>
    <w:rsid w:val="00D16E6A"/>
    <w:rsid w:val="00D47B95"/>
    <w:rsid w:val="00DC2835"/>
    <w:rsid w:val="00DE5C3A"/>
    <w:rsid w:val="00DF54B3"/>
    <w:rsid w:val="00E638AE"/>
    <w:rsid w:val="00E74ACC"/>
    <w:rsid w:val="00EB6AEC"/>
    <w:rsid w:val="00ED30E8"/>
    <w:rsid w:val="00ED55BA"/>
    <w:rsid w:val="00F02982"/>
    <w:rsid w:val="00F31278"/>
    <w:rsid w:val="00F71A31"/>
    <w:rsid w:val="00FF11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C5EF-38C1-4E7B-8988-26B2784D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2254</Words>
  <Characters>12132</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conjunta sobre el uso de bases de datos para la protección preventiva de los recursos genéticos y los conocimientos tradicionales asociados a los recursos genéticos</vt:lpstr>
      <vt:lpstr> </vt:lpstr>
    </vt:vector>
  </TitlesOfParts>
  <Company>WIPO</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conjunta sobre el uso de bases de datos para la protección preventiva de los recursos genéticos y los conocimientos tradicionales asociados a los recursos genéticos</dc:title>
  <dc:creator>BOU LLORET Amparo</dc:creator>
  <dc:description>JC - 3/2/2014</dc:description>
  <cp:lastModifiedBy>ZEPEDA LEISTENSCHNEIDER Verónica</cp:lastModifiedBy>
  <cp:revision>6</cp:revision>
  <dcterms:created xsi:type="dcterms:W3CDTF">2016-01-28T07:53:00Z</dcterms:created>
  <dcterms:modified xsi:type="dcterms:W3CDTF">2016-01-28T08:18:00Z</dcterms:modified>
</cp:coreProperties>
</file>