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53D34FF" w14:textId="77777777" w:rsidTr="00361450">
        <w:tc>
          <w:tcPr>
            <w:tcW w:w="4513" w:type="dxa"/>
            <w:tcBorders>
              <w:bottom w:val="single" w:sz="4" w:space="0" w:color="auto"/>
            </w:tcBorders>
            <w:tcMar>
              <w:bottom w:w="170" w:type="dxa"/>
            </w:tcMar>
          </w:tcPr>
          <w:p w14:paraId="2757E7B2" w14:textId="77777777" w:rsidR="00EC4E49" w:rsidRPr="008B2CC1" w:rsidRDefault="00EC4E49" w:rsidP="00916EE2"/>
        </w:tc>
        <w:tc>
          <w:tcPr>
            <w:tcW w:w="4337" w:type="dxa"/>
            <w:tcBorders>
              <w:bottom w:val="single" w:sz="4" w:space="0" w:color="auto"/>
            </w:tcBorders>
            <w:tcMar>
              <w:left w:w="0" w:type="dxa"/>
              <w:right w:w="0" w:type="dxa"/>
            </w:tcMar>
          </w:tcPr>
          <w:p w14:paraId="726065F6" w14:textId="0C9CD544" w:rsidR="00EC4E49" w:rsidRPr="008B2CC1" w:rsidRDefault="003D1A90" w:rsidP="00916EE2">
            <w:r>
              <w:rPr>
                <w:noProof/>
                <w:lang w:eastAsia="en-US"/>
              </w:rPr>
              <w:drawing>
                <wp:inline distT="0" distB="0" distL="0" distR="0" wp14:anchorId="77AE4FF7" wp14:editId="753EB4C2">
                  <wp:extent cx="1857375" cy="1323975"/>
                  <wp:effectExtent l="0" t="0" r="9525" b="9525"/>
                  <wp:docPr id="1" name="Picture 1" descr="WIPO-S"/>
                  <wp:cNvGraphicFramePr/>
                  <a:graphic xmlns:a="http://schemas.openxmlformats.org/drawingml/2006/main">
                    <a:graphicData uri="http://schemas.openxmlformats.org/drawingml/2006/picture">
                      <pic:pic xmlns:pic="http://schemas.openxmlformats.org/drawingml/2006/picture">
                        <pic:nvPicPr>
                          <pic:cNvPr id="1" name="Picture 1" descr="WIPO-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7348773" w14:textId="7109C3BC" w:rsidR="00EC4E49" w:rsidRPr="008B2CC1" w:rsidRDefault="003D1A90" w:rsidP="00916EE2">
            <w:pPr>
              <w:jc w:val="right"/>
            </w:pPr>
            <w:r>
              <w:rPr>
                <w:b/>
                <w:sz w:val="40"/>
                <w:szCs w:val="40"/>
              </w:rPr>
              <w:t>S</w:t>
            </w:r>
          </w:p>
        </w:tc>
      </w:tr>
      <w:tr w:rsidR="008B2CC1" w:rsidRPr="003D1A90" w14:paraId="5A9D310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826FBF9" w14:textId="77777777" w:rsidR="008B2CC1" w:rsidRPr="003D1A90" w:rsidRDefault="00610789" w:rsidP="00916EE2">
            <w:pPr>
              <w:jc w:val="right"/>
              <w:rPr>
                <w:rFonts w:ascii="Arial Black" w:hAnsi="Arial Black"/>
                <w:caps/>
                <w:sz w:val="15"/>
                <w:lang w:val="es-ES"/>
              </w:rPr>
            </w:pPr>
            <w:bookmarkStart w:id="0" w:name="Code"/>
            <w:bookmarkEnd w:id="0"/>
            <w:r w:rsidRPr="003D1A90">
              <w:rPr>
                <w:rFonts w:ascii="Arial Black" w:hAnsi="Arial Black"/>
                <w:caps/>
                <w:sz w:val="15"/>
                <w:lang w:val="es-ES"/>
              </w:rPr>
              <w:t>WIPO/EXP/IPTK/GE/18/2</w:t>
            </w:r>
          </w:p>
        </w:tc>
      </w:tr>
      <w:tr w:rsidR="008B2CC1" w:rsidRPr="003D1A90" w14:paraId="704CA642" w14:textId="77777777" w:rsidTr="00916EE2">
        <w:trPr>
          <w:trHeight w:hRule="exact" w:val="170"/>
        </w:trPr>
        <w:tc>
          <w:tcPr>
            <w:tcW w:w="9356" w:type="dxa"/>
            <w:gridSpan w:val="3"/>
            <w:noWrap/>
            <w:tcMar>
              <w:left w:w="0" w:type="dxa"/>
              <w:right w:w="0" w:type="dxa"/>
            </w:tcMar>
            <w:vAlign w:val="bottom"/>
          </w:tcPr>
          <w:p w14:paraId="5B6FEFBA" w14:textId="726F7E02" w:rsidR="008B2CC1" w:rsidRPr="003D1A90" w:rsidRDefault="008B2CC1" w:rsidP="00CD04F1">
            <w:pPr>
              <w:jc w:val="right"/>
              <w:rPr>
                <w:rFonts w:ascii="Arial Black" w:hAnsi="Arial Black"/>
                <w:caps/>
                <w:sz w:val="15"/>
                <w:lang w:val="es-ES"/>
              </w:rPr>
            </w:pPr>
            <w:r w:rsidRPr="003D1A90">
              <w:rPr>
                <w:rFonts w:ascii="Arial Black" w:hAnsi="Arial Black"/>
                <w:caps/>
                <w:sz w:val="15"/>
                <w:lang w:val="es-ES"/>
              </w:rPr>
              <w:t>ORIGINAL:</w:t>
            </w:r>
            <w:r w:rsidR="008D4D45" w:rsidRPr="003D1A90">
              <w:rPr>
                <w:rFonts w:ascii="Arial Black" w:hAnsi="Arial Black"/>
                <w:caps/>
                <w:sz w:val="15"/>
                <w:lang w:val="es-ES"/>
              </w:rPr>
              <w:t xml:space="preserve"> </w:t>
            </w:r>
            <w:bookmarkStart w:id="1" w:name="Original"/>
            <w:bookmarkEnd w:id="1"/>
            <w:r w:rsidR="003D1A90" w:rsidRPr="003D1A90">
              <w:rPr>
                <w:rFonts w:ascii="Arial Black" w:hAnsi="Arial Black"/>
                <w:caps/>
                <w:sz w:val="15"/>
                <w:lang w:val="es-ES"/>
              </w:rPr>
              <w:t>INGLÉS</w:t>
            </w:r>
            <w:r w:rsidRPr="003D1A90">
              <w:rPr>
                <w:rFonts w:ascii="Arial Black" w:hAnsi="Arial Black"/>
                <w:caps/>
                <w:sz w:val="15"/>
                <w:lang w:val="es-ES"/>
              </w:rPr>
              <w:t xml:space="preserve"> </w:t>
            </w:r>
          </w:p>
        </w:tc>
      </w:tr>
      <w:tr w:rsidR="008B2CC1" w:rsidRPr="003D1A90" w14:paraId="71D404AB" w14:textId="77777777" w:rsidTr="00916EE2">
        <w:trPr>
          <w:trHeight w:hRule="exact" w:val="198"/>
        </w:trPr>
        <w:tc>
          <w:tcPr>
            <w:tcW w:w="9356" w:type="dxa"/>
            <w:gridSpan w:val="3"/>
            <w:tcMar>
              <w:left w:w="0" w:type="dxa"/>
              <w:right w:w="0" w:type="dxa"/>
            </w:tcMar>
            <w:vAlign w:val="bottom"/>
          </w:tcPr>
          <w:p w14:paraId="47931D33" w14:textId="06C9E808" w:rsidR="008B2CC1" w:rsidRPr="003D1A90" w:rsidRDefault="003D1A90" w:rsidP="00EC4815">
            <w:pPr>
              <w:jc w:val="right"/>
              <w:rPr>
                <w:rFonts w:ascii="Arial Black" w:hAnsi="Arial Black"/>
                <w:caps/>
                <w:sz w:val="15"/>
                <w:lang w:val="es-ES"/>
              </w:rPr>
            </w:pPr>
            <w:r w:rsidRPr="003D1A90">
              <w:rPr>
                <w:rFonts w:ascii="Arial Black" w:hAnsi="Arial Black"/>
                <w:caps/>
                <w:sz w:val="15"/>
                <w:lang w:val="es-ES"/>
              </w:rPr>
              <w:t xml:space="preserve">FECHA: 26 DE NOVIEMBRE DE </w:t>
            </w:r>
            <w:bookmarkStart w:id="2" w:name="Date"/>
            <w:bookmarkEnd w:id="2"/>
            <w:r w:rsidR="000D4BD5" w:rsidRPr="003D1A90">
              <w:rPr>
                <w:rFonts w:ascii="Arial Black" w:hAnsi="Arial Black"/>
                <w:caps/>
                <w:sz w:val="15"/>
                <w:lang w:val="es-ES"/>
              </w:rPr>
              <w:t>2018</w:t>
            </w:r>
            <w:r w:rsidR="008B2CC1" w:rsidRPr="003D1A90">
              <w:rPr>
                <w:rFonts w:ascii="Arial Black" w:hAnsi="Arial Black"/>
                <w:caps/>
                <w:sz w:val="15"/>
                <w:lang w:val="es-ES"/>
              </w:rPr>
              <w:t xml:space="preserve"> </w:t>
            </w:r>
          </w:p>
        </w:tc>
      </w:tr>
    </w:tbl>
    <w:p w14:paraId="6DC3F779" w14:textId="77777777" w:rsidR="008B2CC1" w:rsidRPr="008B2CC1" w:rsidRDefault="008B2CC1" w:rsidP="008B2CC1"/>
    <w:p w14:paraId="11F9D7C5" w14:textId="77777777" w:rsidR="008B2CC1" w:rsidRPr="008B2CC1" w:rsidRDefault="008B2CC1" w:rsidP="008B2CC1"/>
    <w:p w14:paraId="38D748F4" w14:textId="77777777" w:rsidR="008B2CC1" w:rsidRPr="008B2CC1" w:rsidRDefault="008B2CC1" w:rsidP="008B2CC1"/>
    <w:p w14:paraId="36168ECF" w14:textId="77777777" w:rsidR="008B2CC1" w:rsidRPr="008B2CC1" w:rsidRDefault="008B2CC1" w:rsidP="008B2CC1"/>
    <w:p w14:paraId="1A7170B2" w14:textId="77777777" w:rsidR="008B2CC1" w:rsidRPr="008B2CC1" w:rsidRDefault="008B2CC1" w:rsidP="008B2CC1"/>
    <w:p w14:paraId="0CFD19CF" w14:textId="4215EA05" w:rsidR="00424CF6" w:rsidRPr="00424CF6" w:rsidRDefault="00EC2451" w:rsidP="000D4BD5">
      <w:pPr>
        <w:rPr>
          <w:b/>
          <w:sz w:val="28"/>
          <w:szCs w:val="28"/>
          <w:lang w:val="es-ES"/>
        </w:rPr>
      </w:pPr>
      <w:r>
        <w:rPr>
          <w:b/>
          <w:sz w:val="28"/>
          <w:szCs w:val="28"/>
          <w:lang w:val="es-ES"/>
        </w:rPr>
        <w:t>Grupo de especialistas</w:t>
      </w:r>
      <w:r w:rsidR="00424CF6" w:rsidRPr="00424CF6">
        <w:rPr>
          <w:b/>
          <w:sz w:val="28"/>
          <w:szCs w:val="28"/>
          <w:lang w:val="es-ES"/>
        </w:rPr>
        <w:t xml:space="preserve"> </w:t>
      </w:r>
      <w:r w:rsidR="00076827">
        <w:rPr>
          <w:b/>
          <w:i/>
          <w:sz w:val="28"/>
          <w:szCs w:val="28"/>
          <w:lang w:val="es-ES"/>
        </w:rPr>
        <w:t>a</w:t>
      </w:r>
      <w:r w:rsidR="00424CF6" w:rsidRPr="00424CF6">
        <w:rPr>
          <w:b/>
          <w:i/>
          <w:sz w:val="28"/>
          <w:szCs w:val="28"/>
          <w:lang w:val="es-ES"/>
        </w:rPr>
        <w:t xml:space="preserve">d </w:t>
      </w:r>
      <w:r w:rsidR="00076827">
        <w:rPr>
          <w:b/>
          <w:i/>
          <w:sz w:val="28"/>
          <w:szCs w:val="28"/>
          <w:lang w:val="es-ES"/>
        </w:rPr>
        <w:t>h</w:t>
      </w:r>
      <w:r w:rsidR="00424CF6" w:rsidRPr="00424CF6">
        <w:rPr>
          <w:b/>
          <w:i/>
          <w:sz w:val="28"/>
          <w:szCs w:val="28"/>
          <w:lang w:val="es-ES"/>
        </w:rPr>
        <w:t>oc</w:t>
      </w:r>
      <w:r w:rsidR="00424CF6" w:rsidRPr="00424CF6">
        <w:rPr>
          <w:b/>
          <w:sz w:val="28"/>
          <w:szCs w:val="28"/>
          <w:lang w:val="es-ES"/>
        </w:rPr>
        <w:t xml:space="preserve"> </w:t>
      </w:r>
      <w:r w:rsidR="003C4E80">
        <w:rPr>
          <w:b/>
          <w:sz w:val="28"/>
          <w:szCs w:val="28"/>
          <w:lang w:val="es-ES"/>
        </w:rPr>
        <w:t>en</w:t>
      </w:r>
      <w:r w:rsidR="00424CF6" w:rsidRPr="00424CF6">
        <w:rPr>
          <w:b/>
          <w:sz w:val="28"/>
          <w:szCs w:val="28"/>
          <w:lang w:val="es-ES"/>
        </w:rPr>
        <w:t xml:space="preserve"> </w:t>
      </w:r>
      <w:r w:rsidR="00076827">
        <w:rPr>
          <w:b/>
          <w:sz w:val="28"/>
          <w:szCs w:val="28"/>
          <w:lang w:val="es-ES"/>
        </w:rPr>
        <w:t>c</w:t>
      </w:r>
      <w:r w:rsidR="00424CF6" w:rsidRPr="00424CF6">
        <w:rPr>
          <w:b/>
          <w:sz w:val="28"/>
          <w:szCs w:val="28"/>
          <w:lang w:val="es-ES"/>
        </w:rPr>
        <w:t xml:space="preserve">onocimientos </w:t>
      </w:r>
      <w:r w:rsidR="00076827">
        <w:rPr>
          <w:b/>
          <w:sz w:val="28"/>
          <w:szCs w:val="28"/>
          <w:lang w:val="es-ES"/>
        </w:rPr>
        <w:t>t</w:t>
      </w:r>
      <w:r w:rsidR="00424CF6" w:rsidRPr="00424CF6">
        <w:rPr>
          <w:b/>
          <w:sz w:val="28"/>
          <w:szCs w:val="28"/>
          <w:lang w:val="es-ES"/>
        </w:rPr>
        <w:t xml:space="preserve">radicionales y </w:t>
      </w:r>
      <w:r w:rsidR="00076827">
        <w:rPr>
          <w:b/>
          <w:sz w:val="28"/>
          <w:szCs w:val="28"/>
          <w:lang w:val="es-ES"/>
        </w:rPr>
        <w:t>e</w:t>
      </w:r>
      <w:r w:rsidR="00424CF6" w:rsidRPr="00424CF6">
        <w:rPr>
          <w:b/>
          <w:sz w:val="28"/>
          <w:szCs w:val="28"/>
          <w:lang w:val="es-ES"/>
        </w:rPr>
        <w:t xml:space="preserve">xpresiones </w:t>
      </w:r>
      <w:r w:rsidR="00076827">
        <w:rPr>
          <w:b/>
          <w:sz w:val="28"/>
          <w:szCs w:val="28"/>
          <w:lang w:val="es-ES"/>
        </w:rPr>
        <w:t>c</w:t>
      </w:r>
      <w:r w:rsidR="00424CF6" w:rsidRPr="00424CF6">
        <w:rPr>
          <w:b/>
          <w:sz w:val="28"/>
          <w:szCs w:val="28"/>
          <w:lang w:val="es-ES"/>
        </w:rPr>
        <w:t xml:space="preserve">ulturales </w:t>
      </w:r>
      <w:r w:rsidR="00076827">
        <w:rPr>
          <w:b/>
          <w:sz w:val="28"/>
          <w:szCs w:val="28"/>
          <w:lang w:val="es-ES"/>
        </w:rPr>
        <w:t>t</w:t>
      </w:r>
      <w:r w:rsidR="00424CF6" w:rsidRPr="00424CF6">
        <w:rPr>
          <w:b/>
          <w:sz w:val="28"/>
          <w:szCs w:val="28"/>
          <w:lang w:val="es-ES"/>
        </w:rPr>
        <w:t>radicionales</w:t>
      </w:r>
    </w:p>
    <w:p w14:paraId="64D3D611" w14:textId="77777777" w:rsidR="000D4BD5" w:rsidRPr="00424CF6" w:rsidRDefault="000D4BD5" w:rsidP="000D4BD5">
      <w:pPr>
        <w:rPr>
          <w:lang w:val="es-ES"/>
        </w:rPr>
      </w:pPr>
    </w:p>
    <w:p w14:paraId="2DC82909" w14:textId="77777777" w:rsidR="000D4BD5" w:rsidRPr="00424CF6" w:rsidRDefault="000D4BD5" w:rsidP="000D4BD5">
      <w:pPr>
        <w:rPr>
          <w:lang w:val="es-ES"/>
        </w:rPr>
      </w:pPr>
    </w:p>
    <w:p w14:paraId="72DB1675" w14:textId="77777777" w:rsidR="00076827" w:rsidRPr="00076827" w:rsidRDefault="00076827" w:rsidP="000D4BD5">
      <w:pPr>
        <w:rPr>
          <w:b/>
          <w:sz w:val="24"/>
          <w:szCs w:val="24"/>
          <w:lang w:val="es-ES"/>
        </w:rPr>
      </w:pPr>
      <w:r w:rsidRPr="00076827">
        <w:rPr>
          <w:b/>
          <w:sz w:val="24"/>
          <w:szCs w:val="24"/>
          <w:lang w:val="es-ES"/>
        </w:rPr>
        <w:t>Ginebra, 9 de di</w:t>
      </w:r>
      <w:r>
        <w:rPr>
          <w:b/>
          <w:sz w:val="24"/>
          <w:szCs w:val="24"/>
          <w:lang w:val="es-ES"/>
        </w:rPr>
        <w:t>ciembre de 2018</w:t>
      </w:r>
    </w:p>
    <w:p w14:paraId="59F97EB0" w14:textId="77777777" w:rsidR="000D4BD5" w:rsidRPr="00076827" w:rsidRDefault="000D4BD5" w:rsidP="000D4BD5">
      <w:pPr>
        <w:rPr>
          <w:lang w:val="es-ES"/>
        </w:rPr>
      </w:pPr>
    </w:p>
    <w:p w14:paraId="537E0D43" w14:textId="77777777" w:rsidR="000D4BD5" w:rsidRPr="00076827" w:rsidRDefault="000D4BD5" w:rsidP="000D4BD5">
      <w:pPr>
        <w:rPr>
          <w:lang w:val="es-ES"/>
        </w:rPr>
      </w:pPr>
    </w:p>
    <w:p w14:paraId="25CFAFB0" w14:textId="77777777" w:rsidR="000D4BD5" w:rsidRPr="00076827" w:rsidRDefault="000D4BD5" w:rsidP="000D4BD5">
      <w:pPr>
        <w:rPr>
          <w:lang w:val="es-ES"/>
        </w:rPr>
      </w:pPr>
    </w:p>
    <w:p w14:paraId="2B93BF71" w14:textId="77777777" w:rsidR="000D4BD5" w:rsidRPr="00076827" w:rsidRDefault="00076827" w:rsidP="000D4BD5">
      <w:pPr>
        <w:rPr>
          <w:caps/>
          <w:sz w:val="24"/>
          <w:lang w:val="es-ES"/>
        </w:rPr>
      </w:pPr>
      <w:bookmarkStart w:id="3" w:name="TitleOfDoc"/>
      <w:bookmarkEnd w:id="3"/>
      <w:r w:rsidRPr="00076827">
        <w:rPr>
          <w:caps/>
          <w:sz w:val="24"/>
          <w:lang w:val="es-ES"/>
        </w:rPr>
        <w:t>NOTA DE ANTECEDENTES SOBRE ELEMENTOS S</w:t>
      </w:r>
      <w:r>
        <w:rPr>
          <w:caps/>
          <w:sz w:val="24"/>
          <w:lang w:val="es-ES"/>
        </w:rPr>
        <w:t>USTANTIVOS</w:t>
      </w:r>
    </w:p>
    <w:p w14:paraId="5E2416FC" w14:textId="77777777" w:rsidR="000D4BD5" w:rsidRPr="00076827" w:rsidRDefault="000D4BD5" w:rsidP="000D4BD5">
      <w:pPr>
        <w:rPr>
          <w:lang w:val="es-ES"/>
        </w:rPr>
      </w:pPr>
    </w:p>
    <w:p w14:paraId="29929F95" w14:textId="77777777" w:rsidR="000D4BD5" w:rsidRPr="00076827" w:rsidRDefault="00076827" w:rsidP="000D4BD5">
      <w:pPr>
        <w:rPr>
          <w:i/>
          <w:lang w:val="es-ES"/>
        </w:rPr>
      </w:pPr>
      <w:bookmarkStart w:id="4" w:name="Prepared"/>
      <w:bookmarkEnd w:id="4"/>
      <w:r>
        <w:rPr>
          <w:i/>
          <w:lang w:val="es-ES"/>
        </w:rPr>
        <w:t>p</w:t>
      </w:r>
      <w:r w:rsidRPr="00076827">
        <w:rPr>
          <w:i/>
          <w:lang w:val="es-ES"/>
        </w:rPr>
        <w:t xml:space="preserve">reparada por la Oficina Internacional de </w:t>
      </w:r>
      <w:r>
        <w:rPr>
          <w:i/>
          <w:lang w:val="es-ES"/>
        </w:rPr>
        <w:t>la OMPI</w:t>
      </w:r>
    </w:p>
    <w:p w14:paraId="7900EF64" w14:textId="77777777" w:rsidR="000D4BD5" w:rsidRPr="00076827" w:rsidRDefault="000D4BD5" w:rsidP="000D4BD5">
      <w:pPr>
        <w:rPr>
          <w:lang w:val="es-ES"/>
        </w:rPr>
      </w:pPr>
    </w:p>
    <w:p w14:paraId="33ECCE7C" w14:textId="77777777" w:rsidR="000D4BD5" w:rsidRPr="00076827" w:rsidRDefault="000D4BD5" w:rsidP="000D4BD5">
      <w:pPr>
        <w:rPr>
          <w:lang w:val="es-ES"/>
        </w:rPr>
      </w:pPr>
    </w:p>
    <w:p w14:paraId="1EBA27F7" w14:textId="77777777" w:rsidR="000D4BD5" w:rsidRPr="00076827" w:rsidRDefault="000D4BD5" w:rsidP="000D4BD5">
      <w:pPr>
        <w:rPr>
          <w:lang w:val="es-ES"/>
        </w:rPr>
      </w:pPr>
    </w:p>
    <w:p w14:paraId="669BFC0E" w14:textId="77777777" w:rsidR="000F5E56" w:rsidRPr="00076827" w:rsidRDefault="000F5E56">
      <w:pPr>
        <w:rPr>
          <w:lang w:val="es-ES"/>
        </w:rPr>
      </w:pPr>
    </w:p>
    <w:p w14:paraId="09219050" w14:textId="77777777" w:rsidR="000D4BD5" w:rsidRPr="00076827" w:rsidRDefault="000D4BD5">
      <w:pPr>
        <w:rPr>
          <w:lang w:val="es-ES"/>
        </w:rPr>
      </w:pPr>
      <w:r w:rsidRPr="00076827">
        <w:rPr>
          <w:lang w:val="es-ES"/>
        </w:rPr>
        <w:br w:type="page"/>
      </w:r>
    </w:p>
    <w:p w14:paraId="67A9FDC4" w14:textId="5F8FD15D" w:rsidR="00076827" w:rsidRPr="00076827" w:rsidRDefault="000D4BD5" w:rsidP="00610789">
      <w:pPr>
        <w:rPr>
          <w:lang w:val="es-ES"/>
        </w:rPr>
      </w:pPr>
      <w:r>
        <w:lastRenderedPageBreak/>
        <w:fldChar w:fldCharType="begin"/>
      </w:r>
      <w:r w:rsidRPr="00076827">
        <w:rPr>
          <w:lang w:val="es-ES"/>
        </w:rPr>
        <w:instrText xml:space="preserve"> AUTONUM  </w:instrText>
      </w:r>
      <w:r>
        <w:fldChar w:fldCharType="end"/>
      </w:r>
      <w:r w:rsidRPr="00076827">
        <w:rPr>
          <w:lang w:val="es-ES"/>
        </w:rPr>
        <w:tab/>
      </w:r>
      <w:r w:rsidR="00076827" w:rsidRPr="00076827">
        <w:rPr>
          <w:lang w:val="es-ES"/>
        </w:rPr>
        <w:t xml:space="preserve">El objetivo general del </w:t>
      </w:r>
      <w:r w:rsidR="00EC2451">
        <w:rPr>
          <w:lang w:val="es-ES"/>
        </w:rPr>
        <w:t>grupo de especialistas</w:t>
      </w:r>
      <w:r w:rsidR="00076827">
        <w:rPr>
          <w:lang w:val="es-ES"/>
        </w:rPr>
        <w:t xml:space="preserve"> </w:t>
      </w:r>
      <w:r w:rsidR="00076827">
        <w:rPr>
          <w:i/>
          <w:lang w:val="es-ES"/>
        </w:rPr>
        <w:t>ad hoc</w:t>
      </w:r>
      <w:r w:rsidR="00076827">
        <w:rPr>
          <w:lang w:val="es-ES"/>
        </w:rPr>
        <w:t xml:space="preserve"> </w:t>
      </w:r>
      <w:r w:rsidR="003C4E80">
        <w:rPr>
          <w:lang w:val="es-ES"/>
        </w:rPr>
        <w:t xml:space="preserve">en </w:t>
      </w:r>
      <w:r w:rsidR="00076827">
        <w:rPr>
          <w:lang w:val="es-ES"/>
        </w:rPr>
        <w:t>conocimientos tradicionales y expresiones culturales tradicionales es, como se desprende del mandato del Comité Intergubernamental sobre Propiedad Intelectual y Recursos Genéticos, Conocimientos Tradicionales y Folclore (“CIG”) y de las decisiones tomadas en la trigésima séptima sesión del CIG, celebrada del 27 al 31 de agosto de 2018, dar respuesta a cuestiones específicas de carácter jurídico, normativo o técnico. Los resultados de su labor se comunicarán al CIG, que los examinará en mayor profundidad.</w:t>
      </w:r>
    </w:p>
    <w:p w14:paraId="7F792496" w14:textId="77777777" w:rsidR="00610789" w:rsidRPr="003D1A90" w:rsidRDefault="00610789" w:rsidP="00610789">
      <w:pPr>
        <w:rPr>
          <w:szCs w:val="22"/>
          <w:lang w:val="es-ES"/>
        </w:rPr>
      </w:pPr>
    </w:p>
    <w:p w14:paraId="657D8D45" w14:textId="11630054" w:rsidR="00681477" w:rsidRPr="00681477" w:rsidRDefault="00610789" w:rsidP="00610789">
      <w:pPr>
        <w:rPr>
          <w:lang w:val="es-ES"/>
        </w:rPr>
      </w:pPr>
      <w:r>
        <w:fldChar w:fldCharType="begin"/>
      </w:r>
      <w:r w:rsidRPr="00681477">
        <w:rPr>
          <w:lang w:val="es-ES"/>
        </w:rPr>
        <w:instrText xml:space="preserve"> AUTONUM  </w:instrText>
      </w:r>
      <w:r>
        <w:fldChar w:fldCharType="end"/>
      </w:r>
      <w:r w:rsidRPr="00681477">
        <w:rPr>
          <w:lang w:val="es-ES"/>
        </w:rPr>
        <w:tab/>
      </w:r>
      <w:r w:rsidR="00681477" w:rsidRPr="00681477">
        <w:rPr>
          <w:lang w:val="es-ES"/>
        </w:rPr>
        <w:t>De acuerdo con las d</w:t>
      </w:r>
      <w:r w:rsidR="00681477">
        <w:rPr>
          <w:lang w:val="es-ES"/>
        </w:rPr>
        <w:t xml:space="preserve">ecisiones tomadas en la trigésima séptima sesión del CIG, se invitó a los Estados miembros, por medio de los coordinadores regionales, a que propusieran las cuestiones específicas que debían someterse al examen del </w:t>
      </w:r>
      <w:r w:rsidR="00EC2451">
        <w:rPr>
          <w:lang w:val="es-ES"/>
        </w:rPr>
        <w:t>grupo de especialistas</w:t>
      </w:r>
      <w:r w:rsidR="00681477">
        <w:rPr>
          <w:lang w:val="es-ES"/>
        </w:rPr>
        <w:t xml:space="preserve"> </w:t>
      </w:r>
      <w:r w:rsidR="00681477">
        <w:rPr>
          <w:i/>
          <w:lang w:val="es-ES"/>
        </w:rPr>
        <w:t>ad hoc</w:t>
      </w:r>
      <w:r w:rsidR="00681477">
        <w:rPr>
          <w:lang w:val="es-ES"/>
        </w:rPr>
        <w:t xml:space="preserve">. El presidente y los vicepresidentes del CIG establecieron una lista de cuestiones a partir de las propuestas presentadas por los Estados miembros, y la pusieron a disposición de los coordinadores regionales para que formularan comentarios. En consecuencia, el presidente y los vicepresidentes han establecido la siguiente lista: </w:t>
      </w:r>
    </w:p>
    <w:p w14:paraId="1CA176CC" w14:textId="77777777" w:rsidR="00610789" w:rsidRPr="00EB15A8" w:rsidRDefault="00610789" w:rsidP="00610789">
      <w:pPr>
        <w:rPr>
          <w:lang w:val="es-ES"/>
        </w:rPr>
      </w:pPr>
      <w:bookmarkStart w:id="5" w:name="_GoBack"/>
      <w:bookmarkEnd w:id="5"/>
    </w:p>
    <w:p w14:paraId="795724B5" w14:textId="77777777" w:rsidR="00F54D37" w:rsidRPr="00EB15A8" w:rsidRDefault="00D05554" w:rsidP="00F54D37">
      <w:pPr>
        <w:ind w:left="567"/>
        <w:rPr>
          <w:szCs w:val="22"/>
          <w:lang w:val="es-ES"/>
        </w:rPr>
      </w:pPr>
      <w:r w:rsidRPr="00EB15A8">
        <w:rPr>
          <w:szCs w:val="22"/>
          <w:lang w:val="es-ES"/>
        </w:rPr>
        <w:t>1)</w:t>
      </w:r>
      <w:r w:rsidR="00F54D37" w:rsidRPr="00EB15A8">
        <w:rPr>
          <w:szCs w:val="22"/>
          <w:lang w:val="es-ES"/>
        </w:rPr>
        <w:t xml:space="preserve"> </w:t>
      </w:r>
      <w:r w:rsidR="00681477" w:rsidRPr="00EB15A8">
        <w:rPr>
          <w:szCs w:val="22"/>
          <w:lang w:val="es-ES"/>
        </w:rPr>
        <w:t>Materia</w:t>
      </w:r>
    </w:p>
    <w:p w14:paraId="1F28213A" w14:textId="77777777" w:rsidR="008D4D45" w:rsidRPr="00EB15A8" w:rsidRDefault="00681477" w:rsidP="00F54D37">
      <w:pPr>
        <w:pStyle w:val="ListParagraph"/>
        <w:numPr>
          <w:ilvl w:val="0"/>
          <w:numId w:val="13"/>
        </w:numPr>
        <w:ind w:left="1287"/>
        <w:rPr>
          <w:szCs w:val="22"/>
          <w:lang w:val="es-ES"/>
        </w:rPr>
      </w:pPr>
      <w:r w:rsidRPr="00EB15A8">
        <w:rPr>
          <w:szCs w:val="22"/>
          <w:lang w:val="es-ES"/>
        </w:rPr>
        <w:t>Conocimientos tradicionales</w:t>
      </w:r>
    </w:p>
    <w:p w14:paraId="618F7015" w14:textId="77777777" w:rsidR="008D4D45" w:rsidRPr="00EB15A8" w:rsidRDefault="00681477" w:rsidP="00F54D37">
      <w:pPr>
        <w:pStyle w:val="ListParagraph"/>
        <w:numPr>
          <w:ilvl w:val="0"/>
          <w:numId w:val="13"/>
        </w:numPr>
        <w:ind w:left="1287"/>
        <w:rPr>
          <w:szCs w:val="22"/>
          <w:lang w:val="es-ES"/>
        </w:rPr>
      </w:pPr>
      <w:r w:rsidRPr="00EB15A8">
        <w:rPr>
          <w:szCs w:val="22"/>
          <w:lang w:val="es-ES"/>
        </w:rPr>
        <w:t>Expresiones culturales tradicionales</w:t>
      </w:r>
    </w:p>
    <w:p w14:paraId="56CBB071" w14:textId="77777777" w:rsidR="00F54D37" w:rsidRPr="0019535F" w:rsidRDefault="00F54D37" w:rsidP="00F54D37">
      <w:pPr>
        <w:ind w:left="567"/>
        <w:rPr>
          <w:szCs w:val="22"/>
        </w:rPr>
      </w:pPr>
    </w:p>
    <w:p w14:paraId="5F3CBE95" w14:textId="77777777" w:rsidR="00F54D37" w:rsidRPr="00EB15A8" w:rsidRDefault="00D05554" w:rsidP="00F54D37">
      <w:pPr>
        <w:ind w:left="567"/>
        <w:rPr>
          <w:szCs w:val="22"/>
          <w:lang w:val="es-ES"/>
        </w:rPr>
      </w:pPr>
      <w:r w:rsidRPr="00EB15A8">
        <w:rPr>
          <w:szCs w:val="22"/>
          <w:lang w:val="es-ES"/>
        </w:rPr>
        <w:t>2)</w:t>
      </w:r>
      <w:r w:rsidR="00F54D37" w:rsidRPr="00EB15A8">
        <w:rPr>
          <w:szCs w:val="22"/>
          <w:lang w:val="es-ES"/>
        </w:rPr>
        <w:t xml:space="preserve"> </w:t>
      </w:r>
      <w:r w:rsidR="00EB15A8" w:rsidRPr="00EB15A8">
        <w:rPr>
          <w:szCs w:val="22"/>
          <w:lang w:val="es-ES"/>
        </w:rPr>
        <w:t>Cuestiones transversales relativas a los conocimientos tradicionales y las expresiones culturales tradicionales</w:t>
      </w:r>
    </w:p>
    <w:p w14:paraId="38684AAC" w14:textId="101EDB2B" w:rsidR="00F54D37" w:rsidRPr="00EB15A8" w:rsidRDefault="009D1AA6" w:rsidP="00F54D37">
      <w:pPr>
        <w:pStyle w:val="ListParagraph"/>
        <w:numPr>
          <w:ilvl w:val="0"/>
          <w:numId w:val="14"/>
        </w:numPr>
        <w:ind w:left="1287"/>
        <w:rPr>
          <w:szCs w:val="22"/>
          <w:lang w:val="es-ES"/>
        </w:rPr>
      </w:pPr>
      <w:r>
        <w:rPr>
          <w:szCs w:val="22"/>
          <w:lang w:val="es-ES"/>
        </w:rPr>
        <w:t xml:space="preserve">Interacción entre la </w:t>
      </w:r>
      <w:r w:rsidR="00EB15A8" w:rsidRPr="00EB15A8">
        <w:rPr>
          <w:szCs w:val="22"/>
          <w:lang w:val="es-ES"/>
        </w:rPr>
        <w:t>materia,</w:t>
      </w:r>
      <w:r>
        <w:rPr>
          <w:szCs w:val="22"/>
          <w:lang w:val="es-ES"/>
        </w:rPr>
        <w:t xml:space="preserve"> los</w:t>
      </w:r>
      <w:r w:rsidR="00EB15A8" w:rsidRPr="00EB15A8">
        <w:rPr>
          <w:szCs w:val="22"/>
          <w:lang w:val="es-ES"/>
        </w:rPr>
        <w:t xml:space="preserve"> criterios de admisibilidad y</w:t>
      </w:r>
      <w:r>
        <w:rPr>
          <w:szCs w:val="22"/>
          <w:lang w:val="es-ES"/>
        </w:rPr>
        <w:t xml:space="preserve"> el</w:t>
      </w:r>
      <w:r w:rsidR="00EB15A8" w:rsidRPr="00EB15A8">
        <w:rPr>
          <w:szCs w:val="22"/>
          <w:lang w:val="es-ES"/>
        </w:rPr>
        <w:t xml:space="preserve"> alcance d</w:t>
      </w:r>
      <w:r w:rsidR="00EB15A8">
        <w:rPr>
          <w:szCs w:val="22"/>
          <w:lang w:val="es-ES"/>
        </w:rPr>
        <w:t>e la protección</w:t>
      </w:r>
    </w:p>
    <w:p w14:paraId="14057B95" w14:textId="1143B6D9" w:rsidR="009D1AA6" w:rsidRPr="009D1AA6" w:rsidRDefault="009D1AA6" w:rsidP="00F54D37">
      <w:pPr>
        <w:pStyle w:val="ListParagraph"/>
        <w:numPr>
          <w:ilvl w:val="0"/>
          <w:numId w:val="14"/>
        </w:numPr>
        <w:ind w:left="1287"/>
        <w:rPr>
          <w:szCs w:val="22"/>
          <w:lang w:val="es-ES"/>
        </w:rPr>
      </w:pPr>
      <w:r w:rsidRPr="009D1AA6">
        <w:rPr>
          <w:szCs w:val="22"/>
          <w:lang w:val="es-ES"/>
        </w:rPr>
        <w:t>Alcance de la protección (</w:t>
      </w:r>
      <w:r w:rsidR="00D10AD8">
        <w:rPr>
          <w:szCs w:val="22"/>
          <w:lang w:val="es-ES"/>
        </w:rPr>
        <w:t xml:space="preserve">con eventual inclusión de </w:t>
      </w:r>
      <w:r w:rsidRPr="009D1AA6">
        <w:rPr>
          <w:szCs w:val="22"/>
          <w:lang w:val="es-ES"/>
        </w:rPr>
        <w:t>“enfoque</w:t>
      </w:r>
      <w:r>
        <w:rPr>
          <w:szCs w:val="22"/>
          <w:lang w:val="es-ES"/>
        </w:rPr>
        <w:t xml:space="preserve"> estratificado</w:t>
      </w:r>
      <w:r w:rsidRPr="009D1AA6">
        <w:rPr>
          <w:szCs w:val="22"/>
          <w:lang w:val="es-ES"/>
        </w:rPr>
        <w:t>”</w:t>
      </w:r>
      <w:r w:rsidR="0032171C">
        <w:rPr>
          <w:szCs w:val="22"/>
          <w:lang w:val="es-ES"/>
        </w:rPr>
        <w:t xml:space="preserve"> </w:t>
      </w:r>
      <w:r w:rsidR="00D10AD8">
        <w:rPr>
          <w:szCs w:val="22"/>
          <w:lang w:val="es-ES"/>
        </w:rPr>
        <w:t>/</w:t>
      </w:r>
      <w:r w:rsidR="0032171C">
        <w:rPr>
          <w:szCs w:val="22"/>
          <w:lang w:val="es-ES"/>
        </w:rPr>
        <w:t xml:space="preserve"> </w:t>
      </w:r>
      <w:r>
        <w:rPr>
          <w:szCs w:val="22"/>
          <w:lang w:val="es-ES"/>
        </w:rPr>
        <w:t>“protección diferenciada”</w:t>
      </w:r>
      <w:r w:rsidRPr="009D1AA6">
        <w:rPr>
          <w:szCs w:val="22"/>
          <w:lang w:val="es-ES"/>
        </w:rPr>
        <w:t>)</w:t>
      </w:r>
      <w:r w:rsidR="00CD5B6C">
        <w:rPr>
          <w:szCs w:val="22"/>
          <w:lang w:val="es-ES"/>
        </w:rPr>
        <w:t>.</w:t>
      </w:r>
    </w:p>
    <w:p w14:paraId="3162C777" w14:textId="77777777" w:rsidR="000D4BD5" w:rsidRPr="00D10AD8" w:rsidRDefault="000D4BD5" w:rsidP="000D4BD5">
      <w:pPr>
        <w:rPr>
          <w:lang w:val="es-ES"/>
        </w:rPr>
      </w:pPr>
    </w:p>
    <w:p w14:paraId="358AECE2" w14:textId="3DF797A2" w:rsidR="00CD5B6C" w:rsidRPr="00CD5B6C" w:rsidRDefault="000D4BD5" w:rsidP="000D4BD5">
      <w:pPr>
        <w:rPr>
          <w:lang w:val="es-ES"/>
        </w:rPr>
      </w:pPr>
      <w:r w:rsidRPr="008E6E2E">
        <w:fldChar w:fldCharType="begin"/>
      </w:r>
      <w:r w:rsidRPr="00CD5B6C">
        <w:rPr>
          <w:lang w:val="es-ES"/>
        </w:rPr>
        <w:instrText xml:space="preserve"> AUTONUM  </w:instrText>
      </w:r>
      <w:r w:rsidRPr="008E6E2E">
        <w:fldChar w:fldCharType="end"/>
      </w:r>
      <w:r w:rsidRPr="00CD5B6C">
        <w:rPr>
          <w:lang w:val="es-ES"/>
        </w:rPr>
        <w:tab/>
      </w:r>
      <w:r w:rsidR="00CD5B6C" w:rsidRPr="00CD5B6C">
        <w:rPr>
          <w:lang w:val="es-ES"/>
        </w:rPr>
        <w:t>En la presente nota d</w:t>
      </w:r>
      <w:r w:rsidR="00CD5B6C">
        <w:rPr>
          <w:lang w:val="es-ES"/>
        </w:rPr>
        <w:t xml:space="preserve">e antecedentes sobre elementos sustantivos se aportan antecedentes sobre la lista de cuestiones y se proponen algunos aspectos para que el </w:t>
      </w:r>
      <w:r w:rsidR="00EC2451">
        <w:rPr>
          <w:lang w:val="es-ES"/>
        </w:rPr>
        <w:t>grupo de especialistas</w:t>
      </w:r>
      <w:r w:rsidR="00CD5B6C">
        <w:rPr>
          <w:lang w:val="es-ES"/>
        </w:rPr>
        <w:t xml:space="preserve"> </w:t>
      </w:r>
      <w:r w:rsidR="00CD5B6C">
        <w:rPr>
          <w:i/>
          <w:lang w:val="es-ES"/>
        </w:rPr>
        <w:t>ad hoc</w:t>
      </w:r>
      <w:r w:rsidR="00CD5B6C">
        <w:rPr>
          <w:lang w:val="es-ES"/>
        </w:rPr>
        <w:t xml:space="preserve"> los examine. No se prevé que </w:t>
      </w:r>
      <w:r w:rsidR="0081630D">
        <w:rPr>
          <w:lang w:val="es-ES"/>
        </w:rPr>
        <w:t>el</w:t>
      </w:r>
      <w:r w:rsidR="00CD5B6C">
        <w:rPr>
          <w:lang w:val="es-ES"/>
        </w:rPr>
        <w:t xml:space="preserve"> </w:t>
      </w:r>
      <w:r w:rsidR="00EC2451">
        <w:rPr>
          <w:lang w:val="es-ES"/>
        </w:rPr>
        <w:t>grupo de especialistas</w:t>
      </w:r>
      <w:r w:rsidR="00CD5B6C">
        <w:rPr>
          <w:lang w:val="es-ES"/>
        </w:rPr>
        <w:t xml:space="preserve"> </w:t>
      </w:r>
      <w:r w:rsidR="00CD5B6C">
        <w:rPr>
          <w:i/>
          <w:lang w:val="es-ES"/>
        </w:rPr>
        <w:t>ad hoc</w:t>
      </w:r>
      <w:r w:rsidR="00CD5B6C">
        <w:rPr>
          <w:lang w:val="es-ES"/>
        </w:rPr>
        <w:t xml:space="preserve"> pueda abordar todos </w:t>
      </w:r>
      <w:r w:rsidR="0032171C">
        <w:rPr>
          <w:lang w:val="es-ES"/>
        </w:rPr>
        <w:t>los aspectos y</w:t>
      </w:r>
      <w:r w:rsidR="00CD5B6C">
        <w:rPr>
          <w:lang w:val="es-ES"/>
        </w:rPr>
        <w:t xml:space="preserve"> cuestiones </w:t>
      </w:r>
      <w:r w:rsidR="00A275C1">
        <w:rPr>
          <w:lang w:val="es-ES"/>
        </w:rPr>
        <w:t>que figuran a continuación</w:t>
      </w:r>
      <w:r w:rsidR="00CD5B6C">
        <w:rPr>
          <w:lang w:val="es-ES"/>
        </w:rPr>
        <w:t>. Los vicepresidentes</w:t>
      </w:r>
      <w:r w:rsidR="00A275C1">
        <w:rPr>
          <w:lang w:val="es-ES"/>
        </w:rPr>
        <w:t xml:space="preserve"> del grupo </w:t>
      </w:r>
      <w:r w:rsidR="00CD5B6C">
        <w:rPr>
          <w:lang w:val="es-ES"/>
        </w:rPr>
        <w:t xml:space="preserve">proporcionarán más orientación sobre las cuestiones específicas que se abordarán en esta reunión específica. Cabe recordar que también se examinará la cuestión de los conocimientos tradicionales (“CC.TT.”) y las expresiones culturales tradicionales (“ECT”) en las </w:t>
      </w:r>
      <w:r w:rsidR="00DE7051">
        <w:rPr>
          <w:lang w:val="es-ES"/>
        </w:rPr>
        <w:t xml:space="preserve">sesiones trigésima octava, trigésima novena y cuadragésima del CIG, y, si así lo decide el Comité, se reunirá un </w:t>
      </w:r>
      <w:r w:rsidR="00EC2451">
        <w:rPr>
          <w:lang w:val="es-ES"/>
        </w:rPr>
        <w:t>grupo de especialistas</w:t>
      </w:r>
      <w:r w:rsidR="00DE7051">
        <w:rPr>
          <w:lang w:val="es-ES"/>
        </w:rPr>
        <w:t xml:space="preserve"> </w:t>
      </w:r>
      <w:r w:rsidR="00DE7051">
        <w:rPr>
          <w:i/>
          <w:lang w:val="es-ES"/>
        </w:rPr>
        <w:t>ad hoc</w:t>
      </w:r>
      <w:r w:rsidR="00DE7051">
        <w:rPr>
          <w:lang w:val="es-ES"/>
        </w:rPr>
        <w:t xml:space="preserve"> antes de su cuadragésima sesión.</w:t>
      </w:r>
      <w:r w:rsidR="00CD5B6C">
        <w:rPr>
          <w:lang w:val="es-ES"/>
        </w:rPr>
        <w:t xml:space="preserve"> </w:t>
      </w:r>
    </w:p>
    <w:p w14:paraId="2DAE6CF9" w14:textId="77777777" w:rsidR="000D4BD5" w:rsidRPr="00EC2451" w:rsidRDefault="000D4BD5" w:rsidP="000D4BD5">
      <w:pPr>
        <w:rPr>
          <w:lang w:val="es-ES"/>
        </w:rPr>
      </w:pPr>
    </w:p>
    <w:p w14:paraId="17976241" w14:textId="62D62349" w:rsidR="000D4BD5" w:rsidRPr="000D04CF" w:rsidRDefault="000D04CF" w:rsidP="000D4BD5">
      <w:pPr>
        <w:rPr>
          <w:b/>
          <w:lang w:val="es-ES"/>
        </w:rPr>
      </w:pPr>
      <w:r>
        <w:rPr>
          <w:b/>
          <w:lang w:val="es-ES"/>
        </w:rPr>
        <w:t>Materia</w:t>
      </w:r>
    </w:p>
    <w:p w14:paraId="25A10A44" w14:textId="77777777" w:rsidR="000D4BD5" w:rsidRPr="000D04CF" w:rsidRDefault="000D4BD5" w:rsidP="000D4BD5">
      <w:pPr>
        <w:rPr>
          <w:lang w:val="es-ES"/>
        </w:rPr>
      </w:pPr>
    </w:p>
    <w:p w14:paraId="2E13A474" w14:textId="5E80FF96" w:rsidR="00DE7051" w:rsidRPr="000D04CF" w:rsidRDefault="000D4BD5" w:rsidP="000D4BD5">
      <w:pPr>
        <w:rPr>
          <w:lang w:val="es-ES"/>
        </w:rPr>
      </w:pPr>
      <w:r>
        <w:fldChar w:fldCharType="begin"/>
      </w:r>
      <w:r w:rsidRPr="000D04CF">
        <w:rPr>
          <w:lang w:val="es-ES"/>
        </w:rPr>
        <w:instrText xml:space="preserve"> AUTONUM  </w:instrText>
      </w:r>
      <w:r>
        <w:fldChar w:fldCharType="end"/>
      </w:r>
      <w:r w:rsidRPr="000D04CF">
        <w:rPr>
          <w:lang w:val="es-ES"/>
        </w:rPr>
        <w:tab/>
      </w:r>
      <w:r w:rsidR="000D04CF" w:rsidRPr="000D04CF">
        <w:rPr>
          <w:lang w:val="es-ES"/>
        </w:rPr>
        <w:t>Los actuales texto</w:t>
      </w:r>
      <w:r w:rsidR="000D04CF">
        <w:rPr>
          <w:lang w:val="es-ES"/>
        </w:rPr>
        <w:t xml:space="preserve">s de negociación </w:t>
      </w:r>
      <w:r w:rsidR="00A275C1">
        <w:rPr>
          <w:lang w:val="es-ES"/>
        </w:rPr>
        <w:t>de</w:t>
      </w:r>
      <w:r w:rsidR="000D04CF">
        <w:rPr>
          <w:lang w:val="es-ES"/>
        </w:rPr>
        <w:t xml:space="preserve"> CC.TT. y ECT (documentos </w:t>
      </w:r>
      <w:r w:rsidR="000D04CF" w:rsidRPr="000D04CF">
        <w:rPr>
          <w:lang w:val="es-ES"/>
        </w:rPr>
        <w:t>WIPO/GRTKF/IC/38/4</w:t>
      </w:r>
      <w:r w:rsidR="009E779B">
        <w:rPr>
          <w:lang w:val="es-ES"/>
        </w:rPr>
        <w:t xml:space="preserve"> </w:t>
      </w:r>
      <w:r w:rsidR="000D04CF" w:rsidRPr="000D04CF">
        <w:rPr>
          <w:lang w:val="es-ES"/>
        </w:rPr>
        <w:t>y WIPO/GRTKF/IC/38/5</w:t>
      </w:r>
      <w:r w:rsidR="000D04CF">
        <w:rPr>
          <w:lang w:val="es-ES"/>
        </w:rPr>
        <w:t>)</w:t>
      </w:r>
      <w:r w:rsidR="009E779B">
        <w:rPr>
          <w:lang w:val="es-ES"/>
        </w:rPr>
        <w:t xml:space="preserve"> incluyen proyectos de definiciones de CC.TT. y ECT (artículo 1 de los textos respectivos) y de </w:t>
      </w:r>
      <w:r w:rsidR="00A275C1">
        <w:rPr>
          <w:lang w:val="es-ES"/>
        </w:rPr>
        <w:t xml:space="preserve">artículos sobre </w:t>
      </w:r>
      <w:r w:rsidR="009E779B">
        <w:rPr>
          <w:lang w:val="es-ES"/>
        </w:rPr>
        <w:t>la materia (artículo 3 de los textos respectivos).</w:t>
      </w:r>
    </w:p>
    <w:p w14:paraId="71BB5C6A" w14:textId="77777777" w:rsidR="00BA16E1" w:rsidRPr="003D1A90" w:rsidRDefault="00BA16E1" w:rsidP="000D4BD5">
      <w:pPr>
        <w:rPr>
          <w:lang w:val="es-ES"/>
        </w:rPr>
      </w:pPr>
    </w:p>
    <w:p w14:paraId="1CD39B9C" w14:textId="67485A29" w:rsidR="009E779B" w:rsidRPr="00E818A5" w:rsidRDefault="00BA16E1" w:rsidP="00BA16E1">
      <w:pPr>
        <w:rPr>
          <w:lang w:val="es-ES"/>
        </w:rPr>
      </w:pPr>
      <w:r>
        <w:fldChar w:fldCharType="begin"/>
      </w:r>
      <w:r w:rsidRPr="009E779B">
        <w:rPr>
          <w:lang w:val="es-ES"/>
        </w:rPr>
        <w:instrText xml:space="preserve"> AUTONUM  </w:instrText>
      </w:r>
      <w:r>
        <w:fldChar w:fldCharType="end"/>
      </w:r>
      <w:r w:rsidRPr="009E779B">
        <w:rPr>
          <w:lang w:val="es-ES"/>
        </w:rPr>
        <w:tab/>
      </w:r>
      <w:r w:rsidR="009E779B" w:rsidRPr="009E779B">
        <w:rPr>
          <w:lang w:val="es-ES"/>
        </w:rPr>
        <w:t>En los instrumentos jurídicos, l</w:t>
      </w:r>
      <w:r w:rsidR="009E779B">
        <w:rPr>
          <w:lang w:val="es-ES"/>
        </w:rPr>
        <w:t xml:space="preserve">as disposiciones relativas a la materia suelen tener como fin definir el alcance de la materia </w:t>
      </w:r>
      <w:r w:rsidR="009E779B" w:rsidRPr="008C0180">
        <w:rPr>
          <w:lang w:val="es-ES"/>
        </w:rPr>
        <w:t>objeto de protección. A menudo, las normas internacionales de propiedad intelectual (“PI”)</w:t>
      </w:r>
      <w:r w:rsidR="008C0180" w:rsidRPr="008C0180">
        <w:rPr>
          <w:lang w:val="es-ES"/>
        </w:rPr>
        <w:t xml:space="preserve"> remiten al nivel nacional la determinación del alcance preciso de la materia objeto de protección. </w:t>
      </w:r>
      <w:r w:rsidR="00A275C1">
        <w:rPr>
          <w:lang w:val="es-ES"/>
        </w:rPr>
        <w:t>L</w:t>
      </w:r>
      <w:r w:rsidR="008C0180" w:rsidRPr="008C0180">
        <w:rPr>
          <w:lang w:val="es-ES"/>
        </w:rPr>
        <w:t>os instrumentos internacionales</w:t>
      </w:r>
      <w:r w:rsidR="00041042">
        <w:rPr>
          <w:lang w:val="es-ES"/>
        </w:rPr>
        <w:t xml:space="preserve"> </w:t>
      </w:r>
      <w:r w:rsidR="00A275C1">
        <w:rPr>
          <w:lang w:val="es-ES"/>
        </w:rPr>
        <w:t>varían entre los que</w:t>
      </w:r>
      <w:r w:rsidR="008C0180">
        <w:rPr>
          <w:lang w:val="es-ES"/>
        </w:rPr>
        <w:t xml:space="preserve"> facilita</w:t>
      </w:r>
      <w:r w:rsidR="00A275C1">
        <w:rPr>
          <w:lang w:val="es-ES"/>
        </w:rPr>
        <w:t>n</w:t>
      </w:r>
      <w:r w:rsidR="008C0180">
        <w:rPr>
          <w:lang w:val="es-ES"/>
        </w:rPr>
        <w:t xml:space="preserve"> una descripción amplia y general de la materia </w:t>
      </w:r>
      <w:r w:rsidR="00AE6C48">
        <w:rPr>
          <w:lang w:val="es-ES"/>
        </w:rPr>
        <w:t>y los que</w:t>
      </w:r>
      <w:r w:rsidR="008C0180">
        <w:rPr>
          <w:lang w:val="es-ES"/>
        </w:rPr>
        <w:t xml:space="preserve"> </w:t>
      </w:r>
      <w:r w:rsidR="00AE6C48">
        <w:rPr>
          <w:lang w:val="es-ES"/>
        </w:rPr>
        <w:t>fijan</w:t>
      </w:r>
      <w:r w:rsidR="008C0180">
        <w:rPr>
          <w:lang w:val="es-ES"/>
        </w:rPr>
        <w:t xml:space="preserve"> un conjunto de criterios que la materia </w:t>
      </w:r>
      <w:r w:rsidR="00041042">
        <w:rPr>
          <w:lang w:val="es-ES"/>
        </w:rPr>
        <w:t>debe cumplir para</w:t>
      </w:r>
      <w:r w:rsidR="008C0180">
        <w:rPr>
          <w:lang w:val="es-ES"/>
        </w:rPr>
        <w:t xml:space="preserve"> ser objeto de protección (en el contexto del CIG, denomina</w:t>
      </w:r>
      <w:r w:rsidR="00041042">
        <w:rPr>
          <w:lang w:val="es-ES"/>
        </w:rPr>
        <w:t>dos</w:t>
      </w:r>
      <w:r w:rsidR="008C0180">
        <w:rPr>
          <w:lang w:val="es-ES"/>
        </w:rPr>
        <w:t xml:space="preserve"> “criterios de admisibilidad”),</w:t>
      </w:r>
      <w:r w:rsidR="00041042">
        <w:rPr>
          <w:lang w:val="es-ES"/>
        </w:rPr>
        <w:t xml:space="preserve"> </w:t>
      </w:r>
      <w:r w:rsidR="00AE6C48">
        <w:rPr>
          <w:lang w:val="es-ES"/>
        </w:rPr>
        <w:t>además de los instrumentos que no ofrecen</w:t>
      </w:r>
      <w:r w:rsidR="00041042">
        <w:rPr>
          <w:lang w:val="es-ES"/>
        </w:rPr>
        <w:t xml:space="preserve"> ninguna definición. Por ejemplo, el </w:t>
      </w:r>
      <w:r w:rsidR="00041042" w:rsidRPr="00041042">
        <w:rPr>
          <w:lang w:val="es-ES"/>
        </w:rPr>
        <w:t>Acuerdo sobre los Aspectos de los Derechos de Propiedad Intelectual relacionados con el Comercio</w:t>
      </w:r>
      <w:r w:rsidR="00041042">
        <w:rPr>
          <w:lang w:val="es-ES"/>
        </w:rPr>
        <w:t xml:space="preserve"> </w:t>
      </w:r>
      <w:r w:rsidR="00E818A5" w:rsidRPr="00E818A5">
        <w:rPr>
          <w:lang w:val="es-ES"/>
        </w:rPr>
        <w:t>(</w:t>
      </w:r>
      <w:r w:rsidR="00041042" w:rsidRPr="00E818A5">
        <w:rPr>
          <w:lang w:val="es-ES"/>
        </w:rPr>
        <w:t>1994</w:t>
      </w:r>
      <w:r w:rsidR="00E818A5" w:rsidRPr="00E818A5">
        <w:rPr>
          <w:lang w:val="es-ES"/>
        </w:rPr>
        <w:t>)</w:t>
      </w:r>
      <w:r w:rsidR="00041042">
        <w:rPr>
          <w:lang w:val="es-ES"/>
        </w:rPr>
        <w:t xml:space="preserve"> (“el Acuerdo sobre los ADPIC”) no define el término “invención”, pero dispone que las invenciones patentables son aquellas que son nuevas, entrañan una actividad inventiva y son susceptibles de aplicación industrial </w:t>
      </w:r>
      <w:r w:rsidR="0074240D">
        <w:rPr>
          <w:lang w:val="es-ES"/>
        </w:rPr>
        <w:t xml:space="preserve">(en los debates del CIG a estos se les </w:t>
      </w:r>
      <w:r w:rsidR="0074240D">
        <w:rPr>
          <w:lang w:val="es-ES"/>
        </w:rPr>
        <w:lastRenderedPageBreak/>
        <w:t xml:space="preserve">denomina “criterios de admisibilidad”). El </w:t>
      </w:r>
      <w:r w:rsidR="0074240D" w:rsidRPr="0074240D">
        <w:rPr>
          <w:lang w:val="es-ES"/>
        </w:rPr>
        <w:t>Convenio de París para la Protección de la Propiedad Industrial</w:t>
      </w:r>
      <w:r w:rsidR="00041042">
        <w:rPr>
          <w:lang w:val="es-ES"/>
        </w:rPr>
        <w:t xml:space="preserve"> </w:t>
      </w:r>
      <w:r w:rsidR="00E818A5">
        <w:rPr>
          <w:lang w:val="es-ES"/>
        </w:rPr>
        <w:t>(</w:t>
      </w:r>
      <w:r w:rsidR="0074240D">
        <w:rPr>
          <w:lang w:val="es-ES"/>
        </w:rPr>
        <w:t>1979</w:t>
      </w:r>
      <w:r w:rsidR="00E818A5">
        <w:rPr>
          <w:lang w:val="es-ES"/>
        </w:rPr>
        <w:t>)</w:t>
      </w:r>
      <w:r w:rsidR="0074240D">
        <w:rPr>
          <w:lang w:val="es-ES"/>
        </w:rPr>
        <w:t xml:space="preserve"> (“el Convenio de París”) define “propiedad industrial” de forma amplia y extensa. </w:t>
      </w:r>
      <w:r w:rsidR="00E818A5">
        <w:rPr>
          <w:lang w:val="es-ES"/>
        </w:rPr>
        <w:t xml:space="preserve">El </w:t>
      </w:r>
      <w:r w:rsidR="00E818A5" w:rsidRPr="00E818A5">
        <w:rPr>
          <w:lang w:val="es-ES"/>
        </w:rPr>
        <w:t>Convenio de Berna para la Protección de las Obras Literarias y Artísticas</w:t>
      </w:r>
      <w:r w:rsidR="00E818A5">
        <w:rPr>
          <w:lang w:val="es-ES"/>
        </w:rPr>
        <w:t xml:space="preserve"> (1979) (“el Convenio de Berna”) ofrece una descripción general de “obras literarias y artísticas”, una lista ilustrativa de ejemplos y criterios como el de la originalidad y la fijación en un soporte material para identificar las obras literarias y artísticas susceptibles de </w:t>
      </w:r>
      <w:r w:rsidR="005D618B">
        <w:rPr>
          <w:lang w:val="es-ES"/>
        </w:rPr>
        <w:t xml:space="preserve">protección </w:t>
      </w:r>
      <w:r w:rsidR="00447442">
        <w:rPr>
          <w:lang w:val="es-ES"/>
        </w:rPr>
        <w:t>por derecho de autor.</w:t>
      </w:r>
    </w:p>
    <w:p w14:paraId="7E9E8BDD" w14:textId="77777777" w:rsidR="007301FA" w:rsidRPr="003D1A90" w:rsidRDefault="007301FA" w:rsidP="000D4BD5">
      <w:pPr>
        <w:rPr>
          <w:lang w:val="es-ES"/>
        </w:rPr>
      </w:pPr>
    </w:p>
    <w:p w14:paraId="147D1BE1" w14:textId="4A3187AD" w:rsidR="00AE22E1" w:rsidRPr="00AE22E1" w:rsidRDefault="002965AA" w:rsidP="00150D56">
      <w:pPr>
        <w:rPr>
          <w:lang w:val="es-ES"/>
        </w:rPr>
      </w:pPr>
      <w:r>
        <w:fldChar w:fldCharType="begin"/>
      </w:r>
      <w:r w:rsidRPr="00AE22E1">
        <w:rPr>
          <w:lang w:val="es-ES"/>
        </w:rPr>
        <w:instrText xml:space="preserve"> AUTONUM  </w:instrText>
      </w:r>
      <w:r>
        <w:fldChar w:fldCharType="end"/>
      </w:r>
      <w:r w:rsidRPr="00AE22E1">
        <w:rPr>
          <w:lang w:val="es-ES"/>
        </w:rPr>
        <w:tab/>
      </w:r>
      <w:r w:rsidR="00AE6C48">
        <w:rPr>
          <w:lang w:val="es-ES"/>
        </w:rPr>
        <w:t>Si</w:t>
      </w:r>
      <w:r w:rsidR="00AE22E1" w:rsidRPr="00AE22E1">
        <w:rPr>
          <w:lang w:val="es-ES"/>
        </w:rPr>
        <w:t xml:space="preserve"> el </w:t>
      </w:r>
      <w:r w:rsidR="00EC2451">
        <w:rPr>
          <w:lang w:val="es-ES"/>
        </w:rPr>
        <w:t>grupo de especialistas</w:t>
      </w:r>
      <w:r w:rsidR="00AE22E1">
        <w:rPr>
          <w:lang w:val="es-ES"/>
        </w:rPr>
        <w:t xml:space="preserve"> </w:t>
      </w:r>
      <w:r w:rsidR="00AE22E1">
        <w:rPr>
          <w:i/>
          <w:lang w:val="es-ES"/>
        </w:rPr>
        <w:t>ad hoc</w:t>
      </w:r>
      <w:r w:rsidR="00AE22E1">
        <w:rPr>
          <w:lang w:val="es-ES"/>
        </w:rPr>
        <w:t xml:space="preserve"> consider</w:t>
      </w:r>
      <w:r w:rsidR="00AE6C48">
        <w:rPr>
          <w:lang w:val="es-ES"/>
        </w:rPr>
        <w:t>a</w:t>
      </w:r>
      <w:r w:rsidR="00AE22E1">
        <w:rPr>
          <w:lang w:val="es-ES"/>
        </w:rPr>
        <w:t xml:space="preserve"> necesario definir los CC.TT. y las ECT en uno o varios instrumentos jurídicos internacionales, se le invita a aclarar más el significado de “tradicional”. Las características de los CC.TT. y las ECT </w:t>
      </w:r>
      <w:r w:rsidR="008C77C1">
        <w:rPr>
          <w:lang w:val="es-ES"/>
        </w:rPr>
        <w:t>son diferentes en</w:t>
      </w:r>
      <w:r w:rsidR="00AE22E1">
        <w:rPr>
          <w:lang w:val="es-ES"/>
        </w:rPr>
        <w:t xml:space="preserve"> todo el mundo, </w:t>
      </w:r>
      <w:r w:rsidR="007866CF">
        <w:rPr>
          <w:lang w:val="es-ES"/>
        </w:rPr>
        <w:t>de ahí la importancia de identificar las características principales y universales que tienen su lugar en un instrumento internacional</w:t>
      </w:r>
      <w:r w:rsidR="00AE22E1">
        <w:rPr>
          <w:lang w:val="es-ES"/>
        </w:rPr>
        <w:t xml:space="preserve">. En particular, se invita al </w:t>
      </w:r>
      <w:r w:rsidR="00EC2451">
        <w:rPr>
          <w:lang w:val="es-ES"/>
        </w:rPr>
        <w:t>grupo de especialistas</w:t>
      </w:r>
      <w:r w:rsidR="00AE22E1">
        <w:rPr>
          <w:lang w:val="es-ES"/>
        </w:rPr>
        <w:t xml:space="preserve"> </w:t>
      </w:r>
      <w:r w:rsidR="00AE22E1">
        <w:rPr>
          <w:i/>
          <w:lang w:val="es-ES"/>
        </w:rPr>
        <w:t>ad hoc</w:t>
      </w:r>
      <w:r w:rsidR="00AE22E1">
        <w:rPr>
          <w:lang w:val="es-ES"/>
        </w:rPr>
        <w:t xml:space="preserve"> a examinar la forma más adecuada de formular:</w:t>
      </w:r>
    </w:p>
    <w:p w14:paraId="5220B7B8" w14:textId="34753DD6" w:rsidR="00AE22E1" w:rsidRDefault="00F32517" w:rsidP="00150D56">
      <w:pPr>
        <w:pStyle w:val="ListParagraph"/>
        <w:numPr>
          <w:ilvl w:val="0"/>
          <w:numId w:val="21"/>
        </w:numPr>
        <w:rPr>
          <w:szCs w:val="22"/>
          <w:lang w:val="es-ES"/>
        </w:rPr>
      </w:pPr>
      <w:r>
        <w:rPr>
          <w:szCs w:val="22"/>
          <w:lang w:val="es-ES"/>
        </w:rPr>
        <w:t>el carácter</w:t>
      </w:r>
      <w:r w:rsidR="00AE22E1" w:rsidRPr="00AE22E1">
        <w:rPr>
          <w:szCs w:val="22"/>
          <w:lang w:val="es-ES"/>
        </w:rPr>
        <w:t xml:space="preserve"> intergeneracional del mantenimiento y la tr</w:t>
      </w:r>
      <w:r w:rsidR="00AE22E1">
        <w:rPr>
          <w:szCs w:val="22"/>
          <w:lang w:val="es-ES"/>
        </w:rPr>
        <w:t>ansmisión</w:t>
      </w:r>
      <w:r>
        <w:rPr>
          <w:szCs w:val="22"/>
          <w:lang w:val="es-ES"/>
        </w:rPr>
        <w:t>;</w:t>
      </w:r>
    </w:p>
    <w:p w14:paraId="30B1775C" w14:textId="51ECC3EB" w:rsidR="00F32517" w:rsidRPr="00F32517" w:rsidRDefault="00F32517" w:rsidP="00150D56">
      <w:pPr>
        <w:pStyle w:val="ListParagraph"/>
        <w:numPr>
          <w:ilvl w:val="0"/>
          <w:numId w:val="21"/>
        </w:numPr>
        <w:rPr>
          <w:szCs w:val="22"/>
          <w:lang w:val="es-ES"/>
        </w:rPr>
      </w:pPr>
      <w:r>
        <w:rPr>
          <w:szCs w:val="22"/>
          <w:lang w:val="es-ES"/>
        </w:rPr>
        <w:t>el vínculo o los vínculos entre los CC.TT. y las ECT, por un lado, y la cultura y comunidad de origen, por otro;</w:t>
      </w:r>
    </w:p>
    <w:p w14:paraId="3D120D14" w14:textId="0A0BFACE" w:rsidR="00F32517" w:rsidRPr="00F32517" w:rsidRDefault="00F32517" w:rsidP="00150D56">
      <w:pPr>
        <w:pStyle w:val="ListParagraph"/>
        <w:numPr>
          <w:ilvl w:val="0"/>
          <w:numId w:val="21"/>
        </w:numPr>
        <w:rPr>
          <w:szCs w:val="22"/>
          <w:lang w:val="es-ES"/>
        </w:rPr>
      </w:pPr>
      <w:r>
        <w:rPr>
          <w:szCs w:val="22"/>
          <w:lang w:val="es-ES"/>
        </w:rPr>
        <w:t>la naturaleza colectiva de los CC.TT. y las ECT; y</w:t>
      </w:r>
    </w:p>
    <w:p w14:paraId="30A978B9" w14:textId="66DE2273" w:rsidR="00F32517" w:rsidRPr="00F32517" w:rsidRDefault="00F32517" w:rsidP="00150D56">
      <w:pPr>
        <w:pStyle w:val="ListParagraph"/>
        <w:numPr>
          <w:ilvl w:val="0"/>
          <w:numId w:val="21"/>
        </w:numPr>
        <w:rPr>
          <w:lang w:val="es-ES"/>
        </w:rPr>
      </w:pPr>
      <w:r w:rsidRPr="00F32517">
        <w:rPr>
          <w:lang w:val="es-ES"/>
        </w:rPr>
        <w:t>su naturaleza dinámica</w:t>
      </w:r>
      <w:r>
        <w:rPr>
          <w:lang w:val="es-ES"/>
        </w:rPr>
        <w:t>, en constante evolución.</w:t>
      </w:r>
    </w:p>
    <w:p w14:paraId="756858D9" w14:textId="77777777" w:rsidR="00150D56" w:rsidRPr="00F32517" w:rsidRDefault="00150D56" w:rsidP="00150D56">
      <w:pPr>
        <w:rPr>
          <w:szCs w:val="22"/>
          <w:lang w:val="es-ES"/>
        </w:rPr>
      </w:pPr>
    </w:p>
    <w:p w14:paraId="1C919419" w14:textId="3D797875" w:rsidR="002616F5" w:rsidRPr="002616F5" w:rsidRDefault="00150D56" w:rsidP="00150D56">
      <w:pPr>
        <w:rPr>
          <w:szCs w:val="22"/>
          <w:lang w:val="es-ES"/>
        </w:rPr>
      </w:pPr>
      <w:r>
        <w:rPr>
          <w:szCs w:val="22"/>
        </w:rPr>
        <w:fldChar w:fldCharType="begin"/>
      </w:r>
      <w:r w:rsidRPr="002616F5">
        <w:rPr>
          <w:szCs w:val="22"/>
          <w:lang w:val="es-ES"/>
        </w:rPr>
        <w:instrText xml:space="preserve"> AUTONUM  </w:instrText>
      </w:r>
      <w:r>
        <w:rPr>
          <w:szCs w:val="22"/>
        </w:rPr>
        <w:fldChar w:fldCharType="end"/>
      </w:r>
      <w:r w:rsidRPr="002616F5">
        <w:rPr>
          <w:szCs w:val="22"/>
          <w:lang w:val="es-ES"/>
        </w:rPr>
        <w:tab/>
      </w:r>
      <w:r w:rsidR="002616F5" w:rsidRPr="002616F5">
        <w:rPr>
          <w:szCs w:val="22"/>
          <w:lang w:val="es-ES"/>
        </w:rPr>
        <w:t xml:space="preserve">También se invita al </w:t>
      </w:r>
      <w:r w:rsidR="00EC2451">
        <w:rPr>
          <w:szCs w:val="22"/>
          <w:lang w:val="es-ES"/>
        </w:rPr>
        <w:t>grupo de especialistas</w:t>
      </w:r>
      <w:r w:rsidR="002616F5">
        <w:rPr>
          <w:szCs w:val="22"/>
          <w:lang w:val="es-ES"/>
        </w:rPr>
        <w:t xml:space="preserve"> </w:t>
      </w:r>
      <w:r w:rsidR="002616F5">
        <w:rPr>
          <w:i/>
          <w:szCs w:val="22"/>
          <w:lang w:val="es-ES"/>
        </w:rPr>
        <w:t>ad hoc</w:t>
      </w:r>
      <w:r w:rsidR="002616F5">
        <w:rPr>
          <w:szCs w:val="22"/>
          <w:lang w:val="es-ES"/>
        </w:rPr>
        <w:t xml:space="preserve"> a examinar la necesidad de incluir un componente temporal (por ejemplo “no inferior a 50 años”).</w:t>
      </w:r>
    </w:p>
    <w:p w14:paraId="18EA9A18" w14:textId="77777777" w:rsidR="008B4576" w:rsidRPr="00EC2451" w:rsidRDefault="008B4576" w:rsidP="000D4BD5">
      <w:pPr>
        <w:rPr>
          <w:lang w:val="es-ES"/>
        </w:rPr>
      </w:pPr>
    </w:p>
    <w:p w14:paraId="5A4395FC" w14:textId="72E5E548" w:rsidR="00950163" w:rsidRPr="00950163" w:rsidRDefault="008B4576" w:rsidP="00E53211">
      <w:pPr>
        <w:rPr>
          <w:lang w:val="es-ES"/>
        </w:rPr>
      </w:pPr>
      <w:r>
        <w:fldChar w:fldCharType="begin"/>
      </w:r>
      <w:r w:rsidRPr="00950163">
        <w:rPr>
          <w:lang w:val="es-ES"/>
        </w:rPr>
        <w:instrText xml:space="preserve"> AUTONUM  </w:instrText>
      </w:r>
      <w:r>
        <w:fldChar w:fldCharType="end"/>
      </w:r>
      <w:r w:rsidRPr="00950163">
        <w:rPr>
          <w:lang w:val="es-ES"/>
        </w:rPr>
        <w:tab/>
      </w:r>
      <w:r w:rsidR="00950163" w:rsidRPr="00950163">
        <w:rPr>
          <w:lang w:val="es-ES"/>
        </w:rPr>
        <w:t>En cuanto a la d</w:t>
      </w:r>
      <w:r w:rsidR="00950163">
        <w:rPr>
          <w:lang w:val="es-ES"/>
        </w:rPr>
        <w:t xml:space="preserve">efinición de las ECT, se invita al </w:t>
      </w:r>
      <w:r w:rsidR="00EC2451">
        <w:rPr>
          <w:lang w:val="es-ES"/>
        </w:rPr>
        <w:t>grupo de especialistas</w:t>
      </w:r>
      <w:r w:rsidR="00950163">
        <w:rPr>
          <w:lang w:val="es-ES"/>
        </w:rPr>
        <w:t xml:space="preserve"> </w:t>
      </w:r>
      <w:r w:rsidR="00950163">
        <w:rPr>
          <w:i/>
          <w:lang w:val="es-ES"/>
        </w:rPr>
        <w:t>ad hoc</w:t>
      </w:r>
      <w:r w:rsidR="00950163">
        <w:rPr>
          <w:lang w:val="es-ES"/>
        </w:rPr>
        <w:t xml:space="preserve"> a debatir sobre si es necesario incluir ejemplos de distintas formas de ECT en la definición de estas (ya sea en el cuerpo de la definición o como notas al pie).</w:t>
      </w:r>
    </w:p>
    <w:p w14:paraId="091248F7" w14:textId="77777777" w:rsidR="000D4BD5" w:rsidRPr="00EC2451" w:rsidRDefault="000D4BD5" w:rsidP="000D4BD5">
      <w:pPr>
        <w:rPr>
          <w:lang w:val="es-ES"/>
        </w:rPr>
      </w:pPr>
    </w:p>
    <w:p w14:paraId="1D85D445" w14:textId="68AEC15E" w:rsidR="00CE1AD8" w:rsidRPr="0026312A" w:rsidRDefault="0026312A" w:rsidP="00C81E70">
      <w:pPr>
        <w:rPr>
          <w:b/>
          <w:lang w:val="es-ES"/>
        </w:rPr>
      </w:pPr>
      <w:r w:rsidRPr="0026312A">
        <w:rPr>
          <w:b/>
          <w:lang w:val="es-ES"/>
        </w:rPr>
        <w:t>Cuestiones transversales relativas a los CC.TT. y las ECT</w:t>
      </w:r>
    </w:p>
    <w:p w14:paraId="322D18CF" w14:textId="77777777" w:rsidR="00CE1AD8" w:rsidRPr="0026312A" w:rsidRDefault="00CE1AD8" w:rsidP="00C81E70">
      <w:pPr>
        <w:rPr>
          <w:lang w:val="es-ES"/>
        </w:rPr>
      </w:pPr>
    </w:p>
    <w:p w14:paraId="5FDF51EC" w14:textId="1199AD73" w:rsidR="00957648" w:rsidRPr="00957648" w:rsidRDefault="00A74AE9" w:rsidP="00150D56">
      <w:pPr>
        <w:rPr>
          <w:szCs w:val="22"/>
          <w:lang w:val="es-ES"/>
        </w:rPr>
      </w:pPr>
      <w:r>
        <w:rPr>
          <w:szCs w:val="22"/>
        </w:rPr>
        <w:fldChar w:fldCharType="begin"/>
      </w:r>
      <w:r w:rsidRPr="00957648">
        <w:rPr>
          <w:szCs w:val="22"/>
          <w:lang w:val="es-ES"/>
        </w:rPr>
        <w:instrText xml:space="preserve"> AUTONUM  </w:instrText>
      </w:r>
      <w:r>
        <w:rPr>
          <w:szCs w:val="22"/>
        </w:rPr>
        <w:fldChar w:fldCharType="end"/>
      </w:r>
      <w:r w:rsidRPr="00957648">
        <w:rPr>
          <w:szCs w:val="22"/>
          <w:lang w:val="es-ES"/>
        </w:rPr>
        <w:tab/>
      </w:r>
      <w:r w:rsidR="00957648" w:rsidRPr="00957648">
        <w:rPr>
          <w:szCs w:val="22"/>
          <w:lang w:val="es-ES"/>
        </w:rPr>
        <w:t xml:space="preserve">Algunas de las cuestiones </w:t>
      </w:r>
      <w:r w:rsidR="00957648">
        <w:rPr>
          <w:szCs w:val="22"/>
          <w:lang w:val="es-ES"/>
        </w:rPr>
        <w:t>objeto de examen afectan tanto a los textos sobre CC.TT. como a los textos sobre ECT (cuestiones transversales horizontales) o están presente</w:t>
      </w:r>
      <w:r w:rsidR="001E3AD1">
        <w:rPr>
          <w:szCs w:val="22"/>
          <w:lang w:val="es-ES"/>
        </w:rPr>
        <w:t>s</w:t>
      </w:r>
      <w:r w:rsidR="00957648">
        <w:rPr>
          <w:szCs w:val="22"/>
          <w:lang w:val="es-ES"/>
        </w:rPr>
        <w:t xml:space="preserve"> en dos o más artículos de al menos uno de los textos (cuestiones transversales verticales).</w:t>
      </w:r>
    </w:p>
    <w:p w14:paraId="13554209" w14:textId="77777777" w:rsidR="00150D56" w:rsidRPr="003D1A90" w:rsidRDefault="00150D56" w:rsidP="000831C9">
      <w:pPr>
        <w:rPr>
          <w:szCs w:val="22"/>
          <w:lang w:val="es-ES"/>
        </w:rPr>
      </w:pPr>
    </w:p>
    <w:p w14:paraId="798CE44D" w14:textId="1CCF456D" w:rsidR="00957648" w:rsidRPr="00957648" w:rsidRDefault="00150D56" w:rsidP="000831C9">
      <w:pPr>
        <w:rPr>
          <w:szCs w:val="22"/>
          <w:lang w:val="es-ES"/>
        </w:rPr>
      </w:pPr>
      <w:r>
        <w:rPr>
          <w:szCs w:val="22"/>
        </w:rPr>
        <w:fldChar w:fldCharType="begin"/>
      </w:r>
      <w:r w:rsidRPr="00957648">
        <w:rPr>
          <w:szCs w:val="22"/>
          <w:lang w:val="es-ES"/>
        </w:rPr>
        <w:instrText xml:space="preserve"> AUTONUM  </w:instrText>
      </w:r>
      <w:r>
        <w:rPr>
          <w:szCs w:val="22"/>
        </w:rPr>
        <w:fldChar w:fldCharType="end"/>
      </w:r>
      <w:r w:rsidRPr="00957648">
        <w:rPr>
          <w:szCs w:val="22"/>
          <w:lang w:val="es-ES"/>
        </w:rPr>
        <w:tab/>
      </w:r>
      <w:r w:rsidR="00957648" w:rsidRPr="00957648">
        <w:rPr>
          <w:szCs w:val="22"/>
          <w:lang w:val="es-ES"/>
        </w:rPr>
        <w:t xml:space="preserve">En </w:t>
      </w:r>
      <w:r w:rsidR="002C59AD">
        <w:rPr>
          <w:szCs w:val="22"/>
          <w:lang w:val="es-ES"/>
        </w:rPr>
        <w:t xml:space="preserve">resumidas cuentas, </w:t>
      </w:r>
      <w:r w:rsidR="00957648">
        <w:rPr>
          <w:szCs w:val="22"/>
          <w:lang w:val="es-ES"/>
        </w:rPr>
        <w:t xml:space="preserve">y de nuevo en relación con el aspecto de la “materia”, </w:t>
      </w:r>
      <w:r w:rsidR="002C59AD">
        <w:rPr>
          <w:szCs w:val="22"/>
          <w:lang w:val="es-ES"/>
        </w:rPr>
        <w:t xml:space="preserve">según una opinión, la definición debe mantenerse lo suficientemente amplia como para abarcar todo tipo de CC.TT. y ECT, mientras que la otra opinión es partidaria de una </w:t>
      </w:r>
      <w:r w:rsidR="00D94578">
        <w:rPr>
          <w:szCs w:val="22"/>
          <w:lang w:val="es-ES"/>
        </w:rPr>
        <w:t>definición</w:t>
      </w:r>
      <w:r w:rsidR="002C59AD">
        <w:rPr>
          <w:szCs w:val="22"/>
          <w:lang w:val="es-ES"/>
        </w:rPr>
        <w:t xml:space="preserve"> precisa y limitada en aras de la claridad y la transparencia</w:t>
      </w:r>
      <w:r w:rsidR="00957648">
        <w:rPr>
          <w:szCs w:val="22"/>
          <w:lang w:val="es-ES"/>
        </w:rPr>
        <w:t xml:space="preserve">. Si la definición es amplia, </w:t>
      </w:r>
      <w:r w:rsidR="002C59AD">
        <w:rPr>
          <w:szCs w:val="22"/>
          <w:lang w:val="es-ES"/>
        </w:rPr>
        <w:t>es posible que otros elementos</w:t>
      </w:r>
      <w:r w:rsidR="0025541C" w:rsidRPr="0025541C">
        <w:rPr>
          <w:szCs w:val="22"/>
          <w:lang w:val="es-ES"/>
        </w:rPr>
        <w:t xml:space="preserve"> </w:t>
      </w:r>
      <w:r w:rsidR="0025541C">
        <w:rPr>
          <w:szCs w:val="22"/>
          <w:lang w:val="es-ES"/>
        </w:rPr>
        <w:t>deban actuar como filtro</w:t>
      </w:r>
      <w:r w:rsidR="002C59AD">
        <w:rPr>
          <w:szCs w:val="22"/>
          <w:lang w:val="es-ES"/>
        </w:rPr>
        <w:t>, como los criterios de admisibilidad (de haberlos) o las excepciones y limitaciones, así como el alcance de la protección (el alcance de los derechos)</w:t>
      </w:r>
      <w:r w:rsidR="00B205BA">
        <w:rPr>
          <w:szCs w:val="22"/>
          <w:lang w:val="es-ES"/>
        </w:rPr>
        <w:t>. Ese ejemplo se utiliza sencillamente para demostrar que existe una interacción entre la definición de la materia, el alcance de la protección y las excepciones y limitaciones. Esa interacción también puede estar relacionada con el equilibrio inherente a todos los tipos de sistemas de protección de PI (también subyacente a todas las cuestiones transversales), es decir, el equilibrio entre los derechos privados y el interés general.</w:t>
      </w:r>
    </w:p>
    <w:p w14:paraId="62EA5CBB" w14:textId="77777777" w:rsidR="000831C9" w:rsidRPr="003D1A90" w:rsidRDefault="000831C9" w:rsidP="00C81E70">
      <w:pPr>
        <w:rPr>
          <w:lang w:val="es-ES"/>
        </w:rPr>
      </w:pPr>
    </w:p>
    <w:p w14:paraId="581F8A43" w14:textId="46AE85C6" w:rsidR="00B205BA" w:rsidRPr="00B205BA" w:rsidRDefault="00CE1AD8" w:rsidP="00C81E70">
      <w:pPr>
        <w:rPr>
          <w:lang w:val="es-ES"/>
        </w:rPr>
      </w:pPr>
      <w:r>
        <w:fldChar w:fldCharType="begin"/>
      </w:r>
      <w:r w:rsidRPr="00B205BA">
        <w:rPr>
          <w:lang w:val="es-ES"/>
        </w:rPr>
        <w:instrText xml:space="preserve"> AUTONUM  </w:instrText>
      </w:r>
      <w:r>
        <w:fldChar w:fldCharType="end"/>
      </w:r>
      <w:r w:rsidRPr="00B205BA">
        <w:rPr>
          <w:lang w:val="es-ES"/>
        </w:rPr>
        <w:tab/>
      </w:r>
      <w:r w:rsidR="00B205BA" w:rsidRPr="00B205BA">
        <w:rPr>
          <w:lang w:val="es-ES"/>
        </w:rPr>
        <w:t>Por lo tanto, se i</w:t>
      </w:r>
      <w:r w:rsidR="00B205BA">
        <w:rPr>
          <w:lang w:val="es-ES"/>
        </w:rPr>
        <w:t xml:space="preserve">nvita al </w:t>
      </w:r>
      <w:r w:rsidR="00EC2451">
        <w:rPr>
          <w:lang w:val="es-ES"/>
        </w:rPr>
        <w:t>grupo de especialistas</w:t>
      </w:r>
      <w:r w:rsidR="00B205BA">
        <w:rPr>
          <w:lang w:val="es-ES"/>
        </w:rPr>
        <w:t xml:space="preserve"> </w:t>
      </w:r>
      <w:r w:rsidR="00B205BA">
        <w:rPr>
          <w:i/>
          <w:lang w:val="es-ES"/>
        </w:rPr>
        <w:t>ad hoc</w:t>
      </w:r>
      <w:r w:rsidR="00B205BA">
        <w:rPr>
          <w:lang w:val="es-ES"/>
        </w:rPr>
        <w:t xml:space="preserve"> a examinar la interacción entre la materia, los criterios de admisibilidad, el alcance de la protección y las excepciones y limitaciones, y también:</w:t>
      </w:r>
    </w:p>
    <w:p w14:paraId="745B85F6" w14:textId="4AD38F4A" w:rsidR="00D10AD8" w:rsidRPr="00D10AD8" w:rsidRDefault="00D10AD8" w:rsidP="00A73D7E">
      <w:pPr>
        <w:pStyle w:val="ListParagraph"/>
        <w:numPr>
          <w:ilvl w:val="0"/>
          <w:numId w:val="17"/>
        </w:numPr>
        <w:rPr>
          <w:lang w:val="es-ES"/>
        </w:rPr>
      </w:pPr>
      <w:r>
        <w:rPr>
          <w:lang w:val="es-ES"/>
        </w:rPr>
        <w:t xml:space="preserve">si son necesarios los criterios de admisibilidad (término </w:t>
      </w:r>
      <w:r w:rsidR="0025541C">
        <w:rPr>
          <w:lang w:val="es-ES"/>
        </w:rPr>
        <w:t>utilizado</w:t>
      </w:r>
      <w:r>
        <w:rPr>
          <w:lang w:val="es-ES"/>
        </w:rPr>
        <w:t xml:space="preserve"> en el contexto del CIG) en relación con la materia, ya que, al establecer los derechos, la materia que deba finalmente protegerse podría definirse más claramente en los artículos relativos al alcance de la protección y a las excepciones y limitaciones; y</w:t>
      </w:r>
    </w:p>
    <w:p w14:paraId="1AE79487" w14:textId="5CB0850A" w:rsidR="001B7216" w:rsidRDefault="001B7216" w:rsidP="00A73D7E">
      <w:pPr>
        <w:pStyle w:val="ListParagraph"/>
        <w:numPr>
          <w:ilvl w:val="0"/>
          <w:numId w:val="17"/>
        </w:numPr>
        <w:rPr>
          <w:lang w:val="es-ES"/>
        </w:rPr>
      </w:pPr>
      <w:r>
        <w:rPr>
          <w:lang w:val="es-ES"/>
        </w:rPr>
        <w:t xml:space="preserve">sobre la base de la posibilidad de introducir un enfoque estratificado (véase </w:t>
      </w:r>
      <w:r w:rsidR="0025541C">
        <w:rPr>
          <w:i/>
          <w:lang w:val="es-ES"/>
        </w:rPr>
        <w:t>infra</w:t>
      </w:r>
      <w:r>
        <w:rPr>
          <w:lang w:val="es-ES"/>
        </w:rPr>
        <w:t xml:space="preserve">) para definir el alcance de la protección, si debería aplicarse también ese enfoque a las disposiciones sobre excepciones y limitaciones, es decir, que diversos tipos de actos </w:t>
      </w:r>
      <w:r>
        <w:rPr>
          <w:lang w:val="es-ES"/>
        </w:rPr>
        <w:lastRenderedPageBreak/>
        <w:t>objetos de excepción reflejen los distintos tipos de materia protegida y los derechos que se aplican a cada nivel.</w:t>
      </w:r>
    </w:p>
    <w:p w14:paraId="6DB02C24" w14:textId="77777777" w:rsidR="00A73D7E" w:rsidRPr="003D1A90" w:rsidRDefault="00A73D7E" w:rsidP="00A73D7E">
      <w:pPr>
        <w:rPr>
          <w:lang w:val="es-ES"/>
        </w:rPr>
      </w:pPr>
    </w:p>
    <w:p w14:paraId="367F490B" w14:textId="66D91775" w:rsidR="001B7216" w:rsidRPr="006C4002" w:rsidRDefault="00A73D7E" w:rsidP="00233C45">
      <w:pPr>
        <w:rPr>
          <w:lang w:val="es-ES"/>
        </w:rPr>
      </w:pPr>
      <w:r>
        <w:fldChar w:fldCharType="begin"/>
      </w:r>
      <w:r w:rsidRPr="001B7216">
        <w:rPr>
          <w:lang w:val="es-ES"/>
        </w:rPr>
        <w:instrText xml:space="preserve"> AUTONUM  </w:instrText>
      </w:r>
      <w:r>
        <w:fldChar w:fldCharType="end"/>
      </w:r>
      <w:r w:rsidRPr="001B7216">
        <w:rPr>
          <w:lang w:val="es-ES"/>
        </w:rPr>
        <w:tab/>
      </w:r>
      <w:r w:rsidR="001B7216" w:rsidRPr="001B7216">
        <w:rPr>
          <w:lang w:val="es-ES"/>
        </w:rPr>
        <w:t>El alcance de la p</w:t>
      </w:r>
      <w:r w:rsidR="001B7216">
        <w:rPr>
          <w:lang w:val="es-ES"/>
        </w:rPr>
        <w:t xml:space="preserve">rotección tiene por objeto determinar qué actos específicos con respecto a los CC.TT. o </w:t>
      </w:r>
      <w:r w:rsidR="006C4002">
        <w:rPr>
          <w:lang w:val="es-ES"/>
        </w:rPr>
        <w:t xml:space="preserve">las ECT protegidos deberían prohibirse o prevenirse. Desde el principio, se invita al </w:t>
      </w:r>
      <w:r w:rsidR="00EC2451">
        <w:rPr>
          <w:lang w:val="es-ES"/>
        </w:rPr>
        <w:t>grupo de especialistas</w:t>
      </w:r>
      <w:r w:rsidR="006C4002">
        <w:rPr>
          <w:lang w:val="es-ES"/>
        </w:rPr>
        <w:t xml:space="preserve"> </w:t>
      </w:r>
      <w:r w:rsidR="006C4002">
        <w:rPr>
          <w:i/>
          <w:lang w:val="es-ES"/>
        </w:rPr>
        <w:t>ad hoc</w:t>
      </w:r>
      <w:r w:rsidR="006C4002">
        <w:rPr>
          <w:lang w:val="es-ES"/>
        </w:rPr>
        <w:t>. a aclarar lo siguiente:</w:t>
      </w:r>
    </w:p>
    <w:p w14:paraId="208B4C7E" w14:textId="4D0F0AF1" w:rsidR="00A07E3D" w:rsidRDefault="00A07E3D" w:rsidP="00A05DB8">
      <w:pPr>
        <w:pStyle w:val="ListParagraph"/>
        <w:numPr>
          <w:ilvl w:val="0"/>
          <w:numId w:val="22"/>
        </w:numPr>
        <w:rPr>
          <w:szCs w:val="22"/>
          <w:lang w:val="es-ES"/>
        </w:rPr>
      </w:pPr>
      <w:r>
        <w:rPr>
          <w:szCs w:val="22"/>
          <w:lang w:val="es-ES"/>
        </w:rPr>
        <w:t>cuál es el enfoque adecuado: uno basado en derechos, uno basado en medidas o uno combinación de ambos; y</w:t>
      </w:r>
    </w:p>
    <w:p w14:paraId="786532C6" w14:textId="1E8E2839" w:rsidR="00AE5D78" w:rsidRPr="00A07E3D" w:rsidRDefault="00A07E3D" w:rsidP="00A07E3D">
      <w:pPr>
        <w:pStyle w:val="ListParagraph"/>
        <w:numPr>
          <w:ilvl w:val="0"/>
          <w:numId w:val="22"/>
        </w:numPr>
        <w:rPr>
          <w:szCs w:val="22"/>
          <w:lang w:val="es-ES"/>
        </w:rPr>
      </w:pPr>
      <w:r>
        <w:rPr>
          <w:szCs w:val="22"/>
          <w:lang w:val="es-ES"/>
        </w:rPr>
        <w:t>la flexibilidad necesaria que permit</w:t>
      </w:r>
      <w:r w:rsidR="001E3AD1">
        <w:rPr>
          <w:szCs w:val="22"/>
          <w:lang w:val="es-ES"/>
        </w:rPr>
        <w:t>e</w:t>
      </w:r>
      <w:r>
        <w:rPr>
          <w:szCs w:val="22"/>
          <w:lang w:val="es-ES"/>
        </w:rPr>
        <w:t xml:space="preserve"> determinar el alcance de la protección a nivel nacional</w:t>
      </w:r>
      <w:r w:rsidR="00D53171" w:rsidRPr="00A07E3D">
        <w:rPr>
          <w:szCs w:val="22"/>
          <w:lang w:val="es-ES"/>
        </w:rPr>
        <w:t>.</w:t>
      </w:r>
    </w:p>
    <w:p w14:paraId="5D59D262" w14:textId="77777777" w:rsidR="00AE5D78" w:rsidRPr="00A07E3D" w:rsidRDefault="00AE5D78" w:rsidP="00233C45">
      <w:pPr>
        <w:rPr>
          <w:szCs w:val="22"/>
          <w:lang w:val="es-ES"/>
        </w:rPr>
      </w:pPr>
    </w:p>
    <w:p w14:paraId="7F79FA3A" w14:textId="481372B8" w:rsidR="00A07E3D" w:rsidRPr="00A07E3D" w:rsidRDefault="00AE5D78" w:rsidP="00233C45">
      <w:pPr>
        <w:rPr>
          <w:szCs w:val="22"/>
          <w:lang w:val="es-ES"/>
        </w:rPr>
      </w:pPr>
      <w:r>
        <w:rPr>
          <w:szCs w:val="22"/>
        </w:rPr>
        <w:fldChar w:fldCharType="begin"/>
      </w:r>
      <w:r w:rsidRPr="00A07E3D">
        <w:rPr>
          <w:szCs w:val="22"/>
          <w:lang w:val="es-ES"/>
        </w:rPr>
        <w:instrText xml:space="preserve"> AUTONUM  </w:instrText>
      </w:r>
      <w:r>
        <w:rPr>
          <w:szCs w:val="22"/>
        </w:rPr>
        <w:fldChar w:fldCharType="end"/>
      </w:r>
      <w:r w:rsidRPr="00A07E3D">
        <w:rPr>
          <w:szCs w:val="22"/>
          <w:lang w:val="es-ES"/>
        </w:rPr>
        <w:tab/>
      </w:r>
      <w:r w:rsidR="00A07E3D" w:rsidRPr="00A07E3D">
        <w:rPr>
          <w:szCs w:val="22"/>
          <w:lang w:val="es-ES"/>
        </w:rPr>
        <w:t>Los a</w:t>
      </w:r>
      <w:r w:rsidR="00A07E3D">
        <w:rPr>
          <w:szCs w:val="22"/>
          <w:lang w:val="es-ES"/>
        </w:rPr>
        <w:t xml:space="preserve">ctuales </w:t>
      </w:r>
      <w:r w:rsidR="00A07E3D" w:rsidRPr="00A07E3D">
        <w:rPr>
          <w:szCs w:val="22"/>
          <w:lang w:val="es-ES"/>
        </w:rPr>
        <w:t xml:space="preserve">proyectos de artículo </w:t>
      </w:r>
      <w:r w:rsidR="00A07E3D">
        <w:rPr>
          <w:szCs w:val="22"/>
          <w:lang w:val="es-ES"/>
        </w:rPr>
        <w:t>(artículo 5 de los textos respectivos sobre CC.TT. y</w:t>
      </w:r>
      <w:r w:rsidR="00D014A6">
        <w:rPr>
          <w:szCs w:val="22"/>
          <w:lang w:val="es-ES"/>
        </w:rPr>
        <w:t> </w:t>
      </w:r>
      <w:r w:rsidR="00A07E3D">
        <w:rPr>
          <w:szCs w:val="22"/>
          <w:lang w:val="es-ES"/>
        </w:rPr>
        <w:t xml:space="preserve">ECT) ponen de manifiesto la existencia de dos opciones, que son, </w:t>
      </w:r>
      <w:r w:rsidR="00D014A6">
        <w:rPr>
          <w:szCs w:val="22"/>
          <w:lang w:val="es-ES"/>
        </w:rPr>
        <w:t>en resumidas cuentas</w:t>
      </w:r>
      <w:r w:rsidR="00A07E3D">
        <w:rPr>
          <w:szCs w:val="22"/>
          <w:lang w:val="es-ES"/>
        </w:rPr>
        <w:t>, “el derecho a</w:t>
      </w:r>
      <w:r w:rsidR="00D014A6">
        <w:rPr>
          <w:szCs w:val="22"/>
          <w:lang w:val="es-ES"/>
        </w:rPr>
        <w:t> </w:t>
      </w:r>
      <w:r w:rsidR="00A07E3D">
        <w:rPr>
          <w:szCs w:val="22"/>
          <w:lang w:val="es-ES"/>
        </w:rPr>
        <w:t>decir no” y el “derecho a recibir una compensación”:</w:t>
      </w:r>
    </w:p>
    <w:p w14:paraId="0066135A" w14:textId="0BAD2DD4" w:rsidR="00A07E3D" w:rsidRPr="00A07E3D" w:rsidRDefault="00A07E3D" w:rsidP="00233C45">
      <w:pPr>
        <w:pStyle w:val="ListParagraph"/>
        <w:numPr>
          <w:ilvl w:val="0"/>
          <w:numId w:val="20"/>
        </w:numPr>
        <w:rPr>
          <w:szCs w:val="22"/>
          <w:lang w:val="es-ES"/>
        </w:rPr>
      </w:pPr>
      <w:r w:rsidRPr="00A07E3D">
        <w:rPr>
          <w:szCs w:val="22"/>
          <w:lang w:val="es-ES"/>
        </w:rPr>
        <w:t>En lo que respecta a</w:t>
      </w:r>
      <w:r>
        <w:rPr>
          <w:szCs w:val="22"/>
          <w:lang w:val="es-ES"/>
        </w:rPr>
        <w:t xml:space="preserve"> la primera opción, se seguiría el régimen de derechos exclusivos, en el que los titulares de derechos tienen un conjunto de derechos de los que son titulares y que pueden ceder o a los que pueden renunciar, según sea el caso. En este contexto, los titulares de derechos tienen un conjunto de derechos que pueden hacer valer contra terceros. Así, tienen la posibilidad de decir “no” a los usos estipulados en el ámbito de sus derechos exclusivos.</w:t>
      </w:r>
    </w:p>
    <w:p w14:paraId="68D521C5" w14:textId="415D15C3" w:rsidR="004D1319" w:rsidRPr="004D1319" w:rsidRDefault="004D1319" w:rsidP="00233C45">
      <w:pPr>
        <w:pStyle w:val="ListParagraph"/>
        <w:numPr>
          <w:ilvl w:val="0"/>
          <w:numId w:val="20"/>
        </w:numPr>
        <w:rPr>
          <w:szCs w:val="22"/>
          <w:lang w:val="es-ES"/>
        </w:rPr>
      </w:pPr>
      <w:r w:rsidRPr="004D1319">
        <w:rPr>
          <w:szCs w:val="22"/>
          <w:lang w:val="es-ES"/>
        </w:rPr>
        <w:t>La segunda opción e</w:t>
      </w:r>
      <w:r>
        <w:rPr>
          <w:szCs w:val="22"/>
          <w:lang w:val="es-ES"/>
        </w:rPr>
        <w:t xml:space="preserve">s el derecho a recibir remuneración o compensación. En otras palabras, es el derecho a recibir una remuneración por determinados usos, sin la posibilidad de impedir tales usos o de oponerse a los mismos. Esta opción guarda relación con lo que en las publicaciones especializadas se conoce como “régimen de responsabilidad pecuniaria”. </w:t>
      </w:r>
      <w:r w:rsidRPr="00EC2451">
        <w:rPr>
          <w:szCs w:val="22"/>
          <w:lang w:val="es-ES"/>
        </w:rPr>
        <w:t xml:space="preserve">Los sistemas </w:t>
      </w:r>
      <w:r w:rsidR="00EC2451" w:rsidRPr="00EC2451">
        <w:rPr>
          <w:szCs w:val="22"/>
          <w:lang w:val="es-ES"/>
        </w:rPr>
        <w:t xml:space="preserve">vigentes </w:t>
      </w:r>
      <w:r w:rsidRPr="00EC2451">
        <w:rPr>
          <w:szCs w:val="22"/>
          <w:lang w:val="es-ES"/>
        </w:rPr>
        <w:t>de PI no están formados únicamente por derechos exclusivos</w:t>
      </w:r>
      <w:r w:rsidR="00EC2451" w:rsidRPr="00EC2451">
        <w:rPr>
          <w:szCs w:val="22"/>
          <w:lang w:val="es-ES"/>
        </w:rPr>
        <w:t>, e</w:t>
      </w:r>
      <w:r w:rsidRPr="00EC2451">
        <w:rPr>
          <w:szCs w:val="22"/>
          <w:lang w:val="es-ES"/>
        </w:rPr>
        <w:t xml:space="preserve"> incluyen también el derecho a recibir remuneración o compensación en determinados casos</w:t>
      </w:r>
      <w:r>
        <w:rPr>
          <w:szCs w:val="22"/>
          <w:lang w:val="es-ES"/>
        </w:rPr>
        <w:t>.</w:t>
      </w:r>
    </w:p>
    <w:p w14:paraId="38F60E36" w14:textId="77777777" w:rsidR="00233C45" w:rsidRPr="00EC2451" w:rsidRDefault="00233C45" w:rsidP="008C10CF">
      <w:pPr>
        <w:rPr>
          <w:lang w:val="es-ES"/>
        </w:rPr>
      </w:pPr>
    </w:p>
    <w:p w14:paraId="1570D1E4" w14:textId="6624C415" w:rsidR="004D1319" w:rsidRPr="0014318C" w:rsidRDefault="00520061" w:rsidP="008C10CF">
      <w:pPr>
        <w:rPr>
          <w:lang w:val="es-ES"/>
        </w:rPr>
      </w:pPr>
      <w:r>
        <w:fldChar w:fldCharType="begin"/>
      </w:r>
      <w:r w:rsidRPr="0014318C">
        <w:rPr>
          <w:lang w:val="es-ES"/>
        </w:rPr>
        <w:instrText xml:space="preserve"> AUTONUM  </w:instrText>
      </w:r>
      <w:r>
        <w:fldChar w:fldCharType="end"/>
      </w:r>
      <w:r w:rsidRPr="0014318C">
        <w:rPr>
          <w:lang w:val="es-ES"/>
        </w:rPr>
        <w:tab/>
      </w:r>
      <w:r w:rsidR="0014318C">
        <w:rPr>
          <w:lang w:val="es-ES"/>
        </w:rPr>
        <w:t>Asimismo,</w:t>
      </w:r>
      <w:r w:rsidR="0014318C" w:rsidRPr="0014318C">
        <w:rPr>
          <w:lang w:val="es-ES"/>
        </w:rPr>
        <w:t xml:space="preserve"> </w:t>
      </w:r>
      <w:r w:rsidR="0014318C">
        <w:rPr>
          <w:lang w:val="es-ES"/>
        </w:rPr>
        <w:t>cabe</w:t>
      </w:r>
      <w:r w:rsidR="0014318C" w:rsidRPr="0014318C">
        <w:rPr>
          <w:lang w:val="es-ES"/>
        </w:rPr>
        <w:t xml:space="preserve"> distinguir e</w:t>
      </w:r>
      <w:r w:rsidR="0014318C">
        <w:rPr>
          <w:lang w:val="es-ES"/>
        </w:rPr>
        <w:t>ntre derechos patrimoniales y derechos morale</w:t>
      </w:r>
      <w:r w:rsidR="0051629A">
        <w:rPr>
          <w:lang w:val="es-ES"/>
        </w:rPr>
        <w:t>s. Por ejemplo, en el marco del derecho de autor, los derechos patrimoniales permiten al titular de los derechos obtener una retribución financiera por el uso de sus obras por terceros, mientras que los derechos morales se refieren al derecho a reivindicar la paternidad de una obra y de oponerse a toda mutilación o deformación u otra modificación de la misma o a cualquier atentado a la misma que cause perjuicio al honor o a la reputación del autor</w:t>
      </w:r>
      <w:r w:rsidR="0014318C">
        <w:rPr>
          <w:lang w:val="es-ES"/>
        </w:rPr>
        <w:t xml:space="preserve">. </w:t>
      </w:r>
    </w:p>
    <w:p w14:paraId="5D974CBF" w14:textId="77777777" w:rsidR="00520061" w:rsidRPr="003D1A90" w:rsidRDefault="00520061" w:rsidP="008C10CF">
      <w:pPr>
        <w:rPr>
          <w:lang w:val="es-ES"/>
        </w:rPr>
      </w:pPr>
    </w:p>
    <w:p w14:paraId="0007997A" w14:textId="77730A9B" w:rsidR="0051629A" w:rsidRPr="00613281" w:rsidRDefault="00233C45" w:rsidP="008C10CF">
      <w:pPr>
        <w:rPr>
          <w:lang w:val="es-ES"/>
        </w:rPr>
      </w:pPr>
      <w:r>
        <w:fldChar w:fldCharType="begin"/>
      </w:r>
      <w:r w:rsidRPr="00613281">
        <w:rPr>
          <w:lang w:val="es-ES"/>
        </w:rPr>
        <w:instrText xml:space="preserve"> AUTONUM  </w:instrText>
      </w:r>
      <w:r>
        <w:fldChar w:fldCharType="end"/>
      </w:r>
      <w:r w:rsidRPr="00613281">
        <w:rPr>
          <w:lang w:val="es-ES"/>
        </w:rPr>
        <w:tab/>
      </w:r>
      <w:r w:rsidR="00613281" w:rsidRPr="00613281">
        <w:rPr>
          <w:lang w:val="es-ES"/>
        </w:rPr>
        <w:t>El CIG ha debatido d</w:t>
      </w:r>
      <w:r w:rsidR="00613281">
        <w:rPr>
          <w:lang w:val="es-ES"/>
        </w:rPr>
        <w:t>urante varios años un “enfoque estratificado”</w:t>
      </w:r>
      <w:r w:rsidR="00337B3B">
        <w:rPr>
          <w:lang w:val="es-ES"/>
        </w:rPr>
        <w:t xml:space="preserve"> (también denominado “protección diferenciada”), según el cual los poseedores de derechos podrían hacer valer distintos tipos o niveles de derechos o de medidas en función de la naturaleza y las características de la materia objeto de protección, el grado de control que poseyeran los beneficiarios y el grado de difusión.</w:t>
      </w:r>
    </w:p>
    <w:p w14:paraId="08F3EAD8" w14:textId="77777777" w:rsidR="00816717" w:rsidRPr="003D1A90" w:rsidRDefault="00816717" w:rsidP="00816717">
      <w:pPr>
        <w:rPr>
          <w:lang w:val="es-ES"/>
        </w:rPr>
      </w:pPr>
    </w:p>
    <w:p w14:paraId="70C365BC" w14:textId="273D493B" w:rsidR="00337B3B" w:rsidRPr="007E40FD" w:rsidRDefault="00816717" w:rsidP="00816717">
      <w:pPr>
        <w:rPr>
          <w:lang w:val="es-ES"/>
        </w:rPr>
      </w:pPr>
      <w:r>
        <w:fldChar w:fldCharType="begin"/>
      </w:r>
      <w:r w:rsidRPr="007E40FD">
        <w:rPr>
          <w:lang w:val="es-ES"/>
        </w:rPr>
        <w:instrText xml:space="preserve"> AUTONUM  </w:instrText>
      </w:r>
      <w:r>
        <w:fldChar w:fldCharType="end"/>
      </w:r>
      <w:r w:rsidRPr="007E40FD">
        <w:rPr>
          <w:lang w:val="es-ES"/>
        </w:rPr>
        <w:tab/>
      </w:r>
      <w:r w:rsidR="007E40FD" w:rsidRPr="007E40FD">
        <w:rPr>
          <w:lang w:val="es-ES"/>
        </w:rPr>
        <w:t>En el enfoque estratificado s</w:t>
      </w:r>
      <w:r w:rsidR="007E40FD">
        <w:rPr>
          <w:lang w:val="es-ES"/>
        </w:rPr>
        <w:t xml:space="preserve">e propone una protección diferenciada conforme a distintos tipos de CC.TT. o ECT dentro de un espectro que oscilaría entre </w:t>
      </w:r>
      <w:r w:rsidR="008B45E0">
        <w:rPr>
          <w:lang w:val="es-ES"/>
        </w:rPr>
        <w:t xml:space="preserve">CC.TT. o </w:t>
      </w:r>
      <w:r w:rsidR="007E40FD">
        <w:rPr>
          <w:lang w:val="es-ES"/>
        </w:rPr>
        <w:t xml:space="preserve">ECT disponibles al público en general y </w:t>
      </w:r>
      <w:r w:rsidR="008B45E0">
        <w:rPr>
          <w:lang w:val="es-ES"/>
        </w:rPr>
        <w:t xml:space="preserve">CC.TT. </w:t>
      </w:r>
      <w:r w:rsidR="0084479B">
        <w:rPr>
          <w:lang w:val="es-ES"/>
        </w:rPr>
        <w:t>o</w:t>
      </w:r>
      <w:r w:rsidR="007E40FD">
        <w:rPr>
          <w:lang w:val="es-ES"/>
        </w:rPr>
        <w:t xml:space="preserve"> </w:t>
      </w:r>
      <w:r w:rsidR="008B45E0">
        <w:rPr>
          <w:lang w:val="es-ES"/>
        </w:rPr>
        <w:t xml:space="preserve">ECT </w:t>
      </w:r>
      <w:r w:rsidR="007E40FD">
        <w:rPr>
          <w:lang w:val="es-ES"/>
        </w:rPr>
        <w:t>secretos, sagrados o desconocidos fuera de la comunidad, y cuyo uso está en manos de los beneficiarios</w:t>
      </w:r>
      <w:r w:rsidR="0010089D">
        <w:rPr>
          <w:lang w:val="es-ES"/>
        </w:rPr>
        <w:t>.</w:t>
      </w:r>
    </w:p>
    <w:p w14:paraId="3A1FBA1D" w14:textId="77777777" w:rsidR="00337B3B" w:rsidRPr="007E40FD" w:rsidRDefault="00337B3B" w:rsidP="00816717">
      <w:pPr>
        <w:rPr>
          <w:lang w:val="es-ES"/>
        </w:rPr>
      </w:pPr>
    </w:p>
    <w:p w14:paraId="0051DBC6" w14:textId="0544579F" w:rsidR="0010089D" w:rsidRPr="00D20DE7" w:rsidRDefault="00980803" w:rsidP="00816717">
      <w:pPr>
        <w:rPr>
          <w:lang w:val="es-ES"/>
        </w:rPr>
      </w:pPr>
      <w:r>
        <w:fldChar w:fldCharType="begin"/>
      </w:r>
      <w:r w:rsidRPr="00D20DE7">
        <w:rPr>
          <w:lang w:val="es-ES"/>
        </w:rPr>
        <w:instrText xml:space="preserve"> AUTONUM  </w:instrText>
      </w:r>
      <w:r>
        <w:fldChar w:fldCharType="end"/>
      </w:r>
      <w:r w:rsidRPr="00D20DE7">
        <w:rPr>
          <w:lang w:val="es-ES"/>
        </w:rPr>
        <w:tab/>
      </w:r>
      <w:r w:rsidR="00D20DE7" w:rsidRPr="00D20DE7">
        <w:rPr>
          <w:lang w:val="es-ES"/>
        </w:rPr>
        <w:t>Se invita al grupo d</w:t>
      </w:r>
      <w:r w:rsidR="00D20DE7">
        <w:rPr>
          <w:lang w:val="es-ES"/>
        </w:rPr>
        <w:t xml:space="preserve">e especialistas </w:t>
      </w:r>
      <w:r w:rsidR="00D20DE7">
        <w:rPr>
          <w:i/>
          <w:lang w:val="es-ES"/>
        </w:rPr>
        <w:t xml:space="preserve">ad hoc </w:t>
      </w:r>
      <w:r w:rsidR="00D20DE7">
        <w:rPr>
          <w:lang w:val="es-ES"/>
        </w:rPr>
        <w:t>a examinar:</w:t>
      </w:r>
    </w:p>
    <w:p w14:paraId="60C18CEE" w14:textId="50AC9465" w:rsidR="00D20DE7" w:rsidRPr="00D20DE7" w:rsidRDefault="00D20DE7" w:rsidP="0043177A">
      <w:pPr>
        <w:pStyle w:val="ListParagraph"/>
        <w:numPr>
          <w:ilvl w:val="0"/>
          <w:numId w:val="23"/>
        </w:numPr>
        <w:rPr>
          <w:lang w:val="es-ES"/>
        </w:rPr>
      </w:pPr>
      <w:r>
        <w:rPr>
          <w:lang w:val="es-ES"/>
        </w:rPr>
        <w:t>la idoneidad de los d</w:t>
      </w:r>
      <w:r w:rsidRPr="00D20DE7">
        <w:rPr>
          <w:lang w:val="es-ES"/>
        </w:rPr>
        <w:t>erechos patrimoniales y morales p</w:t>
      </w:r>
      <w:r>
        <w:rPr>
          <w:lang w:val="es-ES"/>
        </w:rPr>
        <w:t>ara las distintas formas de</w:t>
      </w:r>
      <w:r w:rsidR="006F5CBB">
        <w:rPr>
          <w:lang w:val="es-ES"/>
        </w:rPr>
        <w:t> </w:t>
      </w:r>
      <w:r>
        <w:rPr>
          <w:lang w:val="es-ES"/>
        </w:rPr>
        <w:t>CC.TT. o ECT. Por ejemplo, los derechos patrimoniales exclusivos podrían ser adecuados para algunas formas de CC.TT. o ECT (como, por ejemplo, los CC.TT. o</w:t>
      </w:r>
      <w:r w:rsidR="006F5CBB">
        <w:rPr>
          <w:lang w:val="es-ES"/>
        </w:rPr>
        <w:t> </w:t>
      </w:r>
      <w:r>
        <w:rPr>
          <w:lang w:val="es-ES"/>
        </w:rPr>
        <w:t>ECT sagrados o desconocid</w:t>
      </w:r>
      <w:r w:rsidR="00007FE8">
        <w:rPr>
          <w:lang w:val="es-ES"/>
        </w:rPr>
        <w:t>os), mientras que un modelo basado en derechos morales podría adecuarse, por ejemplo, a los CC.TT. o las ECT que ya estén a disposición del público o hayan sido divulgados, pero que se puedan seguir atribuyendo a comunidades locales o pueblos indígenas específicos.</w:t>
      </w:r>
    </w:p>
    <w:p w14:paraId="0B08EFAD" w14:textId="3ABAB23F" w:rsidR="00007FE8" w:rsidRPr="00007FE8" w:rsidRDefault="00007FE8" w:rsidP="0043177A">
      <w:pPr>
        <w:pStyle w:val="ListParagraph"/>
        <w:numPr>
          <w:ilvl w:val="0"/>
          <w:numId w:val="23"/>
        </w:numPr>
        <w:rPr>
          <w:lang w:val="es-ES"/>
        </w:rPr>
      </w:pPr>
      <w:r w:rsidRPr="00007FE8">
        <w:rPr>
          <w:lang w:val="es-ES"/>
        </w:rPr>
        <w:lastRenderedPageBreak/>
        <w:t xml:space="preserve">la calidad, el </w:t>
      </w:r>
      <w:r w:rsidR="00B346BC">
        <w:rPr>
          <w:lang w:val="es-ES"/>
        </w:rPr>
        <w:t>nivel de control</w:t>
      </w:r>
      <w:r w:rsidR="000D40C4">
        <w:rPr>
          <w:lang w:val="es-ES"/>
        </w:rPr>
        <w:t xml:space="preserve"> y</w:t>
      </w:r>
      <w:r w:rsidR="00B346BC">
        <w:rPr>
          <w:lang w:val="es-ES"/>
        </w:rPr>
        <w:t xml:space="preserve"> el grado de difusión, así como la cuestión de la relación con el dominio público; y</w:t>
      </w:r>
    </w:p>
    <w:p w14:paraId="7F8B9BC3" w14:textId="3CCBA049" w:rsidR="00B346BC" w:rsidRPr="00B346BC" w:rsidRDefault="00B346BC" w:rsidP="0043177A">
      <w:pPr>
        <w:pStyle w:val="ListParagraph"/>
        <w:numPr>
          <w:ilvl w:val="0"/>
          <w:numId w:val="23"/>
        </w:numPr>
        <w:rPr>
          <w:lang w:val="es-ES"/>
        </w:rPr>
      </w:pPr>
      <w:r>
        <w:rPr>
          <w:lang w:val="es-ES"/>
        </w:rPr>
        <w:t xml:space="preserve">los </w:t>
      </w:r>
      <w:r w:rsidRPr="00B346BC">
        <w:rPr>
          <w:lang w:val="es-ES"/>
        </w:rPr>
        <w:t>aspectos prácticos y las re</w:t>
      </w:r>
      <w:r>
        <w:rPr>
          <w:lang w:val="es-ES"/>
        </w:rPr>
        <w:t>percusiones jurídicas de los niveles propuestos.</w:t>
      </w:r>
    </w:p>
    <w:p w14:paraId="34CAD8BA" w14:textId="77777777" w:rsidR="000D4BD5" w:rsidRPr="003D1A90" w:rsidRDefault="000D4BD5" w:rsidP="000D4BD5">
      <w:pPr>
        <w:rPr>
          <w:lang w:val="es-ES"/>
        </w:rPr>
      </w:pPr>
    </w:p>
    <w:p w14:paraId="4446167D" w14:textId="7A2DD14F" w:rsidR="00B346BC" w:rsidRPr="00BC7EAB" w:rsidRDefault="00816717" w:rsidP="00816717">
      <w:pPr>
        <w:rPr>
          <w:lang w:val="es-ES"/>
        </w:rPr>
      </w:pPr>
      <w:r>
        <w:fldChar w:fldCharType="begin"/>
      </w:r>
      <w:r w:rsidRPr="00456411">
        <w:rPr>
          <w:lang w:val="es-ES"/>
        </w:rPr>
        <w:instrText xml:space="preserve"> AUTONUM  </w:instrText>
      </w:r>
      <w:r>
        <w:fldChar w:fldCharType="end"/>
      </w:r>
      <w:r w:rsidRPr="00456411">
        <w:rPr>
          <w:lang w:val="es-ES"/>
        </w:rPr>
        <w:tab/>
      </w:r>
      <w:r w:rsidR="00456411" w:rsidRPr="00456411">
        <w:rPr>
          <w:lang w:val="es-ES"/>
        </w:rPr>
        <w:t>En el context</w:t>
      </w:r>
      <w:r w:rsidR="00456411">
        <w:rPr>
          <w:lang w:val="es-ES"/>
        </w:rPr>
        <w:t>o</w:t>
      </w:r>
      <w:r w:rsidR="00456411" w:rsidRPr="00456411">
        <w:rPr>
          <w:lang w:val="es-ES"/>
        </w:rPr>
        <w:t xml:space="preserve"> de l</w:t>
      </w:r>
      <w:r w:rsidR="00456411">
        <w:rPr>
          <w:lang w:val="es-ES"/>
        </w:rPr>
        <w:t xml:space="preserve">os CC.TT. </w:t>
      </w:r>
      <w:r w:rsidR="00437C45">
        <w:rPr>
          <w:lang w:val="es-ES"/>
        </w:rPr>
        <w:t xml:space="preserve">la protección diferenciada </w:t>
      </w:r>
      <w:r w:rsidR="00BC7EAB">
        <w:rPr>
          <w:lang w:val="es-ES"/>
        </w:rPr>
        <w:t xml:space="preserve">que se propone en el enfoque estratificado ofrece una posibilidad de responder a la realidad de las diferencias existentes entre los CC.TT. secretos, los CC.TT. de difusión restringida y los CC.TT. de amplia difusión, cuyas definiciones el grupo de especialistas </w:t>
      </w:r>
      <w:r w:rsidR="00BC7EAB">
        <w:rPr>
          <w:i/>
          <w:lang w:val="es-ES"/>
        </w:rPr>
        <w:t>ad hoc</w:t>
      </w:r>
      <w:r w:rsidR="00BC7EAB">
        <w:rPr>
          <w:lang w:val="es-ES"/>
        </w:rPr>
        <w:t xml:space="preserve"> está invitado a examinar.</w:t>
      </w:r>
    </w:p>
    <w:p w14:paraId="616CB710" w14:textId="77777777" w:rsidR="00816717" w:rsidRPr="00BC7EAB" w:rsidRDefault="00816717" w:rsidP="00816717">
      <w:pPr>
        <w:rPr>
          <w:lang w:val="es-ES"/>
        </w:rPr>
      </w:pPr>
    </w:p>
    <w:p w14:paraId="534AC626" w14:textId="304AF597" w:rsidR="00BC7EAB" w:rsidRPr="00BC7EAB" w:rsidRDefault="00816717" w:rsidP="00816717">
      <w:pPr>
        <w:rPr>
          <w:lang w:val="es-ES"/>
        </w:rPr>
      </w:pPr>
      <w:r>
        <w:fldChar w:fldCharType="begin"/>
      </w:r>
      <w:r w:rsidRPr="00BC7EAB">
        <w:rPr>
          <w:lang w:val="es-ES"/>
        </w:rPr>
        <w:instrText xml:space="preserve"> AUTONUM  </w:instrText>
      </w:r>
      <w:r>
        <w:fldChar w:fldCharType="end"/>
      </w:r>
      <w:r w:rsidRPr="00BC7EAB">
        <w:rPr>
          <w:lang w:val="es-ES"/>
        </w:rPr>
        <w:tab/>
      </w:r>
      <w:r w:rsidR="00BC7EAB" w:rsidRPr="00BC7EAB">
        <w:rPr>
          <w:lang w:val="es-ES"/>
        </w:rPr>
        <w:t>En el context</w:t>
      </w:r>
      <w:r w:rsidR="00BC7EAB">
        <w:rPr>
          <w:lang w:val="es-ES"/>
        </w:rPr>
        <w:t xml:space="preserve">o de las ECT, habida cuenta de los aspectos prácticos y las repercusiones jurídicas de los niveles propuestos, se invita al grupo de especialistas </w:t>
      </w:r>
      <w:r w:rsidR="00BC7EAB">
        <w:rPr>
          <w:i/>
          <w:lang w:val="es-ES"/>
        </w:rPr>
        <w:t>ad hoc</w:t>
      </w:r>
      <w:r w:rsidR="00BC7EAB">
        <w:rPr>
          <w:lang w:val="es-ES"/>
        </w:rPr>
        <w:t xml:space="preserve"> a que examinen qué criterios resultan adecuados y deberían utilizarse en el contexto de las ECT, con el fin de determinar los niveles. Cabe observar que los criterios que podrían ser pertinentes en el contexto de los CC.TT. podrían no ser necesariamente de aplicación en el contexto de las ECT.</w:t>
      </w:r>
    </w:p>
    <w:p w14:paraId="02855089" w14:textId="77777777" w:rsidR="00816717" w:rsidRPr="003D1A90" w:rsidRDefault="00816717" w:rsidP="000D4BD5">
      <w:pPr>
        <w:rPr>
          <w:lang w:val="es-ES"/>
        </w:rPr>
      </w:pPr>
    </w:p>
    <w:p w14:paraId="4F6F4A1F" w14:textId="42083F12" w:rsidR="000831C9" w:rsidRPr="00BC7EAB" w:rsidRDefault="00BC7EAB" w:rsidP="000D4BD5">
      <w:pPr>
        <w:rPr>
          <w:b/>
          <w:lang w:val="es-ES"/>
        </w:rPr>
      </w:pPr>
      <w:r w:rsidRPr="00BC7EAB">
        <w:rPr>
          <w:b/>
          <w:lang w:val="es-ES"/>
        </w:rPr>
        <w:t>Otra cuestión</w:t>
      </w:r>
    </w:p>
    <w:p w14:paraId="7B7B637F" w14:textId="77777777" w:rsidR="000831C9" w:rsidRPr="00BC7EAB" w:rsidRDefault="000831C9" w:rsidP="000831C9">
      <w:pPr>
        <w:rPr>
          <w:lang w:val="es-ES"/>
        </w:rPr>
      </w:pPr>
    </w:p>
    <w:p w14:paraId="2B60D21F" w14:textId="6DDBD2AE" w:rsidR="00BC7EAB" w:rsidRPr="00BC7EAB" w:rsidRDefault="000831C9" w:rsidP="006F4E56">
      <w:pPr>
        <w:rPr>
          <w:lang w:val="es-ES"/>
        </w:rPr>
      </w:pPr>
      <w:r>
        <w:fldChar w:fldCharType="begin"/>
      </w:r>
      <w:r w:rsidRPr="00BC7EAB">
        <w:rPr>
          <w:lang w:val="es-ES"/>
        </w:rPr>
        <w:instrText xml:space="preserve"> AUTONUM  </w:instrText>
      </w:r>
      <w:r>
        <w:fldChar w:fldCharType="end"/>
      </w:r>
      <w:r w:rsidRPr="00BC7EAB">
        <w:rPr>
          <w:lang w:val="es-ES"/>
        </w:rPr>
        <w:tab/>
      </w:r>
      <w:r w:rsidR="00BC7EAB">
        <w:rPr>
          <w:lang w:val="es-ES"/>
        </w:rPr>
        <w:t xml:space="preserve">También es posible que el </w:t>
      </w:r>
      <w:r w:rsidR="00BC7EAB" w:rsidRPr="00BC7EAB">
        <w:rPr>
          <w:lang w:val="es-ES"/>
        </w:rPr>
        <w:t xml:space="preserve">grupo de especialistas </w:t>
      </w:r>
      <w:r w:rsidR="00BC7EAB" w:rsidRPr="00BC7EAB">
        <w:rPr>
          <w:i/>
          <w:lang w:val="es-ES"/>
        </w:rPr>
        <w:t>ad hoc</w:t>
      </w:r>
      <w:r w:rsidR="00BC7EAB" w:rsidRPr="00BC7EAB">
        <w:rPr>
          <w:lang w:val="es-ES"/>
        </w:rPr>
        <w:t xml:space="preserve"> </w:t>
      </w:r>
      <w:r w:rsidR="00BC7EAB">
        <w:rPr>
          <w:lang w:val="es-ES"/>
        </w:rPr>
        <w:t>desee examinar la</w:t>
      </w:r>
      <w:r w:rsidR="00602A0B">
        <w:rPr>
          <w:lang w:val="es-ES"/>
        </w:rPr>
        <w:t>s leyes nacionales</w:t>
      </w:r>
      <w:r w:rsidR="00BC7EAB">
        <w:rPr>
          <w:lang w:val="es-ES"/>
        </w:rPr>
        <w:t xml:space="preserve"> destinadas a velar por la autenticidad de l</w:t>
      </w:r>
      <w:r w:rsidR="00602A0B">
        <w:rPr>
          <w:lang w:val="es-ES"/>
        </w:rPr>
        <w:t>os objetos artísticos y artesanales producidos por los pueblos indígenas y las comunidades locales.</w:t>
      </w:r>
    </w:p>
    <w:p w14:paraId="2109B12A" w14:textId="77777777" w:rsidR="006F4E56" w:rsidRPr="003D1A90" w:rsidRDefault="006F4E56" w:rsidP="00602A0B">
      <w:pPr>
        <w:rPr>
          <w:lang w:val="es-ES"/>
        </w:rPr>
      </w:pPr>
    </w:p>
    <w:p w14:paraId="0BDE53E7" w14:textId="269B845D" w:rsidR="008D4D45" w:rsidRPr="00602A0B" w:rsidRDefault="00602A0B" w:rsidP="00E77050">
      <w:pPr>
        <w:outlineLvl w:val="0"/>
        <w:rPr>
          <w:b/>
          <w:u w:val="single"/>
          <w:lang w:val="es-ES"/>
        </w:rPr>
      </w:pPr>
      <w:r w:rsidRPr="00602A0B">
        <w:rPr>
          <w:b/>
          <w:u w:val="single"/>
          <w:lang w:val="es-ES"/>
        </w:rPr>
        <w:t>Recursos de utilidad</w:t>
      </w:r>
    </w:p>
    <w:p w14:paraId="6B458EDF" w14:textId="77777777" w:rsidR="00E77050" w:rsidRPr="00602A0B" w:rsidRDefault="00E77050" w:rsidP="00E77050">
      <w:pPr>
        <w:rPr>
          <w:lang w:val="es-ES"/>
        </w:rPr>
      </w:pPr>
    </w:p>
    <w:p w14:paraId="055F2D30" w14:textId="48916982" w:rsidR="00602A0B" w:rsidRPr="00602A0B" w:rsidRDefault="00E77050" w:rsidP="00E77050">
      <w:pPr>
        <w:rPr>
          <w:lang w:val="es-ES"/>
        </w:rPr>
      </w:pPr>
      <w:r>
        <w:fldChar w:fldCharType="begin"/>
      </w:r>
      <w:r w:rsidRPr="00602A0B">
        <w:rPr>
          <w:lang w:val="es-ES"/>
        </w:rPr>
        <w:instrText xml:space="preserve"> AUTONUM  </w:instrText>
      </w:r>
      <w:r>
        <w:fldChar w:fldCharType="end"/>
      </w:r>
      <w:r w:rsidRPr="00602A0B">
        <w:rPr>
          <w:lang w:val="es-ES"/>
        </w:rPr>
        <w:tab/>
      </w:r>
      <w:r w:rsidR="00602A0B" w:rsidRPr="00602A0B">
        <w:rPr>
          <w:lang w:val="es-ES"/>
        </w:rPr>
        <w:t xml:space="preserve">En el sitio web de la OMPI se ofrecen recursos útiles que </w:t>
      </w:r>
      <w:r w:rsidR="00602A0B">
        <w:rPr>
          <w:lang w:val="es-ES"/>
        </w:rPr>
        <w:t xml:space="preserve">el grupo de especialistas </w:t>
      </w:r>
      <w:r w:rsidR="00602A0B">
        <w:rPr>
          <w:i/>
          <w:lang w:val="es-ES"/>
        </w:rPr>
        <w:t>ad hoc</w:t>
      </w:r>
      <w:r w:rsidR="00602A0B">
        <w:rPr>
          <w:lang w:val="es-ES"/>
        </w:rPr>
        <w:t xml:space="preserve"> puede utilizar como material de referencia, como, por ejemplo:</w:t>
      </w:r>
    </w:p>
    <w:p w14:paraId="6021BC86" w14:textId="77777777" w:rsidR="00E77050" w:rsidRPr="00602A0B" w:rsidRDefault="00E77050" w:rsidP="00E77050">
      <w:pPr>
        <w:rPr>
          <w:lang w:val="es-ES"/>
        </w:rPr>
      </w:pPr>
    </w:p>
    <w:p w14:paraId="094A3A26" w14:textId="477FEED2" w:rsidR="00CE1AD8" w:rsidRPr="00602A0B" w:rsidRDefault="00602A0B" w:rsidP="00CE1AD8">
      <w:pPr>
        <w:pStyle w:val="ListParagraph"/>
        <w:numPr>
          <w:ilvl w:val="0"/>
          <w:numId w:val="19"/>
        </w:numPr>
        <w:rPr>
          <w:lang w:val="es-ES"/>
        </w:rPr>
      </w:pPr>
      <w:r w:rsidRPr="00602A0B">
        <w:rPr>
          <w:lang w:val="es-ES"/>
        </w:rPr>
        <w:t xml:space="preserve">Nota informativa del </w:t>
      </w:r>
      <w:r>
        <w:rPr>
          <w:lang w:val="es-ES"/>
        </w:rPr>
        <w:t>presidente para la trigésima octava sesión del CIG,</w:t>
      </w:r>
      <w:r w:rsidR="00CE1AD8" w:rsidRPr="00602A0B">
        <w:rPr>
          <w:lang w:val="es-ES"/>
        </w:rPr>
        <w:t xml:space="preserve"> </w:t>
      </w:r>
      <w:r w:rsidRPr="00602A0B">
        <w:rPr>
          <w:lang w:val="es-ES"/>
        </w:rPr>
        <w:t>https://www.wipo.int/meetings/es/doc_details.jsp?doc_id=420992</w:t>
      </w:r>
      <w:r w:rsidR="00CE1AD8" w:rsidRPr="00602A0B">
        <w:rPr>
          <w:lang w:val="es-ES"/>
        </w:rPr>
        <w:t>.</w:t>
      </w:r>
    </w:p>
    <w:p w14:paraId="7FA572A2" w14:textId="77777777" w:rsidR="00CE1AD8" w:rsidRPr="00602A0B" w:rsidRDefault="00CE1AD8" w:rsidP="00CE1AD8">
      <w:pPr>
        <w:pStyle w:val="ListParagraph"/>
        <w:rPr>
          <w:lang w:val="es-ES"/>
        </w:rPr>
      </w:pPr>
    </w:p>
    <w:p w14:paraId="092B9EDA" w14:textId="0249C23E" w:rsidR="00E77050" w:rsidRPr="00602A0B" w:rsidRDefault="00E77050" w:rsidP="00E77050">
      <w:pPr>
        <w:pStyle w:val="ListParagraph"/>
        <w:numPr>
          <w:ilvl w:val="0"/>
          <w:numId w:val="19"/>
        </w:numPr>
        <w:rPr>
          <w:lang w:val="es-ES"/>
        </w:rPr>
      </w:pPr>
      <w:r w:rsidRPr="00602A0B">
        <w:rPr>
          <w:lang w:val="es-ES"/>
        </w:rPr>
        <w:t>WIPO/GRTKF/IC/</w:t>
      </w:r>
      <w:r w:rsidRPr="00A44399">
        <w:rPr>
          <w:lang w:val="es-ES"/>
        </w:rPr>
        <w:t>3</w:t>
      </w:r>
      <w:r w:rsidR="003372F4">
        <w:rPr>
          <w:lang w:val="es-ES"/>
        </w:rPr>
        <w:t>8</w:t>
      </w:r>
      <w:r w:rsidRPr="00602A0B">
        <w:rPr>
          <w:lang w:val="es-ES"/>
        </w:rPr>
        <w:t xml:space="preserve">/6, </w:t>
      </w:r>
      <w:r w:rsidR="00602A0B" w:rsidRPr="00602A0B">
        <w:rPr>
          <w:lang w:val="es-ES"/>
        </w:rPr>
        <w:t>La protección de los conocimientos t</w:t>
      </w:r>
      <w:r w:rsidR="00602A0B">
        <w:rPr>
          <w:lang w:val="es-ES"/>
        </w:rPr>
        <w:t>radicionales: proyecto actualizado de análisis de las carencias</w:t>
      </w:r>
      <w:r w:rsidRPr="00602A0B">
        <w:rPr>
          <w:lang w:val="es-ES"/>
        </w:rPr>
        <w:t xml:space="preserve">, </w:t>
      </w:r>
      <w:r w:rsidR="003372F4" w:rsidRPr="003372F4">
        <w:rPr>
          <w:lang w:val="es-ES"/>
        </w:rPr>
        <w:t>https://www.wipo.int/meetings/es/doc_details.jsp?doc_id=417731</w:t>
      </w:r>
      <w:r w:rsidRPr="00602A0B">
        <w:rPr>
          <w:lang w:val="es-ES"/>
        </w:rPr>
        <w:t>;</w:t>
      </w:r>
    </w:p>
    <w:p w14:paraId="6979B72F" w14:textId="77777777" w:rsidR="00E77050" w:rsidRPr="00602A0B" w:rsidRDefault="00E77050" w:rsidP="00E77050">
      <w:pPr>
        <w:pStyle w:val="ListParagraph"/>
        <w:rPr>
          <w:lang w:val="es-ES"/>
        </w:rPr>
      </w:pPr>
    </w:p>
    <w:p w14:paraId="7D75636E" w14:textId="0E814AEA" w:rsidR="00E77050" w:rsidRPr="00A44399" w:rsidRDefault="00E77050" w:rsidP="00E77050">
      <w:pPr>
        <w:pStyle w:val="ListParagraph"/>
        <w:numPr>
          <w:ilvl w:val="0"/>
          <w:numId w:val="19"/>
        </w:numPr>
        <w:rPr>
          <w:lang w:val="es-ES"/>
        </w:rPr>
      </w:pPr>
      <w:r w:rsidRPr="00A44399">
        <w:rPr>
          <w:lang w:val="es-ES"/>
        </w:rPr>
        <w:t>WIPO/GRTKF/IC/3</w:t>
      </w:r>
      <w:r w:rsidR="003372F4">
        <w:rPr>
          <w:lang w:val="es-ES"/>
        </w:rPr>
        <w:t>8</w:t>
      </w:r>
      <w:r w:rsidRPr="00A44399">
        <w:rPr>
          <w:lang w:val="es-ES"/>
        </w:rPr>
        <w:t xml:space="preserve">/7, </w:t>
      </w:r>
      <w:r w:rsidR="00A44399" w:rsidRPr="00A44399">
        <w:rPr>
          <w:lang w:val="es-ES"/>
        </w:rPr>
        <w:t>Proyecto actualizado de análisis de las</w:t>
      </w:r>
      <w:r w:rsidR="00A44399">
        <w:rPr>
          <w:lang w:val="es-ES"/>
        </w:rPr>
        <w:t xml:space="preserve"> carencias en la protección de las expresiones culturales tradicionales</w:t>
      </w:r>
      <w:r w:rsidRPr="00A44399">
        <w:rPr>
          <w:lang w:val="es-ES"/>
        </w:rPr>
        <w:t xml:space="preserve">, </w:t>
      </w:r>
      <w:r w:rsidR="003372F4" w:rsidRPr="003372F4">
        <w:rPr>
          <w:lang w:val="es-ES"/>
        </w:rPr>
        <w:t>https://www.wipo.int/meetings/es/doc_details.jsp?doc_id=417732</w:t>
      </w:r>
      <w:r w:rsidRPr="00A44399">
        <w:rPr>
          <w:lang w:val="es-ES"/>
        </w:rPr>
        <w:t>;</w:t>
      </w:r>
    </w:p>
    <w:p w14:paraId="1B747F9B" w14:textId="77777777" w:rsidR="00E77050" w:rsidRPr="00A44399" w:rsidRDefault="00E77050" w:rsidP="00E77050">
      <w:pPr>
        <w:pStyle w:val="ListParagraph"/>
        <w:rPr>
          <w:lang w:val="es-ES"/>
        </w:rPr>
      </w:pPr>
    </w:p>
    <w:p w14:paraId="5F500E89" w14:textId="5DF86EEA" w:rsidR="00E77050" w:rsidRPr="00A44399" w:rsidRDefault="00E77050" w:rsidP="00E77050">
      <w:pPr>
        <w:pStyle w:val="ListParagraph"/>
        <w:numPr>
          <w:ilvl w:val="0"/>
          <w:numId w:val="19"/>
        </w:numPr>
        <w:rPr>
          <w:lang w:val="es-ES"/>
        </w:rPr>
      </w:pPr>
      <w:r w:rsidRPr="00A44399">
        <w:rPr>
          <w:lang w:val="es-ES"/>
        </w:rPr>
        <w:t xml:space="preserve">WIPO/GRTKF/IC/17/INF/8, </w:t>
      </w:r>
      <w:r w:rsidR="00A44399" w:rsidRPr="00A44399">
        <w:rPr>
          <w:lang w:val="es-ES"/>
        </w:rPr>
        <w:t xml:space="preserve">Nota sobre los significados de la expresión “dominio público” en el </w:t>
      </w:r>
      <w:r w:rsidR="00A44399">
        <w:rPr>
          <w:lang w:val="es-ES"/>
        </w:rPr>
        <w:t>s</w:t>
      </w:r>
      <w:r w:rsidR="00A44399" w:rsidRPr="00A44399">
        <w:rPr>
          <w:lang w:val="es-ES"/>
        </w:rPr>
        <w:t xml:space="preserve">istema de propiedad intelectual, con referencia especial a la protección de los </w:t>
      </w:r>
      <w:r w:rsidR="00A44399">
        <w:rPr>
          <w:lang w:val="es-ES"/>
        </w:rPr>
        <w:t>conocimientos tradicionales y las expresiones culturales tradicionales/expresiones del folclore</w:t>
      </w:r>
      <w:r w:rsidRPr="00A44399">
        <w:rPr>
          <w:lang w:val="es-ES"/>
        </w:rPr>
        <w:t xml:space="preserve">, </w:t>
      </w:r>
      <w:r w:rsidR="00A44399" w:rsidRPr="00A44399">
        <w:rPr>
          <w:lang w:val="es-ES"/>
        </w:rPr>
        <w:t>https://www.wipo.int/meetings/es/doc_details.jsp?doc_id=149213</w:t>
      </w:r>
      <w:r w:rsidRPr="00A44399">
        <w:rPr>
          <w:lang w:val="es-ES"/>
        </w:rPr>
        <w:t>;</w:t>
      </w:r>
    </w:p>
    <w:p w14:paraId="1D4A8493" w14:textId="77777777" w:rsidR="00E77050" w:rsidRPr="00A44399" w:rsidRDefault="00E77050" w:rsidP="00E77050">
      <w:pPr>
        <w:pStyle w:val="ListParagraph"/>
        <w:rPr>
          <w:lang w:val="es-ES"/>
        </w:rPr>
      </w:pPr>
    </w:p>
    <w:p w14:paraId="4ECCB6F8" w14:textId="525F3467" w:rsidR="00E77050" w:rsidRPr="00A44399" w:rsidRDefault="00E77050" w:rsidP="00E77050">
      <w:pPr>
        <w:pStyle w:val="ListParagraph"/>
        <w:numPr>
          <w:ilvl w:val="0"/>
          <w:numId w:val="19"/>
        </w:numPr>
        <w:rPr>
          <w:lang w:val="es-ES"/>
        </w:rPr>
      </w:pPr>
      <w:r w:rsidRPr="00A44399">
        <w:rPr>
          <w:lang w:val="es-ES"/>
        </w:rPr>
        <w:t xml:space="preserve">WIPO/GRTKF/IC/17/INF/9, </w:t>
      </w:r>
      <w:r w:rsidR="00A44399" w:rsidRPr="00A44399">
        <w:rPr>
          <w:lang w:val="es-ES"/>
        </w:rPr>
        <w:t xml:space="preserve">Lista y breve descripción técnica de las diversas formas que pueden presentar los </w:t>
      </w:r>
      <w:r w:rsidR="00A44399">
        <w:rPr>
          <w:lang w:val="es-ES"/>
        </w:rPr>
        <w:t>conocimientos tradicionales</w:t>
      </w:r>
      <w:r w:rsidRPr="00A44399">
        <w:rPr>
          <w:lang w:val="es-ES"/>
        </w:rPr>
        <w:t xml:space="preserve">, </w:t>
      </w:r>
      <w:r w:rsidR="00A44399" w:rsidRPr="00A44399">
        <w:rPr>
          <w:lang w:val="es-ES"/>
        </w:rPr>
        <w:t>https://www.wipo.int/meetings/es/doc_details.jsp?doc_id=147152</w:t>
      </w:r>
      <w:r w:rsidRPr="00A44399">
        <w:rPr>
          <w:lang w:val="es-ES"/>
        </w:rPr>
        <w:t>;</w:t>
      </w:r>
    </w:p>
    <w:p w14:paraId="1E943172" w14:textId="77777777" w:rsidR="00E77050" w:rsidRPr="00A44399" w:rsidRDefault="00E77050" w:rsidP="00E77050">
      <w:pPr>
        <w:pStyle w:val="ListParagraph"/>
        <w:rPr>
          <w:lang w:val="es-ES"/>
        </w:rPr>
      </w:pPr>
    </w:p>
    <w:p w14:paraId="3639A4BA" w14:textId="3EFE0C55" w:rsidR="00E77050" w:rsidRPr="00A44399" w:rsidRDefault="00A44399" w:rsidP="00E77050">
      <w:pPr>
        <w:pStyle w:val="ListParagraph"/>
        <w:numPr>
          <w:ilvl w:val="0"/>
          <w:numId w:val="19"/>
        </w:numPr>
        <w:rPr>
          <w:lang w:val="es-ES"/>
        </w:rPr>
      </w:pPr>
      <w:r w:rsidRPr="00A44399">
        <w:rPr>
          <w:lang w:val="es-ES"/>
        </w:rPr>
        <w:t xml:space="preserve">Experiencias regionales, nacionales, locales </w:t>
      </w:r>
      <w:r>
        <w:rPr>
          <w:lang w:val="es-ES"/>
        </w:rPr>
        <w:t>y comunitarias</w:t>
      </w:r>
      <w:r w:rsidR="00E77050" w:rsidRPr="00A44399">
        <w:rPr>
          <w:lang w:val="es-ES"/>
        </w:rPr>
        <w:t xml:space="preserve">, </w:t>
      </w:r>
      <w:r w:rsidRPr="00A44399">
        <w:rPr>
          <w:lang w:val="es-ES"/>
        </w:rPr>
        <w:t>https://www.wipo.int/tk/es/resources/tk_experiences.html</w:t>
      </w:r>
      <w:r w:rsidR="00E77050" w:rsidRPr="00A44399">
        <w:rPr>
          <w:lang w:val="es-ES"/>
        </w:rPr>
        <w:t>;</w:t>
      </w:r>
    </w:p>
    <w:p w14:paraId="5C7143E4" w14:textId="77777777" w:rsidR="00E77050" w:rsidRPr="00A44399" w:rsidRDefault="00E77050" w:rsidP="00E77050">
      <w:pPr>
        <w:rPr>
          <w:lang w:val="es-ES"/>
        </w:rPr>
      </w:pPr>
    </w:p>
    <w:p w14:paraId="0046773F" w14:textId="0CD21253" w:rsidR="00E77050" w:rsidRPr="00A44399" w:rsidRDefault="00A44399" w:rsidP="00E77050">
      <w:pPr>
        <w:pStyle w:val="ListParagraph"/>
        <w:numPr>
          <w:ilvl w:val="0"/>
          <w:numId w:val="19"/>
        </w:numPr>
        <w:rPr>
          <w:lang w:val="es-ES"/>
        </w:rPr>
      </w:pPr>
      <w:r w:rsidRPr="00A44399">
        <w:rPr>
          <w:lang w:val="es-ES"/>
        </w:rPr>
        <w:t>Conferencias y ponencias sobre temas e</w:t>
      </w:r>
      <w:r>
        <w:rPr>
          <w:lang w:val="es-ES"/>
        </w:rPr>
        <w:t>scogidos</w:t>
      </w:r>
      <w:r w:rsidR="00E77050" w:rsidRPr="00A44399">
        <w:rPr>
          <w:lang w:val="es-ES"/>
        </w:rPr>
        <w:t xml:space="preserve">, </w:t>
      </w:r>
      <w:r w:rsidRPr="00A44399">
        <w:rPr>
          <w:lang w:val="es-ES"/>
        </w:rPr>
        <w:t>https://www.wipo.int/tk/es/resources/tk_experiences.html#4</w:t>
      </w:r>
      <w:r w:rsidR="00E77050" w:rsidRPr="00A44399">
        <w:rPr>
          <w:lang w:val="es-ES"/>
        </w:rPr>
        <w:t>.</w:t>
      </w:r>
    </w:p>
    <w:p w14:paraId="2A595134" w14:textId="77777777" w:rsidR="00E77050" w:rsidRPr="00A44399" w:rsidRDefault="00E77050" w:rsidP="00E77050">
      <w:pPr>
        <w:rPr>
          <w:lang w:val="es-ES"/>
        </w:rPr>
      </w:pPr>
    </w:p>
    <w:p w14:paraId="3F8CFCE7" w14:textId="77777777" w:rsidR="00816717" w:rsidRPr="00A44399" w:rsidRDefault="00816717" w:rsidP="000D4BD5">
      <w:pPr>
        <w:rPr>
          <w:lang w:val="es-ES"/>
        </w:rPr>
      </w:pPr>
    </w:p>
    <w:p w14:paraId="28144BB8" w14:textId="7D070340" w:rsidR="002928D3" w:rsidRPr="00A275C1" w:rsidRDefault="000D4BD5" w:rsidP="00A275C1">
      <w:pPr>
        <w:ind w:left="5760"/>
        <w:rPr>
          <w:lang w:val="es-ES"/>
        </w:rPr>
      </w:pPr>
      <w:r w:rsidRPr="003D1A90">
        <w:rPr>
          <w:lang w:val="es-ES"/>
        </w:rPr>
        <w:t>[</w:t>
      </w:r>
      <w:r w:rsidR="003D1A90" w:rsidRPr="003D1A90">
        <w:rPr>
          <w:lang w:val="es-ES"/>
        </w:rPr>
        <w:t>Fin del documento</w:t>
      </w:r>
      <w:r w:rsidRPr="003D1A90">
        <w:rPr>
          <w:lang w:val="es-ES"/>
        </w:rPr>
        <w:t>]</w:t>
      </w:r>
    </w:p>
    <w:sectPr w:rsidR="002928D3" w:rsidRPr="00A275C1" w:rsidSect="000D4BD5">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4B9FE" w14:textId="77777777" w:rsidR="009B54EF" w:rsidRDefault="009B54EF">
      <w:r>
        <w:separator/>
      </w:r>
    </w:p>
  </w:endnote>
  <w:endnote w:type="continuationSeparator" w:id="0">
    <w:p w14:paraId="172599D0" w14:textId="77777777" w:rsidR="009B54EF" w:rsidRDefault="009B54EF" w:rsidP="003B38C1">
      <w:r>
        <w:separator/>
      </w:r>
    </w:p>
    <w:p w14:paraId="188A6F3F" w14:textId="77777777" w:rsidR="009B54EF" w:rsidRPr="003B38C1" w:rsidRDefault="009B54EF" w:rsidP="003B38C1">
      <w:pPr>
        <w:spacing w:after="60"/>
        <w:rPr>
          <w:sz w:val="17"/>
        </w:rPr>
      </w:pPr>
      <w:r>
        <w:rPr>
          <w:sz w:val="17"/>
        </w:rPr>
        <w:t>[Endnote continued from previous page]</w:t>
      </w:r>
    </w:p>
  </w:endnote>
  <w:endnote w:type="continuationNotice" w:id="1">
    <w:p w14:paraId="061091BA" w14:textId="77777777" w:rsidR="009B54EF" w:rsidRPr="003B38C1" w:rsidRDefault="009B54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F48F" w14:textId="77777777" w:rsidR="009B54EF" w:rsidRDefault="009B54EF">
      <w:r>
        <w:separator/>
      </w:r>
    </w:p>
  </w:footnote>
  <w:footnote w:type="continuationSeparator" w:id="0">
    <w:p w14:paraId="3A92826A" w14:textId="77777777" w:rsidR="009B54EF" w:rsidRDefault="009B54EF" w:rsidP="008B60B2">
      <w:r>
        <w:separator/>
      </w:r>
    </w:p>
    <w:p w14:paraId="21A1EFFB" w14:textId="77777777" w:rsidR="009B54EF" w:rsidRPr="00ED77FB" w:rsidRDefault="009B54EF" w:rsidP="008B60B2">
      <w:pPr>
        <w:spacing w:after="60"/>
        <w:rPr>
          <w:sz w:val="17"/>
          <w:szCs w:val="17"/>
        </w:rPr>
      </w:pPr>
      <w:r w:rsidRPr="00ED77FB">
        <w:rPr>
          <w:sz w:val="17"/>
          <w:szCs w:val="17"/>
        </w:rPr>
        <w:t>[Footnote continued from previous page]</w:t>
      </w:r>
    </w:p>
  </w:footnote>
  <w:footnote w:type="continuationNotice" w:id="1">
    <w:p w14:paraId="3CE4850C" w14:textId="77777777" w:rsidR="009B54EF" w:rsidRPr="00ED77FB" w:rsidRDefault="009B54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D528" w14:textId="77777777" w:rsidR="00B205BA" w:rsidRPr="00076827" w:rsidRDefault="00B205BA" w:rsidP="00477D6B">
    <w:pPr>
      <w:jc w:val="right"/>
      <w:rPr>
        <w:lang w:val="es-ES"/>
      </w:rPr>
    </w:pPr>
    <w:bookmarkStart w:id="6" w:name="Code2"/>
    <w:bookmarkEnd w:id="6"/>
    <w:r w:rsidRPr="00076827">
      <w:rPr>
        <w:lang w:val="es-ES"/>
      </w:rPr>
      <w:t>WIPO/EXP/IPTK/GE/18/2</w:t>
    </w:r>
  </w:p>
  <w:p w14:paraId="18BA1269" w14:textId="7020C737" w:rsidR="00B205BA" w:rsidRPr="00076827" w:rsidRDefault="00B205BA" w:rsidP="00477D6B">
    <w:pPr>
      <w:jc w:val="right"/>
      <w:rPr>
        <w:lang w:val="es-ES"/>
      </w:rPr>
    </w:pPr>
    <w:r w:rsidRPr="00076827">
      <w:rPr>
        <w:lang w:val="es-ES"/>
      </w:rPr>
      <w:t xml:space="preserve">página </w:t>
    </w:r>
    <w:r>
      <w:fldChar w:fldCharType="begin"/>
    </w:r>
    <w:r w:rsidRPr="00076827">
      <w:rPr>
        <w:lang w:val="es-ES"/>
      </w:rPr>
      <w:instrText xml:space="preserve"> PAGE  \* MERGEFORMAT </w:instrText>
    </w:r>
    <w:r>
      <w:fldChar w:fldCharType="separate"/>
    </w:r>
    <w:r w:rsidR="003C4E80">
      <w:rPr>
        <w:noProof/>
        <w:lang w:val="es-ES"/>
      </w:rPr>
      <w:t>2</w:t>
    </w:r>
    <w:r>
      <w:fldChar w:fldCharType="end"/>
    </w:r>
  </w:p>
  <w:p w14:paraId="3561066F" w14:textId="77777777" w:rsidR="00B205BA" w:rsidRPr="00076827" w:rsidRDefault="00B205BA" w:rsidP="00477D6B">
    <w:pPr>
      <w:jc w:val="right"/>
      <w:rPr>
        <w:lang w:val="es-ES"/>
      </w:rPr>
    </w:pPr>
  </w:p>
  <w:p w14:paraId="6640AFD1" w14:textId="77777777" w:rsidR="00B205BA" w:rsidRPr="00076827" w:rsidRDefault="00B205BA"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8"/>
  </w:num>
  <w:num w:numId="5">
    <w:abstractNumId w:val="1"/>
  </w:num>
  <w:num w:numId="6">
    <w:abstractNumId w:val="5"/>
  </w:num>
  <w:num w:numId="7">
    <w:abstractNumId w:val="16"/>
  </w:num>
  <w:num w:numId="8">
    <w:abstractNumId w:val="10"/>
  </w:num>
  <w:num w:numId="9">
    <w:abstractNumId w:val="12"/>
  </w:num>
  <w:num w:numId="10">
    <w:abstractNumId w:val="13"/>
  </w:num>
  <w:num w:numId="11">
    <w:abstractNumId w:val="9"/>
  </w:num>
  <w:num w:numId="12">
    <w:abstractNumId w:val="17"/>
  </w:num>
  <w:num w:numId="13">
    <w:abstractNumId w:val="19"/>
  </w:num>
  <w:num w:numId="14">
    <w:abstractNumId w:val="20"/>
  </w:num>
  <w:num w:numId="15">
    <w:abstractNumId w:val="23"/>
  </w:num>
  <w:num w:numId="16">
    <w:abstractNumId w:val="8"/>
  </w:num>
  <w:num w:numId="17">
    <w:abstractNumId w:val="21"/>
  </w:num>
  <w:num w:numId="18">
    <w:abstractNumId w:val="11"/>
  </w:num>
  <w:num w:numId="19">
    <w:abstractNumId w:val="3"/>
  </w:num>
  <w:num w:numId="20">
    <w:abstractNumId w:val="7"/>
  </w:num>
  <w:num w:numId="21">
    <w:abstractNumId w:val="2"/>
  </w:num>
  <w:num w:numId="22">
    <w:abstractNumId w:val="6"/>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07FE8"/>
    <w:rsid w:val="00031920"/>
    <w:rsid w:val="00041042"/>
    <w:rsid w:val="00043CAA"/>
    <w:rsid w:val="00075432"/>
    <w:rsid w:val="00076827"/>
    <w:rsid w:val="000807DB"/>
    <w:rsid w:val="000831C9"/>
    <w:rsid w:val="00084F25"/>
    <w:rsid w:val="000968ED"/>
    <w:rsid w:val="000D04CF"/>
    <w:rsid w:val="000D40C4"/>
    <w:rsid w:val="000D4BD5"/>
    <w:rsid w:val="000E2B93"/>
    <w:rsid w:val="000F5E56"/>
    <w:rsid w:val="0010089D"/>
    <w:rsid w:val="001362EE"/>
    <w:rsid w:val="0014318C"/>
    <w:rsid w:val="00150D56"/>
    <w:rsid w:val="001647D5"/>
    <w:rsid w:val="00166A92"/>
    <w:rsid w:val="0018292F"/>
    <w:rsid w:val="001832A6"/>
    <w:rsid w:val="00187F6C"/>
    <w:rsid w:val="001A2F44"/>
    <w:rsid w:val="001B7216"/>
    <w:rsid w:val="001D088E"/>
    <w:rsid w:val="001E3AD1"/>
    <w:rsid w:val="001F084E"/>
    <w:rsid w:val="00203426"/>
    <w:rsid w:val="0021217E"/>
    <w:rsid w:val="00233C45"/>
    <w:rsid w:val="0025541C"/>
    <w:rsid w:val="002616F5"/>
    <w:rsid w:val="0026312A"/>
    <w:rsid w:val="002634C4"/>
    <w:rsid w:val="002928D3"/>
    <w:rsid w:val="0029357E"/>
    <w:rsid w:val="002965AA"/>
    <w:rsid w:val="002B6D96"/>
    <w:rsid w:val="002C59AD"/>
    <w:rsid w:val="002F1FE6"/>
    <w:rsid w:val="002F4E68"/>
    <w:rsid w:val="00312F7F"/>
    <w:rsid w:val="0032171C"/>
    <w:rsid w:val="003372F4"/>
    <w:rsid w:val="00337B3B"/>
    <w:rsid w:val="00340AE9"/>
    <w:rsid w:val="00361450"/>
    <w:rsid w:val="003673CF"/>
    <w:rsid w:val="0037092D"/>
    <w:rsid w:val="003845C1"/>
    <w:rsid w:val="003A6F89"/>
    <w:rsid w:val="003B1152"/>
    <w:rsid w:val="003B27D2"/>
    <w:rsid w:val="003B38C1"/>
    <w:rsid w:val="003C4E80"/>
    <w:rsid w:val="003D12FC"/>
    <w:rsid w:val="003D1A90"/>
    <w:rsid w:val="003E3795"/>
    <w:rsid w:val="004018A1"/>
    <w:rsid w:val="00423E3E"/>
    <w:rsid w:val="00424CF6"/>
    <w:rsid w:val="00427AF4"/>
    <w:rsid w:val="0043177A"/>
    <w:rsid w:val="00437C45"/>
    <w:rsid w:val="00440BD1"/>
    <w:rsid w:val="00441DB4"/>
    <w:rsid w:val="004426F1"/>
    <w:rsid w:val="00447442"/>
    <w:rsid w:val="00456411"/>
    <w:rsid w:val="004647DA"/>
    <w:rsid w:val="00474062"/>
    <w:rsid w:val="00477D6B"/>
    <w:rsid w:val="00486C98"/>
    <w:rsid w:val="004B350D"/>
    <w:rsid w:val="004D1319"/>
    <w:rsid w:val="004D2A4A"/>
    <w:rsid w:val="004E5F54"/>
    <w:rsid w:val="004F668B"/>
    <w:rsid w:val="005019FF"/>
    <w:rsid w:val="0051629A"/>
    <w:rsid w:val="00516C2D"/>
    <w:rsid w:val="00517798"/>
    <w:rsid w:val="00520061"/>
    <w:rsid w:val="0053057A"/>
    <w:rsid w:val="00560A29"/>
    <w:rsid w:val="00562D1E"/>
    <w:rsid w:val="00572A09"/>
    <w:rsid w:val="005C4023"/>
    <w:rsid w:val="005C6649"/>
    <w:rsid w:val="005D0510"/>
    <w:rsid w:val="005D618B"/>
    <w:rsid w:val="005D6821"/>
    <w:rsid w:val="005E07C0"/>
    <w:rsid w:val="00602A0B"/>
    <w:rsid w:val="0060323A"/>
    <w:rsid w:val="00605827"/>
    <w:rsid w:val="00606844"/>
    <w:rsid w:val="00610789"/>
    <w:rsid w:val="00613281"/>
    <w:rsid w:val="00622E30"/>
    <w:rsid w:val="00623AE8"/>
    <w:rsid w:val="00646050"/>
    <w:rsid w:val="006713CA"/>
    <w:rsid w:val="00676C5C"/>
    <w:rsid w:val="00681477"/>
    <w:rsid w:val="006B6464"/>
    <w:rsid w:val="006C4002"/>
    <w:rsid w:val="006D3C9F"/>
    <w:rsid w:val="006F4E56"/>
    <w:rsid w:val="006F5CBB"/>
    <w:rsid w:val="007043EE"/>
    <w:rsid w:val="007301FA"/>
    <w:rsid w:val="0074240D"/>
    <w:rsid w:val="007435C7"/>
    <w:rsid w:val="00750AD4"/>
    <w:rsid w:val="00774DAD"/>
    <w:rsid w:val="007767BE"/>
    <w:rsid w:val="007866CF"/>
    <w:rsid w:val="007A1575"/>
    <w:rsid w:val="007B44F7"/>
    <w:rsid w:val="007C4728"/>
    <w:rsid w:val="007D1613"/>
    <w:rsid w:val="007E40FD"/>
    <w:rsid w:val="007E46A9"/>
    <w:rsid w:val="007E4C0E"/>
    <w:rsid w:val="007E71EB"/>
    <w:rsid w:val="0081630D"/>
    <w:rsid w:val="00816717"/>
    <w:rsid w:val="00816953"/>
    <w:rsid w:val="0084479B"/>
    <w:rsid w:val="00846707"/>
    <w:rsid w:val="00847939"/>
    <w:rsid w:val="008A134B"/>
    <w:rsid w:val="008B2CC1"/>
    <w:rsid w:val="008B4576"/>
    <w:rsid w:val="008B45E0"/>
    <w:rsid w:val="008B60B2"/>
    <w:rsid w:val="008C0180"/>
    <w:rsid w:val="008C10CF"/>
    <w:rsid w:val="008C77C1"/>
    <w:rsid w:val="008D0D4B"/>
    <w:rsid w:val="008D4D45"/>
    <w:rsid w:val="0090731E"/>
    <w:rsid w:val="00916EE2"/>
    <w:rsid w:val="00950163"/>
    <w:rsid w:val="00950A4C"/>
    <w:rsid w:val="00951AC5"/>
    <w:rsid w:val="00957648"/>
    <w:rsid w:val="00966A22"/>
    <w:rsid w:val="0096722F"/>
    <w:rsid w:val="00967756"/>
    <w:rsid w:val="00980803"/>
    <w:rsid w:val="00980843"/>
    <w:rsid w:val="009A0B04"/>
    <w:rsid w:val="009A426C"/>
    <w:rsid w:val="009B54EF"/>
    <w:rsid w:val="009C2752"/>
    <w:rsid w:val="009C3880"/>
    <w:rsid w:val="009C3F61"/>
    <w:rsid w:val="009D1AA6"/>
    <w:rsid w:val="009E2791"/>
    <w:rsid w:val="009E3F6F"/>
    <w:rsid w:val="009E779B"/>
    <w:rsid w:val="009F499F"/>
    <w:rsid w:val="009F7789"/>
    <w:rsid w:val="00A05DB8"/>
    <w:rsid w:val="00A07E3D"/>
    <w:rsid w:val="00A2390D"/>
    <w:rsid w:val="00A275C1"/>
    <w:rsid w:val="00A37342"/>
    <w:rsid w:val="00A42DAF"/>
    <w:rsid w:val="00A44399"/>
    <w:rsid w:val="00A45BD8"/>
    <w:rsid w:val="00A67FE6"/>
    <w:rsid w:val="00A73D7E"/>
    <w:rsid w:val="00A74AE9"/>
    <w:rsid w:val="00A869B7"/>
    <w:rsid w:val="00AC205C"/>
    <w:rsid w:val="00AE22E1"/>
    <w:rsid w:val="00AE5D78"/>
    <w:rsid w:val="00AE6C48"/>
    <w:rsid w:val="00AF0A6B"/>
    <w:rsid w:val="00AF1ED6"/>
    <w:rsid w:val="00B05A69"/>
    <w:rsid w:val="00B112D7"/>
    <w:rsid w:val="00B205BA"/>
    <w:rsid w:val="00B346BC"/>
    <w:rsid w:val="00B77005"/>
    <w:rsid w:val="00B9734B"/>
    <w:rsid w:val="00BA16E1"/>
    <w:rsid w:val="00BA30E2"/>
    <w:rsid w:val="00BC4B1A"/>
    <w:rsid w:val="00BC7EAB"/>
    <w:rsid w:val="00BD6FAC"/>
    <w:rsid w:val="00BE6183"/>
    <w:rsid w:val="00BF6A83"/>
    <w:rsid w:val="00C11BFE"/>
    <w:rsid w:val="00C23E36"/>
    <w:rsid w:val="00C5068F"/>
    <w:rsid w:val="00C57CEF"/>
    <w:rsid w:val="00C605A3"/>
    <w:rsid w:val="00C7365D"/>
    <w:rsid w:val="00C73CC6"/>
    <w:rsid w:val="00C81E70"/>
    <w:rsid w:val="00C86D74"/>
    <w:rsid w:val="00CC0C14"/>
    <w:rsid w:val="00CC5FF5"/>
    <w:rsid w:val="00CD04F1"/>
    <w:rsid w:val="00CD5B6C"/>
    <w:rsid w:val="00CE1AD8"/>
    <w:rsid w:val="00CE66EF"/>
    <w:rsid w:val="00D014A6"/>
    <w:rsid w:val="00D05554"/>
    <w:rsid w:val="00D10AD8"/>
    <w:rsid w:val="00D1181D"/>
    <w:rsid w:val="00D20DE7"/>
    <w:rsid w:val="00D45252"/>
    <w:rsid w:val="00D53171"/>
    <w:rsid w:val="00D61185"/>
    <w:rsid w:val="00D66B9B"/>
    <w:rsid w:val="00D71B4D"/>
    <w:rsid w:val="00D80FF7"/>
    <w:rsid w:val="00D93D55"/>
    <w:rsid w:val="00D94578"/>
    <w:rsid w:val="00DB350A"/>
    <w:rsid w:val="00DC5D23"/>
    <w:rsid w:val="00DE079F"/>
    <w:rsid w:val="00DE45DC"/>
    <w:rsid w:val="00DE7051"/>
    <w:rsid w:val="00E02CE2"/>
    <w:rsid w:val="00E033BA"/>
    <w:rsid w:val="00E1184A"/>
    <w:rsid w:val="00E15015"/>
    <w:rsid w:val="00E163E8"/>
    <w:rsid w:val="00E21EA7"/>
    <w:rsid w:val="00E335FE"/>
    <w:rsid w:val="00E408B2"/>
    <w:rsid w:val="00E4214B"/>
    <w:rsid w:val="00E53211"/>
    <w:rsid w:val="00E57D3D"/>
    <w:rsid w:val="00E65079"/>
    <w:rsid w:val="00E723B6"/>
    <w:rsid w:val="00E75D08"/>
    <w:rsid w:val="00E77050"/>
    <w:rsid w:val="00E813C8"/>
    <w:rsid w:val="00E818A5"/>
    <w:rsid w:val="00E94608"/>
    <w:rsid w:val="00E9709F"/>
    <w:rsid w:val="00EA1441"/>
    <w:rsid w:val="00EA7D6E"/>
    <w:rsid w:val="00EB15A8"/>
    <w:rsid w:val="00EC2451"/>
    <w:rsid w:val="00EC4815"/>
    <w:rsid w:val="00EC4E49"/>
    <w:rsid w:val="00EC7882"/>
    <w:rsid w:val="00ED77FB"/>
    <w:rsid w:val="00EE45FA"/>
    <w:rsid w:val="00EE4A26"/>
    <w:rsid w:val="00EE6F20"/>
    <w:rsid w:val="00EF1964"/>
    <w:rsid w:val="00EF442A"/>
    <w:rsid w:val="00F32517"/>
    <w:rsid w:val="00F54D37"/>
    <w:rsid w:val="00F66152"/>
    <w:rsid w:val="00F83C2E"/>
    <w:rsid w:val="00FA6B85"/>
    <w:rsid w:val="00FC01F4"/>
    <w:rsid w:val="00FE22F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3EE938"/>
  <w15:docId w15:val="{BB8395C9-2D55-46FB-AF23-13C7A507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 w:type="character" w:styleId="CommentReference">
    <w:name w:val="annotation reference"/>
    <w:basedOn w:val="DefaultParagraphFont"/>
    <w:semiHidden/>
    <w:unhideWhenUsed/>
    <w:rsid w:val="00424CF6"/>
    <w:rPr>
      <w:sz w:val="16"/>
      <w:szCs w:val="16"/>
    </w:rPr>
  </w:style>
  <w:style w:type="paragraph" w:styleId="CommentSubject">
    <w:name w:val="annotation subject"/>
    <w:basedOn w:val="CommentText"/>
    <w:next w:val="CommentText"/>
    <w:link w:val="CommentSubjectChar"/>
    <w:semiHidden/>
    <w:unhideWhenUsed/>
    <w:rsid w:val="00424CF6"/>
    <w:rPr>
      <w:b/>
      <w:bCs/>
      <w:sz w:val="20"/>
    </w:rPr>
  </w:style>
  <w:style w:type="character" w:customStyle="1" w:styleId="CommentTextChar">
    <w:name w:val="Comment Text Char"/>
    <w:basedOn w:val="DefaultParagraphFont"/>
    <w:link w:val="CommentText"/>
    <w:semiHidden/>
    <w:rsid w:val="00424CF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24CF6"/>
    <w:rPr>
      <w:rFonts w:ascii="Arial" w:eastAsia="SimSun" w:hAnsi="Arial" w:cs="Arial"/>
      <w:b/>
      <w:bCs/>
      <w:sz w:val="18"/>
      <w:lang w:val="en-US" w:eastAsia="zh-CN"/>
    </w:rPr>
  </w:style>
  <w:style w:type="character" w:customStyle="1" w:styleId="textbaseviewersourcetitle">
    <w:name w:val="textbaseviewersourcetitle"/>
    <w:basedOn w:val="DefaultParagraphFont"/>
    <w:rsid w:val="00424CF6"/>
  </w:style>
  <w:style w:type="character" w:customStyle="1" w:styleId="UnresolvedMention">
    <w:name w:val="Unresolved Mention"/>
    <w:basedOn w:val="DefaultParagraphFont"/>
    <w:uiPriority w:val="99"/>
    <w:semiHidden/>
    <w:unhideWhenUsed/>
    <w:rsid w:val="00076827"/>
    <w:rPr>
      <w:color w:val="605E5C"/>
      <w:shd w:val="clear" w:color="auto" w:fill="E1DFDD"/>
    </w:rPr>
  </w:style>
  <w:style w:type="character" w:customStyle="1" w:styleId="textbaseviewertargettitle">
    <w:name w:val="textbaseviewertargettitle"/>
    <w:basedOn w:val="DefaultParagraphFont"/>
    <w:rsid w:val="00E9709F"/>
  </w:style>
  <w:style w:type="character" w:styleId="FollowedHyperlink">
    <w:name w:val="FollowedHyperlink"/>
    <w:basedOn w:val="DefaultParagraphFont"/>
    <w:semiHidden/>
    <w:unhideWhenUsed/>
    <w:rsid w:val="00A275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674646497">
      <w:bodyDiv w:val="1"/>
      <w:marLeft w:val="0"/>
      <w:marRight w:val="0"/>
      <w:marTop w:val="0"/>
      <w:marBottom w:val="0"/>
      <w:divBdr>
        <w:top w:val="none" w:sz="0" w:space="0" w:color="auto"/>
        <w:left w:val="none" w:sz="0" w:space="0" w:color="auto"/>
        <w:bottom w:val="none" w:sz="0" w:space="0" w:color="auto"/>
        <w:right w:val="none" w:sz="0" w:space="0" w:color="auto"/>
      </w:divBdr>
      <w:divsChild>
        <w:div w:id="408312045">
          <w:marLeft w:val="0"/>
          <w:marRight w:val="0"/>
          <w:marTop w:val="0"/>
          <w:marBottom w:val="0"/>
          <w:divBdr>
            <w:top w:val="none" w:sz="0" w:space="0" w:color="auto"/>
            <w:left w:val="none" w:sz="0" w:space="0" w:color="auto"/>
            <w:bottom w:val="none" w:sz="0" w:space="0" w:color="auto"/>
            <w:right w:val="none" w:sz="0" w:space="0" w:color="auto"/>
          </w:divBdr>
        </w:div>
        <w:div w:id="270016707">
          <w:marLeft w:val="0"/>
          <w:marRight w:val="0"/>
          <w:marTop w:val="0"/>
          <w:marBottom w:val="0"/>
          <w:divBdr>
            <w:top w:val="none" w:sz="0" w:space="0" w:color="auto"/>
            <w:left w:val="none" w:sz="0" w:space="0" w:color="auto"/>
            <w:bottom w:val="none" w:sz="0" w:space="0" w:color="auto"/>
            <w:right w:val="none" w:sz="0" w:space="0" w:color="auto"/>
          </w:divBdr>
        </w:div>
      </w:divsChild>
    </w:div>
    <w:div w:id="1902792350">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2158</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JIAO Fei</dc:creator>
  <cp:lastModifiedBy>KONTA DE PALMA Livia</cp:lastModifiedBy>
  <cp:revision>3</cp:revision>
  <cp:lastPrinted>2018-11-14T10:41:00Z</cp:lastPrinted>
  <dcterms:created xsi:type="dcterms:W3CDTF">2018-11-30T15:30:00Z</dcterms:created>
  <dcterms:modified xsi:type="dcterms:W3CDTF">2018-12-05T14:36:00Z</dcterms:modified>
</cp:coreProperties>
</file>