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bottom w:w="170" w:type="dxa"/>
              <w:right w:w="0" w:type="dxa"/>
            </w:tcMar>
          </w:tcPr>
          <w:p w:rsidR="00EC4E49" w:rsidRPr="008B2CC1" w:rsidRDefault="000C61C6" w:rsidP="00916EE2">
            <w:r>
              <w:rPr>
                <w:noProof/>
              </w:rPr>
              <w:drawing>
                <wp:inline distT="0" distB="0" distL="0" distR="0" wp14:anchorId="6C176E13" wp14:editId="59E6AD3C">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C4E49" w:rsidRPr="008B2CC1" w:rsidRDefault="00EC4E49" w:rsidP="00916EE2">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E38" w:rsidP="000C61C6">
            <w:pPr>
              <w:jc w:val="right"/>
              <w:rPr>
                <w:rFonts w:ascii="Arial Black" w:hAnsi="Arial Black"/>
                <w:caps/>
                <w:sz w:val="15"/>
              </w:rPr>
            </w:pPr>
            <w:bookmarkStart w:id="0" w:name="Code"/>
            <w:bookmarkEnd w:id="0"/>
            <w:r>
              <w:rPr>
                <w:rFonts w:ascii="Arial Black" w:hAnsi="Arial Black"/>
                <w:caps/>
                <w:sz w:val="15"/>
              </w:rPr>
              <w:t>WIPO/GRTKF/IC/35/10</w:t>
            </w:r>
            <w:r w:rsidR="000C61C6">
              <w:rPr>
                <w:rFonts w:ascii="Arial Black" w:hAnsi="Arial Black"/>
                <w:caps/>
                <w:sz w:val="15"/>
              </w:rPr>
              <w:t xml:space="preserve"> prov</w:t>
            </w:r>
            <w:r w:rsidR="00AE1D54">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EF0916">
              <w:rPr>
                <w:rFonts w:ascii="Arial Black" w:hAnsi="Arial Black"/>
                <w:caps/>
                <w:sz w:val="15"/>
              </w:rPr>
              <w:t xml:space="preserve">:  </w:t>
            </w:r>
            <w:bookmarkStart w:id="1" w:name="Original"/>
            <w:bookmarkEnd w:id="1"/>
            <w:r w:rsidR="000C61C6">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266F89">
            <w:pPr>
              <w:jc w:val="right"/>
              <w:rPr>
                <w:rFonts w:ascii="Arial Black" w:hAnsi="Arial Black"/>
                <w:caps/>
                <w:sz w:val="15"/>
              </w:rPr>
            </w:pPr>
            <w:r w:rsidRPr="0090731E">
              <w:rPr>
                <w:rFonts w:ascii="Arial Black" w:hAnsi="Arial Black"/>
                <w:caps/>
                <w:sz w:val="15"/>
              </w:rPr>
              <w:t>DATE</w:t>
            </w:r>
            <w:r w:rsidR="00EF0916">
              <w:rPr>
                <w:rFonts w:ascii="Arial Black" w:hAnsi="Arial Black"/>
                <w:caps/>
                <w:sz w:val="15"/>
              </w:rPr>
              <w:t xml:space="preserve">:  </w:t>
            </w:r>
            <w:bookmarkStart w:id="2" w:name="Date"/>
            <w:bookmarkEnd w:id="2"/>
            <w:r w:rsidR="004C2239">
              <w:rPr>
                <w:rFonts w:ascii="Arial Black" w:hAnsi="Arial Black"/>
                <w:caps/>
                <w:sz w:val="15"/>
              </w:rPr>
              <w:t xml:space="preserve">May </w:t>
            </w:r>
            <w:r w:rsidR="00507F1B">
              <w:rPr>
                <w:rFonts w:ascii="Arial Black" w:hAnsi="Arial Black"/>
                <w:caps/>
                <w:sz w:val="15"/>
              </w:rPr>
              <w:t>1</w:t>
            </w:r>
            <w:r w:rsidR="004C2239">
              <w:rPr>
                <w:rFonts w:ascii="Arial Black" w:hAnsi="Arial Black"/>
                <w:caps/>
                <w:sz w:val="15"/>
              </w:rPr>
              <w:t>8</w:t>
            </w:r>
            <w:r w:rsidR="00423E38">
              <w:rPr>
                <w:rFonts w:ascii="Arial Black" w:hAnsi="Arial Black"/>
                <w:caps/>
                <w:sz w:val="15"/>
              </w:rPr>
              <w:t>, 2018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0C61C6" w:rsidP="003845C1">
      <w:r>
        <w:rPr>
          <w:b/>
          <w:sz w:val="28"/>
          <w:szCs w:val="28"/>
        </w:rPr>
        <w:t>Intergovernmental Committee o</w:t>
      </w:r>
      <w:r w:rsidRPr="00ED6734">
        <w:rPr>
          <w:b/>
          <w:sz w:val="28"/>
          <w:szCs w:val="28"/>
        </w:rPr>
        <w:t xml:space="preserve">n Intellectual Property </w:t>
      </w:r>
      <w:r>
        <w:rPr>
          <w:b/>
          <w:sz w:val="28"/>
          <w:szCs w:val="28"/>
        </w:rPr>
        <w:t>a</w:t>
      </w:r>
      <w:r w:rsidRPr="00ED6734">
        <w:rPr>
          <w:b/>
          <w:sz w:val="28"/>
          <w:szCs w:val="28"/>
        </w:rPr>
        <w:t xml:space="preserve">nd Genetic Resources, Traditional Knowledge </w:t>
      </w:r>
      <w:r>
        <w:rPr>
          <w:b/>
          <w:sz w:val="28"/>
          <w:szCs w:val="28"/>
        </w:rPr>
        <w:t>a</w:t>
      </w:r>
      <w:r w:rsidRPr="00ED6734">
        <w:rPr>
          <w:b/>
          <w:sz w:val="28"/>
          <w:szCs w:val="28"/>
        </w:rPr>
        <w:t>nd</w:t>
      </w:r>
      <w:r w:rsidR="007F5C67">
        <w:rPr>
          <w:b/>
          <w:sz w:val="28"/>
          <w:szCs w:val="28"/>
        </w:rPr>
        <w:t xml:space="preserve"> </w:t>
      </w:r>
      <w:r w:rsidR="00180D49">
        <w:rPr>
          <w:b/>
          <w:sz w:val="28"/>
          <w:szCs w:val="28"/>
        </w:rPr>
        <w:t>Folklore</w:t>
      </w:r>
    </w:p>
    <w:p w:rsidR="003845C1" w:rsidRDefault="003845C1" w:rsidP="003845C1"/>
    <w:p w:rsidR="008B2CC1" w:rsidRPr="003845C1" w:rsidRDefault="006F088E" w:rsidP="008B2CC1">
      <w:pPr>
        <w:rPr>
          <w:b/>
          <w:sz w:val="24"/>
        </w:rPr>
      </w:pPr>
      <w:r>
        <w:rPr>
          <w:b/>
          <w:sz w:val="24"/>
        </w:rPr>
        <w:t>Thirty-</w:t>
      </w:r>
      <w:r w:rsidR="00423E38">
        <w:rPr>
          <w:b/>
          <w:sz w:val="24"/>
        </w:rPr>
        <w:t>Fifth</w:t>
      </w:r>
      <w:r w:rsidR="000C61C6">
        <w:rPr>
          <w:b/>
          <w:sz w:val="24"/>
        </w:rPr>
        <w:t xml:space="preserve"> </w:t>
      </w:r>
      <w:proofErr w:type="gramStart"/>
      <w:r w:rsidR="003845C1" w:rsidRPr="003845C1">
        <w:rPr>
          <w:b/>
          <w:sz w:val="24"/>
        </w:rPr>
        <w:t>Session</w:t>
      </w:r>
      <w:proofErr w:type="gramEnd"/>
    </w:p>
    <w:p w:rsidR="008B2CC1" w:rsidRPr="003845C1" w:rsidRDefault="000C61C6" w:rsidP="008B2CC1">
      <w:pPr>
        <w:rPr>
          <w:b/>
          <w:sz w:val="24"/>
        </w:rPr>
      </w:pPr>
      <w:r>
        <w:rPr>
          <w:b/>
          <w:sz w:val="24"/>
        </w:rPr>
        <w:t xml:space="preserve">Geneva, </w:t>
      </w:r>
      <w:r w:rsidR="00423E38">
        <w:rPr>
          <w:b/>
          <w:sz w:val="24"/>
        </w:rPr>
        <w:t>March 19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0C61C6" w:rsidP="008B2CC1">
      <w:pPr>
        <w:rPr>
          <w:caps/>
          <w:sz w:val="24"/>
        </w:rPr>
      </w:pPr>
      <w:bookmarkStart w:id="3" w:name="TitleOfDoc"/>
      <w:bookmarkEnd w:id="3"/>
      <w:r>
        <w:rPr>
          <w:caps/>
          <w:sz w:val="24"/>
        </w:rPr>
        <w:t>INITIAL DRAFT REPORT</w:t>
      </w:r>
    </w:p>
    <w:p w:rsidR="008B2CC1" w:rsidRPr="008B2CC1" w:rsidRDefault="008B2CC1" w:rsidP="008B2CC1"/>
    <w:p w:rsidR="008B2CC1" w:rsidRPr="008B2CC1" w:rsidRDefault="000C61C6"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0C61C6" w:rsidRDefault="000C61C6">
      <w:pPr>
        <w:sectPr w:rsidR="000C61C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9B459C" w:rsidRPr="009B459C" w:rsidRDefault="009B459C" w:rsidP="00310121">
      <w:pPr>
        <w:pStyle w:val="ListParagraph"/>
        <w:numPr>
          <w:ilvl w:val="0"/>
          <w:numId w:val="4"/>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rsidR="003629C8">
        <w:t>e” or “the IGC”) held its Thirty-</w:t>
      </w:r>
      <w:r w:rsidR="00423E38">
        <w:t>Fifth Session (“IGC 35</w:t>
      </w:r>
      <w:r w:rsidRPr="009B459C">
        <w:t xml:space="preserve">”) in Geneva, from </w:t>
      </w:r>
      <w:r w:rsidR="00423E38">
        <w:t>March 19 to 23, 2018</w:t>
      </w:r>
      <w:r w:rsidR="00AE1D54">
        <w:t xml:space="preserve">.  </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proofErr w:type="gramStart"/>
      <w:r w:rsidRPr="009B459C">
        <w:t>The following States were represented</w:t>
      </w:r>
      <w:r w:rsidR="00EF0916">
        <w:t xml:space="preserve">:  </w:t>
      </w:r>
      <w:r w:rsidR="00CC7F10">
        <w:t xml:space="preserve">Albania, Algeria, </w:t>
      </w:r>
      <w:r w:rsidR="00195335">
        <w:t xml:space="preserve">Argentina, Australia, Austria, Azerbaijan, Barbados, Benin, Bhutan, Bolivia (Plurinational State of), Brazil, Bulgaria, Canada, Chile, China, Colombia, Costa Rica, </w:t>
      </w:r>
      <w:r w:rsidR="00A5023A">
        <w:t>Côte d’I</w:t>
      </w:r>
      <w:r w:rsidR="00A5023A" w:rsidRPr="00A5023A">
        <w:t>voire</w:t>
      </w:r>
      <w:r w:rsidR="00195335">
        <w:t xml:space="preserve">, Croatia, </w:t>
      </w:r>
      <w:r w:rsidR="00E500F0">
        <w:t xml:space="preserve">Czech Republic, </w:t>
      </w:r>
      <w:r w:rsidR="00195335">
        <w:t xml:space="preserve">Denmark, </w:t>
      </w:r>
      <w:r w:rsidR="00E500F0">
        <w:t xml:space="preserve">Democratic People’s Republic of Korea, </w:t>
      </w:r>
      <w:r w:rsidR="00195335">
        <w:t>Djibouti, Ecuador, Egypt, El Salvador, Ethiopia, Finland, France, Gabon, Germany, Ghana, Greece, Guatemala,</w:t>
      </w:r>
      <w:r w:rsidR="00E500F0">
        <w:t xml:space="preserve"> Holy See,</w:t>
      </w:r>
      <w:r w:rsidR="00195335">
        <w:t xml:space="preserve"> Honduras, India, Indonesia, Iran (Islamic Republic of), Iraq, Ireland, Italy, Japan, Jordan, Kazakhstan, Kuwait, Latvia, Lebanon, Lithuania, Malaysia, Malawi, Mexico, Morocco, Montenegro, Mozambique, Myanmar, Nicaragua, Niger, Nigeria, Oman, Panama, Paraguay, Philippines, Poland, Portugal, </w:t>
      </w:r>
      <w:r w:rsidR="00E500F0">
        <w:t xml:space="preserve">Republic of Korea, Romania, </w:t>
      </w:r>
      <w:r w:rsidR="00195335">
        <w:t xml:space="preserve">Russian Federation, Saudi Arabia, </w:t>
      </w:r>
      <w:r w:rsidR="00E500F0">
        <w:t xml:space="preserve">Senegal, </w:t>
      </w:r>
      <w:r w:rsidR="00900C28">
        <w:t xml:space="preserve">Seychelles, </w:t>
      </w:r>
      <w:r w:rsidR="00CC7F10" w:rsidRPr="00195335">
        <w:t>South Africa,</w:t>
      </w:r>
      <w:r w:rsidR="00180D49" w:rsidRPr="00195335">
        <w:t xml:space="preserve"> </w:t>
      </w:r>
      <w:r w:rsidR="00195335">
        <w:t xml:space="preserve">Spain, </w:t>
      </w:r>
      <w:r w:rsidR="00900C28">
        <w:t xml:space="preserve">Sri Lanka, Sweden, Switzerland, Tajikistan, Thailand, Tunisia, Turkey, Tuvalu, </w:t>
      </w:r>
      <w:r w:rsidR="00195335">
        <w:t xml:space="preserve">Uganda, </w:t>
      </w:r>
      <w:r w:rsidR="00900C28">
        <w:t xml:space="preserve">Ukraine, </w:t>
      </w:r>
      <w:r w:rsidR="00195335">
        <w:t xml:space="preserve">United Arab Emirates, </w:t>
      </w:r>
      <w:r w:rsidR="00195335" w:rsidRPr="00195335">
        <w:t>United States of America</w:t>
      </w:r>
      <w:r w:rsidR="00900C28">
        <w:t xml:space="preserve">, Uruguay, Venezuela (Bolivarian Republic of), Viet Nam, Yemen and </w:t>
      </w:r>
      <w:r w:rsidR="00900C28" w:rsidRPr="00900C28">
        <w:t>Zimbabwe</w:t>
      </w:r>
      <w:r w:rsidR="00195335" w:rsidRPr="00900C28">
        <w:t xml:space="preserve"> </w:t>
      </w:r>
      <w:r w:rsidR="00900C28" w:rsidRPr="00900C28">
        <w:t>(90</w:t>
      </w:r>
      <w:r w:rsidRPr="00900C28">
        <w:t>)</w:t>
      </w:r>
      <w:r w:rsidR="00AE1D54" w:rsidRPr="00900C28">
        <w:t>.</w:t>
      </w:r>
      <w:proofErr w:type="gramEnd"/>
      <w:r w:rsidR="00AE1D54">
        <w:t xml:space="preserve">  </w:t>
      </w:r>
      <w:r w:rsidRPr="009B459C">
        <w:t>The European Union (“the EU”) and its Member States were also represented as a member of the Committee.</w:t>
      </w:r>
    </w:p>
    <w:p w:rsidR="009B459C" w:rsidRPr="009B459C" w:rsidRDefault="009B459C" w:rsidP="009B459C">
      <w:pPr>
        <w:pStyle w:val="ListParagraph"/>
        <w:ind w:left="0"/>
      </w:pPr>
    </w:p>
    <w:p w:rsidR="009B459C" w:rsidRPr="00A5023A" w:rsidRDefault="009B459C" w:rsidP="00310121">
      <w:pPr>
        <w:pStyle w:val="ListParagraph"/>
        <w:numPr>
          <w:ilvl w:val="0"/>
          <w:numId w:val="4"/>
        </w:numPr>
        <w:ind w:left="0" w:firstLine="0"/>
      </w:pPr>
      <w:r w:rsidRPr="00A5023A">
        <w:t>The following intergovernmental organizations (“IGOs”) took part as observers</w:t>
      </w:r>
      <w:r w:rsidR="00EF0916" w:rsidRPr="00A5023A">
        <w:t xml:space="preserve">:  </w:t>
      </w:r>
      <w:r w:rsidR="00900C28" w:rsidRPr="00A5023A">
        <w:t xml:space="preserve">African Regional Intellectual Property Organization (ARIPO); </w:t>
      </w:r>
      <w:r w:rsidR="00A5023A" w:rsidRPr="00A5023A">
        <w:t xml:space="preserve"> African Union (AU);  </w:t>
      </w:r>
      <w:r w:rsidR="00900C28" w:rsidRPr="00A5023A">
        <w:t>Food and Agriculture Organization of the United Nation</w:t>
      </w:r>
      <w:r w:rsidR="00452844">
        <w:t>s</w:t>
      </w:r>
      <w:r w:rsidR="00900C28" w:rsidRPr="00A5023A">
        <w:t xml:space="preserve"> (FAO);  Organization of Islamic Cooperation (OIC);  Patent Office of the Cooperation Council for the Arab States of the Gulf (GCC Patent Office); </w:t>
      </w:r>
      <w:r w:rsidR="00A5023A">
        <w:t xml:space="preserve"> </w:t>
      </w:r>
      <w:r w:rsidR="00900C28" w:rsidRPr="00A5023A">
        <w:t xml:space="preserve">and South Centre (SC) </w:t>
      </w:r>
      <w:r w:rsidR="00A5023A" w:rsidRPr="00A5023A">
        <w:t>(6</w:t>
      </w:r>
      <w:r w:rsidRPr="00A5023A">
        <w:t>).</w:t>
      </w:r>
    </w:p>
    <w:p w:rsidR="009B459C" w:rsidRPr="009B459C" w:rsidRDefault="009B459C" w:rsidP="009B459C">
      <w:pPr>
        <w:pStyle w:val="ListParagraph"/>
        <w:ind w:left="0"/>
      </w:pPr>
    </w:p>
    <w:p w:rsidR="009B459C" w:rsidRPr="00C423F7" w:rsidRDefault="009B459C" w:rsidP="00310121">
      <w:pPr>
        <w:pStyle w:val="ListParagraph"/>
        <w:numPr>
          <w:ilvl w:val="0"/>
          <w:numId w:val="4"/>
        </w:numPr>
        <w:ind w:left="0" w:firstLine="0"/>
      </w:pPr>
      <w:proofErr w:type="gramStart"/>
      <w:r w:rsidRPr="009B459C">
        <w:t>Representatives of the following non-governmental organizations (“NGOs”) took part as observers</w:t>
      </w:r>
      <w:r w:rsidR="00EF0916">
        <w:t xml:space="preserve">:  </w:t>
      </w:r>
      <w:r w:rsidR="00A5023A" w:rsidRPr="00A5023A">
        <w:t>Assembly of Armenians of Western Armenia</w:t>
      </w:r>
      <w:r w:rsidR="00A5023A" w:rsidRPr="00BE2A58">
        <w:t xml:space="preserve">;  </w:t>
      </w:r>
      <w:r w:rsidR="00606CCB" w:rsidRPr="00BE2A58">
        <w:rPr>
          <w:szCs w:val="22"/>
        </w:rPr>
        <w:t xml:space="preserve">Association of Kunas United for Mother Earth (KUNA);  Center for Multidisciplinary Studies Aymara (CEM-Aymara);  </w:t>
      </w:r>
      <w:r w:rsidR="00BE2A58" w:rsidRPr="00BE2A58">
        <w:rPr>
          <w:i/>
          <w:szCs w:val="22"/>
        </w:rPr>
        <w:t>Centro de Culturas Indígenas del Perú</w:t>
      </w:r>
      <w:r w:rsidR="00BE2A58" w:rsidRPr="00BE2A58">
        <w:rPr>
          <w:szCs w:val="22"/>
        </w:rPr>
        <w:t xml:space="preserve"> (CHIRAPAQ);  Civil Society Coalition (CSC);  </w:t>
      </w:r>
      <w:r w:rsidR="00BE2A58" w:rsidRPr="00BE2A58">
        <w:rPr>
          <w:i/>
          <w:szCs w:val="22"/>
        </w:rPr>
        <w:t>Comisión Jurídica para el Autodesarrollo de los Pueblos Originarios Andinos</w:t>
      </w:r>
      <w:r w:rsidR="00BE2A58" w:rsidRPr="00BE2A58">
        <w:rPr>
          <w:szCs w:val="22"/>
        </w:rPr>
        <w:t xml:space="preserve"> (CAPAJ);  CropLife International (CROPLIFE);  Culture of Afro-indigenous Solidarity (Afro-Indigène);  Engabu Za Tooro (Tooro Youth Platform for Action);  </w:t>
      </w:r>
      <w:r w:rsidR="00606CCB" w:rsidRPr="00BE2A58">
        <w:t xml:space="preserve">European Law Students’ Association (ELSA International);  </w:t>
      </w:r>
      <w:r w:rsidR="00BE2A58" w:rsidRPr="00BE2A58">
        <w:rPr>
          <w:szCs w:val="22"/>
        </w:rPr>
        <w:t xml:space="preserve">Foundation for Aboriginal and Islander Research Action (FAIRA);  France Freedoms - Danielle Mitterrand Foundation;  Health and Environment Program (HEP);  Indian Council of South America (CISA);  Indian Movement - Tupaj Amaru;  Indigenous Peoples’ Center for Documentation, Research and Information (DoCip);  International Federation of Intellectual Property Attorneys (FICPI);  International Federation of Pharmaceutical Manufacturers Associations (IFPMA);  </w:t>
      </w:r>
      <w:r w:rsidR="00A5023A" w:rsidRPr="00BE2A58">
        <w:t>International Law Association (ILA)</w:t>
      </w:r>
      <w:r w:rsidR="00BE2A58" w:rsidRPr="00BE2A58">
        <w:t xml:space="preserve">;  </w:t>
      </w:r>
      <w:r w:rsidR="00BE2A58" w:rsidRPr="00BE2A58">
        <w:rPr>
          <w:szCs w:val="22"/>
        </w:rPr>
        <w:t>Knowledge Ecology International, Inc. (KEI);  Mbororo Social Cultural Development Association (MBOSCUDA);  Native American Rights Fund (NARF);  Tebtebba Foundation - Indigenous Peoples’ International Centre for Policy Research and Education;  Third World Network Berhad (TWN);  Tulalip Tribes of Washington Governmental Affairs Department;  and University of Lausanne</w:t>
      </w:r>
      <w:r w:rsidR="00BE2A58" w:rsidRPr="00BE2A58">
        <w:t xml:space="preserve"> </w:t>
      </w:r>
      <w:r w:rsidR="00C423F7" w:rsidRPr="00C423F7">
        <w:t>(26</w:t>
      </w:r>
      <w:r w:rsidRPr="00C423F7">
        <w:t>).</w:t>
      </w:r>
      <w:proofErr w:type="gramEnd"/>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r w:rsidRPr="009B459C">
        <w:t xml:space="preserve">The list of participants </w:t>
      </w:r>
      <w:proofErr w:type="gramStart"/>
      <w:r w:rsidRPr="009B459C">
        <w:t>is annexed</w:t>
      </w:r>
      <w:proofErr w:type="gramEnd"/>
      <w:r w:rsidRPr="009B459C">
        <w:t xml:space="preserve"> to this report</w:t>
      </w:r>
      <w:r w:rsidR="00AE1D54">
        <w:t xml:space="preserve">.  </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r w:rsidRPr="009B459C">
        <w:t>Document WIPO/</w:t>
      </w:r>
      <w:r w:rsidR="00423E38">
        <w:t>GRTKF/IC/35</w:t>
      </w:r>
      <w:r w:rsidRPr="009B459C">
        <w:t>/INF/2</w:t>
      </w:r>
      <w:r w:rsidR="00180D49">
        <w:t xml:space="preserve"> Rev.</w:t>
      </w:r>
      <w:r w:rsidRPr="009B459C">
        <w:t xml:space="preserve"> provided an overview of the </w:t>
      </w:r>
      <w:r w:rsidR="00423E38">
        <w:t>documents distributed for IGC 35</w:t>
      </w:r>
      <w:r w:rsidRPr="009B459C">
        <w:t>.</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r w:rsidRPr="009B459C">
        <w:t xml:space="preserve">The Secretariat noted the interventions made, and the proceedings of the session </w:t>
      </w:r>
      <w:proofErr w:type="gramStart"/>
      <w:r w:rsidRPr="009B459C">
        <w:t>were communicated and recorded on webcast</w:t>
      </w:r>
      <w:proofErr w:type="gramEnd"/>
      <w:r w:rsidR="00AE1D54">
        <w:t xml:space="preserve">.  </w:t>
      </w:r>
      <w:r w:rsidRPr="009B459C">
        <w:t>This report summarizes the discussions and provides the essence of interventions, without reflecting all the observations made in detail or necessarily following the chronological order of interventions.</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proofErr w:type="gramStart"/>
      <w:r w:rsidRPr="009B459C">
        <w:t>Mr</w:t>
      </w:r>
      <w:r w:rsidR="00AE1D54">
        <w:t>.</w:t>
      </w:r>
      <w:proofErr w:type="gramEnd"/>
      <w:r w:rsidR="00AE1D54">
        <w:t xml:space="preserve">  </w:t>
      </w:r>
      <w:r w:rsidRPr="009B459C">
        <w:t>Wend Wendland</w:t>
      </w:r>
      <w:r w:rsidR="00423E38">
        <w:t xml:space="preserve"> of WIPO was Secretary to IGC 35</w:t>
      </w:r>
      <w:r w:rsidRPr="009B459C">
        <w:t>.</w:t>
      </w:r>
    </w:p>
    <w:p w:rsidR="009B459C" w:rsidRPr="009B459C" w:rsidRDefault="009B459C" w:rsidP="009B459C">
      <w:pPr>
        <w:pStyle w:val="ListParagraph"/>
        <w:ind w:left="0"/>
      </w:pPr>
    </w:p>
    <w:p w:rsidR="009B459C" w:rsidRPr="009B459C" w:rsidRDefault="009B459C" w:rsidP="009B459C">
      <w:pPr>
        <w:pStyle w:val="Heading1"/>
        <w:spacing w:before="0" w:after="0"/>
      </w:pPr>
      <w:r w:rsidRPr="009B459C">
        <w:lastRenderedPageBreak/>
        <w:t>AGENDA ITEM 1</w:t>
      </w:r>
      <w:r w:rsidR="00AE1D54">
        <w:t xml:space="preserve">:  </w:t>
      </w:r>
      <w:r w:rsidRPr="009B459C">
        <w:t>OPENING OF THE SESSION</w:t>
      </w:r>
    </w:p>
    <w:p w:rsidR="009B459C" w:rsidRPr="009B459C" w:rsidRDefault="009B459C" w:rsidP="009B459C">
      <w:pPr>
        <w:pStyle w:val="ListParagraph"/>
        <w:ind w:left="0"/>
      </w:pPr>
    </w:p>
    <w:p w:rsidR="00246C12" w:rsidRPr="00FA62DA" w:rsidRDefault="00B6739B" w:rsidP="00FA62DA">
      <w:pPr>
        <w:pStyle w:val="ListParagraph"/>
        <w:numPr>
          <w:ilvl w:val="0"/>
          <w:numId w:val="4"/>
        </w:numPr>
        <w:ind w:left="0" w:firstLine="0"/>
        <w:rPr>
          <w:i/>
          <w:szCs w:val="22"/>
        </w:rPr>
      </w:pPr>
      <w:r w:rsidRPr="00B6739B">
        <w:t>The</w:t>
      </w:r>
      <w:r w:rsidRPr="00B6739B">
        <w:rPr>
          <w:rFonts w:cs="Times New Roman"/>
        </w:rPr>
        <w:t xml:space="preserve"> Director General, Mr. Francis Gurry, welcomed </w:t>
      </w:r>
      <w:r w:rsidR="00770295">
        <w:rPr>
          <w:rFonts w:cs="Times New Roman"/>
        </w:rPr>
        <w:t xml:space="preserve">all </w:t>
      </w:r>
      <w:r w:rsidRPr="00B6739B">
        <w:rPr>
          <w:rFonts w:cs="Times New Roman"/>
        </w:rPr>
        <w:t>participants to IGC 35</w:t>
      </w:r>
      <w:r>
        <w:rPr>
          <w:rFonts w:cs="Times New Roman"/>
        </w:rPr>
        <w:t>, which</w:t>
      </w:r>
      <w:r w:rsidRPr="00B6739B">
        <w:rPr>
          <w:rFonts w:cs="Courier New"/>
        </w:rPr>
        <w:t xml:space="preserve"> was the first session </w:t>
      </w:r>
      <w:r>
        <w:rPr>
          <w:rFonts w:cs="Courier New"/>
        </w:rPr>
        <w:t>under</w:t>
      </w:r>
      <w:r w:rsidRPr="00B6739B">
        <w:rPr>
          <w:rFonts w:cs="Courier New"/>
        </w:rPr>
        <w:t xml:space="preserve"> the 2018-2019 </w:t>
      </w:r>
      <w:proofErr w:type="gramStart"/>
      <w:r w:rsidRPr="00B6739B">
        <w:rPr>
          <w:rFonts w:cs="Courier New"/>
        </w:rPr>
        <w:t>biennium</w:t>
      </w:r>
      <w:proofErr w:type="gramEnd"/>
      <w:r>
        <w:rPr>
          <w:rFonts w:cs="Courier New"/>
        </w:rPr>
        <w:t xml:space="preserve">. </w:t>
      </w:r>
      <w:r w:rsidR="00770295">
        <w:rPr>
          <w:rFonts w:cs="Courier New"/>
        </w:rPr>
        <w:t xml:space="preserve"> </w:t>
      </w:r>
      <w:r>
        <w:rPr>
          <w:rFonts w:cs="Courier New"/>
        </w:rPr>
        <w:t>H</w:t>
      </w:r>
      <w:r w:rsidRPr="00B6739B">
        <w:rPr>
          <w:rFonts w:cs="Courier New"/>
        </w:rPr>
        <w:t>e recalled the IGC</w:t>
      </w:r>
      <w:r w:rsidR="00770295">
        <w:rPr>
          <w:rFonts w:cs="Courier New"/>
        </w:rPr>
        <w:t>’s</w:t>
      </w:r>
      <w:r w:rsidRPr="00B6739B">
        <w:rPr>
          <w:rFonts w:cs="Courier New"/>
        </w:rPr>
        <w:t xml:space="preserve"> </w:t>
      </w:r>
      <w:proofErr w:type="gramStart"/>
      <w:r w:rsidRPr="00B6739B">
        <w:rPr>
          <w:rFonts w:cs="Courier New"/>
        </w:rPr>
        <w:t xml:space="preserve">mandate </w:t>
      </w:r>
      <w:r w:rsidR="00770295">
        <w:rPr>
          <w:rFonts w:cs="Courier New"/>
        </w:rPr>
        <w:t>which</w:t>
      </w:r>
      <w:proofErr w:type="gramEnd"/>
      <w:r w:rsidR="00770295">
        <w:rPr>
          <w:rFonts w:cs="Courier New"/>
        </w:rPr>
        <w:t xml:space="preserve"> was </w:t>
      </w:r>
      <w:r w:rsidRPr="00B6739B">
        <w:rPr>
          <w:rFonts w:cs="Courier New"/>
        </w:rPr>
        <w:t>approved at the General Assembly</w:t>
      </w:r>
      <w:r w:rsidR="00770295">
        <w:rPr>
          <w:rFonts w:cs="Courier New"/>
        </w:rPr>
        <w:t xml:space="preserve"> (“GA”)</w:t>
      </w:r>
      <w:r w:rsidRPr="00B6739B">
        <w:rPr>
          <w:rFonts w:cs="Courier New"/>
        </w:rPr>
        <w:t xml:space="preserve"> in October 2017.  Six IGC sessions were to take place during </w:t>
      </w:r>
      <w:r>
        <w:rPr>
          <w:rFonts w:cs="Courier New"/>
        </w:rPr>
        <w:t>the</w:t>
      </w:r>
      <w:r w:rsidRPr="00B6739B">
        <w:rPr>
          <w:rFonts w:cs="Courier New"/>
        </w:rPr>
        <w:t xml:space="preserve"> biennium,</w:t>
      </w:r>
      <w:r w:rsidR="00770295">
        <w:rPr>
          <w:rFonts w:cs="Courier New"/>
        </w:rPr>
        <w:t xml:space="preserve"> including</w:t>
      </w:r>
      <w:r w:rsidRPr="00B6739B">
        <w:rPr>
          <w:rFonts w:cs="Courier New"/>
        </w:rPr>
        <w:t xml:space="preserve"> two on genetic resources (</w:t>
      </w:r>
      <w:r w:rsidR="00770295">
        <w:rPr>
          <w:rFonts w:cs="Courier New"/>
        </w:rPr>
        <w:t>“</w:t>
      </w:r>
      <w:r w:rsidRPr="00B6739B">
        <w:rPr>
          <w:rFonts w:cs="Courier New"/>
        </w:rPr>
        <w:t>GRs</w:t>
      </w:r>
      <w:r w:rsidR="00770295">
        <w:rPr>
          <w:rFonts w:cs="Courier New"/>
        </w:rPr>
        <w:t>”</w:t>
      </w:r>
      <w:r w:rsidRPr="00B6739B">
        <w:rPr>
          <w:rFonts w:cs="Courier New"/>
        </w:rPr>
        <w:t>) in 2018, two on traditional knowledge (</w:t>
      </w:r>
      <w:r w:rsidR="00770295">
        <w:rPr>
          <w:rFonts w:cs="Courier New"/>
        </w:rPr>
        <w:t>“</w:t>
      </w:r>
      <w:r w:rsidRPr="00B6739B">
        <w:rPr>
          <w:rFonts w:cs="Courier New"/>
        </w:rPr>
        <w:t>TK</w:t>
      </w:r>
      <w:r w:rsidR="00770295">
        <w:rPr>
          <w:rFonts w:cs="Courier New"/>
        </w:rPr>
        <w:t>”</w:t>
      </w:r>
      <w:r w:rsidRPr="00B6739B">
        <w:rPr>
          <w:rFonts w:cs="Courier New"/>
        </w:rPr>
        <w:t>)/traditional cultural expressions (</w:t>
      </w:r>
      <w:r w:rsidR="00770295">
        <w:rPr>
          <w:rFonts w:cs="Courier New"/>
        </w:rPr>
        <w:t>“</w:t>
      </w:r>
      <w:r w:rsidRPr="00B6739B">
        <w:rPr>
          <w:rFonts w:cs="Courier New"/>
        </w:rPr>
        <w:t>TCEs</w:t>
      </w:r>
      <w:r w:rsidR="00770295">
        <w:rPr>
          <w:rFonts w:cs="Courier New"/>
        </w:rPr>
        <w:t>”</w:t>
      </w:r>
      <w:r w:rsidRPr="00B6739B">
        <w:rPr>
          <w:rFonts w:cs="Courier New"/>
        </w:rPr>
        <w:t>) in 2018, and two on TK/TCEs in 2019.  IGC 35 was the first session specifically devoted to GRs since June 2016.  Document WIPO/GRTKF</w:t>
      </w:r>
      <w:r w:rsidR="00E14AED">
        <w:rPr>
          <w:rFonts w:cs="Courier New"/>
        </w:rPr>
        <w:t xml:space="preserve">/IC/35/4 reflected the revised </w:t>
      </w:r>
      <w:r w:rsidR="00770295">
        <w:rPr>
          <w:rFonts w:cs="Courier New"/>
        </w:rPr>
        <w:t xml:space="preserve">text on GRs. </w:t>
      </w:r>
      <w:r w:rsidRPr="00B6739B">
        <w:rPr>
          <w:rFonts w:cs="Courier New"/>
        </w:rPr>
        <w:t xml:space="preserve"> </w:t>
      </w:r>
      <w:r w:rsidR="00FA62DA" w:rsidRPr="00CA6B8D">
        <w:rPr>
          <w:szCs w:val="22"/>
        </w:rPr>
        <w:t>The</w:t>
      </w:r>
      <w:r w:rsidR="00FA62DA">
        <w:rPr>
          <w:szCs w:val="22"/>
        </w:rPr>
        <w:t xml:space="preserve"> new mandate of the IGC requested</w:t>
      </w:r>
      <w:r w:rsidR="00FA62DA" w:rsidRPr="00CA6B8D">
        <w:rPr>
          <w:szCs w:val="22"/>
        </w:rPr>
        <w:t xml:space="preserve"> the Secreta</w:t>
      </w:r>
      <w:r w:rsidR="00FA62DA">
        <w:rPr>
          <w:szCs w:val="22"/>
        </w:rPr>
        <w:t>riat to “</w:t>
      </w:r>
      <w:r w:rsidR="00FA62DA" w:rsidRPr="00CA6B8D">
        <w:rPr>
          <w:szCs w:val="22"/>
        </w:rPr>
        <w:t>produce a report(s) compiling and updating studies, proposals and other materials relating to tools and activities on databases and on existing disclosure regimes relating to GR and associated TK, with a view to identify any gaps.”</w:t>
      </w:r>
      <w:r w:rsidR="00FA62DA">
        <w:rPr>
          <w:szCs w:val="22"/>
        </w:rPr>
        <w:t xml:space="preserve">  Such reports </w:t>
      </w:r>
      <w:proofErr w:type="gramStart"/>
      <w:r w:rsidR="00FA62DA">
        <w:rPr>
          <w:szCs w:val="22"/>
        </w:rPr>
        <w:t>had been produced</w:t>
      </w:r>
      <w:proofErr w:type="gramEnd"/>
      <w:r w:rsidR="00FA62DA">
        <w:rPr>
          <w:szCs w:val="22"/>
        </w:rPr>
        <w:t xml:space="preserve"> as documents WIPO/GRTKF/IC/35/5 and WIPO/GRTKF/IC/35/6.  </w:t>
      </w:r>
      <w:proofErr w:type="gramStart"/>
      <w:r w:rsidR="00FA62DA" w:rsidRPr="00FA62DA">
        <w:rPr>
          <w:szCs w:val="22"/>
        </w:rPr>
        <w:t xml:space="preserve">Other working documents for this session </w:t>
      </w:r>
      <w:r w:rsidR="00D274CF">
        <w:rPr>
          <w:szCs w:val="22"/>
        </w:rPr>
        <w:t>were</w:t>
      </w:r>
      <w:r w:rsidR="00FA62DA" w:rsidRPr="00FA62DA">
        <w:rPr>
          <w:szCs w:val="22"/>
        </w:rPr>
        <w:t xml:space="preserve"> the re-submission</w:t>
      </w:r>
      <w:r w:rsidR="00FA62DA">
        <w:rPr>
          <w:szCs w:val="22"/>
        </w:rPr>
        <w:t>s of t</w:t>
      </w:r>
      <w:r w:rsidR="00FA62DA" w:rsidRPr="00FA62DA">
        <w:rPr>
          <w:szCs w:val="22"/>
        </w:rPr>
        <w:t>he “Joint Recommendation on Genetic Resources and Associated Traditional Knowledge” (WIPO/GRTKF/IC/35/7), submitted by the Delegations of Canada, Japan, Norway, the Republic of Korea a</w:t>
      </w:r>
      <w:r w:rsidR="00FA62DA">
        <w:rPr>
          <w:szCs w:val="22"/>
        </w:rPr>
        <w:t>nd the United States of America (“USA”); t</w:t>
      </w:r>
      <w:r w:rsidR="00FA62DA" w:rsidRPr="00FA62DA">
        <w:rPr>
          <w:szCs w:val="22"/>
        </w:rPr>
        <w:t xml:space="preserve">he “Joint Recommendation on the Use of Databases for the Defensive Protection of Genetic Resources and Traditional Knowledge Associated with Genetic Resources” (WIPO/GRTKF/IC/35/8), submitted by the Delegations of Canada, Japan, the Republic of Korea and the </w:t>
      </w:r>
      <w:r w:rsidR="00FA62DA">
        <w:rPr>
          <w:szCs w:val="22"/>
        </w:rPr>
        <w:t xml:space="preserve">USA;  and </w:t>
      </w:r>
      <w:r w:rsidR="00FA62DA">
        <w:t>t</w:t>
      </w:r>
      <w:r w:rsidR="00FA62DA" w:rsidRPr="00E32329">
        <w:t>he “</w:t>
      </w:r>
      <w:r w:rsidR="00FA62DA" w:rsidRPr="00E32329">
        <w:rPr>
          <w:rFonts w:eastAsia="Times New Roman"/>
          <w:lang w:eastAsia="en-US"/>
        </w:rPr>
        <w:t>Proposal for the Terms of Reference for the Study by the WIPO</w:t>
      </w:r>
      <w:r w:rsidR="00FA62DA" w:rsidRPr="00E32329">
        <w:rPr>
          <w:i/>
        </w:rPr>
        <w:t xml:space="preserve"> </w:t>
      </w:r>
      <w:r w:rsidR="00FA62DA" w:rsidRPr="00E32329">
        <w:rPr>
          <w:rFonts w:eastAsia="Times New Roman"/>
          <w:lang w:eastAsia="en-US"/>
        </w:rPr>
        <w:t>Secretariat on Measures Related to the Avoidance of the</w:t>
      </w:r>
      <w:r w:rsidR="00FA62DA" w:rsidRPr="00E32329">
        <w:rPr>
          <w:i/>
        </w:rPr>
        <w:t xml:space="preserve"> </w:t>
      </w:r>
      <w:r w:rsidR="00FA62DA" w:rsidRPr="00E32329">
        <w:rPr>
          <w:rFonts w:eastAsia="Times New Roman"/>
          <w:lang w:eastAsia="en-US"/>
        </w:rPr>
        <w:t>Erroneous Grant of Patents and Compliance with Existing Access</w:t>
      </w:r>
      <w:r w:rsidR="00FA62DA" w:rsidRPr="00E32329">
        <w:rPr>
          <w:i/>
        </w:rPr>
        <w:t xml:space="preserve"> </w:t>
      </w:r>
      <w:r w:rsidR="00FA62DA" w:rsidRPr="00E32329">
        <w:rPr>
          <w:rFonts w:eastAsia="Times New Roman"/>
          <w:lang w:eastAsia="en-US"/>
        </w:rPr>
        <w:t>and Benefit</w:t>
      </w:r>
      <w:r w:rsidR="00FA62DA">
        <w:rPr>
          <w:rFonts w:eastAsia="Times New Roman"/>
          <w:lang w:eastAsia="en-US"/>
        </w:rPr>
        <w:noBreakHyphen/>
      </w:r>
      <w:r w:rsidR="00FA62DA" w:rsidRPr="00E32329">
        <w:rPr>
          <w:rFonts w:eastAsia="Times New Roman"/>
          <w:lang w:eastAsia="en-US"/>
        </w:rPr>
        <w:t>sh</w:t>
      </w:r>
      <w:r w:rsidR="00FA62DA">
        <w:rPr>
          <w:rFonts w:eastAsia="Times New Roman"/>
          <w:lang w:eastAsia="en-US"/>
        </w:rPr>
        <w:t>aring Systems” (WIPO/GRTKF/IC/35/9</w:t>
      </w:r>
      <w:r w:rsidR="00FA62DA" w:rsidRPr="00E32329">
        <w:rPr>
          <w:rFonts w:eastAsia="Times New Roman"/>
          <w:lang w:eastAsia="en-US"/>
        </w:rPr>
        <w:t xml:space="preserve">), submitted by the Delegations of Canada, Japan, Norway, the Republic of Korea, the Russian Federation and the </w:t>
      </w:r>
      <w:r w:rsidR="00FA62DA">
        <w:rPr>
          <w:rFonts w:eastAsia="Times New Roman"/>
          <w:lang w:eastAsia="en-US"/>
        </w:rPr>
        <w:t>USA</w:t>
      </w:r>
      <w:r w:rsidR="00FA62DA" w:rsidRPr="00E32329">
        <w:rPr>
          <w:rFonts w:eastAsia="Times New Roman"/>
          <w:lang w:eastAsia="en-US"/>
        </w:rPr>
        <w:t>.</w:t>
      </w:r>
      <w:proofErr w:type="gramEnd"/>
      <w:r w:rsidR="00FA62DA">
        <w:rPr>
          <w:i/>
          <w:szCs w:val="22"/>
        </w:rPr>
        <w:t xml:space="preserve"> </w:t>
      </w:r>
      <w:r w:rsidRPr="00FA62DA">
        <w:rPr>
          <w:rFonts w:cs="Courier New"/>
        </w:rPr>
        <w:t xml:space="preserve"> He acknowledged the contribution of indigenous people and local community (</w:t>
      </w:r>
      <w:r w:rsidR="00FA62DA">
        <w:rPr>
          <w:rFonts w:cs="Courier New"/>
        </w:rPr>
        <w:t>“</w:t>
      </w:r>
      <w:r w:rsidRPr="00FA62DA">
        <w:rPr>
          <w:rFonts w:cs="Courier New"/>
        </w:rPr>
        <w:t>IPLC</w:t>
      </w:r>
      <w:r w:rsidR="00FA62DA">
        <w:rPr>
          <w:rFonts w:cs="Courier New"/>
        </w:rPr>
        <w:t>”</w:t>
      </w:r>
      <w:r w:rsidRPr="00FA62DA">
        <w:rPr>
          <w:rFonts w:cs="Courier New"/>
        </w:rPr>
        <w:t xml:space="preserve">) experts to the IGC process.  He acknowledged the contribution of the </w:t>
      </w:r>
      <w:r w:rsidR="00D274CF">
        <w:rPr>
          <w:rFonts w:cs="Courier New"/>
        </w:rPr>
        <w:t>G</w:t>
      </w:r>
      <w:r w:rsidRPr="00FA62DA">
        <w:rPr>
          <w:rFonts w:cs="Courier New"/>
        </w:rPr>
        <w:t xml:space="preserve">overnment of Australia to the WIPO Voluntary Fund, which had enabled </w:t>
      </w:r>
      <w:r w:rsidR="00D274CF">
        <w:rPr>
          <w:rFonts w:cs="Courier New"/>
        </w:rPr>
        <w:t xml:space="preserve">the </w:t>
      </w:r>
      <w:r w:rsidRPr="00FA62DA">
        <w:rPr>
          <w:rFonts w:cs="Courier New"/>
        </w:rPr>
        <w:t xml:space="preserve">funding </w:t>
      </w:r>
      <w:r w:rsidR="00D274CF">
        <w:rPr>
          <w:rFonts w:cs="Courier New"/>
        </w:rPr>
        <w:t xml:space="preserve">of </w:t>
      </w:r>
      <w:r w:rsidRPr="00FA62DA">
        <w:rPr>
          <w:rFonts w:cs="Courier New"/>
        </w:rPr>
        <w:t xml:space="preserve">representatives of IPLCs at IGC 34 and </w:t>
      </w:r>
      <w:r w:rsidR="00AD154C">
        <w:rPr>
          <w:rFonts w:cs="Courier New"/>
        </w:rPr>
        <w:t xml:space="preserve">IGC </w:t>
      </w:r>
      <w:r w:rsidRPr="00FA62DA">
        <w:rPr>
          <w:rFonts w:cs="Courier New"/>
        </w:rPr>
        <w:t xml:space="preserve">35.  He reminded delegations of the importance of that mechanism and the importance of ensuring the representation of IPLCs in </w:t>
      </w:r>
      <w:r w:rsidR="00AD154C">
        <w:rPr>
          <w:rFonts w:cs="Courier New"/>
        </w:rPr>
        <w:t xml:space="preserve">the </w:t>
      </w:r>
      <w:r w:rsidRPr="00FA62DA">
        <w:rPr>
          <w:rFonts w:cs="Courier New"/>
        </w:rPr>
        <w:t xml:space="preserve">IGC discussions.  </w:t>
      </w:r>
      <w:r w:rsidR="00AD154C" w:rsidRPr="00287D41">
        <w:rPr>
          <w:szCs w:val="22"/>
        </w:rPr>
        <w:t xml:space="preserve">The theme for the indigenous panel at </w:t>
      </w:r>
      <w:r w:rsidR="00AD154C">
        <w:rPr>
          <w:szCs w:val="22"/>
        </w:rPr>
        <w:t>IGC 36 wa</w:t>
      </w:r>
      <w:r w:rsidR="00AD154C" w:rsidRPr="00287D41">
        <w:rPr>
          <w:szCs w:val="22"/>
        </w:rPr>
        <w:t>s “</w:t>
      </w:r>
      <w:r w:rsidR="00AD154C" w:rsidRPr="00941CE7">
        <w:rPr>
          <w:szCs w:val="22"/>
        </w:rPr>
        <w:t>Proposed Pa</w:t>
      </w:r>
      <w:r w:rsidR="00AD154C">
        <w:rPr>
          <w:szCs w:val="22"/>
        </w:rPr>
        <w:t>tent Disclosure Requirements related to</w:t>
      </w:r>
      <w:r w:rsidR="00AD154C" w:rsidRPr="00941CE7">
        <w:rPr>
          <w:szCs w:val="22"/>
        </w:rPr>
        <w:t xml:space="preserve"> Genetic Resources – Indigenous Peoples’ and Local Communities’ Perspectives</w:t>
      </w:r>
      <w:r w:rsidR="00AD154C">
        <w:rPr>
          <w:szCs w:val="22"/>
        </w:rPr>
        <w:t xml:space="preserve">”, </w:t>
      </w:r>
      <w:r w:rsidRPr="00FA62DA">
        <w:rPr>
          <w:rFonts w:cs="Courier New"/>
        </w:rPr>
        <w:t>and he welcomed the three speakers who would share their experiences and views.  He hoped that the IGC might be able to find the necessary compromises to enable WIPO to find solutions to th</w:t>
      </w:r>
      <w:r w:rsidR="00D274CF">
        <w:rPr>
          <w:rFonts w:cs="Courier New"/>
        </w:rPr>
        <w:t>e</w:t>
      </w:r>
      <w:r w:rsidRPr="00FA62DA">
        <w:rPr>
          <w:rFonts w:cs="Courier New"/>
        </w:rPr>
        <w:t xml:space="preserve"> outstanding questions</w:t>
      </w:r>
      <w:r w:rsidR="00D274CF">
        <w:rPr>
          <w:rFonts w:cs="Courier New"/>
        </w:rPr>
        <w:t xml:space="preserve"> before the IGC</w:t>
      </w:r>
      <w:r w:rsidRPr="00FA62DA">
        <w:rPr>
          <w:rFonts w:cs="Courier New"/>
        </w:rPr>
        <w:t xml:space="preserve">.  </w:t>
      </w:r>
    </w:p>
    <w:p w:rsidR="009B459C" w:rsidRDefault="009B459C" w:rsidP="009B459C">
      <w:pPr>
        <w:pStyle w:val="ListParagraph"/>
        <w:ind w:left="0"/>
      </w:pPr>
    </w:p>
    <w:p w:rsidR="00A9649F" w:rsidRDefault="00581F26" w:rsidP="00581F26">
      <w:pPr>
        <w:pStyle w:val="Heading1"/>
        <w:spacing w:before="0" w:after="0"/>
      </w:pPr>
      <w:r>
        <w:t>AGENDA ITEM 2:  Election of Officers</w:t>
      </w:r>
    </w:p>
    <w:p w:rsidR="00A9649F" w:rsidRDefault="00A9649F" w:rsidP="00A9649F"/>
    <w:p w:rsidR="00581F26" w:rsidRPr="009B459C" w:rsidRDefault="00581F26" w:rsidP="00581F26">
      <w:pPr>
        <w:pStyle w:val="ListParagraph"/>
        <w:ind w:left="5533"/>
        <w:rPr>
          <w:i/>
        </w:rPr>
      </w:pPr>
      <w:r w:rsidRPr="009B459C">
        <w:rPr>
          <w:i/>
        </w:rPr>
        <w:t>Decision on Agenda Item 2:</w:t>
      </w:r>
    </w:p>
    <w:p w:rsidR="00581F26" w:rsidRPr="009B459C" w:rsidRDefault="00581F26" w:rsidP="00581F26">
      <w:pPr>
        <w:pStyle w:val="ListParagraph"/>
        <w:ind w:left="5533"/>
        <w:rPr>
          <w:i/>
        </w:rPr>
      </w:pPr>
    </w:p>
    <w:p w:rsidR="00581F26" w:rsidRPr="009B459C" w:rsidRDefault="00462296" w:rsidP="00310121">
      <w:pPr>
        <w:pStyle w:val="ListParagraph"/>
        <w:numPr>
          <w:ilvl w:val="0"/>
          <w:numId w:val="4"/>
        </w:numPr>
        <w:ind w:left="5533" w:firstLine="0"/>
        <w:rPr>
          <w:i/>
        </w:rPr>
      </w:pPr>
      <w:proofErr w:type="gramStart"/>
      <w:r w:rsidRPr="00462296">
        <w:rPr>
          <w:i/>
        </w:rPr>
        <w:t xml:space="preserve">Upon the proposal of the Delegation of Switzerland, on behalf of Group B, seconded by the Delegation of Indonesia, on behalf of the </w:t>
      </w:r>
      <w:r w:rsidR="00CF500F">
        <w:rPr>
          <w:i/>
        </w:rPr>
        <w:t>Asia</w:t>
      </w:r>
      <w:r w:rsidR="00CF500F">
        <w:rPr>
          <w:i/>
        </w:rPr>
        <w:noBreakHyphen/>
      </w:r>
      <w:r w:rsidRPr="00462296">
        <w:rPr>
          <w:i/>
        </w:rPr>
        <w:t>Pacific Group, and the Delegation of Ecuador, on behalf of the Group of Latin American and Caribbean Countries (GRULAC), the Committee elected as its Chair, Mr. Ian Goss of Australia, unanimously and by acclamation, for the 2018</w:t>
      </w:r>
      <w:r w:rsidRPr="00462296">
        <w:rPr>
          <w:i/>
        </w:rPr>
        <w:noBreakHyphen/>
        <w:t>2019 biennium.</w:t>
      </w:r>
      <w:proofErr w:type="gramEnd"/>
      <w:r w:rsidRPr="00462296">
        <w:rPr>
          <w:i/>
        </w:rPr>
        <w:t xml:space="preserve">  </w:t>
      </w:r>
      <w:proofErr w:type="gramStart"/>
      <w:r w:rsidRPr="00462296">
        <w:rPr>
          <w:i/>
        </w:rPr>
        <w:t>As Vice-Chairs for the same period, upon the proposal of the Delegation of Switzerland, on behalf of Group B, seconded by the Delegation of I</w:t>
      </w:r>
      <w:r w:rsidR="00CF500F">
        <w:rPr>
          <w:i/>
        </w:rPr>
        <w:t>ndonesia, on behalf of the Asia</w:t>
      </w:r>
      <w:r w:rsidR="00CF500F">
        <w:rPr>
          <w:i/>
        </w:rPr>
        <w:noBreakHyphen/>
      </w:r>
      <w:r w:rsidRPr="00462296">
        <w:rPr>
          <w:i/>
        </w:rPr>
        <w:t xml:space="preserve">Pacific Group, and the Delegation </w:t>
      </w:r>
      <w:r w:rsidRPr="00462296">
        <w:rPr>
          <w:i/>
        </w:rPr>
        <w:lastRenderedPageBreak/>
        <w:t>of Ecuador, on behalf of GRULAC, the Committee elected Mr. Jukka Liedes of Finland, and upon the proposal of Indonesia, on behalf of the Asia</w:t>
      </w:r>
      <w:r w:rsidRPr="00462296">
        <w:rPr>
          <w:i/>
        </w:rPr>
        <w:noBreakHyphen/>
        <w:t>Pacific Group, seconded by the Delegation of Switzerland, on behalf of Group B, and the Delegation of Ecuador, on behalf of GR</w:t>
      </w:r>
      <w:r w:rsidR="00CF500F">
        <w:rPr>
          <w:i/>
        </w:rPr>
        <w:t>ULAC, the Committee elected Mr. </w:t>
      </w:r>
      <w:proofErr w:type="spellStart"/>
      <w:r w:rsidRPr="00462296">
        <w:rPr>
          <w:i/>
        </w:rPr>
        <w:t>Faizal</w:t>
      </w:r>
      <w:proofErr w:type="spellEnd"/>
      <w:r w:rsidRPr="00462296">
        <w:rPr>
          <w:i/>
        </w:rPr>
        <w:t xml:space="preserve"> Chery </w:t>
      </w:r>
      <w:proofErr w:type="spellStart"/>
      <w:r w:rsidRPr="00462296">
        <w:rPr>
          <w:i/>
        </w:rPr>
        <w:t>Sidharta</w:t>
      </w:r>
      <w:proofErr w:type="spellEnd"/>
      <w:r w:rsidRPr="00462296">
        <w:rPr>
          <w:i/>
        </w:rPr>
        <w:t xml:space="preserve"> of Indonesia.</w:t>
      </w:r>
      <w:proofErr w:type="gramEnd"/>
      <w:r w:rsidR="00581F26">
        <w:rPr>
          <w:i/>
        </w:rPr>
        <w:t xml:space="preserve">  </w:t>
      </w:r>
    </w:p>
    <w:p w:rsidR="00EC54B6" w:rsidRPr="009B459C" w:rsidRDefault="00EC54B6" w:rsidP="00EC54B6">
      <w:pPr>
        <w:pStyle w:val="ListParagraph"/>
        <w:ind w:left="0"/>
      </w:pPr>
    </w:p>
    <w:p w:rsidR="00EC54B6" w:rsidRDefault="00EC54B6" w:rsidP="00EC54B6">
      <w:pPr>
        <w:pStyle w:val="ListParagraph"/>
        <w:numPr>
          <w:ilvl w:val="0"/>
          <w:numId w:val="4"/>
        </w:numPr>
        <w:ind w:left="0" w:firstLine="0"/>
      </w:pPr>
      <w:r w:rsidRPr="00EC54B6">
        <w:rPr>
          <w:rFonts w:cs="Courier New"/>
        </w:rPr>
        <w:t xml:space="preserve">[Note from the Secretariat: </w:t>
      </w:r>
      <w:r>
        <w:rPr>
          <w:rFonts w:cs="Courier New"/>
        </w:rPr>
        <w:t xml:space="preserve"> </w:t>
      </w:r>
      <w:r w:rsidRPr="00EC54B6">
        <w:rPr>
          <w:rFonts w:cs="Courier New"/>
        </w:rPr>
        <w:t xml:space="preserve">The Chair, Mr. Ian Goss, was chairing the session from this point]. </w:t>
      </w:r>
      <w:r>
        <w:rPr>
          <w:rFonts w:cs="Courier New"/>
        </w:rPr>
        <w:t xml:space="preserve"> </w:t>
      </w:r>
      <w:r w:rsidR="009219A5">
        <w:rPr>
          <w:rFonts w:cs="Courier New"/>
        </w:rPr>
        <w:t>The Chair</w:t>
      </w:r>
      <w:r w:rsidRPr="00F85D78">
        <w:rPr>
          <w:rFonts w:cs="Courier New"/>
        </w:rPr>
        <w:t xml:space="preserve"> </w:t>
      </w:r>
      <w:r w:rsidR="009219A5">
        <w:rPr>
          <w:rFonts w:cs="Courier New"/>
        </w:rPr>
        <w:t xml:space="preserve">thanked all participants for their continued support and he hoped that he could honor that trust.  He </w:t>
      </w:r>
      <w:r w:rsidRPr="00F85D78">
        <w:rPr>
          <w:rFonts w:cs="Courier New"/>
        </w:rPr>
        <w:t xml:space="preserve">looked to all </w:t>
      </w:r>
      <w:r w:rsidR="009219A5">
        <w:rPr>
          <w:rFonts w:cs="Courier New"/>
        </w:rPr>
        <w:t>participants</w:t>
      </w:r>
      <w:r w:rsidRPr="00F85D78">
        <w:rPr>
          <w:rFonts w:cs="Courier New"/>
        </w:rPr>
        <w:t xml:space="preserve"> for their guidance as the work progressed, recognizing that the advancement of the IGC’s work was very much in the</w:t>
      </w:r>
      <w:r w:rsidR="009219A5">
        <w:rPr>
          <w:rFonts w:cs="Courier New"/>
        </w:rPr>
        <w:t>ir hands.  He, together with the</w:t>
      </w:r>
      <w:r w:rsidRPr="00F85D78">
        <w:rPr>
          <w:rFonts w:cs="Courier New"/>
        </w:rPr>
        <w:t xml:space="preserve"> Vice-Chairs, </w:t>
      </w:r>
      <w:r w:rsidR="009219A5" w:rsidRPr="00F85D78">
        <w:rPr>
          <w:rFonts w:cs="Courier New"/>
        </w:rPr>
        <w:t xml:space="preserve">Mr. Jukka Liedes and Mr. </w:t>
      </w:r>
      <w:r w:rsidR="00343577">
        <w:rPr>
          <w:rFonts w:cs="Courier New"/>
        </w:rPr>
        <w:t xml:space="preserve">Faizal </w:t>
      </w:r>
      <w:r w:rsidR="009219A5" w:rsidRPr="00F85D78">
        <w:rPr>
          <w:rFonts w:cs="Courier New"/>
        </w:rPr>
        <w:t>Chery Sidharta</w:t>
      </w:r>
      <w:r w:rsidR="009219A5">
        <w:rPr>
          <w:rFonts w:cs="Courier New"/>
        </w:rPr>
        <w:t>,</w:t>
      </w:r>
      <w:r w:rsidR="009219A5" w:rsidRPr="00F85D78">
        <w:rPr>
          <w:rFonts w:cs="Courier New"/>
        </w:rPr>
        <w:t xml:space="preserve"> </w:t>
      </w:r>
      <w:r w:rsidRPr="00F85D78">
        <w:rPr>
          <w:rFonts w:cs="Courier New"/>
        </w:rPr>
        <w:t xml:space="preserve">could </w:t>
      </w:r>
      <w:r>
        <w:rPr>
          <w:rFonts w:cs="Courier New"/>
        </w:rPr>
        <w:t xml:space="preserve">guide </w:t>
      </w:r>
      <w:r w:rsidRPr="00F85D78">
        <w:rPr>
          <w:rFonts w:cs="Courier New"/>
        </w:rPr>
        <w:t xml:space="preserve">the </w:t>
      </w:r>
      <w:r w:rsidR="009219A5">
        <w:rPr>
          <w:rFonts w:cs="Courier New"/>
        </w:rPr>
        <w:t>participants</w:t>
      </w:r>
      <w:r w:rsidRPr="00F85D78">
        <w:rPr>
          <w:rFonts w:cs="Courier New"/>
        </w:rPr>
        <w:t xml:space="preserve">, but ultimately they would need to work together to find outcomes that balanced the interests of all Member States and stakeholders, including </w:t>
      </w:r>
      <w:r w:rsidRPr="00874FD7">
        <w:rPr>
          <w:rFonts w:cs="Courier New"/>
        </w:rPr>
        <w:t>IPLCs</w:t>
      </w:r>
      <w:r w:rsidRPr="00F85D78">
        <w:rPr>
          <w:rFonts w:cs="Courier New"/>
        </w:rPr>
        <w:t xml:space="preserve">, industry representatives, and civil society.  That would require </w:t>
      </w:r>
      <w:r w:rsidR="009219A5">
        <w:rPr>
          <w:rFonts w:cs="Courier New"/>
        </w:rPr>
        <w:t>participants</w:t>
      </w:r>
      <w:r w:rsidRPr="00F85D78">
        <w:rPr>
          <w:rFonts w:cs="Courier New"/>
        </w:rPr>
        <w:t xml:space="preserve"> to look outside their traditional positions and be prepared to consider those positions and the policy interests that underpinned them.  In particular, he asked </w:t>
      </w:r>
      <w:r w:rsidR="009219A5">
        <w:rPr>
          <w:rFonts w:cs="Courier New"/>
        </w:rPr>
        <w:t xml:space="preserve">participants </w:t>
      </w:r>
      <w:r w:rsidRPr="00F85D78">
        <w:rPr>
          <w:rFonts w:cs="Courier New"/>
        </w:rPr>
        <w:t xml:space="preserve">to reach out to each other in </w:t>
      </w:r>
      <w:r w:rsidR="00FE4BC2">
        <w:rPr>
          <w:rFonts w:cs="Courier New"/>
        </w:rPr>
        <w:t xml:space="preserve">an </w:t>
      </w:r>
      <w:r w:rsidRPr="00F85D78">
        <w:rPr>
          <w:rFonts w:cs="Courier New"/>
        </w:rPr>
        <w:t>attempt to gain a shared understanding of those different positions.  He looked forward to working as a team with</w:t>
      </w:r>
      <w:r w:rsidR="009219A5">
        <w:rPr>
          <w:rFonts w:cs="Courier New"/>
        </w:rPr>
        <w:t xml:space="preserve"> </w:t>
      </w:r>
      <w:r w:rsidR="009B3B0E">
        <w:rPr>
          <w:rFonts w:cs="Courier New"/>
        </w:rPr>
        <w:t xml:space="preserve">the </w:t>
      </w:r>
      <w:r w:rsidR="009219A5">
        <w:rPr>
          <w:rFonts w:cs="Courier New"/>
        </w:rPr>
        <w:t>two Vice-Chairs</w:t>
      </w:r>
      <w:r w:rsidRPr="00F85D78">
        <w:rPr>
          <w:rFonts w:cs="Courier New"/>
        </w:rPr>
        <w:t xml:space="preserve">, who would be actively involved in managing </w:t>
      </w:r>
      <w:r w:rsidR="0058172F">
        <w:rPr>
          <w:rFonts w:cs="Courier New"/>
        </w:rPr>
        <w:t xml:space="preserve">all meetings.  </w:t>
      </w:r>
      <w:r w:rsidR="008A20C2" w:rsidRPr="008A20C2">
        <w:rPr>
          <w:rFonts w:cs="Courier New"/>
        </w:rPr>
        <w:t xml:space="preserve">He thanked Ambassador Michael Tene for his work as </w:t>
      </w:r>
      <w:r w:rsidR="008A20C2">
        <w:rPr>
          <w:rFonts w:cs="Courier New"/>
        </w:rPr>
        <w:t xml:space="preserve">the Vice-Chair over the past years </w:t>
      </w:r>
      <w:r w:rsidR="009B3B0E">
        <w:rPr>
          <w:rFonts w:cs="Courier New"/>
        </w:rPr>
        <w:t xml:space="preserve">as he </w:t>
      </w:r>
      <w:r w:rsidR="008A20C2" w:rsidRPr="008A20C2">
        <w:rPr>
          <w:rFonts w:cs="Courier New"/>
        </w:rPr>
        <w:t xml:space="preserve">had significantly contributed to the IGC’s work.  </w:t>
      </w:r>
      <w:r w:rsidRPr="008A20C2">
        <w:rPr>
          <w:rFonts w:cs="Courier New"/>
        </w:rPr>
        <w:t xml:space="preserve">He thanked </w:t>
      </w:r>
      <w:r w:rsidR="009B3B0E">
        <w:rPr>
          <w:rFonts w:cs="Courier New"/>
        </w:rPr>
        <w:t xml:space="preserve">the </w:t>
      </w:r>
      <w:r w:rsidRPr="008A20C2">
        <w:rPr>
          <w:rFonts w:cs="Courier New"/>
        </w:rPr>
        <w:t>Regional Coordinators for their support and constructive guidance ahead of the session.  They would help build a constructive</w:t>
      </w:r>
      <w:r w:rsidRPr="00F85D78">
        <w:rPr>
          <w:rFonts w:cs="Courier New"/>
        </w:rPr>
        <w:t xml:space="preserve"> wo</w:t>
      </w:r>
      <w:r>
        <w:rPr>
          <w:rFonts w:cs="Courier New"/>
        </w:rPr>
        <w:t xml:space="preserve">rking atmosphere.  </w:t>
      </w:r>
      <w:r w:rsidR="008A20C2" w:rsidRPr="008A20C2">
        <w:rPr>
          <w:rFonts w:cs="Courier New"/>
        </w:rPr>
        <w:t xml:space="preserve">He would be happy to meet with members and groups at any time on issues or concerns, particularly in relation to the process.  </w:t>
      </w:r>
      <w:r w:rsidR="00220080">
        <w:rPr>
          <w:rFonts w:cs="Courier New"/>
        </w:rPr>
        <w:t>He recalled that t</w:t>
      </w:r>
      <w:r>
        <w:rPr>
          <w:rFonts w:cs="Courier New"/>
        </w:rPr>
        <w:t>he session</w:t>
      </w:r>
      <w:r w:rsidRPr="00F85D78">
        <w:rPr>
          <w:rFonts w:cs="Courier New"/>
        </w:rPr>
        <w:t xml:space="preserve"> was on live webcast on the WIPO website, which further improved its openness and inclusiveness.  All participants were required to comply with the WIPO General Rules of Procedure.</w:t>
      </w:r>
      <w:r>
        <w:rPr>
          <w:rFonts w:cs="Courier New"/>
        </w:rPr>
        <w:t xml:space="preserve"> </w:t>
      </w:r>
      <w:r w:rsidRPr="00F85D78">
        <w:rPr>
          <w:rFonts w:cs="Courier New"/>
        </w:rPr>
        <w:t xml:space="preserve"> The meeting was to be </w:t>
      </w:r>
      <w:r>
        <w:rPr>
          <w:rFonts w:cs="Courier New"/>
        </w:rPr>
        <w:t>conducted</w:t>
      </w:r>
      <w:r w:rsidRPr="00F85D78">
        <w:rPr>
          <w:rFonts w:cs="Courier New"/>
        </w:rPr>
        <w:t xml:space="preserve"> in a spirit of constructive debate and discussion, in which all participants were expected to take part with due respect for the order, fairness, and decorum that governed the meeting.  As </w:t>
      </w:r>
      <w:r w:rsidR="00220080">
        <w:rPr>
          <w:rFonts w:cs="Courier New"/>
        </w:rPr>
        <w:t xml:space="preserve">the </w:t>
      </w:r>
      <w:r w:rsidRPr="00F85D78">
        <w:rPr>
          <w:rFonts w:cs="Courier New"/>
        </w:rPr>
        <w:t>Chair, he reserved the right, where applicable, to call to order any participant who might fail to observe the WIPO General Rules of Procedure and the usual rules of good conduct or any participant whose statements were not relevant to the issue at hand.  IGC 35 was a five-day session.  He intended to use all of the time allocated as fully as possible.  Under Agenda Item 3, opening statements of up to three mi</w:t>
      </w:r>
      <w:r w:rsidR="00220080">
        <w:rPr>
          <w:rFonts w:cs="Courier New"/>
        </w:rPr>
        <w:t>nutes would be allowed by each Regional G</w:t>
      </w:r>
      <w:r w:rsidRPr="00F85D78">
        <w:rPr>
          <w:rFonts w:cs="Courier New"/>
        </w:rPr>
        <w:t xml:space="preserve">roup, the EU, the </w:t>
      </w:r>
      <w:r w:rsidR="00220080">
        <w:t xml:space="preserve">Like-Minded Countries (“the LMCs”) </w:t>
      </w:r>
      <w:r w:rsidRPr="00F85D78">
        <w:rPr>
          <w:rFonts w:cs="Courier New"/>
        </w:rPr>
        <w:t xml:space="preserve">and the Indigenous Caucus.  </w:t>
      </w:r>
      <w:r w:rsidRPr="00AE2A3A">
        <w:rPr>
          <w:rFonts w:cs="Courier New"/>
        </w:rPr>
        <w:t xml:space="preserve">Any other opening statements </w:t>
      </w:r>
      <w:proofErr w:type="gramStart"/>
      <w:r w:rsidRPr="00AE2A3A">
        <w:rPr>
          <w:rFonts w:cs="Courier New"/>
        </w:rPr>
        <w:t>could be handed</w:t>
      </w:r>
      <w:proofErr w:type="gramEnd"/>
      <w:r w:rsidRPr="00AE2A3A">
        <w:rPr>
          <w:rFonts w:cs="Courier New"/>
        </w:rPr>
        <w:t xml:space="preserve"> to the Secretariat in writing or sent by email and would be reflected in the report.  Member States and observers were strongly encouraged to interact with each other informally</w:t>
      </w:r>
      <w:r w:rsidR="00064578">
        <w:rPr>
          <w:rFonts w:cs="Courier New"/>
        </w:rPr>
        <w:t>,</w:t>
      </w:r>
      <w:r w:rsidRPr="00AE2A3A">
        <w:rPr>
          <w:rFonts w:cs="Courier New"/>
        </w:rPr>
        <w:t xml:space="preserve"> as that increased the chances that Member States would be aware of and perhaps support</w:t>
      </w:r>
      <w:r w:rsidR="00064578">
        <w:rPr>
          <w:rFonts w:cs="Courier New"/>
        </w:rPr>
        <w:t xml:space="preserve"> observers’</w:t>
      </w:r>
      <w:r w:rsidRPr="00F85D78">
        <w:rPr>
          <w:rFonts w:cs="Courier New"/>
        </w:rPr>
        <w:t xml:space="preserve"> proposals.  He acknowledged the importance and value of indigenous representatives, as well as other key stakeholders, such as representatives of industry and civil society.  </w:t>
      </w:r>
      <w:r w:rsidR="00064578">
        <w:rPr>
          <w:rFonts w:cs="Courier New"/>
        </w:rPr>
        <w:t>T</w:t>
      </w:r>
      <w:r w:rsidRPr="00F85D78">
        <w:rPr>
          <w:rFonts w:cs="Courier New"/>
        </w:rPr>
        <w:t>he IGC should reach an agreed decision on each agenda item</w:t>
      </w:r>
      <w:r w:rsidR="00064578">
        <w:rPr>
          <w:rFonts w:cs="Courier New"/>
        </w:rPr>
        <w:t xml:space="preserve"> as it went along</w:t>
      </w:r>
      <w:r w:rsidRPr="00F85D78">
        <w:rPr>
          <w:rFonts w:cs="Courier New"/>
        </w:rPr>
        <w:t xml:space="preserve">.  On Friday, March 23, the decisions as already agreed </w:t>
      </w:r>
      <w:proofErr w:type="gramStart"/>
      <w:r w:rsidRPr="00F85D78">
        <w:rPr>
          <w:rFonts w:cs="Courier New"/>
        </w:rPr>
        <w:t>would be circulated or read out again for formal confirmation by the IGC</w:t>
      </w:r>
      <w:proofErr w:type="gramEnd"/>
      <w:r w:rsidRPr="00F85D78">
        <w:rPr>
          <w:rFonts w:cs="Courier New"/>
        </w:rPr>
        <w:t xml:space="preserve">.  The report of the session would be prepared after the session and circulated to all delegations for comments.  It </w:t>
      </w:r>
      <w:proofErr w:type="gramStart"/>
      <w:r w:rsidRPr="00F85D78">
        <w:rPr>
          <w:rFonts w:cs="Courier New"/>
        </w:rPr>
        <w:t>would be presented</w:t>
      </w:r>
      <w:proofErr w:type="gramEnd"/>
      <w:r w:rsidRPr="00F85D78">
        <w:rPr>
          <w:rFonts w:cs="Courier New"/>
        </w:rPr>
        <w:t xml:space="preserve"> in all six languages for adoption at IGC 36.  He thanked the WIPO Secretariat for its guidance, particularly </w:t>
      </w:r>
      <w:r w:rsidR="009B3B0E">
        <w:rPr>
          <w:rFonts w:cs="Courier New"/>
        </w:rPr>
        <w:t xml:space="preserve">in </w:t>
      </w:r>
      <w:r w:rsidRPr="00F85D78">
        <w:rPr>
          <w:rFonts w:cs="Courier New"/>
        </w:rPr>
        <w:t xml:space="preserve">ensuring that meetings </w:t>
      </w:r>
      <w:proofErr w:type="gramStart"/>
      <w:r w:rsidRPr="00F85D78">
        <w:rPr>
          <w:rFonts w:cs="Courier New"/>
        </w:rPr>
        <w:t>were efficiently managed and focused on substance rather than process</w:t>
      </w:r>
      <w:proofErr w:type="gramEnd"/>
      <w:r w:rsidRPr="00F85D78">
        <w:rPr>
          <w:rFonts w:cs="Courier New"/>
        </w:rPr>
        <w:t>.  He recalled the mandate and focus of IGC 35.  In support of Agend</w:t>
      </w:r>
      <w:r w:rsidR="00064578">
        <w:rPr>
          <w:rFonts w:cs="Courier New"/>
        </w:rPr>
        <w:t>a Item 7, he had issued a Chair’</w:t>
      </w:r>
      <w:r w:rsidRPr="00F85D78">
        <w:rPr>
          <w:rFonts w:cs="Courier New"/>
        </w:rPr>
        <w:t>s</w:t>
      </w:r>
      <w:r w:rsidR="00064578">
        <w:rPr>
          <w:rFonts w:cs="Courier New"/>
        </w:rPr>
        <w:t xml:space="preserve"> Information</w:t>
      </w:r>
      <w:r w:rsidRPr="00F85D78">
        <w:rPr>
          <w:rFonts w:cs="Courier New"/>
        </w:rPr>
        <w:t xml:space="preserve"> Note, which summarized, from his perspective, some key issues on IP and GRs.  The views in that Note were his alone and without prejudice to any Member States’ positions.  It was simply </w:t>
      </w:r>
      <w:r>
        <w:rPr>
          <w:rFonts w:cs="Courier New"/>
        </w:rPr>
        <w:t>prepared for reflection only</w:t>
      </w:r>
      <w:r w:rsidRPr="00F85D78">
        <w:rPr>
          <w:rFonts w:cs="Courier New"/>
        </w:rPr>
        <w:t xml:space="preserve">.  It had no status, nor was it a working document for the session. </w:t>
      </w:r>
      <w:r>
        <w:rPr>
          <w:rFonts w:cs="Courier New"/>
        </w:rPr>
        <w:t xml:space="preserve"> </w:t>
      </w:r>
    </w:p>
    <w:p w:rsidR="00EC54B6" w:rsidRPr="009B459C" w:rsidRDefault="00EC54B6" w:rsidP="009B459C">
      <w:pPr>
        <w:pStyle w:val="ListParagraph"/>
        <w:ind w:left="0"/>
      </w:pPr>
    </w:p>
    <w:p w:rsidR="009B459C" w:rsidRPr="009B459C" w:rsidRDefault="00581F26" w:rsidP="009B459C">
      <w:pPr>
        <w:pStyle w:val="Heading1"/>
        <w:spacing w:before="0"/>
      </w:pPr>
      <w:r>
        <w:lastRenderedPageBreak/>
        <w:t>AGENDA ITEM 3</w:t>
      </w:r>
      <w:r w:rsidR="00AE1D54">
        <w:t xml:space="preserve">:  </w:t>
      </w:r>
      <w:r w:rsidR="009B459C" w:rsidRPr="009B459C">
        <w:t>ADOPTION OF THE AGENDA</w:t>
      </w:r>
    </w:p>
    <w:p w:rsidR="009B459C" w:rsidRPr="009B459C" w:rsidRDefault="009B459C" w:rsidP="009B459C">
      <w:pPr>
        <w:pStyle w:val="ListParagraph"/>
        <w:ind w:left="0"/>
      </w:pPr>
    </w:p>
    <w:p w:rsidR="009B459C" w:rsidRPr="009B459C" w:rsidRDefault="00581F26" w:rsidP="009B459C">
      <w:pPr>
        <w:pStyle w:val="ListParagraph"/>
        <w:ind w:left="5533"/>
        <w:rPr>
          <w:i/>
        </w:rPr>
      </w:pPr>
      <w:r>
        <w:rPr>
          <w:i/>
        </w:rPr>
        <w:t>Decision on Agenda Item 3</w:t>
      </w:r>
      <w:r w:rsidR="009B459C" w:rsidRPr="009B459C">
        <w:rPr>
          <w:i/>
        </w:rPr>
        <w:t>:</w:t>
      </w:r>
    </w:p>
    <w:p w:rsidR="009B459C" w:rsidRPr="009B459C" w:rsidRDefault="009B459C" w:rsidP="009B459C">
      <w:pPr>
        <w:pStyle w:val="ListParagraph"/>
        <w:ind w:left="5533"/>
        <w:rPr>
          <w:i/>
        </w:rPr>
      </w:pPr>
    </w:p>
    <w:p w:rsidR="009B459C" w:rsidRPr="009B459C" w:rsidRDefault="00EC54B6" w:rsidP="00310121">
      <w:pPr>
        <w:pStyle w:val="ListParagraph"/>
        <w:numPr>
          <w:ilvl w:val="0"/>
          <w:numId w:val="4"/>
        </w:numPr>
        <w:ind w:left="5533" w:firstLine="0"/>
        <w:rPr>
          <w:i/>
        </w:rPr>
      </w:pPr>
      <w:r w:rsidRPr="00EC54B6">
        <w:rPr>
          <w:i/>
        </w:rPr>
        <w:t xml:space="preserve">The Chair submitted the draft agenda circulated as WIPO/GRTKF/IC/35/1 Prov. 2 for adoption and it </w:t>
      </w:r>
      <w:proofErr w:type="gramStart"/>
      <w:r w:rsidRPr="00EC54B6">
        <w:rPr>
          <w:i/>
        </w:rPr>
        <w:t>was adopted</w:t>
      </w:r>
      <w:proofErr w:type="gramEnd"/>
      <w:r w:rsidR="00AE1D54">
        <w:rPr>
          <w:i/>
        </w:rPr>
        <w:t xml:space="preserve">.  </w:t>
      </w:r>
    </w:p>
    <w:p w:rsidR="00581F26" w:rsidRDefault="00581F26" w:rsidP="00581F26">
      <w:pPr>
        <w:pStyle w:val="ListParagraph"/>
        <w:ind w:left="0"/>
      </w:pPr>
    </w:p>
    <w:p w:rsidR="007302BA" w:rsidRDefault="009B459C" w:rsidP="00310121">
      <w:pPr>
        <w:pStyle w:val="ListParagraph"/>
        <w:numPr>
          <w:ilvl w:val="0"/>
          <w:numId w:val="4"/>
        </w:numPr>
        <w:ind w:left="0" w:firstLine="0"/>
      </w:pPr>
      <w:r w:rsidRPr="009B459C">
        <w:t>The Chair opened the floor for opening statements.</w:t>
      </w:r>
      <w:r w:rsidR="00EC54B6" w:rsidRPr="00EC54B6">
        <w:rPr>
          <w:rFonts w:cs="Courier New"/>
        </w:rPr>
        <w:t xml:space="preserve"> </w:t>
      </w:r>
      <w:r w:rsidR="00EC54B6">
        <w:rPr>
          <w:rFonts w:cs="Courier New"/>
        </w:rPr>
        <w:t xml:space="preserve"> </w:t>
      </w:r>
      <w:r w:rsidR="00EC54B6" w:rsidRPr="006A1390">
        <w:rPr>
          <w:rFonts w:cs="Courier New"/>
        </w:rPr>
        <w:t xml:space="preserve">[Note from the Secretariat:  Many </w:t>
      </w:r>
      <w:proofErr w:type="gramStart"/>
      <w:r w:rsidR="00EC54B6" w:rsidRPr="006A1390">
        <w:rPr>
          <w:rFonts w:cs="Courier New"/>
        </w:rPr>
        <w:t xml:space="preserve">delegations </w:t>
      </w:r>
      <w:r w:rsidR="00EC54B6">
        <w:rPr>
          <w:rFonts w:cs="Courier New"/>
        </w:rPr>
        <w:t>which took the floor for the first time</w:t>
      </w:r>
      <w:proofErr w:type="gramEnd"/>
      <w:r w:rsidR="00EC54B6">
        <w:rPr>
          <w:rFonts w:cs="Courier New"/>
        </w:rPr>
        <w:t xml:space="preserve"> congratulated and </w:t>
      </w:r>
      <w:r w:rsidR="00EC54B6" w:rsidRPr="006A1390">
        <w:rPr>
          <w:rFonts w:cs="Courier New"/>
        </w:rPr>
        <w:t xml:space="preserve">thanked the Chair, </w:t>
      </w:r>
      <w:r w:rsidR="00EC54B6">
        <w:rPr>
          <w:rFonts w:cs="Courier New"/>
        </w:rPr>
        <w:t xml:space="preserve">the </w:t>
      </w:r>
      <w:r w:rsidR="00CF500F">
        <w:rPr>
          <w:rFonts w:cs="Courier New"/>
        </w:rPr>
        <w:t>Vice</w:t>
      </w:r>
      <w:r w:rsidR="00CF500F">
        <w:rPr>
          <w:rFonts w:cs="Courier New"/>
        </w:rPr>
        <w:noBreakHyphen/>
      </w:r>
      <w:r w:rsidR="00EC54B6" w:rsidRPr="006A1390">
        <w:rPr>
          <w:rFonts w:cs="Courier New"/>
        </w:rPr>
        <w:t xml:space="preserve">Chairs and </w:t>
      </w:r>
      <w:r w:rsidR="00EC54B6">
        <w:rPr>
          <w:rFonts w:cs="Courier New"/>
        </w:rPr>
        <w:t xml:space="preserve">the </w:t>
      </w:r>
      <w:r w:rsidR="00EC54B6" w:rsidRPr="006A1390">
        <w:rPr>
          <w:rFonts w:cs="Courier New"/>
        </w:rPr>
        <w:t>Secretariat and expressed their gratitude for the preparation of the session, as well as for the preparation of the documents.]</w:t>
      </w:r>
      <w:r w:rsidR="00EC54B6">
        <w:rPr>
          <w:rFonts w:cs="Courier New"/>
        </w:rPr>
        <w:t xml:space="preserve">  </w:t>
      </w:r>
    </w:p>
    <w:p w:rsidR="007302BA" w:rsidRDefault="007302BA" w:rsidP="007302BA">
      <w:pPr>
        <w:pStyle w:val="ListParagraph"/>
        <w:ind w:left="0"/>
      </w:pPr>
    </w:p>
    <w:p w:rsidR="00CE104A" w:rsidRPr="00CE104A" w:rsidRDefault="00E94835" w:rsidP="00F021E0">
      <w:pPr>
        <w:pStyle w:val="ListParagraph"/>
        <w:numPr>
          <w:ilvl w:val="0"/>
          <w:numId w:val="4"/>
        </w:numPr>
        <w:ind w:left="0" w:firstLine="0"/>
      </w:pPr>
      <w:r w:rsidRPr="00E94835">
        <w:rPr>
          <w:rFonts w:cs="Courier New"/>
        </w:rPr>
        <w:t>The Delegation of Indonesia,</w:t>
      </w:r>
      <w:r w:rsidR="00753083">
        <w:rPr>
          <w:rFonts w:cs="Courier New"/>
        </w:rPr>
        <w:t xml:space="preserve"> speaking on behalf of the Asia</w:t>
      </w:r>
      <w:r w:rsidR="00753083">
        <w:rPr>
          <w:rFonts w:cs="Courier New"/>
        </w:rPr>
        <w:noBreakHyphen/>
      </w:r>
      <w:r w:rsidRPr="00E94835">
        <w:rPr>
          <w:rFonts w:cs="Courier New"/>
        </w:rPr>
        <w:t>Pacific Group, believed that the Chair’s guidance would result in a progressive and successful session.</w:t>
      </w:r>
      <w:r>
        <w:rPr>
          <w:rFonts w:cs="Courier New"/>
        </w:rPr>
        <w:t xml:space="preserve"> </w:t>
      </w:r>
      <w:r w:rsidRPr="00E94835">
        <w:rPr>
          <w:rFonts w:cs="Courier New"/>
        </w:rPr>
        <w:t xml:space="preserve"> It supported the working methodology and the work program proposed by the Chair. </w:t>
      </w:r>
      <w:r>
        <w:rPr>
          <w:rFonts w:cs="Courier New"/>
        </w:rPr>
        <w:t xml:space="preserve"> </w:t>
      </w:r>
      <w:r w:rsidRPr="00E94835">
        <w:rPr>
          <w:rFonts w:cs="Courier New"/>
        </w:rPr>
        <w:t xml:space="preserve">It took note and welcomed the reports produced by the Secretariat, compiling materials and studies on databases and disclosure regimes relating to GRs and </w:t>
      </w:r>
      <w:r w:rsidR="00F021E0">
        <w:rPr>
          <w:rFonts w:cs="Courier New"/>
        </w:rPr>
        <w:t xml:space="preserve">associated </w:t>
      </w:r>
      <w:r w:rsidR="00F021E0">
        <w:rPr>
          <w:rFonts w:cs="Courier New"/>
          <w:smallCaps/>
        </w:rPr>
        <w:t>TK</w:t>
      </w:r>
      <w:r w:rsidRPr="00F021E0">
        <w:rPr>
          <w:rFonts w:cs="Courier New"/>
        </w:rPr>
        <w:t xml:space="preserve">.  </w:t>
      </w:r>
      <w:r w:rsidR="00F021E0">
        <w:rPr>
          <w:rFonts w:cs="Courier New"/>
        </w:rPr>
        <w:t>The Group</w:t>
      </w:r>
      <w:r w:rsidRPr="00F021E0">
        <w:rPr>
          <w:rFonts w:cs="Courier New"/>
        </w:rPr>
        <w:t xml:space="preserve"> was pleased that the mandate of the IGC had been renewed and looked forward to addressing unresolved issues and considering options in the draft texts. </w:t>
      </w:r>
      <w:r w:rsidR="00F021E0">
        <w:rPr>
          <w:rFonts w:cs="Courier New"/>
        </w:rPr>
        <w:t xml:space="preserve"> </w:t>
      </w:r>
      <w:r w:rsidRPr="00F021E0">
        <w:rPr>
          <w:rFonts w:cs="Courier New"/>
        </w:rPr>
        <w:t>It was hopeful that the IGC would</w:t>
      </w:r>
      <w:r w:rsidR="00F021E0" w:rsidRPr="00F021E0">
        <w:rPr>
          <w:rFonts w:eastAsiaTheme="minorEastAsia"/>
          <w:sz w:val="24"/>
          <w:lang w:val="en-AU" w:eastAsia="en-US"/>
        </w:rPr>
        <w:t xml:space="preserve"> </w:t>
      </w:r>
      <w:r w:rsidR="00F021E0" w:rsidRPr="00F021E0">
        <w:rPr>
          <w:rFonts w:cs="Courier New"/>
          <w:lang w:val="en-AU"/>
        </w:rPr>
        <w:t xml:space="preserve">continue to expedite its work, with the objective of reaching an agreement on an international legal instrument(s), without prejudging the nature of outcome(s), relating to </w:t>
      </w:r>
      <w:proofErr w:type="gramStart"/>
      <w:r w:rsidR="00F021E0">
        <w:rPr>
          <w:rFonts w:cs="Courier New"/>
          <w:lang w:val="en-AU"/>
        </w:rPr>
        <w:t>IP</w:t>
      </w:r>
      <w:r w:rsidR="00F021E0" w:rsidRPr="00F021E0">
        <w:rPr>
          <w:rFonts w:cs="Courier New"/>
          <w:lang w:val="en-AU"/>
        </w:rPr>
        <w:t xml:space="preserve"> which</w:t>
      </w:r>
      <w:proofErr w:type="gramEnd"/>
      <w:r w:rsidR="00F021E0" w:rsidRPr="00F021E0">
        <w:rPr>
          <w:rFonts w:cs="Courier New"/>
          <w:lang w:val="en-AU"/>
        </w:rPr>
        <w:t xml:space="preserve"> will ensure the balanced and effective protection of </w:t>
      </w:r>
      <w:r w:rsidR="00F021E0">
        <w:rPr>
          <w:rFonts w:cs="Courier New"/>
          <w:lang w:val="en-AU"/>
        </w:rPr>
        <w:t>GRs, TK and TCEs</w:t>
      </w:r>
      <w:r w:rsidR="00F021E0" w:rsidRPr="00F021E0">
        <w:rPr>
          <w:rFonts w:cs="Courier New"/>
          <w:lang w:val="en-AU"/>
        </w:rPr>
        <w:t xml:space="preserve">, as outlined in the mandate </w:t>
      </w:r>
      <w:r w:rsidR="00F021E0">
        <w:rPr>
          <w:rFonts w:cs="Courier New"/>
          <w:lang w:val="en-AU"/>
        </w:rPr>
        <w:t>for this biennium</w:t>
      </w:r>
      <w:r w:rsidRPr="00F021E0">
        <w:rPr>
          <w:rFonts w:cs="Courier New"/>
        </w:rPr>
        <w:t>.  I</w:t>
      </w:r>
      <w:r w:rsidR="003970D3">
        <w:rPr>
          <w:rFonts w:cs="Courier New"/>
        </w:rPr>
        <w:t>t favored the</w:t>
      </w:r>
      <w:r w:rsidRPr="00F021E0">
        <w:rPr>
          <w:rFonts w:cs="Courier New"/>
        </w:rPr>
        <w:t xml:space="preserve"> discussion on the core issues including objectives, subject matter, disclosure requirement</w:t>
      </w:r>
      <w:r w:rsidR="003970D3">
        <w:rPr>
          <w:rFonts w:cs="Courier New"/>
        </w:rPr>
        <w:t>s</w:t>
      </w:r>
      <w:r w:rsidRPr="00F021E0">
        <w:rPr>
          <w:rFonts w:cs="Courier New"/>
        </w:rPr>
        <w:t>, as well as defensive measures in order to narrow existing gaps and reach a common understanding on</w:t>
      </w:r>
      <w:r w:rsidR="003970D3">
        <w:rPr>
          <w:rFonts w:cs="Courier New"/>
        </w:rPr>
        <w:t xml:space="preserve"> the</w:t>
      </w:r>
      <w:r w:rsidRPr="00F021E0">
        <w:rPr>
          <w:rFonts w:cs="Courier New"/>
        </w:rPr>
        <w:t xml:space="preserve"> core issu</w:t>
      </w:r>
      <w:r w:rsidR="003970D3">
        <w:rPr>
          <w:rFonts w:cs="Courier New"/>
        </w:rPr>
        <w:t>es.  While some members of the G</w:t>
      </w:r>
      <w:r w:rsidRPr="00F021E0">
        <w:rPr>
          <w:rFonts w:cs="Courier New"/>
        </w:rPr>
        <w:t xml:space="preserve">roup held different views, most of the members strongly believed that legally binding instrument(s) for protecting GRs, TK and TCEs could alone result in a balance between the interests of users and providers of GRs and TK. </w:t>
      </w:r>
      <w:r w:rsidR="003970D3">
        <w:rPr>
          <w:rFonts w:cs="Courier New"/>
        </w:rPr>
        <w:t xml:space="preserve"> For those member</w:t>
      </w:r>
      <w:r w:rsidR="00902956">
        <w:rPr>
          <w:rFonts w:cs="Courier New"/>
        </w:rPr>
        <w:t>s</w:t>
      </w:r>
      <w:r w:rsidR="003970D3">
        <w:rPr>
          <w:rFonts w:cs="Courier New"/>
        </w:rPr>
        <w:t xml:space="preserve"> of the G</w:t>
      </w:r>
      <w:r w:rsidRPr="00F021E0">
        <w:rPr>
          <w:rFonts w:cs="Courier New"/>
        </w:rPr>
        <w:t>roup, the conclus</w:t>
      </w:r>
      <w:r w:rsidR="0075612C" w:rsidRPr="00F021E0">
        <w:rPr>
          <w:rFonts w:cs="Courier New"/>
        </w:rPr>
        <w:t>ion of a legally binding treaty or treaties</w:t>
      </w:r>
      <w:r w:rsidRPr="00E94835">
        <w:rPr>
          <w:rFonts w:cs="Courier New"/>
        </w:rPr>
        <w:t xml:space="preserve"> would provide a transparent and predictable regime necessary for the effective protection against misappropriation of GRs, TK and TCEs, thus ensuring their sustainable and legitimate use in the future. </w:t>
      </w:r>
      <w:r>
        <w:rPr>
          <w:rFonts w:cs="Courier New"/>
        </w:rPr>
        <w:t xml:space="preserve"> </w:t>
      </w:r>
      <w:r w:rsidRPr="00E94835">
        <w:rPr>
          <w:rFonts w:cs="Courier New"/>
        </w:rPr>
        <w:t xml:space="preserve">Therefore, </w:t>
      </w:r>
      <w:r w:rsidR="003970D3">
        <w:rPr>
          <w:rFonts w:cs="Courier New"/>
        </w:rPr>
        <w:t>most of the members of the G</w:t>
      </w:r>
      <w:r w:rsidRPr="00E94835">
        <w:rPr>
          <w:rFonts w:cs="Courier New"/>
        </w:rPr>
        <w:t xml:space="preserve">roup were of the view that the misappropriation of GRs and </w:t>
      </w:r>
      <w:r w:rsidR="004211B2">
        <w:rPr>
          <w:rFonts w:cs="Courier New"/>
        </w:rPr>
        <w:t xml:space="preserve">associated </w:t>
      </w:r>
      <w:r w:rsidR="003970D3">
        <w:rPr>
          <w:rFonts w:cs="Courier New"/>
        </w:rPr>
        <w:t>TK</w:t>
      </w:r>
      <w:r w:rsidR="004211B2" w:rsidRPr="00E94835">
        <w:rPr>
          <w:rFonts w:cs="Courier New"/>
        </w:rPr>
        <w:t xml:space="preserve"> </w:t>
      </w:r>
      <w:proofErr w:type="gramStart"/>
      <w:r w:rsidRPr="00E94835">
        <w:rPr>
          <w:rFonts w:cs="Courier New"/>
        </w:rPr>
        <w:t>could be adequately addressed</w:t>
      </w:r>
      <w:proofErr w:type="gramEnd"/>
      <w:r w:rsidRPr="00E94835">
        <w:rPr>
          <w:rFonts w:cs="Courier New"/>
        </w:rPr>
        <w:t xml:space="preserve"> through the establishment of a me</w:t>
      </w:r>
      <w:r>
        <w:rPr>
          <w:rFonts w:cs="Courier New"/>
        </w:rPr>
        <w:t xml:space="preserve">chanism for appropriate benefit </w:t>
      </w:r>
      <w:r w:rsidRPr="00E94835">
        <w:rPr>
          <w:rFonts w:cs="Courier New"/>
        </w:rPr>
        <w:t xml:space="preserve">sharing </w:t>
      </w:r>
      <w:r w:rsidR="007F6CCA">
        <w:rPr>
          <w:rFonts w:cs="Courier New"/>
        </w:rPr>
        <w:t>from</w:t>
      </w:r>
      <w:r w:rsidRPr="00E94835">
        <w:rPr>
          <w:rFonts w:cs="Courier New"/>
        </w:rPr>
        <w:t xml:space="preserve"> the utilization or exploitation of those resources based on prior informed consent (</w:t>
      </w:r>
      <w:r w:rsidR="003970D3">
        <w:rPr>
          <w:rFonts w:cs="Courier New"/>
        </w:rPr>
        <w:t>“</w:t>
      </w:r>
      <w:r w:rsidRPr="00E94835">
        <w:rPr>
          <w:rFonts w:cs="Courier New"/>
        </w:rPr>
        <w:t>PIC</w:t>
      </w:r>
      <w:r w:rsidR="003970D3">
        <w:rPr>
          <w:rFonts w:cs="Courier New"/>
        </w:rPr>
        <w:t>”</w:t>
      </w:r>
      <w:r w:rsidRPr="00E94835">
        <w:rPr>
          <w:rFonts w:cs="Courier New"/>
        </w:rPr>
        <w:t>) and mutually agreed terms (</w:t>
      </w:r>
      <w:r w:rsidR="003970D3">
        <w:rPr>
          <w:rFonts w:cs="Courier New"/>
        </w:rPr>
        <w:t>“</w:t>
      </w:r>
      <w:r w:rsidRPr="00874FD7">
        <w:rPr>
          <w:rFonts w:cs="Courier New"/>
        </w:rPr>
        <w:t>MAT</w:t>
      </w:r>
      <w:r w:rsidR="003970D3">
        <w:rPr>
          <w:rFonts w:cs="Courier New"/>
        </w:rPr>
        <w:t>”</w:t>
      </w:r>
      <w:r w:rsidRPr="00E94835">
        <w:rPr>
          <w:rFonts w:cs="Courier New"/>
        </w:rPr>
        <w:t xml:space="preserve">).  While some members believed </w:t>
      </w:r>
      <w:r w:rsidR="00A420D9">
        <w:rPr>
          <w:rFonts w:cs="Courier New"/>
        </w:rPr>
        <w:t>otherwise, most members of the G</w:t>
      </w:r>
      <w:r w:rsidRPr="00E94835">
        <w:rPr>
          <w:rFonts w:cs="Courier New"/>
        </w:rPr>
        <w:t xml:space="preserve">roup strongly believed that it was imperative for the IGC to explore ways in which an effective mandatory disclosure requirement in accordance with national circumstances, which would protect GRs, their derivatives and associated TK against misappropriation, </w:t>
      </w:r>
      <w:proofErr w:type="gramStart"/>
      <w:r w:rsidRPr="00E94835">
        <w:rPr>
          <w:rFonts w:cs="Courier New"/>
        </w:rPr>
        <w:t>could be established</w:t>
      </w:r>
      <w:proofErr w:type="gramEnd"/>
      <w:r w:rsidRPr="00E94835">
        <w:rPr>
          <w:rFonts w:cs="Courier New"/>
        </w:rPr>
        <w:t xml:space="preserve">. </w:t>
      </w:r>
      <w:r>
        <w:rPr>
          <w:rFonts w:cs="Courier New"/>
        </w:rPr>
        <w:t xml:space="preserve"> </w:t>
      </w:r>
      <w:r w:rsidRPr="00E94835">
        <w:rPr>
          <w:rFonts w:cs="Courier New"/>
        </w:rPr>
        <w:t xml:space="preserve">It wished to discuss </w:t>
      </w:r>
      <w:r w:rsidR="00A420D9">
        <w:rPr>
          <w:rFonts w:cs="Courier New"/>
        </w:rPr>
        <w:t xml:space="preserve">the </w:t>
      </w:r>
      <w:r w:rsidRPr="00E94835">
        <w:rPr>
          <w:rFonts w:cs="Courier New"/>
        </w:rPr>
        <w:t xml:space="preserve">establishment of </w:t>
      </w:r>
      <w:r w:rsidR="00A420D9">
        <w:rPr>
          <w:rFonts w:cs="Courier New"/>
        </w:rPr>
        <w:t>a</w:t>
      </w:r>
      <w:r w:rsidRPr="00E94835">
        <w:rPr>
          <w:rFonts w:cs="Courier New"/>
        </w:rPr>
        <w:t xml:space="preserve"> database and other information systems in order to prevent the granting of erroneous patents in a constructive way. </w:t>
      </w:r>
      <w:r>
        <w:rPr>
          <w:rFonts w:cs="Courier New"/>
        </w:rPr>
        <w:t xml:space="preserve"> </w:t>
      </w:r>
      <w:r w:rsidR="00A420D9">
        <w:rPr>
          <w:rFonts w:cs="Courier New"/>
        </w:rPr>
        <w:t>Most members of the G</w:t>
      </w:r>
      <w:r w:rsidRPr="00E94835">
        <w:rPr>
          <w:rFonts w:cs="Courier New"/>
        </w:rPr>
        <w:t xml:space="preserve">roup believed that such mechanisms should be complementary to the disclosure requirement.  It </w:t>
      </w:r>
      <w:r w:rsidR="00A420D9">
        <w:rPr>
          <w:rFonts w:cs="Courier New"/>
        </w:rPr>
        <w:t>wished</w:t>
      </w:r>
      <w:r w:rsidRPr="00E94835">
        <w:rPr>
          <w:rFonts w:cs="Courier New"/>
        </w:rPr>
        <w:t xml:space="preserve"> to reach a common understanding in providing an effective and balanced protection of GRs, including the rights of traditional and local communities that would still preserve legal certainty and predictability.  It assured of its full support and cooperation in rendering IGC 35 a success. </w:t>
      </w:r>
      <w:r>
        <w:rPr>
          <w:rFonts w:cs="Courier New"/>
        </w:rPr>
        <w:t xml:space="preserve"> </w:t>
      </w:r>
      <w:r w:rsidR="00A420D9">
        <w:rPr>
          <w:rFonts w:cs="Courier New"/>
        </w:rPr>
        <w:t>The Group</w:t>
      </w:r>
      <w:r w:rsidRPr="00E94835">
        <w:rPr>
          <w:rFonts w:cs="Courier New"/>
        </w:rPr>
        <w:t xml:space="preserve"> remained committed to engaging constructively in negotiating a mutually acceptable outcome. </w:t>
      </w:r>
      <w:r>
        <w:rPr>
          <w:rFonts w:cs="Courier New"/>
        </w:rPr>
        <w:t xml:space="preserve"> </w:t>
      </w:r>
      <w:r w:rsidRPr="00E94835">
        <w:rPr>
          <w:rFonts w:cs="Courier New"/>
        </w:rPr>
        <w:t>It encouraged all Member States and stakeholders to demonstrate flexibility, while remaining steadfast to the core objectives of an international minimum standards legal instrument that would enhance transparency, efficacy and legal certainty in mechanisms for ensuring rightful access to GRs.</w:t>
      </w:r>
    </w:p>
    <w:p w:rsidR="00CE104A" w:rsidRPr="00CE104A" w:rsidRDefault="00CE104A" w:rsidP="00CE104A">
      <w:pPr>
        <w:pStyle w:val="ListParagraph"/>
        <w:ind w:left="0"/>
      </w:pPr>
    </w:p>
    <w:p w:rsidR="00D47ED5" w:rsidRPr="00D47ED5" w:rsidRDefault="00CE104A" w:rsidP="00310121">
      <w:pPr>
        <w:pStyle w:val="ListParagraph"/>
        <w:numPr>
          <w:ilvl w:val="0"/>
          <w:numId w:val="4"/>
        </w:numPr>
        <w:ind w:left="0" w:firstLine="0"/>
      </w:pPr>
      <w:r w:rsidRPr="00CE104A">
        <w:rPr>
          <w:rFonts w:cs="Courier New"/>
        </w:rPr>
        <w:t xml:space="preserve">The Delegation of Kazakhstan, speaking on behalf of the Central Asia, Caucasus and Eastern European Countries Group (“CACEEC”), was confident that under the Chair’s </w:t>
      </w:r>
      <w:r w:rsidRPr="00CE104A">
        <w:rPr>
          <w:rFonts w:cs="Courier New"/>
        </w:rPr>
        <w:lastRenderedPageBreak/>
        <w:t>leadership and professional approach the work of the IGC would be productive and ultimately guide members to beneficial results.  It recognized the important task of the IGC to define a link between GRs and the IP/patent</w:t>
      </w:r>
      <w:r w:rsidR="00D47ED5">
        <w:rPr>
          <w:rFonts w:cs="Courier New"/>
        </w:rPr>
        <w:t xml:space="preserve"> system with the view to improving</w:t>
      </w:r>
      <w:r w:rsidRPr="00CE104A">
        <w:rPr>
          <w:rFonts w:cs="Courier New"/>
        </w:rPr>
        <w:t xml:space="preserve"> the implementation of the latter.  It had high expectations and firmly believed that under the Chair’s</w:t>
      </w:r>
      <w:r w:rsidR="00D47ED5">
        <w:rPr>
          <w:rFonts w:cs="Courier New"/>
        </w:rPr>
        <w:t xml:space="preserve"> </w:t>
      </w:r>
      <w:r w:rsidR="00A701B0">
        <w:rPr>
          <w:rFonts w:cs="Courier New"/>
        </w:rPr>
        <w:t>skillful</w:t>
      </w:r>
      <w:r w:rsidR="00D47ED5">
        <w:rPr>
          <w:rFonts w:cs="Courier New"/>
        </w:rPr>
        <w:t xml:space="preserve"> guidance </w:t>
      </w:r>
      <w:r w:rsidR="00977339">
        <w:rPr>
          <w:rFonts w:cs="Courier New"/>
        </w:rPr>
        <w:t>M</w:t>
      </w:r>
      <w:r w:rsidRPr="00CE104A">
        <w:rPr>
          <w:rFonts w:cs="Courier New"/>
        </w:rPr>
        <w:t xml:space="preserve">ember </w:t>
      </w:r>
      <w:r w:rsidR="00977339">
        <w:rPr>
          <w:rFonts w:cs="Courier New"/>
        </w:rPr>
        <w:t>S</w:t>
      </w:r>
      <w:r w:rsidRPr="00CE104A">
        <w:rPr>
          <w:rFonts w:cs="Courier New"/>
        </w:rPr>
        <w:t xml:space="preserve">tates would be able to find a landing zone on core issues. </w:t>
      </w:r>
      <w:r w:rsidR="00D47ED5">
        <w:rPr>
          <w:rFonts w:cs="Courier New"/>
        </w:rPr>
        <w:t xml:space="preserve"> </w:t>
      </w:r>
      <w:r w:rsidRPr="00CE104A">
        <w:rPr>
          <w:rFonts w:cs="Courier New"/>
        </w:rPr>
        <w:t xml:space="preserve">It stood ready to undertake negotiations on GRs with a focus on unresolved issues. </w:t>
      </w:r>
      <w:r w:rsidR="00D47ED5">
        <w:rPr>
          <w:rFonts w:cs="Courier New"/>
        </w:rPr>
        <w:t xml:space="preserve"> </w:t>
      </w:r>
      <w:proofErr w:type="gramStart"/>
      <w:r w:rsidR="00A701B0">
        <w:rPr>
          <w:rFonts w:cs="Courier New"/>
        </w:rPr>
        <w:t>The Group</w:t>
      </w:r>
      <w:r w:rsidRPr="00CE104A">
        <w:rPr>
          <w:rFonts w:cs="Courier New"/>
        </w:rPr>
        <w:t xml:space="preserve"> remained engaged and would contribute in a constructive manner for a successful completion of the work of </w:t>
      </w:r>
      <w:r w:rsidR="00A701B0">
        <w:rPr>
          <w:rFonts w:cs="Courier New"/>
        </w:rPr>
        <w:t>IGC 35</w:t>
      </w:r>
      <w:r w:rsidRPr="00CE104A">
        <w:rPr>
          <w:rFonts w:cs="Courier New"/>
        </w:rPr>
        <w:t>.</w:t>
      </w:r>
      <w:proofErr w:type="gramEnd"/>
      <w:r w:rsidRPr="00CE104A">
        <w:rPr>
          <w:rFonts w:cs="Courier New"/>
        </w:rPr>
        <w:t xml:space="preserve"> </w:t>
      </w:r>
    </w:p>
    <w:p w:rsidR="00D47ED5" w:rsidRDefault="00D47ED5" w:rsidP="00D47ED5"/>
    <w:p w:rsidR="00730529" w:rsidRPr="00730529" w:rsidRDefault="00D47ED5" w:rsidP="00310121">
      <w:pPr>
        <w:pStyle w:val="ListParagraph"/>
        <w:numPr>
          <w:ilvl w:val="0"/>
          <w:numId w:val="4"/>
        </w:numPr>
        <w:ind w:left="0" w:firstLine="0"/>
      </w:pPr>
      <w:r w:rsidRPr="00552476">
        <w:t>The Delegation of Morocco</w:t>
      </w:r>
      <w:r w:rsidR="00730529" w:rsidRPr="00552476">
        <w:rPr>
          <w:rFonts w:cs="Courier New"/>
        </w:rPr>
        <w:t xml:space="preserve">, speaking on behalf of the African Group, was convinced that </w:t>
      </w:r>
      <w:r w:rsidR="0075189A">
        <w:rPr>
          <w:rFonts w:cs="Courier New"/>
        </w:rPr>
        <w:t xml:space="preserve">the </w:t>
      </w:r>
      <w:proofErr w:type="gramStart"/>
      <w:r w:rsidR="00730529" w:rsidRPr="00552476">
        <w:rPr>
          <w:rFonts w:cs="Courier New"/>
        </w:rPr>
        <w:t>efficient and effective protection of GRs, TK</w:t>
      </w:r>
      <w:r w:rsidR="00552476">
        <w:rPr>
          <w:rFonts w:cs="Courier New"/>
        </w:rPr>
        <w:t xml:space="preserve"> and TCEs</w:t>
      </w:r>
      <w:r w:rsidR="00730529" w:rsidRPr="00552476">
        <w:rPr>
          <w:rFonts w:cs="Courier New"/>
        </w:rPr>
        <w:t xml:space="preserve"> could be achieved by the establishment of a</w:t>
      </w:r>
      <w:r w:rsidR="002645A8">
        <w:rPr>
          <w:rFonts w:cs="Courier New"/>
        </w:rPr>
        <w:t>n</w:t>
      </w:r>
      <w:r w:rsidR="00730529" w:rsidRPr="00552476">
        <w:rPr>
          <w:rFonts w:cs="Courier New"/>
        </w:rPr>
        <w:t xml:space="preserve"> </w:t>
      </w:r>
      <w:r w:rsidR="002645A8" w:rsidRPr="00552476">
        <w:rPr>
          <w:rFonts w:cs="Courier New"/>
        </w:rPr>
        <w:t xml:space="preserve">international </w:t>
      </w:r>
      <w:r w:rsidR="00730529" w:rsidRPr="00552476">
        <w:rPr>
          <w:rFonts w:cs="Courier New"/>
        </w:rPr>
        <w:t>legally binding instrument</w:t>
      </w:r>
      <w:proofErr w:type="gramEnd"/>
      <w:r w:rsidR="00730529" w:rsidRPr="00552476">
        <w:rPr>
          <w:rFonts w:cs="Courier New"/>
        </w:rPr>
        <w:t>.  It reaffirmed its support for the process of deliberation in the IGC.  It called for the consolidation of gains already made with a view to establishing such an instrument, which would reinforce the transparency and efficiency of the system and would protect</w:t>
      </w:r>
      <w:r w:rsidR="00552476">
        <w:rPr>
          <w:rFonts w:cs="Courier New"/>
        </w:rPr>
        <w:t xml:space="preserve"> the three thematic areas of the</w:t>
      </w:r>
      <w:r w:rsidR="00730529" w:rsidRPr="00552476">
        <w:rPr>
          <w:rFonts w:cs="Courier New"/>
        </w:rPr>
        <w:t xml:space="preserve"> negotiations in the IGC within the modern IP framework.  Accordingly, the IGC should make a decision toward the end of the 2018-2019 </w:t>
      </w:r>
      <w:proofErr w:type="gramStart"/>
      <w:r w:rsidR="00730529" w:rsidRPr="00552476">
        <w:rPr>
          <w:rFonts w:cs="Courier New"/>
        </w:rPr>
        <w:t>biennium</w:t>
      </w:r>
      <w:proofErr w:type="gramEnd"/>
      <w:r w:rsidR="00730529" w:rsidRPr="00552476">
        <w:rPr>
          <w:rFonts w:cs="Courier New"/>
        </w:rPr>
        <w:t xml:space="preserve"> to conclude the work that had taken place over the past 18 years and convene a diplomatic conference.  The consolidated text on GRs had reached a sufficiently advanced stage to allow the IGC to make significant progress on the outstanding issues.  The persistent divergences </w:t>
      </w:r>
      <w:proofErr w:type="gramStart"/>
      <w:r w:rsidR="00730529" w:rsidRPr="00552476">
        <w:rPr>
          <w:rFonts w:cs="Courier New"/>
        </w:rPr>
        <w:t>could be resolved</w:t>
      </w:r>
      <w:proofErr w:type="gramEnd"/>
      <w:r w:rsidR="00730529" w:rsidRPr="00552476">
        <w:rPr>
          <w:rFonts w:cs="Courier New"/>
        </w:rPr>
        <w:t xml:space="preserve"> by a show of good faith and a context of constructive participation.  The main aim of the text on GRs was, undoubtedly, to guarantee the prevention of the misappropriation of GRs and</w:t>
      </w:r>
      <w:r w:rsidR="00552476">
        <w:rPr>
          <w:rFonts w:cs="Courier New"/>
        </w:rPr>
        <w:t xml:space="preserve"> associated TK</w:t>
      </w:r>
      <w:r w:rsidR="00730529" w:rsidRPr="00730529">
        <w:rPr>
          <w:rFonts w:cs="Courier New"/>
        </w:rPr>
        <w:t>.  That confirmed the importanc</w:t>
      </w:r>
      <w:r w:rsidR="00730529">
        <w:rPr>
          <w:rFonts w:cs="Courier New"/>
        </w:rPr>
        <w:t>e of the</w:t>
      </w:r>
      <w:r w:rsidR="00552476">
        <w:rPr>
          <w:rFonts w:cs="Courier New"/>
        </w:rPr>
        <w:t xml:space="preserve"> disclosure requirement, which the Group</w:t>
      </w:r>
      <w:r w:rsidR="00730529" w:rsidRPr="00730529">
        <w:rPr>
          <w:rFonts w:cs="Courier New"/>
        </w:rPr>
        <w:t xml:space="preserve"> had always supported and which would allow the country of origin of GRs and the source of TK used in patents to obtain an equitable share of the benefits arising from their utilization.  It remained committed to the principles of the new mandate.  The creation of one or more expert groups should speed up the work of the IGC in accordance with the terms of the mandate and taking into consideration the above-mentioned concerns. </w:t>
      </w:r>
      <w:r w:rsidR="00730529">
        <w:rPr>
          <w:rFonts w:cs="Courier New"/>
        </w:rPr>
        <w:t xml:space="preserve"> </w:t>
      </w:r>
      <w:r w:rsidR="00730529" w:rsidRPr="00730529">
        <w:rPr>
          <w:rFonts w:cs="Courier New"/>
        </w:rPr>
        <w:t xml:space="preserve">Any draft study or recommendation that attempted to prejudice the outcome at that stage in the negotiations went against the terms and design of the current mandate.  The IGC needed to concentrate on the revised version of the Consolidated Document (Document WIPO/GRTKF/IC/35/4).  A constructive approach was essential </w:t>
      </w:r>
      <w:r w:rsidR="00730529">
        <w:rPr>
          <w:rFonts w:cs="Courier New"/>
        </w:rPr>
        <w:t xml:space="preserve">in order </w:t>
      </w:r>
      <w:r w:rsidR="00730529" w:rsidRPr="00730529">
        <w:rPr>
          <w:rFonts w:cs="Courier New"/>
        </w:rPr>
        <w:t xml:space="preserve">to benefit from the diversity of the various proposals in </w:t>
      </w:r>
      <w:r w:rsidR="00552476">
        <w:rPr>
          <w:rFonts w:cs="Courier New"/>
        </w:rPr>
        <w:t>a spirit of complementarity.  The Group</w:t>
      </w:r>
      <w:r w:rsidR="00730529" w:rsidRPr="00730529">
        <w:rPr>
          <w:rFonts w:cs="Courier New"/>
        </w:rPr>
        <w:t xml:space="preserve"> reaffirmed its trust in the Chair, </w:t>
      </w:r>
      <w:r w:rsidR="00552476">
        <w:rPr>
          <w:rFonts w:cs="Courier New"/>
        </w:rPr>
        <w:t xml:space="preserve">the </w:t>
      </w:r>
      <w:r w:rsidR="00730529" w:rsidRPr="00730529">
        <w:rPr>
          <w:rFonts w:cs="Courier New"/>
        </w:rPr>
        <w:t xml:space="preserve">Vice-Chairs and </w:t>
      </w:r>
      <w:r w:rsidR="00552476">
        <w:rPr>
          <w:rFonts w:cs="Courier New"/>
        </w:rPr>
        <w:t>the f</w:t>
      </w:r>
      <w:r w:rsidR="00730529" w:rsidRPr="00730529">
        <w:rPr>
          <w:rFonts w:cs="Courier New"/>
        </w:rPr>
        <w:t xml:space="preserve">acilitators.  It would do its utmost to make the IGC’s work a success. </w:t>
      </w:r>
    </w:p>
    <w:p w:rsidR="00D47ED5" w:rsidRDefault="00D47ED5" w:rsidP="00D47ED5"/>
    <w:p w:rsidR="00D47ED5" w:rsidRDefault="006234C9" w:rsidP="00310121">
      <w:pPr>
        <w:pStyle w:val="ListParagraph"/>
        <w:numPr>
          <w:ilvl w:val="0"/>
          <w:numId w:val="4"/>
        </w:numPr>
        <w:ind w:left="0" w:firstLine="0"/>
      </w:pPr>
      <w:r w:rsidRPr="006234C9">
        <w:rPr>
          <w:rFonts w:cstheme="minorBidi"/>
        </w:rPr>
        <w:t xml:space="preserve">The Delegation of Ecuador, speaking on </w:t>
      </w:r>
      <w:r w:rsidRPr="00AD36FE">
        <w:t>behalf</w:t>
      </w:r>
      <w:r w:rsidR="001D67F8">
        <w:t xml:space="preserve"> of the Group of Latin American and Caribbean Countries (“GRULAC”)</w:t>
      </w:r>
      <w:r w:rsidR="00B3159A">
        <w:t>,</w:t>
      </w:r>
      <w:r>
        <w:t xml:space="preserve"> said that d</w:t>
      </w:r>
      <w:r w:rsidRPr="00AD36FE">
        <w:t xml:space="preserve">iscussions at WIPO on the protection of GRs, TK and TCEs </w:t>
      </w:r>
      <w:r>
        <w:t>had</w:t>
      </w:r>
      <w:r w:rsidRPr="00AD36FE">
        <w:t xml:space="preserve"> been ongoing since 2000, with text-based negotiations dating back to 2009.  Conscious of the vital importance of the issues addressed in </w:t>
      </w:r>
      <w:r>
        <w:t>the IGC</w:t>
      </w:r>
      <w:r w:rsidRPr="00AD36FE">
        <w:t xml:space="preserve"> and recognizing the progress made, the 2017 WIPO </w:t>
      </w:r>
      <w:r w:rsidR="001D67F8">
        <w:t>GA</w:t>
      </w:r>
      <w:r w:rsidRPr="00AD36FE">
        <w:t xml:space="preserve"> </w:t>
      </w:r>
      <w:r>
        <w:t xml:space="preserve">had </w:t>
      </w:r>
      <w:r w:rsidRPr="00AD36FE">
        <w:t xml:space="preserve">decided to renew the </w:t>
      </w:r>
      <w:r w:rsidR="001D67F8">
        <w:t>mandate of the IGC for the 2018</w:t>
      </w:r>
      <w:r w:rsidR="001D67F8">
        <w:noBreakHyphen/>
      </w:r>
      <w:r w:rsidRPr="00AD36FE">
        <w:t>2019 biennium.</w:t>
      </w:r>
      <w:r w:rsidRPr="006234C9">
        <w:rPr>
          <w:rFonts w:cstheme="minorBidi"/>
        </w:rPr>
        <w:t xml:space="preserve">  </w:t>
      </w:r>
      <w:r w:rsidRPr="00401A3F">
        <w:t xml:space="preserve">The new mandate enabled the IGC to address unresolved issues and move towards </w:t>
      </w:r>
      <w:r w:rsidR="002645A8" w:rsidRPr="00401A3F">
        <w:t xml:space="preserve">an </w:t>
      </w:r>
      <w:r w:rsidRPr="00401A3F">
        <w:t xml:space="preserve">agreement on one or more international legal instruments that ensured the effective and balanced protection of </w:t>
      </w:r>
      <w:r w:rsidR="00B3159A" w:rsidRPr="00401A3F">
        <w:t>GRs, TK</w:t>
      </w:r>
      <w:r w:rsidRPr="00401A3F">
        <w:t xml:space="preserve"> and TCEs.  Discussions would build on the work already done by the IGC, focusing primarily on reducing the current imbalances and agreeing on a common position on key issues.  It was essential to continue text-based negotiations, concentrating on </w:t>
      </w:r>
      <w:r w:rsidR="00F7562D">
        <w:t>d</w:t>
      </w:r>
      <w:r w:rsidR="00401A3F" w:rsidRPr="00730529">
        <w:rPr>
          <w:rFonts w:cs="Courier New"/>
        </w:rPr>
        <w:t>ocument WIPO/GRTKF/IC/35/4</w:t>
      </w:r>
      <w:r w:rsidR="00401A3F">
        <w:rPr>
          <w:rFonts w:cs="Courier New"/>
        </w:rPr>
        <w:t xml:space="preserve"> </w:t>
      </w:r>
      <w:r w:rsidRPr="00401A3F">
        <w:t>and</w:t>
      </w:r>
      <w:r w:rsidRPr="00AD36FE">
        <w:t xml:space="preserve"> making effective use of the time allocated for </w:t>
      </w:r>
      <w:r w:rsidR="00401A3F">
        <w:t xml:space="preserve">the </w:t>
      </w:r>
      <w:r w:rsidRPr="00AD36FE">
        <w:t xml:space="preserve">IGC.  There </w:t>
      </w:r>
      <w:r>
        <w:t>had to</w:t>
      </w:r>
      <w:r w:rsidRPr="00AD36FE">
        <w:t xml:space="preserve"> be significant efforts to ensure that progress </w:t>
      </w:r>
      <w:proofErr w:type="gramStart"/>
      <w:r w:rsidR="00401A3F">
        <w:t>be made</w:t>
      </w:r>
      <w:proofErr w:type="gramEnd"/>
      <w:r w:rsidRPr="00AD36FE">
        <w:t xml:space="preserve"> at the end of each meeting.</w:t>
      </w:r>
      <w:r w:rsidRPr="006234C9">
        <w:rPr>
          <w:rFonts w:cstheme="minorBidi"/>
        </w:rPr>
        <w:t xml:space="preserve">  At IGC 35 and </w:t>
      </w:r>
      <w:r w:rsidR="00401A3F">
        <w:rPr>
          <w:rFonts w:cstheme="minorBidi"/>
        </w:rPr>
        <w:t xml:space="preserve">IGC </w:t>
      </w:r>
      <w:r w:rsidRPr="006234C9">
        <w:rPr>
          <w:rFonts w:cstheme="minorBidi"/>
        </w:rPr>
        <w:t>36,</w:t>
      </w:r>
      <w:r w:rsidRPr="00AD36FE">
        <w:t xml:space="preserve"> discussions </w:t>
      </w:r>
      <w:r>
        <w:t>would</w:t>
      </w:r>
      <w:r w:rsidRPr="00AD36FE">
        <w:t xml:space="preserve"> focus on GRs.  </w:t>
      </w:r>
      <w:r>
        <w:t>A</w:t>
      </w:r>
      <w:r w:rsidRPr="00AD36FE">
        <w:t xml:space="preserve">n international legal instrument to protect GRs should balance the interests of users and providers of resources and knowledge. </w:t>
      </w:r>
      <w:r w:rsidR="00B3159A">
        <w:t xml:space="preserve"> </w:t>
      </w:r>
      <w:r w:rsidRPr="00AD36FE">
        <w:t xml:space="preserve">It </w:t>
      </w:r>
      <w:r>
        <w:t>would</w:t>
      </w:r>
      <w:r w:rsidRPr="00AD36FE">
        <w:t xml:space="preserve"> provide a transparent and predictable regime for effective protection against misappropriation of GRs, contributing to their sustainable use.  It </w:t>
      </w:r>
      <w:proofErr w:type="gramStart"/>
      <w:r>
        <w:t>would</w:t>
      </w:r>
      <w:r w:rsidRPr="00AD36FE">
        <w:t xml:space="preserve"> also be aligned</w:t>
      </w:r>
      <w:proofErr w:type="gramEnd"/>
      <w:r w:rsidRPr="00AD36FE">
        <w:t xml:space="preserve"> with the </w:t>
      </w:r>
      <w:r w:rsidR="00874FD7">
        <w:t>UN</w:t>
      </w:r>
      <w:r w:rsidRPr="00AD36FE">
        <w:t xml:space="preserve"> Sustainable Development Goals</w:t>
      </w:r>
      <w:r w:rsidR="00401A3F">
        <w:t xml:space="preserve"> (“SDGs”)</w:t>
      </w:r>
      <w:r w:rsidRPr="00AD36FE">
        <w:t>, especially Goal 15, which</w:t>
      </w:r>
      <w:r>
        <w:t xml:space="preserve"> called </w:t>
      </w:r>
      <w:r w:rsidRPr="00AD36FE">
        <w:t xml:space="preserve">on </w:t>
      </w:r>
      <w:r>
        <w:t>the international community</w:t>
      </w:r>
      <w:r w:rsidRPr="00AD36FE">
        <w:t xml:space="preserve"> to take action to reduce biodiversity loss.</w:t>
      </w:r>
      <w:r w:rsidRPr="006234C9">
        <w:rPr>
          <w:rFonts w:cstheme="minorBidi"/>
        </w:rPr>
        <w:t xml:space="preserve"> </w:t>
      </w:r>
      <w:r w:rsidR="00B3159A">
        <w:rPr>
          <w:rFonts w:cstheme="minorBidi"/>
        </w:rPr>
        <w:t xml:space="preserve"> </w:t>
      </w:r>
      <w:r w:rsidRPr="00AD36FE">
        <w:t xml:space="preserve">The finalization of an international instrument would encourage research and innovation by providing a uniform legal framework for </w:t>
      </w:r>
      <w:r>
        <w:t>IP</w:t>
      </w:r>
      <w:r w:rsidRPr="00AD36FE">
        <w:t xml:space="preserve"> to parties interested in the utilization of </w:t>
      </w:r>
      <w:r>
        <w:t>GRs</w:t>
      </w:r>
      <w:r w:rsidRPr="00AD36FE">
        <w:t xml:space="preserve">, while also contributing to the fair and equitable sharing of the benefits arising out of their utilization.  The development of </w:t>
      </w:r>
      <w:r w:rsidRPr="00AD36FE">
        <w:lastRenderedPageBreak/>
        <w:t xml:space="preserve">measures such as disclosure of country of origin to help combat misappropriation of GRs and associated TK </w:t>
      </w:r>
      <w:r>
        <w:t>was</w:t>
      </w:r>
      <w:r w:rsidRPr="00AD36FE">
        <w:t xml:space="preserve"> central to the negotiations and </w:t>
      </w:r>
      <w:r>
        <w:t>was</w:t>
      </w:r>
      <w:r w:rsidRPr="00AD36FE">
        <w:t xml:space="preserve"> of great interest to GRULAC, given the mega</w:t>
      </w:r>
      <w:r w:rsidR="007F6CCA">
        <w:t>-</w:t>
      </w:r>
      <w:r w:rsidRPr="00AD36FE">
        <w:t xml:space="preserve">diversity, high degree of endemism and multiculturalism of the countries of </w:t>
      </w:r>
      <w:r>
        <w:t>the</w:t>
      </w:r>
      <w:r w:rsidRPr="00AD36FE">
        <w:t xml:space="preserve"> region.</w:t>
      </w:r>
      <w:r w:rsidRPr="006234C9">
        <w:rPr>
          <w:rFonts w:cstheme="minorBidi"/>
        </w:rPr>
        <w:t xml:space="preserve">  </w:t>
      </w:r>
      <w:r w:rsidRPr="00AD36FE">
        <w:t>T</w:t>
      </w:r>
      <w:r>
        <w:t>he</w:t>
      </w:r>
      <w:r w:rsidRPr="00AD36FE">
        <w:t xml:space="preserve"> negotiations </w:t>
      </w:r>
      <w:r w:rsidR="00B3159A">
        <w:t xml:space="preserve">had </w:t>
      </w:r>
      <w:proofErr w:type="gramStart"/>
      <w:r w:rsidR="00B3159A">
        <w:t>to</w:t>
      </w:r>
      <w:r w:rsidRPr="00AD36FE">
        <w:t xml:space="preserve"> also take</w:t>
      </w:r>
      <w:proofErr w:type="gramEnd"/>
      <w:r w:rsidRPr="00AD36FE">
        <w:t xml:space="preserve"> into account the need to facilitate complementarity between </w:t>
      </w:r>
      <w:r>
        <w:t>IP</w:t>
      </w:r>
      <w:r w:rsidR="00CF500F">
        <w:t> </w:t>
      </w:r>
      <w:r w:rsidRPr="00AD36FE">
        <w:t xml:space="preserve">rules and international agreements related to GRs, in particular the </w:t>
      </w:r>
      <w:r w:rsidR="00874FD7">
        <w:t>Convention on Biological Diversity (</w:t>
      </w:r>
      <w:r w:rsidR="009D37CE">
        <w:t xml:space="preserve">“the </w:t>
      </w:r>
      <w:r>
        <w:t>CBD</w:t>
      </w:r>
      <w:r w:rsidR="009D37CE">
        <w:t>”</w:t>
      </w:r>
      <w:r w:rsidR="00874FD7">
        <w:t>)</w:t>
      </w:r>
      <w:r w:rsidRPr="00AD36FE">
        <w:t>.</w:t>
      </w:r>
      <w:r w:rsidR="009D37CE">
        <w:t xml:space="preserve">  GRULAC</w:t>
      </w:r>
      <w:r w:rsidRPr="00AD36FE">
        <w:t xml:space="preserve"> appreciated the </w:t>
      </w:r>
      <w:r w:rsidR="009D37CE">
        <w:t>organization of</w:t>
      </w:r>
      <w:r w:rsidRPr="00AD36FE">
        <w:t xml:space="preserve"> the </w:t>
      </w:r>
      <w:r w:rsidR="00B3159A">
        <w:t>indigenous panel</w:t>
      </w:r>
      <w:r w:rsidRPr="00AD36FE">
        <w:t>.</w:t>
      </w:r>
      <w:r w:rsidRPr="006234C9">
        <w:rPr>
          <w:rFonts w:cstheme="minorBidi"/>
        </w:rPr>
        <w:t xml:space="preserve">  </w:t>
      </w:r>
      <w:r>
        <w:t>It was</w:t>
      </w:r>
      <w:r w:rsidRPr="00AD36FE">
        <w:t xml:space="preserve"> grateful to the Secretariat for preparing the reports contained in documents WIPO/GRTKF/IC/35/5 and WIPO/GRTKF/IC/35/6, which contribute</w:t>
      </w:r>
      <w:r>
        <w:t>d</w:t>
      </w:r>
      <w:r w:rsidRPr="00AD36FE">
        <w:t xml:space="preserve"> to a better understanding of the key issues </w:t>
      </w:r>
      <w:r>
        <w:t>under discussion</w:t>
      </w:r>
      <w:r w:rsidRPr="00AD36FE">
        <w:t xml:space="preserve">.  The IGC, in fulfilling its mandate, </w:t>
      </w:r>
      <w:r>
        <w:t>might</w:t>
      </w:r>
      <w:r w:rsidRPr="00AD36FE">
        <w:t xml:space="preserve"> consider additional studies or activities.  However, they should not delay progress or set preconditions for negotiations.</w:t>
      </w:r>
      <w:r w:rsidRPr="006234C9">
        <w:rPr>
          <w:rFonts w:cstheme="minorBidi"/>
        </w:rPr>
        <w:t xml:space="preserve"> </w:t>
      </w:r>
      <w:r w:rsidR="00B3159A">
        <w:rPr>
          <w:rFonts w:cstheme="minorBidi"/>
        </w:rPr>
        <w:t xml:space="preserve"> </w:t>
      </w:r>
      <w:r w:rsidRPr="006234C9">
        <w:rPr>
          <w:rFonts w:cstheme="minorBidi"/>
        </w:rPr>
        <w:t xml:space="preserve">It </w:t>
      </w:r>
      <w:r w:rsidRPr="00AD36FE">
        <w:t>recognize</w:t>
      </w:r>
      <w:r>
        <w:t>d</w:t>
      </w:r>
      <w:r w:rsidRPr="00AD36FE">
        <w:t xml:space="preserve"> the role that databases </w:t>
      </w:r>
      <w:r>
        <w:t>could</w:t>
      </w:r>
      <w:r w:rsidRPr="00AD36FE">
        <w:t xml:space="preserve"> play in the search and examination of patent applications. </w:t>
      </w:r>
      <w:r>
        <w:t xml:space="preserve"> Thos</w:t>
      </w:r>
      <w:r w:rsidRPr="00AD36FE">
        <w:t xml:space="preserve">e databases </w:t>
      </w:r>
      <w:proofErr w:type="gramStart"/>
      <w:r w:rsidRPr="00AD36FE">
        <w:t>should be seen</w:t>
      </w:r>
      <w:proofErr w:type="gramEnd"/>
      <w:r w:rsidRPr="00AD36FE">
        <w:t xml:space="preserve"> as complementary to the disclosure requirement, taking into account the challenges of consolidating all data related to </w:t>
      </w:r>
      <w:r>
        <w:t>GRs</w:t>
      </w:r>
      <w:r w:rsidRPr="00AD36FE">
        <w:t xml:space="preserve"> and associated </w:t>
      </w:r>
      <w:r>
        <w:t>TK</w:t>
      </w:r>
      <w:r w:rsidRPr="00AD36FE">
        <w:t xml:space="preserve"> into one database.</w:t>
      </w:r>
      <w:r w:rsidRPr="006234C9">
        <w:rPr>
          <w:rFonts w:cstheme="minorBidi"/>
        </w:rPr>
        <w:t xml:space="preserve">  It</w:t>
      </w:r>
      <w:r>
        <w:t xml:space="preserve"> placed</w:t>
      </w:r>
      <w:r w:rsidRPr="00AD36FE">
        <w:t xml:space="preserve"> its trust in the working methodology proposed by </w:t>
      </w:r>
      <w:r>
        <w:t>the Chair as a road</w:t>
      </w:r>
      <w:r w:rsidRPr="00AD36FE">
        <w:t>map for fulfilling the mandate that govern</w:t>
      </w:r>
      <w:r w:rsidR="00AA6FFB">
        <w:t>ed</w:t>
      </w:r>
      <w:r w:rsidRPr="00AD36FE">
        <w:t xml:space="preserve"> </w:t>
      </w:r>
      <w:r>
        <w:t>the IGC’s</w:t>
      </w:r>
      <w:r w:rsidRPr="00AD36FE">
        <w:t xml:space="preserve"> work.  </w:t>
      </w:r>
      <w:r>
        <w:t>It</w:t>
      </w:r>
      <w:r w:rsidRPr="00AD36FE">
        <w:t xml:space="preserve"> urge</w:t>
      </w:r>
      <w:r>
        <w:t>d</w:t>
      </w:r>
      <w:r w:rsidRPr="00AD36FE">
        <w:t xml:space="preserve"> all Member States to use the time to engage in constructive discussions and to work together in an atmosphere conducive to progress towards the goal of reaching </w:t>
      </w:r>
      <w:r w:rsidR="009D37CE">
        <w:t xml:space="preserve">an </w:t>
      </w:r>
      <w:r w:rsidRPr="00AD36FE">
        <w:t>agreement on an effective legal instrument on GR</w:t>
      </w:r>
      <w:r>
        <w:t>s</w:t>
      </w:r>
      <w:r w:rsidRPr="00AD36FE">
        <w:t xml:space="preserve">.  </w:t>
      </w:r>
      <w:r>
        <w:t xml:space="preserve">The Chair could </w:t>
      </w:r>
      <w:r w:rsidRPr="00AD36FE">
        <w:t xml:space="preserve">rely on the commitment of </w:t>
      </w:r>
      <w:r>
        <w:t>GRULAC</w:t>
      </w:r>
      <w:r w:rsidRPr="00AD36FE">
        <w:t xml:space="preserve"> to move the discussions forward during </w:t>
      </w:r>
      <w:r>
        <w:t>the</w:t>
      </w:r>
      <w:r w:rsidRPr="00AD36FE">
        <w:t xml:space="preserve"> session.</w:t>
      </w:r>
    </w:p>
    <w:p w:rsidR="00D47ED5" w:rsidRDefault="00D47ED5" w:rsidP="00D47ED5"/>
    <w:p w:rsidR="007D222F" w:rsidRPr="00884696" w:rsidRDefault="007D222F" w:rsidP="007D222F">
      <w:pPr>
        <w:pStyle w:val="ListParagraph"/>
        <w:numPr>
          <w:ilvl w:val="0"/>
          <w:numId w:val="4"/>
        </w:numPr>
        <w:ind w:left="0" w:firstLine="0"/>
      </w:pPr>
      <w:r w:rsidRPr="00884696">
        <w:t>T</w:t>
      </w:r>
      <w:r w:rsidRPr="00884696">
        <w:rPr>
          <w:rFonts w:hint="eastAsia"/>
          <w:color w:val="222222"/>
        </w:rPr>
        <w:t>he Delegation of China b</w:t>
      </w:r>
      <w:r w:rsidRPr="00884696">
        <w:rPr>
          <w:color w:val="222222"/>
        </w:rPr>
        <w:t>elieve</w:t>
      </w:r>
      <w:r w:rsidRPr="00884696">
        <w:rPr>
          <w:rFonts w:hint="eastAsia"/>
          <w:color w:val="222222"/>
        </w:rPr>
        <w:t>d</w:t>
      </w:r>
      <w:r w:rsidRPr="00884696">
        <w:rPr>
          <w:color w:val="222222"/>
        </w:rPr>
        <w:t xml:space="preserve"> that </w:t>
      </w:r>
      <w:r w:rsidRPr="00884696">
        <w:rPr>
          <w:rFonts w:hint="eastAsia"/>
          <w:color w:val="222222"/>
        </w:rPr>
        <w:t xml:space="preserve">the session would achieve positive results </w:t>
      </w:r>
      <w:r w:rsidRPr="00884696">
        <w:rPr>
          <w:color w:val="222222"/>
        </w:rPr>
        <w:t xml:space="preserve">under the leadership of the </w:t>
      </w:r>
      <w:r w:rsidRPr="00884696">
        <w:rPr>
          <w:rFonts w:hint="eastAsia"/>
          <w:color w:val="222222"/>
        </w:rPr>
        <w:t>C</w:t>
      </w:r>
      <w:r w:rsidRPr="00884696">
        <w:rPr>
          <w:color w:val="222222"/>
        </w:rPr>
        <w:t xml:space="preserve">hair and </w:t>
      </w:r>
      <w:r w:rsidRPr="00884696">
        <w:rPr>
          <w:rFonts w:hint="eastAsia"/>
          <w:color w:val="222222"/>
        </w:rPr>
        <w:t xml:space="preserve">with </w:t>
      </w:r>
      <w:r w:rsidRPr="00884696">
        <w:rPr>
          <w:color w:val="222222"/>
        </w:rPr>
        <w:t xml:space="preserve">the joint </w:t>
      </w:r>
      <w:r w:rsidRPr="00884696">
        <w:rPr>
          <w:rFonts w:hint="eastAsia"/>
          <w:color w:val="222222"/>
        </w:rPr>
        <w:t>efforts</w:t>
      </w:r>
      <w:r w:rsidRPr="00884696">
        <w:rPr>
          <w:color w:val="222222"/>
        </w:rPr>
        <w:t xml:space="preserve"> of all </w:t>
      </w:r>
      <w:r w:rsidRPr="00884696">
        <w:rPr>
          <w:rFonts w:hint="eastAsia"/>
          <w:color w:val="222222"/>
        </w:rPr>
        <w:t>p</w:t>
      </w:r>
      <w:r w:rsidRPr="00884696">
        <w:rPr>
          <w:color w:val="222222"/>
        </w:rPr>
        <w:t>arties</w:t>
      </w:r>
      <w:r w:rsidRPr="00884696">
        <w:rPr>
          <w:rFonts w:hint="eastAsia"/>
          <w:color w:val="222222"/>
        </w:rPr>
        <w:t xml:space="preserve">.  </w:t>
      </w:r>
      <w:r w:rsidRPr="00884696">
        <w:rPr>
          <w:color w:val="222222"/>
        </w:rPr>
        <w:t>It</w:t>
      </w:r>
      <w:r w:rsidRPr="00884696">
        <w:rPr>
          <w:rFonts w:hint="eastAsia"/>
          <w:color w:val="222222"/>
        </w:rPr>
        <w:t xml:space="preserve"> had</w:t>
      </w:r>
      <w:r w:rsidRPr="00884696">
        <w:rPr>
          <w:color w:val="222222"/>
        </w:rPr>
        <w:t xml:space="preserve"> </w:t>
      </w:r>
      <w:r w:rsidRPr="00884696">
        <w:rPr>
          <w:rFonts w:hint="eastAsia"/>
          <w:color w:val="222222"/>
        </w:rPr>
        <w:t>consistently</w:t>
      </w:r>
      <w:r w:rsidRPr="00884696">
        <w:rPr>
          <w:color w:val="222222"/>
        </w:rPr>
        <w:t xml:space="preserve"> supported the work of the IGC and </w:t>
      </w:r>
      <w:r w:rsidRPr="00884696">
        <w:rPr>
          <w:rFonts w:hint="eastAsia"/>
          <w:color w:val="222222"/>
        </w:rPr>
        <w:t>looked</w:t>
      </w:r>
      <w:r w:rsidRPr="00884696">
        <w:rPr>
          <w:color w:val="222222"/>
        </w:rPr>
        <w:t xml:space="preserve"> </w:t>
      </w:r>
      <w:r w:rsidRPr="00884696">
        <w:rPr>
          <w:rFonts w:hint="eastAsia"/>
          <w:color w:val="222222"/>
        </w:rPr>
        <w:t xml:space="preserve">forward </w:t>
      </w:r>
      <w:r w:rsidRPr="00884696">
        <w:rPr>
          <w:color w:val="222222"/>
        </w:rPr>
        <w:t xml:space="preserve">to </w:t>
      </w:r>
      <w:r w:rsidRPr="00884696">
        <w:rPr>
          <w:rFonts w:hint="eastAsia"/>
          <w:color w:val="222222"/>
        </w:rPr>
        <w:t>the conclusion of binding instrument(s) as s</w:t>
      </w:r>
      <w:r w:rsidRPr="00884696">
        <w:rPr>
          <w:color w:val="222222"/>
        </w:rPr>
        <w:t xml:space="preserve">ubstantive </w:t>
      </w:r>
      <w:r w:rsidRPr="00884696">
        <w:rPr>
          <w:rFonts w:hint="eastAsia"/>
          <w:color w:val="222222"/>
        </w:rPr>
        <w:t>outcome</w:t>
      </w:r>
      <w:r w:rsidRPr="00884696">
        <w:rPr>
          <w:color w:val="222222"/>
        </w:rPr>
        <w:t>s in the protection of</w:t>
      </w:r>
      <w:r w:rsidRPr="00884696">
        <w:rPr>
          <w:rFonts w:hint="eastAsia"/>
          <w:color w:val="222222"/>
        </w:rPr>
        <w:t xml:space="preserve"> </w:t>
      </w:r>
      <w:r w:rsidRPr="00884696">
        <w:rPr>
          <w:color w:val="222222"/>
        </w:rPr>
        <w:t>GRs, TK and TCEs</w:t>
      </w:r>
      <w:r w:rsidRPr="00884696">
        <w:rPr>
          <w:rFonts w:hint="eastAsia"/>
          <w:color w:val="222222"/>
        </w:rPr>
        <w:t xml:space="preserve">. </w:t>
      </w:r>
      <w:r w:rsidRPr="00884696">
        <w:rPr>
          <w:color w:val="222222"/>
        </w:rPr>
        <w:t xml:space="preserve"> </w:t>
      </w:r>
      <w:r w:rsidRPr="00884696">
        <w:rPr>
          <w:rFonts w:hint="eastAsia"/>
          <w:color w:val="222222"/>
        </w:rPr>
        <w:t xml:space="preserve">It </w:t>
      </w:r>
      <w:r w:rsidRPr="00884696">
        <w:rPr>
          <w:color w:val="222222"/>
        </w:rPr>
        <w:t>call</w:t>
      </w:r>
      <w:r w:rsidRPr="00884696">
        <w:rPr>
          <w:rFonts w:hint="eastAsia"/>
          <w:color w:val="222222"/>
        </w:rPr>
        <w:t>ed</w:t>
      </w:r>
      <w:r w:rsidRPr="00884696">
        <w:rPr>
          <w:color w:val="222222"/>
        </w:rPr>
        <w:t xml:space="preserve"> on all </w:t>
      </w:r>
      <w:r w:rsidRPr="00884696">
        <w:rPr>
          <w:rFonts w:hint="eastAsia"/>
          <w:color w:val="222222"/>
        </w:rPr>
        <w:t>p</w:t>
      </w:r>
      <w:r w:rsidRPr="00884696">
        <w:rPr>
          <w:color w:val="222222"/>
        </w:rPr>
        <w:t xml:space="preserve">arties to work together to focus </w:t>
      </w:r>
      <w:r w:rsidRPr="00884696">
        <w:rPr>
          <w:rFonts w:hint="eastAsia"/>
          <w:color w:val="222222"/>
        </w:rPr>
        <w:t>on key issues and</w:t>
      </w:r>
      <w:r w:rsidRPr="00884696">
        <w:rPr>
          <w:color w:val="222222"/>
        </w:rPr>
        <w:t xml:space="preserve"> </w:t>
      </w:r>
      <w:r w:rsidRPr="00884696">
        <w:rPr>
          <w:rFonts w:hint="eastAsia"/>
          <w:color w:val="222222"/>
        </w:rPr>
        <w:t xml:space="preserve">to </w:t>
      </w:r>
      <w:r w:rsidRPr="00884696">
        <w:rPr>
          <w:color w:val="222222"/>
        </w:rPr>
        <w:t xml:space="preserve">narrow </w:t>
      </w:r>
      <w:r w:rsidRPr="00884696">
        <w:rPr>
          <w:rFonts w:hint="eastAsia"/>
          <w:color w:val="222222"/>
        </w:rPr>
        <w:t>gaps with a view to concluding the relevant</w:t>
      </w:r>
      <w:r w:rsidRPr="00884696">
        <w:rPr>
          <w:color w:val="222222"/>
        </w:rPr>
        <w:t xml:space="preserve"> international instrument</w:t>
      </w:r>
      <w:r w:rsidRPr="00884696">
        <w:rPr>
          <w:rFonts w:hint="eastAsia"/>
          <w:color w:val="222222"/>
        </w:rPr>
        <w:t>(</w:t>
      </w:r>
      <w:r w:rsidRPr="00884696">
        <w:rPr>
          <w:color w:val="222222"/>
        </w:rPr>
        <w:t>s</w:t>
      </w:r>
      <w:r w:rsidRPr="00884696">
        <w:rPr>
          <w:rFonts w:hint="eastAsia"/>
          <w:color w:val="222222"/>
        </w:rPr>
        <w:t>)</w:t>
      </w:r>
      <w:r w:rsidRPr="00884696">
        <w:rPr>
          <w:color w:val="222222"/>
        </w:rPr>
        <w:t xml:space="preserve"> as soon as possible</w:t>
      </w:r>
      <w:r w:rsidRPr="00884696">
        <w:rPr>
          <w:rFonts w:hint="eastAsia"/>
          <w:color w:val="222222"/>
        </w:rPr>
        <w:t xml:space="preserve"> so that the protection of the subject matter</w:t>
      </w:r>
      <w:r w:rsidR="00884696">
        <w:rPr>
          <w:color w:val="222222"/>
        </w:rPr>
        <w:t>s</w:t>
      </w:r>
      <w:r w:rsidRPr="00884696">
        <w:rPr>
          <w:rFonts w:hint="eastAsia"/>
          <w:color w:val="222222"/>
        </w:rPr>
        <w:t xml:space="preserve"> mentioned above </w:t>
      </w:r>
      <w:proofErr w:type="gramStart"/>
      <w:r w:rsidRPr="00884696">
        <w:rPr>
          <w:rFonts w:hint="eastAsia"/>
          <w:color w:val="222222"/>
        </w:rPr>
        <w:t xml:space="preserve">could be </w:t>
      </w:r>
      <w:r w:rsidRPr="00884696">
        <w:rPr>
          <w:color w:val="222222"/>
        </w:rPr>
        <w:t>substantiated</w:t>
      </w:r>
      <w:proofErr w:type="gramEnd"/>
      <w:r w:rsidRPr="00884696">
        <w:rPr>
          <w:rFonts w:hint="eastAsia"/>
          <w:color w:val="222222"/>
        </w:rPr>
        <w:t xml:space="preserve">.  </w:t>
      </w:r>
      <w:r w:rsidRPr="00884696">
        <w:rPr>
          <w:color w:val="222222"/>
        </w:rPr>
        <w:t xml:space="preserve">There </w:t>
      </w:r>
      <w:r w:rsidRPr="00884696">
        <w:rPr>
          <w:rFonts w:hint="eastAsia"/>
          <w:color w:val="222222"/>
        </w:rPr>
        <w:t>were</w:t>
      </w:r>
      <w:r w:rsidRPr="00884696">
        <w:rPr>
          <w:color w:val="222222"/>
        </w:rPr>
        <w:t xml:space="preserve"> still </w:t>
      </w:r>
      <w:r w:rsidRPr="00884696">
        <w:rPr>
          <w:rFonts w:hint="eastAsia"/>
          <w:color w:val="222222"/>
        </w:rPr>
        <w:t>a number of</w:t>
      </w:r>
      <w:r w:rsidR="00884696">
        <w:rPr>
          <w:color w:val="222222"/>
        </w:rPr>
        <w:t xml:space="preserve"> issues on GRs to </w:t>
      </w:r>
      <w:proofErr w:type="gramStart"/>
      <w:r w:rsidR="00884696">
        <w:rPr>
          <w:color w:val="222222"/>
        </w:rPr>
        <w:t>be explored</w:t>
      </w:r>
      <w:proofErr w:type="gramEnd"/>
      <w:r w:rsidR="00884696">
        <w:rPr>
          <w:color w:val="222222"/>
        </w:rPr>
        <w:t>.  The Delegation</w:t>
      </w:r>
      <w:r w:rsidRPr="00884696">
        <w:rPr>
          <w:rFonts w:hint="eastAsia"/>
          <w:color w:val="222222"/>
        </w:rPr>
        <w:t xml:space="preserve"> </w:t>
      </w:r>
      <w:r w:rsidRPr="00884696">
        <w:rPr>
          <w:color w:val="222222"/>
        </w:rPr>
        <w:t>w</w:t>
      </w:r>
      <w:r w:rsidRPr="00884696">
        <w:rPr>
          <w:rFonts w:hint="eastAsia"/>
          <w:color w:val="222222"/>
        </w:rPr>
        <w:t>ould</w:t>
      </w:r>
      <w:r w:rsidRPr="00884696">
        <w:rPr>
          <w:color w:val="222222"/>
        </w:rPr>
        <w:t xml:space="preserve"> continue to participate in the discussion</w:t>
      </w:r>
      <w:r w:rsidRPr="00884696">
        <w:rPr>
          <w:rFonts w:hint="eastAsia"/>
          <w:color w:val="222222"/>
        </w:rPr>
        <w:t>s</w:t>
      </w:r>
      <w:r w:rsidRPr="00884696">
        <w:rPr>
          <w:color w:val="222222"/>
        </w:rPr>
        <w:t xml:space="preserve"> with a positive attitude.</w:t>
      </w:r>
    </w:p>
    <w:p w:rsidR="00D47ED5" w:rsidRPr="00D47ED5" w:rsidRDefault="00D47ED5" w:rsidP="00D47ED5">
      <w:pPr>
        <w:rPr>
          <w:rFonts w:cs="Courier New"/>
        </w:rPr>
      </w:pPr>
    </w:p>
    <w:p w:rsidR="00977339" w:rsidRPr="00977339" w:rsidRDefault="00D47ED5" w:rsidP="00310121">
      <w:pPr>
        <w:pStyle w:val="ListParagraph"/>
        <w:numPr>
          <w:ilvl w:val="0"/>
          <w:numId w:val="4"/>
        </w:numPr>
        <w:ind w:left="0" w:firstLine="0"/>
      </w:pPr>
      <w:r w:rsidRPr="00D47ED5">
        <w:rPr>
          <w:rFonts w:cs="Courier New"/>
        </w:rPr>
        <w:t xml:space="preserve">The </w:t>
      </w:r>
      <w:r>
        <w:rPr>
          <w:rFonts w:cs="Courier New"/>
        </w:rPr>
        <w:t>D</w:t>
      </w:r>
      <w:r w:rsidRPr="00D47ED5">
        <w:rPr>
          <w:rFonts w:cs="Courier New"/>
        </w:rPr>
        <w:t xml:space="preserve">elegation of Lithuania, speaking on behalf of the Central European and Baltic States Group (“CEBS”), reconfirmed its commitment to working constructively at IGC 35 and </w:t>
      </w:r>
      <w:r w:rsidR="00884696">
        <w:rPr>
          <w:rFonts w:cs="Courier New"/>
        </w:rPr>
        <w:t xml:space="preserve">IGC </w:t>
      </w:r>
      <w:r w:rsidRPr="00D47ED5">
        <w:rPr>
          <w:rFonts w:cs="Courier New"/>
        </w:rPr>
        <w:t xml:space="preserve">36 with a view to achieving a balanced and effective protection of GRs. </w:t>
      </w:r>
      <w:r>
        <w:rPr>
          <w:rFonts w:cs="Courier New"/>
        </w:rPr>
        <w:t xml:space="preserve"> </w:t>
      </w:r>
      <w:r w:rsidRPr="00D47ED5">
        <w:rPr>
          <w:rFonts w:cs="Courier New"/>
        </w:rPr>
        <w:t xml:space="preserve">However, there was still a need to reach a common understanding on core issues in order to progress in </w:t>
      </w:r>
      <w:r w:rsidR="0083638A">
        <w:rPr>
          <w:rFonts w:cs="Courier New"/>
        </w:rPr>
        <w:t xml:space="preserve">the </w:t>
      </w:r>
      <w:r w:rsidRPr="00D47ED5">
        <w:rPr>
          <w:rFonts w:cs="Courier New"/>
        </w:rPr>
        <w:t xml:space="preserve">text-based negotiations. </w:t>
      </w:r>
      <w:r>
        <w:rPr>
          <w:rFonts w:cs="Courier New"/>
        </w:rPr>
        <w:t xml:space="preserve"> </w:t>
      </w:r>
      <w:r w:rsidRPr="00D47ED5">
        <w:rPr>
          <w:rFonts w:cs="Courier New"/>
        </w:rPr>
        <w:t>An evidence-based approach would facilitate narrowing the gaps.</w:t>
      </w:r>
      <w:r>
        <w:rPr>
          <w:rFonts w:cs="Courier New"/>
        </w:rPr>
        <w:t xml:space="preserve"> </w:t>
      </w:r>
      <w:r w:rsidRPr="00D47ED5">
        <w:rPr>
          <w:rFonts w:cs="Courier New"/>
        </w:rPr>
        <w:t xml:space="preserve"> The 2017 WIPO study “Key Questions on Patent Disclosure Requirements for Genetic Recourses and Traditional Knowledge” was a very useful source of information.  It looked forward to the Indigenous Panel.  It highly appreciated the valuable input of IPLCs to the </w:t>
      </w:r>
      <w:r>
        <w:rPr>
          <w:rFonts w:cs="Courier New"/>
        </w:rPr>
        <w:t>IGC discussions</w:t>
      </w:r>
      <w:r w:rsidRPr="00D47ED5">
        <w:rPr>
          <w:rFonts w:cs="Courier New"/>
        </w:rPr>
        <w:t>.</w:t>
      </w:r>
      <w:r>
        <w:rPr>
          <w:rFonts w:cs="Courier New"/>
        </w:rPr>
        <w:t xml:space="preserve"> </w:t>
      </w:r>
      <w:r w:rsidRPr="00D47ED5">
        <w:rPr>
          <w:rFonts w:cs="Courier New"/>
        </w:rPr>
        <w:t xml:space="preserve"> It reassured of its constructive engagement in the IGC’s work that would lead towards a positive and realistic outcome. </w:t>
      </w:r>
    </w:p>
    <w:p w:rsidR="00977339" w:rsidRPr="00977339" w:rsidRDefault="00977339" w:rsidP="00977339">
      <w:pPr>
        <w:rPr>
          <w:rFonts w:cs="Courier New"/>
        </w:rPr>
      </w:pPr>
    </w:p>
    <w:p w:rsidR="00DC04E3" w:rsidRDefault="00977339" w:rsidP="00310121">
      <w:pPr>
        <w:pStyle w:val="ListParagraph"/>
        <w:numPr>
          <w:ilvl w:val="0"/>
          <w:numId w:val="4"/>
        </w:numPr>
        <w:ind w:left="0" w:firstLine="0"/>
      </w:pPr>
      <w:r w:rsidRPr="00977339">
        <w:rPr>
          <w:rFonts w:cs="Courier New"/>
        </w:rPr>
        <w:t>The Delegation of Swit</w:t>
      </w:r>
      <w:r w:rsidR="00884696">
        <w:rPr>
          <w:rFonts w:cs="Courier New"/>
        </w:rPr>
        <w:t>zerland, speaking on behalf of G</w:t>
      </w:r>
      <w:r w:rsidRPr="00977339">
        <w:rPr>
          <w:rFonts w:cs="Courier New"/>
        </w:rPr>
        <w:t xml:space="preserve">roup B, was confident that the IGC would be able to make progress under the Chair’s leadership.  As noted in </w:t>
      </w:r>
      <w:r w:rsidR="00884696">
        <w:rPr>
          <w:rFonts w:cs="Courier New"/>
        </w:rPr>
        <w:t>the new mandate for 2018-</w:t>
      </w:r>
      <w:r w:rsidRPr="00977339">
        <w:rPr>
          <w:rFonts w:cs="Courier New"/>
        </w:rPr>
        <w:t xml:space="preserve">2019, it acknowledged the progress made by the IGC on IP and GRs, TK and TCEs. </w:t>
      </w:r>
      <w:r w:rsidR="008B7619">
        <w:rPr>
          <w:rFonts w:cs="Courier New"/>
        </w:rPr>
        <w:t xml:space="preserve"> </w:t>
      </w:r>
      <w:r w:rsidRPr="00977339">
        <w:rPr>
          <w:rFonts w:cs="Courier New"/>
        </w:rPr>
        <w:t xml:space="preserve">More work needed to </w:t>
      </w:r>
      <w:proofErr w:type="gramStart"/>
      <w:r w:rsidRPr="00977339">
        <w:rPr>
          <w:rFonts w:cs="Courier New"/>
        </w:rPr>
        <w:t>be done</w:t>
      </w:r>
      <w:proofErr w:type="gramEnd"/>
      <w:r w:rsidRPr="00977339">
        <w:rPr>
          <w:rFonts w:cs="Courier New"/>
        </w:rPr>
        <w:t xml:space="preserve"> by the IGC to narrow existing gaps to reach a common understanding on core issues. </w:t>
      </w:r>
      <w:r w:rsidR="008B7619">
        <w:rPr>
          <w:rFonts w:cs="Courier New"/>
        </w:rPr>
        <w:t xml:space="preserve"> </w:t>
      </w:r>
      <w:r w:rsidRPr="00977339">
        <w:rPr>
          <w:rFonts w:cs="Courier New"/>
        </w:rPr>
        <w:t xml:space="preserve">The protection relating to those subjects </w:t>
      </w:r>
      <w:proofErr w:type="gramStart"/>
      <w:r w:rsidRPr="00977339">
        <w:rPr>
          <w:rFonts w:cs="Courier New"/>
        </w:rPr>
        <w:t>should be designed</w:t>
      </w:r>
      <w:proofErr w:type="gramEnd"/>
      <w:r w:rsidRPr="00977339">
        <w:rPr>
          <w:rFonts w:cs="Courier New"/>
        </w:rPr>
        <w:t xml:space="preserve"> in a manner that both supported innovation and creativity and recognized the unique nature and importance of those subjects.  It recalled the new mandate and the work program for the 2018/2019 biennium. </w:t>
      </w:r>
      <w:r w:rsidR="008B7619">
        <w:rPr>
          <w:rFonts w:cs="Courier New"/>
        </w:rPr>
        <w:t xml:space="preserve"> </w:t>
      </w:r>
      <w:r w:rsidRPr="00977339">
        <w:rPr>
          <w:rFonts w:cs="Courier New"/>
        </w:rPr>
        <w:t>It hope</w:t>
      </w:r>
      <w:r w:rsidR="008B7619">
        <w:rPr>
          <w:rFonts w:cs="Courier New"/>
        </w:rPr>
        <w:t>d</w:t>
      </w:r>
      <w:r w:rsidRPr="00977339">
        <w:rPr>
          <w:rFonts w:cs="Courier New"/>
        </w:rPr>
        <w:t xml:space="preserve"> that Member States would be able to make meaningful advance</w:t>
      </w:r>
      <w:r w:rsidR="0083638A">
        <w:rPr>
          <w:rFonts w:cs="Courier New"/>
        </w:rPr>
        <w:t>s</w:t>
      </w:r>
      <w:r w:rsidRPr="00977339">
        <w:rPr>
          <w:rFonts w:cs="Courier New"/>
        </w:rPr>
        <w:t xml:space="preserve">, guided by sound working methods and an evidence-based approach. </w:t>
      </w:r>
      <w:r w:rsidR="008B7619">
        <w:rPr>
          <w:rFonts w:cs="Courier New"/>
        </w:rPr>
        <w:t xml:space="preserve"> </w:t>
      </w:r>
      <w:r w:rsidRPr="00977339">
        <w:rPr>
          <w:rFonts w:cs="Courier New"/>
        </w:rPr>
        <w:t>The reports compiling materials on databases and disclosure regimes relating to GRs and associated TK illustrated the enormous amount of work carried out by the Sec</w:t>
      </w:r>
      <w:r w:rsidR="00884696">
        <w:rPr>
          <w:rFonts w:cs="Courier New"/>
        </w:rPr>
        <w:t>retariat, the IGC, as well as</w:t>
      </w:r>
      <w:r w:rsidRPr="00977339">
        <w:rPr>
          <w:rFonts w:cs="Courier New"/>
        </w:rPr>
        <w:t xml:space="preserve"> individual Member States and various stakeholders, in order to advance the work of the IGC, using an evidence-based approach. </w:t>
      </w:r>
      <w:r w:rsidR="008B7619">
        <w:rPr>
          <w:rFonts w:cs="Courier New"/>
        </w:rPr>
        <w:t xml:space="preserve"> </w:t>
      </w:r>
      <w:r w:rsidRPr="00977339">
        <w:rPr>
          <w:rFonts w:cs="Courier New"/>
        </w:rPr>
        <w:t xml:space="preserve">Text-based negotiations </w:t>
      </w:r>
      <w:proofErr w:type="gramStart"/>
      <w:r w:rsidRPr="00977339">
        <w:rPr>
          <w:rFonts w:cs="Courier New"/>
        </w:rPr>
        <w:t>should be undertaken</w:t>
      </w:r>
      <w:proofErr w:type="gramEnd"/>
      <w:r w:rsidRPr="00977339">
        <w:rPr>
          <w:rFonts w:cs="Courier New"/>
        </w:rPr>
        <w:t xml:space="preserve"> in a manner that included discussion of the broader context</w:t>
      </w:r>
      <w:r w:rsidR="007F6CCA">
        <w:rPr>
          <w:rFonts w:cs="Courier New"/>
        </w:rPr>
        <w:t xml:space="preserve"> </w:t>
      </w:r>
      <w:r w:rsidRPr="00977339">
        <w:rPr>
          <w:rFonts w:cs="Courier New"/>
        </w:rPr>
        <w:t xml:space="preserve">and of the practical application and implication of </w:t>
      </w:r>
      <w:r w:rsidRPr="00977339">
        <w:rPr>
          <w:rFonts w:cs="Courier New"/>
        </w:rPr>
        <w:lastRenderedPageBreak/>
        <w:t xml:space="preserve">proposals, in order to narrow existing gaps and reach a common understanding on core issues. </w:t>
      </w:r>
      <w:r w:rsidR="008B7619">
        <w:rPr>
          <w:rFonts w:cs="Courier New"/>
        </w:rPr>
        <w:t xml:space="preserve"> </w:t>
      </w:r>
      <w:r w:rsidRPr="00977339">
        <w:rPr>
          <w:rFonts w:cs="Courier New"/>
        </w:rPr>
        <w:t xml:space="preserve">It looked forward to the active participation of IPLCs. </w:t>
      </w:r>
      <w:r w:rsidR="008B7619">
        <w:rPr>
          <w:rFonts w:cs="Courier New"/>
        </w:rPr>
        <w:t xml:space="preserve"> </w:t>
      </w:r>
      <w:r w:rsidRPr="00977339">
        <w:rPr>
          <w:rFonts w:cs="Courier New"/>
        </w:rPr>
        <w:t xml:space="preserve">It acknowledged the valuable and essential role of IPLCs for the work of the IGC. </w:t>
      </w:r>
      <w:r w:rsidR="008B7619">
        <w:rPr>
          <w:rFonts w:cs="Courier New"/>
        </w:rPr>
        <w:t xml:space="preserve"> </w:t>
      </w:r>
      <w:r w:rsidRPr="00977339">
        <w:rPr>
          <w:rFonts w:cs="Courier New"/>
        </w:rPr>
        <w:t>It remained committed to contributing constructively towards achieving a mutually acceptable result.</w:t>
      </w:r>
    </w:p>
    <w:p w:rsidR="00DC04E3" w:rsidRDefault="00DC04E3" w:rsidP="00DC04E3">
      <w:pPr>
        <w:pStyle w:val="ListParagraph"/>
        <w:ind w:left="0"/>
      </w:pPr>
    </w:p>
    <w:p w:rsidR="00037010" w:rsidRPr="00037010" w:rsidRDefault="00DC04E3" w:rsidP="00310121">
      <w:pPr>
        <w:pStyle w:val="ListParagraph"/>
        <w:numPr>
          <w:ilvl w:val="0"/>
          <w:numId w:val="4"/>
        </w:numPr>
        <w:ind w:left="0" w:firstLine="0"/>
      </w:pPr>
      <w:r w:rsidRPr="00DC04E3">
        <w:rPr>
          <w:rFonts w:cs="Courier New"/>
        </w:rPr>
        <w:t xml:space="preserve">The Delegation of the EU, speaking on behalf of the EU and its Member States, welcomed the decision by the WIPO </w:t>
      </w:r>
      <w:r w:rsidR="00884696">
        <w:rPr>
          <w:rFonts w:cs="Courier New"/>
        </w:rPr>
        <w:t>GA on the</w:t>
      </w:r>
      <w:r w:rsidRPr="00DC04E3">
        <w:rPr>
          <w:rFonts w:cs="Courier New"/>
        </w:rPr>
        <w:t xml:space="preserve"> mandate</w:t>
      </w:r>
      <w:r w:rsidR="00884696">
        <w:rPr>
          <w:rFonts w:cs="Courier New"/>
        </w:rPr>
        <w:t xml:space="preserve"> of the IGC</w:t>
      </w:r>
      <w:r w:rsidRPr="00DC04E3">
        <w:rPr>
          <w:rFonts w:cs="Courier New"/>
        </w:rPr>
        <w:t xml:space="preserve">, which was an improvement on the previous one.  It looked forward to using the various possibilities provided for in the mandate, such as conducting and updating studies, covering </w:t>
      </w:r>
      <w:r w:rsidRPr="00DC04E3">
        <w:rPr>
          <w:rFonts w:cs="Courier New"/>
          <w:i/>
        </w:rPr>
        <w:t>inter alia</w:t>
      </w:r>
      <w:r w:rsidRPr="00DC04E3">
        <w:rPr>
          <w:rFonts w:cs="Courier New"/>
        </w:rPr>
        <w:t xml:space="preserve"> examples of national experiences, such as impact assessments, databases, and examples of protectable subject matter and subject matter that </w:t>
      </w:r>
      <w:proofErr w:type="gramStart"/>
      <w:r w:rsidRPr="00DC04E3">
        <w:rPr>
          <w:rFonts w:cs="Courier New"/>
        </w:rPr>
        <w:t>was not intended to be protected</w:t>
      </w:r>
      <w:proofErr w:type="gramEnd"/>
      <w:r w:rsidRPr="00DC04E3">
        <w:rPr>
          <w:rFonts w:cs="Courier New"/>
        </w:rPr>
        <w:t xml:space="preserve">.  It noted with appreciation an excellent overview provided by the WIPO study “Key Questions on Patent Disclosure Requirements for Genetic Resources and Traditional Knowledge.”  It also looked forward to discussions on document WIPO/GRTKF/IC/35/9.  </w:t>
      </w:r>
      <w:proofErr w:type="gramStart"/>
      <w:r w:rsidRPr="00DC04E3">
        <w:rPr>
          <w:rFonts w:cs="Courier New"/>
        </w:rPr>
        <w:t>Looking back to IGC 30, despite some interesting informal discussions and the highly appreciated work of the</w:t>
      </w:r>
      <w:r w:rsidR="00884696">
        <w:rPr>
          <w:rFonts w:cs="Courier New"/>
        </w:rPr>
        <w:t xml:space="preserve"> f</w:t>
      </w:r>
      <w:r w:rsidRPr="00DC04E3">
        <w:rPr>
          <w:rFonts w:cs="Courier New"/>
        </w:rPr>
        <w:t>acilitators,</w:t>
      </w:r>
      <w:proofErr w:type="gramEnd"/>
      <w:r w:rsidRPr="00DC04E3">
        <w:rPr>
          <w:rFonts w:cs="Courier New"/>
        </w:rPr>
        <w:t xml:space="preserve"> </w:t>
      </w:r>
      <w:proofErr w:type="gramStart"/>
      <w:r w:rsidRPr="00DC04E3">
        <w:rPr>
          <w:rFonts w:cs="Courier New"/>
        </w:rPr>
        <w:t>it</w:t>
      </w:r>
      <w:proofErr w:type="gramEnd"/>
      <w:r w:rsidRPr="00DC04E3">
        <w:rPr>
          <w:rFonts w:cs="Courier New"/>
        </w:rPr>
        <w:t xml:space="preserve"> remained difficult for the IGC to close existing gaps among diverging options in most articles contained in </w:t>
      </w:r>
      <w:r w:rsidR="00884696">
        <w:rPr>
          <w:rFonts w:cs="Courier New"/>
        </w:rPr>
        <w:t>document WIPO/GRTKF/IC/35/4</w:t>
      </w:r>
      <w:r w:rsidRPr="00DC04E3">
        <w:rPr>
          <w:rFonts w:cs="Courier New"/>
        </w:rPr>
        <w:t xml:space="preserve">.  It hoped that in the next biennium under the new mandate, the IGC could pave the way towards mutually acceptable outcomes.  It remained open to discussing a mandatory disclosure mechanism with appropriate safeguards.  Thirteen years had passed since it had first tabled its proposal in the IGC.  In the meantime, the international landscape had changed considerably.  In particular, the </w:t>
      </w:r>
      <w:r w:rsidRPr="00DC04E3">
        <w:rPr>
          <w:rFonts w:cs="Courier New"/>
          <w:lang w:eastAsia="en-US"/>
        </w:rPr>
        <w:t>Nagoya Protocol on Access to Genetic Resources and the Fair and Equitable Sharing of Benefits Arising from their Utilization to the Convention on Biological Diversity </w:t>
      </w:r>
      <w:r w:rsidR="00884696">
        <w:rPr>
          <w:rFonts w:cs="Courier New"/>
        </w:rPr>
        <w:t xml:space="preserve">(“the </w:t>
      </w:r>
      <w:r w:rsidRPr="00DC04E3">
        <w:rPr>
          <w:rFonts w:cs="Courier New"/>
        </w:rPr>
        <w:t xml:space="preserve">Nagoya Protocol”) had come into force.  In order to further the understanding of that new landscape, the IGC might wish to consider potential benefits of examining interfaces between the implementation of the Nagoya Protocol and the introduction of patent disclosure mechanisms in IP legislation.  Against that background, it remained ready to continue its engagement, as was evident at IGC 30.  The EU occupied the center ground in those polarized discussions.  </w:t>
      </w:r>
      <w:r w:rsidR="00884696">
        <w:rPr>
          <w:rFonts w:cs="Courier New"/>
        </w:rPr>
        <w:t>The IGC</w:t>
      </w:r>
      <w:r w:rsidRPr="00DC04E3">
        <w:rPr>
          <w:rFonts w:cs="Courier New"/>
        </w:rPr>
        <w:t xml:space="preserve"> should focus discussions on realistic and achievable outcomes to r</w:t>
      </w:r>
      <w:r w:rsidR="00884696">
        <w:rPr>
          <w:rFonts w:cs="Courier New"/>
        </w:rPr>
        <w:t>eap tangible results of the IGC’</w:t>
      </w:r>
      <w:r w:rsidRPr="00DC04E3">
        <w:rPr>
          <w:rFonts w:cs="Courier New"/>
        </w:rPr>
        <w:t xml:space="preserve">s work.  It stressed its willingness to contribute to such positive outcomes.    </w:t>
      </w:r>
    </w:p>
    <w:p w:rsidR="00037010" w:rsidRPr="00037010" w:rsidRDefault="00037010" w:rsidP="00037010">
      <w:pPr>
        <w:pStyle w:val="ListParagraph"/>
        <w:ind w:left="0"/>
      </w:pPr>
    </w:p>
    <w:p w:rsidR="001D70EE" w:rsidRPr="001D70EE" w:rsidRDefault="00037010" w:rsidP="00310121">
      <w:pPr>
        <w:pStyle w:val="ListParagraph"/>
        <w:numPr>
          <w:ilvl w:val="0"/>
          <w:numId w:val="4"/>
        </w:numPr>
        <w:ind w:left="0" w:firstLine="0"/>
      </w:pPr>
      <w:r w:rsidRPr="00037010">
        <w:rPr>
          <w:rFonts w:cs="Courier New"/>
        </w:rPr>
        <w:t xml:space="preserve">The Delegation of Indonesia, speaking on behalf of the </w:t>
      </w:r>
      <w:r w:rsidR="00884696">
        <w:rPr>
          <w:rFonts w:cs="Courier New"/>
        </w:rPr>
        <w:t>LMCs</w:t>
      </w:r>
      <w:r w:rsidRPr="00037010">
        <w:rPr>
          <w:rFonts w:cs="Courier New"/>
        </w:rPr>
        <w:t xml:space="preserve">, welcomed the reports produced by the Secretariat, compiling materials and studies on databases and disclosure regimes relating to GRs and associated TK. </w:t>
      </w:r>
      <w:r>
        <w:rPr>
          <w:rFonts w:cs="Courier New"/>
        </w:rPr>
        <w:t xml:space="preserve"> </w:t>
      </w:r>
      <w:r w:rsidR="000E5DB6">
        <w:rPr>
          <w:rFonts w:cs="Courier New"/>
        </w:rPr>
        <w:t xml:space="preserve">Those reports reflected </w:t>
      </w:r>
      <w:r w:rsidRPr="00037010">
        <w:rPr>
          <w:rFonts w:cs="Courier New"/>
        </w:rPr>
        <w:t>the fact that materials and studies with</w:t>
      </w:r>
      <w:r w:rsidR="00884696">
        <w:rPr>
          <w:rFonts w:cs="Courier New"/>
        </w:rPr>
        <w:t xml:space="preserve"> regard to the importance of GR</w:t>
      </w:r>
      <w:r w:rsidRPr="00037010">
        <w:rPr>
          <w:rFonts w:cs="Courier New"/>
        </w:rPr>
        <w:t xml:space="preserve"> protection were in abundance. </w:t>
      </w:r>
      <w:r>
        <w:rPr>
          <w:rFonts w:cs="Courier New"/>
        </w:rPr>
        <w:t xml:space="preserve"> </w:t>
      </w:r>
      <w:r w:rsidRPr="00037010">
        <w:rPr>
          <w:rFonts w:cs="Courier New"/>
        </w:rPr>
        <w:t>Takin</w:t>
      </w:r>
      <w:r>
        <w:rPr>
          <w:rFonts w:cs="Courier New"/>
        </w:rPr>
        <w:t>g note of the IGC’s mandate</w:t>
      </w:r>
      <w:r w:rsidR="00884696">
        <w:rPr>
          <w:rFonts w:cs="Courier New"/>
        </w:rPr>
        <w:t>, the LMCs</w:t>
      </w:r>
      <w:r w:rsidRPr="00037010">
        <w:rPr>
          <w:rFonts w:cs="Courier New"/>
        </w:rPr>
        <w:t xml:space="preserve"> hoped that Member States and other stakeholders sufficiently appreciated the importance of IGC 35 to charting a progressive course for the rest of the Committee’s engagement within the biennium.  Good faith, flexibility, and political will were of critical importance for engagement at the session.  P</w:t>
      </w:r>
      <w:r w:rsidR="00884696">
        <w:rPr>
          <w:rFonts w:cs="Courier New"/>
        </w:rPr>
        <w:t>ursuant to the IGC’s mandate, the LMCs</w:t>
      </w:r>
      <w:r w:rsidRPr="00037010">
        <w:rPr>
          <w:rFonts w:cs="Courier New"/>
        </w:rPr>
        <w:t xml:space="preserve"> welcomed and looked forward to the discussion on Agenda Item 8 and it was hopeful that the IGC would</w:t>
      </w:r>
      <w:r>
        <w:rPr>
          <w:rFonts w:cs="Courier New"/>
        </w:rPr>
        <w:t xml:space="preserve"> establish an</w:t>
      </w:r>
      <w:r w:rsidRPr="00037010">
        <w:rPr>
          <w:rFonts w:cs="Courier New"/>
        </w:rPr>
        <w:t xml:space="preserve"> </w:t>
      </w:r>
      <w:r w:rsidRPr="00037010">
        <w:rPr>
          <w:rFonts w:cs="Courier New"/>
          <w:i/>
        </w:rPr>
        <w:t>ad hoc</w:t>
      </w:r>
      <w:r w:rsidRPr="00037010">
        <w:rPr>
          <w:rFonts w:cs="Courier New"/>
        </w:rPr>
        <w:t xml:space="preserve"> expert group</w:t>
      </w:r>
      <w:r>
        <w:rPr>
          <w:rFonts w:cs="Courier New"/>
        </w:rPr>
        <w:t xml:space="preserve">(s) to </w:t>
      </w:r>
      <w:r w:rsidRPr="00037010">
        <w:rPr>
          <w:rFonts w:cs="Courier New"/>
        </w:rPr>
        <w:t xml:space="preserve">address specific legal, policy or technical issues. </w:t>
      </w:r>
      <w:r>
        <w:rPr>
          <w:rFonts w:cs="Courier New"/>
        </w:rPr>
        <w:t xml:space="preserve"> T</w:t>
      </w:r>
      <w:r w:rsidRPr="00037010">
        <w:rPr>
          <w:rFonts w:cs="Courier New"/>
        </w:rPr>
        <w:t xml:space="preserve">he main objective of the draft instrument was to prevent the misappropriation of GRs and their derivatives, through the IP/patent system by applying a disclosure requirement.  Utmost efforts needed to </w:t>
      </w:r>
      <w:proofErr w:type="gramStart"/>
      <w:r w:rsidRPr="00037010">
        <w:rPr>
          <w:rFonts w:cs="Courier New"/>
        </w:rPr>
        <w:t>be delivered</w:t>
      </w:r>
      <w:proofErr w:type="gramEnd"/>
      <w:r w:rsidRPr="00037010">
        <w:rPr>
          <w:rFonts w:cs="Courier New"/>
        </w:rPr>
        <w:t xml:space="preserve"> to protect GRs, which included the</w:t>
      </w:r>
      <w:r w:rsidR="00884696">
        <w:rPr>
          <w:rFonts w:cs="Courier New"/>
        </w:rPr>
        <w:t>ir</w:t>
      </w:r>
      <w:r w:rsidRPr="00037010">
        <w:rPr>
          <w:rFonts w:cs="Courier New"/>
        </w:rPr>
        <w:t xml:space="preserve"> derivatives, as well as associated TK.  In line with the objective to prevent misappropriation, it was imperative for the IGC to exp</w:t>
      </w:r>
      <w:r w:rsidR="00884696">
        <w:rPr>
          <w:rFonts w:cs="Courier New"/>
        </w:rPr>
        <w:t>lore ways in which an effective</w:t>
      </w:r>
      <w:r>
        <w:rPr>
          <w:rFonts w:cs="Courier New"/>
        </w:rPr>
        <w:t xml:space="preserve"> </w:t>
      </w:r>
      <w:r w:rsidRPr="00037010">
        <w:rPr>
          <w:rFonts w:cs="Courier New"/>
        </w:rPr>
        <w:t xml:space="preserve">mandatory disclosure requirement </w:t>
      </w:r>
      <w:proofErr w:type="gramStart"/>
      <w:r w:rsidRPr="00037010">
        <w:rPr>
          <w:rFonts w:cs="Courier New"/>
        </w:rPr>
        <w:t>could be established</w:t>
      </w:r>
      <w:proofErr w:type="gramEnd"/>
      <w:r w:rsidRPr="00037010">
        <w:rPr>
          <w:rFonts w:cs="Courier New"/>
        </w:rPr>
        <w:t>, while also recognizing the valu</w:t>
      </w:r>
      <w:r>
        <w:rPr>
          <w:rFonts w:cs="Courier New"/>
        </w:rPr>
        <w:t>abl</w:t>
      </w:r>
      <w:r w:rsidRPr="00037010">
        <w:rPr>
          <w:rFonts w:cs="Courier New"/>
        </w:rPr>
        <w:t>e addition of establishing databases an</w:t>
      </w:r>
      <w:r w:rsidR="00C969EA">
        <w:rPr>
          <w:rFonts w:cs="Courier New"/>
        </w:rPr>
        <w:t>d other information systems as</w:t>
      </w:r>
      <w:r w:rsidRPr="00037010">
        <w:rPr>
          <w:rFonts w:cs="Courier New"/>
        </w:rPr>
        <w:t xml:space="preserve"> complementary to the m</w:t>
      </w:r>
      <w:r w:rsidR="000E5DB6">
        <w:rPr>
          <w:rFonts w:cs="Courier New"/>
        </w:rPr>
        <w:t>andatory disclosure requirement</w:t>
      </w:r>
      <w:r w:rsidRPr="00037010">
        <w:rPr>
          <w:rFonts w:cs="Courier New"/>
        </w:rPr>
        <w:t xml:space="preserve">. </w:t>
      </w:r>
      <w:r w:rsidR="00C969EA">
        <w:rPr>
          <w:rFonts w:cs="Courier New"/>
        </w:rPr>
        <w:t xml:space="preserve"> </w:t>
      </w:r>
      <w:r w:rsidRPr="00037010">
        <w:rPr>
          <w:rFonts w:cs="Courier New"/>
        </w:rPr>
        <w:t xml:space="preserve">Noting the significant progress </w:t>
      </w:r>
      <w:r w:rsidR="00C969EA">
        <w:rPr>
          <w:rFonts w:cs="Courier New"/>
        </w:rPr>
        <w:t>achieved in the p</w:t>
      </w:r>
      <w:r w:rsidRPr="00037010">
        <w:rPr>
          <w:rFonts w:cs="Courier New"/>
        </w:rPr>
        <w:t>ast biennium, it was optimistic that the IGC could soon reach the finish line. It was high time for al</w:t>
      </w:r>
      <w:r w:rsidR="00C969EA">
        <w:rPr>
          <w:rFonts w:cs="Courier New"/>
        </w:rPr>
        <w:t>l stakeholders to finalize the C</w:t>
      </w:r>
      <w:r w:rsidRPr="00037010">
        <w:rPr>
          <w:rFonts w:cs="Courier New"/>
        </w:rPr>
        <w:t xml:space="preserve">onsolidated </w:t>
      </w:r>
      <w:r w:rsidR="00E14AED">
        <w:rPr>
          <w:rFonts w:cs="Courier New"/>
        </w:rPr>
        <w:t>Document</w:t>
      </w:r>
      <w:r w:rsidRPr="00037010">
        <w:rPr>
          <w:rFonts w:cs="Courier New"/>
        </w:rPr>
        <w:t xml:space="preserve">, with some issues needing to be resolved at a political level. </w:t>
      </w:r>
      <w:r w:rsidR="00C969EA">
        <w:rPr>
          <w:rFonts w:cs="Courier New"/>
        </w:rPr>
        <w:t xml:space="preserve"> </w:t>
      </w:r>
      <w:r w:rsidRPr="00037010">
        <w:rPr>
          <w:rFonts w:cs="Courier New"/>
        </w:rPr>
        <w:t xml:space="preserve">The technical work </w:t>
      </w:r>
      <w:proofErr w:type="gramStart"/>
      <w:r w:rsidR="00C969EA">
        <w:rPr>
          <w:rFonts w:cs="Courier New"/>
        </w:rPr>
        <w:t>was</w:t>
      </w:r>
      <w:r w:rsidR="000E5DB6">
        <w:rPr>
          <w:rFonts w:cs="Courier New"/>
        </w:rPr>
        <w:t xml:space="preserve"> almost done</w:t>
      </w:r>
      <w:proofErr w:type="gramEnd"/>
      <w:r w:rsidRPr="00037010">
        <w:rPr>
          <w:rFonts w:cs="Courier New"/>
        </w:rPr>
        <w:t xml:space="preserve"> and the GR</w:t>
      </w:r>
      <w:r w:rsidR="00C969EA">
        <w:rPr>
          <w:rFonts w:cs="Courier New"/>
        </w:rPr>
        <w:t>s</w:t>
      </w:r>
      <w:r w:rsidRPr="00037010">
        <w:rPr>
          <w:rFonts w:cs="Courier New"/>
        </w:rPr>
        <w:t xml:space="preserve"> text </w:t>
      </w:r>
      <w:r w:rsidR="00C969EA">
        <w:rPr>
          <w:rFonts w:cs="Courier New"/>
        </w:rPr>
        <w:t xml:space="preserve">needed to be taken forward. </w:t>
      </w:r>
      <w:r w:rsidR="000E5DB6">
        <w:rPr>
          <w:rFonts w:cs="Courier New"/>
        </w:rPr>
        <w:t xml:space="preserve"> </w:t>
      </w:r>
      <w:r w:rsidR="00C969EA">
        <w:rPr>
          <w:rFonts w:cs="Courier New"/>
        </w:rPr>
        <w:t xml:space="preserve">The IGC had to </w:t>
      </w:r>
      <w:r w:rsidRPr="00037010">
        <w:rPr>
          <w:rFonts w:cs="Courier New"/>
        </w:rPr>
        <w:t xml:space="preserve">show political commitment.  The Consolidated </w:t>
      </w:r>
      <w:r w:rsidR="00E14AED">
        <w:rPr>
          <w:rFonts w:cs="Courier New"/>
        </w:rPr>
        <w:t>Document</w:t>
      </w:r>
      <w:r w:rsidRPr="00037010">
        <w:rPr>
          <w:rFonts w:cs="Courier New"/>
        </w:rPr>
        <w:t xml:space="preserve"> provided clear options for Member States to consider, </w:t>
      </w:r>
      <w:r w:rsidR="00C969EA">
        <w:rPr>
          <w:rFonts w:cs="Courier New"/>
        </w:rPr>
        <w:t>which</w:t>
      </w:r>
      <w:r w:rsidRPr="00037010">
        <w:rPr>
          <w:rFonts w:cs="Courier New"/>
        </w:rPr>
        <w:t xml:space="preserve"> </w:t>
      </w:r>
      <w:proofErr w:type="gramStart"/>
      <w:r w:rsidRPr="00037010">
        <w:rPr>
          <w:rFonts w:cs="Courier New"/>
        </w:rPr>
        <w:t>could be brought</w:t>
      </w:r>
      <w:proofErr w:type="gramEnd"/>
      <w:r w:rsidRPr="00037010">
        <w:rPr>
          <w:rFonts w:cs="Courier New"/>
        </w:rPr>
        <w:t xml:space="preserve"> forward for a positive decision. </w:t>
      </w:r>
      <w:r w:rsidR="000E5DB6">
        <w:rPr>
          <w:rFonts w:cs="Courier New"/>
        </w:rPr>
        <w:t xml:space="preserve"> IGC 35 and </w:t>
      </w:r>
      <w:r w:rsidR="00884696">
        <w:rPr>
          <w:rFonts w:cs="Courier New"/>
        </w:rPr>
        <w:t xml:space="preserve">IGC </w:t>
      </w:r>
      <w:r w:rsidR="000E5DB6">
        <w:rPr>
          <w:rFonts w:cs="Courier New"/>
        </w:rPr>
        <w:t xml:space="preserve">36 would enable Member States </w:t>
      </w:r>
      <w:r w:rsidRPr="00037010">
        <w:rPr>
          <w:rFonts w:cs="Courier New"/>
        </w:rPr>
        <w:t xml:space="preserve">to guide the </w:t>
      </w:r>
      <w:r w:rsidR="00D63343">
        <w:rPr>
          <w:rFonts w:cs="Courier New"/>
        </w:rPr>
        <w:t>GA</w:t>
      </w:r>
      <w:r w:rsidRPr="00037010">
        <w:rPr>
          <w:rFonts w:cs="Courier New"/>
        </w:rPr>
        <w:t xml:space="preserve"> for a work program that outlined key deliverables for future work, including the </w:t>
      </w:r>
      <w:r w:rsidRPr="00037010">
        <w:rPr>
          <w:rFonts w:cs="Courier New"/>
        </w:rPr>
        <w:lastRenderedPageBreak/>
        <w:t>possibility of conven</w:t>
      </w:r>
      <w:r w:rsidR="00D63343">
        <w:rPr>
          <w:rFonts w:cs="Courier New"/>
        </w:rPr>
        <w:t>ing a diplomatic conference.  The LMCs</w:t>
      </w:r>
      <w:r w:rsidRPr="00037010">
        <w:rPr>
          <w:rFonts w:cs="Courier New"/>
        </w:rPr>
        <w:t xml:space="preserve"> reemphasized the urgent need to prevent the misuse and misappropriation of GRs </w:t>
      </w:r>
      <w:r w:rsidRPr="00874FD7">
        <w:rPr>
          <w:rFonts w:cs="Courier New"/>
        </w:rPr>
        <w:t>and</w:t>
      </w:r>
      <w:r w:rsidR="004211B2" w:rsidRPr="004211B2">
        <w:rPr>
          <w:rFonts w:cs="Courier New"/>
        </w:rPr>
        <w:t xml:space="preserve"> </w:t>
      </w:r>
      <w:r w:rsidR="004211B2" w:rsidRPr="00E94835">
        <w:rPr>
          <w:rFonts w:cs="Courier New"/>
        </w:rPr>
        <w:t>TK</w:t>
      </w:r>
      <w:r w:rsidR="004211B2">
        <w:rPr>
          <w:rFonts w:cs="Courier New"/>
        </w:rPr>
        <w:t xml:space="preserve"> associated with GRs</w:t>
      </w:r>
      <w:r w:rsidRPr="00874FD7">
        <w:rPr>
          <w:rFonts w:cs="Courier New"/>
        </w:rPr>
        <w:t>.  A</w:t>
      </w:r>
      <w:r w:rsidRPr="00037010">
        <w:rPr>
          <w:rFonts w:cs="Courier New"/>
        </w:rPr>
        <w:t xml:space="preserve"> legally binding instrument could prevent and tackle the transnational problems through a full compliance mechanism.</w:t>
      </w:r>
    </w:p>
    <w:p w:rsidR="001D70EE" w:rsidRPr="001D70EE" w:rsidRDefault="001D70EE" w:rsidP="001D70EE">
      <w:pPr>
        <w:pStyle w:val="ListParagraph"/>
        <w:ind w:left="0"/>
      </w:pPr>
    </w:p>
    <w:p w:rsidR="00313772" w:rsidRPr="00313772" w:rsidRDefault="001D70EE" w:rsidP="00310121">
      <w:pPr>
        <w:pStyle w:val="ListParagraph"/>
        <w:numPr>
          <w:ilvl w:val="0"/>
          <w:numId w:val="4"/>
        </w:numPr>
        <w:ind w:left="0" w:firstLine="0"/>
      </w:pPr>
      <w:r w:rsidRPr="001D70EE">
        <w:rPr>
          <w:rFonts w:cs="Courier New"/>
        </w:rPr>
        <w:t xml:space="preserve">The representative of </w:t>
      </w:r>
      <w:r w:rsidR="00135475">
        <w:rPr>
          <w:rFonts w:cs="Courier New"/>
        </w:rPr>
        <w:t xml:space="preserve">the </w:t>
      </w:r>
      <w:r w:rsidR="00135475" w:rsidRPr="001D70EE">
        <w:rPr>
          <w:rFonts w:cs="Courier New"/>
        </w:rPr>
        <w:t>Tebtebba</w:t>
      </w:r>
      <w:r w:rsidR="00135475" w:rsidRPr="00BE2A58">
        <w:rPr>
          <w:szCs w:val="22"/>
        </w:rPr>
        <w:t xml:space="preserve"> </w:t>
      </w:r>
      <w:r w:rsidR="00135475">
        <w:rPr>
          <w:szCs w:val="22"/>
        </w:rPr>
        <w:t xml:space="preserve">Foundation, </w:t>
      </w:r>
      <w:r w:rsidRPr="001D70EE">
        <w:rPr>
          <w:rFonts w:cs="Courier New"/>
        </w:rPr>
        <w:t xml:space="preserve">speaking on behalf of the Indigenous Caucus, said </w:t>
      </w:r>
      <w:r w:rsidR="00135475">
        <w:rPr>
          <w:rFonts w:cs="Courier New"/>
        </w:rPr>
        <w:t xml:space="preserve">that </w:t>
      </w:r>
      <w:r w:rsidRPr="001D70EE">
        <w:rPr>
          <w:rFonts w:cs="Courier New"/>
        </w:rPr>
        <w:t xml:space="preserve">she was there not only to defend </w:t>
      </w:r>
      <w:r w:rsidR="0054591A">
        <w:rPr>
          <w:rFonts w:cs="Courier New"/>
        </w:rPr>
        <w:t>indigenous peoples’ rights</w:t>
      </w:r>
      <w:r w:rsidRPr="001D70EE">
        <w:rPr>
          <w:rFonts w:cs="Courier New"/>
        </w:rPr>
        <w:t xml:space="preserve"> </w:t>
      </w:r>
      <w:proofErr w:type="gramStart"/>
      <w:r w:rsidRPr="001D70EE">
        <w:rPr>
          <w:rFonts w:cs="Courier New"/>
        </w:rPr>
        <w:t>but</w:t>
      </w:r>
      <w:proofErr w:type="gramEnd"/>
      <w:r w:rsidRPr="001D70EE">
        <w:rPr>
          <w:rFonts w:cs="Courier New"/>
        </w:rPr>
        <w:t xml:space="preserve"> to defend the rights of all living beings, including the rights of Mother Earth. </w:t>
      </w:r>
      <w:r w:rsidR="0001603C">
        <w:rPr>
          <w:rFonts w:cs="Courier New"/>
        </w:rPr>
        <w:t xml:space="preserve"> </w:t>
      </w:r>
      <w:r w:rsidRPr="001D70EE">
        <w:rPr>
          <w:rFonts w:cs="Courier New"/>
        </w:rPr>
        <w:t xml:space="preserve">The agenda </w:t>
      </w:r>
      <w:r w:rsidR="0001603C">
        <w:rPr>
          <w:rFonts w:cs="Courier New"/>
        </w:rPr>
        <w:t>for</w:t>
      </w:r>
      <w:r w:rsidRPr="001D70EE">
        <w:rPr>
          <w:rFonts w:cs="Courier New"/>
        </w:rPr>
        <w:t xml:space="preserve"> IGC 35 related to GRs and</w:t>
      </w:r>
      <w:r w:rsidR="004211B2" w:rsidRPr="004211B2">
        <w:rPr>
          <w:rFonts w:cs="Courier New"/>
        </w:rPr>
        <w:t xml:space="preserve"> </w:t>
      </w:r>
      <w:r w:rsidR="00135475">
        <w:rPr>
          <w:rFonts w:cs="Courier New"/>
        </w:rPr>
        <w:t>associated TK</w:t>
      </w:r>
      <w:r w:rsidRPr="001D70EE">
        <w:rPr>
          <w:rFonts w:cs="Courier New"/>
        </w:rPr>
        <w:t xml:space="preserve">. </w:t>
      </w:r>
      <w:r w:rsidR="00135475">
        <w:rPr>
          <w:rFonts w:cs="Courier New"/>
        </w:rPr>
        <w:t xml:space="preserve"> </w:t>
      </w:r>
      <w:r w:rsidRPr="001D70EE">
        <w:rPr>
          <w:rFonts w:cs="Courier New"/>
        </w:rPr>
        <w:t xml:space="preserve">However, those were </w:t>
      </w:r>
      <w:r w:rsidR="0001603C">
        <w:rPr>
          <w:rFonts w:cs="Courier New"/>
        </w:rPr>
        <w:t xml:space="preserve">not </w:t>
      </w:r>
      <w:r w:rsidR="00964DCC">
        <w:rPr>
          <w:rFonts w:cs="Courier New"/>
        </w:rPr>
        <w:t>indigenous peoples’</w:t>
      </w:r>
      <w:r w:rsidRPr="001D70EE">
        <w:rPr>
          <w:rFonts w:cs="Courier New"/>
        </w:rPr>
        <w:t xml:space="preserve"> words, not their concepts. </w:t>
      </w:r>
      <w:r w:rsidR="00135475">
        <w:rPr>
          <w:rFonts w:cs="Courier New"/>
        </w:rPr>
        <w:t xml:space="preserve"> </w:t>
      </w:r>
      <w:r w:rsidRPr="001D70EE">
        <w:rPr>
          <w:rFonts w:cs="Courier New"/>
        </w:rPr>
        <w:t xml:space="preserve">They not only had rights, </w:t>
      </w:r>
      <w:r w:rsidR="00135475">
        <w:rPr>
          <w:rFonts w:cs="Courier New"/>
        </w:rPr>
        <w:t xml:space="preserve">but also </w:t>
      </w:r>
      <w:r w:rsidRPr="001D70EE">
        <w:rPr>
          <w:rFonts w:cs="Courier New"/>
        </w:rPr>
        <w:t xml:space="preserve">had obligations to take care of </w:t>
      </w:r>
      <w:r w:rsidR="0001603C">
        <w:rPr>
          <w:rFonts w:cs="Courier New"/>
        </w:rPr>
        <w:t>all of their relations, and th</w:t>
      </w:r>
      <w:r w:rsidRPr="001D70EE">
        <w:rPr>
          <w:rFonts w:cs="Courier New"/>
        </w:rPr>
        <w:t xml:space="preserve">e negotiations touched upon every aspect of their life ways and identity. </w:t>
      </w:r>
      <w:r w:rsidR="0001603C">
        <w:rPr>
          <w:rFonts w:cs="Courier New"/>
        </w:rPr>
        <w:t xml:space="preserve"> </w:t>
      </w:r>
      <w:r w:rsidRPr="00CB2BBA">
        <w:rPr>
          <w:rFonts w:cs="Courier New"/>
        </w:rPr>
        <w:t xml:space="preserve">While there </w:t>
      </w:r>
      <w:proofErr w:type="gramStart"/>
      <w:r w:rsidRPr="00CB2BBA">
        <w:rPr>
          <w:rFonts w:cs="Courier New"/>
        </w:rPr>
        <w:t>was value in discussing improvements that could b</w:t>
      </w:r>
      <w:r w:rsidR="0001603C" w:rsidRPr="00CB2BBA">
        <w:rPr>
          <w:rFonts w:cs="Courier New"/>
        </w:rPr>
        <w:t>e made to the patent system, th</w:t>
      </w:r>
      <w:r w:rsidRPr="00CB2BBA">
        <w:rPr>
          <w:rFonts w:cs="Courier New"/>
        </w:rPr>
        <w:t xml:space="preserve">e negotiations </w:t>
      </w:r>
      <w:r w:rsidR="0001603C" w:rsidRPr="00CB2BBA">
        <w:rPr>
          <w:rFonts w:cs="Courier New"/>
        </w:rPr>
        <w:t>had to</w:t>
      </w:r>
      <w:r w:rsidRPr="00CB2BBA">
        <w:rPr>
          <w:rFonts w:cs="Courier New"/>
        </w:rPr>
        <w:t xml:space="preserve"> be founded</w:t>
      </w:r>
      <w:proofErr w:type="gramEnd"/>
      <w:r w:rsidRPr="00CB2BBA">
        <w:rPr>
          <w:rFonts w:cs="Courier New"/>
        </w:rPr>
        <w:t xml:space="preserve"> on a rights-based approach that recognized a</w:t>
      </w:r>
      <w:r w:rsidR="0087642F">
        <w:rPr>
          <w:rFonts w:cs="Courier New"/>
        </w:rPr>
        <w:t>nd respected indigenous peoples’</w:t>
      </w:r>
      <w:r w:rsidRPr="00CB2BBA">
        <w:rPr>
          <w:rFonts w:cs="Courier New"/>
        </w:rPr>
        <w:t xml:space="preserve"> rights acknowledged under all relevant international instruments, including the </w:t>
      </w:r>
      <w:r w:rsidR="00874FD7" w:rsidRPr="00CB2BBA">
        <w:rPr>
          <w:rFonts w:cs="Courier New"/>
        </w:rPr>
        <w:t>UN</w:t>
      </w:r>
      <w:r w:rsidR="00CF500F">
        <w:rPr>
          <w:rFonts w:cs="Courier New"/>
        </w:rPr>
        <w:t> </w:t>
      </w:r>
      <w:r w:rsidRPr="00CB2BBA">
        <w:rPr>
          <w:rFonts w:cs="Courier New"/>
        </w:rPr>
        <w:t>Declaration on the Rights of Indigenous Peoples (</w:t>
      </w:r>
      <w:r w:rsidR="0087642F">
        <w:rPr>
          <w:rFonts w:cs="Courier New"/>
        </w:rPr>
        <w:t>“</w:t>
      </w:r>
      <w:r w:rsidRPr="00CB2BBA">
        <w:rPr>
          <w:rFonts w:cs="Courier New"/>
        </w:rPr>
        <w:t>UNDRIP</w:t>
      </w:r>
      <w:r w:rsidR="0087642F">
        <w:rPr>
          <w:rFonts w:cs="Courier New"/>
        </w:rPr>
        <w:t>”</w:t>
      </w:r>
      <w:r w:rsidRPr="00CB2BBA">
        <w:rPr>
          <w:rFonts w:cs="Courier New"/>
        </w:rPr>
        <w:t xml:space="preserve">). </w:t>
      </w:r>
      <w:r w:rsidR="0001603C" w:rsidRPr="00CB2BBA">
        <w:rPr>
          <w:rFonts w:cs="Courier New"/>
        </w:rPr>
        <w:t xml:space="preserve"> She was not just </w:t>
      </w:r>
      <w:r w:rsidRPr="00CB2BBA">
        <w:rPr>
          <w:rFonts w:cs="Courier New"/>
        </w:rPr>
        <w:t>seeking to improve the patent system</w:t>
      </w:r>
      <w:proofErr w:type="gramStart"/>
      <w:r w:rsidRPr="00CB2BBA">
        <w:rPr>
          <w:rFonts w:cs="Courier New"/>
        </w:rPr>
        <w:t xml:space="preserve">; </w:t>
      </w:r>
      <w:r w:rsidR="0087642F">
        <w:rPr>
          <w:rFonts w:cs="Courier New"/>
        </w:rPr>
        <w:t xml:space="preserve"> </w:t>
      </w:r>
      <w:r w:rsidRPr="00CB2BBA">
        <w:rPr>
          <w:rFonts w:cs="Courier New"/>
        </w:rPr>
        <w:t>rather</w:t>
      </w:r>
      <w:proofErr w:type="gramEnd"/>
      <w:r w:rsidRPr="00CB2BBA">
        <w:rPr>
          <w:rFonts w:cs="Courier New"/>
        </w:rPr>
        <w:t xml:space="preserve"> she was concerned with advancing the recognition of indigenous peoples’ rights over GRs and associated TK.  She called for continuing discussions of t</w:t>
      </w:r>
      <w:r w:rsidR="0087642F">
        <w:rPr>
          <w:rFonts w:cs="Courier New"/>
        </w:rPr>
        <w:t>he status of indigenous peoples’</w:t>
      </w:r>
      <w:r w:rsidRPr="00CB2BBA">
        <w:rPr>
          <w:rFonts w:cs="Courier New"/>
        </w:rPr>
        <w:t xml:space="preserve"> property rights under all relevant international instruments in relation to the IP system.  All such instruments had to operate in a holistic way to support their rights. </w:t>
      </w:r>
      <w:r w:rsidR="0001603C" w:rsidRPr="00CB2BBA">
        <w:rPr>
          <w:rFonts w:cs="Courier New"/>
        </w:rPr>
        <w:t xml:space="preserve"> </w:t>
      </w:r>
      <w:r w:rsidRPr="00CB2BBA">
        <w:rPr>
          <w:rFonts w:cs="Courier New"/>
        </w:rPr>
        <w:t>She supported the</w:t>
      </w:r>
      <w:r w:rsidRPr="001D70EE">
        <w:rPr>
          <w:rFonts w:cs="Courier New"/>
        </w:rPr>
        <w:t xml:space="preserve"> inclusion of mandatory disclosure requirements. </w:t>
      </w:r>
      <w:r w:rsidR="0001603C">
        <w:rPr>
          <w:rFonts w:cs="Courier New"/>
        </w:rPr>
        <w:t xml:space="preserve"> </w:t>
      </w:r>
      <w:r w:rsidRPr="001D70EE">
        <w:rPr>
          <w:rFonts w:cs="Courier New"/>
        </w:rPr>
        <w:t xml:space="preserve">Such disclosure </w:t>
      </w:r>
      <w:r w:rsidR="0001603C">
        <w:rPr>
          <w:rFonts w:cs="Courier New"/>
        </w:rPr>
        <w:t>should require</w:t>
      </w:r>
      <w:r w:rsidRPr="001D70EE">
        <w:rPr>
          <w:rFonts w:cs="Courier New"/>
        </w:rPr>
        <w:t xml:space="preserve"> evidence of the free, prior, and informed consent (</w:t>
      </w:r>
      <w:r w:rsidR="0087642F">
        <w:rPr>
          <w:rFonts w:cs="Courier New"/>
        </w:rPr>
        <w:t>“</w:t>
      </w:r>
      <w:r w:rsidRPr="001D70EE">
        <w:rPr>
          <w:rFonts w:cs="Courier New"/>
        </w:rPr>
        <w:t>FPIC</w:t>
      </w:r>
      <w:r w:rsidR="0087642F">
        <w:rPr>
          <w:rFonts w:cs="Courier New"/>
        </w:rPr>
        <w:t>”</w:t>
      </w:r>
      <w:r w:rsidRPr="001D70EE">
        <w:rPr>
          <w:rFonts w:cs="Courier New"/>
        </w:rPr>
        <w:t xml:space="preserve">) of indigenous peoples based upon </w:t>
      </w:r>
      <w:r w:rsidRPr="00874FD7">
        <w:rPr>
          <w:rFonts w:cs="Courier New"/>
        </w:rPr>
        <w:t>MAT</w:t>
      </w:r>
      <w:r w:rsidRPr="001D70EE">
        <w:rPr>
          <w:rFonts w:cs="Courier New"/>
        </w:rPr>
        <w:t xml:space="preserve">. </w:t>
      </w:r>
      <w:r w:rsidR="0001603C">
        <w:rPr>
          <w:rFonts w:cs="Courier New"/>
        </w:rPr>
        <w:t xml:space="preserve"> </w:t>
      </w:r>
      <w:r w:rsidRPr="001D70EE">
        <w:rPr>
          <w:rFonts w:cs="Courier New"/>
        </w:rPr>
        <w:t xml:space="preserve">That requirement had proven workable and effective in the jurisdictions that had it. </w:t>
      </w:r>
      <w:r w:rsidR="0001603C">
        <w:rPr>
          <w:rFonts w:cs="Courier New"/>
        </w:rPr>
        <w:t xml:space="preserve"> </w:t>
      </w:r>
      <w:r w:rsidRPr="001D70EE">
        <w:rPr>
          <w:rFonts w:cs="Courier New"/>
        </w:rPr>
        <w:t xml:space="preserve">She reminded Member States </w:t>
      </w:r>
      <w:r w:rsidR="00201435">
        <w:rPr>
          <w:rFonts w:cs="Courier New"/>
        </w:rPr>
        <w:t xml:space="preserve">which were </w:t>
      </w:r>
      <w:r w:rsidRPr="001D70EE">
        <w:rPr>
          <w:rFonts w:cs="Courier New"/>
        </w:rPr>
        <w:t xml:space="preserve">not parties to the Nagoya Protocol that the majority of members in the IGC were parties and that those negotiations and the obligations developed </w:t>
      </w:r>
      <w:r w:rsidR="00E07277">
        <w:rPr>
          <w:rFonts w:cs="Courier New"/>
        </w:rPr>
        <w:t>t</w:t>
      </w:r>
      <w:r w:rsidR="0001603C" w:rsidRPr="001D70EE">
        <w:rPr>
          <w:rFonts w:cs="Courier New"/>
        </w:rPr>
        <w:t>hereunder</w:t>
      </w:r>
      <w:r w:rsidRPr="001D70EE">
        <w:rPr>
          <w:rFonts w:cs="Courier New"/>
        </w:rPr>
        <w:t xml:space="preserve"> </w:t>
      </w:r>
      <w:r w:rsidRPr="00E07277">
        <w:rPr>
          <w:rFonts w:cs="Courier New"/>
        </w:rPr>
        <w:t xml:space="preserve">should not run counter to and indeed had to be mutually supportive of the obligations of those Member States under that instrument. </w:t>
      </w:r>
      <w:r w:rsidR="0001603C" w:rsidRPr="00E07277">
        <w:rPr>
          <w:rFonts w:cs="Courier New"/>
        </w:rPr>
        <w:t xml:space="preserve"> </w:t>
      </w:r>
      <w:r w:rsidRPr="00E07277">
        <w:rPr>
          <w:rFonts w:cs="Courier New"/>
        </w:rPr>
        <w:t xml:space="preserve">On the question of databases, it was not simply a matter of deciding </w:t>
      </w:r>
      <w:proofErr w:type="gramStart"/>
      <w:r w:rsidRPr="00E07277">
        <w:rPr>
          <w:rFonts w:cs="Courier New"/>
        </w:rPr>
        <w:t xml:space="preserve">whether </w:t>
      </w:r>
      <w:r w:rsidR="00620EE8">
        <w:rPr>
          <w:rFonts w:cs="Courier New"/>
        </w:rPr>
        <w:t>or not</w:t>
      </w:r>
      <w:proofErr w:type="gramEnd"/>
      <w:r w:rsidR="00620EE8">
        <w:rPr>
          <w:rFonts w:cs="Courier New"/>
        </w:rPr>
        <w:t xml:space="preserve"> to establish them</w:t>
      </w:r>
      <w:r w:rsidRPr="00E07277">
        <w:rPr>
          <w:rFonts w:cs="Courier New"/>
        </w:rPr>
        <w:t xml:space="preserve">. </w:t>
      </w:r>
      <w:r w:rsidR="0001603C" w:rsidRPr="00E07277">
        <w:rPr>
          <w:rFonts w:cs="Courier New"/>
        </w:rPr>
        <w:t xml:space="preserve"> </w:t>
      </w:r>
      <w:r w:rsidRPr="00E07277">
        <w:rPr>
          <w:rFonts w:cs="Courier New"/>
        </w:rPr>
        <w:t xml:space="preserve">The IGC </w:t>
      </w:r>
      <w:r w:rsidR="0001603C" w:rsidRPr="00E07277">
        <w:rPr>
          <w:rFonts w:cs="Courier New"/>
        </w:rPr>
        <w:t>had to</w:t>
      </w:r>
      <w:r w:rsidRPr="00E07277">
        <w:rPr>
          <w:rFonts w:cs="Courier New"/>
        </w:rPr>
        <w:t xml:space="preserve"> discuss </w:t>
      </w:r>
      <w:r w:rsidR="00620EE8">
        <w:rPr>
          <w:rFonts w:cs="Courier New"/>
        </w:rPr>
        <w:t xml:space="preserve">the </w:t>
      </w:r>
      <w:r w:rsidRPr="00E07277">
        <w:rPr>
          <w:rFonts w:cs="Courier New"/>
        </w:rPr>
        <w:t>details of their nature and scope.</w:t>
      </w:r>
      <w:r w:rsidR="0001603C" w:rsidRPr="00E07277">
        <w:rPr>
          <w:rFonts w:cs="Courier New"/>
        </w:rPr>
        <w:t xml:space="preserve"> </w:t>
      </w:r>
      <w:r w:rsidRPr="00E07277">
        <w:rPr>
          <w:rFonts w:cs="Courier New"/>
        </w:rPr>
        <w:t xml:space="preserve"> That included</w:t>
      </w:r>
      <w:r w:rsidRPr="001D70EE">
        <w:rPr>
          <w:rFonts w:cs="Courier New"/>
        </w:rPr>
        <w:t xml:space="preserve"> the manner in which TK entered them</w:t>
      </w:r>
      <w:proofErr w:type="gramStart"/>
      <w:r w:rsidRPr="001D70EE">
        <w:rPr>
          <w:rFonts w:cs="Courier New"/>
        </w:rPr>
        <w:t xml:space="preserve">; </w:t>
      </w:r>
      <w:r w:rsidR="00620EE8">
        <w:rPr>
          <w:rFonts w:cs="Courier New"/>
        </w:rPr>
        <w:t xml:space="preserve"> </w:t>
      </w:r>
      <w:r w:rsidRPr="001D70EE">
        <w:rPr>
          <w:rFonts w:cs="Courier New"/>
        </w:rPr>
        <w:t>the</w:t>
      </w:r>
      <w:proofErr w:type="gramEnd"/>
      <w:r w:rsidRPr="001D70EE">
        <w:rPr>
          <w:rFonts w:cs="Courier New"/>
        </w:rPr>
        <w:t xml:space="preserve"> rights conferred or not conferred on TK contained within them; </w:t>
      </w:r>
      <w:r w:rsidR="00620EE8">
        <w:rPr>
          <w:rFonts w:cs="Courier New"/>
        </w:rPr>
        <w:t xml:space="preserve"> </w:t>
      </w:r>
      <w:r w:rsidRPr="001D70EE">
        <w:rPr>
          <w:rFonts w:cs="Courier New"/>
        </w:rPr>
        <w:t xml:space="preserve">whether they should be made public or only available to patent officers; and issues related to perpetual safeguards for TK contained in databases. </w:t>
      </w:r>
      <w:r w:rsidR="0001603C">
        <w:rPr>
          <w:rFonts w:cs="Courier New"/>
        </w:rPr>
        <w:t xml:space="preserve"> </w:t>
      </w:r>
      <w:r w:rsidRPr="001D70EE">
        <w:rPr>
          <w:rFonts w:cs="Courier New"/>
        </w:rPr>
        <w:t xml:space="preserve">The TK in such databases, even if it </w:t>
      </w:r>
      <w:proofErr w:type="gramStart"/>
      <w:r w:rsidRPr="001D70EE">
        <w:rPr>
          <w:rFonts w:cs="Courier New"/>
        </w:rPr>
        <w:t>was published</w:t>
      </w:r>
      <w:proofErr w:type="gramEnd"/>
      <w:r w:rsidRPr="001D70EE">
        <w:rPr>
          <w:rFonts w:cs="Courier New"/>
        </w:rPr>
        <w:t>, was evidence of their property rights and not necessarily evidence of TK being in the public domain.</w:t>
      </w:r>
      <w:r w:rsidR="0001603C">
        <w:rPr>
          <w:rFonts w:cs="Courier New"/>
        </w:rPr>
        <w:t xml:space="preserve"> </w:t>
      </w:r>
      <w:r w:rsidRPr="001D70EE">
        <w:rPr>
          <w:rFonts w:cs="Courier New"/>
        </w:rPr>
        <w:t xml:space="preserve"> Further, they </w:t>
      </w:r>
      <w:r w:rsidR="00620EE8">
        <w:rPr>
          <w:rFonts w:cs="Courier New"/>
        </w:rPr>
        <w:t xml:space="preserve">had to </w:t>
      </w:r>
      <w:proofErr w:type="gramStart"/>
      <w:r w:rsidR="00620EE8">
        <w:rPr>
          <w:rFonts w:cs="Courier New"/>
        </w:rPr>
        <w:t>be seen</w:t>
      </w:r>
      <w:proofErr w:type="gramEnd"/>
      <w:r w:rsidR="00620EE8">
        <w:rPr>
          <w:rFonts w:cs="Courier New"/>
        </w:rPr>
        <w:t xml:space="preserve"> as supportive of and complementary to</w:t>
      </w:r>
      <w:r w:rsidRPr="001D70EE">
        <w:rPr>
          <w:rFonts w:cs="Courier New"/>
        </w:rPr>
        <w:t xml:space="preserve"> other measures, such as due diligence and disclosure of origin requirements, and protections for TK should not be dependent on them. </w:t>
      </w:r>
      <w:r w:rsidR="0001603C">
        <w:rPr>
          <w:rFonts w:cs="Courier New"/>
        </w:rPr>
        <w:t xml:space="preserve"> </w:t>
      </w:r>
      <w:r w:rsidRPr="001D70EE">
        <w:rPr>
          <w:rFonts w:cs="Courier New"/>
        </w:rPr>
        <w:t xml:space="preserve">The instrument </w:t>
      </w:r>
      <w:proofErr w:type="gramStart"/>
      <w:r w:rsidRPr="001D70EE">
        <w:rPr>
          <w:rFonts w:cs="Courier New"/>
        </w:rPr>
        <w:t>being negotiated</w:t>
      </w:r>
      <w:proofErr w:type="gramEnd"/>
      <w:r w:rsidRPr="001D70EE">
        <w:rPr>
          <w:rFonts w:cs="Courier New"/>
        </w:rPr>
        <w:t xml:space="preserve"> by the IGC </w:t>
      </w:r>
      <w:r w:rsidR="0001603C">
        <w:rPr>
          <w:rFonts w:cs="Courier New"/>
        </w:rPr>
        <w:t>had to</w:t>
      </w:r>
      <w:r w:rsidR="00620EE8">
        <w:rPr>
          <w:rFonts w:cs="Courier New"/>
        </w:rPr>
        <w:t xml:space="preserve"> include repatriation because</w:t>
      </w:r>
      <w:r w:rsidRPr="001D70EE">
        <w:rPr>
          <w:rFonts w:cs="Courier New"/>
        </w:rPr>
        <w:t xml:space="preserve"> negotiations could not just address future practices related to patent issues. </w:t>
      </w:r>
      <w:r w:rsidR="0001603C">
        <w:rPr>
          <w:rFonts w:cs="Courier New"/>
        </w:rPr>
        <w:t xml:space="preserve"> </w:t>
      </w:r>
      <w:r w:rsidRPr="001D70EE">
        <w:rPr>
          <w:rFonts w:cs="Courier New"/>
        </w:rPr>
        <w:t xml:space="preserve">They also had to address historical misappropriations and wrongdoings. </w:t>
      </w:r>
      <w:r w:rsidR="0001603C">
        <w:rPr>
          <w:rFonts w:cs="Courier New"/>
        </w:rPr>
        <w:t xml:space="preserve"> </w:t>
      </w:r>
      <w:r w:rsidRPr="001D70EE">
        <w:rPr>
          <w:rFonts w:cs="Courier New"/>
        </w:rPr>
        <w:t>Some of the sub</w:t>
      </w:r>
      <w:r w:rsidR="00620EE8">
        <w:rPr>
          <w:rFonts w:cs="Courier New"/>
        </w:rPr>
        <w:t>mission</w:t>
      </w:r>
      <w:r w:rsidR="000E6477">
        <w:rPr>
          <w:rFonts w:cs="Courier New"/>
        </w:rPr>
        <w:t xml:space="preserve">s of members implied to take </w:t>
      </w:r>
      <w:r w:rsidRPr="001D70EE">
        <w:rPr>
          <w:rFonts w:cs="Courier New"/>
        </w:rPr>
        <w:t>those</w:t>
      </w:r>
      <w:r w:rsidR="0001603C">
        <w:rPr>
          <w:rFonts w:cs="Courier New"/>
        </w:rPr>
        <w:t xml:space="preserve"> historical wrongs and lack of S</w:t>
      </w:r>
      <w:r w:rsidRPr="001D70EE">
        <w:rPr>
          <w:rFonts w:cs="Courier New"/>
        </w:rPr>
        <w:t xml:space="preserve">tate recognition of their rights off the table for negotiations. </w:t>
      </w:r>
      <w:r w:rsidR="0001603C">
        <w:rPr>
          <w:rFonts w:cs="Courier New"/>
        </w:rPr>
        <w:t xml:space="preserve"> </w:t>
      </w:r>
      <w:r w:rsidRPr="00F01683">
        <w:rPr>
          <w:rFonts w:cs="Courier New"/>
        </w:rPr>
        <w:t>The la</w:t>
      </w:r>
      <w:r w:rsidR="0001603C" w:rsidRPr="00F01683">
        <w:rPr>
          <w:rFonts w:cs="Courier New"/>
        </w:rPr>
        <w:t xml:space="preserve">ck of </w:t>
      </w:r>
      <w:r w:rsidRPr="00F01683">
        <w:rPr>
          <w:rFonts w:cs="Courier New"/>
        </w:rPr>
        <w:t>recognition</w:t>
      </w:r>
      <w:r w:rsidR="00F01683" w:rsidRPr="00F01683">
        <w:rPr>
          <w:rFonts w:cs="Courier New"/>
        </w:rPr>
        <w:t xml:space="preserve"> by the States</w:t>
      </w:r>
      <w:r w:rsidRPr="00F01683">
        <w:rPr>
          <w:rFonts w:cs="Courier New"/>
        </w:rPr>
        <w:t xml:space="preserve"> did not make those wrongs disappear, and the instrument must not allow past injustices.  On the procedural matter of the establishment of expert groups, she was generally supportive of having an </w:t>
      </w:r>
      <w:r w:rsidRPr="00F01683">
        <w:rPr>
          <w:rFonts w:cs="Courier New"/>
          <w:i/>
        </w:rPr>
        <w:t>ad hoc</w:t>
      </w:r>
      <w:r w:rsidRPr="00F01683">
        <w:rPr>
          <w:rFonts w:cs="Courier New"/>
        </w:rPr>
        <w:t xml:space="preserve"> expert group, as that could potentially speed up negotiations by unlocking contentious issues.  However, indigenous peoples’ full and effective participation had to </w:t>
      </w:r>
      <w:proofErr w:type="gramStart"/>
      <w:r w:rsidRPr="00F01683">
        <w:rPr>
          <w:rFonts w:cs="Courier New"/>
        </w:rPr>
        <w:t>be ensured</w:t>
      </w:r>
      <w:proofErr w:type="gramEnd"/>
      <w:r w:rsidRPr="00F01683">
        <w:rPr>
          <w:rFonts w:cs="Courier New"/>
        </w:rPr>
        <w:t xml:space="preserve"> in that group with the proper funding support from Member States and WIPO. </w:t>
      </w:r>
      <w:r w:rsidR="0001603C" w:rsidRPr="00F01683">
        <w:rPr>
          <w:rFonts w:cs="Courier New"/>
        </w:rPr>
        <w:t xml:space="preserve"> </w:t>
      </w:r>
      <w:r w:rsidRPr="00F01683">
        <w:rPr>
          <w:rFonts w:cs="Courier New"/>
        </w:rPr>
        <w:t xml:space="preserve">The Voluntary Fund </w:t>
      </w:r>
      <w:proofErr w:type="gramStart"/>
      <w:r w:rsidRPr="00F01683">
        <w:rPr>
          <w:rFonts w:cs="Courier New"/>
        </w:rPr>
        <w:t>was depleted</w:t>
      </w:r>
      <w:proofErr w:type="gramEnd"/>
      <w:r w:rsidRPr="001D70EE">
        <w:rPr>
          <w:rFonts w:cs="Courier New"/>
        </w:rPr>
        <w:t xml:space="preserve"> and did not allow for full participation in coming IGC sessions.  She thanked countries that had contributed to the Voluntary Fund and encouraged others to contribute to ensure continued participation of indigenous peoples in the work of the IGC. </w:t>
      </w:r>
      <w:r w:rsidR="0001603C">
        <w:rPr>
          <w:rFonts w:cs="Courier New"/>
        </w:rPr>
        <w:t xml:space="preserve"> </w:t>
      </w:r>
      <w:r w:rsidRPr="001D70EE">
        <w:rPr>
          <w:rFonts w:cs="Courier New"/>
        </w:rPr>
        <w:t>As the negotiations at the IGC dragged on</w:t>
      </w:r>
      <w:r w:rsidR="00F01683">
        <w:rPr>
          <w:rFonts w:cs="Courier New"/>
        </w:rPr>
        <w:t>,</w:t>
      </w:r>
      <w:r w:rsidRPr="001D70EE">
        <w:rPr>
          <w:rFonts w:cs="Courier New"/>
        </w:rPr>
        <w:t xml:space="preserve"> she felt a growing sense of urgency.  While the </w:t>
      </w:r>
      <w:r w:rsidR="0054591A">
        <w:rPr>
          <w:rFonts w:cs="Courier New"/>
        </w:rPr>
        <w:t>IGC</w:t>
      </w:r>
      <w:r w:rsidRPr="001D70EE">
        <w:rPr>
          <w:rFonts w:cs="Courier New"/>
        </w:rPr>
        <w:t xml:space="preserve"> continued negotiations year after year, the theft of GRs and associated TK continued unabated. </w:t>
      </w:r>
      <w:r w:rsidR="0001603C">
        <w:rPr>
          <w:rFonts w:cs="Courier New"/>
        </w:rPr>
        <w:t xml:space="preserve"> </w:t>
      </w:r>
      <w:r w:rsidRPr="001D70EE">
        <w:rPr>
          <w:rFonts w:cs="Courier New"/>
        </w:rPr>
        <w:t xml:space="preserve">The work of the IGC </w:t>
      </w:r>
      <w:proofErr w:type="gramStart"/>
      <w:r w:rsidRPr="001D70EE">
        <w:rPr>
          <w:rFonts w:cs="Courier New"/>
        </w:rPr>
        <w:t>should be concluded</w:t>
      </w:r>
      <w:proofErr w:type="gramEnd"/>
      <w:r w:rsidRPr="001D70EE">
        <w:rPr>
          <w:rFonts w:cs="Courier New"/>
        </w:rPr>
        <w:t xml:space="preserve"> soon, with a deadline set for its work, in order to prevent ongoing injustices.</w:t>
      </w:r>
    </w:p>
    <w:p w:rsidR="00313772" w:rsidRPr="00313772" w:rsidRDefault="00313772" w:rsidP="00313772">
      <w:pPr>
        <w:pStyle w:val="ListParagraph"/>
        <w:ind w:left="0"/>
      </w:pPr>
    </w:p>
    <w:p w:rsidR="000274E6" w:rsidRPr="000274E6" w:rsidRDefault="00313772" w:rsidP="00310121">
      <w:pPr>
        <w:pStyle w:val="ListParagraph"/>
        <w:numPr>
          <w:ilvl w:val="0"/>
          <w:numId w:val="4"/>
        </w:numPr>
        <w:ind w:left="0" w:firstLine="0"/>
      </w:pPr>
      <w:r w:rsidRPr="00313772">
        <w:rPr>
          <w:rFonts w:cs="Courier New"/>
        </w:rPr>
        <w:t>[Note from the Secretariat:</w:t>
      </w:r>
      <w:r w:rsidR="0075612C">
        <w:rPr>
          <w:rFonts w:cs="Courier New"/>
        </w:rPr>
        <w:t xml:space="preserve"> </w:t>
      </w:r>
      <w:r w:rsidRPr="00313772">
        <w:rPr>
          <w:rFonts w:cs="Courier New"/>
        </w:rPr>
        <w:t xml:space="preserve"> the following opening statements </w:t>
      </w:r>
      <w:proofErr w:type="gramStart"/>
      <w:r w:rsidRPr="00313772">
        <w:rPr>
          <w:rFonts w:cs="Courier New"/>
        </w:rPr>
        <w:t>were submitted</w:t>
      </w:r>
      <w:proofErr w:type="gramEnd"/>
      <w:r w:rsidRPr="00313772">
        <w:rPr>
          <w:rFonts w:cs="Courier New"/>
        </w:rPr>
        <w:t xml:space="preserve"> to the Secretariat in writing only.]</w:t>
      </w:r>
      <w:r>
        <w:rPr>
          <w:rFonts w:cs="Courier New"/>
        </w:rPr>
        <w:t xml:space="preserve"> </w:t>
      </w:r>
      <w:r w:rsidR="000274E6">
        <w:rPr>
          <w:rFonts w:cs="Courier New"/>
        </w:rPr>
        <w:t xml:space="preserve"> </w:t>
      </w:r>
      <w:r w:rsidRPr="00313772">
        <w:rPr>
          <w:rFonts w:cs="Courier New"/>
        </w:rPr>
        <w:t>The Delegation of Colom</w:t>
      </w:r>
      <w:r w:rsidR="000274E6">
        <w:rPr>
          <w:rFonts w:cs="Courier New"/>
        </w:rPr>
        <w:t xml:space="preserve">bia </w:t>
      </w:r>
      <w:r w:rsidR="000274E6" w:rsidRPr="000274E6">
        <w:rPr>
          <w:rFonts w:eastAsia="Times New Roman"/>
        </w:rPr>
        <w:t xml:space="preserve">recognized, as an important precedent, the collective effort made by Member States at the </w:t>
      </w:r>
      <w:r w:rsidR="00F01683">
        <w:rPr>
          <w:rFonts w:eastAsia="Times New Roman"/>
        </w:rPr>
        <w:t>GA in 2017</w:t>
      </w:r>
      <w:r w:rsidR="000274E6" w:rsidRPr="000274E6">
        <w:rPr>
          <w:rFonts w:eastAsia="Times New Roman"/>
        </w:rPr>
        <w:t xml:space="preserve"> in renewing the IGC</w:t>
      </w:r>
      <w:r w:rsidR="00F01683">
        <w:rPr>
          <w:rFonts w:eastAsia="Times New Roman"/>
        </w:rPr>
        <w:t>’s</w:t>
      </w:r>
      <w:r w:rsidR="000274E6" w:rsidRPr="000274E6">
        <w:rPr>
          <w:rFonts w:eastAsia="Times New Roman"/>
        </w:rPr>
        <w:t xml:space="preserve"> mandate with a view to advancing and finalizing negotiations to reach </w:t>
      </w:r>
      <w:r w:rsidR="00F01683">
        <w:rPr>
          <w:rFonts w:eastAsia="Times New Roman"/>
        </w:rPr>
        <w:t xml:space="preserve">an </w:t>
      </w:r>
      <w:r w:rsidR="000274E6" w:rsidRPr="000274E6">
        <w:rPr>
          <w:rFonts w:eastAsia="Times New Roman"/>
        </w:rPr>
        <w:t xml:space="preserve">agreement on one or more </w:t>
      </w:r>
      <w:r w:rsidR="000274E6" w:rsidRPr="000274E6">
        <w:rPr>
          <w:rFonts w:eastAsia="Times New Roman"/>
        </w:rPr>
        <w:lastRenderedPageBreak/>
        <w:t xml:space="preserve">instruments.  It stressed the importance of expediting the </w:t>
      </w:r>
      <w:r w:rsidR="000A69B3">
        <w:rPr>
          <w:rFonts w:eastAsia="Times New Roman"/>
        </w:rPr>
        <w:t xml:space="preserve">IGC’s </w:t>
      </w:r>
      <w:r w:rsidR="000274E6" w:rsidRPr="000274E6">
        <w:rPr>
          <w:rFonts w:eastAsia="Times New Roman"/>
        </w:rPr>
        <w:t>work by focusing on text-based negotiations, according to the mandate.  Welcoming the statement made by the Delegation of Ecuador</w:t>
      </w:r>
      <w:r w:rsidR="000A69B3">
        <w:rPr>
          <w:rFonts w:eastAsia="Times New Roman"/>
        </w:rPr>
        <w:t>,</w:t>
      </w:r>
      <w:r w:rsidR="000274E6" w:rsidRPr="000274E6">
        <w:rPr>
          <w:rFonts w:eastAsia="Times New Roman"/>
        </w:rPr>
        <w:t xml:space="preserve"> on behalf of GRULAC, it emphasized that the IGC should focus its discussions on the consideration of unresolved issues for an effective and balanced protection of GRs, TK and TCEs.  It </w:t>
      </w:r>
      <w:r w:rsidR="000A69B3">
        <w:rPr>
          <w:rFonts w:eastAsia="Times New Roman"/>
        </w:rPr>
        <w:t>wished</w:t>
      </w:r>
      <w:r w:rsidR="000274E6" w:rsidRPr="000274E6">
        <w:rPr>
          <w:rFonts w:eastAsia="Times New Roman"/>
        </w:rPr>
        <w:t xml:space="preserve"> to achieve consensus by the end of the current mandate.  The fundamental components of a possible instrument </w:t>
      </w:r>
      <w:r w:rsidR="000274E6">
        <w:rPr>
          <w:rFonts w:eastAsia="Times New Roman"/>
        </w:rPr>
        <w:t xml:space="preserve">had </w:t>
      </w:r>
      <w:proofErr w:type="gramStart"/>
      <w:r w:rsidR="000274E6">
        <w:rPr>
          <w:rFonts w:eastAsia="Times New Roman"/>
        </w:rPr>
        <w:t>to</w:t>
      </w:r>
      <w:r w:rsidR="000274E6" w:rsidRPr="000274E6">
        <w:rPr>
          <w:rFonts w:eastAsia="Times New Roman"/>
        </w:rPr>
        <w:t xml:space="preserve"> necessarily include</w:t>
      </w:r>
      <w:proofErr w:type="gramEnd"/>
      <w:r w:rsidR="000274E6" w:rsidRPr="000274E6">
        <w:rPr>
          <w:rFonts w:eastAsia="Times New Roman"/>
        </w:rPr>
        <w:t xml:space="preserve"> the requirement of disclosure of origin, contributing to the transparency and effectiveness of the patent system and avoiding the erroneous granting of patents with respect to the protection of GRs and associated TK.  Colombia was a megadiverse and multicultural country.  It highlighted the importance of the IGC, where dialogue and the exploration of common ground were imperative for reaching agreements, which had to result in sustainable growth and</w:t>
      </w:r>
      <w:r w:rsidR="00CF500F">
        <w:rPr>
          <w:rFonts w:eastAsia="Times New Roman"/>
        </w:rPr>
        <w:t xml:space="preserve"> the implementation of the 2030 </w:t>
      </w:r>
      <w:r w:rsidR="00D7657E">
        <w:rPr>
          <w:rFonts w:eastAsia="Times New Roman"/>
        </w:rPr>
        <w:t xml:space="preserve">Sustainable Development </w:t>
      </w:r>
      <w:r w:rsidR="000274E6" w:rsidRPr="000274E6">
        <w:rPr>
          <w:rFonts w:eastAsia="Times New Roman"/>
        </w:rPr>
        <w:t>Agenda.</w:t>
      </w:r>
    </w:p>
    <w:p w:rsidR="00313772" w:rsidRPr="00313772" w:rsidRDefault="00313772" w:rsidP="00313772">
      <w:pPr>
        <w:rPr>
          <w:rFonts w:cs="Courier New"/>
        </w:rPr>
      </w:pPr>
    </w:p>
    <w:p w:rsidR="00CF593F" w:rsidRPr="00CF593F" w:rsidRDefault="004A6634" w:rsidP="00310121">
      <w:pPr>
        <w:pStyle w:val="ListParagraph"/>
        <w:numPr>
          <w:ilvl w:val="0"/>
          <w:numId w:val="4"/>
        </w:numPr>
        <w:ind w:left="0" w:firstLine="0"/>
      </w:pPr>
      <w:r>
        <w:rPr>
          <w:rFonts w:cs="Courier New"/>
        </w:rPr>
        <w:t xml:space="preserve">The Delegation of Tunisia </w:t>
      </w:r>
      <w:r w:rsidRPr="004A6634">
        <w:rPr>
          <w:rFonts w:cstheme="minorBidi"/>
        </w:rPr>
        <w:t>endorsed the statement made by the Delegation of Morocco</w:t>
      </w:r>
      <w:r w:rsidR="00C2021F">
        <w:rPr>
          <w:rFonts w:cstheme="minorBidi"/>
        </w:rPr>
        <w:t>,</w:t>
      </w:r>
      <w:r w:rsidRPr="004A6634">
        <w:rPr>
          <w:rFonts w:cstheme="minorBidi"/>
        </w:rPr>
        <w:t xml:space="preserve"> on behalf of the African Group.  </w:t>
      </w:r>
      <w:r w:rsidRPr="002B0574">
        <w:t>It</w:t>
      </w:r>
      <w:r w:rsidRPr="004A6634">
        <w:rPr>
          <w:rFonts w:cstheme="minorBidi"/>
        </w:rPr>
        <w:t xml:space="preserve"> expressed its deep satisfaction at the renewal of the IGC mandate by the WIPO </w:t>
      </w:r>
      <w:r w:rsidR="00C2021F">
        <w:rPr>
          <w:rFonts w:cstheme="minorBidi"/>
        </w:rPr>
        <w:t>GA</w:t>
      </w:r>
      <w:r w:rsidRPr="004A6634">
        <w:rPr>
          <w:rFonts w:cstheme="minorBidi"/>
        </w:rPr>
        <w:t xml:space="preserve"> for the 2018-2019 </w:t>
      </w:r>
      <w:proofErr w:type="gramStart"/>
      <w:r w:rsidRPr="004A6634">
        <w:rPr>
          <w:rFonts w:cstheme="minorBidi"/>
        </w:rPr>
        <w:t>biennium</w:t>
      </w:r>
      <w:proofErr w:type="gramEnd"/>
      <w:r w:rsidRPr="004A6634">
        <w:rPr>
          <w:rFonts w:cstheme="minorBidi"/>
        </w:rPr>
        <w:t>.  That provided an opportunity to move forward and make progress in drawing up normative texts designed to guarantee balanced and effective protection of GRs, TK and TCEs.</w:t>
      </w:r>
      <w:r>
        <w:rPr>
          <w:rFonts w:cstheme="minorBidi"/>
        </w:rPr>
        <w:t xml:space="preserve"> </w:t>
      </w:r>
      <w:r w:rsidRPr="004A6634">
        <w:rPr>
          <w:rFonts w:cstheme="minorBidi"/>
        </w:rPr>
        <w:t xml:space="preserve"> </w:t>
      </w:r>
      <w:r w:rsidRPr="003161F2">
        <w:rPr>
          <w:rFonts w:cstheme="minorBidi"/>
        </w:rPr>
        <w:t xml:space="preserve">It acknowledged the importance </w:t>
      </w:r>
      <w:r w:rsidR="003161F2" w:rsidRPr="003161F2">
        <w:rPr>
          <w:rFonts w:cstheme="minorBidi"/>
        </w:rPr>
        <w:t>of the IGC’s work</w:t>
      </w:r>
      <w:r w:rsidRPr="003161F2">
        <w:rPr>
          <w:rFonts w:cstheme="minorBidi"/>
        </w:rPr>
        <w:t>.  The adopted work program was a road map for the achievement of objectives assigned for</w:t>
      </w:r>
      <w:r w:rsidR="003161F2" w:rsidRPr="003161F2">
        <w:rPr>
          <w:rFonts w:cstheme="minorBidi"/>
        </w:rPr>
        <w:t xml:space="preserve"> the biennium.  The IGC’s work</w:t>
      </w:r>
      <w:r w:rsidRPr="003161F2">
        <w:rPr>
          <w:rFonts w:cstheme="minorBidi"/>
        </w:rPr>
        <w:t xml:space="preserve"> should take into account and build upon activities already carried out.  The IGC should strive to reduce and allay any divergences in order to reach </w:t>
      </w:r>
      <w:r w:rsidR="003161F2" w:rsidRPr="003161F2">
        <w:rPr>
          <w:rFonts w:cstheme="minorBidi"/>
        </w:rPr>
        <w:t xml:space="preserve">an </w:t>
      </w:r>
      <w:r w:rsidRPr="003161F2">
        <w:rPr>
          <w:rFonts w:cstheme="minorBidi"/>
        </w:rPr>
        <w:t xml:space="preserve">agreement, on a consensual basis, on </w:t>
      </w:r>
      <w:r w:rsidR="003161F2" w:rsidRPr="003161F2">
        <w:rPr>
          <w:rFonts w:cstheme="minorBidi"/>
        </w:rPr>
        <w:t xml:space="preserve">the </w:t>
      </w:r>
      <w:r w:rsidRPr="003161F2">
        <w:rPr>
          <w:rFonts w:cstheme="minorBidi"/>
        </w:rPr>
        <w:t>core issues.  It reiterated its interest in the issues placed on the IGC’</w:t>
      </w:r>
      <w:r w:rsidR="00964DCC">
        <w:rPr>
          <w:rFonts w:cstheme="minorBidi"/>
        </w:rPr>
        <w:t>s</w:t>
      </w:r>
      <w:r w:rsidR="00CF500F">
        <w:rPr>
          <w:rFonts w:cstheme="minorBidi"/>
        </w:rPr>
        <w:t> </w:t>
      </w:r>
      <w:r w:rsidRPr="003161F2">
        <w:rPr>
          <w:rFonts w:cstheme="minorBidi"/>
        </w:rPr>
        <w:t xml:space="preserve">agenda.  The draft program and methodology prepared by the Chair provided a firm basis on which to initiate discussions during the first series of sessions </w:t>
      </w:r>
      <w:r w:rsidR="003161F2" w:rsidRPr="003161F2">
        <w:rPr>
          <w:rFonts w:cstheme="minorBidi"/>
        </w:rPr>
        <w:t>on GRs</w:t>
      </w:r>
      <w:r w:rsidRPr="003161F2">
        <w:rPr>
          <w:rFonts w:cstheme="minorBidi"/>
        </w:rPr>
        <w:t>.  It highlighted the importance of recognizing the maturity of the discussions relating to the three thematic areas addressed.  It hoped that the work would lead to the convening of a diplomatic conference on GRs in 2019, bearing in mind that the draft normative text in question was in a highly advanced state.  T</w:t>
      </w:r>
      <w:r w:rsidRPr="004A6634">
        <w:rPr>
          <w:rFonts w:cstheme="minorBidi"/>
        </w:rPr>
        <w:t xml:space="preserve">he scheduling of three meetings of experts to examine outstanding issues, along with the three sessions of the IGC, was useful.  The </w:t>
      </w:r>
      <w:r w:rsidRPr="003161F2">
        <w:rPr>
          <w:rFonts w:cstheme="minorBidi"/>
          <w:i/>
        </w:rPr>
        <w:t xml:space="preserve">ad </w:t>
      </w:r>
      <w:r w:rsidRPr="004A6634">
        <w:rPr>
          <w:rFonts w:cstheme="minorBidi"/>
          <w:i/>
        </w:rPr>
        <w:t>hoc</w:t>
      </w:r>
      <w:r w:rsidRPr="004A6634">
        <w:rPr>
          <w:rFonts w:cstheme="minorBidi"/>
        </w:rPr>
        <w:t xml:space="preserve"> expert group would make a substantial contribution towards the progress of the</w:t>
      </w:r>
      <w:r>
        <w:rPr>
          <w:rFonts w:cstheme="minorBidi"/>
        </w:rPr>
        <w:t xml:space="preserve"> IGC’s</w:t>
      </w:r>
      <w:r w:rsidRPr="004A6634">
        <w:rPr>
          <w:rFonts w:cstheme="minorBidi"/>
        </w:rPr>
        <w:t xml:space="preserve"> work.  It would be appropriate to request that the 2018 </w:t>
      </w:r>
      <w:r w:rsidR="003161F2">
        <w:rPr>
          <w:rFonts w:cstheme="minorBidi"/>
        </w:rPr>
        <w:t>GA</w:t>
      </w:r>
      <w:r w:rsidRPr="004A6634">
        <w:rPr>
          <w:rFonts w:cstheme="minorBidi"/>
        </w:rPr>
        <w:t xml:space="preserve"> carry out an assessment of the progress </w:t>
      </w:r>
      <w:r w:rsidR="003161F2">
        <w:rPr>
          <w:rFonts w:cstheme="minorBidi"/>
        </w:rPr>
        <w:t>made</w:t>
      </w:r>
      <w:r w:rsidRPr="004A6634">
        <w:rPr>
          <w:rFonts w:cstheme="minorBidi"/>
        </w:rPr>
        <w:t xml:space="preserve"> on TK and TCEs and decide whether</w:t>
      </w:r>
      <w:r>
        <w:rPr>
          <w:rFonts w:cstheme="minorBidi"/>
        </w:rPr>
        <w:t xml:space="preserve"> </w:t>
      </w:r>
      <w:r w:rsidRPr="004A6634">
        <w:rPr>
          <w:rFonts w:cstheme="minorBidi"/>
        </w:rPr>
        <w:t>to convene a diplomatic conference or to continue negotiations.</w:t>
      </w:r>
    </w:p>
    <w:p w:rsidR="00CF593F" w:rsidRPr="00CF593F" w:rsidRDefault="00CF593F" w:rsidP="00CF593F">
      <w:pPr>
        <w:rPr>
          <w:rFonts w:cs="Courier New"/>
        </w:rPr>
      </w:pPr>
    </w:p>
    <w:p w:rsidR="00703872" w:rsidRPr="00703872" w:rsidRDefault="00CF593F" w:rsidP="00310121">
      <w:pPr>
        <w:pStyle w:val="ListParagraph"/>
        <w:numPr>
          <w:ilvl w:val="0"/>
          <w:numId w:val="4"/>
        </w:numPr>
        <w:ind w:left="0" w:firstLine="0"/>
      </w:pPr>
      <w:r w:rsidRPr="00CF593F">
        <w:rPr>
          <w:rFonts w:cs="Courier New"/>
        </w:rPr>
        <w:t>The Delegation of the Republic of Korea said that, like many Member St</w:t>
      </w:r>
      <w:r w:rsidR="005438B7">
        <w:rPr>
          <w:rFonts w:cs="Courier New"/>
        </w:rPr>
        <w:t>ates of the Asia</w:t>
      </w:r>
      <w:r w:rsidR="005438B7">
        <w:rPr>
          <w:rFonts w:cs="Courier New"/>
        </w:rPr>
        <w:noBreakHyphen/>
      </w:r>
      <w:r w:rsidRPr="00CF593F">
        <w:rPr>
          <w:rFonts w:cs="Courier New"/>
        </w:rPr>
        <w:t xml:space="preserve">Pacific Group, it had abundant and diverse GRs and associated TK. </w:t>
      </w:r>
      <w:r w:rsidR="00AB4873">
        <w:rPr>
          <w:rFonts w:cs="Courier New"/>
        </w:rPr>
        <w:t xml:space="preserve"> </w:t>
      </w:r>
      <w:r w:rsidRPr="00CF593F">
        <w:rPr>
          <w:rFonts w:cs="Courier New"/>
        </w:rPr>
        <w:t xml:space="preserve">It recognized the importance of </w:t>
      </w:r>
      <w:r w:rsidR="002612B8">
        <w:rPr>
          <w:rFonts w:cs="Courier New"/>
        </w:rPr>
        <w:t xml:space="preserve">the </w:t>
      </w:r>
      <w:r w:rsidRPr="00CF593F">
        <w:rPr>
          <w:rFonts w:cs="Courier New"/>
        </w:rPr>
        <w:t xml:space="preserve">discussions in the IGC. </w:t>
      </w:r>
      <w:r w:rsidR="00AB4873">
        <w:rPr>
          <w:rFonts w:cs="Courier New"/>
        </w:rPr>
        <w:t xml:space="preserve"> </w:t>
      </w:r>
      <w:r w:rsidRPr="00CF593F">
        <w:rPr>
          <w:rFonts w:cs="Courier New"/>
        </w:rPr>
        <w:t>The spiri</w:t>
      </w:r>
      <w:r w:rsidR="002612B8">
        <w:rPr>
          <w:rFonts w:cs="Courier New"/>
        </w:rPr>
        <w:t>t of fair and equitable benefit-</w:t>
      </w:r>
      <w:r w:rsidRPr="00CF593F">
        <w:rPr>
          <w:rFonts w:cs="Courier New"/>
        </w:rPr>
        <w:t xml:space="preserve">sharing arising from GRs should be highly respected.  </w:t>
      </w:r>
      <w:r w:rsidR="00AB4873">
        <w:rPr>
          <w:rFonts w:cs="Courier New"/>
        </w:rPr>
        <w:t>It</w:t>
      </w:r>
      <w:r w:rsidRPr="00CF593F">
        <w:rPr>
          <w:rFonts w:cs="Courier New"/>
        </w:rPr>
        <w:t xml:space="preserve"> had concerns that the disclosure requirements presented an excessive burden and could </w:t>
      </w:r>
      <w:r w:rsidR="004A3B89">
        <w:rPr>
          <w:rFonts w:cs="Courier New"/>
        </w:rPr>
        <w:t xml:space="preserve">raise </w:t>
      </w:r>
      <w:r w:rsidRPr="00CF593F">
        <w:rPr>
          <w:rFonts w:cs="Courier New"/>
        </w:rPr>
        <w:t xml:space="preserve">unexpected obstacles to those wishing to utilize the patent system, which </w:t>
      </w:r>
      <w:proofErr w:type="gramStart"/>
      <w:r w:rsidRPr="00CF593F">
        <w:rPr>
          <w:rFonts w:cs="Courier New"/>
        </w:rPr>
        <w:t>was recognized</w:t>
      </w:r>
      <w:proofErr w:type="gramEnd"/>
      <w:r w:rsidRPr="00CF593F">
        <w:rPr>
          <w:rFonts w:cs="Courier New"/>
        </w:rPr>
        <w:t xml:space="preserve"> as a core momentum for innovation.  During a series of meetings in the Republic of Korea, users and stakeholders had expressed their concerns on the legal uncertainties caused by disclosure requirements.  That could lead them </w:t>
      </w:r>
      <w:r w:rsidR="002612B8">
        <w:rPr>
          <w:rFonts w:cs="Courier New"/>
        </w:rPr>
        <w:t>to avoiding</w:t>
      </w:r>
      <w:r w:rsidRPr="00CF593F">
        <w:rPr>
          <w:rFonts w:cs="Courier New"/>
        </w:rPr>
        <w:t xml:space="preserve"> the patent system, and even bypassing the IP system altogether. </w:t>
      </w:r>
      <w:r w:rsidR="00AB4873">
        <w:rPr>
          <w:rFonts w:cs="Courier New"/>
        </w:rPr>
        <w:t xml:space="preserve"> </w:t>
      </w:r>
      <w:r w:rsidRPr="00CF593F">
        <w:rPr>
          <w:rFonts w:cs="Courier New"/>
        </w:rPr>
        <w:t>IP policies and patent systems existed for their users, therefore the IGC needed to focus on their convenience of use in order to encourage active use of the system.  The most effective form of protection for GRs and associated TK in the patent system was to preve</w:t>
      </w:r>
      <w:r w:rsidR="007D2A3E">
        <w:rPr>
          <w:rFonts w:cs="Courier New"/>
        </w:rPr>
        <w:t>nt erroneously granted patents</w:t>
      </w:r>
      <w:r w:rsidRPr="00CF593F">
        <w:rPr>
          <w:rFonts w:cs="Courier New"/>
        </w:rPr>
        <w:t xml:space="preserve"> through the establishment and use of database systems.  It preferred non-legally binding instruments</w:t>
      </w:r>
      <w:r w:rsidR="002612B8">
        <w:rPr>
          <w:rFonts w:cs="Courier New"/>
        </w:rPr>
        <w:t>.  M</w:t>
      </w:r>
      <w:r w:rsidRPr="00CF593F">
        <w:rPr>
          <w:rFonts w:cs="Courier New"/>
        </w:rPr>
        <w:t>any issues discussed in the IGC had to be under private domain.  The IGC should consider all aspects of the prop</w:t>
      </w:r>
      <w:r w:rsidR="007F6CCA">
        <w:rPr>
          <w:rFonts w:cs="Courier New"/>
        </w:rPr>
        <w:t>osals, perspectives of the user</w:t>
      </w:r>
      <w:r w:rsidR="009F005C">
        <w:rPr>
          <w:rFonts w:cs="Courier New"/>
        </w:rPr>
        <w:t>,</w:t>
      </w:r>
      <w:r w:rsidR="007F6CCA">
        <w:rPr>
          <w:rFonts w:cs="Courier New"/>
        </w:rPr>
        <w:t xml:space="preserve"> </w:t>
      </w:r>
      <w:r w:rsidRPr="00CF593F">
        <w:rPr>
          <w:rFonts w:cs="Courier New"/>
        </w:rPr>
        <w:t xml:space="preserve">and any potential ripple effects on industry and relevant areas. </w:t>
      </w:r>
      <w:r w:rsidR="00AB4873">
        <w:rPr>
          <w:rFonts w:cs="Courier New"/>
        </w:rPr>
        <w:t xml:space="preserve"> </w:t>
      </w:r>
      <w:r w:rsidRPr="00CF593F">
        <w:rPr>
          <w:rFonts w:cs="Courier New"/>
        </w:rPr>
        <w:t xml:space="preserve">It hoped that all </w:t>
      </w:r>
      <w:r w:rsidR="00AB4873">
        <w:rPr>
          <w:rFonts w:cs="Courier New"/>
        </w:rPr>
        <w:t>WIPO Member States</w:t>
      </w:r>
      <w:r w:rsidRPr="00CF593F">
        <w:rPr>
          <w:rFonts w:cs="Courier New"/>
        </w:rPr>
        <w:t xml:space="preserve"> remained open-minded and sincere in the discussions to create new international norms.</w:t>
      </w:r>
    </w:p>
    <w:p w:rsidR="00703872" w:rsidRPr="00703872" w:rsidRDefault="00703872" w:rsidP="00703872">
      <w:pPr>
        <w:pStyle w:val="ListParagraph"/>
        <w:ind w:left="0"/>
      </w:pPr>
    </w:p>
    <w:p w:rsidR="005A6214" w:rsidRPr="008D4406" w:rsidRDefault="00703872" w:rsidP="00310121">
      <w:pPr>
        <w:pStyle w:val="ListParagraph"/>
        <w:numPr>
          <w:ilvl w:val="0"/>
          <w:numId w:val="4"/>
        </w:numPr>
        <w:ind w:left="0" w:firstLine="0"/>
      </w:pPr>
      <w:r w:rsidRPr="00703872">
        <w:rPr>
          <w:rFonts w:cs="Courier New"/>
        </w:rPr>
        <w:t xml:space="preserve">The Delegation of Mozambique assured the Chair of its full support throughout the process.  It was confident that under the Chair’s wise leadership, the IGC would finalize its work on the </w:t>
      </w:r>
      <w:r w:rsidR="005E127A">
        <w:rPr>
          <w:rFonts w:cs="Courier New"/>
        </w:rPr>
        <w:t xml:space="preserve">negotiation of </w:t>
      </w:r>
      <w:r w:rsidRPr="00703872">
        <w:rPr>
          <w:rFonts w:cs="Courier New"/>
        </w:rPr>
        <w:t>the draft articles on a mandatory disclosure of origin for GRs in patent applications.  Mozambique was a country w</w:t>
      </w:r>
      <w:r w:rsidR="009F005C">
        <w:rPr>
          <w:rFonts w:cs="Courier New"/>
        </w:rPr>
        <w:t xml:space="preserve">ith abundant GRs and TK that </w:t>
      </w:r>
      <w:proofErr w:type="gramStart"/>
      <w:r w:rsidR="009F005C">
        <w:rPr>
          <w:rFonts w:cs="Courier New"/>
        </w:rPr>
        <w:t>were</w:t>
      </w:r>
      <w:r w:rsidRPr="00703872">
        <w:rPr>
          <w:rFonts w:cs="Courier New"/>
        </w:rPr>
        <w:t xml:space="preserve"> maintained and </w:t>
      </w:r>
      <w:r w:rsidRPr="00703872">
        <w:rPr>
          <w:rFonts w:cs="Courier New"/>
        </w:rPr>
        <w:lastRenderedPageBreak/>
        <w:t>expanded upon by over 250,000 traditional healers</w:t>
      </w:r>
      <w:proofErr w:type="gramEnd"/>
      <w:r w:rsidRPr="00703872">
        <w:rPr>
          <w:rFonts w:cs="Courier New"/>
        </w:rPr>
        <w:t xml:space="preserve">. </w:t>
      </w:r>
      <w:r w:rsidR="005E127A">
        <w:rPr>
          <w:rFonts w:cs="Courier New"/>
        </w:rPr>
        <w:t xml:space="preserve"> </w:t>
      </w:r>
      <w:r w:rsidRPr="00703872">
        <w:rPr>
          <w:rFonts w:cs="Courier New"/>
        </w:rPr>
        <w:t xml:space="preserve">It remained </w:t>
      </w:r>
      <w:r w:rsidR="005E127A">
        <w:rPr>
          <w:rFonts w:cs="Courier New"/>
        </w:rPr>
        <w:t>committed</w:t>
      </w:r>
      <w:r w:rsidRPr="00703872">
        <w:rPr>
          <w:rFonts w:cs="Courier New"/>
        </w:rPr>
        <w:t xml:space="preserve"> to progress towards an agreement on the text of an international legal instrument, which would facilitate transparency in the patent system and the appropriate use of valuable GRs and </w:t>
      </w:r>
      <w:r w:rsidR="006946E5">
        <w:rPr>
          <w:noProof/>
        </w:rPr>
        <mc:AlternateContent>
          <mc:Choice Requires="wpg">
            <w:drawing>
              <wp:anchor distT="0" distB="0" distL="114300" distR="114300" simplePos="0" relativeHeight="251658240" behindDoc="1" locked="0" layoutInCell="1" allowOverlap="1" wp14:anchorId="0080426E" wp14:editId="53812C6F">
                <wp:simplePos x="0" y="0"/>
                <wp:positionH relativeFrom="page">
                  <wp:posOffset>7545070</wp:posOffset>
                </wp:positionH>
                <wp:positionV relativeFrom="page">
                  <wp:posOffset>10128250</wp:posOffset>
                </wp:positionV>
                <wp:extent cx="1270" cy="533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3400"/>
                          <a:chOff x="11882" y="15951"/>
                          <a:chExt cx="2" cy="841"/>
                        </a:xfrm>
                      </wpg:grpSpPr>
                      <wps:wsp>
                        <wps:cNvPr id="3" name="Freeform 3"/>
                        <wps:cNvSpPr>
                          <a:spLocks/>
                        </wps:cNvSpPr>
                        <wps:spPr bwMode="auto">
                          <a:xfrm>
                            <a:off x="11882" y="15951"/>
                            <a:ext cx="2" cy="841"/>
                          </a:xfrm>
                          <a:custGeom>
                            <a:avLst/>
                            <a:gdLst>
                              <a:gd name="T0" fmla="+- 0 16791 15951"/>
                              <a:gd name="T1" fmla="*/ 16791 h 841"/>
                              <a:gd name="T2" fmla="+- 0 15951 15951"/>
                              <a:gd name="T3" fmla="*/ 15951 h 841"/>
                            </a:gdLst>
                            <a:ahLst/>
                            <a:cxnLst>
                              <a:cxn ang="0">
                                <a:pos x="0" y="T1"/>
                              </a:cxn>
                              <a:cxn ang="0">
                                <a:pos x="0" y="T3"/>
                              </a:cxn>
                            </a:cxnLst>
                            <a:rect l="0" t="0" r="r" b="b"/>
                            <a:pathLst>
                              <a:path h="841">
                                <a:moveTo>
                                  <a:pt x="0" y="840"/>
                                </a:moveTo>
                                <a:lnTo>
                                  <a:pt x="0" y="0"/>
                                </a:lnTo>
                              </a:path>
                            </a:pathLst>
                          </a:custGeom>
                          <a:noFill/>
                          <a:ln w="9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EB8D45" id="Group 2" o:spid="_x0000_s1026" style="position:absolute;margin-left:594.1pt;margin-top:797.5pt;width:.1pt;height:42pt;z-index:-251658240;mso-position-horizontal-relative:page;mso-position-vertical-relative:page" coordorigin="11882,15951" coordsize="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">
                <v:shape id="Freeform 3" o:spid="_x0000_s1027" style="position:absolute;left:11882;top:15951;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" path="m,840l,e" filled="f" strokeweight=".25333mm">
                  <v:path arrowok="t" o:connecttype="custom" o:connectlocs="0,16791;0,15951" o:connectangles="0,0"/>
                </v:shape>
                <w10:wrap anchorx="page" anchory="page"/>
              </v:group>
            </w:pict>
          </mc:Fallback>
        </mc:AlternateContent>
      </w:r>
      <w:r w:rsidR="009F005C">
        <w:rPr>
          <w:rFonts w:cs="Courier New"/>
        </w:rPr>
        <w:t>associated TK</w:t>
      </w:r>
      <w:r w:rsidRPr="00703872">
        <w:rPr>
          <w:rFonts w:cs="Courier New"/>
        </w:rPr>
        <w:t xml:space="preserve"> in </w:t>
      </w:r>
      <w:r w:rsidR="005E127A">
        <w:rPr>
          <w:rFonts w:cs="Courier New"/>
        </w:rPr>
        <w:t xml:space="preserve">inventive </w:t>
      </w:r>
      <w:r w:rsidRPr="00703872">
        <w:rPr>
          <w:rFonts w:cs="Courier New"/>
        </w:rPr>
        <w:t xml:space="preserve">activity, </w:t>
      </w:r>
      <w:r w:rsidR="005E127A">
        <w:rPr>
          <w:rFonts w:cs="Courier New"/>
        </w:rPr>
        <w:t>for</w:t>
      </w:r>
      <w:r w:rsidRPr="00703872">
        <w:rPr>
          <w:rFonts w:cs="Courier New"/>
        </w:rPr>
        <w:t xml:space="preserve"> the benefit </w:t>
      </w:r>
      <w:r w:rsidR="005E127A">
        <w:rPr>
          <w:rFonts w:cs="Courier New"/>
        </w:rPr>
        <w:t xml:space="preserve">of </w:t>
      </w:r>
      <w:r w:rsidRPr="00703872">
        <w:rPr>
          <w:rFonts w:cs="Courier New"/>
        </w:rPr>
        <w:t xml:space="preserve">both providers and users of such resources. </w:t>
      </w:r>
      <w:r w:rsidR="005E127A">
        <w:rPr>
          <w:rFonts w:cs="Courier New"/>
        </w:rPr>
        <w:t xml:space="preserve"> </w:t>
      </w:r>
      <w:r w:rsidRPr="00703872">
        <w:rPr>
          <w:rFonts w:cs="Courier New"/>
        </w:rPr>
        <w:t xml:space="preserve">It was pleased with the progress made at IGC 30.  It hoped that the spirit and efficiency, which had prevailed at </w:t>
      </w:r>
      <w:r w:rsidR="009F005C">
        <w:rPr>
          <w:rFonts w:cs="Courier New"/>
        </w:rPr>
        <w:t>IGC 30</w:t>
      </w:r>
      <w:r w:rsidR="005E127A">
        <w:rPr>
          <w:rFonts w:cs="Courier New"/>
        </w:rPr>
        <w:t>,</w:t>
      </w:r>
      <w:r w:rsidRPr="00703872">
        <w:rPr>
          <w:rFonts w:cs="Courier New"/>
        </w:rPr>
        <w:t xml:space="preserve"> </w:t>
      </w:r>
      <w:proofErr w:type="gramStart"/>
      <w:r w:rsidRPr="00703872">
        <w:rPr>
          <w:rFonts w:cs="Courier New"/>
        </w:rPr>
        <w:t>would be repeated</w:t>
      </w:r>
      <w:proofErr w:type="gramEnd"/>
      <w:r w:rsidRPr="00703872">
        <w:rPr>
          <w:rFonts w:cs="Courier New"/>
        </w:rPr>
        <w:t xml:space="preserve"> at IGC 35.  </w:t>
      </w:r>
      <w:r w:rsidRPr="008D4406">
        <w:rPr>
          <w:rFonts w:cs="Courier New"/>
        </w:rPr>
        <w:t xml:space="preserve">Agreement on remaining points of difference </w:t>
      </w:r>
      <w:proofErr w:type="gramStart"/>
      <w:r w:rsidRPr="008D4406">
        <w:rPr>
          <w:rFonts w:cs="Courier New"/>
        </w:rPr>
        <w:t>could be reached</w:t>
      </w:r>
      <w:proofErr w:type="gramEnd"/>
      <w:r w:rsidRPr="008D4406">
        <w:rPr>
          <w:rFonts w:cs="Courier New"/>
        </w:rPr>
        <w:t xml:space="preserve"> as members worked together with good faith, good will</w:t>
      </w:r>
      <w:r w:rsidR="008D4406" w:rsidRPr="008D4406">
        <w:rPr>
          <w:rFonts w:cs="Courier New"/>
        </w:rPr>
        <w:t>, and pragmatic cooperation.  The Delegation</w:t>
      </w:r>
      <w:r w:rsidRPr="008D4406">
        <w:rPr>
          <w:rFonts w:cs="Courier New"/>
        </w:rPr>
        <w:t xml:space="preserve"> was open to a process that would ensure that the GRs text advanced and matured meaningfully to a diplomatic conference.  It was committed to ensuring </w:t>
      </w:r>
      <w:r w:rsidR="004A3B89">
        <w:rPr>
          <w:rFonts w:cs="Courier New"/>
        </w:rPr>
        <w:t xml:space="preserve">no </w:t>
      </w:r>
      <w:r w:rsidRPr="008D4406">
        <w:rPr>
          <w:rFonts w:cs="Courier New"/>
        </w:rPr>
        <w:t xml:space="preserve">backward </w:t>
      </w:r>
      <w:r w:rsidR="004A3B89">
        <w:rPr>
          <w:rFonts w:cs="Courier New"/>
        </w:rPr>
        <w:t xml:space="preserve">move </w:t>
      </w:r>
      <w:r w:rsidRPr="008D4406">
        <w:rPr>
          <w:rFonts w:cs="Courier New"/>
        </w:rPr>
        <w:t xml:space="preserve">on substance and, instead, that the work </w:t>
      </w:r>
      <w:r w:rsidR="008D4406">
        <w:rPr>
          <w:rFonts w:cs="Courier New"/>
        </w:rPr>
        <w:t xml:space="preserve">at IGC 35 </w:t>
      </w:r>
      <w:r w:rsidR="004A3B89">
        <w:rPr>
          <w:rFonts w:cs="Courier New"/>
        </w:rPr>
        <w:t xml:space="preserve">be </w:t>
      </w:r>
      <w:r w:rsidRPr="008D4406">
        <w:rPr>
          <w:rFonts w:cs="Courier New"/>
        </w:rPr>
        <w:t>allowed to move as close as possible to the end goal in a meaningful and practical way.  It looked forward to a highly productive session.</w:t>
      </w:r>
    </w:p>
    <w:p w:rsidR="005A6214" w:rsidRPr="005A6214" w:rsidRDefault="005A6214" w:rsidP="005A6214">
      <w:pPr>
        <w:pStyle w:val="ListParagraph"/>
        <w:ind w:left="0"/>
      </w:pPr>
    </w:p>
    <w:p w:rsidR="008D5BC7" w:rsidRPr="008D5BC7" w:rsidRDefault="005A6214" w:rsidP="00310121">
      <w:pPr>
        <w:pStyle w:val="ListParagraph"/>
        <w:numPr>
          <w:ilvl w:val="0"/>
          <w:numId w:val="4"/>
        </w:numPr>
        <w:ind w:left="0" w:firstLine="0"/>
      </w:pPr>
      <w:r w:rsidRPr="005A6214">
        <w:rPr>
          <w:rFonts w:cs="Courier New"/>
        </w:rPr>
        <w:t xml:space="preserve">The Delegation of Japan recognized the importance of taking effective measures against the misappropriation of GRs and </w:t>
      </w:r>
      <w:r w:rsidR="005350DF">
        <w:rPr>
          <w:rFonts w:cs="Courier New"/>
        </w:rPr>
        <w:t>associated TK</w:t>
      </w:r>
      <w:r w:rsidRPr="005A6214">
        <w:rPr>
          <w:rFonts w:cs="Courier New"/>
        </w:rPr>
        <w:t xml:space="preserve">. </w:t>
      </w:r>
      <w:r w:rsidR="0039684D">
        <w:rPr>
          <w:rFonts w:cs="Courier New"/>
        </w:rPr>
        <w:t xml:space="preserve"> </w:t>
      </w:r>
      <w:r w:rsidRPr="005A6214">
        <w:rPr>
          <w:rFonts w:cs="Courier New"/>
        </w:rPr>
        <w:t xml:space="preserve">It had been actively contributing to the discussions on those issues at </w:t>
      </w:r>
      <w:r w:rsidR="00D202A2">
        <w:rPr>
          <w:rFonts w:cs="Courier New"/>
        </w:rPr>
        <w:t xml:space="preserve">the </w:t>
      </w:r>
      <w:r w:rsidRPr="005A6214">
        <w:rPr>
          <w:rFonts w:cs="Courier New"/>
        </w:rPr>
        <w:t xml:space="preserve">IGC meetings, making various proposals.  There should be a clear distinction between two different factors inherent </w:t>
      </w:r>
      <w:r w:rsidR="004A3B89">
        <w:rPr>
          <w:rFonts w:cs="Courier New"/>
        </w:rPr>
        <w:t xml:space="preserve">in </w:t>
      </w:r>
      <w:r w:rsidRPr="005A6214">
        <w:rPr>
          <w:rFonts w:cs="Courier New"/>
        </w:rPr>
        <w:t xml:space="preserve">the issue of </w:t>
      </w:r>
      <w:r w:rsidR="004A3B89">
        <w:rPr>
          <w:rFonts w:cs="Courier New"/>
        </w:rPr>
        <w:t xml:space="preserve">the </w:t>
      </w:r>
      <w:r w:rsidRPr="005A6214">
        <w:rPr>
          <w:rFonts w:cs="Courier New"/>
        </w:rPr>
        <w:t xml:space="preserve">misappropriation of GRs, namely, the lack of compliance with the </w:t>
      </w:r>
      <w:r w:rsidR="00434F65">
        <w:rPr>
          <w:rFonts w:cs="Courier New"/>
        </w:rPr>
        <w:t>access and benefit sharing (</w:t>
      </w:r>
      <w:r w:rsidR="00D202A2">
        <w:rPr>
          <w:rFonts w:cs="Courier New"/>
        </w:rPr>
        <w:t>“</w:t>
      </w:r>
      <w:r w:rsidRPr="005A6214">
        <w:rPr>
          <w:rFonts w:cs="Courier New"/>
        </w:rPr>
        <w:t>ABS</w:t>
      </w:r>
      <w:r w:rsidR="00D202A2">
        <w:rPr>
          <w:rFonts w:cs="Courier New"/>
        </w:rPr>
        <w:t>”</w:t>
      </w:r>
      <w:r w:rsidR="00434F65">
        <w:rPr>
          <w:rFonts w:cs="Courier New"/>
        </w:rPr>
        <w:t>)</w:t>
      </w:r>
      <w:r w:rsidRPr="005A6214">
        <w:rPr>
          <w:rFonts w:cs="Courier New"/>
        </w:rPr>
        <w:t xml:space="preserve"> system and the erroneous granting of patents. </w:t>
      </w:r>
      <w:r w:rsidR="0039684D">
        <w:rPr>
          <w:rFonts w:cs="Courier New"/>
        </w:rPr>
        <w:t xml:space="preserve"> </w:t>
      </w:r>
      <w:r w:rsidRPr="005A6214">
        <w:rPr>
          <w:rFonts w:cs="Courier New"/>
        </w:rPr>
        <w:t xml:space="preserve">The first issue </w:t>
      </w:r>
      <w:proofErr w:type="gramStart"/>
      <w:r w:rsidRPr="005A6214">
        <w:rPr>
          <w:rFonts w:cs="Courier New"/>
        </w:rPr>
        <w:t>should not be dealt with</w:t>
      </w:r>
      <w:proofErr w:type="gramEnd"/>
      <w:r w:rsidRPr="005A6214">
        <w:rPr>
          <w:rFonts w:cs="Courier New"/>
        </w:rPr>
        <w:t xml:space="preserve"> under the patent system. </w:t>
      </w:r>
      <w:r w:rsidR="0039684D">
        <w:rPr>
          <w:rFonts w:cs="Courier New"/>
        </w:rPr>
        <w:t xml:space="preserve"> Hence</w:t>
      </w:r>
      <w:r w:rsidRPr="005A6214">
        <w:rPr>
          <w:rFonts w:cs="Courier New"/>
        </w:rPr>
        <w:t>, the IGC should be focused on the issue of erroneous granting of patents, especially on the utilization of databases for prior art searches, given</w:t>
      </w:r>
      <w:r w:rsidR="00D202A2">
        <w:rPr>
          <w:rFonts w:cs="Courier New"/>
        </w:rPr>
        <w:t xml:space="preserve"> that WIPO had a crucial role in</w:t>
      </w:r>
      <w:r w:rsidRPr="005A6214">
        <w:rPr>
          <w:rFonts w:cs="Courier New"/>
        </w:rPr>
        <w:t xml:space="preserve"> understand</w:t>
      </w:r>
      <w:r w:rsidR="00D202A2">
        <w:rPr>
          <w:rFonts w:cs="Courier New"/>
        </w:rPr>
        <w:t>ing</w:t>
      </w:r>
      <w:r w:rsidRPr="005A6214">
        <w:rPr>
          <w:rFonts w:cs="Courier New"/>
        </w:rPr>
        <w:t xml:space="preserve"> global issues from its vantage point as an organization specializing in IP.  </w:t>
      </w:r>
      <w:r w:rsidR="0039684D">
        <w:rPr>
          <w:rFonts w:cs="Courier New"/>
        </w:rPr>
        <w:t>In that respect, t</w:t>
      </w:r>
      <w:r w:rsidRPr="005A6214">
        <w:rPr>
          <w:rFonts w:cs="Courier New"/>
        </w:rPr>
        <w:t xml:space="preserve">ogether with the </w:t>
      </w:r>
      <w:r w:rsidR="0039684D">
        <w:rPr>
          <w:rFonts w:cs="Courier New"/>
        </w:rPr>
        <w:t>Delegations</w:t>
      </w:r>
      <w:r w:rsidRPr="005A6214">
        <w:rPr>
          <w:rFonts w:cs="Courier New"/>
        </w:rPr>
        <w:t xml:space="preserve"> o</w:t>
      </w:r>
      <w:r w:rsidR="00D202A2">
        <w:rPr>
          <w:rFonts w:cs="Courier New"/>
        </w:rPr>
        <w:t>f Canada, the Republic of Korea</w:t>
      </w:r>
      <w:r w:rsidRPr="005A6214">
        <w:rPr>
          <w:rFonts w:cs="Courier New"/>
        </w:rPr>
        <w:t xml:space="preserve"> and the USA, it had submitted document WIPO/GRTKF/IC/35/8.  The mandatory disclosure requirement for ensuring compliance with the ABS system, which did not have a direct link with the patent system, could bring legal uncertainty, decrease legal predictability, and discourage R&amp;D activities utilizing GRs. </w:t>
      </w:r>
      <w:r w:rsidR="0039684D">
        <w:rPr>
          <w:rFonts w:cs="Courier New"/>
        </w:rPr>
        <w:t xml:space="preserve"> </w:t>
      </w:r>
      <w:r w:rsidRPr="005A6214">
        <w:rPr>
          <w:rFonts w:cs="Courier New"/>
        </w:rPr>
        <w:t xml:space="preserve">The same held true for not only developed countries but also emerging and developing countries. </w:t>
      </w:r>
      <w:r w:rsidR="0039684D">
        <w:rPr>
          <w:rFonts w:cs="Courier New"/>
        </w:rPr>
        <w:t xml:space="preserve"> </w:t>
      </w:r>
      <w:r w:rsidRPr="005A6214">
        <w:rPr>
          <w:rFonts w:cs="Courier New"/>
        </w:rPr>
        <w:t xml:space="preserve">It was seriously concerned that the mandatory disclosure requirement might hinder the healthy growth of industries utilizing GRs in emerging and developing counties, both now and in the future.  Since the mandatory disclosure requirement could negatively affect the patent system and eventually hinder </w:t>
      </w:r>
      <w:r w:rsidR="0039684D">
        <w:rPr>
          <w:rFonts w:cs="Courier New"/>
        </w:rPr>
        <w:t>innovation</w:t>
      </w:r>
      <w:r w:rsidRPr="005A6214">
        <w:rPr>
          <w:rFonts w:cs="Courier New"/>
        </w:rPr>
        <w:t xml:space="preserve">, it </w:t>
      </w:r>
      <w:proofErr w:type="gramStart"/>
      <w:r w:rsidRPr="005A6214">
        <w:rPr>
          <w:rFonts w:cs="Courier New"/>
        </w:rPr>
        <w:t>should not be introduced</w:t>
      </w:r>
      <w:proofErr w:type="gramEnd"/>
      <w:r w:rsidRPr="005A6214">
        <w:rPr>
          <w:rFonts w:cs="Courier New"/>
        </w:rPr>
        <w:t xml:space="preserve">. </w:t>
      </w:r>
      <w:r w:rsidR="0039684D">
        <w:rPr>
          <w:rFonts w:cs="Courier New"/>
        </w:rPr>
        <w:t xml:space="preserve"> </w:t>
      </w:r>
      <w:r w:rsidRPr="005A6214">
        <w:rPr>
          <w:rFonts w:cs="Courier New"/>
        </w:rPr>
        <w:t xml:space="preserve">It made more sense to conduct measures to protect GRs within the framework of the </w:t>
      </w:r>
      <w:r w:rsidR="00D202A2">
        <w:rPr>
          <w:rFonts w:cs="Courier New"/>
        </w:rPr>
        <w:t>CBD and the Nagoya Protocol.  The Delegation</w:t>
      </w:r>
      <w:r w:rsidRPr="005A6214">
        <w:rPr>
          <w:rFonts w:cs="Courier New"/>
        </w:rPr>
        <w:t xml:space="preserve"> had no intention whatsoever to discourage the discussion. </w:t>
      </w:r>
      <w:r w:rsidR="0039684D">
        <w:rPr>
          <w:rFonts w:cs="Courier New"/>
        </w:rPr>
        <w:t xml:space="preserve"> </w:t>
      </w:r>
      <w:r w:rsidRPr="005A6214">
        <w:rPr>
          <w:rFonts w:cs="Courier New"/>
        </w:rPr>
        <w:t xml:space="preserve">Rather, it was willing </w:t>
      </w:r>
      <w:proofErr w:type="gramStart"/>
      <w:r w:rsidRPr="005A6214">
        <w:rPr>
          <w:rFonts w:cs="Courier New"/>
        </w:rPr>
        <w:t>to actively contribute</w:t>
      </w:r>
      <w:proofErr w:type="gramEnd"/>
      <w:r w:rsidRPr="005A6214">
        <w:rPr>
          <w:rFonts w:cs="Courier New"/>
        </w:rPr>
        <w:t xml:space="preserve"> to ensuring the effective protection of GRs.</w:t>
      </w:r>
    </w:p>
    <w:p w:rsidR="008D5BC7" w:rsidRPr="008D5BC7" w:rsidRDefault="008D5BC7" w:rsidP="008D5BC7">
      <w:pPr>
        <w:pStyle w:val="ListParagraph"/>
        <w:ind w:left="0"/>
      </w:pPr>
    </w:p>
    <w:p w:rsidR="00DC0CC0" w:rsidRPr="00594E01" w:rsidRDefault="008D5BC7" w:rsidP="00310121">
      <w:pPr>
        <w:pStyle w:val="ListParagraph"/>
        <w:numPr>
          <w:ilvl w:val="0"/>
          <w:numId w:val="4"/>
        </w:numPr>
        <w:ind w:left="0" w:firstLine="0"/>
      </w:pPr>
      <w:r w:rsidRPr="008D5BC7">
        <w:rPr>
          <w:rFonts w:cs="Courier New"/>
        </w:rPr>
        <w:t>The Delegation of Nigeria supported the st</w:t>
      </w:r>
      <w:r w:rsidR="00D6081C">
        <w:rPr>
          <w:rFonts w:cs="Courier New"/>
        </w:rPr>
        <w:t>atements made by the Delegation</w:t>
      </w:r>
      <w:r w:rsidRPr="008D5BC7">
        <w:rPr>
          <w:rFonts w:cs="Courier New"/>
        </w:rPr>
        <w:t xml:space="preserve"> of Morocco</w:t>
      </w:r>
      <w:r w:rsidR="00D6081C">
        <w:rPr>
          <w:rFonts w:cs="Courier New"/>
        </w:rPr>
        <w:t>,</w:t>
      </w:r>
      <w:r w:rsidRPr="008D5BC7">
        <w:rPr>
          <w:rFonts w:cs="Courier New"/>
        </w:rPr>
        <w:t xml:space="preserve"> on behalf of the African Group</w:t>
      </w:r>
      <w:r w:rsidR="00D6081C">
        <w:rPr>
          <w:rFonts w:cs="Courier New"/>
        </w:rPr>
        <w:t>,</w:t>
      </w:r>
      <w:r w:rsidRPr="008D5BC7">
        <w:rPr>
          <w:rFonts w:cs="Courier New"/>
        </w:rPr>
        <w:t xml:space="preserve"> and </w:t>
      </w:r>
      <w:r w:rsidR="00D6081C">
        <w:rPr>
          <w:rFonts w:cs="Courier New"/>
        </w:rPr>
        <w:t xml:space="preserve">the Delegation </w:t>
      </w:r>
      <w:r w:rsidRPr="008D5BC7">
        <w:rPr>
          <w:rFonts w:cs="Courier New"/>
        </w:rPr>
        <w:t>of Indonesia</w:t>
      </w:r>
      <w:r w:rsidR="00D6081C">
        <w:rPr>
          <w:rFonts w:cs="Courier New"/>
        </w:rPr>
        <w:t>,</w:t>
      </w:r>
      <w:r w:rsidRPr="008D5BC7">
        <w:rPr>
          <w:rFonts w:cs="Courier New"/>
        </w:rPr>
        <w:t xml:space="preserve"> on behalf of the LMCs.  It underscored the importance of the IGC’s new mandate and observed the progress made over the past biennium, especially with regard to the GRs text, which was perhaps the most mature of the three IGC texts in progress. </w:t>
      </w:r>
      <w:r w:rsidR="00B31DA3">
        <w:rPr>
          <w:rFonts w:cs="Courier New"/>
        </w:rPr>
        <w:t xml:space="preserve"> </w:t>
      </w:r>
      <w:r w:rsidRPr="008D5BC7">
        <w:rPr>
          <w:rFonts w:cs="Courier New"/>
        </w:rPr>
        <w:t>IGC 35 offered</w:t>
      </w:r>
      <w:r w:rsidR="00B31DA3">
        <w:rPr>
          <w:rFonts w:cs="Courier New"/>
        </w:rPr>
        <w:t xml:space="preserve"> yet </w:t>
      </w:r>
      <w:r w:rsidRPr="008D5BC7">
        <w:rPr>
          <w:rFonts w:cs="Courier New"/>
        </w:rPr>
        <w:t>another</w:t>
      </w:r>
      <w:r w:rsidR="00B31DA3">
        <w:rPr>
          <w:rFonts w:cs="Courier New"/>
        </w:rPr>
        <w:t xml:space="preserve"> opportunity to </w:t>
      </w:r>
      <w:r w:rsidRPr="008D5BC7">
        <w:rPr>
          <w:rFonts w:cs="Courier New"/>
        </w:rPr>
        <w:t xml:space="preserve">build on the progress made thus far.  Over the years, it had strived to narrow the gaps and had demonstrated good will toward a substantive outcome that fulfilled the purpose for which </w:t>
      </w:r>
      <w:r w:rsidR="00D6081C">
        <w:rPr>
          <w:rFonts w:cs="Courier New"/>
        </w:rPr>
        <w:t xml:space="preserve">the </w:t>
      </w:r>
      <w:r w:rsidRPr="008D5BC7">
        <w:rPr>
          <w:rFonts w:cs="Courier New"/>
        </w:rPr>
        <w:t xml:space="preserve">IGC </w:t>
      </w:r>
      <w:proofErr w:type="gramStart"/>
      <w:r w:rsidRPr="008D5BC7">
        <w:rPr>
          <w:rFonts w:cs="Courier New"/>
        </w:rPr>
        <w:t>had been established</w:t>
      </w:r>
      <w:proofErr w:type="gramEnd"/>
      <w:r w:rsidRPr="008D5BC7">
        <w:rPr>
          <w:rFonts w:cs="Courier New"/>
        </w:rPr>
        <w:t xml:space="preserve"> 18 years </w:t>
      </w:r>
      <w:r w:rsidR="00B31DA3">
        <w:rPr>
          <w:rFonts w:cs="Courier New"/>
        </w:rPr>
        <w:t>before</w:t>
      </w:r>
      <w:r w:rsidRPr="008D5BC7">
        <w:rPr>
          <w:rFonts w:cs="Courier New"/>
        </w:rPr>
        <w:t>.  M</w:t>
      </w:r>
      <w:r w:rsidR="00B31DA3">
        <w:rPr>
          <w:rFonts w:cs="Courier New"/>
        </w:rPr>
        <w:t>ember S</w:t>
      </w:r>
      <w:r w:rsidRPr="008D5BC7">
        <w:rPr>
          <w:rFonts w:cs="Courier New"/>
        </w:rPr>
        <w:t>tates would take advantage of the pr</w:t>
      </w:r>
      <w:r w:rsidR="00B31DA3">
        <w:rPr>
          <w:rFonts w:cs="Courier New"/>
        </w:rPr>
        <w:t xml:space="preserve">ogress </w:t>
      </w:r>
      <w:r w:rsidRPr="008D5BC7">
        <w:rPr>
          <w:rFonts w:cs="Courier New"/>
        </w:rPr>
        <w:t>made</w:t>
      </w:r>
      <w:r w:rsidR="00B31DA3">
        <w:rPr>
          <w:rFonts w:cs="Courier New"/>
        </w:rPr>
        <w:t xml:space="preserve"> and</w:t>
      </w:r>
      <w:r w:rsidRPr="008D5BC7">
        <w:rPr>
          <w:rFonts w:cs="Courier New"/>
        </w:rPr>
        <w:t xml:space="preserve"> focus mainly on narrowin</w:t>
      </w:r>
      <w:r w:rsidR="00B31DA3">
        <w:rPr>
          <w:rFonts w:cs="Courier New"/>
        </w:rPr>
        <w:t xml:space="preserve">g the existing gaps </w:t>
      </w:r>
      <w:r w:rsidRPr="008D5BC7">
        <w:rPr>
          <w:rFonts w:cs="Courier New"/>
        </w:rPr>
        <w:t>through constructive and mutual engagement in arriving</w:t>
      </w:r>
      <w:r w:rsidR="00B31DA3">
        <w:rPr>
          <w:rFonts w:cs="Courier New"/>
        </w:rPr>
        <w:t xml:space="preserve"> at a common understanding of </w:t>
      </w:r>
      <w:r w:rsidRPr="008D5BC7">
        <w:rPr>
          <w:rFonts w:cs="Courier New"/>
        </w:rPr>
        <w:t xml:space="preserve">the core issues. </w:t>
      </w:r>
      <w:r w:rsidR="00B31DA3">
        <w:rPr>
          <w:rFonts w:cs="Courier New"/>
        </w:rPr>
        <w:t xml:space="preserve"> </w:t>
      </w:r>
      <w:r w:rsidRPr="008D5BC7">
        <w:rPr>
          <w:rFonts w:cs="Courier New"/>
        </w:rPr>
        <w:t>With regard to the GRs</w:t>
      </w:r>
      <w:r w:rsidR="00B31DA3">
        <w:rPr>
          <w:rFonts w:cs="Courier New"/>
        </w:rPr>
        <w:t xml:space="preserve"> text </w:t>
      </w:r>
      <w:r w:rsidRPr="008D5BC7">
        <w:rPr>
          <w:rFonts w:cs="Courier New"/>
        </w:rPr>
        <w:t>in progress, a</w:t>
      </w:r>
      <w:r w:rsidR="00B31DA3">
        <w:rPr>
          <w:rFonts w:cs="Courier New"/>
        </w:rPr>
        <w:t xml:space="preserve"> majority of </w:t>
      </w:r>
      <w:r w:rsidRPr="008D5BC7">
        <w:rPr>
          <w:rFonts w:cs="Courier New"/>
        </w:rPr>
        <w:t>M</w:t>
      </w:r>
      <w:r w:rsidR="00B31DA3">
        <w:rPr>
          <w:rFonts w:cs="Courier New"/>
        </w:rPr>
        <w:t xml:space="preserve">ember </w:t>
      </w:r>
      <w:r w:rsidRPr="008D5BC7">
        <w:rPr>
          <w:rFonts w:cs="Courier New"/>
        </w:rPr>
        <w:t>S</w:t>
      </w:r>
      <w:r w:rsidR="00B31DA3">
        <w:rPr>
          <w:rFonts w:cs="Courier New"/>
        </w:rPr>
        <w:t xml:space="preserve">tates in the IGC was </w:t>
      </w:r>
      <w:r w:rsidRPr="008D5BC7">
        <w:rPr>
          <w:rFonts w:cs="Courier New"/>
        </w:rPr>
        <w:t xml:space="preserve">also </w:t>
      </w:r>
      <w:proofErr w:type="gramStart"/>
      <w:r w:rsidRPr="008D5BC7">
        <w:rPr>
          <w:rFonts w:cs="Courier New"/>
        </w:rPr>
        <w:t>party</w:t>
      </w:r>
      <w:proofErr w:type="gramEnd"/>
      <w:r w:rsidRPr="008D5BC7">
        <w:rPr>
          <w:rFonts w:cs="Courier New"/>
        </w:rPr>
        <w:t xml:space="preserve"> to</w:t>
      </w:r>
      <w:r w:rsidR="00B31DA3">
        <w:rPr>
          <w:rFonts w:cs="Courier New"/>
        </w:rPr>
        <w:t xml:space="preserve"> the CBD and </w:t>
      </w:r>
      <w:r w:rsidRPr="008D5BC7">
        <w:rPr>
          <w:rFonts w:cs="Courier New"/>
        </w:rPr>
        <w:t>the</w:t>
      </w:r>
      <w:r w:rsidR="00B31DA3">
        <w:rPr>
          <w:rFonts w:cs="Courier New"/>
        </w:rPr>
        <w:t xml:space="preserve"> Nagoya </w:t>
      </w:r>
      <w:r w:rsidRPr="008D5BC7">
        <w:rPr>
          <w:rFonts w:cs="Courier New"/>
        </w:rPr>
        <w:t xml:space="preserve">Protocol, not to mention other regional instruments that had bearing on the subject of protection of GRs and associated TK.  </w:t>
      </w:r>
      <w:r w:rsidRPr="00594E01">
        <w:rPr>
          <w:rFonts w:cs="Courier New"/>
        </w:rPr>
        <w:t>Therefore</w:t>
      </w:r>
      <w:r w:rsidR="00B31DA3" w:rsidRPr="00594E01">
        <w:rPr>
          <w:rFonts w:cs="Courier New"/>
        </w:rPr>
        <w:t>,</w:t>
      </w:r>
      <w:r w:rsidRPr="00594E01">
        <w:rPr>
          <w:rFonts w:cs="Courier New"/>
        </w:rPr>
        <w:t xml:space="preserve"> the draft text on GR</w:t>
      </w:r>
      <w:r w:rsidR="00594E01" w:rsidRPr="00594E01">
        <w:rPr>
          <w:rFonts w:cs="Courier New"/>
        </w:rPr>
        <w:t xml:space="preserve">s gave a good basis, </w:t>
      </w:r>
      <w:r w:rsidR="00B31DA3" w:rsidRPr="00594E01">
        <w:rPr>
          <w:rFonts w:cs="Courier New"/>
        </w:rPr>
        <w:t>aim</w:t>
      </w:r>
      <w:r w:rsidR="00594E01" w:rsidRPr="00594E01">
        <w:rPr>
          <w:rFonts w:cs="Courier New"/>
        </w:rPr>
        <w:t>ing</w:t>
      </w:r>
      <w:r w:rsidR="00B31DA3" w:rsidRPr="00594E01">
        <w:rPr>
          <w:rFonts w:cs="Courier New"/>
        </w:rPr>
        <w:t xml:space="preserve"> at ensuring </w:t>
      </w:r>
      <w:r w:rsidR="005B0CCD" w:rsidRPr="00594E01">
        <w:rPr>
          <w:rFonts w:cs="Courier New"/>
        </w:rPr>
        <w:t xml:space="preserve">mutual supportiveness with international agreements, </w:t>
      </w:r>
      <w:r w:rsidRPr="00594E01">
        <w:rPr>
          <w:rFonts w:cs="Courier New"/>
        </w:rPr>
        <w:t>especially the CBD and the</w:t>
      </w:r>
      <w:r w:rsidR="005B0CCD" w:rsidRPr="00594E01">
        <w:rPr>
          <w:rFonts w:cs="Courier New"/>
        </w:rPr>
        <w:t xml:space="preserve"> Nagoya Protocol.  The issue of the disclosure of the source and/or </w:t>
      </w:r>
      <w:r w:rsidRPr="00594E01">
        <w:rPr>
          <w:rFonts w:cs="Courier New"/>
        </w:rPr>
        <w:t>origin of GRs</w:t>
      </w:r>
      <w:r w:rsidR="005B0CCD" w:rsidRPr="00594E01">
        <w:rPr>
          <w:rFonts w:cs="Courier New"/>
        </w:rPr>
        <w:t xml:space="preserve"> and associated TK </w:t>
      </w:r>
      <w:r w:rsidRPr="00594E01">
        <w:rPr>
          <w:rFonts w:cs="Courier New"/>
        </w:rPr>
        <w:t>was desirable</w:t>
      </w:r>
      <w:r w:rsidR="005B0CCD" w:rsidRPr="00594E01">
        <w:rPr>
          <w:rFonts w:cs="Courier New"/>
        </w:rPr>
        <w:t xml:space="preserve"> as it was mutually supportive </w:t>
      </w:r>
      <w:r w:rsidRPr="00594E01">
        <w:rPr>
          <w:rFonts w:cs="Courier New"/>
        </w:rPr>
        <w:t xml:space="preserve">of existing instruments.  </w:t>
      </w:r>
      <w:r w:rsidR="005B0CCD" w:rsidRPr="00594E01">
        <w:rPr>
          <w:rFonts w:cs="Courier New"/>
        </w:rPr>
        <w:t>It underlined the need for an effective and legally binding instrument</w:t>
      </w:r>
      <w:r w:rsidRPr="00594E01">
        <w:rPr>
          <w:rFonts w:cs="Courier New"/>
        </w:rPr>
        <w:t xml:space="preserve"> for the protection of GRs and associated TK.  </w:t>
      </w:r>
      <w:r w:rsidR="00594E01" w:rsidRPr="00594E01">
        <w:rPr>
          <w:rFonts w:cs="Courier New"/>
        </w:rPr>
        <w:t>The Delegation</w:t>
      </w:r>
      <w:r w:rsidRPr="00594E01">
        <w:rPr>
          <w:rFonts w:cs="Courier New"/>
        </w:rPr>
        <w:t xml:space="preserve"> was committed to </w:t>
      </w:r>
      <w:r w:rsidR="005B0CCD" w:rsidRPr="00594E01">
        <w:rPr>
          <w:rFonts w:cs="Courier New"/>
        </w:rPr>
        <w:t xml:space="preserve">simplifying </w:t>
      </w:r>
      <w:r w:rsidRPr="00594E01">
        <w:rPr>
          <w:rFonts w:cs="Courier New"/>
        </w:rPr>
        <w:t xml:space="preserve">the current text. </w:t>
      </w:r>
      <w:r w:rsidR="00DC0CC0" w:rsidRPr="00594E01">
        <w:rPr>
          <w:rFonts w:cs="Courier New"/>
        </w:rPr>
        <w:t xml:space="preserve"> </w:t>
      </w:r>
      <w:r w:rsidRPr="00594E01">
        <w:rPr>
          <w:rFonts w:cs="Courier New"/>
        </w:rPr>
        <w:t xml:space="preserve">The </w:t>
      </w:r>
      <w:r w:rsidR="005B0CCD" w:rsidRPr="00594E01">
        <w:rPr>
          <w:rFonts w:cs="Courier New"/>
        </w:rPr>
        <w:t>IGC’s work could</w:t>
      </w:r>
      <w:r w:rsidRPr="00594E01">
        <w:rPr>
          <w:rFonts w:cs="Courier New"/>
        </w:rPr>
        <w:t xml:space="preserve"> be more productive if one avoided activities that attempted </w:t>
      </w:r>
      <w:proofErr w:type="gramStart"/>
      <w:r w:rsidRPr="00594E01">
        <w:rPr>
          <w:rFonts w:cs="Courier New"/>
        </w:rPr>
        <w:t>to further cluster</w:t>
      </w:r>
      <w:proofErr w:type="gramEnd"/>
      <w:r w:rsidRPr="00594E01">
        <w:rPr>
          <w:rFonts w:cs="Courier New"/>
        </w:rPr>
        <w:t xml:space="preserve"> the text</w:t>
      </w:r>
      <w:r w:rsidR="005B0CCD" w:rsidRPr="00594E01">
        <w:rPr>
          <w:rFonts w:cs="Courier New"/>
        </w:rPr>
        <w:t xml:space="preserve"> in obstructive </w:t>
      </w:r>
      <w:r w:rsidR="005B0CCD" w:rsidRPr="00594E01">
        <w:rPr>
          <w:rFonts w:cs="Courier New"/>
        </w:rPr>
        <w:lastRenderedPageBreak/>
        <w:t>and counter-productive ways</w:t>
      </w:r>
      <w:r w:rsidRPr="00594E01">
        <w:rPr>
          <w:rFonts w:cs="Courier New"/>
        </w:rPr>
        <w:t xml:space="preserve">.  The IGC was close to the finish line with regard to the GRs text. </w:t>
      </w:r>
      <w:r w:rsidR="005B0CCD" w:rsidRPr="00594E01">
        <w:rPr>
          <w:rFonts w:cs="Courier New"/>
        </w:rPr>
        <w:t xml:space="preserve"> A</w:t>
      </w:r>
      <w:r w:rsidRPr="00594E01">
        <w:rPr>
          <w:rFonts w:cs="Courier New"/>
        </w:rPr>
        <w:t xml:space="preserve">ll that </w:t>
      </w:r>
      <w:proofErr w:type="gramStart"/>
      <w:r w:rsidRPr="00594E01">
        <w:rPr>
          <w:rFonts w:cs="Courier New"/>
        </w:rPr>
        <w:t>was needed</w:t>
      </w:r>
      <w:proofErr w:type="gramEnd"/>
      <w:r w:rsidRPr="00594E01">
        <w:rPr>
          <w:rFonts w:cs="Courier New"/>
        </w:rPr>
        <w:t xml:space="preserve"> was to move forward and ma</w:t>
      </w:r>
      <w:r w:rsidR="005B0CCD" w:rsidRPr="00594E01">
        <w:rPr>
          <w:rFonts w:cs="Courier New"/>
        </w:rPr>
        <w:t>ke constructive progress</w:t>
      </w:r>
      <w:r w:rsidR="00594E01" w:rsidRPr="00594E01">
        <w:rPr>
          <w:rFonts w:cs="Courier New"/>
        </w:rPr>
        <w:t>,</w:t>
      </w:r>
      <w:r w:rsidR="005B0CCD" w:rsidRPr="00594E01">
        <w:rPr>
          <w:rFonts w:cs="Courier New"/>
        </w:rPr>
        <w:t xml:space="preserve"> and to</w:t>
      </w:r>
      <w:r w:rsidRPr="00594E01">
        <w:rPr>
          <w:rFonts w:cs="Courier New"/>
        </w:rPr>
        <w:t xml:space="preserve"> restore hope and confidence in the IGC process</w:t>
      </w:r>
      <w:r w:rsidR="00F114D5" w:rsidRPr="00594E01">
        <w:rPr>
          <w:rFonts w:cs="Courier New"/>
        </w:rPr>
        <w:t>,</w:t>
      </w:r>
      <w:r w:rsidRPr="00594E01">
        <w:rPr>
          <w:rFonts w:cs="Courier New"/>
        </w:rPr>
        <w:t xml:space="preserve"> which continued to wane with elongated negotiations.</w:t>
      </w:r>
    </w:p>
    <w:p w:rsidR="00DC0CC0" w:rsidRPr="00DC0CC0" w:rsidRDefault="00DC0CC0" w:rsidP="00DC0CC0">
      <w:pPr>
        <w:pStyle w:val="ListParagraph"/>
        <w:ind w:left="0"/>
      </w:pPr>
    </w:p>
    <w:p w:rsidR="00EE1B45" w:rsidRDefault="006C4CCE" w:rsidP="00310121">
      <w:pPr>
        <w:pStyle w:val="ListParagraph"/>
        <w:numPr>
          <w:ilvl w:val="0"/>
          <w:numId w:val="4"/>
        </w:numPr>
        <w:ind w:left="0" w:firstLine="0"/>
      </w:pPr>
      <w:r>
        <w:t xml:space="preserve">The Delegation of El Salvador </w:t>
      </w:r>
      <w:r w:rsidR="00D6081C">
        <w:t>stated</w:t>
      </w:r>
      <w:r w:rsidR="006A1618">
        <w:t xml:space="preserve"> </w:t>
      </w:r>
      <w:r w:rsidR="005007F5">
        <w:t xml:space="preserve">that </w:t>
      </w:r>
      <w:r w:rsidR="006A1618">
        <w:t>the Chair could</w:t>
      </w:r>
      <w:r w:rsidRPr="00D02AA3">
        <w:t xml:space="preserve"> </w:t>
      </w:r>
      <w:r>
        <w:t>rely</w:t>
      </w:r>
      <w:r w:rsidRPr="00D02AA3">
        <w:t xml:space="preserve"> on </w:t>
      </w:r>
      <w:r w:rsidR="00AC787E">
        <w:t>its</w:t>
      </w:r>
      <w:r w:rsidRPr="00D02AA3">
        <w:t xml:space="preserve"> support in </w:t>
      </w:r>
      <w:r w:rsidR="00AC787E">
        <w:t>his</w:t>
      </w:r>
      <w:r w:rsidR="005007F5">
        <w:t xml:space="preserve"> work. </w:t>
      </w:r>
      <w:r w:rsidRPr="00D02AA3">
        <w:t xml:space="preserve"> </w:t>
      </w:r>
      <w:r w:rsidR="003A0949">
        <w:t>It</w:t>
      </w:r>
      <w:r w:rsidR="00AC787E">
        <w:t xml:space="preserve"> was</w:t>
      </w:r>
      <w:r w:rsidRPr="00D02AA3">
        <w:t xml:space="preserve"> confident </w:t>
      </w:r>
      <w:r w:rsidR="00AC787E">
        <w:t>to</w:t>
      </w:r>
      <w:r w:rsidRPr="00D02AA3">
        <w:t xml:space="preserve"> achieve significant progress.</w:t>
      </w:r>
      <w:r w:rsidR="006A1618">
        <w:t xml:space="preserve">  </w:t>
      </w:r>
      <w:r w:rsidRPr="00D02AA3">
        <w:t xml:space="preserve">El Salvador </w:t>
      </w:r>
      <w:r w:rsidR="006A1618">
        <w:t>was</w:t>
      </w:r>
      <w:r w:rsidRPr="00D02AA3">
        <w:t xml:space="preserve"> a </w:t>
      </w:r>
      <w:proofErr w:type="gramStart"/>
      <w:r w:rsidRPr="00D02AA3">
        <w:t>fairly small</w:t>
      </w:r>
      <w:proofErr w:type="gramEnd"/>
      <w:r w:rsidRPr="00D02AA3">
        <w:t xml:space="preserve"> </w:t>
      </w:r>
      <w:r>
        <w:t>country</w:t>
      </w:r>
      <w:r w:rsidRPr="00D02AA3">
        <w:t xml:space="preserve"> </w:t>
      </w:r>
      <w:r w:rsidR="00CF500F">
        <w:br/>
      </w:r>
      <w:r w:rsidRPr="00D02AA3">
        <w:t xml:space="preserve">(21,000 square kilometers) </w:t>
      </w:r>
      <w:r w:rsidR="00AC787E">
        <w:t>with a population of more than six</w:t>
      </w:r>
      <w:r w:rsidRPr="00D02AA3">
        <w:t xml:space="preserve"> million inhabitants. </w:t>
      </w:r>
      <w:r>
        <w:t xml:space="preserve"> </w:t>
      </w:r>
      <w:r w:rsidR="006A1618">
        <w:t>That represented</w:t>
      </w:r>
      <w:r w:rsidRPr="00D02AA3">
        <w:t xml:space="preserve"> a population density of just over 300 inhabitants per square kilometer, which </w:t>
      </w:r>
      <w:r w:rsidR="006A1618">
        <w:t>placed</w:t>
      </w:r>
      <w:r w:rsidRPr="00D02AA3">
        <w:t xml:space="preserve"> </w:t>
      </w:r>
      <w:r w:rsidR="006A1618">
        <w:t>its</w:t>
      </w:r>
      <w:r w:rsidRPr="00D02AA3">
        <w:t xml:space="preserve"> valuable natural resources under considerable </w:t>
      </w:r>
      <w:r>
        <w:t>strain</w:t>
      </w:r>
      <w:r w:rsidRPr="00D02AA3">
        <w:t>.</w:t>
      </w:r>
      <w:r w:rsidR="006A1618">
        <w:t xml:space="preserve">  </w:t>
      </w:r>
      <w:r w:rsidRPr="00D02AA3">
        <w:t xml:space="preserve">The indigenous population </w:t>
      </w:r>
      <w:r w:rsidR="006A1618">
        <w:t>was</w:t>
      </w:r>
      <w:r>
        <w:t xml:space="preserve"> about</w:t>
      </w:r>
      <w:r w:rsidR="003A0949">
        <w:t xml:space="preserve"> 12 per</w:t>
      </w:r>
      <w:r w:rsidRPr="00D02AA3">
        <w:t xml:space="preserve">cent of </w:t>
      </w:r>
      <w:r>
        <w:t>total</w:t>
      </w:r>
      <w:r w:rsidRPr="00D02AA3">
        <w:t xml:space="preserve"> popul</w:t>
      </w:r>
      <w:r w:rsidR="003A0949">
        <w:t>ation, of which less than 1 per</w:t>
      </w:r>
      <w:r w:rsidRPr="00D02AA3">
        <w:t xml:space="preserve">cent </w:t>
      </w:r>
      <w:r w:rsidR="006A1618">
        <w:t>was</w:t>
      </w:r>
      <w:r w:rsidRPr="00D02AA3">
        <w:t xml:space="preserve"> in a position to provide for their basic living requirements. </w:t>
      </w:r>
      <w:r>
        <w:t xml:space="preserve"> </w:t>
      </w:r>
      <w:r w:rsidR="006A1618">
        <w:t>I</w:t>
      </w:r>
      <w:r w:rsidRPr="00D02AA3">
        <w:t xml:space="preserve">ndigenous peoples, </w:t>
      </w:r>
      <w:r>
        <w:t>known</w:t>
      </w:r>
      <w:r w:rsidRPr="00D02AA3">
        <w:t xml:space="preserve"> among other things </w:t>
      </w:r>
      <w:r>
        <w:t>for</w:t>
      </w:r>
      <w:r w:rsidRPr="00D02AA3">
        <w:t xml:space="preserve"> their reverence for the Earth and their profound knowledge of it, </w:t>
      </w:r>
      <w:r w:rsidR="006A1618">
        <w:t>were</w:t>
      </w:r>
      <w:r w:rsidRPr="00D02AA3">
        <w:t xml:space="preserve"> greatly affected by their geographical isolation, limited access to natural resources and the phenome</w:t>
      </w:r>
      <w:r w:rsidR="003A0949">
        <w:t>non of forced migration that had</w:t>
      </w:r>
      <w:r w:rsidRPr="00D02AA3">
        <w:t xml:space="preserve"> </w:t>
      </w:r>
      <w:r>
        <w:t>severed</w:t>
      </w:r>
      <w:r w:rsidRPr="00D02AA3">
        <w:t xml:space="preserve"> the </w:t>
      </w:r>
      <w:r>
        <w:t>younger</w:t>
      </w:r>
      <w:r w:rsidRPr="00D02AA3">
        <w:t xml:space="preserve"> generations from their roots, drastically unraveling their social fabric </w:t>
      </w:r>
      <w:r>
        <w:t>and causing other problems</w:t>
      </w:r>
      <w:r w:rsidRPr="00D02AA3">
        <w:t>.</w:t>
      </w:r>
      <w:r w:rsidR="006A1618">
        <w:t xml:space="preserve">  T</w:t>
      </w:r>
      <w:r w:rsidRPr="00D02AA3">
        <w:t xml:space="preserve">he Government </w:t>
      </w:r>
      <w:r>
        <w:t xml:space="preserve">of El Salvador </w:t>
      </w:r>
      <w:r w:rsidR="006A1618">
        <w:t>had</w:t>
      </w:r>
      <w:r w:rsidRPr="00D02AA3">
        <w:t xml:space="preserve"> been </w:t>
      </w:r>
      <w:r>
        <w:t>endeavoring to secure</w:t>
      </w:r>
      <w:r w:rsidRPr="00D02AA3">
        <w:t xml:space="preserve"> recognition and protection of indige</w:t>
      </w:r>
      <w:r w:rsidR="003A0949">
        <w:t>nous peoples and their heritage</w:t>
      </w:r>
      <w:r w:rsidRPr="00D02AA3">
        <w:t xml:space="preserve">. </w:t>
      </w:r>
      <w:r>
        <w:t xml:space="preserve"> </w:t>
      </w:r>
      <w:r w:rsidRPr="00D02AA3">
        <w:t xml:space="preserve">Efforts </w:t>
      </w:r>
      <w:r w:rsidR="006A1618">
        <w:t>were</w:t>
      </w:r>
      <w:r w:rsidRPr="00D02AA3">
        <w:t xml:space="preserve"> continuing, and in line with them, </w:t>
      </w:r>
      <w:r w:rsidR="003A0949">
        <w:t>the Delegation</w:t>
      </w:r>
      <w:r w:rsidR="006A1618">
        <w:t xml:space="preserve"> would</w:t>
      </w:r>
      <w:r w:rsidRPr="00D02AA3">
        <w:t xml:space="preserve"> be actively participating in the </w:t>
      </w:r>
      <w:r w:rsidR="006A1618">
        <w:t>IGC</w:t>
      </w:r>
      <w:r w:rsidRPr="00D02AA3">
        <w:t xml:space="preserve"> throughout the biennium</w:t>
      </w:r>
      <w:r>
        <w:t xml:space="preserve">.  </w:t>
      </w:r>
      <w:r w:rsidR="006A1618">
        <w:t>It would</w:t>
      </w:r>
      <w:r>
        <w:t xml:space="preserve"> also be</w:t>
      </w:r>
      <w:r w:rsidRPr="00D02AA3">
        <w:t xml:space="preserve"> contributing to the construction of one or more instruments to support the management of the protection of indigenous peoples around the world and their heritage, in accordance with the </w:t>
      </w:r>
      <w:r w:rsidR="00DD2326">
        <w:t>mandate</w:t>
      </w:r>
      <w:r w:rsidRPr="00D02AA3">
        <w:t xml:space="preserve"> adopted by the </w:t>
      </w:r>
      <w:r w:rsidR="00B73687">
        <w:t>GA</w:t>
      </w:r>
      <w:r w:rsidRPr="00D02AA3">
        <w:t xml:space="preserve"> in October </w:t>
      </w:r>
      <w:r>
        <w:t>2017</w:t>
      </w:r>
      <w:r w:rsidRPr="00D02AA3">
        <w:t>.</w:t>
      </w:r>
    </w:p>
    <w:p w:rsidR="00EE1B45" w:rsidRDefault="00EE1B45" w:rsidP="00EE1B45">
      <w:pPr>
        <w:pStyle w:val="ListParagraph"/>
        <w:ind w:left="0"/>
      </w:pPr>
    </w:p>
    <w:p w:rsidR="00AE0271" w:rsidRDefault="00EE1B45" w:rsidP="00AE0271">
      <w:pPr>
        <w:pStyle w:val="ListParagraph"/>
        <w:numPr>
          <w:ilvl w:val="0"/>
          <w:numId w:val="4"/>
        </w:numPr>
        <w:ind w:left="0" w:firstLine="0"/>
      </w:pPr>
      <w:r w:rsidRPr="00EE1B45">
        <w:t xml:space="preserve">The Delegation of Turkey expressed its confidence that the IGC would continue to work to reach desired results under the Chair’s guidance. </w:t>
      </w:r>
      <w:r w:rsidR="00D911DD">
        <w:t xml:space="preserve"> </w:t>
      </w:r>
      <w:r w:rsidR="00CA7147">
        <w:t>The new Turkish IP law had been</w:t>
      </w:r>
      <w:r w:rsidRPr="00EE1B45">
        <w:t xml:space="preserve"> in force since January 10, </w:t>
      </w:r>
      <w:r w:rsidR="00D911DD">
        <w:t xml:space="preserve">2017, and </w:t>
      </w:r>
      <w:r w:rsidRPr="00EE1B45">
        <w:t xml:space="preserve">combined trademarks, designs, geographical indications and patents into one piece of legislation. </w:t>
      </w:r>
      <w:r w:rsidR="00D911DD">
        <w:t xml:space="preserve"> </w:t>
      </w:r>
      <w:r w:rsidRPr="00EE1B45">
        <w:t xml:space="preserve">Together with many other novelties such as post-grant opposition and reinstatement of rights, the new IP law brought one new feature worthy of mention.  </w:t>
      </w:r>
      <w:r w:rsidR="00D911DD">
        <w:t xml:space="preserve">Article 90 </w:t>
      </w:r>
      <w:r w:rsidRPr="00EE1B45">
        <w:t xml:space="preserve">set out the necessary requirements in general for obtaining a patent application date. </w:t>
      </w:r>
      <w:r w:rsidR="00CA7147">
        <w:t xml:space="preserve"> </w:t>
      </w:r>
      <w:r w:rsidRPr="00EE1B45">
        <w:t>Article 90</w:t>
      </w:r>
      <w:r w:rsidR="00D911DD">
        <w:t>(4)</w:t>
      </w:r>
      <w:r w:rsidRPr="00EE1B45">
        <w:t xml:space="preserve"> state</w:t>
      </w:r>
      <w:r w:rsidR="00D911DD">
        <w:t>d</w:t>
      </w:r>
      <w:r w:rsidRPr="00EE1B45">
        <w:t xml:space="preserve"> </w:t>
      </w:r>
      <w:proofErr w:type="gramStart"/>
      <w:r w:rsidRPr="00EE1B45">
        <w:t>that:</w:t>
      </w:r>
      <w:proofErr w:type="gramEnd"/>
      <w:r w:rsidRPr="00EE1B45">
        <w:t xml:space="preserve"> “if the invention is based on genetic resources or traditional knowledge associated with genetic resources, the source shall be disclosed in the patent application</w:t>
      </w:r>
      <w:r w:rsidR="00D911DD">
        <w:t>.</w:t>
      </w:r>
      <w:r w:rsidRPr="00EE1B45">
        <w:t>”</w:t>
      </w:r>
      <w:r w:rsidR="00D911DD">
        <w:t xml:space="preserve"> </w:t>
      </w:r>
      <w:r w:rsidRPr="00EE1B45">
        <w:t xml:space="preserve"> In accordance with Article 95, any patent application lacking one </w:t>
      </w:r>
      <w:r w:rsidR="00CA7147">
        <w:t xml:space="preserve">of </w:t>
      </w:r>
      <w:r w:rsidRPr="00EE1B45">
        <w:t>the requirements mentioned in Article 90, “including the disc</w:t>
      </w:r>
      <w:r w:rsidR="00CA7147">
        <w:t>losure of the genetic resources</w:t>
      </w:r>
      <w:r w:rsidRPr="00EE1B45">
        <w:t>”</w:t>
      </w:r>
      <w:r w:rsidR="00CA7147">
        <w:t>,</w:t>
      </w:r>
      <w:r w:rsidRPr="00EE1B45">
        <w:t xml:space="preserve"> </w:t>
      </w:r>
      <w:proofErr w:type="gramStart"/>
      <w:r w:rsidRPr="00EE1B45">
        <w:t>shall not be taken</w:t>
      </w:r>
      <w:proofErr w:type="gramEnd"/>
      <w:r w:rsidRPr="00EE1B45">
        <w:t xml:space="preserve"> int</w:t>
      </w:r>
      <w:r w:rsidR="00CA7147">
        <w:t>o process until the deficiency wa</w:t>
      </w:r>
      <w:r w:rsidRPr="00EE1B45">
        <w:t xml:space="preserve">s corrected within two months. </w:t>
      </w:r>
      <w:r w:rsidR="00D911DD">
        <w:t xml:space="preserve"> </w:t>
      </w:r>
      <w:proofErr w:type="gramStart"/>
      <w:r w:rsidR="00CA7147">
        <w:t>Otherwise</w:t>
      </w:r>
      <w:proofErr w:type="gramEnd"/>
      <w:r w:rsidR="00CA7147">
        <w:t xml:space="preserve"> the application would be</w:t>
      </w:r>
      <w:r w:rsidRPr="00EE1B45">
        <w:t xml:space="preserve"> rejected. </w:t>
      </w:r>
      <w:r w:rsidR="00D911DD">
        <w:t xml:space="preserve"> </w:t>
      </w:r>
      <w:proofErr w:type="gramStart"/>
      <w:r w:rsidRPr="00EE1B45">
        <w:t>Also</w:t>
      </w:r>
      <w:proofErr w:type="gramEnd"/>
      <w:r w:rsidRPr="00EE1B45">
        <w:t>, its online application module, which</w:t>
      </w:r>
      <w:r w:rsidR="00CA7147">
        <w:t xml:space="preserve"> accounted for more than 95 per</w:t>
      </w:r>
      <w:r w:rsidRPr="00EE1B45">
        <w:t>cent of all patent applications, incorporated a new section where all applicants had to answer a</w:t>
      </w:r>
      <w:r w:rsidR="00D911DD">
        <w:t xml:space="preserve"> simple question: </w:t>
      </w:r>
      <w:r w:rsidR="00CA7147">
        <w:t>“I</w:t>
      </w:r>
      <w:r w:rsidRPr="00EE1B45">
        <w:t>s your application based on genetic resources? Yes/No” and if the answer was “Yes”</w:t>
      </w:r>
      <w:r w:rsidR="00CA7147">
        <w:t>,</w:t>
      </w:r>
      <w:r w:rsidRPr="00EE1B45">
        <w:t xml:space="preserve"> the applicant had to specify the source. </w:t>
      </w:r>
      <w:r w:rsidR="00CA7147">
        <w:t xml:space="preserve"> </w:t>
      </w:r>
      <w:r w:rsidR="0054591A">
        <w:t>Thus</w:t>
      </w:r>
      <w:r w:rsidR="0054591A" w:rsidRPr="00EE1B45">
        <w:t xml:space="preserve"> far</w:t>
      </w:r>
      <w:r w:rsidR="0054591A">
        <w:t>,</w:t>
      </w:r>
      <w:r w:rsidR="0054591A" w:rsidRPr="00EE1B45">
        <w:t xml:space="preserve"> </w:t>
      </w:r>
      <w:r w:rsidRPr="00EE1B45">
        <w:t>27 applicat</w:t>
      </w:r>
      <w:r w:rsidR="0054591A">
        <w:t>ions had disclosed the source</w:t>
      </w:r>
      <w:r w:rsidRPr="00EE1B45">
        <w:t xml:space="preserve">. </w:t>
      </w:r>
      <w:r w:rsidR="00D911DD">
        <w:t xml:space="preserve"> </w:t>
      </w:r>
      <w:r w:rsidRPr="00EE1B45">
        <w:t xml:space="preserve">It was an effective tool for the purpose of tracing back and determining whether GRs </w:t>
      </w:r>
      <w:proofErr w:type="gramStart"/>
      <w:r w:rsidRPr="00EE1B45">
        <w:t>had been obtained</w:t>
      </w:r>
      <w:proofErr w:type="gramEnd"/>
      <w:r w:rsidRPr="00EE1B45">
        <w:t xml:space="preserve"> lawfully. </w:t>
      </w:r>
      <w:r w:rsidR="00D911DD">
        <w:t xml:space="preserve"> </w:t>
      </w:r>
      <w:r w:rsidRPr="00EE1B45">
        <w:t>It stron</w:t>
      </w:r>
      <w:r w:rsidR="00CA7147">
        <w:t xml:space="preserve">gly supported the principle of </w:t>
      </w:r>
      <w:r w:rsidRPr="00EE1B45">
        <w:t xml:space="preserve">disclosure of origin in all patent applications based on </w:t>
      </w:r>
      <w:r w:rsidR="00CA7147">
        <w:t>GRs</w:t>
      </w:r>
      <w:r w:rsidRPr="00EE1B45">
        <w:t xml:space="preserve"> and as</w:t>
      </w:r>
      <w:r w:rsidR="00CA7147">
        <w:t>sociated TK</w:t>
      </w:r>
      <w:r w:rsidRPr="00EE1B45">
        <w:t xml:space="preserve"> as a useful tool for both national and international patent applications.</w:t>
      </w:r>
    </w:p>
    <w:p w:rsidR="00AE0271" w:rsidRDefault="00AE0271" w:rsidP="00AE0271">
      <w:pPr>
        <w:pStyle w:val="ListParagraph"/>
        <w:ind w:left="0"/>
      </w:pPr>
    </w:p>
    <w:p w:rsidR="00E67322" w:rsidRPr="00E67322" w:rsidRDefault="00AE0271" w:rsidP="00E67322">
      <w:pPr>
        <w:pStyle w:val="ListParagraph"/>
        <w:numPr>
          <w:ilvl w:val="0"/>
          <w:numId w:val="4"/>
        </w:numPr>
        <w:ind w:left="0" w:firstLine="0"/>
      </w:pPr>
      <w:r w:rsidRPr="00DE043E">
        <w:t>The representative of Tupaj Amaru</w:t>
      </w:r>
      <w:r w:rsidR="00E67322" w:rsidRPr="00DE043E">
        <w:t xml:space="preserve"> said that the IGC established in 2000 by the </w:t>
      </w:r>
      <w:r w:rsidR="00CC3D11" w:rsidRPr="00DE043E">
        <w:t>GA</w:t>
      </w:r>
      <w:r w:rsidR="00E67322" w:rsidRPr="00DE043E">
        <w:t xml:space="preserve"> </w:t>
      </w:r>
      <w:proofErr w:type="gramStart"/>
      <w:r w:rsidR="00E67322" w:rsidRPr="00DE043E">
        <w:t>was mandated</w:t>
      </w:r>
      <w:proofErr w:type="gramEnd"/>
      <w:r w:rsidR="00E67322" w:rsidRPr="00DE043E">
        <w:t xml:space="preserve"> to examine the draft of an international instrument for </w:t>
      </w:r>
      <w:r w:rsidR="00CF500F">
        <w:t>the protection of GRs in the IP </w:t>
      </w:r>
      <w:r w:rsidR="00E67322" w:rsidRPr="00DE043E">
        <w:t>context.  However, the IGC had not made substantive progress owing to a lack of political will</w:t>
      </w:r>
      <w:r w:rsidR="00DE043E">
        <w:t xml:space="preserve">.  </w:t>
      </w:r>
      <w:r w:rsidR="00E67322" w:rsidRPr="00DE043E">
        <w:t xml:space="preserve">The great British astrophysicist Stephen Hawking, who had died on March 15, 2018 and who had discovered black holes in the universe, had said that both climate </w:t>
      </w:r>
      <w:proofErr w:type="gramStart"/>
      <w:r w:rsidR="00E67322" w:rsidRPr="00DE043E">
        <w:t>change</w:t>
      </w:r>
      <w:proofErr w:type="gramEnd"/>
      <w:r w:rsidR="00E67322" w:rsidRPr="00DE043E">
        <w:t xml:space="preserve"> caused by the destruction of GRs and artificial intelligence were a danger to the survival of humanity.  </w:t>
      </w:r>
      <w:r w:rsidR="00BA4E88">
        <w:t>B</w:t>
      </w:r>
      <w:r w:rsidR="00E67322" w:rsidRPr="00DE043E">
        <w:t>iodiversity and GRs were the material and spiritual source of survival of</w:t>
      </w:r>
      <w:r w:rsidR="00E67322" w:rsidRPr="00E67322">
        <w:t xml:space="preserve"> humanity, particularly necessary to strike a balance between man and nature, which was vital for the sustenance of all life on Earth.  </w:t>
      </w:r>
      <w:r w:rsidR="00E67322">
        <w:t>I</w:t>
      </w:r>
      <w:r w:rsidR="00E67322" w:rsidRPr="00E67322">
        <w:t>n the materialistic conception of the history of</w:t>
      </w:r>
      <w:r w:rsidR="00E926A3">
        <w:t xml:space="preserve"> indigenous peoples, </w:t>
      </w:r>
      <w:r w:rsidR="00E67322" w:rsidRPr="00E67322">
        <w:t>GRs and TK that involved an infinite number of living organisms and other life forms in constant transformation over millions of years, constitute</w:t>
      </w:r>
      <w:r w:rsidR="00E67322">
        <w:t>d</w:t>
      </w:r>
      <w:r w:rsidR="00E67322" w:rsidRPr="00E67322">
        <w:t xml:space="preserve"> the sustenance of all life on Mother Earth that gave life. </w:t>
      </w:r>
      <w:r w:rsidR="00E67322">
        <w:t xml:space="preserve"> </w:t>
      </w:r>
      <w:r w:rsidR="00E67322" w:rsidRPr="00E67322">
        <w:t>The indigenous peoples, who were an intrinsic part of nature, knew how to live in harmony with the environment and consider</w:t>
      </w:r>
      <w:r w:rsidR="00E67322">
        <w:t>ed</w:t>
      </w:r>
      <w:r w:rsidR="00E67322" w:rsidRPr="00E67322">
        <w:t xml:space="preserve"> </w:t>
      </w:r>
      <w:proofErr w:type="gramStart"/>
      <w:r w:rsidR="00E67322" w:rsidRPr="00E67322">
        <w:t>themselves</w:t>
      </w:r>
      <w:proofErr w:type="gramEnd"/>
      <w:r w:rsidR="00E67322" w:rsidRPr="00E67322">
        <w:t xml:space="preserve"> the product of Mother Earth.  Their ancestors knew how to cultivate the land with respect, care for every tree that gave shade to </w:t>
      </w:r>
      <w:r w:rsidR="00E67322" w:rsidRPr="00E67322">
        <w:lastRenderedPageBreak/>
        <w:t>their tombs, hunt animals according to their material and spiritual needs and share the fruits of collective labor to ensure collective prosperity.  Instead, the new neo-colonial order ha</w:t>
      </w:r>
      <w:r w:rsidR="00E67322">
        <w:t>d</w:t>
      </w:r>
      <w:r w:rsidR="00E67322" w:rsidRPr="00E67322">
        <w:t xml:space="preserve"> destroyed the way of life of their ancestors.  Accordingly, the IGC should examine genetic material </w:t>
      </w:r>
      <w:proofErr w:type="gramStart"/>
      <w:r w:rsidR="00E67322" w:rsidRPr="00E67322">
        <w:t>not only in terms of</w:t>
      </w:r>
      <w:proofErr w:type="gramEnd"/>
      <w:r w:rsidR="00E67322" w:rsidRPr="00E67322">
        <w:t xml:space="preserve"> market, financial gain, profitability and investments between providers and recipients of such intrinsic values, but in the spirit of their conservation and sustainable development for the survival of humankind.</w:t>
      </w:r>
    </w:p>
    <w:p w:rsidR="00D067F7" w:rsidRPr="009B459C" w:rsidRDefault="00D067F7" w:rsidP="007302BA">
      <w:pPr>
        <w:pStyle w:val="ListParagraph"/>
        <w:ind w:left="0"/>
      </w:pPr>
    </w:p>
    <w:p w:rsidR="009B459C" w:rsidRPr="009B459C" w:rsidRDefault="00581F26" w:rsidP="003B4B38">
      <w:pPr>
        <w:pStyle w:val="Heading1"/>
        <w:spacing w:before="0"/>
      </w:pPr>
      <w:r>
        <w:t>AGENDA ITEM 4</w:t>
      </w:r>
      <w:r w:rsidR="00EF0916">
        <w:t xml:space="preserve">:  </w:t>
      </w:r>
      <w:r w:rsidR="009B459C" w:rsidRPr="009B459C">
        <w:t xml:space="preserve">ADOPTION OF THE REPORT OF THE </w:t>
      </w:r>
      <w:r w:rsidR="00180D49">
        <w:t>Thirty-</w:t>
      </w:r>
      <w:r>
        <w:t>Fourth</w:t>
      </w:r>
      <w:r w:rsidR="009B459C" w:rsidRPr="009B459C">
        <w:t xml:space="preserve"> SESSION</w:t>
      </w:r>
    </w:p>
    <w:p w:rsidR="00534794" w:rsidRPr="009B459C" w:rsidRDefault="00534794" w:rsidP="00534794"/>
    <w:p w:rsidR="00F114D5" w:rsidRDefault="00F114D5" w:rsidP="00310121">
      <w:pPr>
        <w:pStyle w:val="ListParagraph"/>
        <w:numPr>
          <w:ilvl w:val="0"/>
          <w:numId w:val="4"/>
        </w:numPr>
        <w:ind w:left="0" w:firstLine="0"/>
        <w:rPr>
          <w:rFonts w:cs="Times New Roman"/>
        </w:rPr>
      </w:pPr>
      <w:r w:rsidRPr="00F114D5">
        <w:rPr>
          <w:rFonts w:cs="Courier New"/>
        </w:rPr>
        <w:t>The</w:t>
      </w:r>
      <w:r w:rsidRPr="00817668">
        <w:rPr>
          <w:rFonts w:cs="Times New Roman"/>
        </w:rPr>
        <w:t xml:space="preserve"> Chair referred to the draft report of IGC 34 and recalled that it</w:t>
      </w:r>
      <w:r w:rsidR="00C10156">
        <w:rPr>
          <w:rFonts w:cs="Times New Roman"/>
        </w:rPr>
        <w:t xml:space="preserve"> was not a verbatim report, and </w:t>
      </w:r>
      <w:r w:rsidRPr="00817668">
        <w:rPr>
          <w:rFonts w:cs="Times New Roman"/>
        </w:rPr>
        <w:t xml:space="preserve">it summarized the discussion without reflecting all the observations in detail. </w:t>
      </w:r>
      <w:r w:rsidR="00534794">
        <w:rPr>
          <w:rFonts w:cs="Times New Roman"/>
        </w:rPr>
        <w:t xml:space="preserve"> </w:t>
      </w:r>
      <w:r w:rsidRPr="00817668">
        <w:rPr>
          <w:rFonts w:cs="Times New Roman"/>
        </w:rPr>
        <w:t xml:space="preserve">The rules of procedure stated that any intervention </w:t>
      </w:r>
      <w:r w:rsidR="007F6CCA">
        <w:rPr>
          <w:rFonts w:cs="Times New Roman"/>
        </w:rPr>
        <w:t>under this</w:t>
      </w:r>
      <w:r w:rsidRPr="00817668">
        <w:rPr>
          <w:rFonts w:cs="Times New Roman"/>
        </w:rPr>
        <w:t xml:space="preserve"> item had to </w:t>
      </w:r>
      <w:proofErr w:type="gramStart"/>
      <w:r w:rsidRPr="00817668">
        <w:rPr>
          <w:rFonts w:cs="Times New Roman"/>
        </w:rPr>
        <w:t xml:space="preserve">be </w:t>
      </w:r>
      <w:r w:rsidR="005F4BB9">
        <w:rPr>
          <w:rFonts w:cs="Times New Roman"/>
        </w:rPr>
        <w:t xml:space="preserve">solely </w:t>
      </w:r>
      <w:r w:rsidRPr="00817668">
        <w:rPr>
          <w:rFonts w:cs="Times New Roman"/>
        </w:rPr>
        <w:t>related</w:t>
      </w:r>
      <w:proofErr w:type="gramEnd"/>
      <w:r w:rsidRPr="00817668">
        <w:rPr>
          <w:rFonts w:cs="Times New Roman"/>
        </w:rPr>
        <w:t xml:space="preserve"> to submis</w:t>
      </w:r>
      <w:r w:rsidR="00534794">
        <w:rPr>
          <w:rFonts w:cs="Times New Roman"/>
        </w:rPr>
        <w:t xml:space="preserve">sions made at </w:t>
      </w:r>
      <w:r w:rsidR="005F4BB9">
        <w:rPr>
          <w:rFonts w:cs="Times New Roman"/>
        </w:rPr>
        <w:t xml:space="preserve">and the report of </w:t>
      </w:r>
      <w:r w:rsidR="00534794">
        <w:rPr>
          <w:rFonts w:cs="Times New Roman"/>
        </w:rPr>
        <w:t>IGC 34</w:t>
      </w:r>
      <w:r w:rsidRPr="00817668">
        <w:rPr>
          <w:rFonts w:cs="Times New Roman"/>
        </w:rPr>
        <w:t xml:space="preserve">.  </w:t>
      </w:r>
    </w:p>
    <w:p w:rsidR="00534794" w:rsidRPr="00817668" w:rsidRDefault="00534794" w:rsidP="00534794">
      <w:pPr>
        <w:pStyle w:val="ListParagraph"/>
        <w:ind w:left="0"/>
        <w:rPr>
          <w:rFonts w:cs="Times New Roman"/>
        </w:rPr>
      </w:pPr>
    </w:p>
    <w:p w:rsidR="00534794" w:rsidRPr="003B4B38" w:rsidRDefault="00534794" w:rsidP="00534794">
      <w:pPr>
        <w:pStyle w:val="ListParagraph"/>
        <w:ind w:left="5533"/>
        <w:rPr>
          <w:i/>
        </w:rPr>
      </w:pPr>
      <w:r>
        <w:rPr>
          <w:i/>
        </w:rPr>
        <w:t>Decision on Agenda Item 4</w:t>
      </w:r>
      <w:r w:rsidRPr="003B4B38">
        <w:rPr>
          <w:i/>
        </w:rPr>
        <w:t>:</w:t>
      </w:r>
    </w:p>
    <w:p w:rsidR="00534794" w:rsidRPr="003B4B38" w:rsidRDefault="00534794" w:rsidP="00534794">
      <w:pPr>
        <w:pStyle w:val="ListParagraph"/>
        <w:ind w:left="5533"/>
        <w:rPr>
          <w:i/>
        </w:rPr>
      </w:pPr>
    </w:p>
    <w:p w:rsidR="00534794" w:rsidRPr="003B4B38" w:rsidRDefault="00534794" w:rsidP="00534794">
      <w:pPr>
        <w:pStyle w:val="ListParagraph"/>
        <w:numPr>
          <w:ilvl w:val="0"/>
          <w:numId w:val="4"/>
        </w:numPr>
        <w:ind w:left="5533" w:firstLine="0"/>
        <w:rPr>
          <w:i/>
        </w:rPr>
      </w:pPr>
      <w:r w:rsidRPr="00534794">
        <w:rPr>
          <w:i/>
        </w:rPr>
        <w:t xml:space="preserve">The Chair submitted the draft report of the Thirty-Fourth Session of the Committee (WIPO/GRTKF/IC/34/14 Prov. 3) for adoption and it </w:t>
      </w:r>
      <w:proofErr w:type="gramStart"/>
      <w:r w:rsidRPr="00534794">
        <w:rPr>
          <w:i/>
        </w:rPr>
        <w:t>was adopted</w:t>
      </w:r>
      <w:proofErr w:type="gramEnd"/>
      <w:r w:rsidRPr="00534794">
        <w:rPr>
          <w:i/>
        </w:rPr>
        <w:t>.</w:t>
      </w:r>
    </w:p>
    <w:p w:rsidR="00C92807" w:rsidRDefault="00C92807"/>
    <w:p w:rsidR="009B459C" w:rsidRPr="009B459C" w:rsidRDefault="00581F26" w:rsidP="00D041DA">
      <w:pPr>
        <w:pStyle w:val="Heading1"/>
        <w:spacing w:before="0"/>
      </w:pPr>
      <w:r>
        <w:t>AGENDA ITEM 5</w:t>
      </w:r>
      <w:r w:rsidR="00EF0916">
        <w:t xml:space="preserve">:  </w:t>
      </w:r>
      <w:r w:rsidR="009B459C" w:rsidRPr="009B459C">
        <w:t>ACCREDITATION OF CERTAIN ORGANIZATIONS</w:t>
      </w:r>
    </w:p>
    <w:p w:rsidR="009B459C" w:rsidRPr="009B459C" w:rsidRDefault="009B459C" w:rsidP="00D041DA">
      <w:pPr>
        <w:pStyle w:val="ListParagraph"/>
        <w:ind w:left="0"/>
      </w:pPr>
    </w:p>
    <w:p w:rsidR="009B459C" w:rsidRPr="00D041DA" w:rsidRDefault="009B459C" w:rsidP="00D041DA">
      <w:pPr>
        <w:pStyle w:val="ListParagraph"/>
        <w:ind w:left="5533"/>
        <w:rPr>
          <w:i/>
        </w:rPr>
      </w:pPr>
      <w:r w:rsidRPr="00D041DA">
        <w:rPr>
          <w:i/>
        </w:rPr>
        <w:t xml:space="preserve">Decision on </w:t>
      </w:r>
      <w:r w:rsidR="00581F26">
        <w:rPr>
          <w:i/>
        </w:rPr>
        <w:t>Agenda Item 5</w:t>
      </w:r>
      <w:r w:rsidRPr="00D041DA">
        <w:rPr>
          <w:i/>
        </w:rPr>
        <w:t>:</w:t>
      </w:r>
    </w:p>
    <w:p w:rsidR="009B459C" w:rsidRPr="00D041DA" w:rsidRDefault="009B459C" w:rsidP="00D041DA">
      <w:pPr>
        <w:pStyle w:val="ListParagraph"/>
        <w:ind w:left="5533"/>
        <w:rPr>
          <w:i/>
        </w:rPr>
      </w:pPr>
    </w:p>
    <w:p w:rsidR="009B459C" w:rsidRPr="009F5CB3" w:rsidRDefault="009F5CB3" w:rsidP="00310121">
      <w:pPr>
        <w:pStyle w:val="ListParagraph"/>
        <w:numPr>
          <w:ilvl w:val="0"/>
          <w:numId w:val="4"/>
        </w:numPr>
        <w:ind w:left="5533" w:firstLine="0"/>
        <w:rPr>
          <w:i/>
        </w:rPr>
      </w:pPr>
      <w:r w:rsidRPr="009F5CB3">
        <w:rPr>
          <w:i/>
        </w:rPr>
        <w:t xml:space="preserve">Consideration of this item </w:t>
      </w:r>
      <w:proofErr w:type="gramStart"/>
      <w:r w:rsidRPr="009F5CB3">
        <w:rPr>
          <w:i/>
        </w:rPr>
        <w:t>was deferred</w:t>
      </w:r>
      <w:proofErr w:type="gramEnd"/>
      <w:r w:rsidRPr="009F5CB3">
        <w:rPr>
          <w:i/>
        </w:rPr>
        <w:t xml:space="preserve"> to the Thirty-Sixth Session.</w:t>
      </w:r>
    </w:p>
    <w:p w:rsidR="003C4338" w:rsidRDefault="003C4338" w:rsidP="00A73439"/>
    <w:p w:rsidR="009B459C" w:rsidRPr="009B459C" w:rsidRDefault="00581F26" w:rsidP="00BE2F67">
      <w:pPr>
        <w:pStyle w:val="Heading1"/>
        <w:spacing w:before="0"/>
      </w:pPr>
      <w:r>
        <w:t>AGENDA ITEM 6</w:t>
      </w:r>
      <w:r w:rsidR="00A73439">
        <w:t xml:space="preserve">:  </w:t>
      </w:r>
      <w:r w:rsidR="009B459C" w:rsidRPr="009B459C">
        <w:t>PARTICIPATION OF INDIGENOUS AND LOCAL COMMUNITIES</w:t>
      </w:r>
    </w:p>
    <w:p w:rsidR="006D1C8F" w:rsidRDefault="006D1C8F" w:rsidP="00BE2F67">
      <w:pPr>
        <w:pStyle w:val="ListParagraph"/>
        <w:ind w:left="0"/>
      </w:pPr>
    </w:p>
    <w:p w:rsidR="006D1C8F" w:rsidRPr="0072017B" w:rsidRDefault="006D1C8F" w:rsidP="00310121">
      <w:pPr>
        <w:pStyle w:val="ListParagraph"/>
        <w:numPr>
          <w:ilvl w:val="0"/>
          <w:numId w:val="4"/>
        </w:numPr>
        <w:ind w:left="0" w:firstLine="0"/>
        <w:rPr>
          <w:rFonts w:cs="Courier New"/>
        </w:rPr>
      </w:pPr>
      <w:r w:rsidRPr="0072017B">
        <w:rPr>
          <w:rFonts w:cs="Courier New"/>
        </w:rPr>
        <w:t>The Chair acknowledged th</w:t>
      </w:r>
      <w:r w:rsidR="00E150C3" w:rsidRPr="0072017B">
        <w:rPr>
          <w:rFonts w:cs="Courier New"/>
        </w:rPr>
        <w:t xml:space="preserve">e </w:t>
      </w:r>
      <w:r w:rsidR="00B1655E">
        <w:rPr>
          <w:rFonts w:cs="Courier New"/>
        </w:rPr>
        <w:t xml:space="preserve">recent </w:t>
      </w:r>
      <w:r w:rsidR="00E150C3" w:rsidRPr="0072017B">
        <w:rPr>
          <w:rFonts w:cs="Courier New"/>
        </w:rPr>
        <w:t xml:space="preserve">death of Mr. Thomas Alarcon who </w:t>
      </w:r>
      <w:r w:rsidRPr="0072017B">
        <w:rPr>
          <w:rFonts w:cs="Courier New"/>
        </w:rPr>
        <w:t xml:space="preserve">had actively participated in the IGC discussions.  </w:t>
      </w:r>
      <w:r w:rsidR="00B1655E">
        <w:rPr>
          <w:rFonts w:cs="Courier New"/>
        </w:rPr>
        <w:t>On behalf of the IGC, h</w:t>
      </w:r>
      <w:r w:rsidRPr="0072017B">
        <w:rPr>
          <w:rFonts w:cs="Courier New"/>
        </w:rPr>
        <w:t>is heartfelt condolences went to his family, his people, and his nation. Regarding the Voluntary Fund, he called upon delegations to consult internally and consider contributing.  There was suffici</w:t>
      </w:r>
      <w:r w:rsidR="00CF500F">
        <w:rPr>
          <w:rFonts w:cs="Courier New"/>
        </w:rPr>
        <w:t>ent money remaining to fund two </w:t>
      </w:r>
      <w:r w:rsidRPr="0072017B">
        <w:rPr>
          <w:rFonts w:cs="Courier New"/>
        </w:rPr>
        <w:t xml:space="preserve">individuals for IGC 36.  Members were well aware of the importance of indigenous representation at </w:t>
      </w:r>
      <w:r w:rsidR="00E150C3" w:rsidRPr="0072017B">
        <w:rPr>
          <w:rFonts w:cs="Courier New"/>
        </w:rPr>
        <w:t xml:space="preserve">the </w:t>
      </w:r>
      <w:r w:rsidRPr="0072017B">
        <w:rPr>
          <w:rFonts w:cs="Courier New"/>
        </w:rPr>
        <w:t xml:space="preserve">IGC meetings to the credibility of the IGC’s work.  He could not overemphasize the importance of the Fund </w:t>
      </w:r>
      <w:proofErr w:type="gramStart"/>
      <w:r w:rsidRPr="0072017B">
        <w:rPr>
          <w:rFonts w:cs="Courier New"/>
        </w:rPr>
        <w:t>being replenished</w:t>
      </w:r>
      <w:proofErr w:type="gramEnd"/>
      <w:r w:rsidRPr="0072017B">
        <w:rPr>
          <w:rFonts w:cs="Courier New"/>
        </w:rPr>
        <w:t xml:space="preserve">.  He drew attention </w:t>
      </w:r>
      <w:r w:rsidR="00E150C3" w:rsidRPr="0072017B">
        <w:rPr>
          <w:rFonts w:cs="Courier New"/>
        </w:rPr>
        <w:t>to d</w:t>
      </w:r>
      <w:r w:rsidRPr="0072017B">
        <w:rPr>
          <w:rFonts w:cs="Courier New"/>
        </w:rPr>
        <w:t>ocument WIPO/GRTKF/IC/35/INF/4, which provided information on the current state of contributions and applications for support</w:t>
      </w:r>
      <w:r w:rsidR="00E150C3" w:rsidRPr="0072017B">
        <w:rPr>
          <w:rFonts w:cs="Courier New"/>
        </w:rPr>
        <w:t>, and d</w:t>
      </w:r>
      <w:r w:rsidRPr="0072017B">
        <w:rPr>
          <w:rFonts w:cs="Courier New"/>
        </w:rPr>
        <w:t xml:space="preserve">ocument WIPO/GRTKF/IC/35/3 concerning the appointment of members of the Advisory Board.  </w:t>
      </w:r>
      <w:r w:rsidR="0072017B" w:rsidRPr="0072017B">
        <w:t xml:space="preserve">The IGC </w:t>
      </w:r>
      <w:proofErr w:type="gramStart"/>
      <w:r w:rsidR="0072017B" w:rsidRPr="0072017B">
        <w:t>would later be invited</w:t>
      </w:r>
      <w:proofErr w:type="gramEnd"/>
      <w:r w:rsidR="0072017B" w:rsidRPr="0072017B">
        <w:t xml:space="preserve"> to elect members of the Board.  The Chair proposed that Mr. Faizal Chery Sidharta, the Vice-Chair serve as the Chair of the Advisory Board.  The outcomes of the Board’s deliberations </w:t>
      </w:r>
      <w:proofErr w:type="gramStart"/>
      <w:r w:rsidR="0072017B" w:rsidRPr="0072017B">
        <w:t>would be reported on</w:t>
      </w:r>
      <w:proofErr w:type="gramEnd"/>
      <w:r w:rsidR="0072017B" w:rsidRPr="0072017B">
        <w:t xml:space="preserve"> in document WIPO/GRTKF/IC/</w:t>
      </w:r>
      <w:r w:rsidR="0072017B">
        <w:t>35/</w:t>
      </w:r>
      <w:r w:rsidR="0072017B" w:rsidRPr="0072017B">
        <w:t xml:space="preserve">INF/6. </w:t>
      </w:r>
      <w:r w:rsidRPr="0072017B">
        <w:rPr>
          <w:rFonts w:cs="Courier New"/>
        </w:rPr>
        <w:t xml:space="preserve">  </w:t>
      </w:r>
    </w:p>
    <w:p w:rsidR="009B459C" w:rsidRPr="00BE2F67" w:rsidRDefault="009B459C" w:rsidP="00BE2F67">
      <w:pPr>
        <w:pStyle w:val="ListParagraph"/>
        <w:ind w:left="0"/>
      </w:pPr>
    </w:p>
    <w:p w:rsidR="00BE2F67" w:rsidRPr="00E150C3" w:rsidRDefault="00B0369F" w:rsidP="00310121">
      <w:pPr>
        <w:pStyle w:val="ListParagraph"/>
        <w:numPr>
          <w:ilvl w:val="0"/>
          <w:numId w:val="4"/>
        </w:numPr>
        <w:ind w:left="0" w:firstLine="0"/>
      </w:pPr>
      <w:r w:rsidRPr="00E150C3">
        <w:t>[Note from the Secretariat]</w:t>
      </w:r>
      <w:r w:rsidR="00EF0916" w:rsidRPr="00E150C3">
        <w:t xml:space="preserve">:  </w:t>
      </w:r>
      <w:r w:rsidR="000C33F7" w:rsidRPr="00E150C3">
        <w:t>The Indigenous Pane</w:t>
      </w:r>
      <w:r w:rsidR="008C5FD8" w:rsidRPr="00E150C3">
        <w:t>l at IGC 35</w:t>
      </w:r>
      <w:r w:rsidRPr="00E150C3">
        <w:t xml:space="preserve"> addressed </w:t>
      </w:r>
      <w:r w:rsidR="00BE2F67" w:rsidRPr="00E150C3">
        <w:t>the following topic</w:t>
      </w:r>
      <w:r w:rsidR="00F114D5" w:rsidRPr="00E150C3">
        <w:t xml:space="preserve">:  </w:t>
      </w:r>
      <w:r w:rsidR="00F114D5" w:rsidRPr="00E150C3">
        <w:rPr>
          <w:rFonts w:cs="Courier New"/>
        </w:rPr>
        <w:t>“Proposed Patent Disclosure Requirements Related to Genetic Resources — Indigenous Peoples’ and Local Communities’ Perspectives.”</w:t>
      </w:r>
      <w:r w:rsidR="00AE1D54" w:rsidRPr="00E150C3">
        <w:t xml:space="preserve">  </w:t>
      </w:r>
      <w:r w:rsidR="00BE2F67" w:rsidRPr="00E150C3">
        <w:t>The speaker</w:t>
      </w:r>
      <w:r w:rsidR="00E150C3" w:rsidRPr="00E150C3">
        <w:t>s</w:t>
      </w:r>
      <w:r w:rsidR="00BE2F67" w:rsidRPr="00E150C3">
        <w:t xml:space="preserve"> </w:t>
      </w:r>
      <w:r w:rsidR="00E150C3" w:rsidRPr="00E150C3">
        <w:t>were</w:t>
      </w:r>
      <w:r w:rsidR="00E17893" w:rsidRPr="00E150C3">
        <w:t xml:space="preserve"> </w:t>
      </w:r>
      <w:r w:rsidR="00F114D5" w:rsidRPr="00E150C3">
        <w:rPr>
          <w:rFonts w:cs="Courier New"/>
        </w:rPr>
        <w:t>Mr. Ndiaga Sall, Head of Department at SEPCOM (Knowledge and Community Practices in Health), Head of Enda Health, Senegal</w:t>
      </w:r>
      <w:r w:rsidR="00E150C3" w:rsidRPr="00E150C3">
        <w:t xml:space="preserve">;  </w:t>
      </w:r>
      <w:r w:rsidR="00F114D5" w:rsidRPr="00E150C3">
        <w:rPr>
          <w:rFonts w:cs="Courier New"/>
        </w:rPr>
        <w:t>Ms. Neva Collings, Ph.D. candidate, University of Technology Sydney, Faculty of Law, Australia</w:t>
      </w:r>
      <w:r w:rsidR="00E150C3" w:rsidRPr="00E150C3">
        <w:rPr>
          <w:rFonts w:cs="Courier New"/>
        </w:rPr>
        <w:t xml:space="preserve">; </w:t>
      </w:r>
      <w:r w:rsidR="00F114D5" w:rsidRPr="00E150C3">
        <w:t xml:space="preserve"> and </w:t>
      </w:r>
      <w:r w:rsidR="00F114D5" w:rsidRPr="00E150C3">
        <w:rPr>
          <w:rFonts w:cs="Courier New"/>
        </w:rPr>
        <w:t xml:space="preserve">Mr. Q”apaj Conde Choque, Aymar lawyer, </w:t>
      </w:r>
      <w:r w:rsidR="00F114D5" w:rsidRPr="00E150C3">
        <w:rPr>
          <w:rFonts w:cs="Courier New"/>
          <w:i/>
        </w:rPr>
        <w:t>Centro de Estudios Multidisplinarios – Aymara</w:t>
      </w:r>
      <w:r w:rsidR="00F114D5" w:rsidRPr="00E150C3">
        <w:rPr>
          <w:rFonts w:cs="Courier New"/>
        </w:rPr>
        <w:t>, Plurinational State of Bolivia.</w:t>
      </w:r>
      <w:r w:rsidR="00AE1D54" w:rsidRPr="00E150C3">
        <w:t xml:space="preserve">  </w:t>
      </w:r>
      <w:r w:rsidRPr="00E150C3">
        <w:t>T</w:t>
      </w:r>
      <w:r w:rsidR="00BE2F67" w:rsidRPr="00E150C3">
        <w:t>he Chair of the Panel</w:t>
      </w:r>
      <w:r w:rsidRPr="00E150C3">
        <w:t xml:space="preserve"> was</w:t>
      </w:r>
      <w:r w:rsidR="00BE2F67" w:rsidRPr="00E150C3">
        <w:t xml:space="preserve"> </w:t>
      </w:r>
      <w:r w:rsidR="00CF500F">
        <w:t>Mr. </w:t>
      </w:r>
      <w:r w:rsidR="00F114D5" w:rsidRPr="00E150C3">
        <w:rPr>
          <w:rFonts w:cs="Courier New"/>
        </w:rPr>
        <w:t xml:space="preserve">Nelson de León Kantule, Vocal-Directivo, </w:t>
      </w:r>
      <w:proofErr w:type="gramStart"/>
      <w:r w:rsidR="00F114D5" w:rsidRPr="00E150C3">
        <w:rPr>
          <w:rFonts w:cs="Courier New"/>
        </w:rPr>
        <w:t>Association</w:t>
      </w:r>
      <w:proofErr w:type="gramEnd"/>
      <w:r w:rsidR="00F114D5" w:rsidRPr="00E150C3">
        <w:rPr>
          <w:rFonts w:cs="Courier New"/>
        </w:rPr>
        <w:t xml:space="preserve"> of Kunas United</w:t>
      </w:r>
      <w:r w:rsidR="00E150C3" w:rsidRPr="00E150C3">
        <w:rPr>
          <w:rFonts w:cs="Courier New"/>
        </w:rPr>
        <w:t xml:space="preserve"> for Mother Earth (KUNA), Panama</w:t>
      </w:r>
      <w:r w:rsidR="00AE1D54" w:rsidRPr="00E150C3">
        <w:t xml:space="preserve">.  </w:t>
      </w:r>
      <w:r w:rsidR="00BE2F67" w:rsidRPr="00E150C3">
        <w:t xml:space="preserve">The presentations </w:t>
      </w:r>
      <w:proofErr w:type="gramStart"/>
      <w:r w:rsidR="00BE2F67" w:rsidRPr="00E150C3">
        <w:t>were made</w:t>
      </w:r>
      <w:proofErr w:type="gramEnd"/>
      <w:r w:rsidR="00BE2F67" w:rsidRPr="00E150C3">
        <w:t xml:space="preserve"> according </w:t>
      </w:r>
      <w:r w:rsidR="00581F26" w:rsidRPr="00E150C3">
        <w:t xml:space="preserve">to the program </w:t>
      </w:r>
      <w:r w:rsidR="00581F26" w:rsidRPr="00E150C3">
        <w:lastRenderedPageBreak/>
        <w:t>(WIPO/GRTKF/IC/35</w:t>
      </w:r>
      <w:r w:rsidR="00BE2F67" w:rsidRPr="00E150C3">
        <w:t xml:space="preserve">/INF/5) and </w:t>
      </w:r>
      <w:r w:rsidRPr="00E150C3">
        <w:t>are</w:t>
      </w:r>
      <w:r w:rsidR="00BE2F67" w:rsidRPr="00E150C3">
        <w:t xml:space="preserve"> available on the TK website as received</w:t>
      </w:r>
      <w:r w:rsidR="00AE1D54" w:rsidRPr="00E150C3">
        <w:t xml:space="preserve">.  </w:t>
      </w:r>
      <w:r w:rsidR="00BE2F67" w:rsidRPr="00E150C3">
        <w:t xml:space="preserve">The Chair of the Panel submitted a written report on the Panel to the WIPO Secretariat which is </w:t>
      </w:r>
      <w:r w:rsidR="0092580A" w:rsidRPr="00E150C3">
        <w:t xml:space="preserve">reproduced, as </w:t>
      </w:r>
      <w:r w:rsidR="00BE2F67" w:rsidRPr="00E150C3">
        <w:t>summarized, below</w:t>
      </w:r>
      <w:r w:rsidR="00AE1D54" w:rsidRPr="00E150C3">
        <w:t xml:space="preserve">:  </w:t>
      </w:r>
    </w:p>
    <w:p w:rsidR="00BE2F67" w:rsidRPr="000C6AF1" w:rsidRDefault="00BE2F67" w:rsidP="00BE2F67"/>
    <w:p w:rsidR="009451C9" w:rsidRPr="000C6AF1" w:rsidRDefault="00BE2F67" w:rsidP="009451C9">
      <w:pPr>
        <w:ind w:left="567"/>
      </w:pPr>
      <w:r w:rsidRPr="000C6AF1">
        <w:t>“</w:t>
      </w:r>
      <w:r w:rsidR="009451C9" w:rsidRPr="000C6AF1">
        <w:t>The first speaker was Ms. Neva Collings, an Aboriginal lawyer from Australia.  The main topic developed by Ms. Collings was the importance of using new protocols, such as the Nagoya Protocol.  Ms. Collings called for the application of the Nagoya Protocol in the negotiations taking place at WIPO, and for the fair and equitable sharing of the benefits arising from its use of resources.  Her intervention ended with an appeal for the full and effective participation of indigenous peoples</w:t>
      </w:r>
      <w:r w:rsidR="002F1C1E">
        <w:t xml:space="preserve"> in the IGC</w:t>
      </w:r>
      <w:r w:rsidR="009451C9" w:rsidRPr="000C6AF1">
        <w:t>, as the process could otherwise have a very negative impact on them.</w:t>
      </w:r>
    </w:p>
    <w:p w:rsidR="009451C9" w:rsidRPr="000C6AF1" w:rsidRDefault="009451C9" w:rsidP="009451C9">
      <w:pPr>
        <w:ind w:left="567"/>
      </w:pPr>
    </w:p>
    <w:p w:rsidR="009451C9" w:rsidRPr="000C6AF1" w:rsidRDefault="009451C9" w:rsidP="009451C9">
      <w:pPr>
        <w:ind w:left="567"/>
      </w:pPr>
      <w:r w:rsidRPr="000C6AF1">
        <w:t>The second speaker was Mr. Ndiaga Sall, a native of the African nation of Senegal.  He is Head of the Department of Knowledge and Community Practices in Health.  He spoke about his experience working with traditional healers, who are rebuilding a way of life that guarantees the conservation and sustainable use of biodiversity.  His concluding recommendations emphasized the need for the IGC negotiation process to consider other fora and instruments related to the protection of TK, such as the CBD and the UNDRIP, and to harmonize with them.</w:t>
      </w:r>
    </w:p>
    <w:p w:rsidR="009451C9" w:rsidRPr="000C6AF1" w:rsidRDefault="009451C9" w:rsidP="009451C9">
      <w:pPr>
        <w:ind w:left="567"/>
      </w:pPr>
    </w:p>
    <w:p w:rsidR="009451C9" w:rsidRPr="000C6AF1" w:rsidRDefault="009451C9" w:rsidP="009451C9">
      <w:pPr>
        <w:ind w:left="567"/>
      </w:pPr>
      <w:r w:rsidRPr="000C6AF1">
        <w:t xml:space="preserve">Mr. Q’apaj Conde, an Aymara lawyer from Bolivia, works with the </w:t>
      </w:r>
      <w:r w:rsidRPr="000C6AF1">
        <w:rPr>
          <w:i/>
        </w:rPr>
        <w:t>Centro de Estudios Multidisciplinarios – Aymara</w:t>
      </w:r>
      <w:r w:rsidRPr="000C6AF1">
        <w:t xml:space="preserve"> (Center for Multidisciplinary Studies – Aymara).  His presentation focused primarily on the system of disclosure requirements established for the Andean Community.  He then discussed the human rights of indigenous peoples in relation to disclosure requirements, in view of the technical review by Prof. James Anaya presented at previous ICG sessions.  Lastly, he turned to the lessons learned from the relationship between the Andean Community’s disclosure requirements and the human rights of indigenous peoples, with the hope that these lessons would be of assistance in the negotiation process undertaken by the ICG.  At the global level, the Nagoya Protocol and its mechanisms for monitoring the use of GRs have shown that they have a crucial part to play.  In the Andean region, Andean Community Decisions No. 486 and No. 391 appeared to have the same significant role.  The Andean Community’s disclosure requirement system facilitated complementarity between the IP regime and the ABS regime, the established mechanisms for accessing and using GRs and for TK and GRs, respectively.  It was important here to incorporate the principle of FPIC into the license negotiation process.  This safeguard should be a fundamental part of the mandatory disclosure requirement.  Lastly, the complete invalidation of the patent is the penalty provided for in the Andean Community regulation on disclosure requirements.  From the perspective of indigenous peoples, non-compliance with mandatory disclosure requirements must also incur civil and criminal penalties.</w:t>
      </w:r>
    </w:p>
    <w:p w:rsidR="009451C9" w:rsidRPr="000C6AF1" w:rsidRDefault="009451C9" w:rsidP="009451C9">
      <w:pPr>
        <w:ind w:left="567"/>
      </w:pPr>
    </w:p>
    <w:p w:rsidR="00F114D5" w:rsidRPr="000C6AF1" w:rsidRDefault="009451C9" w:rsidP="000073B6">
      <w:pPr>
        <w:ind w:left="567"/>
      </w:pPr>
      <w:r w:rsidRPr="000C6AF1">
        <w:t>Mr. De León Kantule con</w:t>
      </w:r>
      <w:r w:rsidR="000073B6" w:rsidRPr="000C6AF1">
        <w:t>cluded the panel by calling on M</w:t>
      </w:r>
      <w:r w:rsidRPr="000C6AF1">
        <w:t>ember States to contribute to the Voluntary Fund in order to ensure the participation of indigenous peoples in this process owing to the importance of the</w:t>
      </w:r>
      <w:r w:rsidR="009F763E">
        <w:t>ir</w:t>
      </w:r>
      <w:r w:rsidRPr="000C6AF1">
        <w:t xml:space="preserve"> participation</w:t>
      </w:r>
      <w:r w:rsidR="000073B6" w:rsidRPr="000C6AF1">
        <w:t>.  The Indigenous Caucus noted</w:t>
      </w:r>
      <w:r w:rsidRPr="000C6AF1">
        <w:t xml:space="preserve"> with considerable concern the low rate of indigenous participation and the crisis in the Voluntary Fund, caused by the absence of contributions</w:t>
      </w:r>
      <w:r w:rsidR="000073B6" w:rsidRPr="000C6AF1">
        <w:t>.</w:t>
      </w:r>
      <w:r w:rsidR="00F114D5" w:rsidRPr="000C6AF1">
        <w:t>”</w:t>
      </w:r>
    </w:p>
    <w:p w:rsidR="009B459C" w:rsidRPr="00BE2F67" w:rsidRDefault="009B459C" w:rsidP="00BE2F67">
      <w:pPr>
        <w:pStyle w:val="ListParagraph"/>
        <w:ind w:left="0"/>
      </w:pPr>
    </w:p>
    <w:p w:rsidR="006B51B5" w:rsidRDefault="002317AF" w:rsidP="006B51B5">
      <w:pPr>
        <w:pStyle w:val="ListParagraph"/>
        <w:numPr>
          <w:ilvl w:val="0"/>
          <w:numId w:val="4"/>
        </w:numPr>
        <w:ind w:left="0" w:firstLine="0"/>
      </w:pPr>
      <w:r>
        <w:t xml:space="preserve">[Note from the Secretariat]:  </w:t>
      </w:r>
      <w:r w:rsidR="00BE2F67">
        <w:t xml:space="preserve">The Advisory Board of the WIPO Voluntary Fund met on </w:t>
      </w:r>
      <w:r w:rsidR="00581F26">
        <w:t>March 20 and 21, 2018</w:t>
      </w:r>
      <w:r w:rsidR="00E150C3">
        <w:t>,</w:t>
      </w:r>
      <w:r w:rsidR="00BE2F67">
        <w:t xml:space="preserve"> to select and nominate a number of participants representing indigenous and local communities to receive funding for their participation at the next session of the IGC</w:t>
      </w:r>
      <w:r w:rsidR="00AE1D54">
        <w:t xml:space="preserve">.  </w:t>
      </w:r>
      <w:r w:rsidR="00BE2F67">
        <w:t xml:space="preserve">The Board’s recommendations </w:t>
      </w:r>
      <w:proofErr w:type="gramStart"/>
      <w:r w:rsidR="00BE2F67">
        <w:t>were reported</w:t>
      </w:r>
      <w:proofErr w:type="gramEnd"/>
      <w:r w:rsidR="00BE2F67">
        <w:t xml:space="preserve"> in document </w:t>
      </w:r>
      <w:r w:rsidR="00BE2F67" w:rsidRPr="005F6028">
        <w:t>WIPO/GRTKF/IC/</w:t>
      </w:r>
      <w:r w:rsidR="00581F26">
        <w:t>35</w:t>
      </w:r>
      <w:r w:rsidR="00BE2F67" w:rsidRPr="005F6028">
        <w:t>/INF/6</w:t>
      </w:r>
      <w:r w:rsidR="00BE2F67">
        <w:t xml:space="preserve"> which was issued before the end of the session.</w:t>
      </w:r>
    </w:p>
    <w:p w:rsidR="00D06982" w:rsidRDefault="00D06982" w:rsidP="00D06982">
      <w:pPr>
        <w:pStyle w:val="ListParagraph"/>
        <w:ind w:left="0"/>
      </w:pPr>
    </w:p>
    <w:p w:rsidR="00D06982" w:rsidRDefault="00D06982" w:rsidP="006B51B5">
      <w:pPr>
        <w:pStyle w:val="ListParagraph"/>
        <w:numPr>
          <w:ilvl w:val="0"/>
          <w:numId w:val="4"/>
        </w:numPr>
        <w:ind w:left="0" w:firstLine="0"/>
      </w:pPr>
      <w:r w:rsidRPr="00D06982">
        <w:t>The Chair strongly encouraged delegations to consider putting funds into the Voluntary Fund.</w:t>
      </w:r>
    </w:p>
    <w:p w:rsidR="006B51B5" w:rsidRDefault="006B51B5" w:rsidP="006B51B5">
      <w:pPr>
        <w:pStyle w:val="ListParagraph"/>
        <w:ind w:left="0"/>
      </w:pPr>
    </w:p>
    <w:p w:rsidR="006B51B5" w:rsidRDefault="006B51B5" w:rsidP="006D1C8F">
      <w:pPr>
        <w:pStyle w:val="ListParagraph"/>
        <w:numPr>
          <w:ilvl w:val="0"/>
          <w:numId w:val="4"/>
        </w:numPr>
        <w:ind w:left="0" w:firstLine="0"/>
      </w:pPr>
      <w:r w:rsidRPr="00F35478">
        <w:t xml:space="preserve">The representative of Tupaj Amaru </w:t>
      </w:r>
      <w:r w:rsidR="004347FC">
        <w:t>stated that t</w:t>
      </w:r>
      <w:r w:rsidRPr="00F35478">
        <w:t xml:space="preserve">he indigenous peoples should be able to participate on an equal footing with Member States because they </w:t>
      </w:r>
      <w:r>
        <w:t>were</w:t>
      </w:r>
      <w:r w:rsidRPr="00F35478">
        <w:t xml:space="preserve"> the owners of GRs and TK.  </w:t>
      </w:r>
    </w:p>
    <w:p w:rsidR="009B459C" w:rsidRPr="00BE2F67" w:rsidRDefault="009B459C" w:rsidP="006578DB">
      <w:pPr>
        <w:pStyle w:val="ListParagraph"/>
        <w:ind w:left="0"/>
      </w:pPr>
    </w:p>
    <w:p w:rsidR="004A6AA7" w:rsidRDefault="004A6AA7" w:rsidP="004A36B3">
      <w:pPr>
        <w:pStyle w:val="ListParagraph"/>
        <w:ind w:left="5533"/>
        <w:rPr>
          <w:i/>
        </w:rPr>
      </w:pPr>
      <w:r w:rsidRPr="004A36B3">
        <w:rPr>
          <w:i/>
        </w:rPr>
        <w:t xml:space="preserve">Decisions on </w:t>
      </w:r>
      <w:r w:rsidR="00581F26">
        <w:rPr>
          <w:i/>
        </w:rPr>
        <w:t>Agenda Item 6</w:t>
      </w:r>
      <w:r w:rsidR="004A36B3" w:rsidRPr="004A36B3">
        <w:rPr>
          <w:i/>
        </w:rPr>
        <w:t>:</w:t>
      </w:r>
    </w:p>
    <w:p w:rsidR="009F5CB3" w:rsidRPr="004A36B3" w:rsidRDefault="009F5CB3" w:rsidP="004A36B3">
      <w:pPr>
        <w:pStyle w:val="ListParagraph"/>
        <w:ind w:left="5533"/>
        <w:rPr>
          <w:i/>
        </w:rPr>
      </w:pPr>
    </w:p>
    <w:p w:rsidR="009F5CB3" w:rsidRPr="009F5CB3" w:rsidRDefault="009F5CB3" w:rsidP="009F5CB3">
      <w:pPr>
        <w:pStyle w:val="ListParagraph"/>
        <w:numPr>
          <w:ilvl w:val="0"/>
          <w:numId w:val="4"/>
        </w:numPr>
        <w:ind w:left="5533" w:firstLine="0"/>
        <w:rPr>
          <w:i/>
        </w:rPr>
      </w:pPr>
      <w:r w:rsidRPr="009F5CB3">
        <w:rPr>
          <w:i/>
        </w:rPr>
        <w:t>The Committee took note of documents WIPO/GRTKF/IC/35/3, WIPO/GRTKF/IC/35/INF/4 and WIPO/GRTKF/IC/35/INF/6.</w:t>
      </w:r>
    </w:p>
    <w:p w:rsidR="009F5CB3" w:rsidRPr="009F5CB3" w:rsidRDefault="009F5CB3" w:rsidP="009F5CB3">
      <w:pPr>
        <w:pStyle w:val="ListParagraph"/>
        <w:ind w:left="5533"/>
        <w:rPr>
          <w:i/>
        </w:rPr>
      </w:pPr>
    </w:p>
    <w:p w:rsidR="009F5CB3" w:rsidRPr="009F5CB3" w:rsidRDefault="009F5CB3" w:rsidP="009F5CB3">
      <w:pPr>
        <w:pStyle w:val="ListParagraph"/>
        <w:numPr>
          <w:ilvl w:val="0"/>
          <w:numId w:val="4"/>
        </w:numPr>
        <w:ind w:left="5533" w:firstLine="0"/>
        <w:rPr>
          <w:i/>
        </w:rPr>
      </w:pPr>
      <w:r w:rsidRPr="009F5CB3">
        <w:rPr>
          <w:i/>
        </w:rPr>
        <w:t>The Committee strongly encouraged and called upon members of the Committee and all interested public or private entities to contribute to the WIPO Voluntary Fund for Accredited Indigenous and Local Communities.</w:t>
      </w:r>
    </w:p>
    <w:p w:rsidR="009F5CB3" w:rsidRPr="009F5CB3" w:rsidRDefault="009F5CB3" w:rsidP="009F5CB3">
      <w:pPr>
        <w:pStyle w:val="ListParagraph"/>
        <w:ind w:left="5533"/>
        <w:rPr>
          <w:i/>
        </w:rPr>
      </w:pPr>
    </w:p>
    <w:p w:rsidR="009F5CB3" w:rsidRPr="009F5CB3" w:rsidRDefault="009F5CB3" w:rsidP="009F5CB3">
      <w:pPr>
        <w:pStyle w:val="ListParagraph"/>
        <w:numPr>
          <w:ilvl w:val="0"/>
          <w:numId w:val="4"/>
        </w:numPr>
        <w:ind w:left="5533" w:firstLine="0"/>
        <w:rPr>
          <w:i/>
        </w:rPr>
      </w:pPr>
      <w:proofErr w:type="gramStart"/>
      <w:r w:rsidRPr="009F5CB3">
        <w:rPr>
          <w:i/>
        </w:rPr>
        <w:t xml:space="preserve">The Chair proposed, and the Committee elected by acclamation, the following eight members of the Advisory Board to serve in an individual capacity:  Mrs. Ali Aii Shatu, Member of the Mbororo Social Cultural Development Association (MBOSCUDA), Cameroon;  Mr. Nelson De Leon Kantule, representative, Association of Kunas for Mother Earth (KUNA), Panama;  Ms. María del Pilar Escobar Bautista, Counselor, Permanent Mission of Mexico to the United Nations Office and other International Organizations in Geneva;  Mr. Efren Jagdish Jogia, Senior Crown </w:t>
      </w:r>
      <w:r w:rsidR="00CF500F">
        <w:rPr>
          <w:i/>
        </w:rPr>
        <w:t>Counsel, Office of the Attorney</w:t>
      </w:r>
      <w:r w:rsidR="00CF500F">
        <w:rPr>
          <w:i/>
        </w:rPr>
        <w:noBreakHyphen/>
      </w:r>
      <w:r w:rsidRPr="009F5CB3">
        <w:rPr>
          <w:i/>
        </w:rPr>
        <w:t>General, Office of the Prime Minister, Tuvalu;  Mr. Gaziz Seitzhanov, Third Secretary, Perman</w:t>
      </w:r>
      <w:r w:rsidR="00CF500F">
        <w:rPr>
          <w:i/>
        </w:rPr>
        <w:t>ent Mission of Kazakhstan;  Ms. </w:t>
      </w:r>
      <w:r w:rsidRPr="009F5CB3">
        <w:rPr>
          <w:i/>
        </w:rPr>
        <w:t xml:space="preserve">Grace </w:t>
      </w:r>
      <w:proofErr w:type="spellStart"/>
      <w:r w:rsidRPr="009F5CB3">
        <w:rPr>
          <w:i/>
        </w:rPr>
        <w:t>Stripeikis</w:t>
      </w:r>
      <w:proofErr w:type="spellEnd"/>
      <w:r w:rsidRPr="009F5CB3">
        <w:rPr>
          <w:i/>
        </w:rPr>
        <w:t>, Assistant Director, International Intellectual Property Section, Department of Foreign Affairs and Trade, Australia;  Ms. Polina Shulbaeva, Coordinator, Centre for Support of Indigenous Peoples of the North/Russian Indigenous Training Centre (CSIPN/RITC), Russian Federation;  and Mr. George Tebagana, Second Secretary, Permanent Mission of Uganda.</w:t>
      </w:r>
      <w:proofErr w:type="gramEnd"/>
      <w:r w:rsidRPr="009F5CB3">
        <w:rPr>
          <w:i/>
        </w:rPr>
        <w:t xml:space="preserve"> </w:t>
      </w:r>
    </w:p>
    <w:p w:rsidR="009F5CB3" w:rsidRDefault="009F5CB3" w:rsidP="009F5CB3">
      <w:pPr>
        <w:pStyle w:val="ListParagraph"/>
        <w:ind w:left="5533"/>
        <w:rPr>
          <w:i/>
        </w:rPr>
      </w:pPr>
    </w:p>
    <w:p w:rsidR="00CF500F" w:rsidRPr="009F5CB3" w:rsidRDefault="00CF500F" w:rsidP="009F5CB3">
      <w:pPr>
        <w:pStyle w:val="ListParagraph"/>
        <w:ind w:left="5533"/>
        <w:rPr>
          <w:i/>
        </w:rPr>
      </w:pPr>
    </w:p>
    <w:p w:rsidR="009F5CB3" w:rsidRPr="009F5CB3" w:rsidRDefault="009F5CB3" w:rsidP="009F5CB3">
      <w:pPr>
        <w:pStyle w:val="ListParagraph"/>
        <w:numPr>
          <w:ilvl w:val="0"/>
          <w:numId w:val="4"/>
        </w:numPr>
        <w:ind w:left="5533" w:firstLine="0"/>
        <w:rPr>
          <w:i/>
        </w:rPr>
      </w:pPr>
      <w:r w:rsidRPr="009F5CB3">
        <w:rPr>
          <w:i/>
        </w:rPr>
        <w:lastRenderedPageBreak/>
        <w:t>The Chair of the Committee nominated Mr. Faizal Chery Sidharta, Vice-Chair of the Committee, to serve as Chair of the Advisory Board.</w:t>
      </w:r>
    </w:p>
    <w:p w:rsidR="005C6122" w:rsidRPr="00BE2F67" w:rsidRDefault="005C6122" w:rsidP="004A36B3">
      <w:pPr>
        <w:pStyle w:val="ListParagraph"/>
        <w:ind w:left="0"/>
      </w:pPr>
    </w:p>
    <w:p w:rsidR="009B459C" w:rsidRPr="009B459C" w:rsidRDefault="00581F26" w:rsidP="009F53CA">
      <w:pPr>
        <w:pStyle w:val="Heading1"/>
        <w:spacing w:before="0"/>
      </w:pPr>
      <w:r>
        <w:t>AGENDA ITEM 7</w:t>
      </w:r>
      <w:r w:rsidR="00AE1D54">
        <w:t xml:space="preserve">:  </w:t>
      </w:r>
      <w:r>
        <w:t>Genetic Resources</w:t>
      </w:r>
    </w:p>
    <w:p w:rsidR="00243105" w:rsidRPr="00243105" w:rsidRDefault="00243105" w:rsidP="00243105">
      <w:pPr>
        <w:pStyle w:val="ListParagraph"/>
        <w:ind w:left="0"/>
        <w:rPr>
          <w:bCs/>
        </w:rPr>
      </w:pPr>
    </w:p>
    <w:p w:rsidR="00601C33" w:rsidRPr="00601C33" w:rsidRDefault="003C4338" w:rsidP="00601C33">
      <w:pPr>
        <w:pStyle w:val="ListParagraph"/>
        <w:numPr>
          <w:ilvl w:val="0"/>
          <w:numId w:val="4"/>
        </w:numPr>
        <w:ind w:left="0" w:firstLine="0"/>
      </w:pPr>
      <w:r>
        <w:t xml:space="preserve"> </w:t>
      </w:r>
      <w:r w:rsidR="00E024BB" w:rsidRPr="002B5A10">
        <w:rPr>
          <w:rFonts w:cs="Courier New"/>
        </w:rPr>
        <w:t>The Chair recalled that he had consulted with Regional Coordinators and interested delegations on the work program and working methodology for the session, especially for Agenda I</w:t>
      </w:r>
      <w:r w:rsidR="003967DF" w:rsidRPr="002B5A10">
        <w:rPr>
          <w:rFonts w:cs="Courier New"/>
        </w:rPr>
        <w:t xml:space="preserve">tem 7.  </w:t>
      </w:r>
      <w:r w:rsidR="00E024BB" w:rsidRPr="002B5A10">
        <w:rPr>
          <w:rFonts w:cs="Courier New"/>
        </w:rPr>
        <w:t xml:space="preserve">According to the new mandate, IGC 35 should undertake negotiations on GRs with a focus on addressing unresolved issues and considering options for a legal instrument.  Regarding the results of IGC 35, a revised version of document WIPO/GRTKF/IC/35/4 </w:t>
      </w:r>
      <w:proofErr w:type="gramStart"/>
      <w:r w:rsidR="00E024BB" w:rsidRPr="002B5A10">
        <w:rPr>
          <w:rFonts w:cs="Courier New"/>
        </w:rPr>
        <w:t>would be produced</w:t>
      </w:r>
      <w:proofErr w:type="gramEnd"/>
      <w:r w:rsidR="00E024BB" w:rsidRPr="002B5A10">
        <w:rPr>
          <w:rFonts w:cs="Courier New"/>
        </w:rPr>
        <w:t>.  The same methodology as used in previous IGC</w:t>
      </w:r>
      <w:r w:rsidR="004430FF">
        <w:rPr>
          <w:rFonts w:cs="Courier New"/>
        </w:rPr>
        <w:t xml:space="preserve"> </w:t>
      </w:r>
      <w:r w:rsidR="00E024BB" w:rsidRPr="002B5A10">
        <w:rPr>
          <w:rFonts w:cs="Courier New"/>
        </w:rPr>
        <w:t>s</w:t>
      </w:r>
      <w:r w:rsidR="004430FF">
        <w:rPr>
          <w:rFonts w:cs="Courier New"/>
        </w:rPr>
        <w:t>essions</w:t>
      </w:r>
      <w:r w:rsidR="00E024BB" w:rsidRPr="002B5A10">
        <w:rPr>
          <w:rFonts w:cs="Courier New" w:hint="eastAsia"/>
        </w:rPr>
        <w:t xml:space="preserve"> </w:t>
      </w:r>
      <w:proofErr w:type="gramStart"/>
      <w:r w:rsidR="00E024BB" w:rsidRPr="002B5A10">
        <w:rPr>
          <w:rFonts w:cs="Courier New"/>
        </w:rPr>
        <w:t>would be followed</w:t>
      </w:r>
      <w:proofErr w:type="gramEnd"/>
      <w:r w:rsidR="00E024BB" w:rsidRPr="002B5A10">
        <w:rPr>
          <w:rFonts w:cs="Courier New"/>
        </w:rPr>
        <w:t>.  Rev</w:t>
      </w:r>
      <w:r w:rsidR="004430FF">
        <w:rPr>
          <w:rFonts w:cs="Courier New"/>
        </w:rPr>
        <w:t>.</w:t>
      </w:r>
      <w:r w:rsidR="00E024BB" w:rsidRPr="002B5A10">
        <w:rPr>
          <w:rFonts w:cs="Courier New"/>
        </w:rPr>
        <w:t xml:space="preserve"> 1 </w:t>
      </w:r>
      <w:proofErr w:type="gramStart"/>
      <w:r w:rsidR="00E024BB" w:rsidRPr="002B5A10">
        <w:rPr>
          <w:rFonts w:cs="Courier New"/>
        </w:rPr>
        <w:t>would be prepared and presented by Wednesday morning</w:t>
      </w:r>
      <w:proofErr w:type="gramEnd"/>
      <w:r w:rsidR="00E024BB" w:rsidRPr="002B5A10">
        <w:rPr>
          <w:rFonts w:cs="Courier New"/>
        </w:rPr>
        <w:t xml:space="preserve">.  Time </w:t>
      </w:r>
      <w:proofErr w:type="gramStart"/>
      <w:r w:rsidR="00E024BB" w:rsidRPr="002B5A10">
        <w:rPr>
          <w:rFonts w:cs="Courier New"/>
        </w:rPr>
        <w:t>would be given</w:t>
      </w:r>
      <w:proofErr w:type="gramEnd"/>
      <w:r w:rsidR="00E024BB" w:rsidRPr="002B5A10">
        <w:rPr>
          <w:rFonts w:cs="Courier New"/>
        </w:rPr>
        <w:t xml:space="preserve"> for comments and further suggestions, including textual proposals.  Rev</w:t>
      </w:r>
      <w:r w:rsidR="004430FF">
        <w:rPr>
          <w:rFonts w:cs="Courier New"/>
        </w:rPr>
        <w:t>.</w:t>
      </w:r>
      <w:r w:rsidR="00E024BB" w:rsidRPr="002B5A10">
        <w:rPr>
          <w:rFonts w:cs="Courier New"/>
        </w:rPr>
        <w:t xml:space="preserve"> 2 </w:t>
      </w:r>
      <w:proofErr w:type="gramStart"/>
      <w:r w:rsidR="00E024BB" w:rsidRPr="002B5A10">
        <w:rPr>
          <w:rFonts w:cs="Courier New"/>
        </w:rPr>
        <w:t>would be prepared and presented by Friday morning</w:t>
      </w:r>
      <w:proofErr w:type="gramEnd"/>
      <w:r w:rsidR="00E024BB" w:rsidRPr="002B5A10">
        <w:rPr>
          <w:rFonts w:cs="Courier New"/>
        </w:rPr>
        <w:t xml:space="preserve">.  Time </w:t>
      </w:r>
      <w:proofErr w:type="gramStart"/>
      <w:r w:rsidR="00E024BB" w:rsidRPr="002B5A10">
        <w:rPr>
          <w:rFonts w:cs="Courier New"/>
        </w:rPr>
        <w:t>would be given</w:t>
      </w:r>
      <w:proofErr w:type="gramEnd"/>
      <w:r w:rsidR="00E024BB" w:rsidRPr="002B5A10">
        <w:rPr>
          <w:rFonts w:cs="Courier New"/>
        </w:rPr>
        <w:t xml:space="preserve"> for general comments, which would be included in the report.  The plenary </w:t>
      </w:r>
      <w:proofErr w:type="gramStart"/>
      <w:r w:rsidR="00E024BB" w:rsidRPr="002B5A10">
        <w:rPr>
          <w:rFonts w:cs="Courier New"/>
        </w:rPr>
        <w:t>would be invited</w:t>
      </w:r>
      <w:proofErr w:type="gramEnd"/>
      <w:r w:rsidR="00E024BB" w:rsidRPr="002B5A10">
        <w:rPr>
          <w:rFonts w:cs="Courier New"/>
        </w:rPr>
        <w:t xml:space="preserve"> to note Rev</w:t>
      </w:r>
      <w:r w:rsidR="004430FF">
        <w:rPr>
          <w:rFonts w:cs="Courier New"/>
        </w:rPr>
        <w:t>.</w:t>
      </w:r>
      <w:r w:rsidR="00E024BB" w:rsidRPr="002B5A10">
        <w:rPr>
          <w:rFonts w:cs="Courier New"/>
        </w:rPr>
        <w:t xml:space="preserve"> 2, subject to</w:t>
      </w:r>
      <w:r w:rsidR="003967DF" w:rsidRPr="002B5A10">
        <w:rPr>
          <w:rFonts w:cs="Courier New"/>
        </w:rPr>
        <w:t xml:space="preserve"> the</w:t>
      </w:r>
      <w:r w:rsidR="00E024BB" w:rsidRPr="002B5A10">
        <w:rPr>
          <w:rFonts w:cs="Courier New"/>
        </w:rPr>
        <w:t xml:space="preserve"> correction of obvious technical errors and omissions.  Throughout the we</w:t>
      </w:r>
      <w:r w:rsidR="004430FF">
        <w:rPr>
          <w:rFonts w:cs="Courier New"/>
        </w:rPr>
        <w:t>ek, the f</w:t>
      </w:r>
      <w:r w:rsidR="00E024BB" w:rsidRPr="002B5A10">
        <w:rPr>
          <w:rFonts w:cs="Courier New"/>
        </w:rPr>
        <w:t>acilitators would listen to all interventions in plenary and informals and undertake drafting incorporating the textual proposals</w:t>
      </w:r>
      <w:r w:rsidR="003967DF" w:rsidRPr="002B5A10">
        <w:rPr>
          <w:rFonts w:cs="Courier New"/>
        </w:rPr>
        <w:t xml:space="preserve">.  </w:t>
      </w:r>
      <w:r w:rsidR="00E024BB" w:rsidRPr="002B5A10">
        <w:rPr>
          <w:rFonts w:cs="Courier New"/>
        </w:rPr>
        <w:t>To enable more focused and incremental consideration of the</w:t>
      </w:r>
      <w:r w:rsidR="004430FF">
        <w:rPr>
          <w:rFonts w:cs="Courier New"/>
        </w:rPr>
        <w:t xml:space="preserve"> facilitators’</w:t>
      </w:r>
      <w:r w:rsidR="00E024BB" w:rsidRPr="003967DF">
        <w:rPr>
          <w:rFonts w:cs="Courier New"/>
        </w:rPr>
        <w:t xml:space="preserve"> work by d</w:t>
      </w:r>
      <w:r w:rsidR="004430FF">
        <w:rPr>
          <w:rFonts w:cs="Courier New"/>
        </w:rPr>
        <w:t>elegates, as the week progressed, the f</w:t>
      </w:r>
      <w:r w:rsidR="00E024BB" w:rsidRPr="003967DF">
        <w:rPr>
          <w:rFonts w:cs="Courier New"/>
        </w:rPr>
        <w:t>acilitators might introduce and present on screen progressive work on core issues as a work-in-progress for reaction and comment, if any.  That could enable delega</w:t>
      </w:r>
      <w:r w:rsidR="004430FF">
        <w:rPr>
          <w:rFonts w:cs="Courier New"/>
        </w:rPr>
        <w:t xml:space="preserve">tes </w:t>
      </w:r>
      <w:proofErr w:type="gramStart"/>
      <w:r w:rsidR="004430FF">
        <w:rPr>
          <w:rFonts w:cs="Courier New"/>
        </w:rPr>
        <w:t>to more actively guide</w:t>
      </w:r>
      <w:proofErr w:type="gramEnd"/>
      <w:r w:rsidR="004430FF">
        <w:rPr>
          <w:rFonts w:cs="Courier New"/>
        </w:rPr>
        <w:t xml:space="preserve"> the facilitators’</w:t>
      </w:r>
      <w:r w:rsidR="00E024BB" w:rsidRPr="003967DF">
        <w:rPr>
          <w:rFonts w:cs="Courier New"/>
        </w:rPr>
        <w:t xml:space="preserve"> work throughout the meeting.  Work under Agend</w:t>
      </w:r>
      <w:r w:rsidR="006D13C4">
        <w:rPr>
          <w:rFonts w:cs="Courier New"/>
        </w:rPr>
        <w:t>a Item 7 would begin in plenary</w:t>
      </w:r>
      <w:r w:rsidR="00E024BB" w:rsidRPr="003967DF">
        <w:rPr>
          <w:rFonts w:cs="Courier New"/>
        </w:rPr>
        <w:t xml:space="preserve">.  </w:t>
      </w:r>
      <w:r w:rsidR="00E024BB" w:rsidRPr="00D4028F">
        <w:rPr>
          <w:rFonts w:cs="Courier New"/>
        </w:rPr>
        <w:t xml:space="preserve">He might convene informals in order to facilitate in a smaller, informal setting, discussion on the issues and the text of the working document </w:t>
      </w:r>
      <w:proofErr w:type="gramStart"/>
      <w:r w:rsidR="00E024BB" w:rsidRPr="00D4028F">
        <w:rPr>
          <w:rFonts w:cs="Courier New"/>
        </w:rPr>
        <w:t>so as to</w:t>
      </w:r>
      <w:proofErr w:type="gramEnd"/>
      <w:r w:rsidR="00E024BB" w:rsidRPr="00D4028F">
        <w:rPr>
          <w:rFonts w:cs="Courier New"/>
        </w:rPr>
        <w:t xml:space="preserve"> narrow existing gaps and reach a common understanding.  Concerning the working method for informals, he or one of the Vice-Chairs, wit</w:t>
      </w:r>
      <w:r w:rsidR="00696F27">
        <w:rPr>
          <w:rFonts w:cs="Courier New"/>
        </w:rPr>
        <w:t>h the active assistance of the f</w:t>
      </w:r>
      <w:r w:rsidR="00E024BB" w:rsidRPr="00D4028F">
        <w:rPr>
          <w:rFonts w:cs="Courier New"/>
        </w:rPr>
        <w:t xml:space="preserve">acilitators, would lead the discussion.  As to the composition of informals, each regional group </w:t>
      </w:r>
      <w:proofErr w:type="gramStart"/>
      <w:r w:rsidR="00E024BB" w:rsidRPr="00D4028F">
        <w:rPr>
          <w:rFonts w:cs="Courier New"/>
        </w:rPr>
        <w:t>would be represented</w:t>
      </w:r>
      <w:proofErr w:type="gramEnd"/>
      <w:r w:rsidR="00E024BB" w:rsidRPr="00D4028F">
        <w:rPr>
          <w:rFonts w:cs="Courier New"/>
        </w:rPr>
        <w:t xml:space="preserve"> by a maximum of six delegates, one of whom should preferably be the Regional Coordinator, noting that the presence of the Regional Coordinators in the informal process was important for communication throughout the group</w:t>
      </w:r>
      <w:r w:rsidR="00696F27">
        <w:rPr>
          <w:rFonts w:cs="Courier New"/>
        </w:rPr>
        <w:t>s</w:t>
      </w:r>
      <w:r w:rsidR="00E024BB" w:rsidRPr="00D4028F">
        <w:rPr>
          <w:rFonts w:cs="Courier New"/>
        </w:rPr>
        <w:t xml:space="preserve">.  </w:t>
      </w:r>
      <w:r w:rsidR="00696F27">
        <w:rPr>
          <w:rFonts w:cs="Courier New"/>
        </w:rPr>
        <w:t>I</w:t>
      </w:r>
      <w:r w:rsidR="00E024BB" w:rsidRPr="00D4028F">
        <w:rPr>
          <w:rFonts w:cs="Courier New"/>
        </w:rPr>
        <w:t>n order to maintain transparency and inclusiveness, other Member State representa</w:t>
      </w:r>
      <w:r w:rsidR="00696F27">
        <w:rPr>
          <w:rFonts w:cs="Courier New"/>
        </w:rPr>
        <w:t>tives would be able to sit in</w:t>
      </w:r>
      <w:r w:rsidR="00E024BB" w:rsidRPr="00D4028F">
        <w:rPr>
          <w:rFonts w:cs="Courier New"/>
        </w:rPr>
        <w:t xml:space="preserve"> the informals, only observing and without a direct speaking right. </w:t>
      </w:r>
      <w:r w:rsidR="003967DF" w:rsidRPr="00D4028F">
        <w:rPr>
          <w:rFonts w:cs="Courier New"/>
        </w:rPr>
        <w:t xml:space="preserve"> </w:t>
      </w:r>
      <w:r w:rsidR="00E024BB" w:rsidRPr="003967DF">
        <w:rPr>
          <w:rFonts w:cs="Courier New"/>
        </w:rPr>
        <w:t xml:space="preserve">Indigenous representatives </w:t>
      </w:r>
      <w:proofErr w:type="gramStart"/>
      <w:r w:rsidR="00E024BB" w:rsidRPr="003967DF">
        <w:rPr>
          <w:rFonts w:cs="Courier New"/>
        </w:rPr>
        <w:t>would be invited</w:t>
      </w:r>
      <w:proofErr w:type="gramEnd"/>
      <w:r w:rsidR="00E024BB" w:rsidRPr="003967DF">
        <w:rPr>
          <w:rFonts w:cs="Courier New"/>
        </w:rPr>
        <w:t xml:space="preserve"> to nominate two representatives to participate and two representatives to observe without speaking rights</w:t>
      </w:r>
      <w:r w:rsidR="003967DF">
        <w:rPr>
          <w:rFonts w:cs="Courier New"/>
        </w:rPr>
        <w:t xml:space="preserve">.  </w:t>
      </w:r>
      <w:r w:rsidR="00E024BB" w:rsidRPr="003967DF">
        <w:rPr>
          <w:rFonts w:cs="Courier New"/>
        </w:rPr>
        <w:t xml:space="preserve">He had requested members to consider allowing industry representatives </w:t>
      </w:r>
      <w:proofErr w:type="gramStart"/>
      <w:r w:rsidR="00E024BB" w:rsidRPr="003967DF">
        <w:rPr>
          <w:rFonts w:cs="Courier New"/>
        </w:rPr>
        <w:t>to also participate</w:t>
      </w:r>
      <w:proofErr w:type="gramEnd"/>
      <w:r w:rsidR="00E024BB" w:rsidRPr="003967DF">
        <w:rPr>
          <w:rFonts w:cs="Courier New"/>
        </w:rPr>
        <w:t xml:space="preserve"> in those informals.  Proposals from indigenous representatives could remain in the text only if supported by a Membe</w:t>
      </w:r>
      <w:r w:rsidR="00696F27">
        <w:rPr>
          <w:rFonts w:cs="Courier New"/>
        </w:rPr>
        <w:t>r State</w:t>
      </w:r>
      <w:r w:rsidR="00E024BB" w:rsidRPr="003967DF">
        <w:rPr>
          <w:rFonts w:cs="Courier New"/>
        </w:rPr>
        <w:t xml:space="preserve">.  All participants </w:t>
      </w:r>
      <w:proofErr w:type="gramStart"/>
      <w:r w:rsidR="00E024BB" w:rsidRPr="003967DF">
        <w:rPr>
          <w:rFonts w:cs="Courier New"/>
        </w:rPr>
        <w:t>were requested</w:t>
      </w:r>
      <w:proofErr w:type="gramEnd"/>
      <w:r w:rsidR="00E024BB" w:rsidRPr="003967DF">
        <w:rPr>
          <w:rFonts w:cs="Courier New"/>
        </w:rPr>
        <w:t xml:space="preserve"> to respect the informality of the informals. </w:t>
      </w:r>
      <w:r w:rsidR="006D13C4">
        <w:rPr>
          <w:rFonts w:cs="Courier New"/>
        </w:rPr>
        <w:t xml:space="preserve"> </w:t>
      </w:r>
      <w:r w:rsidR="00E024BB" w:rsidRPr="003967DF">
        <w:rPr>
          <w:rFonts w:cs="Courier New"/>
        </w:rPr>
        <w:t xml:space="preserve">Depending on progress made in the plenary and/or informals, he might establish one or more small </w:t>
      </w:r>
      <w:r w:rsidR="00E024BB" w:rsidRPr="003967DF">
        <w:rPr>
          <w:rFonts w:cs="Courier New"/>
          <w:i/>
        </w:rPr>
        <w:t>ad hoc</w:t>
      </w:r>
      <w:r w:rsidR="00E024BB" w:rsidRPr="003967DF">
        <w:rPr>
          <w:rFonts w:cs="Courier New"/>
        </w:rPr>
        <w:t xml:space="preserve"> contact group</w:t>
      </w:r>
      <w:r w:rsidR="00696F27">
        <w:rPr>
          <w:rFonts w:cs="Courier New"/>
        </w:rPr>
        <w:t>s</w:t>
      </w:r>
      <w:r w:rsidR="00E024BB" w:rsidRPr="003967DF">
        <w:rPr>
          <w:rFonts w:cs="Courier New"/>
        </w:rPr>
        <w:t xml:space="preserve"> to tackle a particular issue </w:t>
      </w:r>
      <w:proofErr w:type="gramStart"/>
      <w:r w:rsidR="00E024BB" w:rsidRPr="003967DF">
        <w:rPr>
          <w:rFonts w:cs="Courier New"/>
        </w:rPr>
        <w:t>so as to</w:t>
      </w:r>
      <w:proofErr w:type="gramEnd"/>
      <w:r w:rsidR="00E024BB" w:rsidRPr="003967DF">
        <w:rPr>
          <w:rFonts w:cs="Courier New"/>
        </w:rPr>
        <w:t xml:space="preserve"> further narrow existing gaps.  Those could be particularly useful with regard to </w:t>
      </w:r>
      <w:r w:rsidR="006D13C4" w:rsidRPr="003967DF">
        <w:rPr>
          <w:rFonts w:cs="Courier New"/>
        </w:rPr>
        <w:t xml:space="preserve">thoroughly discussed </w:t>
      </w:r>
      <w:r w:rsidR="00E024BB" w:rsidRPr="003967DF">
        <w:rPr>
          <w:rFonts w:cs="Courier New"/>
        </w:rPr>
        <w:t>issues</w:t>
      </w:r>
      <w:r w:rsidR="008F0AF3">
        <w:rPr>
          <w:rFonts w:cs="Courier New"/>
        </w:rPr>
        <w:t xml:space="preserve"> with </w:t>
      </w:r>
      <w:r w:rsidR="00E024BB" w:rsidRPr="003967DF">
        <w:rPr>
          <w:rFonts w:cs="Courier New"/>
        </w:rPr>
        <w:t xml:space="preserve">divergent views.  The composition of such contact groups would depend on the issue to </w:t>
      </w:r>
      <w:proofErr w:type="gramStart"/>
      <w:r w:rsidR="00E024BB" w:rsidRPr="003967DF">
        <w:rPr>
          <w:rFonts w:cs="Courier New"/>
        </w:rPr>
        <w:t>be tac</w:t>
      </w:r>
      <w:r w:rsidR="006D13C4">
        <w:rPr>
          <w:rFonts w:cs="Courier New"/>
        </w:rPr>
        <w:t>kled</w:t>
      </w:r>
      <w:proofErr w:type="gramEnd"/>
      <w:r w:rsidR="006D13C4">
        <w:rPr>
          <w:rFonts w:cs="Courier New"/>
        </w:rPr>
        <w:t xml:space="preserve"> but would typically compr</w:t>
      </w:r>
      <w:r w:rsidR="00E024BB" w:rsidRPr="003967DF">
        <w:rPr>
          <w:rFonts w:cs="Courier New"/>
        </w:rPr>
        <w:t>ise a representative from each region, depending</w:t>
      </w:r>
      <w:r w:rsidR="008F0AF3">
        <w:rPr>
          <w:rFonts w:cs="Courier New"/>
        </w:rPr>
        <w:t xml:space="preserve"> on the issue and Member States’</w:t>
      </w:r>
      <w:r w:rsidR="00E024BB" w:rsidRPr="003967DF">
        <w:rPr>
          <w:rFonts w:cs="Courier New"/>
        </w:rPr>
        <w:t xml:space="preserve"> interest</w:t>
      </w:r>
      <w:r w:rsidR="008F0AF3">
        <w:rPr>
          <w:rFonts w:cs="Courier New"/>
        </w:rPr>
        <w:t>s</w:t>
      </w:r>
      <w:r w:rsidR="00E024BB" w:rsidRPr="003967DF">
        <w:rPr>
          <w:rFonts w:cs="Courier New"/>
        </w:rPr>
        <w:t xml:space="preserve">. </w:t>
      </w:r>
      <w:r w:rsidR="006D13C4">
        <w:rPr>
          <w:rFonts w:cs="Courier New"/>
        </w:rPr>
        <w:t xml:space="preserve"> </w:t>
      </w:r>
      <w:r w:rsidR="00E024BB" w:rsidRPr="003967DF">
        <w:rPr>
          <w:rFonts w:cs="Courier New"/>
        </w:rPr>
        <w:t>He might app</w:t>
      </w:r>
      <w:r w:rsidR="008F0AF3">
        <w:rPr>
          <w:rFonts w:cs="Courier New"/>
        </w:rPr>
        <w:t>oint one of the Vice-Chairs or f</w:t>
      </w:r>
      <w:r w:rsidR="00E024BB" w:rsidRPr="003967DF">
        <w:rPr>
          <w:rFonts w:cs="Courier New"/>
        </w:rPr>
        <w:t>acilitators to coordinate the discus</w:t>
      </w:r>
      <w:r w:rsidR="006D13C4">
        <w:rPr>
          <w:rFonts w:cs="Courier New"/>
        </w:rPr>
        <w:t xml:space="preserve">sions in such contact groups.  </w:t>
      </w:r>
      <w:r w:rsidR="00E024BB" w:rsidRPr="003967DF">
        <w:rPr>
          <w:rFonts w:cs="Courier New"/>
        </w:rPr>
        <w:t xml:space="preserve">They would have a short-term mandate within the current session and would need to report back to the plenary or informals on their results, if any.  The plenary remained the decision-making body. </w:t>
      </w:r>
      <w:r w:rsidR="006D13C4">
        <w:rPr>
          <w:rFonts w:cs="Courier New"/>
        </w:rPr>
        <w:t xml:space="preserve"> </w:t>
      </w:r>
      <w:r w:rsidR="008F0AF3">
        <w:rPr>
          <w:rFonts w:cs="Courier New"/>
        </w:rPr>
        <w:t>The f</w:t>
      </w:r>
      <w:r w:rsidR="00E024BB" w:rsidRPr="003967DF">
        <w:rPr>
          <w:rFonts w:cs="Courier New"/>
        </w:rPr>
        <w:t>acilitat</w:t>
      </w:r>
      <w:r w:rsidR="008F0AF3">
        <w:rPr>
          <w:rFonts w:cs="Courier New"/>
        </w:rPr>
        <w:t xml:space="preserve">ors had </w:t>
      </w:r>
      <w:r w:rsidR="00E024BB" w:rsidRPr="003967DF">
        <w:rPr>
          <w:rFonts w:cs="Courier New"/>
        </w:rPr>
        <w:t xml:space="preserve">a very difficult and demanding task.  </w:t>
      </w:r>
      <w:r w:rsidR="00601C33">
        <w:rPr>
          <w:rFonts w:cs="Courier New"/>
        </w:rPr>
        <w:t>They were there to help members</w:t>
      </w:r>
      <w:r w:rsidR="00E024BB" w:rsidRPr="003967DF">
        <w:rPr>
          <w:rFonts w:cs="Courier New"/>
        </w:rPr>
        <w:t xml:space="preserve"> and represented them.  They might take the floor and make proposals, bu</w:t>
      </w:r>
      <w:r w:rsidR="00601C33">
        <w:rPr>
          <w:rFonts w:cs="Courier New"/>
        </w:rPr>
        <w:t>t if so, the Member States</w:t>
      </w:r>
      <w:r w:rsidR="006D13C4">
        <w:rPr>
          <w:rFonts w:cs="Courier New"/>
        </w:rPr>
        <w:t xml:space="preserve"> in</w:t>
      </w:r>
      <w:r w:rsidR="00601C33">
        <w:rPr>
          <w:rFonts w:cs="Courier New"/>
        </w:rPr>
        <w:t xml:space="preserve"> plenary had to agree on</w:t>
      </w:r>
      <w:r w:rsidR="00E024BB" w:rsidRPr="003967DF">
        <w:rPr>
          <w:rFonts w:cs="Courier New"/>
        </w:rPr>
        <w:t xml:space="preserve"> any change.  They would review all materials prepared during the session, including informals, and undertake draftin</w:t>
      </w:r>
      <w:r w:rsidR="006D13C4">
        <w:rPr>
          <w:rFonts w:cs="Courier New"/>
        </w:rPr>
        <w:t xml:space="preserve">g and prepare </w:t>
      </w:r>
      <w:r w:rsidR="00601C33">
        <w:rPr>
          <w:rFonts w:cs="Courier New"/>
        </w:rPr>
        <w:t xml:space="preserve">the </w:t>
      </w:r>
      <w:r w:rsidR="006D13C4">
        <w:rPr>
          <w:rFonts w:cs="Courier New"/>
        </w:rPr>
        <w:t>revisions</w:t>
      </w:r>
      <w:r w:rsidR="00601C33">
        <w:rPr>
          <w:rFonts w:cs="Courier New"/>
        </w:rPr>
        <w:t xml:space="preserve">. </w:t>
      </w:r>
    </w:p>
    <w:p w:rsidR="00601C33" w:rsidRDefault="00601C33" w:rsidP="00601C33">
      <w:pPr>
        <w:pStyle w:val="ListParagraph"/>
        <w:ind w:left="0"/>
      </w:pPr>
    </w:p>
    <w:p w:rsidR="0005544A" w:rsidRPr="00601C33" w:rsidRDefault="009442D0" w:rsidP="00601C33">
      <w:pPr>
        <w:pStyle w:val="ListParagraph"/>
        <w:numPr>
          <w:ilvl w:val="0"/>
          <w:numId w:val="4"/>
        </w:numPr>
        <w:ind w:left="0" w:firstLine="0"/>
      </w:pPr>
      <w:r w:rsidRPr="00601C33">
        <w:t xml:space="preserve">The Chair invited </w:t>
      </w:r>
      <w:r w:rsidR="0084444A" w:rsidRPr="00601C33">
        <w:t>Ms. Margo Bagley, who had been the fa</w:t>
      </w:r>
      <w:r w:rsidR="00CF500F">
        <w:t>cilitator for the biennium 2016</w:t>
      </w:r>
      <w:r w:rsidR="00CF500F">
        <w:noBreakHyphen/>
      </w:r>
      <w:r w:rsidR="0084444A" w:rsidRPr="00601C33">
        <w:t xml:space="preserve">2017, to give a factual presentation on document WIPO/GRTKF/IC/35/4, and Ms. Bagley did so.  The Chair also invited </w:t>
      </w:r>
      <w:r w:rsidRPr="00601C33">
        <w:t xml:space="preserve">the Secretariat to make a presentation on the resources available </w:t>
      </w:r>
      <w:r w:rsidRPr="00601C33">
        <w:lastRenderedPageBreak/>
        <w:t xml:space="preserve">on the WIPO website, and the Secretariat did so. </w:t>
      </w:r>
      <w:r w:rsidR="0084444A" w:rsidRPr="00601C33">
        <w:t xml:space="preserve"> </w:t>
      </w:r>
      <w:r w:rsidRPr="00601C33">
        <w:t xml:space="preserve">[Note from the Secretariat: </w:t>
      </w:r>
      <w:r w:rsidR="007221AD">
        <w:t xml:space="preserve"> Two </w:t>
      </w:r>
      <w:r w:rsidR="0084444A" w:rsidRPr="00601C33">
        <w:t>presentations</w:t>
      </w:r>
      <w:r w:rsidRPr="00601C33">
        <w:t xml:space="preserve"> are available on the </w:t>
      </w:r>
      <w:r w:rsidR="009F763E">
        <w:t xml:space="preserve">WIPO </w:t>
      </w:r>
      <w:r w:rsidRPr="00601C33">
        <w:t>Traditional Knowledge Division’s web pages at</w:t>
      </w:r>
      <w:r w:rsidR="00601C33" w:rsidRPr="00601C33">
        <w:t xml:space="preserve"> http://www.wipo.int/meetings/en/details.jsp?meeting_id=46369</w:t>
      </w:r>
      <w:r w:rsidR="0084444A" w:rsidRPr="00601C33">
        <w:t>.]</w:t>
      </w:r>
    </w:p>
    <w:p w:rsidR="0084444A" w:rsidRPr="0005544A" w:rsidRDefault="0084444A" w:rsidP="0084444A">
      <w:pPr>
        <w:pStyle w:val="ListParagraph"/>
        <w:ind w:left="0"/>
        <w:rPr>
          <w:rFonts w:cs="Courier New"/>
        </w:rPr>
      </w:pPr>
    </w:p>
    <w:p w:rsidR="00873C7D" w:rsidRPr="00873C7D" w:rsidRDefault="006262A4" w:rsidP="00310121">
      <w:pPr>
        <w:pStyle w:val="ListParagraph"/>
        <w:numPr>
          <w:ilvl w:val="0"/>
          <w:numId w:val="4"/>
        </w:numPr>
        <w:ind w:left="0" w:firstLine="0"/>
      </w:pPr>
      <w:r>
        <w:rPr>
          <w:rFonts w:cs="Courier New"/>
        </w:rPr>
        <w:t xml:space="preserve">After having </w:t>
      </w:r>
      <w:r w:rsidR="0057060C">
        <w:rPr>
          <w:rFonts w:cs="Courier New"/>
        </w:rPr>
        <w:t xml:space="preserve">sought </w:t>
      </w:r>
      <w:r w:rsidR="008A45B4">
        <w:rPr>
          <w:rFonts w:cs="Courier New"/>
        </w:rPr>
        <w:t>proposals</w:t>
      </w:r>
      <w:r w:rsidR="0057060C">
        <w:rPr>
          <w:rFonts w:cs="Courier New"/>
        </w:rPr>
        <w:t xml:space="preserve"> from </w:t>
      </w:r>
      <w:r>
        <w:rPr>
          <w:rFonts w:cs="Courier New"/>
        </w:rPr>
        <w:t>Member States, t</w:t>
      </w:r>
      <w:r w:rsidR="0005544A" w:rsidRPr="0005544A">
        <w:rPr>
          <w:rFonts w:cs="Courier New"/>
        </w:rPr>
        <w:t>he Chair nominated M</w:t>
      </w:r>
      <w:r w:rsidR="007C4E4B">
        <w:rPr>
          <w:rFonts w:cs="Courier New"/>
        </w:rPr>
        <w:t>r. Paul Kuruk from Ghana to be the f</w:t>
      </w:r>
      <w:r w:rsidR="0005544A" w:rsidRPr="0005544A">
        <w:rPr>
          <w:rFonts w:cs="Courier New"/>
        </w:rPr>
        <w:t>acilitator</w:t>
      </w:r>
      <w:r w:rsidR="0057060C">
        <w:rPr>
          <w:rFonts w:cs="Courier New"/>
        </w:rPr>
        <w:t xml:space="preserve">.  He </w:t>
      </w:r>
      <w:r w:rsidR="0005544A" w:rsidRPr="0005544A">
        <w:rPr>
          <w:rFonts w:cs="Courier New"/>
        </w:rPr>
        <w:t xml:space="preserve">appointed Ms. Margo Bagley </w:t>
      </w:r>
      <w:r w:rsidR="008A45B4">
        <w:rPr>
          <w:rFonts w:cs="Courier New"/>
        </w:rPr>
        <w:t xml:space="preserve">from Mozambique </w:t>
      </w:r>
      <w:r w:rsidR="0005544A" w:rsidRPr="0005544A">
        <w:rPr>
          <w:rFonts w:cs="Courier New"/>
        </w:rPr>
        <w:t xml:space="preserve">as </w:t>
      </w:r>
      <w:r w:rsidR="007C4E4B">
        <w:rPr>
          <w:rFonts w:cs="Courier New"/>
        </w:rPr>
        <w:t xml:space="preserve">the </w:t>
      </w:r>
      <w:r w:rsidR="0005544A" w:rsidRPr="0005544A">
        <w:rPr>
          <w:rFonts w:cs="Courier New"/>
        </w:rPr>
        <w:t>Friend of the Chair to provide continuity</w:t>
      </w:r>
      <w:r w:rsidR="007C4E4B">
        <w:rPr>
          <w:rFonts w:cs="Courier New"/>
        </w:rPr>
        <w:t xml:space="preserve"> to the process and to aid the facilitator</w:t>
      </w:r>
      <w:r w:rsidR="0005544A" w:rsidRPr="0005544A">
        <w:rPr>
          <w:rFonts w:cs="Courier New"/>
        </w:rPr>
        <w:t xml:space="preserve">.  </w:t>
      </w:r>
      <w:r w:rsidR="009203EF">
        <w:rPr>
          <w:rFonts w:cs="Courier New"/>
        </w:rPr>
        <w:t>Document WIPO/GRTKF/IC/35/</w:t>
      </w:r>
      <w:r w:rsidR="009203EF" w:rsidRPr="004133DB">
        <w:rPr>
          <w:rFonts w:cs="Courier New"/>
        </w:rPr>
        <w:t>4</w:t>
      </w:r>
      <w:r w:rsidR="0005544A" w:rsidRPr="004133DB">
        <w:rPr>
          <w:rFonts w:cs="Courier New"/>
        </w:rPr>
        <w:t xml:space="preserve"> incorporated two broad proposals, based on the policy objectives (noting that those policy objectives were not agreed): </w:t>
      </w:r>
      <w:r w:rsidR="004133DB" w:rsidRPr="004133DB">
        <w:rPr>
          <w:rFonts w:cs="Courier New"/>
        </w:rPr>
        <w:t xml:space="preserve"> </w:t>
      </w:r>
      <w:r w:rsidR="0005544A" w:rsidRPr="004133DB">
        <w:rPr>
          <w:rFonts w:cs="Courier New"/>
        </w:rPr>
        <w:t>disclosure requirements and defensive measures.  In relation to disclosure, the approach had been significantly refined with the inclusion of an administrative mechanism focused on ensuring transparency within the IP/patent system, rather than a regime based on a substantive patentability</w:t>
      </w:r>
      <w:r w:rsidR="0005544A" w:rsidRPr="0005544A">
        <w:rPr>
          <w:rFonts w:cs="Courier New"/>
        </w:rPr>
        <w:t xml:space="preserve"> requirement, which had been the regime initially considered.  </w:t>
      </w:r>
      <w:r w:rsidR="00513FF1">
        <w:rPr>
          <w:rFonts w:cs="Courier New"/>
        </w:rPr>
        <w:t>T</w:t>
      </w:r>
      <w:r w:rsidR="0005544A" w:rsidRPr="0005544A">
        <w:rPr>
          <w:rFonts w:cs="Courier New"/>
        </w:rPr>
        <w:t>here were three additional documents presented for consideration by the IGC</w:t>
      </w:r>
      <w:r w:rsidR="004133DB">
        <w:rPr>
          <w:rFonts w:cs="Courier New"/>
        </w:rPr>
        <w:t>, which were documents WIPO/GRTKF/IC/35/7, WIPO/GRTKF/IC/35/8 and WIPO/GRTKF/IC/35/9</w:t>
      </w:r>
      <w:r w:rsidR="0005544A" w:rsidRPr="0005544A">
        <w:rPr>
          <w:rFonts w:cs="Courier New"/>
        </w:rPr>
        <w:t>.  In addition to those documents, at IGC 29, the Delegation of the EU</w:t>
      </w:r>
      <w:r w:rsidR="004133DB">
        <w:rPr>
          <w:rFonts w:cs="Courier New"/>
        </w:rPr>
        <w:t>, on behalf of the EU and its Member States,</w:t>
      </w:r>
      <w:r w:rsidR="0005544A" w:rsidRPr="0005544A">
        <w:rPr>
          <w:rFonts w:cs="Courier New"/>
        </w:rPr>
        <w:t xml:space="preserve"> had referred to its disclosure proposal, which </w:t>
      </w:r>
      <w:proofErr w:type="gramStart"/>
      <w:r w:rsidR="0005544A" w:rsidRPr="0005544A">
        <w:rPr>
          <w:rFonts w:cs="Courier New"/>
        </w:rPr>
        <w:t>had been tabled</w:t>
      </w:r>
      <w:proofErr w:type="gramEnd"/>
      <w:r w:rsidR="0005544A" w:rsidRPr="0005544A">
        <w:rPr>
          <w:rFonts w:cs="Courier New"/>
        </w:rPr>
        <w:t xml:space="preserve"> in 2005, as noted in its opening statement.  He noted the point raised by the Delegation of the EU</w:t>
      </w:r>
      <w:r w:rsidR="004133DB">
        <w:rPr>
          <w:rFonts w:cs="Courier New"/>
        </w:rPr>
        <w:t>, on behalf of the EU and its Member States,</w:t>
      </w:r>
      <w:r w:rsidR="0005544A" w:rsidRPr="0005544A">
        <w:rPr>
          <w:rFonts w:cs="Courier New"/>
        </w:rPr>
        <w:t xml:space="preserve"> and some others in their opening statements that the landscape had changed significantly since the IGC had started its work, with protocols, domestic disclosure regimes and individual Member States’ initiatives relating to databases. </w:t>
      </w:r>
      <w:r w:rsidR="00513FF1">
        <w:rPr>
          <w:rFonts w:cs="Courier New"/>
        </w:rPr>
        <w:t xml:space="preserve"> </w:t>
      </w:r>
      <w:r w:rsidR="004133DB">
        <w:rPr>
          <w:rFonts w:cs="Courier New"/>
        </w:rPr>
        <w:t xml:space="preserve">There </w:t>
      </w:r>
      <w:proofErr w:type="gramStart"/>
      <w:r w:rsidR="004133DB">
        <w:rPr>
          <w:rFonts w:cs="Courier New"/>
        </w:rPr>
        <w:t>were</w:t>
      </w:r>
      <w:r w:rsidR="0005544A" w:rsidRPr="0005544A">
        <w:rPr>
          <w:rFonts w:cs="Courier New"/>
        </w:rPr>
        <w:t xml:space="preserve"> a significant amount</w:t>
      </w:r>
      <w:proofErr w:type="gramEnd"/>
      <w:r w:rsidR="0005544A" w:rsidRPr="0005544A">
        <w:rPr>
          <w:rFonts w:cs="Courier New"/>
        </w:rPr>
        <w:t xml:space="preserve"> of material</w:t>
      </w:r>
      <w:r w:rsidR="004133DB">
        <w:rPr>
          <w:rFonts w:cs="Courier New"/>
        </w:rPr>
        <w:t>s</w:t>
      </w:r>
      <w:r w:rsidR="0005544A" w:rsidRPr="0005544A">
        <w:rPr>
          <w:rFonts w:cs="Courier New"/>
        </w:rPr>
        <w:t xml:space="preserve"> from which to develop a single approach aimed at reaching an agreement on an international legal instrument relating to IP and GRs, without prejudice to </w:t>
      </w:r>
      <w:r w:rsidR="004133DB">
        <w:rPr>
          <w:rFonts w:cs="Courier New"/>
        </w:rPr>
        <w:t xml:space="preserve">the nature of the outcome.  </w:t>
      </w:r>
      <w:proofErr w:type="gramStart"/>
      <w:r w:rsidR="004133DB">
        <w:rPr>
          <w:rFonts w:cs="Courier New"/>
        </w:rPr>
        <w:t>Those</w:t>
      </w:r>
      <w:r w:rsidR="0005544A" w:rsidRPr="0005544A">
        <w:rPr>
          <w:rFonts w:cs="Courier New"/>
        </w:rPr>
        <w:t xml:space="preserve"> material</w:t>
      </w:r>
      <w:r w:rsidR="004133DB">
        <w:rPr>
          <w:rFonts w:cs="Courier New"/>
        </w:rPr>
        <w:t>s were</w:t>
      </w:r>
      <w:r w:rsidR="0005544A" w:rsidRPr="0005544A">
        <w:rPr>
          <w:rFonts w:cs="Courier New"/>
        </w:rPr>
        <w:t xml:space="preserve"> also supported by significant resources available on the WIPO website, including </w:t>
      </w:r>
      <w:r w:rsidR="00A77942">
        <w:rPr>
          <w:rFonts w:cs="Courier New"/>
        </w:rPr>
        <w:t xml:space="preserve">information on </w:t>
      </w:r>
      <w:r w:rsidR="0005544A" w:rsidRPr="0005544A">
        <w:rPr>
          <w:rFonts w:cs="Courier New"/>
        </w:rPr>
        <w:t>domestic disclosure regimes and databases</w:t>
      </w:r>
      <w:proofErr w:type="gramEnd"/>
      <w:r w:rsidR="0005544A" w:rsidRPr="0005544A">
        <w:rPr>
          <w:rFonts w:cs="Courier New"/>
        </w:rPr>
        <w:t xml:space="preserve">.  However, it was also clear that there was a fundamental difference of view as to the most appropriate mechanism to address the policy objectives, with a number of countries explicitly stating </w:t>
      </w:r>
      <w:r w:rsidR="004133DB">
        <w:rPr>
          <w:rFonts w:cs="Courier New"/>
        </w:rPr>
        <w:t xml:space="preserve">that </w:t>
      </w:r>
      <w:r w:rsidR="0005544A" w:rsidRPr="0005544A">
        <w:rPr>
          <w:rFonts w:cs="Courier New"/>
        </w:rPr>
        <w:t xml:space="preserve">they did not support a disclosure regime, </w:t>
      </w:r>
      <w:r w:rsidR="004133DB">
        <w:rPr>
          <w:rFonts w:cs="Courier New"/>
        </w:rPr>
        <w:t xml:space="preserve">and </w:t>
      </w:r>
      <w:r w:rsidR="0005544A" w:rsidRPr="0005544A">
        <w:rPr>
          <w:rFonts w:cs="Courier New"/>
        </w:rPr>
        <w:t xml:space="preserve">believing </w:t>
      </w:r>
      <w:r w:rsidR="004313B2">
        <w:rPr>
          <w:rFonts w:cs="Courier New"/>
        </w:rPr>
        <w:t xml:space="preserve">that </w:t>
      </w:r>
      <w:r w:rsidR="0005544A" w:rsidRPr="0005544A">
        <w:rPr>
          <w:rFonts w:cs="Courier New"/>
        </w:rPr>
        <w:t xml:space="preserve">defensive measures were sufficient to meet the policy objectives.  Unless the IGC could address that </w:t>
      </w:r>
      <w:r w:rsidR="004313B2">
        <w:rPr>
          <w:rFonts w:cs="Courier New"/>
        </w:rPr>
        <w:t>difference</w:t>
      </w:r>
      <w:r w:rsidR="0005544A" w:rsidRPr="0005544A">
        <w:rPr>
          <w:rFonts w:cs="Courier New"/>
        </w:rPr>
        <w:t xml:space="preserve">, the negotiations would not move forward.  The only way forward was to attempt to increase the clarity of the different approaches for Member States to have a greater understanding of how those mechanisms </w:t>
      </w:r>
      <w:r w:rsidR="004313B2">
        <w:rPr>
          <w:rFonts w:cs="Courier New"/>
        </w:rPr>
        <w:t xml:space="preserve">could </w:t>
      </w:r>
      <w:r w:rsidR="0005544A" w:rsidRPr="0005544A">
        <w:rPr>
          <w:rFonts w:cs="Courier New"/>
        </w:rPr>
        <w:t>ac</w:t>
      </w:r>
      <w:r w:rsidR="004313B2">
        <w:rPr>
          <w:rFonts w:cs="Courier New"/>
        </w:rPr>
        <w:t>hieve the policy objectives</w:t>
      </w:r>
      <w:r w:rsidR="0005544A" w:rsidRPr="0005544A">
        <w:rPr>
          <w:rFonts w:cs="Courier New"/>
        </w:rPr>
        <w:t>.  He intended to progress the IGC’s</w:t>
      </w:r>
      <w:r w:rsidR="004313B2">
        <w:rPr>
          <w:rFonts w:cs="Courier New"/>
        </w:rPr>
        <w:t xml:space="preserve"> work along the two approaches and gave</w:t>
      </w:r>
      <w:r w:rsidR="0005544A" w:rsidRPr="0005544A">
        <w:rPr>
          <w:rFonts w:cs="Courier New"/>
        </w:rPr>
        <w:t xml:space="preserve"> time to discuss core issues related to each approach.  </w:t>
      </w:r>
      <w:r w:rsidR="004313B2">
        <w:rPr>
          <w:rFonts w:cs="Courier New"/>
        </w:rPr>
        <w:t>T</w:t>
      </w:r>
      <w:r w:rsidR="0005544A" w:rsidRPr="0005544A">
        <w:rPr>
          <w:rFonts w:cs="Courier New"/>
        </w:rPr>
        <w:t xml:space="preserve">he disclosure approach had a number of alternative positions on key </w:t>
      </w:r>
      <w:proofErr w:type="gramStart"/>
      <w:r w:rsidR="0005544A" w:rsidRPr="0005544A">
        <w:rPr>
          <w:rFonts w:cs="Courier New"/>
        </w:rPr>
        <w:t>elements which</w:t>
      </w:r>
      <w:proofErr w:type="gramEnd"/>
      <w:r w:rsidR="0005544A" w:rsidRPr="0005544A">
        <w:rPr>
          <w:rFonts w:cs="Courier New"/>
        </w:rPr>
        <w:t xml:space="preserve"> included subject matter, trigger, content of disclosure, exceptions and limitations and sanctions and remedies. </w:t>
      </w:r>
      <w:r w:rsidR="00205B5F">
        <w:rPr>
          <w:rFonts w:cs="Courier New"/>
        </w:rPr>
        <w:t xml:space="preserve"> </w:t>
      </w:r>
      <w:r w:rsidR="0005544A" w:rsidRPr="0005544A">
        <w:rPr>
          <w:rFonts w:cs="Courier New"/>
        </w:rPr>
        <w:t xml:space="preserve">It was important to narrow those alternative positions, as they significantly changed the policy impact of any disclosure regime, particularly in relation to the scope of such a regime, its legal certainty and regulatory burden.  Without narrowing positions in the area of disclosure, it would be difficult for Member States and stakeholders to make informed decisions on the merits of the disclosure regime. </w:t>
      </w:r>
      <w:r w:rsidR="00205B5F">
        <w:rPr>
          <w:rFonts w:cs="Courier New"/>
        </w:rPr>
        <w:t xml:space="preserve"> </w:t>
      </w:r>
      <w:r w:rsidR="0005544A" w:rsidRPr="0005544A">
        <w:rPr>
          <w:rFonts w:cs="Courier New"/>
        </w:rPr>
        <w:t xml:space="preserve">It was very important for the proponents of disclosure to attempt to narrow gaps.  He asked the proponents of the defensive measures to address, in particular, issues regarding safeguards in relation to databases.  He requested that if one clearly did not support a particular proposition or option that a Member State had put forward, one should refrain from suggesting textual changes, which fundamentally altered the policy intent of the position. </w:t>
      </w:r>
      <w:r w:rsidR="00205B5F">
        <w:rPr>
          <w:rFonts w:cs="Courier New"/>
        </w:rPr>
        <w:t xml:space="preserve"> </w:t>
      </w:r>
      <w:r w:rsidR="0005544A" w:rsidRPr="0005544A">
        <w:rPr>
          <w:rFonts w:cs="Courier New"/>
        </w:rPr>
        <w:t>It would be better for members to ask questions to the proponents in an attempt to understand the policy rationale of the proposal or query how the proposal would operate in practice.  Member</w:t>
      </w:r>
      <w:r w:rsidR="009A7377">
        <w:rPr>
          <w:rFonts w:cs="Courier New"/>
        </w:rPr>
        <w:t xml:space="preserve"> State</w:t>
      </w:r>
      <w:r w:rsidR="0005544A" w:rsidRPr="0005544A">
        <w:rPr>
          <w:rFonts w:cs="Courier New"/>
        </w:rPr>
        <w:t xml:space="preserve">s needed to have the courage to move outside of the rigidity of their positions and consider what they were prepared to accept to make their primary policy interests reflected in the objectives.  He intended </w:t>
      </w:r>
      <w:proofErr w:type="gramStart"/>
      <w:r w:rsidR="0005544A" w:rsidRPr="0005544A">
        <w:rPr>
          <w:rFonts w:cs="Courier New"/>
        </w:rPr>
        <w:t>to initially work</w:t>
      </w:r>
      <w:proofErr w:type="gramEnd"/>
      <w:r w:rsidR="0005544A" w:rsidRPr="0005544A">
        <w:rPr>
          <w:rFonts w:cs="Courier New"/>
        </w:rPr>
        <w:t xml:space="preserve"> </w:t>
      </w:r>
      <w:r w:rsidR="005C562F" w:rsidRPr="0005544A">
        <w:rPr>
          <w:rFonts w:cs="Courier New"/>
        </w:rPr>
        <w:t xml:space="preserve">through key issues </w:t>
      </w:r>
      <w:r w:rsidR="0005544A" w:rsidRPr="0005544A">
        <w:rPr>
          <w:rFonts w:cs="Courier New"/>
        </w:rPr>
        <w:t>within plenary, a number of wh</w:t>
      </w:r>
      <w:r w:rsidR="009A7377">
        <w:rPr>
          <w:rFonts w:cs="Courier New"/>
        </w:rPr>
        <w:t>ich were reflected in the Chair’</w:t>
      </w:r>
      <w:r w:rsidR="0005544A" w:rsidRPr="0005544A">
        <w:rPr>
          <w:rFonts w:cs="Courier New"/>
        </w:rPr>
        <w:t>s</w:t>
      </w:r>
      <w:r w:rsidR="009A7377">
        <w:rPr>
          <w:rFonts w:cs="Courier New"/>
        </w:rPr>
        <w:t xml:space="preserve"> Information</w:t>
      </w:r>
      <w:r w:rsidR="0005544A" w:rsidRPr="0005544A">
        <w:rPr>
          <w:rFonts w:cs="Courier New"/>
        </w:rPr>
        <w:t xml:space="preserve"> Note.  The first of those was Objectives.  There were</w:t>
      </w:r>
      <w:r w:rsidR="00205B5F">
        <w:rPr>
          <w:rFonts w:cs="Courier New"/>
        </w:rPr>
        <w:t xml:space="preserve"> three key elements within the o</w:t>
      </w:r>
      <w:r w:rsidR="0005544A" w:rsidRPr="0005544A">
        <w:rPr>
          <w:rFonts w:cs="Courier New"/>
        </w:rPr>
        <w:t>bjective</w:t>
      </w:r>
      <w:r w:rsidR="00205B5F">
        <w:rPr>
          <w:rFonts w:cs="Courier New"/>
        </w:rPr>
        <w:t>s, which balanced the interests</w:t>
      </w:r>
      <w:r w:rsidR="0005544A" w:rsidRPr="0005544A">
        <w:rPr>
          <w:rFonts w:cs="Courier New"/>
        </w:rPr>
        <w:t xml:space="preserve"> </w:t>
      </w:r>
      <w:r w:rsidR="00205B5F">
        <w:rPr>
          <w:rFonts w:cs="Courier New"/>
        </w:rPr>
        <w:t xml:space="preserve">of </w:t>
      </w:r>
      <w:r w:rsidR="0005544A" w:rsidRPr="0005544A">
        <w:rPr>
          <w:rFonts w:cs="Courier New"/>
        </w:rPr>
        <w:t xml:space="preserve">GRs owners, GRs users, and the public interest.  </w:t>
      </w:r>
      <w:r w:rsidR="00205B5F">
        <w:rPr>
          <w:rFonts w:cs="Courier New"/>
        </w:rPr>
        <w:t>The</w:t>
      </w:r>
      <w:r w:rsidR="0005544A" w:rsidRPr="0005544A">
        <w:rPr>
          <w:rFonts w:cs="Courier New"/>
        </w:rPr>
        <w:t xml:space="preserve"> three key elements</w:t>
      </w:r>
      <w:r w:rsidR="00205B5F">
        <w:rPr>
          <w:rFonts w:cs="Courier New"/>
        </w:rPr>
        <w:t xml:space="preserve"> were</w:t>
      </w:r>
      <w:r w:rsidR="0005544A" w:rsidRPr="0005544A">
        <w:rPr>
          <w:rFonts w:cs="Courier New"/>
        </w:rPr>
        <w:t xml:space="preserve">: </w:t>
      </w:r>
      <w:r w:rsidR="009A7377">
        <w:rPr>
          <w:rFonts w:cs="Courier New"/>
        </w:rPr>
        <w:t xml:space="preserve"> </w:t>
      </w:r>
      <w:r w:rsidR="0005544A" w:rsidRPr="0005544A">
        <w:rPr>
          <w:rFonts w:cs="Courier New"/>
        </w:rPr>
        <w:t>(1) enhancing the efficacy and the transparency of</w:t>
      </w:r>
      <w:r w:rsidR="009A7377">
        <w:rPr>
          <w:rFonts w:cs="Courier New"/>
        </w:rPr>
        <w:t xml:space="preserve"> the patent/IP system</w:t>
      </w:r>
      <w:proofErr w:type="gramStart"/>
      <w:r w:rsidR="009A7377">
        <w:rPr>
          <w:rFonts w:cs="Courier New"/>
        </w:rPr>
        <w:t xml:space="preserve">; </w:t>
      </w:r>
      <w:r w:rsidR="007221AD">
        <w:rPr>
          <w:rFonts w:cs="Courier New"/>
        </w:rPr>
        <w:t xml:space="preserve"> (</w:t>
      </w:r>
      <w:proofErr w:type="gramEnd"/>
      <w:r w:rsidR="007221AD">
        <w:rPr>
          <w:rFonts w:cs="Courier New"/>
        </w:rPr>
        <w:t>2) </w:t>
      </w:r>
      <w:r w:rsidR="0005544A" w:rsidRPr="0005544A">
        <w:rPr>
          <w:rFonts w:cs="Courier New"/>
        </w:rPr>
        <w:t>facilitating mutual supportiveness with other r</w:t>
      </w:r>
      <w:r w:rsidR="009A7377">
        <w:rPr>
          <w:rFonts w:cs="Courier New"/>
        </w:rPr>
        <w:t xml:space="preserve">elated international agreements; </w:t>
      </w:r>
      <w:r w:rsidR="0005544A" w:rsidRPr="0005544A">
        <w:rPr>
          <w:rFonts w:cs="Courier New"/>
        </w:rPr>
        <w:t xml:space="preserve"> </w:t>
      </w:r>
      <w:r w:rsidR="007221AD">
        <w:rPr>
          <w:rFonts w:cs="Courier New"/>
        </w:rPr>
        <w:t>and (3) </w:t>
      </w:r>
      <w:r w:rsidR="009A7377">
        <w:rPr>
          <w:rFonts w:cs="Courier New"/>
        </w:rPr>
        <w:t xml:space="preserve">ensuring patent </w:t>
      </w:r>
      <w:proofErr w:type="spellStart"/>
      <w:r w:rsidR="009A7377">
        <w:rPr>
          <w:rFonts w:cs="Courier New"/>
        </w:rPr>
        <w:t>offices</w:t>
      </w:r>
      <w:proofErr w:type="spellEnd"/>
      <w:r w:rsidR="009A7377">
        <w:rPr>
          <w:rFonts w:cs="Courier New"/>
        </w:rPr>
        <w:t xml:space="preserve"> </w:t>
      </w:r>
      <w:r w:rsidR="0005544A" w:rsidRPr="0005544A">
        <w:rPr>
          <w:rFonts w:cs="Courier New"/>
        </w:rPr>
        <w:t xml:space="preserve">access to appropriate information to prevent the granting of </w:t>
      </w:r>
      <w:r w:rsidR="0005544A" w:rsidRPr="0005544A">
        <w:rPr>
          <w:rFonts w:cs="Courier New"/>
        </w:rPr>
        <w:lastRenderedPageBreak/>
        <w:t xml:space="preserve">inappropriate IP rights.  The article contained </w:t>
      </w:r>
      <w:proofErr w:type="gramStart"/>
      <w:r w:rsidR="0005544A" w:rsidRPr="0005544A">
        <w:rPr>
          <w:rFonts w:cs="Courier New"/>
        </w:rPr>
        <w:t>lots of</w:t>
      </w:r>
      <w:proofErr w:type="gramEnd"/>
      <w:r w:rsidR="0005544A" w:rsidRPr="0005544A">
        <w:rPr>
          <w:rFonts w:cs="Courier New"/>
        </w:rPr>
        <w:t xml:space="preserve"> </w:t>
      </w:r>
      <w:r w:rsidR="00205B5F">
        <w:rPr>
          <w:rFonts w:cs="Courier New"/>
        </w:rPr>
        <w:t>duplications</w:t>
      </w:r>
      <w:r w:rsidR="0005544A" w:rsidRPr="0005544A">
        <w:rPr>
          <w:rFonts w:cs="Courier New"/>
        </w:rPr>
        <w:t xml:space="preserve">.  He opened the floor for comments on </w:t>
      </w:r>
      <w:r w:rsidR="009A7377">
        <w:rPr>
          <w:rFonts w:cs="Courier New"/>
        </w:rPr>
        <w:t>“</w:t>
      </w:r>
      <w:r w:rsidR="0005544A" w:rsidRPr="0005544A">
        <w:rPr>
          <w:rFonts w:cs="Courier New"/>
        </w:rPr>
        <w:t>Objectives</w:t>
      </w:r>
      <w:r w:rsidR="009A7377">
        <w:rPr>
          <w:rFonts w:cs="Courier New"/>
        </w:rPr>
        <w:t>”</w:t>
      </w:r>
      <w:r w:rsidR="0005544A" w:rsidRPr="0005544A">
        <w:rPr>
          <w:rFonts w:cs="Courier New"/>
        </w:rPr>
        <w:t xml:space="preserve">. </w:t>
      </w:r>
    </w:p>
    <w:p w:rsidR="00873C7D" w:rsidRPr="00873C7D" w:rsidRDefault="00873C7D" w:rsidP="00873C7D">
      <w:pPr>
        <w:pStyle w:val="ListParagraph"/>
        <w:ind w:left="0"/>
      </w:pPr>
    </w:p>
    <w:p w:rsidR="00873C7D" w:rsidRPr="00873C7D" w:rsidRDefault="00FE4BC2" w:rsidP="00310121">
      <w:pPr>
        <w:pStyle w:val="ListParagraph"/>
        <w:numPr>
          <w:ilvl w:val="0"/>
          <w:numId w:val="4"/>
        </w:numPr>
        <w:ind w:left="0" w:firstLine="0"/>
      </w:pPr>
      <w:r>
        <w:rPr>
          <w:rFonts w:cs="Courier New"/>
        </w:rPr>
        <w:t>The Delegation of</w:t>
      </w:r>
      <w:r w:rsidR="00873C7D" w:rsidRPr="00873C7D">
        <w:rPr>
          <w:rFonts w:cs="Courier New"/>
        </w:rPr>
        <w:t xml:space="preserve"> Indonesia, speaking on behalf of the LMCs, said it was ready to engage constructively and was flexible with regard to simplifying the Consolidated Document, as long as any textual proposal </w:t>
      </w:r>
      <w:proofErr w:type="gramStart"/>
      <w:r w:rsidR="00873C7D" w:rsidRPr="00873C7D">
        <w:rPr>
          <w:rFonts w:cs="Courier New"/>
        </w:rPr>
        <w:t>was done</w:t>
      </w:r>
      <w:proofErr w:type="gramEnd"/>
      <w:r w:rsidR="00873C7D" w:rsidRPr="00873C7D">
        <w:rPr>
          <w:rFonts w:cs="Courier New"/>
        </w:rPr>
        <w:t xml:space="preserve"> with the objective of narrowing gaps and maintaining the integrity of the text. </w:t>
      </w:r>
      <w:r w:rsidR="00873C7D">
        <w:rPr>
          <w:rFonts w:cs="Courier New"/>
        </w:rPr>
        <w:t xml:space="preserve"> </w:t>
      </w:r>
      <w:r w:rsidR="00873C7D" w:rsidRPr="00873C7D">
        <w:rPr>
          <w:rFonts w:cs="Courier New"/>
        </w:rPr>
        <w:t>Article 1 was important because by extending the disclosure requirement, one could enh</w:t>
      </w:r>
      <w:r w:rsidR="005142D1">
        <w:rPr>
          <w:rFonts w:cs="Courier New"/>
        </w:rPr>
        <w:t>ance the transparency of the IP/</w:t>
      </w:r>
      <w:r w:rsidR="00873C7D" w:rsidRPr="00873C7D">
        <w:rPr>
          <w:rFonts w:cs="Courier New"/>
        </w:rPr>
        <w:t>patent systems, in particular by monit</w:t>
      </w:r>
      <w:r w:rsidR="005142D1">
        <w:rPr>
          <w:rFonts w:cs="Courier New"/>
        </w:rPr>
        <w:t>oring the contribution of GRs to the</w:t>
      </w:r>
      <w:r w:rsidR="00873C7D" w:rsidRPr="00873C7D">
        <w:rPr>
          <w:rFonts w:cs="Courier New"/>
        </w:rPr>
        <w:t xml:space="preserve"> new inventions.  The disclosure requirement would also create a balance between those who held the GRs and those who owned the modern technology to exploit GRs associated with the inventions.  Therefore, the objective of the instrument should be to prevent the mi</w:t>
      </w:r>
      <w:r w:rsidR="005142D1">
        <w:rPr>
          <w:rFonts w:cs="Courier New"/>
        </w:rPr>
        <w:t>sappropriation or misuse of GRs</w:t>
      </w:r>
      <w:r w:rsidR="00873C7D" w:rsidRPr="00873C7D">
        <w:rPr>
          <w:rFonts w:cs="Courier New"/>
        </w:rPr>
        <w:t xml:space="preserve"> and </w:t>
      </w:r>
      <w:r w:rsidR="005142D1">
        <w:rPr>
          <w:rFonts w:cs="Courier New"/>
        </w:rPr>
        <w:t>associated TK</w:t>
      </w:r>
      <w:r w:rsidR="00873C7D" w:rsidRPr="00873C7D">
        <w:rPr>
          <w:rFonts w:cs="Courier New"/>
        </w:rPr>
        <w:t xml:space="preserve"> through a disclosure requirement. </w:t>
      </w:r>
    </w:p>
    <w:p w:rsidR="00873C7D" w:rsidRPr="00873C7D" w:rsidRDefault="00873C7D" w:rsidP="00873C7D">
      <w:pPr>
        <w:rPr>
          <w:rFonts w:cs="Courier New"/>
        </w:rPr>
      </w:pPr>
    </w:p>
    <w:p w:rsidR="00F208DA" w:rsidRPr="00F208DA" w:rsidRDefault="00873C7D" w:rsidP="00310121">
      <w:pPr>
        <w:pStyle w:val="ListParagraph"/>
        <w:numPr>
          <w:ilvl w:val="0"/>
          <w:numId w:val="4"/>
        </w:numPr>
        <w:ind w:left="0" w:firstLine="0"/>
      </w:pPr>
      <w:r w:rsidRPr="00873C7D">
        <w:rPr>
          <w:rFonts w:cs="Courier New"/>
        </w:rPr>
        <w:t>The representative of</w:t>
      </w:r>
      <w:r w:rsidR="006F68D7" w:rsidRPr="006F68D7">
        <w:rPr>
          <w:rFonts w:cs="Courier New"/>
        </w:rPr>
        <w:t xml:space="preserve"> </w:t>
      </w:r>
      <w:r w:rsidR="006F68D7">
        <w:rPr>
          <w:rFonts w:cs="Courier New"/>
        </w:rPr>
        <w:t xml:space="preserve">the </w:t>
      </w:r>
      <w:r w:rsidR="006F68D7" w:rsidRPr="001D70EE">
        <w:rPr>
          <w:rFonts w:cs="Courier New"/>
        </w:rPr>
        <w:t>Tebtebba</w:t>
      </w:r>
      <w:r w:rsidR="006F68D7" w:rsidRPr="00BE2A58">
        <w:rPr>
          <w:szCs w:val="22"/>
        </w:rPr>
        <w:t xml:space="preserve"> </w:t>
      </w:r>
      <w:r w:rsidR="006F68D7">
        <w:rPr>
          <w:szCs w:val="22"/>
        </w:rPr>
        <w:t>Foundation</w:t>
      </w:r>
      <w:r w:rsidRPr="00873C7D">
        <w:rPr>
          <w:rFonts w:cs="Courier New"/>
        </w:rPr>
        <w:t>, speaking on behalf of the Indigenous Caucus, identified the prevention of misappropriation and protection of rights over GRs and associate</w:t>
      </w:r>
      <w:r w:rsidR="007E66FA">
        <w:rPr>
          <w:rFonts w:cs="Courier New"/>
        </w:rPr>
        <w:t>d TK as the key elements under o</w:t>
      </w:r>
      <w:r w:rsidRPr="00873C7D">
        <w:rPr>
          <w:rFonts w:cs="Courier New"/>
        </w:rPr>
        <w:t>bjectives, as mentioned by the Delegation of Indonesia</w:t>
      </w:r>
      <w:r w:rsidR="007E66FA">
        <w:rPr>
          <w:rFonts w:cs="Courier New"/>
        </w:rPr>
        <w:t>, on behalf of the LMCs</w:t>
      </w:r>
      <w:r w:rsidRPr="00873C7D">
        <w:rPr>
          <w:rFonts w:cs="Courier New"/>
        </w:rPr>
        <w:t xml:space="preserve">.  She had been initially looking at Alt 2, however, she agreed with the Chair’s suggestion </w:t>
      </w:r>
      <w:r w:rsidR="007E66FA">
        <w:rPr>
          <w:rFonts w:cs="Courier New"/>
        </w:rPr>
        <w:t>on minimalization of alternatives</w:t>
      </w:r>
      <w:r w:rsidRPr="00873C7D">
        <w:rPr>
          <w:rFonts w:cs="Courier New"/>
        </w:rPr>
        <w:t xml:space="preserve">.  She could work on Alt 1, as long as the concept of prevention of misappropriation and effective protection of the rights of GRs and </w:t>
      </w:r>
      <w:r w:rsidR="007E66FA">
        <w:rPr>
          <w:rFonts w:cs="Courier New"/>
        </w:rPr>
        <w:t>associated with TK</w:t>
      </w:r>
      <w:r w:rsidRPr="00873C7D">
        <w:rPr>
          <w:rFonts w:cs="Courier New"/>
        </w:rPr>
        <w:t xml:space="preserve"> were reflected there.</w:t>
      </w:r>
    </w:p>
    <w:p w:rsidR="00F208DA" w:rsidRPr="00F208DA" w:rsidRDefault="00F208DA" w:rsidP="00F208DA">
      <w:pPr>
        <w:rPr>
          <w:rFonts w:cs="Courier New"/>
        </w:rPr>
      </w:pPr>
    </w:p>
    <w:p w:rsidR="00637E94" w:rsidRPr="00637E94" w:rsidRDefault="00F208DA" w:rsidP="00310121">
      <w:pPr>
        <w:pStyle w:val="ListParagraph"/>
        <w:numPr>
          <w:ilvl w:val="0"/>
          <w:numId w:val="4"/>
        </w:numPr>
        <w:ind w:left="0" w:firstLine="0"/>
      </w:pPr>
      <w:r w:rsidRPr="00F208DA">
        <w:rPr>
          <w:rFonts w:cs="Courier New"/>
        </w:rPr>
        <w:t xml:space="preserve">The Delegation of the Islamic Republic of Iran aligned itself with the two statements by the Delegation of </w:t>
      </w:r>
      <w:r w:rsidR="005438B7">
        <w:rPr>
          <w:rFonts w:cs="Courier New"/>
        </w:rPr>
        <w:t>Indonesia</w:t>
      </w:r>
      <w:r w:rsidR="008D4756">
        <w:rPr>
          <w:rFonts w:cs="Courier New"/>
        </w:rPr>
        <w:t>,</w:t>
      </w:r>
      <w:r w:rsidR="005438B7">
        <w:rPr>
          <w:rFonts w:cs="Courier New"/>
        </w:rPr>
        <w:t xml:space="preserve"> on behalf of the Asia</w:t>
      </w:r>
      <w:r w:rsidR="005438B7">
        <w:rPr>
          <w:rFonts w:cs="Courier New"/>
        </w:rPr>
        <w:noBreakHyphen/>
      </w:r>
      <w:r w:rsidRPr="00F208DA">
        <w:rPr>
          <w:rFonts w:cs="Courier New"/>
        </w:rPr>
        <w:t xml:space="preserve">Pacific Group and the LMCs. </w:t>
      </w:r>
      <w:r w:rsidR="00620994">
        <w:rPr>
          <w:rFonts w:cs="Courier New"/>
        </w:rPr>
        <w:t xml:space="preserve"> </w:t>
      </w:r>
      <w:r w:rsidRPr="00F208DA">
        <w:rPr>
          <w:rFonts w:cs="Courier New"/>
        </w:rPr>
        <w:t xml:space="preserve">The IGC’s deliberations should be in full conformity and not deviate from its mandate, which urged members to make their utmost efforts to narrow the gaps.  One of such gaps was the policy objective.  Based on its declarations at IGC 29 and </w:t>
      </w:r>
      <w:r w:rsidR="008D4756">
        <w:rPr>
          <w:rFonts w:cs="Courier New"/>
        </w:rPr>
        <w:t xml:space="preserve">IGC </w:t>
      </w:r>
      <w:r w:rsidRPr="00F208DA">
        <w:rPr>
          <w:rFonts w:cs="Courier New"/>
        </w:rPr>
        <w:t>30, the policy objective co</w:t>
      </w:r>
      <w:r w:rsidR="008D4756">
        <w:rPr>
          <w:rFonts w:cs="Courier New"/>
        </w:rPr>
        <w:t xml:space="preserve">ntained two different elements, which </w:t>
      </w:r>
      <w:proofErr w:type="gramStart"/>
      <w:r w:rsidRPr="00F208DA">
        <w:rPr>
          <w:rFonts w:cs="Courier New"/>
        </w:rPr>
        <w:t>could be merged</w:t>
      </w:r>
      <w:proofErr w:type="gramEnd"/>
      <w:r w:rsidRPr="00F208DA">
        <w:rPr>
          <w:rFonts w:cs="Courier New"/>
        </w:rPr>
        <w:t xml:space="preserve"> into a new paragraph capturing all the elements of all different options.  It was ready to work with other Member States to narrow the gaps based on the current wording in order to prevent duplication.</w:t>
      </w:r>
    </w:p>
    <w:p w:rsidR="00637E94" w:rsidRPr="00637E94" w:rsidRDefault="00637E94" w:rsidP="00637E94">
      <w:pPr>
        <w:rPr>
          <w:rFonts w:cs="Courier New"/>
        </w:rPr>
      </w:pPr>
    </w:p>
    <w:p w:rsidR="00637E94" w:rsidRPr="00637E94" w:rsidRDefault="00637E94" w:rsidP="00310121">
      <w:pPr>
        <w:pStyle w:val="ListParagraph"/>
        <w:numPr>
          <w:ilvl w:val="0"/>
          <w:numId w:val="4"/>
        </w:numPr>
        <w:ind w:left="0" w:firstLine="0"/>
      </w:pPr>
      <w:r w:rsidRPr="00637E94">
        <w:rPr>
          <w:rFonts w:cs="Courier New"/>
        </w:rPr>
        <w:t xml:space="preserve">The Delegation of </w:t>
      </w:r>
      <w:r w:rsidR="006E31C3">
        <w:t xml:space="preserve">the Plurinational State of </w:t>
      </w:r>
      <w:r w:rsidRPr="00637E94">
        <w:rPr>
          <w:rFonts w:cs="Courier New"/>
        </w:rPr>
        <w:t>Bolivia supported Alt 2.  It proposed</w:t>
      </w:r>
      <w:r w:rsidR="008D4756">
        <w:rPr>
          <w:rFonts w:cs="Courier New"/>
        </w:rPr>
        <w:t xml:space="preserve"> replacing “promote” by “ensure</w:t>
      </w:r>
      <w:r w:rsidRPr="00637E94">
        <w:rPr>
          <w:rFonts w:cs="Courier New"/>
        </w:rPr>
        <w:t>”</w:t>
      </w:r>
      <w:r w:rsidR="008D4756">
        <w:rPr>
          <w:rFonts w:cs="Courier New"/>
        </w:rPr>
        <w:t>.</w:t>
      </w:r>
    </w:p>
    <w:p w:rsidR="00637E94" w:rsidRPr="00637E94" w:rsidRDefault="00637E94" w:rsidP="00637E94">
      <w:pPr>
        <w:rPr>
          <w:rFonts w:cs="Courier New"/>
        </w:rPr>
      </w:pPr>
    </w:p>
    <w:p w:rsidR="00E05CBD" w:rsidRPr="00E05CBD" w:rsidRDefault="00FA38BA" w:rsidP="00310121">
      <w:pPr>
        <w:pStyle w:val="ListParagraph"/>
        <w:numPr>
          <w:ilvl w:val="0"/>
          <w:numId w:val="4"/>
        </w:numPr>
        <w:ind w:left="0" w:firstLine="0"/>
      </w:pPr>
      <w:r w:rsidRPr="006C698F">
        <w:rPr>
          <w:rFonts w:cs="Courier New"/>
        </w:rPr>
        <w:t>The Delegation of Brazil stated</w:t>
      </w:r>
      <w:r w:rsidR="00637E94" w:rsidRPr="006C698F">
        <w:rPr>
          <w:rFonts w:cs="Courier New"/>
        </w:rPr>
        <w:t xml:space="preserve"> that the objective of the instrument was to establish a coherent legal and policy framework to ensure the mutual supportiveness between th</w:t>
      </w:r>
      <w:r w:rsidR="006C698F" w:rsidRPr="006C698F">
        <w:rPr>
          <w:rFonts w:cs="Courier New"/>
        </w:rPr>
        <w:t xml:space="preserve">e IP rules and the CBD and the </w:t>
      </w:r>
      <w:r w:rsidR="00637E94" w:rsidRPr="006C698F">
        <w:rPr>
          <w:rFonts w:cs="Courier New"/>
        </w:rPr>
        <w:t>Nagoya</w:t>
      </w:r>
      <w:r w:rsidR="006C698F" w:rsidRPr="006C698F">
        <w:rPr>
          <w:rFonts w:cs="Courier New"/>
        </w:rPr>
        <w:t xml:space="preserve"> Protocol</w:t>
      </w:r>
      <w:r w:rsidR="00637E94" w:rsidRPr="006C698F">
        <w:rPr>
          <w:rFonts w:cs="Courier New"/>
        </w:rPr>
        <w:t xml:space="preserve"> in national systems.  That would facilitate monitoring and enforcing compliance with the requirements under the CBD and the Nagoya Protocol.  The best w</w:t>
      </w:r>
      <w:r w:rsidR="006C698F" w:rsidRPr="006C698F">
        <w:rPr>
          <w:rFonts w:cs="Courier New"/>
        </w:rPr>
        <w:t>ay to do so was to introduce a</w:t>
      </w:r>
      <w:r w:rsidR="00637E94" w:rsidRPr="006C698F">
        <w:rPr>
          <w:rFonts w:cs="Courier New"/>
        </w:rPr>
        <w:t xml:space="preserve"> disclosure requirement, as an additional enforcement tool to those instruments.  It would also bring transparency to the IP system</w:t>
      </w:r>
      <w:r w:rsidR="00A864B5" w:rsidRPr="006C698F">
        <w:rPr>
          <w:rFonts w:cs="Courier New"/>
        </w:rPr>
        <w:t>,</w:t>
      </w:r>
      <w:r w:rsidR="00637E94" w:rsidRPr="006C698F">
        <w:rPr>
          <w:rFonts w:cs="Courier New"/>
        </w:rPr>
        <w:t xml:space="preserve"> allow</w:t>
      </w:r>
      <w:r w:rsidR="006C698F" w:rsidRPr="006C698F">
        <w:rPr>
          <w:rFonts w:cs="Courier New"/>
        </w:rPr>
        <w:t>ing the traceability of GRs.  The Delegation</w:t>
      </w:r>
      <w:r w:rsidR="00637E94" w:rsidRPr="006C698F">
        <w:rPr>
          <w:rFonts w:cs="Courier New"/>
        </w:rPr>
        <w:t xml:space="preserve"> was open to discuss additional measures, such as databases, to comple</w:t>
      </w:r>
      <w:r w:rsidR="00A864B5" w:rsidRPr="006C698F">
        <w:rPr>
          <w:rFonts w:cs="Courier New"/>
        </w:rPr>
        <w:t>ment the disclosure requirement</w:t>
      </w:r>
      <w:r w:rsidR="00637E94" w:rsidRPr="006C698F">
        <w:rPr>
          <w:rFonts w:cs="Courier New"/>
        </w:rPr>
        <w:t>.  IP</w:t>
      </w:r>
      <w:r w:rsidR="00637E94" w:rsidRPr="006C698F">
        <w:rPr>
          <w:rFonts w:cs="Courier New"/>
        </w:rPr>
        <w:noBreakHyphen/>
        <w:t xml:space="preserve">related measures by themselves would not be sufficient to resolve all issues arising in the context of access and </w:t>
      </w:r>
      <w:proofErr w:type="gramStart"/>
      <w:r w:rsidR="00637E94" w:rsidRPr="006C698F">
        <w:rPr>
          <w:rFonts w:cs="Courier New"/>
        </w:rPr>
        <w:t>benefit</w:t>
      </w:r>
      <w:r w:rsidR="006C698F" w:rsidRPr="006C698F">
        <w:rPr>
          <w:rFonts w:cs="Courier New"/>
        </w:rPr>
        <w:t>-</w:t>
      </w:r>
      <w:r w:rsidR="00637E94" w:rsidRPr="006C698F">
        <w:rPr>
          <w:rFonts w:cs="Courier New"/>
        </w:rPr>
        <w:t>sharing</w:t>
      </w:r>
      <w:proofErr w:type="gramEnd"/>
      <w:r w:rsidR="00637E94" w:rsidRPr="006C698F">
        <w:rPr>
          <w:rFonts w:cs="Courier New"/>
        </w:rPr>
        <w:t xml:space="preserve"> and the protection of GRs, derivatives and TK.  There </w:t>
      </w:r>
      <w:r w:rsidR="003B0DD8" w:rsidRPr="006C698F">
        <w:rPr>
          <w:rFonts w:cs="Courier New"/>
        </w:rPr>
        <w:t>was</w:t>
      </w:r>
      <w:r w:rsidR="00637E94" w:rsidRPr="006C698F">
        <w:rPr>
          <w:rFonts w:cs="Courier New"/>
        </w:rPr>
        <w:t xml:space="preserve"> only one element, among others, to </w:t>
      </w:r>
      <w:proofErr w:type="gramStart"/>
      <w:r w:rsidR="00637E94" w:rsidRPr="006C698F">
        <w:rPr>
          <w:rFonts w:cs="Courier New"/>
        </w:rPr>
        <w:t>be integrated</w:t>
      </w:r>
      <w:proofErr w:type="gramEnd"/>
      <w:r w:rsidR="00637E94" w:rsidRPr="006C698F">
        <w:rPr>
          <w:rFonts w:cs="Courier New"/>
        </w:rPr>
        <w:t xml:space="preserve"> in a more global approach to</w:t>
      </w:r>
      <w:r w:rsidR="00637E94" w:rsidRPr="00637E94">
        <w:rPr>
          <w:rFonts w:cs="Courier New"/>
        </w:rPr>
        <w:t xml:space="preserve"> fully address the issues.  Additional measures were possible outside of the IP system, at other levels, in other areas.  It supported the statement </w:t>
      </w:r>
      <w:r w:rsidR="006C698F">
        <w:rPr>
          <w:rFonts w:cs="Courier New"/>
        </w:rPr>
        <w:t xml:space="preserve">made </w:t>
      </w:r>
      <w:r w:rsidR="00637E94" w:rsidRPr="00637E94">
        <w:rPr>
          <w:rFonts w:cs="Courier New"/>
        </w:rPr>
        <w:t>by the Delegation of Indonesia</w:t>
      </w:r>
      <w:r w:rsidR="006C698F">
        <w:rPr>
          <w:rFonts w:cs="Courier New"/>
        </w:rPr>
        <w:t>,</w:t>
      </w:r>
      <w:r w:rsidR="00637E94" w:rsidRPr="00637E94">
        <w:rPr>
          <w:rFonts w:cs="Courier New"/>
        </w:rPr>
        <w:t xml:space="preserve"> on behalf of the LMCs</w:t>
      </w:r>
      <w:r w:rsidR="006C698F">
        <w:rPr>
          <w:rFonts w:cs="Courier New"/>
        </w:rPr>
        <w:t>,</w:t>
      </w:r>
      <w:r w:rsidR="00637E94" w:rsidRPr="00637E94">
        <w:rPr>
          <w:rFonts w:cs="Courier New"/>
        </w:rPr>
        <w:t xml:space="preserve"> regarding the preference for Alt 2.</w:t>
      </w:r>
    </w:p>
    <w:p w:rsidR="00E05CBD" w:rsidRPr="00E05CBD" w:rsidRDefault="00E05CBD" w:rsidP="00E05CBD">
      <w:pPr>
        <w:pStyle w:val="ListParagraph"/>
        <w:ind w:left="0"/>
      </w:pPr>
    </w:p>
    <w:p w:rsidR="00E05CBD" w:rsidRPr="00E05CBD" w:rsidRDefault="00E05CBD" w:rsidP="00310121">
      <w:pPr>
        <w:pStyle w:val="ListParagraph"/>
        <w:numPr>
          <w:ilvl w:val="0"/>
          <w:numId w:val="4"/>
        </w:numPr>
        <w:ind w:left="0" w:firstLine="0"/>
      </w:pPr>
      <w:r w:rsidRPr="00E05CBD">
        <w:rPr>
          <w:rFonts w:cs="Courier New"/>
        </w:rPr>
        <w:t xml:space="preserve">The Delegation of Thailand aligned itself with the statement </w:t>
      </w:r>
      <w:r w:rsidR="006C698F">
        <w:rPr>
          <w:rFonts w:cs="Courier New"/>
        </w:rPr>
        <w:t xml:space="preserve">made </w:t>
      </w:r>
      <w:r w:rsidRPr="00E05CBD">
        <w:rPr>
          <w:rFonts w:cs="Courier New"/>
        </w:rPr>
        <w:t>by the Delegation of Indonesia</w:t>
      </w:r>
      <w:r w:rsidR="006C698F">
        <w:rPr>
          <w:rFonts w:cs="Courier New"/>
        </w:rPr>
        <w:t>,</w:t>
      </w:r>
      <w:r w:rsidRPr="00E05CBD">
        <w:rPr>
          <w:rFonts w:cs="Courier New"/>
        </w:rPr>
        <w:t xml:space="preserve"> on behalf of the LMCs</w:t>
      </w:r>
      <w:r>
        <w:rPr>
          <w:rFonts w:cs="Courier New"/>
        </w:rPr>
        <w:t>.</w:t>
      </w:r>
      <w:r w:rsidRPr="00E05CBD">
        <w:rPr>
          <w:rFonts w:cs="Courier New"/>
        </w:rPr>
        <w:t xml:space="preserve">  The objective of the draft instrument was to prevent misappropriation of GRs, derivatives and associated TK by requiring a mandatory disclosure requirement in the whole IP system.  Databases were very useful but </w:t>
      </w:r>
      <w:proofErr w:type="gramStart"/>
      <w:r w:rsidRPr="00E05CBD">
        <w:rPr>
          <w:rFonts w:cs="Courier New"/>
        </w:rPr>
        <w:t>should be used</w:t>
      </w:r>
      <w:proofErr w:type="gramEnd"/>
      <w:r w:rsidRPr="00E05CBD">
        <w:rPr>
          <w:rFonts w:cs="Courier New"/>
        </w:rPr>
        <w:t xml:space="preserve"> as a complementary measur</w:t>
      </w:r>
      <w:r w:rsidR="006C698F">
        <w:rPr>
          <w:rFonts w:cs="Courier New"/>
        </w:rPr>
        <w:t>e and not as an alternative to the</w:t>
      </w:r>
      <w:r w:rsidRPr="00E05CBD">
        <w:rPr>
          <w:rFonts w:cs="Courier New"/>
        </w:rPr>
        <w:t xml:space="preserve"> disclosure requirement.  It was ready to engage constructively to narrow existing gaps and was ready to explore the recommendation </w:t>
      </w:r>
      <w:r w:rsidR="006C698F">
        <w:rPr>
          <w:rFonts w:cs="Courier New"/>
        </w:rPr>
        <w:t xml:space="preserve">made </w:t>
      </w:r>
      <w:r w:rsidRPr="00E05CBD">
        <w:rPr>
          <w:rFonts w:cs="Courier New"/>
        </w:rPr>
        <w:t>by the Delegation of</w:t>
      </w:r>
      <w:r w:rsidR="006C698F">
        <w:rPr>
          <w:rFonts w:cs="Courier New"/>
        </w:rPr>
        <w:t xml:space="preserve"> the Islamic Republic of Iran on</w:t>
      </w:r>
      <w:r w:rsidRPr="00E05CBD">
        <w:rPr>
          <w:rFonts w:cs="Courier New"/>
        </w:rPr>
        <w:t xml:space="preserve"> look</w:t>
      </w:r>
      <w:r w:rsidR="006C698F">
        <w:rPr>
          <w:rFonts w:cs="Courier New"/>
        </w:rPr>
        <w:t>ing</w:t>
      </w:r>
      <w:r w:rsidRPr="00E05CBD">
        <w:rPr>
          <w:rFonts w:cs="Courier New"/>
        </w:rPr>
        <w:t xml:space="preserve"> into wording to cover the concerns of all members.</w:t>
      </w:r>
    </w:p>
    <w:p w:rsidR="00E05CBD" w:rsidRPr="00E05CBD" w:rsidRDefault="00E05CBD" w:rsidP="00E05CBD">
      <w:pPr>
        <w:rPr>
          <w:rFonts w:cs="Courier New"/>
        </w:rPr>
      </w:pPr>
    </w:p>
    <w:p w:rsidR="00E05CBD" w:rsidRPr="00E05CBD" w:rsidRDefault="00E05CBD" w:rsidP="00310121">
      <w:pPr>
        <w:pStyle w:val="ListParagraph"/>
        <w:numPr>
          <w:ilvl w:val="0"/>
          <w:numId w:val="4"/>
        </w:numPr>
        <w:ind w:left="0" w:firstLine="0"/>
      </w:pPr>
      <w:r w:rsidRPr="00E05CBD">
        <w:rPr>
          <w:rFonts w:cs="Courier New"/>
        </w:rPr>
        <w:t>The Delegation of Morocco, speaking on behalf of</w:t>
      </w:r>
      <w:r w:rsidR="00923F6A">
        <w:rPr>
          <w:rFonts w:cs="Courier New"/>
        </w:rPr>
        <w:t xml:space="preserve"> the African Group, said that the</w:t>
      </w:r>
      <w:r w:rsidRPr="00E05CBD">
        <w:rPr>
          <w:rFonts w:cs="Courier New"/>
        </w:rPr>
        <w:t xml:space="preserve"> objective had to address protection against misappropriation, </w:t>
      </w:r>
      <w:r w:rsidR="00923F6A">
        <w:rPr>
          <w:rFonts w:cs="Courier New"/>
        </w:rPr>
        <w:t xml:space="preserve">to </w:t>
      </w:r>
      <w:r w:rsidRPr="00E05CBD">
        <w:rPr>
          <w:rFonts w:cs="Courier New"/>
        </w:rPr>
        <w:t>e</w:t>
      </w:r>
      <w:r w:rsidR="00923F6A">
        <w:rPr>
          <w:rFonts w:cs="Courier New"/>
        </w:rPr>
        <w:t>nhance</w:t>
      </w:r>
      <w:r w:rsidRPr="00E05CBD">
        <w:rPr>
          <w:rFonts w:cs="Courier New"/>
        </w:rPr>
        <w:t xml:space="preserve"> the effectiveness and transparency of the IP system</w:t>
      </w:r>
      <w:r w:rsidR="00923F6A">
        <w:rPr>
          <w:rFonts w:cs="Courier New"/>
        </w:rPr>
        <w:t>,</w:t>
      </w:r>
      <w:r w:rsidRPr="00E05CBD">
        <w:rPr>
          <w:rFonts w:cs="Courier New"/>
        </w:rPr>
        <w:t xml:space="preserve"> and to ensure mutual supportiveness with international agreements related to GRs, derivatives and </w:t>
      </w:r>
      <w:r w:rsidR="00923F6A">
        <w:rPr>
          <w:rFonts w:cs="Courier New"/>
        </w:rPr>
        <w:t>associated TK</w:t>
      </w:r>
      <w:r w:rsidRPr="00E05CBD">
        <w:rPr>
          <w:rFonts w:cs="Courier New"/>
        </w:rPr>
        <w:t xml:space="preserve">.  It preferred the first paragraph, while removing a number of square brackets. </w:t>
      </w:r>
    </w:p>
    <w:p w:rsidR="00E05CBD" w:rsidRPr="00E05CBD" w:rsidRDefault="00E05CBD" w:rsidP="00E05CBD">
      <w:pPr>
        <w:rPr>
          <w:rFonts w:cs="Courier New"/>
        </w:rPr>
      </w:pPr>
    </w:p>
    <w:p w:rsidR="00E05CBD" w:rsidRPr="00E05CBD" w:rsidRDefault="00E05CBD" w:rsidP="00310121">
      <w:pPr>
        <w:pStyle w:val="ListParagraph"/>
        <w:numPr>
          <w:ilvl w:val="0"/>
          <w:numId w:val="4"/>
        </w:numPr>
        <w:ind w:left="0" w:firstLine="0"/>
      </w:pPr>
      <w:r w:rsidRPr="00E05CBD">
        <w:rPr>
          <w:rFonts w:cs="Courier New"/>
        </w:rPr>
        <w:t xml:space="preserve">The Delegation of El Salvador preferred Alt 2.  Nonetheless, as the representative of </w:t>
      </w:r>
      <w:r w:rsidR="00923F6A">
        <w:rPr>
          <w:rFonts w:cs="Courier New"/>
        </w:rPr>
        <w:t xml:space="preserve">the </w:t>
      </w:r>
      <w:r w:rsidR="00923F6A" w:rsidRPr="001D70EE">
        <w:rPr>
          <w:rFonts w:cs="Courier New"/>
        </w:rPr>
        <w:t>Tebtebba</w:t>
      </w:r>
      <w:r w:rsidR="00923F6A" w:rsidRPr="00BE2A58">
        <w:rPr>
          <w:szCs w:val="22"/>
        </w:rPr>
        <w:t xml:space="preserve"> </w:t>
      </w:r>
      <w:r w:rsidR="00923F6A">
        <w:rPr>
          <w:szCs w:val="22"/>
        </w:rPr>
        <w:t>Foundation</w:t>
      </w:r>
      <w:r w:rsidR="00923F6A" w:rsidRPr="00873C7D">
        <w:rPr>
          <w:rFonts w:cs="Courier New"/>
        </w:rPr>
        <w:t xml:space="preserve">, on behalf of </w:t>
      </w:r>
      <w:r w:rsidRPr="00E05CBD">
        <w:rPr>
          <w:rFonts w:cs="Courier New"/>
        </w:rPr>
        <w:t>the Indigenous Caucus</w:t>
      </w:r>
      <w:r w:rsidR="000D6189">
        <w:rPr>
          <w:rFonts w:cs="Courier New"/>
        </w:rPr>
        <w:t>,</w:t>
      </w:r>
      <w:r w:rsidRPr="00E05CBD">
        <w:rPr>
          <w:rFonts w:cs="Courier New"/>
        </w:rPr>
        <w:t xml:space="preserve"> had said, it could work on Alt 1, provided the language</w:t>
      </w:r>
      <w:r w:rsidR="00923F6A">
        <w:rPr>
          <w:rFonts w:cs="Courier New"/>
        </w:rPr>
        <w:t xml:space="preserve"> could be adjusted</w:t>
      </w:r>
      <w:r w:rsidRPr="00E05CBD">
        <w:rPr>
          <w:rFonts w:cs="Courier New"/>
        </w:rPr>
        <w:t xml:space="preserve"> </w:t>
      </w:r>
      <w:r>
        <w:rPr>
          <w:rFonts w:cs="Courier New"/>
        </w:rPr>
        <w:t>to</w:t>
      </w:r>
      <w:r w:rsidRPr="00E05CBD">
        <w:rPr>
          <w:rFonts w:cs="Courier New"/>
        </w:rPr>
        <w:t xml:space="preserve"> reflect effective protection </w:t>
      </w:r>
      <w:r>
        <w:rPr>
          <w:rFonts w:cs="Courier New"/>
        </w:rPr>
        <w:t>of</w:t>
      </w:r>
      <w:r w:rsidRPr="00E05CBD">
        <w:rPr>
          <w:rFonts w:cs="Courier New"/>
        </w:rPr>
        <w:t xml:space="preserve"> GRs and associated TK and to avoid the erroneous grant</w:t>
      </w:r>
      <w:r w:rsidR="00923F6A">
        <w:rPr>
          <w:rFonts w:cs="Courier New"/>
        </w:rPr>
        <w:t>ing</w:t>
      </w:r>
      <w:r w:rsidRPr="00E05CBD">
        <w:rPr>
          <w:rFonts w:cs="Courier New"/>
        </w:rPr>
        <w:t xml:space="preserve"> of patents.</w:t>
      </w:r>
    </w:p>
    <w:p w:rsidR="00E05CBD" w:rsidRPr="00E05CBD" w:rsidRDefault="00E05CBD" w:rsidP="00E05CBD">
      <w:pPr>
        <w:rPr>
          <w:rFonts w:cs="Courier New"/>
        </w:rPr>
      </w:pPr>
    </w:p>
    <w:p w:rsidR="00E05CBD" w:rsidRPr="00E05CBD" w:rsidRDefault="00E05CBD" w:rsidP="00310121">
      <w:pPr>
        <w:pStyle w:val="ListParagraph"/>
        <w:numPr>
          <w:ilvl w:val="0"/>
          <w:numId w:val="4"/>
        </w:numPr>
        <w:ind w:left="0" w:firstLine="0"/>
      </w:pPr>
      <w:r w:rsidRPr="00E05CBD">
        <w:rPr>
          <w:rFonts w:cs="Courier New"/>
        </w:rPr>
        <w:t>The Delegation of Egypt preferred Alt 2.</w:t>
      </w:r>
    </w:p>
    <w:p w:rsidR="00E05CBD" w:rsidRPr="00E05CBD" w:rsidRDefault="00E05CBD" w:rsidP="00E05CBD">
      <w:pPr>
        <w:rPr>
          <w:rFonts w:cs="Courier New"/>
        </w:rPr>
      </w:pPr>
    </w:p>
    <w:p w:rsidR="00FD13F1" w:rsidRPr="00FD13F1" w:rsidRDefault="00E05CBD" w:rsidP="00310121">
      <w:pPr>
        <w:pStyle w:val="ListParagraph"/>
        <w:numPr>
          <w:ilvl w:val="0"/>
          <w:numId w:val="4"/>
        </w:numPr>
        <w:ind w:left="0" w:firstLine="0"/>
      </w:pPr>
      <w:r w:rsidRPr="00E05CBD">
        <w:rPr>
          <w:rFonts w:cs="Courier New"/>
        </w:rPr>
        <w:t>The Delegation of India wished to keep the essence of the Nagoya Protocol in the objectives</w:t>
      </w:r>
      <w:r>
        <w:rPr>
          <w:rFonts w:cs="Courier New"/>
        </w:rPr>
        <w:t xml:space="preserve">. </w:t>
      </w:r>
      <w:r w:rsidRPr="00E05CBD">
        <w:rPr>
          <w:rFonts w:cs="Courier New"/>
        </w:rPr>
        <w:t xml:space="preserve"> Alt </w:t>
      </w:r>
      <w:proofErr w:type="gramStart"/>
      <w:r w:rsidRPr="00E05CBD">
        <w:rPr>
          <w:rFonts w:cs="Courier New"/>
        </w:rPr>
        <w:t>2</w:t>
      </w:r>
      <w:proofErr w:type="gramEnd"/>
      <w:r w:rsidRPr="00E05CBD">
        <w:rPr>
          <w:rFonts w:cs="Courier New"/>
        </w:rPr>
        <w:t xml:space="preserve"> took care of those if it concerned the entire IP system, not only the patent system.  </w:t>
      </w:r>
    </w:p>
    <w:p w:rsidR="00FD13F1" w:rsidRDefault="00FD13F1" w:rsidP="00FD13F1"/>
    <w:p w:rsidR="00EC3E4F" w:rsidRDefault="00FD13F1" w:rsidP="00310121">
      <w:pPr>
        <w:pStyle w:val="ListParagraph"/>
        <w:numPr>
          <w:ilvl w:val="0"/>
          <w:numId w:val="4"/>
        </w:numPr>
        <w:ind w:left="0" w:firstLine="0"/>
      </w:pPr>
      <w:r w:rsidRPr="00715D3E">
        <w:t xml:space="preserve">The </w:t>
      </w:r>
      <w:r w:rsidRPr="00FD13F1">
        <w:rPr>
          <w:rFonts w:cs="Courier New"/>
        </w:rPr>
        <w:t>Delegation</w:t>
      </w:r>
      <w:r w:rsidRPr="00715D3E">
        <w:t xml:space="preserve"> of Switzerland said that the objective of the instrument </w:t>
      </w:r>
      <w:proofErr w:type="gramStart"/>
      <w:r w:rsidRPr="00715D3E">
        <w:t>should be drafted</w:t>
      </w:r>
      <w:proofErr w:type="gramEnd"/>
      <w:r w:rsidRPr="00715D3E">
        <w:t xml:space="preserve"> as simpl</w:t>
      </w:r>
      <w:r>
        <w:t>y and</w:t>
      </w:r>
      <w:r w:rsidRPr="00715D3E">
        <w:t xml:space="preserve"> concise</w:t>
      </w:r>
      <w:r>
        <w:t>ly</w:t>
      </w:r>
      <w:r w:rsidRPr="00715D3E">
        <w:t xml:space="preserve"> as possible</w:t>
      </w:r>
      <w:r>
        <w:t>.  W</w:t>
      </w:r>
      <w:r w:rsidRPr="00715D3E">
        <w:t xml:space="preserve">hile there should be a direct link between the objective and the substantive provisions in the instrument, the objective itself should not include any specific measures on how it </w:t>
      </w:r>
      <w:proofErr w:type="gramStart"/>
      <w:r w:rsidRPr="00715D3E">
        <w:t>might be achieved</w:t>
      </w:r>
      <w:proofErr w:type="gramEnd"/>
      <w:r w:rsidRPr="00715D3E">
        <w:t xml:space="preserve">.  Moreover, the objective should not contain any provisions that were already contained in other international agreements such as </w:t>
      </w:r>
      <w:r>
        <w:t xml:space="preserve">the </w:t>
      </w:r>
      <w:r w:rsidRPr="00715D3E">
        <w:t xml:space="preserve">objective of </w:t>
      </w:r>
      <w:proofErr w:type="gramStart"/>
      <w:r w:rsidRPr="00715D3E">
        <w:t>benefit</w:t>
      </w:r>
      <w:r w:rsidR="00CD3728">
        <w:t>-</w:t>
      </w:r>
      <w:r w:rsidRPr="00715D3E">
        <w:t>sharing</w:t>
      </w:r>
      <w:proofErr w:type="gramEnd"/>
      <w:r w:rsidRPr="00715D3E">
        <w:t xml:space="preserve"> in the Nagoya Protocol and other issues that were not relevant to the patent system. </w:t>
      </w:r>
      <w:r>
        <w:t xml:space="preserve"> </w:t>
      </w:r>
      <w:r w:rsidRPr="00715D3E">
        <w:t xml:space="preserve">There was no agreement on the specific provisions, so it </w:t>
      </w:r>
      <w:r>
        <w:t>was</w:t>
      </w:r>
      <w:r w:rsidRPr="00715D3E">
        <w:t xml:space="preserve"> difficult to draft a concise, straightforward objective at </w:t>
      </w:r>
      <w:r>
        <w:t>that</w:t>
      </w:r>
      <w:r w:rsidRPr="00715D3E">
        <w:t xml:space="preserve"> stage.  Nevertheless, </w:t>
      </w:r>
      <w:r>
        <w:t>it was</w:t>
      </w:r>
      <w:r w:rsidRPr="00715D3E">
        <w:t xml:space="preserve"> </w:t>
      </w:r>
      <w:proofErr w:type="gramStart"/>
      <w:r w:rsidRPr="00715D3E">
        <w:t>key</w:t>
      </w:r>
      <w:proofErr w:type="gramEnd"/>
      <w:r w:rsidRPr="00715D3E">
        <w:t xml:space="preserve"> that the objective of </w:t>
      </w:r>
      <w:r>
        <w:t>the</w:t>
      </w:r>
      <w:r w:rsidRPr="00715D3E">
        <w:t xml:space="preserve"> instrument was to enhance the transparency of the patent system</w:t>
      </w:r>
      <w:r>
        <w:t xml:space="preserve">.  It </w:t>
      </w:r>
      <w:r w:rsidRPr="00715D3E">
        <w:t>support</w:t>
      </w:r>
      <w:r>
        <w:t>ed</w:t>
      </w:r>
      <w:r w:rsidRPr="00715D3E">
        <w:t xml:space="preserve"> </w:t>
      </w:r>
      <w:r w:rsidR="005C7D8F">
        <w:t xml:space="preserve">to </w:t>
      </w:r>
      <w:r w:rsidRPr="00715D3E">
        <w:t>work</w:t>
      </w:r>
      <w:r>
        <w:t xml:space="preserve"> on the first option.  I</w:t>
      </w:r>
      <w:r w:rsidRPr="00715D3E">
        <w:t xml:space="preserve">t </w:t>
      </w:r>
      <w:proofErr w:type="gramStart"/>
      <w:r w:rsidRPr="00715D3E">
        <w:t>could be improved</w:t>
      </w:r>
      <w:proofErr w:type="gramEnd"/>
      <w:r w:rsidRPr="00715D3E">
        <w:t xml:space="preserve"> by referring to </w:t>
      </w:r>
      <w:r>
        <w:t xml:space="preserve">enhancing </w:t>
      </w:r>
      <w:r w:rsidRPr="00715D3E">
        <w:t xml:space="preserve">the efficacy and transparency of the patent system with regard to GRs and </w:t>
      </w:r>
      <w:r w:rsidR="005C7D8F">
        <w:t>associated TK</w:t>
      </w:r>
      <w:r w:rsidRPr="00715D3E">
        <w:t>.  That would not cover the issue</w:t>
      </w:r>
      <w:r>
        <w:t>s</w:t>
      </w:r>
      <w:r w:rsidRPr="00715D3E">
        <w:t xml:space="preserve"> of misappropriation or </w:t>
      </w:r>
      <w:r w:rsidR="005C7D8F">
        <w:t>ABS</w:t>
      </w:r>
      <w:r>
        <w:t>,</w:t>
      </w:r>
      <w:r w:rsidRPr="00715D3E">
        <w:t xml:space="preserve"> which </w:t>
      </w:r>
      <w:proofErr w:type="gramStart"/>
      <w:r>
        <w:t>were</w:t>
      </w:r>
      <w:r w:rsidRPr="00715D3E">
        <w:t xml:space="preserve"> currently reflected</w:t>
      </w:r>
      <w:proofErr w:type="gramEnd"/>
      <w:r w:rsidRPr="00715D3E">
        <w:t xml:space="preserve"> in Alt</w:t>
      </w:r>
      <w:r>
        <w:t xml:space="preserve"> 1 and </w:t>
      </w:r>
      <w:r w:rsidR="005C7D8F">
        <w:t xml:space="preserve">Alt </w:t>
      </w:r>
      <w:r>
        <w:t>2.  Ho</w:t>
      </w:r>
      <w:r w:rsidRPr="00715D3E">
        <w:t xml:space="preserve">wever, </w:t>
      </w:r>
      <w:r>
        <w:t>an</w:t>
      </w:r>
      <w:r w:rsidRPr="00715D3E">
        <w:t xml:space="preserve"> instrument </w:t>
      </w:r>
      <w:r>
        <w:t>that</w:t>
      </w:r>
      <w:r w:rsidRPr="00715D3E">
        <w:t xml:space="preserve"> would enhance the efficacy and transparency of the patent system would automatically also result in facilitating </w:t>
      </w:r>
      <w:r w:rsidR="005C7D8F">
        <w:t xml:space="preserve">ABS </w:t>
      </w:r>
      <w:r w:rsidRPr="00715D3E">
        <w:t xml:space="preserve">and </w:t>
      </w:r>
      <w:r>
        <w:t xml:space="preserve">in </w:t>
      </w:r>
      <w:r w:rsidRPr="00715D3E">
        <w:t>preventing misappropriation.</w:t>
      </w:r>
    </w:p>
    <w:p w:rsidR="00EC3E4F" w:rsidRDefault="00EC3E4F" w:rsidP="00EC3E4F">
      <w:pPr>
        <w:pStyle w:val="ListParagraph"/>
        <w:ind w:left="0"/>
      </w:pPr>
    </w:p>
    <w:p w:rsidR="00DA7C17" w:rsidRDefault="00EC3E4F" w:rsidP="00310121">
      <w:pPr>
        <w:pStyle w:val="ListParagraph"/>
        <w:numPr>
          <w:ilvl w:val="0"/>
          <w:numId w:val="4"/>
        </w:numPr>
        <w:ind w:left="0" w:firstLine="0"/>
      </w:pPr>
      <w:r w:rsidRPr="00715D3E">
        <w:t xml:space="preserve">The Delegation of Malaysia aligned itself with the statement </w:t>
      </w:r>
      <w:r w:rsidR="005C7D8F">
        <w:t xml:space="preserve">made </w:t>
      </w:r>
      <w:r w:rsidRPr="00715D3E">
        <w:t>by the Delegation of Indonesia</w:t>
      </w:r>
      <w:r w:rsidR="005C7D8F">
        <w:t>,</w:t>
      </w:r>
      <w:r w:rsidRPr="00715D3E">
        <w:t xml:space="preserve"> on behalf of the LMCs</w:t>
      </w:r>
      <w:r w:rsidR="005C7D8F">
        <w:t>,</w:t>
      </w:r>
      <w:r w:rsidRPr="00715D3E">
        <w:t xml:space="preserve"> and supported Alt 2, which </w:t>
      </w:r>
      <w:r w:rsidR="00DA7C17" w:rsidRPr="00715D3E">
        <w:t>comprehe</w:t>
      </w:r>
      <w:r w:rsidR="00DA7C17">
        <w:t xml:space="preserve">nsively </w:t>
      </w:r>
      <w:r w:rsidRPr="00715D3E">
        <w:t xml:space="preserve">captured the essence </w:t>
      </w:r>
      <w:r w:rsidR="00DA7C17">
        <w:t xml:space="preserve">and aim </w:t>
      </w:r>
      <w:r w:rsidRPr="00715D3E">
        <w:t xml:space="preserve">of </w:t>
      </w:r>
      <w:r>
        <w:t>the</w:t>
      </w:r>
      <w:r w:rsidRPr="00715D3E">
        <w:t xml:space="preserve"> instrument, primarily to prevent the misappropriation of GRs through the IP system by having a disclosure requirement</w:t>
      </w:r>
      <w:r>
        <w:t xml:space="preserve">. </w:t>
      </w:r>
      <w:r w:rsidR="00DA7C17">
        <w:t xml:space="preserve"> </w:t>
      </w:r>
      <w:r>
        <w:t>The</w:t>
      </w:r>
      <w:r w:rsidRPr="00715D3E">
        <w:t xml:space="preserve"> language in Alt 2 </w:t>
      </w:r>
      <w:r>
        <w:t>was</w:t>
      </w:r>
      <w:r w:rsidRPr="00715D3E">
        <w:t xml:space="preserve"> consistent with the aim of the IGC</w:t>
      </w:r>
      <w:r>
        <w:t>,</w:t>
      </w:r>
      <w:r w:rsidRPr="00715D3E">
        <w:t xml:space="preserve"> which was</w:t>
      </w:r>
      <w:r>
        <w:t xml:space="preserve"> to ensure the</w:t>
      </w:r>
      <w:r w:rsidRPr="00715D3E">
        <w:t xml:space="preserve"> balance</w:t>
      </w:r>
      <w:r>
        <w:t>d</w:t>
      </w:r>
      <w:r w:rsidRPr="00715D3E">
        <w:t xml:space="preserve"> and effective protection of GRs. </w:t>
      </w:r>
      <w:r>
        <w:t xml:space="preserve"> It was </w:t>
      </w:r>
      <w:r w:rsidRPr="00715D3E">
        <w:t>ready to engage constructi</w:t>
      </w:r>
      <w:r w:rsidR="005C7D8F">
        <w:t>vely on a simplified language as</w:t>
      </w:r>
      <w:r w:rsidRPr="00715D3E">
        <w:t xml:space="preserve"> long as the aforementioned elements </w:t>
      </w:r>
      <w:proofErr w:type="gramStart"/>
      <w:r>
        <w:t>were</w:t>
      </w:r>
      <w:r w:rsidRPr="00715D3E">
        <w:t xml:space="preserve"> taken</w:t>
      </w:r>
      <w:proofErr w:type="gramEnd"/>
      <w:r w:rsidRPr="00715D3E">
        <w:t xml:space="preserve"> into consideration.</w:t>
      </w:r>
    </w:p>
    <w:p w:rsidR="00DA7C17" w:rsidRDefault="00DA7C17" w:rsidP="00DA7C17"/>
    <w:p w:rsidR="00DA7C17" w:rsidRDefault="00EC3E4F" w:rsidP="00310121">
      <w:pPr>
        <w:pStyle w:val="ListParagraph"/>
        <w:numPr>
          <w:ilvl w:val="0"/>
          <w:numId w:val="4"/>
        </w:numPr>
        <w:ind w:left="0" w:firstLine="0"/>
      </w:pPr>
      <w:r w:rsidRPr="00715D3E">
        <w:t xml:space="preserve">The Delegation of Tunisia supported the statement </w:t>
      </w:r>
      <w:r w:rsidR="005C7D8F">
        <w:t xml:space="preserve">made </w:t>
      </w:r>
      <w:r w:rsidRPr="00715D3E">
        <w:t>by the Delegation of Morocco</w:t>
      </w:r>
      <w:r w:rsidR="005C7D8F">
        <w:t>,</w:t>
      </w:r>
      <w:r w:rsidRPr="00715D3E">
        <w:t xml:space="preserve"> on behalf of the African Group. </w:t>
      </w:r>
      <w:r>
        <w:t xml:space="preserve"> </w:t>
      </w:r>
      <w:r w:rsidRPr="00715D3E">
        <w:t xml:space="preserve">Alt </w:t>
      </w:r>
      <w:proofErr w:type="gramStart"/>
      <w:r w:rsidRPr="00715D3E">
        <w:t>2</w:t>
      </w:r>
      <w:proofErr w:type="gramEnd"/>
      <w:r w:rsidRPr="00715D3E">
        <w:t xml:space="preserve"> covered the </w:t>
      </w:r>
      <w:r>
        <w:t>entire</w:t>
      </w:r>
      <w:r w:rsidRPr="00715D3E">
        <w:t xml:space="preserve"> IP system to avoid misap</w:t>
      </w:r>
      <w:r>
        <w:t>propriation</w:t>
      </w:r>
      <w:r w:rsidRPr="00715D3E">
        <w:t>.</w:t>
      </w:r>
    </w:p>
    <w:p w:rsidR="00DA7C17" w:rsidRDefault="00DA7C17" w:rsidP="00DA7C17"/>
    <w:p w:rsidR="00DA7C17" w:rsidRDefault="00EC3E4F" w:rsidP="00310121">
      <w:pPr>
        <w:pStyle w:val="ListParagraph"/>
        <w:numPr>
          <w:ilvl w:val="0"/>
          <w:numId w:val="4"/>
        </w:numPr>
        <w:ind w:left="0" w:firstLine="0"/>
      </w:pPr>
      <w:r w:rsidRPr="00715D3E">
        <w:t xml:space="preserve">The Delegation of Ecuador aligned itself with the statement </w:t>
      </w:r>
      <w:r w:rsidR="00733070">
        <w:t xml:space="preserve">made </w:t>
      </w:r>
      <w:r w:rsidRPr="00715D3E">
        <w:t>by the Delegation of Indonesia</w:t>
      </w:r>
      <w:r w:rsidR="00733070">
        <w:t>,</w:t>
      </w:r>
      <w:r w:rsidRPr="00715D3E">
        <w:t xml:space="preserve"> on behalf of the LMCs.  It supported Alt 2 because </w:t>
      </w:r>
      <w:r w:rsidR="00733070">
        <w:t xml:space="preserve">the </w:t>
      </w:r>
      <w:r w:rsidRPr="00715D3E">
        <w:t xml:space="preserve">policy objectives should cover the whole IP system, since there were other </w:t>
      </w:r>
      <w:r>
        <w:t xml:space="preserve">fields of </w:t>
      </w:r>
      <w:r w:rsidRPr="00715D3E">
        <w:t>IP</w:t>
      </w:r>
      <w:r>
        <w:t>,</w:t>
      </w:r>
      <w:r w:rsidRPr="00715D3E">
        <w:t xml:space="preserve"> such as trademarks</w:t>
      </w:r>
      <w:r>
        <w:t>,</w:t>
      </w:r>
      <w:r w:rsidRPr="00715D3E">
        <w:t xml:space="preserve"> which might cover TK.  </w:t>
      </w:r>
      <w:r>
        <w:t>It</w:t>
      </w:r>
      <w:r w:rsidRPr="00715D3E">
        <w:t xml:space="preserve"> should refer to other international treaties.  </w:t>
      </w:r>
      <w:r>
        <w:t>The</w:t>
      </w:r>
      <w:r w:rsidRPr="00715D3E">
        <w:t xml:space="preserve"> objective </w:t>
      </w:r>
      <w:r>
        <w:t>was an opportunity for IPLCs</w:t>
      </w:r>
      <w:r w:rsidRPr="00715D3E">
        <w:t xml:space="preserve"> to ensure ABS from the use of GRs and </w:t>
      </w:r>
      <w:r w:rsidR="00DA7C17">
        <w:t>to</w:t>
      </w:r>
      <w:r w:rsidRPr="00715D3E">
        <w:t xml:space="preserve"> minimize the erroneous grant of patents.</w:t>
      </w:r>
    </w:p>
    <w:p w:rsidR="00DA7C17" w:rsidRDefault="00DA7C17" w:rsidP="00DA7C17"/>
    <w:p w:rsidR="00473024" w:rsidRDefault="00EC3E4F" w:rsidP="00310121">
      <w:pPr>
        <w:pStyle w:val="ListParagraph"/>
        <w:numPr>
          <w:ilvl w:val="0"/>
          <w:numId w:val="4"/>
        </w:numPr>
        <w:ind w:left="0" w:firstLine="0"/>
      </w:pPr>
      <w:r w:rsidRPr="00715D3E">
        <w:t xml:space="preserve">The Delegation of the Philippines aligned itself with the statement </w:t>
      </w:r>
      <w:r w:rsidR="00B83D6D">
        <w:t xml:space="preserve">made </w:t>
      </w:r>
      <w:r w:rsidRPr="00715D3E">
        <w:t xml:space="preserve">by the Delegation of </w:t>
      </w:r>
      <w:r w:rsidR="005438B7">
        <w:t>Indonesia</w:t>
      </w:r>
      <w:r w:rsidR="00B83D6D">
        <w:t>,</w:t>
      </w:r>
      <w:r w:rsidR="005438B7">
        <w:t xml:space="preserve"> on behalf of the Asia</w:t>
      </w:r>
      <w:r w:rsidR="005438B7">
        <w:noBreakHyphen/>
      </w:r>
      <w:r w:rsidRPr="00715D3E">
        <w:t xml:space="preserve">Pacific Group. </w:t>
      </w:r>
      <w:r w:rsidR="00DA7C17">
        <w:t xml:space="preserve"> </w:t>
      </w:r>
      <w:r w:rsidRPr="00715D3E">
        <w:t xml:space="preserve">It </w:t>
      </w:r>
      <w:r w:rsidR="00DA7C17">
        <w:t>was</w:t>
      </w:r>
      <w:r w:rsidRPr="00715D3E">
        <w:t xml:space="preserve"> comfortable with policy objectives that were in line with its own national regulations</w:t>
      </w:r>
      <w:r>
        <w:t xml:space="preserve">, which </w:t>
      </w:r>
      <w:r w:rsidRPr="00715D3E">
        <w:t>already prescribe</w:t>
      </w:r>
      <w:r>
        <w:t>d</w:t>
      </w:r>
      <w:r w:rsidRPr="00715D3E">
        <w:t xml:space="preserve"> a disclosure req</w:t>
      </w:r>
      <w:r>
        <w:t xml:space="preserve">uirement, </w:t>
      </w:r>
      <w:r w:rsidRPr="00715D3E">
        <w:t xml:space="preserve">jointly administered by </w:t>
      </w:r>
      <w:r>
        <w:t>the</w:t>
      </w:r>
      <w:r w:rsidR="00B83D6D">
        <w:t xml:space="preserve"> Environment M</w:t>
      </w:r>
      <w:r w:rsidRPr="00715D3E">
        <w:t xml:space="preserve">inistry, </w:t>
      </w:r>
      <w:r>
        <w:t>the</w:t>
      </w:r>
      <w:r w:rsidR="00B83D6D">
        <w:t xml:space="preserve"> Agriculture M</w:t>
      </w:r>
      <w:r w:rsidRPr="00715D3E">
        <w:t>inistry a</w:t>
      </w:r>
      <w:r w:rsidR="00B83D6D">
        <w:t xml:space="preserve">nd the National </w:t>
      </w:r>
      <w:r w:rsidR="00B83D6D">
        <w:lastRenderedPageBreak/>
        <w:t>Commission for I</w:t>
      </w:r>
      <w:r w:rsidRPr="00715D3E">
        <w:t xml:space="preserve">ndigenous </w:t>
      </w:r>
      <w:r w:rsidR="00B83D6D">
        <w:t>P</w:t>
      </w:r>
      <w:r w:rsidRPr="00715D3E">
        <w:t>eoples</w:t>
      </w:r>
      <w:r>
        <w:t>,</w:t>
      </w:r>
      <w:r w:rsidRPr="00715D3E">
        <w:t xml:space="preserve"> among other relevant agencies</w:t>
      </w:r>
      <w:r>
        <w:t xml:space="preserve">.  It </w:t>
      </w:r>
      <w:r w:rsidRPr="00715D3E">
        <w:t xml:space="preserve">would engage constructively in the discussions to share </w:t>
      </w:r>
      <w:r>
        <w:t>its</w:t>
      </w:r>
      <w:r w:rsidRPr="00715D3E">
        <w:t xml:space="preserve"> own national experience in </w:t>
      </w:r>
      <w:r>
        <w:t>that</w:t>
      </w:r>
      <w:r w:rsidRPr="00715D3E">
        <w:t xml:space="preserve"> regard.</w:t>
      </w:r>
    </w:p>
    <w:p w:rsidR="00473024" w:rsidRDefault="00473024" w:rsidP="00473024"/>
    <w:p w:rsidR="00473024" w:rsidRDefault="00473024" w:rsidP="00310121">
      <w:pPr>
        <w:pStyle w:val="ListParagraph"/>
        <w:numPr>
          <w:ilvl w:val="0"/>
          <w:numId w:val="4"/>
        </w:numPr>
        <w:ind w:left="0" w:firstLine="0"/>
      </w:pPr>
      <w:r w:rsidRPr="00715D3E">
        <w:t xml:space="preserve">The Delegation of Australia said that the objective should be </w:t>
      </w:r>
      <w:r>
        <w:t>to ensure</w:t>
      </w:r>
      <w:r w:rsidRPr="00715D3E">
        <w:t xml:space="preserve"> transparency in the patent system.  It agreed with the Delegation of Switzerland that it was important to develop a simple and concise objective.  Greater transparency in the patent system would also help facilitate the benefits of commercialization </w:t>
      </w:r>
      <w:proofErr w:type="gramStart"/>
      <w:r w:rsidRPr="00715D3E">
        <w:t>being shared</w:t>
      </w:r>
      <w:proofErr w:type="gramEnd"/>
      <w:r w:rsidRPr="00715D3E">
        <w:t xml:space="preserve"> appropriately in line with other international and national regimes.  It could also help to promote collaboration in </w:t>
      </w:r>
      <w:r w:rsidR="003C6636">
        <w:t>R&amp;D</w:t>
      </w:r>
      <w:r w:rsidRPr="00715D3E">
        <w:t xml:space="preserve">.  In any event, transparency </w:t>
      </w:r>
      <w:r>
        <w:t>was</w:t>
      </w:r>
      <w:r w:rsidRPr="00715D3E">
        <w:t xml:space="preserve"> a key and central objective.</w:t>
      </w:r>
    </w:p>
    <w:p w:rsidR="00473024" w:rsidRDefault="00473024" w:rsidP="00473024"/>
    <w:p w:rsidR="00265C34" w:rsidRPr="007C4CD4" w:rsidRDefault="00473024" w:rsidP="00310121">
      <w:pPr>
        <w:pStyle w:val="ListParagraph"/>
        <w:numPr>
          <w:ilvl w:val="0"/>
          <w:numId w:val="4"/>
        </w:numPr>
        <w:ind w:left="0" w:firstLine="0"/>
      </w:pPr>
      <w:r w:rsidRPr="007C4CD4">
        <w:t xml:space="preserve">The representative of </w:t>
      </w:r>
      <w:r w:rsidR="00BB78AF" w:rsidRPr="007C4CD4">
        <w:t>CHIRAPAQ</w:t>
      </w:r>
      <w:r w:rsidRPr="007C4CD4">
        <w:t xml:space="preserve"> </w:t>
      </w:r>
      <w:r w:rsidR="00D676AA" w:rsidRPr="007C4CD4">
        <w:t>stated</w:t>
      </w:r>
      <w:r w:rsidRPr="007C4CD4">
        <w:t xml:space="preserve"> that in order to protect GRs, the document should cover the entire IP system, and not just the patent system. </w:t>
      </w:r>
    </w:p>
    <w:p w:rsidR="00265C34" w:rsidRDefault="00265C34" w:rsidP="00265C34"/>
    <w:p w:rsidR="00265C34" w:rsidRDefault="00265C34" w:rsidP="00310121">
      <w:pPr>
        <w:pStyle w:val="ListParagraph"/>
        <w:numPr>
          <w:ilvl w:val="0"/>
          <w:numId w:val="4"/>
        </w:numPr>
        <w:ind w:left="0" w:firstLine="0"/>
      </w:pPr>
      <w:r w:rsidRPr="00715D3E">
        <w:t>The Delegation o</w:t>
      </w:r>
      <w:r w:rsidR="007C4CD4">
        <w:t>f the Islamic Republic of Iran stated</w:t>
      </w:r>
      <w:r w:rsidRPr="00715D3E">
        <w:t xml:space="preserve"> </w:t>
      </w:r>
      <w:r>
        <w:t>that the objective</w:t>
      </w:r>
      <w:r w:rsidRPr="00715D3E">
        <w:t xml:space="preserve"> should be as conci</w:t>
      </w:r>
      <w:r>
        <w:t>se as possible and relevant to h</w:t>
      </w:r>
      <w:r w:rsidRPr="00715D3E">
        <w:t>aving a balance</w:t>
      </w:r>
      <w:r>
        <w:t>d</w:t>
      </w:r>
      <w:r w:rsidRPr="00715D3E">
        <w:t xml:space="preserve"> and effective protection of </w:t>
      </w:r>
      <w:r>
        <w:t xml:space="preserve">GRs and TK based on the mandate.  </w:t>
      </w:r>
      <w:r w:rsidR="007C4CD4">
        <w:t>The s</w:t>
      </w:r>
      <w:r>
        <w:t xml:space="preserve">tatements made thus far </w:t>
      </w:r>
      <w:r w:rsidRPr="00715D3E">
        <w:t>co</w:t>
      </w:r>
      <w:r>
        <w:t xml:space="preserve">ncerning the policy objective were </w:t>
      </w:r>
      <w:r w:rsidRPr="00715D3E">
        <w:t>not contradicting, but compl</w:t>
      </w:r>
      <w:r>
        <w:t>e</w:t>
      </w:r>
      <w:r w:rsidRPr="00715D3E">
        <w:t>ment</w:t>
      </w:r>
      <w:r>
        <w:t xml:space="preserve">ing </w:t>
      </w:r>
      <w:r w:rsidRPr="00715D3E">
        <w:t xml:space="preserve">each other.  Most of the elements highlighted by different groups </w:t>
      </w:r>
      <w:r>
        <w:t>were</w:t>
      </w:r>
      <w:r w:rsidRPr="00715D3E">
        <w:t xml:space="preserve"> already included in Alt 2</w:t>
      </w:r>
      <w:r>
        <w:t>.  It would be</w:t>
      </w:r>
      <w:r w:rsidRPr="00715D3E">
        <w:t xml:space="preserve"> better</w:t>
      </w:r>
      <w:r>
        <w:t>, rather</w:t>
      </w:r>
      <w:r w:rsidRPr="00715D3E">
        <w:t xml:space="preserve"> than reiterating different positions, </w:t>
      </w:r>
      <w:r>
        <w:t>to</w:t>
      </w:r>
      <w:r w:rsidRPr="00715D3E">
        <w:t xml:space="preserve"> see how </w:t>
      </w:r>
      <w:r>
        <w:t xml:space="preserve">to reflect </w:t>
      </w:r>
      <w:r w:rsidR="007C4CD4">
        <w:t xml:space="preserve">all </w:t>
      </w:r>
      <w:r w:rsidRPr="00715D3E">
        <w:t>language</w:t>
      </w:r>
      <w:r w:rsidR="007C4CD4">
        <w:t>s</w:t>
      </w:r>
      <w:r w:rsidRPr="00715D3E">
        <w:t xml:space="preserve"> in one particular alternative.  The main elements of Alt 1 had bee</w:t>
      </w:r>
      <w:r w:rsidR="007C4CD4">
        <w:t xml:space="preserve">n included in original Alt 2, and </w:t>
      </w:r>
      <w:r w:rsidRPr="00715D3E">
        <w:t xml:space="preserve">Alt 2 </w:t>
      </w:r>
      <w:proofErr w:type="gramStart"/>
      <w:r w:rsidRPr="00715D3E">
        <w:t>had been reflected</w:t>
      </w:r>
      <w:proofErr w:type="gramEnd"/>
      <w:r w:rsidRPr="00715D3E">
        <w:t xml:space="preserve"> in</w:t>
      </w:r>
      <w:r>
        <w:t xml:space="preserve"> new</w:t>
      </w:r>
      <w:r w:rsidR="007C4CD4">
        <w:t xml:space="preserve"> Alt 2.  Thus,</w:t>
      </w:r>
      <w:r w:rsidRPr="00715D3E">
        <w:t xml:space="preserve"> it </w:t>
      </w:r>
      <w:r>
        <w:t>suggested</w:t>
      </w:r>
      <w:r w:rsidRPr="00715D3E">
        <w:t xml:space="preserve"> not reiterating positions and focusing on the possibility of improving the language of one </w:t>
      </w:r>
      <w:r>
        <w:t>paragraph</w:t>
      </w:r>
      <w:r w:rsidRPr="00715D3E">
        <w:t xml:space="preserve">, which could be comprehensive and capture </w:t>
      </w:r>
      <w:r>
        <w:t>all the different elements</w:t>
      </w:r>
      <w:r w:rsidRPr="00715D3E">
        <w:t>.</w:t>
      </w:r>
    </w:p>
    <w:p w:rsidR="00265C34" w:rsidRDefault="00265C34" w:rsidP="00265C34"/>
    <w:p w:rsidR="00265C34" w:rsidRDefault="007C4CD4" w:rsidP="00310121">
      <w:pPr>
        <w:pStyle w:val="ListParagraph"/>
        <w:numPr>
          <w:ilvl w:val="0"/>
          <w:numId w:val="4"/>
        </w:numPr>
        <w:ind w:left="0" w:firstLine="0"/>
      </w:pPr>
      <w:r>
        <w:t>The Delegation of Japan stated that</w:t>
      </w:r>
      <w:r w:rsidR="00265C34" w:rsidRPr="00715D3E">
        <w:t xml:space="preserve"> it was essential to make a clear distinction between the issues of ABS/PIC and the erroneous grant of patents. </w:t>
      </w:r>
      <w:r w:rsidR="00265C34">
        <w:t xml:space="preserve"> </w:t>
      </w:r>
      <w:r w:rsidR="00265C34" w:rsidRPr="00715D3E">
        <w:t xml:space="preserve">The first issue </w:t>
      </w:r>
      <w:proofErr w:type="gramStart"/>
      <w:r w:rsidR="00265C34" w:rsidRPr="00715D3E">
        <w:t>should not be dealt with</w:t>
      </w:r>
      <w:proofErr w:type="gramEnd"/>
      <w:r w:rsidR="00265C34" w:rsidRPr="00715D3E">
        <w:t xml:space="preserve"> under the patent system, so it would be inappropriate to include </w:t>
      </w:r>
      <w:r w:rsidR="00265C34">
        <w:t xml:space="preserve">some </w:t>
      </w:r>
      <w:r w:rsidR="00265C34" w:rsidRPr="00715D3E">
        <w:t xml:space="preserve">requirement </w:t>
      </w:r>
      <w:r w:rsidR="00265C34">
        <w:t xml:space="preserve">for the first issue </w:t>
      </w:r>
      <w:r w:rsidR="00265C34" w:rsidRPr="00715D3E">
        <w:t xml:space="preserve">in the patent system. </w:t>
      </w:r>
      <w:r>
        <w:t xml:space="preserve"> </w:t>
      </w:r>
      <w:r w:rsidR="00265C34" w:rsidRPr="00715D3E">
        <w:t xml:space="preserve">In other words, the objective should be limited to measures </w:t>
      </w:r>
      <w:r w:rsidR="00265C34">
        <w:t>to</w:t>
      </w:r>
      <w:r w:rsidR="00265C34" w:rsidRPr="00715D3E">
        <w:t xml:space="preserve"> prevent the erroneous grant of patents. </w:t>
      </w:r>
      <w:r w:rsidR="00265C34">
        <w:t xml:space="preserve"> </w:t>
      </w:r>
      <w:r w:rsidR="00265C34" w:rsidRPr="00715D3E">
        <w:t xml:space="preserve">Measures </w:t>
      </w:r>
      <w:r w:rsidR="00265C34">
        <w:t>to prevent</w:t>
      </w:r>
      <w:r w:rsidR="00265C34" w:rsidRPr="00715D3E">
        <w:t xml:space="preserve"> the misappropriation of GRs were not suitable </w:t>
      </w:r>
      <w:r w:rsidR="00265C34">
        <w:t>as an</w:t>
      </w:r>
      <w:r w:rsidR="00265C34" w:rsidRPr="00715D3E">
        <w:t xml:space="preserve"> objective of the instrument.</w:t>
      </w:r>
    </w:p>
    <w:p w:rsidR="00265C34" w:rsidRDefault="00265C34" w:rsidP="00265C34"/>
    <w:p w:rsidR="008B5327" w:rsidRDefault="00265C34" w:rsidP="00310121">
      <w:pPr>
        <w:pStyle w:val="ListParagraph"/>
        <w:numPr>
          <w:ilvl w:val="0"/>
          <w:numId w:val="4"/>
        </w:numPr>
        <w:ind w:left="0" w:firstLine="0"/>
      </w:pPr>
      <w:r w:rsidRPr="00715D3E">
        <w:t>The Delegation of China agreed with the position expressed by the Delegation of Indonesia</w:t>
      </w:r>
      <w:r w:rsidR="007C4CD4">
        <w:t>,</w:t>
      </w:r>
      <w:r w:rsidRPr="00715D3E">
        <w:t xml:space="preserve"> on behalf of </w:t>
      </w:r>
      <w:r>
        <w:t xml:space="preserve">the </w:t>
      </w:r>
      <w:r w:rsidR="005438B7">
        <w:t>Asia</w:t>
      </w:r>
      <w:r w:rsidR="005438B7">
        <w:noBreakHyphen/>
      </w:r>
      <w:r w:rsidRPr="00715D3E">
        <w:t xml:space="preserve">Pacific Group. </w:t>
      </w:r>
      <w:r>
        <w:t xml:space="preserve"> </w:t>
      </w:r>
      <w:r w:rsidRPr="00715D3E">
        <w:t xml:space="preserve">Alt 2 </w:t>
      </w:r>
      <w:r>
        <w:t>was</w:t>
      </w:r>
      <w:r w:rsidRPr="00715D3E">
        <w:t xml:space="preserve"> more in </w:t>
      </w:r>
      <w:r>
        <w:t>line with</w:t>
      </w:r>
      <w:r w:rsidRPr="00715D3E">
        <w:t xml:space="preserve"> the objective of the IGC to protect GRs and TK.  Based on Alt 2</w:t>
      </w:r>
      <w:r>
        <w:t xml:space="preserve">, </w:t>
      </w:r>
      <w:r w:rsidRPr="00715D3E">
        <w:t>some adjustments</w:t>
      </w:r>
      <w:r w:rsidR="007C4CD4">
        <w:t xml:space="preserve"> </w:t>
      </w:r>
      <w:proofErr w:type="gramStart"/>
      <w:r w:rsidR="007C4CD4">
        <w:t>could be made</w:t>
      </w:r>
      <w:proofErr w:type="gramEnd"/>
      <w:r w:rsidRPr="00715D3E">
        <w:t xml:space="preserve"> in the wording or </w:t>
      </w:r>
      <w:r w:rsidRPr="00BD716D">
        <w:t xml:space="preserve">Alt 2 </w:t>
      </w:r>
      <w:r w:rsidR="00BD716D" w:rsidRPr="00BD716D">
        <w:t xml:space="preserve">could be combined </w:t>
      </w:r>
      <w:r w:rsidRPr="00BD716D">
        <w:t xml:space="preserve">with Alt 1.  </w:t>
      </w:r>
      <w:r w:rsidR="00BD716D" w:rsidRPr="00BD716D">
        <w:t>T</w:t>
      </w:r>
      <w:r w:rsidRPr="00BD716D">
        <w:t>he patent system</w:t>
      </w:r>
      <w:r w:rsidR="00BD716D" w:rsidRPr="00BD716D">
        <w:t xml:space="preserve"> </w:t>
      </w:r>
      <w:proofErr w:type="gramStart"/>
      <w:r w:rsidR="00BD716D" w:rsidRPr="00BD716D">
        <w:t>could be focused on</w:t>
      </w:r>
      <w:r w:rsidRPr="00BD716D">
        <w:t>,</w:t>
      </w:r>
      <w:proofErr w:type="gramEnd"/>
      <w:r w:rsidRPr="00BD716D">
        <w:t xml:space="preserve"> but </w:t>
      </w:r>
      <w:r w:rsidR="00BD716D">
        <w:t>other</w:t>
      </w:r>
      <w:r w:rsidRPr="00BD716D">
        <w:t xml:space="preserve"> IP system</w:t>
      </w:r>
      <w:r w:rsidR="00BD716D">
        <w:t>s</w:t>
      </w:r>
      <w:r w:rsidRPr="00BD716D">
        <w:t xml:space="preserve"> </w:t>
      </w:r>
      <w:r w:rsidR="00BD716D" w:rsidRPr="00BD716D">
        <w:t xml:space="preserve">could not be excluded </w:t>
      </w:r>
      <w:r w:rsidRPr="00BD716D">
        <w:t>in order to protect TK</w:t>
      </w:r>
      <w:r w:rsidRPr="00715D3E">
        <w:t xml:space="preserve"> and GRs.</w:t>
      </w:r>
    </w:p>
    <w:p w:rsidR="008B5327" w:rsidRDefault="008B5327" w:rsidP="008B5327"/>
    <w:p w:rsidR="00746E3D" w:rsidRDefault="00233155" w:rsidP="00F012B1">
      <w:pPr>
        <w:pStyle w:val="ListParagraph"/>
        <w:numPr>
          <w:ilvl w:val="0"/>
          <w:numId w:val="4"/>
        </w:numPr>
        <w:ind w:left="0" w:firstLine="0"/>
      </w:pPr>
      <w:r>
        <w:t>The Delegation of the USA stated</w:t>
      </w:r>
      <w:r w:rsidR="008B5327" w:rsidRPr="00715D3E">
        <w:t xml:space="preserve"> that two of those alternatives were appealing.  In the first objective, it </w:t>
      </w:r>
      <w:r w:rsidR="00D53E7A">
        <w:t>suggested bracketing</w:t>
      </w:r>
      <w:r w:rsidR="008B5327" w:rsidRPr="00715D3E">
        <w:t xml:space="preserve"> </w:t>
      </w:r>
      <w:r w:rsidR="008B5327" w:rsidRPr="001F65AF">
        <w:t xml:space="preserve">“and </w:t>
      </w:r>
      <w:proofErr w:type="gramStart"/>
      <w:r w:rsidR="008B5327" w:rsidRPr="001F65AF">
        <w:t>facilitate</w:t>
      </w:r>
      <w:proofErr w:type="gramEnd"/>
      <w:r w:rsidR="008B5327" w:rsidRPr="001F65AF">
        <w:t xml:space="preserve"> mutual supportiveness with international </w:t>
      </w:r>
      <w:r w:rsidR="00D53E7A" w:rsidRPr="001F65AF">
        <w:t>agreements relating to genetic resources</w:t>
      </w:r>
      <w:r w:rsidR="001F65AF" w:rsidRPr="001F65AF">
        <w:t>, [their derivatives] and [</w:t>
      </w:r>
      <w:r w:rsidR="00D53E7A" w:rsidRPr="001F65AF">
        <w:t>traditional knowledge associated with genetic resources</w:t>
      </w:r>
      <w:r w:rsidR="001F65AF" w:rsidRPr="001F65AF">
        <w:t>]</w:t>
      </w:r>
      <w:r w:rsidR="008B5327" w:rsidRPr="001F65AF">
        <w:t>”</w:t>
      </w:r>
      <w:r w:rsidR="001F65AF" w:rsidRPr="001F65AF">
        <w:t>.</w:t>
      </w:r>
      <w:r w:rsidR="008B5327" w:rsidRPr="001F65AF">
        <w:t xml:space="preserve"> </w:t>
      </w:r>
      <w:r w:rsidR="008E4AD8" w:rsidRPr="001F65AF">
        <w:t xml:space="preserve"> </w:t>
      </w:r>
      <w:r w:rsidR="008B5327" w:rsidRPr="001F65AF">
        <w:t>That language</w:t>
      </w:r>
      <w:r w:rsidR="008B5327" w:rsidRPr="00715D3E">
        <w:t xml:space="preserve"> appeared to </w:t>
      </w:r>
      <w:proofErr w:type="gramStart"/>
      <w:r w:rsidR="008B5327" w:rsidRPr="00715D3E">
        <w:t>be directed</w:t>
      </w:r>
      <w:proofErr w:type="gramEnd"/>
      <w:r w:rsidR="008B5327" w:rsidRPr="00715D3E">
        <w:t xml:space="preserve"> towards the relationship</w:t>
      </w:r>
      <w:r w:rsidR="00874FD7">
        <w:t xml:space="preserve"> with the Agreement on Trade-Related Aspects of Intellectual Property (</w:t>
      </w:r>
      <w:r>
        <w:t>“</w:t>
      </w:r>
      <w:r w:rsidR="00874FD7">
        <w:t>TRIPS Agreement</w:t>
      </w:r>
      <w:r>
        <w:t>”</w:t>
      </w:r>
      <w:r w:rsidR="00874FD7">
        <w:t>)</w:t>
      </w:r>
      <w:r w:rsidR="008B5327" w:rsidRPr="00715D3E">
        <w:t xml:space="preserve"> and since it saw no conflict between the two agreements, tha</w:t>
      </w:r>
      <w:r w:rsidR="00D53E7A">
        <w:t>t last phrase was not necessary</w:t>
      </w:r>
      <w:r w:rsidR="008B5327" w:rsidRPr="00715D3E">
        <w:t xml:space="preserve">. </w:t>
      </w:r>
      <w:r w:rsidR="008B5327">
        <w:t xml:space="preserve"> </w:t>
      </w:r>
      <w:r w:rsidR="00D53E7A">
        <w:t>In Alt 2</w:t>
      </w:r>
      <w:r>
        <w:t>,</w:t>
      </w:r>
      <w:r w:rsidR="00D53E7A">
        <w:t xml:space="preserve"> it wished to replace “misappropriation” with </w:t>
      </w:r>
      <w:r w:rsidR="008B5327" w:rsidRPr="00715D3E">
        <w:t>“unauthorized use of”</w:t>
      </w:r>
      <w:r>
        <w:t>.</w:t>
      </w:r>
      <w:r w:rsidR="00D53E7A">
        <w:t xml:space="preserve">  I</w:t>
      </w:r>
      <w:r w:rsidR="008B5327" w:rsidRPr="00715D3E">
        <w:t xml:space="preserve">t </w:t>
      </w:r>
      <w:r w:rsidR="00D53E7A">
        <w:t xml:space="preserve">also </w:t>
      </w:r>
      <w:r w:rsidR="008B5327" w:rsidRPr="00715D3E">
        <w:t xml:space="preserve">suggested bracketing </w:t>
      </w:r>
      <w:r w:rsidR="00D53E7A">
        <w:t>sub-</w:t>
      </w:r>
      <w:r w:rsidR="008B5327" w:rsidRPr="00715D3E">
        <w:t xml:space="preserve">paragraph (c) because that went back to the mutual supportiveness issue previously mentioned.  </w:t>
      </w:r>
      <w:proofErr w:type="gramStart"/>
      <w:r w:rsidR="008B5327" w:rsidRPr="00715D3E">
        <w:t>It suggested a new Alt 3</w:t>
      </w:r>
      <w:r w:rsidR="008B5327" w:rsidRPr="00D53E7A">
        <w:t>, as follows:</w:t>
      </w:r>
      <w:r w:rsidR="001F65AF">
        <w:t xml:space="preserve"> </w:t>
      </w:r>
      <w:r w:rsidR="008B5327" w:rsidRPr="00D53E7A">
        <w:t xml:space="preserve"> “</w:t>
      </w:r>
      <w:r w:rsidR="00D53E7A" w:rsidRPr="00D53E7A">
        <w:t xml:space="preserve">The objectives of this instrument are to: </w:t>
      </w:r>
      <w:r>
        <w:t xml:space="preserve"> </w:t>
      </w:r>
      <w:r w:rsidR="00D53E7A" w:rsidRPr="00D53E7A">
        <w:t>(a) Prevent patents from being granted erroneously for inventions that are not novel or inventive with regard to genetic resources and traditional knowledge associated with genetic resources, which could protect indigenous peoples and local communities from the limitations of the traditional use of genetic resources and their traditional knowledge associated with genetic resources that might result from the erroneous patenting thereof;</w:t>
      </w:r>
      <w:r>
        <w:t xml:space="preserve"> </w:t>
      </w:r>
      <w:r w:rsidR="00D53E7A" w:rsidRPr="00D53E7A">
        <w:t xml:space="preserve"> (b) Ensure that patent offices have the appropriate available information on genetic resources and traditional knowledge associated with genetic resources needed to make informed decisions in granting patents; </w:t>
      </w:r>
      <w:r>
        <w:t xml:space="preserve"> </w:t>
      </w:r>
      <w:r w:rsidR="00D53E7A" w:rsidRPr="00D53E7A">
        <w:t>(c) Preserve a rich and accessible public domain in order to foster creativity and innovation.”</w:t>
      </w:r>
      <w:proofErr w:type="gramEnd"/>
      <w:r w:rsidR="005E0935">
        <w:t xml:space="preserve">  </w:t>
      </w:r>
      <w:proofErr w:type="gramStart"/>
      <w:r w:rsidR="005E0935">
        <w:t>Furthermore, there wer</w:t>
      </w:r>
      <w:r w:rsidR="005E0935" w:rsidRPr="00715D3E">
        <w:t xml:space="preserve">e a number of terms that </w:t>
      </w:r>
      <w:r w:rsidR="005E0935">
        <w:t>were</w:t>
      </w:r>
      <w:r w:rsidR="005E0935" w:rsidRPr="00715D3E">
        <w:t xml:space="preserve"> relevant in the context of the objectives,</w:t>
      </w:r>
      <w:r w:rsidR="005E0935">
        <w:t xml:space="preserve"> either</w:t>
      </w:r>
      <w:r w:rsidR="005E0935" w:rsidRPr="00715D3E">
        <w:t xml:space="preserve"> included in the definitions or implicated in the objectives.</w:t>
      </w:r>
      <w:proofErr w:type="gramEnd"/>
      <w:r w:rsidR="005E0935" w:rsidRPr="00715D3E">
        <w:t xml:space="preserve">  </w:t>
      </w:r>
      <w:r w:rsidR="005E0935">
        <w:t xml:space="preserve">On “traditional </w:t>
      </w:r>
      <w:r w:rsidR="005E0935">
        <w:lastRenderedPageBreak/>
        <w:t>knowledge as</w:t>
      </w:r>
      <w:r w:rsidR="007A3368">
        <w:t>sociated with genetic resources</w:t>
      </w:r>
      <w:r w:rsidR="005E0935">
        <w:t>” i</w:t>
      </w:r>
      <w:r w:rsidR="005E0935" w:rsidRPr="00715D3E">
        <w:t xml:space="preserve">n Option 2, </w:t>
      </w:r>
      <w:r w:rsidR="005E0935">
        <w:t>it</w:t>
      </w:r>
      <w:r w:rsidR="005E0935" w:rsidRPr="00715D3E">
        <w:t xml:space="preserve"> suggest</w:t>
      </w:r>
      <w:r w:rsidR="005E0935">
        <w:t>ed</w:t>
      </w:r>
      <w:r w:rsidR="005E0935" w:rsidRPr="00715D3E">
        <w:t xml:space="preserve"> adding </w:t>
      </w:r>
      <w:r w:rsidR="007A3368">
        <w:t>“</w:t>
      </w:r>
      <w:r w:rsidR="007A3368" w:rsidRPr="00715D3E">
        <w:t>generated in a traditional context, collectively preserved and transmitte</w:t>
      </w:r>
      <w:r w:rsidR="007A3368">
        <w:t xml:space="preserve">d from generation to generation” </w:t>
      </w:r>
      <w:r w:rsidR="005E0935" w:rsidRPr="00715D3E">
        <w:t xml:space="preserve">after the bracketed words </w:t>
      </w:r>
      <w:r w:rsidR="005E0935">
        <w:t>“and their derivatives”</w:t>
      </w:r>
      <w:r w:rsidR="007A3368">
        <w:t>,</w:t>
      </w:r>
      <w:r w:rsidR="005E0935" w:rsidRPr="00715D3E">
        <w:t xml:space="preserve"> in order to make that definition complete.</w:t>
      </w:r>
      <w:r w:rsidR="005E0935">
        <w:t xml:space="preserve">  </w:t>
      </w:r>
      <w:r w:rsidR="005E0935" w:rsidRPr="00715D3E">
        <w:t xml:space="preserve">With respect to </w:t>
      </w:r>
      <w:r w:rsidR="005E0935">
        <w:t>“</w:t>
      </w:r>
      <w:r w:rsidR="007A3368">
        <w:t>country of origin</w:t>
      </w:r>
      <w:r w:rsidR="005E0935">
        <w:t>”</w:t>
      </w:r>
      <w:r w:rsidR="007A3368">
        <w:t>,</w:t>
      </w:r>
      <w:r w:rsidR="005E0935" w:rsidRPr="00715D3E">
        <w:t xml:space="preserve"> </w:t>
      </w:r>
      <w:r w:rsidR="005E0935">
        <w:t>it</w:t>
      </w:r>
      <w:r w:rsidR="005E0935" w:rsidRPr="00715D3E">
        <w:t xml:space="preserve"> suggest</w:t>
      </w:r>
      <w:r w:rsidR="005E0935">
        <w:t>ed</w:t>
      </w:r>
      <w:r w:rsidR="005E0935" w:rsidRPr="00715D3E">
        <w:t xml:space="preserve"> </w:t>
      </w:r>
      <w:r w:rsidR="001F65AF">
        <w:t>replacing</w:t>
      </w:r>
      <w:r w:rsidR="005E0935">
        <w:t xml:space="preserve"> “possesses</w:t>
      </w:r>
      <w:r w:rsidR="005E0935" w:rsidRPr="001F65AF">
        <w:t xml:space="preserve">” </w:t>
      </w:r>
      <w:r w:rsidR="001F65AF" w:rsidRPr="001F65AF">
        <w:t>with</w:t>
      </w:r>
      <w:r w:rsidR="005E0935" w:rsidRPr="001F65AF">
        <w:t xml:space="preserve"> “first possessed”</w:t>
      </w:r>
      <w:r w:rsidR="001F65AF" w:rsidRPr="001F65AF">
        <w:t>,</w:t>
      </w:r>
      <w:r w:rsidR="009F0319" w:rsidRPr="001F65AF">
        <w:t xml:space="preserve"> and inserting</w:t>
      </w:r>
      <w:r w:rsidR="007A3368" w:rsidRPr="001F65AF">
        <w:t xml:space="preserve"> “and still possesses those genetic resources”</w:t>
      </w:r>
      <w:r w:rsidR="009F0319" w:rsidRPr="001F65AF">
        <w:t xml:space="preserve"> after “</w:t>
      </w:r>
      <w:r w:rsidR="009F0319" w:rsidRPr="001F65AF">
        <w:rPr>
          <w:i/>
        </w:rPr>
        <w:t>in situ</w:t>
      </w:r>
      <w:r w:rsidR="007A3368" w:rsidRPr="001F65AF">
        <w:t xml:space="preserve"> conditions</w:t>
      </w:r>
      <w:r w:rsidR="009F0319" w:rsidRPr="001F65AF">
        <w:t>”</w:t>
      </w:r>
      <w:r w:rsidR="007A3368" w:rsidRPr="001F65AF">
        <w:t>.</w:t>
      </w:r>
      <w:r w:rsidR="005E0935" w:rsidRPr="00715D3E">
        <w:t xml:space="preserve"> </w:t>
      </w:r>
      <w:r w:rsidR="009F0319">
        <w:t xml:space="preserve"> That was because i</w:t>
      </w:r>
      <w:r w:rsidR="005E0935" w:rsidRPr="00715D3E">
        <w:t>t would be difficult or impossible for a patent applicant to disclose all of t</w:t>
      </w:r>
      <w:r w:rsidR="005E0935">
        <w:t>he countries that possessed or had</w:t>
      </w:r>
      <w:r w:rsidR="005E0935" w:rsidRPr="00715D3E">
        <w:t xml:space="preserve"> possessed a particular GR.</w:t>
      </w:r>
      <w:r w:rsidR="009F0319">
        <w:t xml:space="preserve">  As to</w:t>
      </w:r>
      <w:r w:rsidR="009F0319" w:rsidRPr="00715D3E">
        <w:t xml:space="preserve"> “coun</w:t>
      </w:r>
      <w:r w:rsidR="001F65AF">
        <w:t>try providing/providing country</w:t>
      </w:r>
      <w:r w:rsidR="009F0319" w:rsidRPr="00715D3E">
        <w:t>”</w:t>
      </w:r>
      <w:r w:rsidR="001F65AF">
        <w:t>,</w:t>
      </w:r>
      <w:r w:rsidR="009F0319" w:rsidRPr="00715D3E">
        <w:t xml:space="preserve"> </w:t>
      </w:r>
      <w:r w:rsidR="009F0319">
        <w:t xml:space="preserve">it wished to </w:t>
      </w:r>
      <w:r w:rsidR="001F65AF">
        <w:t>replace</w:t>
      </w:r>
      <w:r w:rsidR="009F0319" w:rsidRPr="00FE170C">
        <w:t xml:space="preserve"> “in acco</w:t>
      </w:r>
      <w:r w:rsidR="009F0319">
        <w:t xml:space="preserve">rdance” </w:t>
      </w:r>
      <w:r w:rsidR="001F65AF">
        <w:t>with</w:t>
      </w:r>
      <w:r w:rsidR="009F0319">
        <w:t xml:space="preserve"> “consistent</w:t>
      </w:r>
      <w:r w:rsidR="009F0319" w:rsidRPr="00715D3E">
        <w:t>”</w:t>
      </w:r>
      <w:r w:rsidR="001F65AF">
        <w:t>,</w:t>
      </w:r>
      <w:r w:rsidR="009F0319" w:rsidRPr="00715D3E">
        <w:t xml:space="preserve"> because the USA was not a party to the </w:t>
      </w:r>
      <w:r w:rsidR="009F0319">
        <w:t xml:space="preserve">CBD or </w:t>
      </w:r>
      <w:r w:rsidR="001F65AF">
        <w:t xml:space="preserve">the </w:t>
      </w:r>
      <w:r w:rsidR="009F0319" w:rsidRPr="00715D3E">
        <w:t xml:space="preserve">Nagoya Protocol and </w:t>
      </w:r>
      <w:r w:rsidR="009F0319">
        <w:t>the</w:t>
      </w:r>
      <w:r w:rsidR="009F0319" w:rsidRPr="00715D3E">
        <w:t xml:space="preserve"> work </w:t>
      </w:r>
      <w:r w:rsidR="009F0319">
        <w:t xml:space="preserve">of IGC </w:t>
      </w:r>
      <w:r w:rsidR="009F0319" w:rsidRPr="00715D3E">
        <w:t xml:space="preserve">could be consistent with that instrument but would </w:t>
      </w:r>
      <w:r w:rsidR="006E59C9">
        <w:t xml:space="preserve">not </w:t>
      </w:r>
      <w:r w:rsidR="009F0319" w:rsidRPr="00715D3E">
        <w:t xml:space="preserve">have to comply with that instrument. </w:t>
      </w:r>
      <w:r w:rsidR="009F0319">
        <w:t xml:space="preserve"> </w:t>
      </w:r>
      <w:r w:rsidR="00D464D4" w:rsidRPr="00715D3E">
        <w:t xml:space="preserve">With respect to </w:t>
      </w:r>
      <w:r w:rsidR="00D464D4">
        <w:t>“c</w:t>
      </w:r>
      <w:r w:rsidR="00D464D4" w:rsidRPr="00715D3E">
        <w:t xml:space="preserve">ountry providing </w:t>
      </w:r>
      <w:r w:rsidR="00D464D4">
        <w:t>genetic resources”</w:t>
      </w:r>
      <w:r w:rsidR="001F65AF">
        <w:t>,</w:t>
      </w:r>
      <w:r w:rsidR="00D464D4">
        <w:t xml:space="preserve"> it asked to bracket </w:t>
      </w:r>
      <w:r w:rsidR="00D464D4" w:rsidRPr="00715D3E">
        <w:t xml:space="preserve">“or taken from </w:t>
      </w:r>
      <w:r w:rsidR="00D464D4" w:rsidRPr="00D464D4">
        <w:rPr>
          <w:i/>
        </w:rPr>
        <w:t xml:space="preserve">ex situ </w:t>
      </w:r>
      <w:r w:rsidR="001F65AF">
        <w:t>sources</w:t>
      </w:r>
      <w:r w:rsidR="00D464D4">
        <w:t>”</w:t>
      </w:r>
      <w:r w:rsidR="001F65AF">
        <w:t>,</w:t>
      </w:r>
      <w:r w:rsidR="00D464D4" w:rsidRPr="00715D3E">
        <w:t xml:space="preserve"> because the instrument should not extend to </w:t>
      </w:r>
      <w:r w:rsidR="00D464D4" w:rsidRPr="00D464D4">
        <w:rPr>
          <w:i/>
        </w:rPr>
        <w:t xml:space="preserve">ex situ </w:t>
      </w:r>
      <w:r w:rsidR="00D464D4" w:rsidRPr="00715D3E">
        <w:t xml:space="preserve">sources.  </w:t>
      </w:r>
      <w:r w:rsidR="00D464D4">
        <w:t>“Or ex situ</w:t>
      </w:r>
      <w:r w:rsidR="001F65AF">
        <w:t>” should also be deleted in Alt.</w:t>
      </w:r>
      <w:r w:rsidR="00D464D4">
        <w:t xml:space="preserve">  </w:t>
      </w:r>
      <w:r w:rsidR="00D464D4" w:rsidRPr="00715D3E">
        <w:t xml:space="preserve">It </w:t>
      </w:r>
      <w:r w:rsidR="00D464D4">
        <w:t>did</w:t>
      </w:r>
      <w:r w:rsidR="00D464D4" w:rsidRPr="00715D3E">
        <w:t xml:space="preserve"> not support the concept of derivatives in the instrument, but to the extent that it would be included in the discussions, it was important to be clear </w:t>
      </w:r>
      <w:r w:rsidR="00D464D4">
        <w:t xml:space="preserve">on </w:t>
      </w:r>
      <w:r w:rsidR="00D464D4" w:rsidRPr="00715D3E">
        <w:t xml:space="preserve">what they meant. </w:t>
      </w:r>
      <w:r w:rsidR="00D464D4">
        <w:t xml:space="preserve"> </w:t>
      </w:r>
      <w:r w:rsidR="00D464D4" w:rsidRPr="00715D3E">
        <w:t>It suggested bracketing “even if it does not contain functional units of heredity” because derivatives should contain functional units of heredity.</w:t>
      </w:r>
      <w:r w:rsidR="00D464D4">
        <w:t xml:space="preserve">  </w:t>
      </w:r>
      <w:r w:rsidR="00D464D4" w:rsidRPr="00715D3E">
        <w:t>With respect to “</w:t>
      </w:r>
      <w:r w:rsidR="00D464D4">
        <w:t xml:space="preserve">invention </w:t>
      </w:r>
      <w:r w:rsidR="001F65AF">
        <w:t>directly based on</w:t>
      </w:r>
      <w:r w:rsidR="00D464D4" w:rsidRPr="00715D3E">
        <w:t>”</w:t>
      </w:r>
      <w:r w:rsidR="001F65AF">
        <w:t>,</w:t>
      </w:r>
      <w:r w:rsidR="00D464D4" w:rsidRPr="00715D3E">
        <w:t xml:space="preserve"> it wished to insert “the inventive concept must” before “de</w:t>
      </w:r>
      <w:r w:rsidR="001F65AF">
        <w:t>pend on the specific properties</w:t>
      </w:r>
      <w:r w:rsidR="00D464D4" w:rsidRPr="00715D3E">
        <w:t>”</w:t>
      </w:r>
      <w:r w:rsidR="001F65AF">
        <w:t>.</w:t>
      </w:r>
      <w:r w:rsidR="00D464D4" w:rsidRPr="00715D3E">
        <w:t xml:space="preserve">  It wished to clarify the definition of </w:t>
      </w:r>
      <w:r w:rsidR="00D464D4">
        <w:t>“</w:t>
      </w:r>
      <w:r w:rsidR="00D464D4" w:rsidRPr="00715D3E">
        <w:t>genetic material</w:t>
      </w:r>
      <w:r w:rsidR="00D464D4">
        <w:t>”</w:t>
      </w:r>
      <w:r w:rsidR="00D464D4" w:rsidRPr="00715D3E">
        <w:t xml:space="preserve"> by inserting “or” before </w:t>
      </w:r>
      <w:r w:rsidR="00D464D4">
        <w:t>“</w:t>
      </w:r>
      <w:r w:rsidR="007F6CCA" w:rsidRPr="00715D3E">
        <w:t>microbial</w:t>
      </w:r>
      <w:r w:rsidR="00D464D4">
        <w:t>”</w:t>
      </w:r>
      <w:r w:rsidR="00D464D4" w:rsidRPr="00715D3E">
        <w:t xml:space="preserve"> and bracketing “or other</w:t>
      </w:r>
      <w:r w:rsidR="00F012B1">
        <w:t xml:space="preserve"> origin</w:t>
      </w:r>
      <w:r w:rsidR="00D464D4">
        <w:t>”</w:t>
      </w:r>
      <w:r w:rsidR="00F012B1">
        <w:t>,</w:t>
      </w:r>
      <w:r w:rsidR="00D464D4">
        <w:t xml:space="preserve"> as</w:t>
      </w:r>
      <w:r w:rsidR="00D464D4" w:rsidRPr="00715D3E">
        <w:t xml:space="preserve"> </w:t>
      </w:r>
      <w:r w:rsidR="00D464D4">
        <w:t>it did not</w:t>
      </w:r>
      <w:r w:rsidR="00D464D4" w:rsidRPr="00715D3E">
        <w:t xml:space="preserve"> understand what </w:t>
      </w:r>
      <w:r w:rsidR="00D464D4" w:rsidRPr="00092246">
        <w:t xml:space="preserve">the </w:t>
      </w:r>
      <w:r w:rsidR="00D464D4">
        <w:t>“</w:t>
      </w:r>
      <w:r w:rsidR="00D464D4" w:rsidRPr="00092246">
        <w:t>other origin</w:t>
      </w:r>
      <w:r w:rsidR="00D464D4">
        <w:t>”</w:t>
      </w:r>
      <w:r w:rsidR="00D464D4" w:rsidRPr="00092246">
        <w:t xml:space="preserve"> would be</w:t>
      </w:r>
      <w:r w:rsidR="00D464D4" w:rsidRPr="00715D3E">
        <w:t xml:space="preserve">.  With respect to </w:t>
      </w:r>
      <w:r w:rsidR="00D464D4">
        <w:t>“</w:t>
      </w:r>
      <w:r w:rsidR="00F012B1">
        <w:t>physical access</w:t>
      </w:r>
      <w:r w:rsidR="00D464D4">
        <w:t>”</w:t>
      </w:r>
      <w:r w:rsidR="00F012B1">
        <w:t>,</w:t>
      </w:r>
      <w:r w:rsidR="00D464D4" w:rsidRPr="00715D3E">
        <w:t xml:space="preserve"> it wished to add the word “physical” before “possession” and to bracket “or at least</w:t>
      </w:r>
      <w:r w:rsidR="00F012B1">
        <w:t xml:space="preserve"> [</w:t>
      </w:r>
      <w:r w:rsidR="00D464D4">
        <w:t>…</w:t>
      </w:r>
      <w:r w:rsidR="00F012B1">
        <w:t>]</w:t>
      </w:r>
      <w:r w:rsidR="00D464D4" w:rsidRPr="00715D3E">
        <w:t>” through the end of the sentence in order to simplify the definition.</w:t>
      </w:r>
      <w:r w:rsidR="00D33910">
        <w:t xml:space="preserve">  </w:t>
      </w:r>
      <w:r w:rsidR="00D33910" w:rsidRPr="00715D3E">
        <w:t xml:space="preserve">With respect to </w:t>
      </w:r>
      <w:r w:rsidR="00D33910">
        <w:t>“</w:t>
      </w:r>
      <w:r w:rsidR="00D33910" w:rsidRPr="00715D3E">
        <w:t>source</w:t>
      </w:r>
      <w:r w:rsidR="00D33910">
        <w:t>”</w:t>
      </w:r>
      <w:r w:rsidR="00F012B1">
        <w:t>,</w:t>
      </w:r>
      <w:r w:rsidR="00D33910" w:rsidRPr="00715D3E">
        <w:t xml:space="preserve"> </w:t>
      </w:r>
      <w:r w:rsidR="00D33910">
        <w:t xml:space="preserve">in Option 1, </w:t>
      </w:r>
      <w:r w:rsidR="00D33910" w:rsidRPr="00715D3E">
        <w:t>it wished to insert “</w:t>
      </w:r>
      <w:r w:rsidR="00D33910">
        <w:t xml:space="preserve">or </w:t>
      </w:r>
      <w:r w:rsidR="00D33910" w:rsidRPr="00715D3E">
        <w:t>any other depositor</w:t>
      </w:r>
      <w:r w:rsidR="00D33910">
        <w:t>y</w:t>
      </w:r>
      <w:r w:rsidR="00D33910" w:rsidRPr="00715D3E">
        <w:t xml:space="preserve"> of </w:t>
      </w:r>
      <w:r w:rsidR="00D33910">
        <w:t>genetic resources</w:t>
      </w:r>
      <w:r w:rsidR="00F012B1">
        <w:t>” after “botanical garden</w:t>
      </w:r>
      <w:r w:rsidR="00D33910" w:rsidRPr="00715D3E">
        <w:t>”</w:t>
      </w:r>
      <w:r w:rsidR="00F012B1">
        <w:t>,</w:t>
      </w:r>
      <w:r w:rsidR="00D33910" w:rsidRPr="00715D3E">
        <w:t xml:space="preserve"> as there </w:t>
      </w:r>
      <w:r w:rsidR="00D33910">
        <w:t>could be</w:t>
      </w:r>
      <w:r w:rsidR="00D33910" w:rsidRPr="00715D3E">
        <w:t xml:space="preserve"> a number of sources of GRs</w:t>
      </w:r>
      <w:r w:rsidR="00D33910">
        <w:t>,</w:t>
      </w:r>
      <w:r w:rsidR="00D33910" w:rsidRPr="00715D3E">
        <w:t xml:space="preserve"> so the definition had to be comprehensive enough.  </w:t>
      </w:r>
      <w:r w:rsidR="00D33910">
        <w:t>Moreover, t</w:t>
      </w:r>
      <w:r w:rsidR="00D33910" w:rsidRPr="00715D3E">
        <w:t xml:space="preserve">here was a relationship between </w:t>
      </w:r>
      <w:r w:rsidR="00D33910">
        <w:t>the objectives and the preamble because the p</w:t>
      </w:r>
      <w:r w:rsidR="00D33910" w:rsidRPr="00715D3E">
        <w:t xml:space="preserve">reamble was a condensed expression of objectives and it had seen </w:t>
      </w:r>
      <w:r w:rsidR="00F012B1">
        <w:t>some</w:t>
      </w:r>
      <w:r w:rsidR="00D33910" w:rsidRPr="00715D3E">
        <w:t xml:space="preserve"> terms or ideas go from </w:t>
      </w:r>
      <w:r w:rsidR="00D33910">
        <w:t>o</w:t>
      </w:r>
      <w:r w:rsidR="00D33910" w:rsidRPr="00715D3E">
        <w:t xml:space="preserve">bjectives to </w:t>
      </w:r>
      <w:r w:rsidR="00D33910">
        <w:t>p</w:t>
      </w:r>
      <w:r w:rsidR="00D33910" w:rsidRPr="00715D3E">
        <w:t>reamble and vice versa.</w:t>
      </w:r>
      <w:r w:rsidR="00F012B1">
        <w:t xml:space="preserve">  </w:t>
      </w:r>
      <w:r w:rsidR="008B5327" w:rsidRPr="00715D3E">
        <w:t xml:space="preserve">The Delegation understood that the IGC’s work </w:t>
      </w:r>
      <w:proofErr w:type="gramStart"/>
      <w:r w:rsidR="008B5327" w:rsidRPr="00715D3E">
        <w:t>was intended</w:t>
      </w:r>
      <w:proofErr w:type="gramEnd"/>
      <w:r w:rsidR="008B5327" w:rsidRPr="00715D3E">
        <w:t xml:space="preserve"> to have a preamble an</w:t>
      </w:r>
      <w:r w:rsidR="00D33910">
        <w:t>d whatever was captured in the p</w:t>
      </w:r>
      <w:r w:rsidR="008B5327" w:rsidRPr="00715D3E">
        <w:t xml:space="preserve">reamble would be important to the outcome of that work because of the interrelation between the </w:t>
      </w:r>
      <w:r w:rsidR="00D33910">
        <w:t>preamble and the o</w:t>
      </w:r>
      <w:r w:rsidR="008B5327" w:rsidRPr="00715D3E">
        <w:t>bjectives.  The second paragraph would be clear</w:t>
      </w:r>
      <w:r w:rsidR="00D33910">
        <w:t>er</w:t>
      </w:r>
      <w:r w:rsidR="008B5327" w:rsidRPr="00715D3E">
        <w:t xml:space="preserve"> by </w:t>
      </w:r>
      <w:r w:rsidR="00D33910">
        <w:t>replacing “misappropriation” with</w:t>
      </w:r>
      <w:r w:rsidR="008B5327" w:rsidRPr="00715D3E">
        <w:t xml:space="preserve"> the term “unauthorized</w:t>
      </w:r>
      <w:r w:rsidR="00F012B1">
        <w:t xml:space="preserve"> use</w:t>
      </w:r>
      <w:r w:rsidR="00D33910">
        <w:t>”</w:t>
      </w:r>
      <w:r w:rsidR="008B5327" w:rsidRPr="00715D3E">
        <w:t xml:space="preserve">. </w:t>
      </w:r>
      <w:r w:rsidR="008B5327">
        <w:t xml:space="preserve"> </w:t>
      </w:r>
      <w:r w:rsidR="008B5327" w:rsidRPr="00715D3E">
        <w:t xml:space="preserve">The </w:t>
      </w:r>
      <w:r w:rsidR="00F012B1">
        <w:t xml:space="preserve">second </w:t>
      </w:r>
      <w:r w:rsidR="008B5327" w:rsidRPr="00715D3E">
        <w:t>last paragraph could be simplified and clarified by bracketing “their” and adding “genetic” before “resources” since biological was already bracketed, and adding “within their jurisdiction other than those associated with human beings” to clarify that GRs did not include human GRs.</w:t>
      </w:r>
    </w:p>
    <w:p w:rsidR="00746E3D" w:rsidRDefault="00746E3D" w:rsidP="00746E3D"/>
    <w:p w:rsidR="002561C7" w:rsidRDefault="00746E3D" w:rsidP="00310121">
      <w:pPr>
        <w:pStyle w:val="ListParagraph"/>
        <w:numPr>
          <w:ilvl w:val="0"/>
          <w:numId w:val="4"/>
        </w:numPr>
        <w:ind w:left="0" w:firstLine="0"/>
      </w:pPr>
      <w:r w:rsidRPr="00715D3E">
        <w:t>The Delegation of Indonesia, speaking on behalf of the LMCs, was delighted to see that the Delegation of the USA was ready to engage on the disclosure requirement</w:t>
      </w:r>
      <w:r w:rsidR="00A7081A">
        <w:t xml:space="preserve"> within the text</w:t>
      </w:r>
      <w:r w:rsidRPr="00715D3E">
        <w:t xml:space="preserve">.  It </w:t>
      </w:r>
      <w:r>
        <w:t>took</w:t>
      </w:r>
      <w:r w:rsidRPr="00715D3E">
        <w:t xml:space="preserve"> it as a sign that it was ready to move on from the alternative text with regard to the objectives</w:t>
      </w:r>
      <w:r>
        <w:t xml:space="preserve">. </w:t>
      </w:r>
      <w:r w:rsidR="00A7081A">
        <w:t xml:space="preserve"> </w:t>
      </w:r>
      <w:r w:rsidRPr="000D6189">
        <w:t xml:space="preserve">However, if that was </w:t>
      </w:r>
      <w:r w:rsidR="00A7081A" w:rsidRPr="000D6189">
        <w:t>the intention</w:t>
      </w:r>
      <w:r w:rsidRPr="000D6189">
        <w:t xml:space="preserve">, it suggested </w:t>
      </w:r>
      <w:r w:rsidR="00A7081A" w:rsidRPr="000D6189">
        <w:t xml:space="preserve">that </w:t>
      </w:r>
      <w:r w:rsidRPr="000D6189">
        <w:t xml:space="preserve">any text </w:t>
      </w:r>
      <w:r w:rsidR="00A7081A" w:rsidRPr="000D6189">
        <w:t>should</w:t>
      </w:r>
      <w:r w:rsidRPr="000D6189">
        <w:t xml:space="preserve"> be alternative text to make sure that the integrity of the text </w:t>
      </w:r>
      <w:proofErr w:type="gramStart"/>
      <w:r w:rsidRPr="000D6189">
        <w:t>remain</w:t>
      </w:r>
      <w:proofErr w:type="gramEnd"/>
      <w:r w:rsidRPr="000D6189">
        <w:t xml:space="preserve"> intact.  In fact, the suggestion for the objective was more likely to contribute to the unauthorized use of the GRs.</w:t>
      </w:r>
      <w:r w:rsidR="00A7081A" w:rsidRPr="000D6189">
        <w:t xml:space="preserve"> </w:t>
      </w:r>
      <w:r w:rsidRPr="000D6189">
        <w:t xml:space="preserve"> It was delighted to learn that the Delegation of the USA thought that the IGC was nearing the end of the process, by </w:t>
      </w:r>
      <w:r w:rsidR="00A7081A" w:rsidRPr="000D6189">
        <w:t>commenting on</w:t>
      </w:r>
      <w:r w:rsidRPr="000D6189">
        <w:t xml:space="preserve"> the List of Terms and the Preamble.</w:t>
      </w:r>
      <w:r w:rsidRPr="00715D3E">
        <w:t xml:space="preserve">  </w:t>
      </w:r>
      <w:r>
        <w:t>It was</w:t>
      </w:r>
      <w:r w:rsidRPr="00715D3E">
        <w:t xml:space="preserve"> ready to discuss</w:t>
      </w:r>
      <w:r>
        <w:t xml:space="preserve"> the L</w:t>
      </w:r>
      <w:r w:rsidRPr="00715D3E">
        <w:t xml:space="preserve">ist of </w:t>
      </w:r>
      <w:r>
        <w:t>T</w:t>
      </w:r>
      <w:r w:rsidRPr="00715D3E">
        <w:t xml:space="preserve">erms and </w:t>
      </w:r>
      <w:r>
        <w:t>the P</w:t>
      </w:r>
      <w:r w:rsidRPr="00715D3E">
        <w:t xml:space="preserve">reamble if that </w:t>
      </w:r>
      <w:r>
        <w:t xml:space="preserve">was </w:t>
      </w:r>
      <w:r w:rsidR="000D6189">
        <w:t xml:space="preserve">the intention.  All articles </w:t>
      </w:r>
      <w:r w:rsidRPr="00715D3E">
        <w:t xml:space="preserve">were connected and in relation to each other, not just with the </w:t>
      </w:r>
      <w:r>
        <w:t>Policy O</w:t>
      </w:r>
      <w:r w:rsidRPr="00715D3E">
        <w:t>bjectives.</w:t>
      </w:r>
    </w:p>
    <w:p w:rsidR="002561C7" w:rsidRPr="002561C7" w:rsidRDefault="002561C7" w:rsidP="002561C7">
      <w:pPr>
        <w:rPr>
          <w:rFonts w:cs="Courier New"/>
        </w:rPr>
      </w:pPr>
    </w:p>
    <w:p w:rsidR="002F7321" w:rsidRDefault="002561C7" w:rsidP="00310121">
      <w:pPr>
        <w:pStyle w:val="ListParagraph"/>
        <w:numPr>
          <w:ilvl w:val="0"/>
          <w:numId w:val="4"/>
        </w:numPr>
        <w:ind w:left="0" w:firstLine="0"/>
      </w:pPr>
      <w:r w:rsidRPr="002561C7">
        <w:rPr>
          <w:rFonts w:cs="Courier New"/>
        </w:rPr>
        <w:t xml:space="preserve">The Delegation of </w:t>
      </w:r>
      <w:r w:rsidR="006E31C3">
        <w:t xml:space="preserve">the Plurinational State of </w:t>
      </w:r>
      <w:r w:rsidRPr="002561C7">
        <w:rPr>
          <w:rFonts w:cs="Courier New"/>
        </w:rPr>
        <w:t xml:space="preserve">Bolivia </w:t>
      </w:r>
      <w:r w:rsidRPr="00715D3E">
        <w:t xml:space="preserve">said that the goal of </w:t>
      </w:r>
      <w:r>
        <w:t>IGC 35</w:t>
      </w:r>
      <w:r w:rsidR="007221AD">
        <w:t xml:space="preserve"> after 15 </w:t>
      </w:r>
      <w:r w:rsidRPr="00715D3E">
        <w:t xml:space="preserve">years of meetings was to bridge the gaps.  It thanked the Delegation of the USA for </w:t>
      </w:r>
      <w:r>
        <w:t>its</w:t>
      </w:r>
      <w:r w:rsidRPr="00715D3E">
        <w:t xml:space="preserve"> </w:t>
      </w:r>
      <w:proofErr w:type="gramStart"/>
      <w:r w:rsidRPr="00715D3E">
        <w:t xml:space="preserve">proposals </w:t>
      </w:r>
      <w:r w:rsidR="00C65BF9">
        <w:t>which</w:t>
      </w:r>
      <w:proofErr w:type="gramEnd"/>
      <w:r w:rsidRPr="00715D3E">
        <w:t xml:space="preserve"> </w:t>
      </w:r>
      <w:r>
        <w:t xml:space="preserve">should </w:t>
      </w:r>
      <w:r w:rsidRPr="00715D3E">
        <w:t>not affect the in</w:t>
      </w:r>
      <w:r>
        <w:t>tegrity of the text because they</w:t>
      </w:r>
      <w:r w:rsidRPr="00715D3E">
        <w:t xml:space="preserve"> were new elements, and ha</w:t>
      </w:r>
      <w:r>
        <w:t>d</w:t>
      </w:r>
      <w:r w:rsidRPr="00715D3E">
        <w:t xml:space="preserve"> to be put in as alternatives in order not to distract the discussion.  A majority of countries had expressed a preference for Alt 2. </w:t>
      </w:r>
      <w:r>
        <w:t xml:space="preserve"> </w:t>
      </w:r>
      <w:r w:rsidRPr="00715D3E">
        <w:t xml:space="preserve">The goal was to bridge the gaps, not to open greater ones, so all of the changes </w:t>
      </w:r>
      <w:r>
        <w:t>had to</w:t>
      </w:r>
      <w:r w:rsidRPr="00715D3E">
        <w:t xml:space="preserve"> be acceptable to other Member States.</w:t>
      </w:r>
    </w:p>
    <w:p w:rsidR="008A3932" w:rsidRDefault="008A3932" w:rsidP="008A3932"/>
    <w:p w:rsidR="00CB3F89" w:rsidRDefault="008A3932" w:rsidP="009451C9">
      <w:pPr>
        <w:pStyle w:val="ListParagraph"/>
        <w:numPr>
          <w:ilvl w:val="0"/>
          <w:numId w:val="4"/>
        </w:numPr>
        <w:ind w:left="0" w:firstLine="0"/>
      </w:pPr>
      <w:r w:rsidRPr="00715D3E">
        <w:t xml:space="preserve">The Delegation of Brazil said it needed to see the intervention by the Delegation of the USA in written form.  Alt </w:t>
      </w:r>
      <w:proofErr w:type="gramStart"/>
      <w:r w:rsidRPr="00715D3E">
        <w:t>3</w:t>
      </w:r>
      <w:proofErr w:type="gramEnd"/>
      <w:r w:rsidRPr="00715D3E">
        <w:t xml:space="preserve"> should be moved </w:t>
      </w:r>
      <w:r w:rsidR="00290EEF">
        <w:t xml:space="preserve">to “No </w:t>
      </w:r>
      <w:r>
        <w:t>New D</w:t>
      </w:r>
      <w:r w:rsidRPr="00715D3E">
        <w:t xml:space="preserve">isclosure </w:t>
      </w:r>
      <w:r>
        <w:t>R</w:t>
      </w:r>
      <w:r w:rsidRPr="00715D3E">
        <w:t>equirement</w:t>
      </w:r>
      <w:r>
        <w:t>”</w:t>
      </w:r>
      <w:r w:rsidR="00290EEF">
        <w:t>,</w:t>
      </w:r>
      <w:r w:rsidRPr="00715D3E">
        <w:t xml:space="preserve"> as suggested by the Delegation of Indonesia.  It </w:t>
      </w:r>
      <w:proofErr w:type="gramStart"/>
      <w:r w:rsidRPr="00715D3E">
        <w:t>was clearly not related</w:t>
      </w:r>
      <w:proofErr w:type="gramEnd"/>
      <w:r w:rsidRPr="00715D3E">
        <w:t xml:space="preserve"> to the disclosure requirements so it </w:t>
      </w:r>
      <w:r w:rsidRPr="00715D3E">
        <w:lastRenderedPageBreak/>
        <w:t>should not be included in that part of the text.  The proposed definition of “derivatives” by the Delegation of the USA was inconsistent with the Nagoya Pr</w:t>
      </w:r>
      <w:r w:rsidR="007221AD">
        <w:t>otocol, which had more than 100 </w:t>
      </w:r>
      <w:r w:rsidRPr="00715D3E">
        <w:t xml:space="preserve">parties. </w:t>
      </w:r>
      <w:r>
        <w:t xml:space="preserve"> </w:t>
      </w:r>
    </w:p>
    <w:p w:rsidR="000C61C4" w:rsidRDefault="000C61C4" w:rsidP="000C61C4">
      <w:pPr>
        <w:pStyle w:val="ListParagraph"/>
        <w:ind w:left="0"/>
      </w:pPr>
    </w:p>
    <w:p w:rsidR="009A397F" w:rsidRDefault="00CB3F89" w:rsidP="00310121">
      <w:pPr>
        <w:pStyle w:val="ListParagraph"/>
        <w:numPr>
          <w:ilvl w:val="0"/>
          <w:numId w:val="4"/>
        </w:numPr>
        <w:ind w:left="0" w:firstLine="0"/>
      </w:pPr>
      <w:r w:rsidRPr="00715D3E">
        <w:t xml:space="preserve">The Delegation of Ecuador supported the proposal </w:t>
      </w:r>
      <w:r w:rsidR="000C61C4">
        <w:t xml:space="preserve">made </w:t>
      </w:r>
      <w:r w:rsidRPr="00715D3E">
        <w:t xml:space="preserve">by the Delegation of the Islamic Republic of Iran. </w:t>
      </w:r>
      <w:r w:rsidR="000C61C4">
        <w:t xml:space="preserve"> </w:t>
      </w:r>
      <w:r w:rsidRPr="00715D3E">
        <w:t>It wa</w:t>
      </w:r>
      <w:r w:rsidR="000C61C4">
        <w:t>s important that all parties mad</w:t>
      </w:r>
      <w:r w:rsidRPr="00715D3E">
        <w:t>e every effort to narrow</w:t>
      </w:r>
      <w:r w:rsidR="000C61C4">
        <w:t xml:space="preserve"> gaps and tried</w:t>
      </w:r>
      <w:r>
        <w:t xml:space="preserve"> to </w:t>
      </w:r>
      <w:r w:rsidRPr="00715D3E">
        <w:t xml:space="preserve">combine the two </w:t>
      </w:r>
      <w:r>
        <w:t xml:space="preserve">alternatives. </w:t>
      </w:r>
      <w:r w:rsidRPr="00715D3E">
        <w:t xml:space="preserve"> </w:t>
      </w:r>
      <w:r w:rsidR="000C61C4">
        <w:t>It</w:t>
      </w:r>
      <w:r w:rsidRPr="00715D3E">
        <w:t xml:space="preserve"> call</w:t>
      </w:r>
      <w:r>
        <w:t>ed</w:t>
      </w:r>
      <w:r w:rsidRPr="00715D3E">
        <w:t xml:space="preserve"> on all parties to come to a better understanding of the need to have consistency and complementarity with other international instruments such </w:t>
      </w:r>
      <w:r>
        <w:t xml:space="preserve">as to </w:t>
      </w:r>
      <w:r w:rsidRPr="00715D3E">
        <w:t>enrich</w:t>
      </w:r>
      <w:r>
        <w:t xml:space="preserve"> th</w:t>
      </w:r>
      <w:r w:rsidRPr="00715D3E">
        <w:t xml:space="preserve">em and </w:t>
      </w:r>
      <w:r>
        <w:t>to</w:t>
      </w:r>
      <w:r w:rsidRPr="00715D3E">
        <w:t xml:space="preserve"> overcome inertia within the IP system.  It called on all </w:t>
      </w:r>
      <w:r w:rsidR="000C61C4">
        <w:t>Member States</w:t>
      </w:r>
      <w:r w:rsidRPr="00715D3E">
        <w:t xml:space="preserve"> to unify their efforts and to make decisions on concrete alternatives.</w:t>
      </w:r>
    </w:p>
    <w:p w:rsidR="00BF3DF3" w:rsidRPr="009451C9" w:rsidRDefault="00BF3DF3" w:rsidP="00BF3DF3">
      <w:pPr>
        <w:pStyle w:val="NormalWeb"/>
        <w:spacing w:before="2" w:after="2"/>
        <w:rPr>
          <w:rFonts w:ascii="Times New Roman" w:hAnsi="Times New Roman"/>
          <w:sz w:val="24"/>
          <w:lang w:val="en-US"/>
        </w:rPr>
      </w:pPr>
    </w:p>
    <w:p w:rsidR="009A397F" w:rsidRDefault="00BF3DF3" w:rsidP="00BF3DF3">
      <w:pPr>
        <w:pStyle w:val="ListParagraph"/>
        <w:numPr>
          <w:ilvl w:val="0"/>
          <w:numId w:val="4"/>
        </w:numPr>
        <w:ind w:left="0" w:firstLine="0"/>
      </w:pPr>
      <w:r>
        <w:rPr>
          <w:szCs w:val="22"/>
        </w:rPr>
        <w:t xml:space="preserve">[Note from the Secretariat:  The following took place on the next day, March 20, 2018.]  The Chair noted that the facilitator and the Friend of the Chair had reflected on the discussion that had taken place the day before and would present some initial proposals and thoughts based on those discussions.  He emphasized that the material presented was simply </w:t>
      </w:r>
      <w:r w:rsidR="007221AD">
        <w:rPr>
          <w:szCs w:val="22"/>
        </w:rPr>
        <w:br/>
      </w:r>
      <w:r>
        <w:rPr>
          <w:szCs w:val="22"/>
        </w:rPr>
        <w:t xml:space="preserve">work-in-progress, and it had no status and was not a revision.  The Chair invited the facilitator to present their work. </w:t>
      </w:r>
      <w:r w:rsidRPr="00715D3E">
        <w:t xml:space="preserve"> </w:t>
      </w:r>
    </w:p>
    <w:p w:rsidR="004B19F7" w:rsidRDefault="004B19F7" w:rsidP="009A397F">
      <w:pPr>
        <w:pStyle w:val="ListParagraph"/>
        <w:tabs>
          <w:tab w:val="left" w:pos="1859"/>
          <w:tab w:val="left" w:pos="2197"/>
          <w:tab w:val="left" w:pos="3042"/>
          <w:tab w:val="left" w:pos="3718"/>
          <w:tab w:val="left" w:pos="6253"/>
          <w:tab w:val="left" w:pos="6760"/>
          <w:tab w:val="left" w:pos="7605"/>
          <w:tab w:val="left" w:pos="8281"/>
          <w:tab w:val="left" w:pos="9126"/>
        </w:tabs>
        <w:ind w:left="0"/>
      </w:pPr>
    </w:p>
    <w:p w:rsidR="007E7BCA" w:rsidRDefault="00BF3DF3" w:rsidP="00310121">
      <w:pPr>
        <w:pStyle w:val="ListParagraph"/>
        <w:numPr>
          <w:ilvl w:val="0"/>
          <w:numId w:val="4"/>
        </w:numPr>
        <w:ind w:left="0" w:firstLine="0"/>
      </w:pPr>
      <w:r>
        <w:t>Mr.</w:t>
      </w:r>
      <w:r w:rsidR="004B19F7" w:rsidRPr="004B19F7">
        <w:t xml:space="preserve"> Kuruk</w:t>
      </w:r>
      <w:r>
        <w:t>, speaking as the facilitator,</w:t>
      </w:r>
      <w:r w:rsidR="004B19F7" w:rsidRPr="004B19F7">
        <w:t xml:space="preserve"> said </w:t>
      </w:r>
      <w:r w:rsidR="00E46C77">
        <w:t xml:space="preserve">that he and the Friend of the Chair </w:t>
      </w:r>
      <w:r w:rsidR="00BE07F1">
        <w:t xml:space="preserve">had </w:t>
      </w:r>
      <w:r w:rsidR="00E46C77">
        <w:t>prepared the “work-in-progress”, aiming at improving the text to provide</w:t>
      </w:r>
      <w:r w:rsidR="004B19F7" w:rsidRPr="004B19F7">
        <w:t xml:space="preserve"> for greater clarity, inclusiveness and simplicity.  The work done had no status.  </w:t>
      </w:r>
      <w:proofErr w:type="gramStart"/>
      <w:r w:rsidR="00FD39A7">
        <w:t>T</w:t>
      </w:r>
      <w:r w:rsidR="004B19F7" w:rsidRPr="004B19F7">
        <w:t xml:space="preserve">he text read as follows:  “The objective of the instrument is to contribute to the protection of genetic resources [their derivatives] and traditional knowledge associated with genetic resources within the [IP] [patent] system by: </w:t>
      </w:r>
      <w:r w:rsidR="00E46C77">
        <w:t xml:space="preserve"> </w:t>
      </w:r>
      <w:r w:rsidR="004B19F7" w:rsidRPr="004B19F7">
        <w:t xml:space="preserve">(a) Ensuring complementarity and mutual supportiveness with international agreements relating to the protection of genetic resources [their derivatives] and/or traditional knowledge associated with genetic resources and those relating to IP; </w:t>
      </w:r>
      <w:r w:rsidR="00FD39A7">
        <w:t xml:space="preserve"> </w:t>
      </w:r>
      <w:r w:rsidR="004B19F7" w:rsidRPr="004B19F7">
        <w:t xml:space="preserve">(b) Enhancing transparency in the [IP][patent] system in relation to genetic resources [their derivatives] and/or traditional knowledge associated with genetic resources; </w:t>
      </w:r>
      <w:r w:rsidR="00FD39A7">
        <w:t xml:space="preserve"> and (c) </w:t>
      </w:r>
      <w:r w:rsidR="004B19F7" w:rsidRPr="004B19F7">
        <w:t>Ensuring that [IP] [patent] offices have access to the appropriate information on genetic resources [their derivatives] and traditional knowledge associated with genetic resources to prevent the granting of erroneous [IP] [patent] rights.”</w:t>
      </w:r>
      <w:proofErr w:type="gramEnd"/>
    </w:p>
    <w:p w:rsidR="007E7BCA" w:rsidRDefault="007E7BCA" w:rsidP="007E7BCA">
      <w:pPr>
        <w:pStyle w:val="ListParagraph"/>
        <w:ind w:left="0"/>
      </w:pPr>
    </w:p>
    <w:p w:rsidR="004B7C4E" w:rsidRDefault="004D57CB" w:rsidP="00310121">
      <w:pPr>
        <w:pStyle w:val="ListParagraph"/>
        <w:numPr>
          <w:ilvl w:val="0"/>
          <w:numId w:val="4"/>
        </w:numPr>
        <w:ind w:left="0" w:firstLine="0"/>
      </w:pPr>
      <w:r>
        <w:t>Ms.</w:t>
      </w:r>
      <w:r w:rsidR="007E7BCA" w:rsidRPr="007E7BCA">
        <w:t xml:space="preserve"> Bagley</w:t>
      </w:r>
      <w:r w:rsidR="00E03D8E">
        <w:t>, speaking as the Friend of the Chair,</w:t>
      </w:r>
      <w:r w:rsidR="007E7BCA" w:rsidRPr="007E7BCA">
        <w:t xml:space="preserve"> said that it was a first attempt to incorporate the various concerns expressed regarding the objectives and to put them into a single provision.  Language from the preamble had been included in one of the clauses: </w:t>
      </w:r>
      <w:r w:rsidR="00E24FED">
        <w:t xml:space="preserve"> </w:t>
      </w:r>
      <w:r w:rsidR="007E7BCA" w:rsidRPr="007E7BCA">
        <w:t>“reaffirm, in accordance with the Convention on Biological Diversity, the sovereign rights of States over their genetic resources, and that the authority to determine access to genetic resources rests with the national governments and is subject to national legislation.”</w:t>
      </w:r>
      <w:r w:rsidR="00CC7466">
        <w:t xml:space="preserve"> </w:t>
      </w:r>
      <w:r w:rsidR="007E7BCA" w:rsidRPr="007E7BCA">
        <w:t xml:space="preserve"> That clause was currently in the preamble. </w:t>
      </w:r>
      <w:r w:rsidR="00CC7466">
        <w:t xml:space="preserve"> </w:t>
      </w:r>
      <w:r w:rsidR="007E7BCA" w:rsidRPr="007E7BCA">
        <w:t xml:space="preserve">The clause in italics </w:t>
      </w:r>
      <w:proofErr w:type="gramStart"/>
      <w:r w:rsidR="007E7BCA" w:rsidRPr="007E7BCA">
        <w:t>could be added</w:t>
      </w:r>
      <w:proofErr w:type="gramEnd"/>
      <w:r w:rsidR="007E7BCA" w:rsidRPr="007E7BCA">
        <w:t xml:space="preserve"> to the preamble. </w:t>
      </w:r>
      <w:r w:rsidR="00CC7466">
        <w:t xml:space="preserve"> </w:t>
      </w:r>
      <w:r w:rsidR="007E7BCA" w:rsidRPr="007E7BCA">
        <w:t xml:space="preserve">It </w:t>
      </w:r>
      <w:proofErr w:type="gramStart"/>
      <w:r w:rsidR="007E7BCA" w:rsidRPr="007E7BCA">
        <w:t>read:</w:t>
      </w:r>
      <w:proofErr w:type="gramEnd"/>
      <w:r w:rsidR="007E7BCA" w:rsidRPr="007E7BCA">
        <w:t xml:space="preserve"> </w:t>
      </w:r>
      <w:r w:rsidR="00E24FED">
        <w:t xml:space="preserve"> “R</w:t>
      </w:r>
      <w:r w:rsidR="007E7BCA" w:rsidRPr="007E7BCA">
        <w:t xml:space="preserve">ecognizing that the IP system, which protects invention and innovation, intersects with the CBD and has a role to play in facilitating protection of GRAATK.”  The idea of including language from the preamble was to help delegations think holistically about the document.  </w:t>
      </w:r>
      <w:r w:rsidR="00E9583B">
        <w:t xml:space="preserve">The </w:t>
      </w:r>
      <w:proofErr w:type="gramStart"/>
      <w:r w:rsidR="00E9583B">
        <w:t xml:space="preserve">text which </w:t>
      </w:r>
      <w:r w:rsidR="007E7BCA" w:rsidRPr="007E7BCA">
        <w:t>did not appear in the objectives</w:t>
      </w:r>
      <w:proofErr w:type="gramEnd"/>
      <w:r w:rsidR="007E7BCA" w:rsidRPr="007E7BCA">
        <w:t xml:space="preserve"> </w:t>
      </w:r>
      <w:r w:rsidR="00E9583B">
        <w:t xml:space="preserve">might be </w:t>
      </w:r>
      <w:r w:rsidR="007E7BCA" w:rsidRPr="007E7BCA">
        <w:t>in the preamble or in another article</w:t>
      </w:r>
      <w:r w:rsidR="00E9583B">
        <w:t>.</w:t>
      </w:r>
      <w:r w:rsidR="007E7BCA" w:rsidRPr="007E7BCA">
        <w:t xml:space="preserve">  That would also help set up the u</w:t>
      </w:r>
      <w:r w:rsidR="00E9583B">
        <w:t>se of the more positively word</w:t>
      </w:r>
      <w:r w:rsidR="007E7BCA" w:rsidRPr="007E7BCA">
        <w:t xml:space="preserve"> “contribute to the protection of genetic resources” which was used as oppos</w:t>
      </w:r>
      <w:r w:rsidR="00E9583B">
        <w:t>ed to “prevent misappropriation</w:t>
      </w:r>
      <w:r w:rsidR="007E7BCA" w:rsidRPr="007E7BCA">
        <w:t>”</w:t>
      </w:r>
      <w:r w:rsidR="00E9583B">
        <w:t>.</w:t>
      </w:r>
      <w:r w:rsidR="007E7BCA" w:rsidRPr="007E7BCA">
        <w:t xml:space="preserve">  </w:t>
      </w:r>
      <w:r w:rsidR="00D45074">
        <w:t>The idea was to frame it</w:t>
      </w:r>
      <w:r w:rsidR="007E7BCA" w:rsidRPr="007E7BCA">
        <w:t xml:space="preserve"> positively and link it to the language in the preamble on the CBD, which was the primary instrument for the protection of GRs, recognizing that there was an intersection betw</w:t>
      </w:r>
      <w:r w:rsidR="007221AD">
        <w:t>een the IP </w:t>
      </w:r>
      <w:r w:rsidR="00D45074">
        <w:t>system and the CBD.</w:t>
      </w:r>
    </w:p>
    <w:p w:rsidR="004B7C4E" w:rsidRDefault="004B7C4E" w:rsidP="004B7C4E">
      <w:pPr>
        <w:pStyle w:val="ListParagraph"/>
        <w:ind w:left="0"/>
      </w:pPr>
    </w:p>
    <w:p w:rsidR="004A6A08" w:rsidRDefault="004B7C4E" w:rsidP="00310121">
      <w:pPr>
        <w:pStyle w:val="ListParagraph"/>
        <w:numPr>
          <w:ilvl w:val="0"/>
          <w:numId w:val="4"/>
        </w:numPr>
        <w:ind w:left="0" w:firstLine="0"/>
      </w:pPr>
      <w:r w:rsidRPr="004B7C4E">
        <w:t xml:space="preserve">The Chair </w:t>
      </w:r>
      <w:r w:rsidR="00A033F8">
        <w:t>opened the floor for initial feedback.</w:t>
      </w:r>
      <w:r w:rsidRPr="004B7C4E">
        <w:t xml:space="preserve"> </w:t>
      </w:r>
    </w:p>
    <w:p w:rsidR="004A6A08" w:rsidRDefault="004A6A08" w:rsidP="004A6A08"/>
    <w:p w:rsidR="00946BE5" w:rsidRPr="001069DF" w:rsidRDefault="004A6A08" w:rsidP="00310121">
      <w:pPr>
        <w:pStyle w:val="ListParagraph"/>
        <w:numPr>
          <w:ilvl w:val="0"/>
          <w:numId w:val="4"/>
        </w:numPr>
        <w:ind w:left="0" w:firstLine="0"/>
      </w:pPr>
      <w:r w:rsidRPr="001069DF">
        <w:t xml:space="preserve">[Note from the Secretariat: </w:t>
      </w:r>
      <w:r w:rsidR="00A033F8" w:rsidRPr="001069DF">
        <w:t xml:space="preserve"> all speakers thanked the f</w:t>
      </w:r>
      <w:r w:rsidRPr="001069DF">
        <w:t xml:space="preserve">acilitator and </w:t>
      </w:r>
      <w:r w:rsidR="00A033F8" w:rsidRPr="001069DF">
        <w:t xml:space="preserve">the </w:t>
      </w:r>
      <w:r w:rsidRPr="001069DF">
        <w:t xml:space="preserve">Friend of the Chair for their work.]  The Delegation of the Islamic Republic of Iran congratulated the Chair on taking the constructive approach of coming up with </w:t>
      </w:r>
      <w:r w:rsidR="00F02E20" w:rsidRPr="001069DF">
        <w:t>a more structured text t</w:t>
      </w:r>
      <w:r w:rsidRPr="001069DF">
        <w:t>hat was a very good attempt at bridging the gaps.  With that spirit</w:t>
      </w:r>
      <w:r w:rsidR="00F02E20" w:rsidRPr="001069DF">
        <w:t>,</w:t>
      </w:r>
      <w:r w:rsidRPr="001069DF">
        <w:t xml:space="preserve"> the IGC would be able to come up with </w:t>
      </w:r>
      <w:r w:rsidR="00103EAD" w:rsidRPr="001069DF">
        <w:t xml:space="preserve">a </w:t>
      </w:r>
      <w:r w:rsidRPr="001069DF">
        <w:t xml:space="preserve">better </w:t>
      </w:r>
      <w:r w:rsidRPr="001069DF">
        <w:lastRenderedPageBreak/>
        <w:t xml:space="preserve">text.  It might </w:t>
      </w:r>
      <w:r w:rsidR="00F02E20" w:rsidRPr="001069DF">
        <w:t xml:space="preserve">not </w:t>
      </w:r>
      <w:r w:rsidRPr="001069DF">
        <w:t xml:space="preserve">reach </w:t>
      </w:r>
      <w:r w:rsidR="00103EAD" w:rsidRPr="001069DF">
        <w:t xml:space="preserve">an </w:t>
      </w:r>
      <w:r w:rsidRPr="001069DF">
        <w:t>agreement as such</w:t>
      </w:r>
      <w:r w:rsidR="00103EAD" w:rsidRPr="001069DF">
        <w:t>,</w:t>
      </w:r>
      <w:r w:rsidRPr="001069DF">
        <w:t xml:space="preserve"> but it was moving in that direction, makin</w:t>
      </w:r>
      <w:r w:rsidR="00F02E20" w:rsidRPr="001069DF">
        <w:t>g</w:t>
      </w:r>
      <w:r w:rsidRPr="001069DF">
        <w:t xml:space="preserve"> better use of the time and developing much better text.  Members had to perceive themselves as both owners and users, equally, because in one way or the other, everyone was a user at the end of the day, either end user</w:t>
      </w:r>
      <w:r w:rsidR="00F02E20" w:rsidRPr="001069DF">
        <w:t>,</w:t>
      </w:r>
      <w:r w:rsidRPr="001069DF">
        <w:t xml:space="preserve"> middle user</w:t>
      </w:r>
      <w:r w:rsidR="00F02E20" w:rsidRPr="001069DF">
        <w:t>,</w:t>
      </w:r>
      <w:r w:rsidRPr="001069DF">
        <w:t xml:space="preserve"> commercializer</w:t>
      </w:r>
      <w:r w:rsidR="00F02E20" w:rsidRPr="001069DF">
        <w:t xml:space="preserve">, </w:t>
      </w:r>
      <w:r w:rsidRPr="001069DF">
        <w:t xml:space="preserve">owner, protector, etc.  The IGC had to pave the road for better use of GRs, </w:t>
      </w:r>
      <w:r w:rsidR="00103EAD" w:rsidRPr="001069DF">
        <w:t>by</w:t>
      </w:r>
      <w:r w:rsidRPr="001069DF">
        <w:t xml:space="preserve"> establish</w:t>
      </w:r>
      <w:r w:rsidR="00103EAD" w:rsidRPr="001069DF">
        <w:t>ing</w:t>
      </w:r>
      <w:r w:rsidRPr="001069DF">
        <w:t xml:space="preserve"> a clear and transparent system allowing everyone </w:t>
      </w:r>
      <w:proofErr w:type="gramStart"/>
      <w:r w:rsidRPr="001069DF">
        <w:t>to fairly use</w:t>
      </w:r>
      <w:proofErr w:type="gramEnd"/>
      <w:r w:rsidRPr="001069DF">
        <w:t xml:space="preserve"> GRs, while recognizing the rights that some owned </w:t>
      </w:r>
      <w:r w:rsidR="0096265A" w:rsidRPr="001069DF">
        <w:t>over</w:t>
      </w:r>
      <w:r w:rsidRPr="001069DF">
        <w:t xml:space="preserve"> GRs.  A transparent system would benefit all of humanity. </w:t>
      </w:r>
      <w:r w:rsidR="0096265A" w:rsidRPr="001069DF">
        <w:t xml:space="preserve"> </w:t>
      </w:r>
      <w:r w:rsidRPr="001069DF">
        <w:t xml:space="preserve">Both protection and facilitation of the use of GRs were required.  It urged everyone to work towards the revised text with the mentality of seeing oneself as both users and owners. </w:t>
      </w:r>
      <w:r w:rsidR="00F02E20" w:rsidRPr="001069DF">
        <w:t xml:space="preserve"> That would help bring views closer together.</w:t>
      </w:r>
    </w:p>
    <w:p w:rsidR="00946BE5" w:rsidRDefault="00946BE5" w:rsidP="00946BE5">
      <w:pPr>
        <w:pStyle w:val="ListParagraph"/>
        <w:ind w:left="0"/>
      </w:pPr>
    </w:p>
    <w:p w:rsidR="00754A15" w:rsidRDefault="00946BE5" w:rsidP="00310121">
      <w:pPr>
        <w:pStyle w:val="ListParagraph"/>
        <w:numPr>
          <w:ilvl w:val="0"/>
          <w:numId w:val="4"/>
        </w:numPr>
        <w:ind w:left="0" w:firstLine="0"/>
      </w:pPr>
      <w:r w:rsidRPr="00946BE5">
        <w:rPr>
          <w:rFonts w:cs="Courier New"/>
        </w:rPr>
        <w:t>The</w:t>
      </w:r>
      <w:r w:rsidRPr="001F050F">
        <w:t xml:space="preserve"> Delegation of Colombia </w:t>
      </w:r>
      <w:r>
        <w:t>said</w:t>
      </w:r>
      <w:r w:rsidRPr="001F050F">
        <w:t xml:space="preserve"> that balance</w:t>
      </w:r>
      <w:r w:rsidR="001069DF">
        <w:t xml:space="preserve"> had to </w:t>
      </w:r>
      <w:proofErr w:type="gramStart"/>
      <w:r w:rsidR="001069DF">
        <w:t>be made</w:t>
      </w:r>
      <w:proofErr w:type="gramEnd"/>
      <w:r w:rsidR="001069DF">
        <w:t xml:space="preserve"> for</w:t>
      </w:r>
      <w:r w:rsidRPr="001F050F">
        <w:t xml:space="preserve"> </w:t>
      </w:r>
      <w:r>
        <w:t xml:space="preserve">GRs </w:t>
      </w:r>
      <w:r w:rsidRPr="001F050F">
        <w:t xml:space="preserve">providers and users.  </w:t>
      </w:r>
      <w:r>
        <w:t xml:space="preserve">GRs had to </w:t>
      </w:r>
      <w:proofErr w:type="gramStart"/>
      <w:r>
        <w:t>be used</w:t>
      </w:r>
      <w:proofErr w:type="gramEnd"/>
      <w:r>
        <w:t xml:space="preserve"> sustainably, </w:t>
      </w:r>
      <w:r w:rsidRPr="001F050F">
        <w:t xml:space="preserve">and that </w:t>
      </w:r>
      <w:r>
        <w:t>was</w:t>
      </w:r>
      <w:r w:rsidRPr="001F050F">
        <w:t xml:space="preserve"> only possible through the traceability of GRs.  The concept of misappropriation </w:t>
      </w:r>
      <w:proofErr w:type="gramStart"/>
      <w:r w:rsidRPr="001F050F">
        <w:t>had not been accepted</w:t>
      </w:r>
      <w:proofErr w:type="gramEnd"/>
      <w:r w:rsidRPr="001F050F">
        <w:t xml:space="preserve"> in any multilateral forum.  </w:t>
      </w:r>
      <w:r>
        <w:t>Its</w:t>
      </w:r>
      <w:r w:rsidRPr="001F050F">
        <w:t xml:space="preserve"> application </w:t>
      </w:r>
      <w:r>
        <w:t>might</w:t>
      </w:r>
      <w:r w:rsidRPr="001F050F">
        <w:t xml:space="preserve"> be more within environmenta</w:t>
      </w:r>
      <w:r>
        <w:t>l t</w:t>
      </w:r>
      <w:r w:rsidRPr="001F050F">
        <w:t>reaties.  With regard to IP and GRs</w:t>
      </w:r>
      <w:r>
        <w:t>,</w:t>
      </w:r>
      <w:r w:rsidRPr="001F050F">
        <w:t xml:space="preserve"> innovation play</w:t>
      </w:r>
      <w:r>
        <w:t>ed</w:t>
      </w:r>
      <w:r w:rsidRPr="001F050F">
        <w:t xml:space="preserve"> a very important role.  It was also a promoter of innovation</w:t>
      </w:r>
      <w:r>
        <w:t>, taking in</w:t>
      </w:r>
      <w:r w:rsidRPr="001F050F">
        <w:t xml:space="preserve">to account the Nagoya Protocol and </w:t>
      </w:r>
      <w:r>
        <w:t xml:space="preserve">the CBD.  </w:t>
      </w:r>
      <w:r w:rsidRPr="001F050F">
        <w:t>The aim of the instrument should be to protect GRs</w:t>
      </w:r>
      <w:r>
        <w:t xml:space="preserve">, to enhance the </w:t>
      </w:r>
      <w:r w:rsidRPr="001F050F">
        <w:t xml:space="preserve">transparency and the effectiveness of </w:t>
      </w:r>
      <w:r>
        <w:t>the patent system, and to</w:t>
      </w:r>
      <w:r w:rsidRPr="001F050F">
        <w:t xml:space="preserve"> guarantee mutual supportiveness with other environment</w:t>
      </w:r>
      <w:r w:rsidR="00F6671A">
        <w:t>al international agreements.</w:t>
      </w:r>
    </w:p>
    <w:p w:rsidR="00754A15" w:rsidRDefault="00754A15" w:rsidP="00754A15"/>
    <w:p w:rsidR="00F82B45" w:rsidRDefault="00754A15" w:rsidP="00310121">
      <w:pPr>
        <w:pStyle w:val="ListParagraph"/>
        <w:numPr>
          <w:ilvl w:val="0"/>
          <w:numId w:val="4"/>
        </w:numPr>
        <w:ind w:left="0" w:firstLine="0"/>
      </w:pPr>
      <w:r w:rsidRPr="001F050F">
        <w:t xml:space="preserve">The Delegation of Indonesia welcomed the </w:t>
      </w:r>
      <w:r>
        <w:t>work-in-p</w:t>
      </w:r>
      <w:r w:rsidRPr="001F050F">
        <w:t xml:space="preserve">rogress text.  With regard to </w:t>
      </w:r>
      <w:r>
        <w:t>“</w:t>
      </w:r>
      <w:r w:rsidRPr="001F050F">
        <w:t>misappropriation</w:t>
      </w:r>
      <w:r>
        <w:t>”</w:t>
      </w:r>
      <w:r w:rsidR="00D12C26">
        <w:t>,</w:t>
      </w:r>
      <w:r w:rsidRPr="001F050F">
        <w:t xml:space="preserve"> </w:t>
      </w:r>
      <w:r w:rsidR="00D12C26">
        <w:t>Ms.</w:t>
      </w:r>
      <w:r>
        <w:t xml:space="preserve"> </w:t>
      </w:r>
      <w:r w:rsidRPr="001F050F">
        <w:t>Bagley</w:t>
      </w:r>
      <w:r w:rsidR="00D12C26">
        <w:t>, as the Friend of the Chair,</w:t>
      </w:r>
      <w:r w:rsidRPr="001F050F">
        <w:t xml:space="preserve"> had explained the reason</w:t>
      </w:r>
      <w:r>
        <w:t xml:space="preserve"> for it</w:t>
      </w:r>
      <w:r w:rsidR="007221AD">
        <w:t>s </w:t>
      </w:r>
      <w:r>
        <w:t>absence from the text,</w:t>
      </w:r>
      <w:r w:rsidRPr="001F050F">
        <w:t xml:space="preserve"> but it was </w:t>
      </w:r>
      <w:r>
        <w:t xml:space="preserve">not convinced yet.  </w:t>
      </w:r>
      <w:proofErr w:type="gramStart"/>
      <w:r>
        <w:t>If the element of misappropriation</w:t>
      </w:r>
      <w:r w:rsidR="00D12C26" w:rsidRPr="00D12C26">
        <w:t xml:space="preserve"> </w:t>
      </w:r>
      <w:r w:rsidR="00D12C26">
        <w:t>was</w:t>
      </w:r>
      <w:r w:rsidR="00D12C26" w:rsidRPr="001F050F">
        <w:t xml:space="preserve"> eliminate</w:t>
      </w:r>
      <w:r w:rsidR="00D12C26">
        <w:t>d, the Delegation</w:t>
      </w:r>
      <w:r>
        <w:t xml:space="preserve"> wondered </w:t>
      </w:r>
      <w:r w:rsidRPr="001F050F">
        <w:t>how prevent</w:t>
      </w:r>
      <w:r>
        <w:t>ing</w:t>
      </w:r>
      <w:r w:rsidRPr="001F050F">
        <w:t xml:space="preserve"> the granting of erroneous IP or patent rights could relate to the disclosure </w:t>
      </w:r>
      <w:r>
        <w:t xml:space="preserve">requirement </w:t>
      </w:r>
      <w:r w:rsidRPr="001F050F">
        <w:t>of GRs</w:t>
      </w:r>
      <w:r>
        <w:t>,</w:t>
      </w:r>
      <w:r w:rsidRPr="001F050F">
        <w:t xml:space="preserve"> derivatives and </w:t>
      </w:r>
      <w:r w:rsidR="00D12C26">
        <w:t>associated TK</w:t>
      </w:r>
      <w:r>
        <w:t>, since the IP system did</w:t>
      </w:r>
      <w:r w:rsidRPr="001F050F">
        <w:t xml:space="preserve"> not normally require </w:t>
      </w:r>
      <w:r>
        <w:t xml:space="preserve">the </w:t>
      </w:r>
      <w:r w:rsidRPr="001F050F">
        <w:t>disclosure of the origin and sou</w:t>
      </w:r>
      <w:r>
        <w:t>rce</w:t>
      </w:r>
      <w:r w:rsidRPr="001F050F">
        <w:t xml:space="preserve"> of GRs and TK</w:t>
      </w:r>
      <w:r>
        <w:t>,</w:t>
      </w:r>
      <w:r w:rsidRPr="001F050F">
        <w:t xml:space="preserve"> because such information </w:t>
      </w:r>
      <w:r>
        <w:t>was</w:t>
      </w:r>
      <w:r w:rsidRPr="001F050F">
        <w:t xml:space="preserve"> often not strictly relevant to enable the invention or support the claims.</w:t>
      </w:r>
      <w:proofErr w:type="gramEnd"/>
      <w:r w:rsidRPr="001F050F">
        <w:t xml:space="preserve">  </w:t>
      </w:r>
      <w:r>
        <w:t>It asked for</w:t>
      </w:r>
      <w:r w:rsidRPr="001F050F">
        <w:t xml:space="preserve"> clarification </w:t>
      </w:r>
      <w:r>
        <w:t>and reassurance</w:t>
      </w:r>
      <w:r w:rsidRPr="001F050F">
        <w:t xml:space="preserve"> that </w:t>
      </w:r>
      <w:r>
        <w:t>the objective cover</w:t>
      </w:r>
      <w:r w:rsidR="00D12C26">
        <w:t>ed</w:t>
      </w:r>
      <w:r w:rsidRPr="001F050F">
        <w:t xml:space="preserve"> the element of misappropriation.  </w:t>
      </w:r>
    </w:p>
    <w:p w:rsidR="00F82B45" w:rsidRDefault="00F82B45" w:rsidP="00F82B45"/>
    <w:p w:rsidR="002F260F" w:rsidRDefault="00D12C26" w:rsidP="00310121">
      <w:pPr>
        <w:pStyle w:val="ListParagraph"/>
        <w:numPr>
          <w:ilvl w:val="0"/>
          <w:numId w:val="4"/>
        </w:numPr>
        <w:ind w:left="0" w:firstLine="0"/>
      </w:pPr>
      <w:r>
        <w:t>Ms.</w:t>
      </w:r>
      <w:r w:rsidRPr="007E7BCA">
        <w:t xml:space="preserve"> Bagley</w:t>
      </w:r>
      <w:r>
        <w:t>, speaking as the Friend of the Chair,</w:t>
      </w:r>
      <w:r w:rsidRPr="00F82B45">
        <w:t xml:space="preserve"> </w:t>
      </w:r>
      <w:r w:rsidR="00F82B45" w:rsidRPr="00F82B45">
        <w:t>said that</w:t>
      </w:r>
      <w:r w:rsidR="00F82B45">
        <w:t xml:space="preserve"> the objective</w:t>
      </w:r>
      <w:r w:rsidR="00F82B45" w:rsidRPr="00F82B45">
        <w:t xml:space="preserve"> </w:t>
      </w:r>
      <w:r w:rsidR="00F82B45">
        <w:t>was</w:t>
      </w:r>
      <w:r w:rsidR="00F82B45" w:rsidRPr="00F82B45">
        <w:t xml:space="preserve"> not an operative provision of the agreement.  What would prevent misappropriation or contribute to the protection of GRs would be the actual disclosure requirement, whatever </w:t>
      </w:r>
      <w:proofErr w:type="gramStart"/>
      <w:r w:rsidR="00F82B45" w:rsidRPr="00F82B45">
        <w:t>would be agreed</w:t>
      </w:r>
      <w:proofErr w:type="gramEnd"/>
      <w:r w:rsidR="00F82B45" w:rsidRPr="00F82B45">
        <w:t xml:space="preserve"> to in </w:t>
      </w:r>
      <w:r>
        <w:t>Article 3</w:t>
      </w:r>
      <w:r w:rsidR="00F82B45" w:rsidRPr="00F82B45">
        <w:t xml:space="preserve">.  That would specify what had to </w:t>
      </w:r>
      <w:proofErr w:type="gramStart"/>
      <w:r w:rsidR="00F82B45" w:rsidRPr="00F82B45">
        <w:t>be disclosed</w:t>
      </w:r>
      <w:proofErr w:type="gramEnd"/>
      <w:r w:rsidR="00F82B45" w:rsidRPr="00F82B45">
        <w:t xml:space="preserve">, the conditions for disclosure, and what the obligation on the patent or IP applicant would be.  Having the word “misappropriation” in the objective was not going to create that operative provision.  The objective of “contribute to the protection” was in fact introducing the operative provision.  The goal was not to focus so much on any particular term in the objective but on what the agreement would actually accomplish. </w:t>
      </w:r>
    </w:p>
    <w:p w:rsidR="002F260F" w:rsidRDefault="002F260F" w:rsidP="002F260F"/>
    <w:p w:rsidR="0036605D" w:rsidRDefault="002F260F" w:rsidP="00310121">
      <w:pPr>
        <w:pStyle w:val="ListParagraph"/>
        <w:numPr>
          <w:ilvl w:val="0"/>
          <w:numId w:val="4"/>
        </w:numPr>
        <w:ind w:left="0" w:firstLine="0"/>
      </w:pPr>
      <w:r w:rsidRPr="002F260F">
        <w:t xml:space="preserve">The Delegation of </w:t>
      </w:r>
      <w:r w:rsidR="006E31C3">
        <w:t xml:space="preserve">the Plurinational State of </w:t>
      </w:r>
      <w:r w:rsidRPr="002F260F">
        <w:t xml:space="preserve">Bolivia said that, technically speaking, the patent system granted an IP right to the person innovating or inventing </w:t>
      </w:r>
      <w:proofErr w:type="gramStart"/>
      <w:r w:rsidRPr="002F260F">
        <w:t>on the basis of</w:t>
      </w:r>
      <w:proofErr w:type="gramEnd"/>
      <w:r w:rsidRPr="002F260F">
        <w:t xml:space="preserve"> GRs.  So the term “misappropriation” </w:t>
      </w:r>
      <w:proofErr w:type="gramStart"/>
      <w:r w:rsidRPr="002F260F">
        <w:t>should be used</w:t>
      </w:r>
      <w:proofErr w:type="gramEnd"/>
      <w:r w:rsidRPr="002F260F">
        <w:t xml:space="preserve"> to avoid granting a property right to somebody who had fraudulently or illegally gained access to the GR in question.  Changing “preventing misappropriation” to “unauthorized use” also changed the focus of many elements of the text, including sanctions, because unauthorized use was not the same thing as gaining fraudulent access to a GR.  “Unauthorized” could be through an error, or a very innocent act, which would have different implications in national law.  It could be criminal or administrative in nature, based on </w:t>
      </w:r>
      <w:r w:rsidR="0065739F">
        <w:t>the terms used.</w:t>
      </w:r>
    </w:p>
    <w:p w:rsidR="0036605D" w:rsidRDefault="0036605D" w:rsidP="0036605D"/>
    <w:p w:rsidR="0036605D" w:rsidRDefault="0036605D" w:rsidP="00310121">
      <w:pPr>
        <w:pStyle w:val="ListParagraph"/>
        <w:numPr>
          <w:ilvl w:val="0"/>
          <w:numId w:val="4"/>
        </w:numPr>
        <w:ind w:left="0" w:firstLine="0"/>
      </w:pPr>
      <w:r w:rsidRPr="0036605D">
        <w:t xml:space="preserve">The Delegation of Egypt said that, in addition to “contributing to the effective protection” of GRs, the text should also </w:t>
      </w:r>
      <w:proofErr w:type="gramStart"/>
      <w:r w:rsidRPr="0036605D">
        <w:t>mention</w:t>
      </w:r>
      <w:proofErr w:type="gramEnd"/>
      <w:r w:rsidRPr="0036605D">
        <w:t xml:space="preserve"> “preventing the misappropriation” of GRs.    </w:t>
      </w:r>
    </w:p>
    <w:p w:rsidR="0036605D" w:rsidRDefault="0036605D" w:rsidP="0036605D"/>
    <w:p w:rsidR="00515C5A" w:rsidRDefault="0036605D" w:rsidP="00310121">
      <w:pPr>
        <w:pStyle w:val="ListParagraph"/>
        <w:numPr>
          <w:ilvl w:val="0"/>
          <w:numId w:val="4"/>
        </w:numPr>
        <w:ind w:left="0" w:firstLine="0"/>
      </w:pPr>
      <w:r w:rsidRPr="0036605D">
        <w:t xml:space="preserve">The Delegation of El Salvador said that the text was very useful and responded to the comments made </w:t>
      </w:r>
      <w:r w:rsidR="000F2F3E">
        <w:t xml:space="preserve">at the </w:t>
      </w:r>
      <w:r w:rsidRPr="0036605D">
        <w:t xml:space="preserve">plenary.  </w:t>
      </w:r>
      <w:proofErr w:type="gramStart"/>
      <w:r w:rsidRPr="0036605D">
        <w:t xml:space="preserve">It agreed with the Chair and the Friend of the Chair that </w:t>
      </w:r>
      <w:r>
        <w:t xml:space="preserve">the objective </w:t>
      </w:r>
      <w:r w:rsidRPr="0036605D">
        <w:t xml:space="preserve">was fairly general and that the details regarding the mechanism to deal with the </w:t>
      </w:r>
      <w:r w:rsidRPr="0036605D">
        <w:lastRenderedPageBreak/>
        <w:t xml:space="preserve">contribution of the instrument to </w:t>
      </w:r>
      <w:r>
        <w:t xml:space="preserve">the </w:t>
      </w:r>
      <w:r w:rsidRPr="0036605D">
        <w:t xml:space="preserve">protection of GRs would be sketched out later on in the text within the IP or patent system according to what </w:t>
      </w:r>
      <w:r>
        <w:t>would be</w:t>
      </w:r>
      <w:r w:rsidRPr="0036605D">
        <w:t xml:space="preserve"> decided in due cours</w:t>
      </w:r>
      <w:r w:rsidR="00BB7083">
        <w:t>e.</w:t>
      </w:r>
      <w:proofErr w:type="gramEnd"/>
    </w:p>
    <w:p w:rsidR="00515C5A" w:rsidRDefault="00515C5A" w:rsidP="00515C5A"/>
    <w:p w:rsidR="004429CE" w:rsidRDefault="00515C5A" w:rsidP="00310121">
      <w:pPr>
        <w:pStyle w:val="ListParagraph"/>
        <w:numPr>
          <w:ilvl w:val="0"/>
          <w:numId w:val="4"/>
        </w:numPr>
        <w:ind w:left="0" w:firstLine="0"/>
      </w:pPr>
      <w:r w:rsidRPr="00515C5A">
        <w:t xml:space="preserve">The Delegation of Indonesia, speaking on behalf of the LMCs, said that the objective covered all three key policy motivations of the treaty: </w:t>
      </w:r>
      <w:r w:rsidR="008D060D">
        <w:t xml:space="preserve"> </w:t>
      </w:r>
      <w:r w:rsidRPr="00515C5A">
        <w:t>contributing</w:t>
      </w:r>
      <w:r w:rsidR="008D060D">
        <w:t xml:space="preserve"> to the protection of GRs</w:t>
      </w:r>
      <w:proofErr w:type="gramStart"/>
      <w:r w:rsidR="008D060D">
        <w:t xml:space="preserve">; </w:t>
      </w:r>
      <w:r w:rsidRPr="00515C5A">
        <w:t xml:space="preserve"> enhancing</w:t>
      </w:r>
      <w:proofErr w:type="gramEnd"/>
      <w:r w:rsidRPr="00515C5A">
        <w:t xml:space="preserve"> the efficiency and transparency of the IP and patent system (through disclosure)</w:t>
      </w:r>
      <w:r w:rsidR="00E24D96">
        <w:t xml:space="preserve">; </w:t>
      </w:r>
      <w:r w:rsidRPr="00515C5A">
        <w:t xml:space="preserve"> and mutual supportiveness with other international agreements. </w:t>
      </w:r>
    </w:p>
    <w:p w:rsidR="004429CE" w:rsidRDefault="004429CE" w:rsidP="004429CE"/>
    <w:p w:rsidR="005E7F63" w:rsidRPr="002E7370" w:rsidRDefault="00515C5A" w:rsidP="00310121">
      <w:pPr>
        <w:pStyle w:val="ListParagraph"/>
        <w:numPr>
          <w:ilvl w:val="0"/>
          <w:numId w:val="4"/>
        </w:numPr>
        <w:ind w:left="0" w:firstLine="0"/>
      </w:pPr>
      <w:r w:rsidRPr="002E7370">
        <w:t xml:space="preserve">The representative of </w:t>
      </w:r>
      <w:r w:rsidR="002E7370" w:rsidRPr="002E7370">
        <w:rPr>
          <w:rFonts w:cs="Courier New"/>
        </w:rPr>
        <w:t>the Tebtebba</w:t>
      </w:r>
      <w:r w:rsidR="002E7370" w:rsidRPr="002E7370">
        <w:rPr>
          <w:szCs w:val="22"/>
        </w:rPr>
        <w:t xml:space="preserve"> Foundation</w:t>
      </w:r>
      <w:r w:rsidRPr="002E7370">
        <w:t>, speaking on behalf of</w:t>
      </w:r>
      <w:r w:rsidR="002E7370" w:rsidRPr="002E7370">
        <w:t xml:space="preserve"> the Indigenous Caucus, asked whether</w:t>
      </w:r>
      <w:r w:rsidRPr="002E7370">
        <w:t xml:space="preserve"> the phrase “and preventing the granting of erroneous patents” in paragraph (c) would include remedies.  She recalled her concern over prior occurrences of misappropriation.  </w:t>
      </w:r>
      <w:r w:rsidR="002E7370" w:rsidRPr="002E7370">
        <w:t>The text could read as follow</w:t>
      </w:r>
      <w:r w:rsidRPr="002E7370">
        <w:t xml:space="preserve"> “remedy the erroneous patents that have already been granted.” </w:t>
      </w:r>
    </w:p>
    <w:p w:rsidR="005E7F63" w:rsidRDefault="005E7F63" w:rsidP="005E7F63"/>
    <w:p w:rsidR="005E7F63" w:rsidRDefault="005E7F63" w:rsidP="00310121">
      <w:pPr>
        <w:pStyle w:val="ListParagraph"/>
        <w:numPr>
          <w:ilvl w:val="0"/>
          <w:numId w:val="4"/>
        </w:numPr>
        <w:ind w:left="0" w:firstLine="0"/>
      </w:pPr>
      <w:r w:rsidRPr="005E7F63">
        <w:t xml:space="preserve">The Delegation of the USA </w:t>
      </w:r>
      <w:r w:rsidR="002E7370">
        <w:t>supported the work-in-progress text to</w:t>
      </w:r>
      <w:r w:rsidRPr="005E7F63">
        <w:t xml:space="preserve"> be included in Rev 1.    </w:t>
      </w:r>
    </w:p>
    <w:p w:rsidR="005E7F63" w:rsidRDefault="005E7F63" w:rsidP="005E7F63"/>
    <w:p w:rsidR="005E7F63" w:rsidRDefault="005E7F63" w:rsidP="00310121">
      <w:pPr>
        <w:pStyle w:val="ListParagraph"/>
        <w:numPr>
          <w:ilvl w:val="0"/>
          <w:numId w:val="4"/>
        </w:numPr>
        <w:ind w:left="0" w:firstLine="0"/>
      </w:pPr>
      <w:r w:rsidRPr="005E7F63">
        <w:t xml:space="preserve">The Delegation of India supported the </w:t>
      </w:r>
      <w:r w:rsidR="002E7370">
        <w:t>text</w:t>
      </w:r>
      <w:r w:rsidRPr="005E7F63">
        <w:t xml:space="preserve">, insofar as it concerned the entire IP system, subject to confirmation by the capital.   </w:t>
      </w:r>
    </w:p>
    <w:p w:rsidR="005E7F63" w:rsidRDefault="005E7F63" w:rsidP="005E7F63"/>
    <w:p w:rsidR="00A035EE" w:rsidRDefault="005E7F63" w:rsidP="00310121">
      <w:pPr>
        <w:pStyle w:val="ListParagraph"/>
        <w:numPr>
          <w:ilvl w:val="0"/>
          <w:numId w:val="4"/>
        </w:numPr>
        <w:ind w:left="0" w:firstLine="0"/>
      </w:pPr>
      <w:r w:rsidRPr="005E7F63">
        <w:t xml:space="preserve">The Delegation of Morocco, speaking on behalf of the African Group, </w:t>
      </w:r>
      <w:r w:rsidR="002E7370">
        <w:t>wondered whether</w:t>
      </w:r>
      <w:r w:rsidRPr="005E7F63">
        <w:t xml:space="preserve"> the objective was to guarantee effective transparency or simply to contribute to the</w:t>
      </w:r>
      <w:r>
        <w:t xml:space="preserve"> protection</w:t>
      </w:r>
      <w:r w:rsidRPr="005E7F63">
        <w:t xml:space="preserve">.    </w:t>
      </w:r>
    </w:p>
    <w:p w:rsidR="00A035EE" w:rsidRDefault="00A035EE" w:rsidP="00A035EE"/>
    <w:p w:rsidR="00776310" w:rsidRDefault="002E7370" w:rsidP="00310121">
      <w:pPr>
        <w:pStyle w:val="ListParagraph"/>
        <w:numPr>
          <w:ilvl w:val="0"/>
          <w:numId w:val="4"/>
        </w:numPr>
        <w:ind w:left="0" w:firstLine="0"/>
      </w:pPr>
      <w:r>
        <w:t xml:space="preserve">Mr. </w:t>
      </w:r>
      <w:r w:rsidR="00A035EE" w:rsidRPr="00A035EE">
        <w:t>Kuruk</w:t>
      </w:r>
      <w:r>
        <w:t>, speaking as the facilitator,</w:t>
      </w:r>
      <w:r w:rsidR="00A035EE" w:rsidRPr="00A035EE">
        <w:t xml:space="preserve"> said that there was no specific ref</w:t>
      </w:r>
      <w:r w:rsidR="00A035EE">
        <w:t xml:space="preserve">erence to misappropriation in </w:t>
      </w:r>
      <w:r w:rsidR="00A035EE" w:rsidRPr="00A035EE">
        <w:t xml:space="preserve">Article 1 because the matter </w:t>
      </w:r>
      <w:proofErr w:type="gramStart"/>
      <w:r w:rsidR="00A035EE">
        <w:t>was</w:t>
      </w:r>
      <w:r w:rsidR="00A035EE" w:rsidRPr="00A035EE">
        <w:t xml:space="preserve"> dealt with</w:t>
      </w:r>
      <w:proofErr w:type="gramEnd"/>
      <w:r w:rsidR="00A035EE" w:rsidRPr="00A035EE">
        <w:t xml:space="preserve"> in the preamble. </w:t>
      </w:r>
    </w:p>
    <w:p w:rsidR="00776310" w:rsidRDefault="00776310" w:rsidP="00776310"/>
    <w:p w:rsidR="0048110F" w:rsidRDefault="00776310" w:rsidP="00310121">
      <w:pPr>
        <w:pStyle w:val="ListParagraph"/>
        <w:numPr>
          <w:ilvl w:val="0"/>
          <w:numId w:val="4"/>
        </w:numPr>
        <w:ind w:left="0" w:firstLine="0"/>
      </w:pPr>
      <w:r w:rsidRPr="00776310">
        <w:t>The Chair opened the discussion on Article 2 “S</w:t>
      </w:r>
      <w:r w:rsidR="000660D8">
        <w:t>ubject Matter of the Instrument</w:t>
      </w:r>
      <w:r w:rsidRPr="00776310">
        <w:t>”</w:t>
      </w:r>
      <w:r w:rsidR="000660D8">
        <w:t>.</w:t>
      </w:r>
      <w:r w:rsidRPr="00776310">
        <w:t xml:space="preserve">  He asked whether an article on subject matter </w:t>
      </w:r>
      <w:proofErr w:type="gramStart"/>
      <w:r w:rsidRPr="00776310">
        <w:t>was really needed</w:t>
      </w:r>
      <w:proofErr w:type="gramEnd"/>
      <w:r w:rsidRPr="00776310">
        <w:t xml:space="preserve">, if the issue was dealt with within the operative articles.  There were three unresolved issues: </w:t>
      </w:r>
      <w:r w:rsidR="000660D8">
        <w:t xml:space="preserve"> </w:t>
      </w:r>
      <w:r w:rsidRPr="00776310">
        <w:t>(1) the incl</w:t>
      </w:r>
      <w:r w:rsidR="000660D8">
        <w:t>usion of the term “derivatives”</w:t>
      </w:r>
      <w:proofErr w:type="gramStart"/>
      <w:r w:rsidR="000660D8">
        <w:t xml:space="preserve">; </w:t>
      </w:r>
      <w:r w:rsidRPr="00776310">
        <w:t xml:space="preserve"> (</w:t>
      </w:r>
      <w:proofErr w:type="gramEnd"/>
      <w:r w:rsidRPr="00776310">
        <w:t>2) whether the subject matter of the instrument should encompass GRs and/or TK</w:t>
      </w:r>
      <w:r w:rsidR="000660D8">
        <w:t xml:space="preserve"> </w:t>
      </w:r>
      <w:r w:rsidRPr="00776310">
        <w:t>a</w:t>
      </w:r>
      <w:r w:rsidR="000660D8">
        <w:t xml:space="preserve">ssociated </w:t>
      </w:r>
      <w:r w:rsidR="00E60E54">
        <w:t xml:space="preserve">with </w:t>
      </w:r>
      <w:r w:rsidRPr="00776310">
        <w:t>GRs</w:t>
      </w:r>
      <w:r w:rsidR="000660D8">
        <w:t xml:space="preserve">; </w:t>
      </w:r>
      <w:r w:rsidRPr="00776310">
        <w:t xml:space="preserve"> and (3) whether the instrument should apply to only patents or patent applications or also to other rights </w:t>
      </w:r>
      <w:r>
        <w:t>under</w:t>
      </w:r>
      <w:r w:rsidRPr="00776310">
        <w:t xml:space="preserve"> the purview of WIPO.  He opened the floor</w:t>
      </w:r>
      <w:r w:rsidR="000660D8">
        <w:t xml:space="preserve"> for comments</w:t>
      </w:r>
      <w:r w:rsidRPr="00776310">
        <w:t xml:space="preserve">.    </w:t>
      </w:r>
    </w:p>
    <w:p w:rsidR="0048110F" w:rsidRDefault="0048110F" w:rsidP="0048110F"/>
    <w:p w:rsidR="0048110F" w:rsidRDefault="0048110F" w:rsidP="00310121">
      <w:pPr>
        <w:pStyle w:val="ListParagraph"/>
        <w:numPr>
          <w:ilvl w:val="0"/>
          <w:numId w:val="4"/>
        </w:numPr>
        <w:ind w:left="0" w:firstLine="0"/>
      </w:pPr>
      <w:r w:rsidRPr="0048110F">
        <w:t xml:space="preserve">The Delegation of the USA was concerned about the breadth of the instrument, if it </w:t>
      </w:r>
      <w:r w:rsidR="00B92E20">
        <w:t>was</w:t>
      </w:r>
      <w:r w:rsidRPr="0048110F">
        <w:t xml:space="preserve"> to include derivatives.  It preferred to avoid the use of </w:t>
      </w:r>
      <w:r>
        <w:t>“</w:t>
      </w:r>
      <w:r w:rsidR="00B92E20">
        <w:t>derivatives</w:t>
      </w:r>
      <w:r>
        <w:t>”</w:t>
      </w:r>
      <w:r w:rsidR="00B92E20">
        <w:t>.</w:t>
      </w:r>
      <w:r w:rsidRPr="0048110F">
        <w:t xml:space="preserve">  It was happy to consider TK</w:t>
      </w:r>
      <w:r w:rsidR="00B92E20">
        <w:t xml:space="preserve"> </w:t>
      </w:r>
      <w:r w:rsidRPr="0048110F">
        <w:t>a</w:t>
      </w:r>
      <w:r w:rsidR="00B92E20">
        <w:t xml:space="preserve">ssociated </w:t>
      </w:r>
      <w:r w:rsidR="00E60E54">
        <w:t xml:space="preserve">with </w:t>
      </w:r>
      <w:r w:rsidRPr="0048110F">
        <w:t>GRs in addition to GRs themselves</w:t>
      </w:r>
      <w:r w:rsidRPr="001C1BD4">
        <w:t>.  With respect to whether the subject matter of the instrument should be patents only or other IP rights, it did not see the relevance of copyright, trademarks and other forms of IP rights to GRs and to the instrument.  It preferred to keep the subject matter focused on patents.  That was a practical and reasonable approach.  With respect to Article 2, in the ALT paragraph, the “shall/should” formulation was used and it suggested replacing that with “[shall]/[should]” where each word was in brackets to reflect its concern that the original formulation might imply that either “shall</w:t>
      </w:r>
      <w:r w:rsidR="001C1BD4" w:rsidRPr="001C1BD4">
        <w:t>” or “should” might be selected</w:t>
      </w:r>
      <w:r w:rsidRPr="001C1BD4">
        <w:t xml:space="preserve"> and a decision had to be taken between those two terms.  So bracketing each of the words individually was a more appropriate formulation.  It suggested another global change to bracket each of the article designation at the top of each article.  For example, Article 1 would be </w:t>
      </w:r>
      <w:r w:rsidR="00B83A0C">
        <w:br/>
      </w:r>
      <w:r w:rsidRPr="001C1BD4">
        <w:t>[Article 1].  In the first paragraph of the preamble of the work-in-progress document, it suggested bracketing the words “in accordance” and</w:t>
      </w:r>
      <w:r w:rsidR="001C1BD4" w:rsidRPr="001C1BD4">
        <w:t xml:space="preserve"> inserting in place “consistent</w:t>
      </w:r>
      <w:r w:rsidRPr="001C1BD4">
        <w:t>”</w:t>
      </w:r>
      <w:r w:rsidR="001C1BD4" w:rsidRPr="001C1BD4">
        <w:t>.</w:t>
      </w:r>
      <w:r w:rsidRPr="001C1BD4">
        <w:t xml:space="preserve">  In the second</w:t>
      </w:r>
      <w:r w:rsidRPr="0048110F">
        <w:t xml:space="preserve"> paragraph of the preamble, it suggested bracketing “IP” </w:t>
      </w:r>
      <w:r w:rsidR="001C1BD4">
        <w:t>and replacing that with “patent</w:t>
      </w:r>
      <w:r w:rsidRPr="0048110F">
        <w:t>”</w:t>
      </w:r>
      <w:r w:rsidR="001C1BD4">
        <w:t>.</w:t>
      </w:r>
      <w:r w:rsidRPr="0048110F">
        <w:t xml:space="preserve">  In the same line, it suggested pluralizing the word “inventions” and insert</w:t>
      </w:r>
      <w:r w:rsidR="001C1BD4">
        <w:t>ing “foster” before “innovation</w:t>
      </w:r>
      <w:r w:rsidRPr="0048110F">
        <w:t>”</w:t>
      </w:r>
      <w:r w:rsidR="001C1BD4">
        <w:t>.</w:t>
      </w:r>
      <w:r w:rsidRPr="0048110F">
        <w:t xml:space="preserve">  It suggested bracketing “facilitating protection of” and </w:t>
      </w:r>
      <w:r w:rsidR="001C1BD4">
        <w:t>replacing that with “protecting</w:t>
      </w:r>
      <w:r w:rsidRPr="0048110F">
        <w:t>”</w:t>
      </w:r>
      <w:r w:rsidR="001C1BD4">
        <w:t>.</w:t>
      </w:r>
      <w:r w:rsidRPr="0048110F">
        <w:t xml:space="preserve">  In Article 1</w:t>
      </w:r>
      <w:r w:rsidR="001C1BD4">
        <w:t>,</w:t>
      </w:r>
      <w:r w:rsidRPr="0048110F">
        <w:t xml:space="preserve"> it suggested bracketing paragraphs (a) and (b).  It had already discussed the concept contained in paragraph (a).  With respect to paragraph (b)</w:t>
      </w:r>
      <w:r>
        <w:t>,</w:t>
      </w:r>
      <w:r w:rsidRPr="0048110F">
        <w:t xml:space="preserve"> it was not convinced that the mechanisms proposed in the instrument would enhance transparency in the patent system.  In paragraph (c), it suggested inserting “erroneous” before “granting” and bracket</w:t>
      </w:r>
      <w:r w:rsidR="001C1BD4">
        <w:t>ing “erroneous” after “granting</w:t>
      </w:r>
      <w:r w:rsidRPr="0048110F">
        <w:t>”</w:t>
      </w:r>
      <w:r w:rsidR="001C1BD4">
        <w:t>.</w:t>
      </w:r>
      <w:r w:rsidRPr="0048110F">
        <w:t xml:space="preserve">  </w:t>
      </w:r>
    </w:p>
    <w:p w:rsidR="0048110F" w:rsidRDefault="0048110F" w:rsidP="0048110F">
      <w:pPr>
        <w:pStyle w:val="ListParagraph"/>
        <w:ind w:left="0"/>
      </w:pPr>
    </w:p>
    <w:p w:rsidR="00350541" w:rsidRDefault="0048110F" w:rsidP="00310121">
      <w:pPr>
        <w:pStyle w:val="ListParagraph"/>
        <w:numPr>
          <w:ilvl w:val="0"/>
          <w:numId w:val="4"/>
        </w:numPr>
        <w:ind w:left="0" w:firstLine="0"/>
      </w:pPr>
      <w:r w:rsidRPr="0048110F">
        <w:t xml:space="preserve">The Delegation of Egypt said that in the UPOV Convention, countries were obliged to protect derivatives created by plant breeders.  The IGC should also allow indigenous peoples owning GRs to protect those and their derivatives.  Derivatives should stay in the text.  </w:t>
      </w:r>
    </w:p>
    <w:p w:rsidR="00350541" w:rsidRDefault="00350541" w:rsidP="00350541"/>
    <w:p w:rsidR="00C87326" w:rsidRDefault="00350541" w:rsidP="00310121">
      <w:pPr>
        <w:pStyle w:val="ListParagraph"/>
        <w:numPr>
          <w:ilvl w:val="0"/>
          <w:numId w:val="4"/>
        </w:numPr>
        <w:ind w:left="0" w:firstLine="0"/>
      </w:pPr>
      <w:r w:rsidRPr="009731F7">
        <w:t>The Delegation of Switzerland said there was no need to include a specific article on subject matter, as the subject matter should become sufficiently clear based on the specific provisions of the instrument.  It was in f</w:t>
      </w:r>
      <w:r w:rsidR="009731F7" w:rsidRPr="009731F7">
        <w:t>avor that the instrument applied to both GRs and TK associated with GRs</w:t>
      </w:r>
      <w:r w:rsidRPr="009731F7">
        <w:t xml:space="preserve">.  It was also in favor for the focus of the instrument to be on patents.  On whether to include derivatives or not, one should clarify if all members had the same understanding, mainly the one that was contained in brackets in the list of terms.  If that was the case, it recalled that, although the Nagoya Protocol included the term “derivatives” in Article 2 on the use of terms, it did not have a single reference of that term in the operative provisions.  In order not to run counter </w:t>
      </w:r>
      <w:proofErr w:type="gramStart"/>
      <w:r w:rsidRPr="009731F7">
        <w:t>to previously found</w:t>
      </w:r>
      <w:proofErr w:type="gramEnd"/>
      <w:r w:rsidRPr="009731F7">
        <w:t xml:space="preserve"> international consensus and in order to be coherent with the Nagoya Protocol, there should be no reference to derivatives in the operative provisions of the IGC instrument.  If, for whatever reasons, the IGC decide</w:t>
      </w:r>
      <w:r w:rsidR="009731F7" w:rsidRPr="009731F7">
        <w:t>d</w:t>
      </w:r>
      <w:r w:rsidRPr="009731F7">
        <w:t xml:space="preserve"> to include the term </w:t>
      </w:r>
      <w:r w:rsidR="009731F7" w:rsidRPr="009731F7">
        <w:t>“</w:t>
      </w:r>
      <w:r w:rsidRPr="009731F7">
        <w:t>derivatives</w:t>
      </w:r>
      <w:r w:rsidR="009731F7" w:rsidRPr="009731F7">
        <w:t>”</w:t>
      </w:r>
      <w:r w:rsidRPr="009731F7">
        <w:t xml:space="preserve">, it was important to discuss the practical implications of including that term.  To do so, </w:t>
      </w:r>
      <w:r w:rsidR="009731F7" w:rsidRPr="009731F7">
        <w:t>it</w:t>
      </w:r>
      <w:r w:rsidRPr="009731F7">
        <w:t xml:space="preserve"> </w:t>
      </w:r>
      <w:proofErr w:type="gramStart"/>
      <w:r w:rsidRPr="009731F7">
        <w:t xml:space="preserve">should </w:t>
      </w:r>
      <w:r w:rsidR="009731F7" w:rsidRPr="009731F7">
        <w:t>be ke</w:t>
      </w:r>
      <w:r w:rsidRPr="009731F7">
        <w:t>p</w:t>
      </w:r>
      <w:r w:rsidR="009731F7" w:rsidRPr="009731F7">
        <w:t>t</w:t>
      </w:r>
      <w:proofErr w:type="gramEnd"/>
      <w:r w:rsidRPr="009731F7">
        <w:t xml:space="preserve"> in mind that not every biochemical compound in an invention was naturally occurring, as defined in the Nagoya Protocol.  Many biochemical compounds needed to be </w:t>
      </w:r>
      <w:proofErr w:type="gramStart"/>
      <w:r w:rsidRPr="009731F7">
        <w:t>stabilized</w:t>
      </w:r>
      <w:proofErr w:type="gramEnd"/>
      <w:r w:rsidRPr="009731F7">
        <w:t>, formulated or</w:t>
      </w:r>
      <w:r w:rsidRPr="00350541">
        <w:t xml:space="preserve"> otherwise modified in order to be included in a product such as a pharmaceutical</w:t>
      </w:r>
      <w:r w:rsidR="009731F7">
        <w:t xml:space="preserve"> product</w:t>
      </w:r>
      <w:r w:rsidRPr="00350541">
        <w:t xml:space="preserve">.  Referring to derivatives in the instrument could unnecessarily limit the subject matter to only those inventions, which still contained the naturally occurring biochemical compound.  </w:t>
      </w:r>
      <w:r w:rsidR="009731F7">
        <w:t>The inclusion of</w:t>
      </w:r>
      <w:r w:rsidRPr="00350541">
        <w:t xml:space="preserve"> </w:t>
      </w:r>
      <w:r w:rsidR="009731F7">
        <w:t>“</w:t>
      </w:r>
      <w:r w:rsidRPr="00350541">
        <w:t>derivatives</w:t>
      </w:r>
      <w:r w:rsidR="009731F7">
        <w:t>”</w:t>
      </w:r>
      <w:r w:rsidRPr="00350541">
        <w:t xml:space="preserve"> could run counter to the objectives of achieving a better protection for GRs and </w:t>
      </w:r>
      <w:r w:rsidR="009731F7">
        <w:t>associated TK</w:t>
      </w:r>
      <w:r w:rsidRPr="00350541">
        <w:t xml:space="preserve">.  The same derivative could often be found in a variety of different GRs and not unique to a single type of GR in a specific country.  Disclosing the source or origin of a derivative could certainly reduce the transparency about </w:t>
      </w:r>
      <w:r>
        <w:t>a</w:t>
      </w:r>
      <w:r w:rsidRPr="00350541">
        <w:t xml:space="preserve"> specific GR.  </w:t>
      </w:r>
      <w:r>
        <w:t>D</w:t>
      </w:r>
      <w:r w:rsidRPr="00350541">
        <w:t xml:space="preserve">erivatives </w:t>
      </w:r>
      <w:proofErr w:type="gramStart"/>
      <w:r w:rsidRPr="00350541">
        <w:t>were already sufficiently covered</w:t>
      </w:r>
      <w:proofErr w:type="gramEnd"/>
      <w:r w:rsidRPr="00350541">
        <w:t xml:space="preserve"> by referring to </w:t>
      </w:r>
      <w:r>
        <w:t>“</w:t>
      </w:r>
      <w:r w:rsidRPr="00350541">
        <w:t>i</w:t>
      </w:r>
      <w:r w:rsidR="009731F7">
        <w:t>nventions directly based on GRs</w:t>
      </w:r>
      <w:r>
        <w:t>”</w:t>
      </w:r>
      <w:r w:rsidR="009731F7">
        <w:t>.</w:t>
      </w:r>
      <w:r w:rsidRPr="00350541">
        <w:t xml:space="preserve">  It was happy to discuss that further, as those </w:t>
      </w:r>
      <w:r w:rsidR="009731F7">
        <w:t>issues were quite technical.</w:t>
      </w:r>
    </w:p>
    <w:p w:rsidR="00C87326" w:rsidRDefault="00C87326" w:rsidP="00C87326">
      <w:pPr>
        <w:pStyle w:val="ListParagraph"/>
        <w:ind w:left="0"/>
      </w:pPr>
    </w:p>
    <w:p w:rsidR="00F475BF" w:rsidRDefault="00C87326" w:rsidP="00310121">
      <w:pPr>
        <w:pStyle w:val="ListParagraph"/>
        <w:numPr>
          <w:ilvl w:val="0"/>
          <w:numId w:val="4"/>
        </w:numPr>
        <w:ind w:left="0" w:firstLine="0"/>
      </w:pPr>
      <w:r w:rsidRPr="00C87326">
        <w:t xml:space="preserve">The Delegation of Brazil </w:t>
      </w:r>
      <w:r w:rsidR="00A94B50">
        <w:t>stated that r</w:t>
      </w:r>
      <w:r w:rsidRPr="00C87326">
        <w:t xml:space="preserve">egarding the subject matter, derivatives should be in the scope of the agreement.  Brazil was </w:t>
      </w:r>
      <w:r w:rsidR="00A94B50">
        <w:t xml:space="preserve">a </w:t>
      </w:r>
      <w:r w:rsidRPr="00C87326">
        <w:t xml:space="preserve">party to the Nagoya Protocol, which gave a very clear definition of derivatives in Article 2.  It was one of the triggers of ABS requirements. </w:t>
      </w:r>
      <w:r>
        <w:t xml:space="preserve"> </w:t>
      </w:r>
      <w:r w:rsidRPr="00C87326">
        <w:t xml:space="preserve">It wished to have mutual supportiveness between the CBD, the Nagoya Protocol and the instrument </w:t>
      </w:r>
      <w:proofErr w:type="gramStart"/>
      <w:r w:rsidRPr="00C87326">
        <w:t>being negotiated</w:t>
      </w:r>
      <w:proofErr w:type="gramEnd"/>
      <w:r w:rsidRPr="00C87326">
        <w:t xml:space="preserve"> in the IGC.  The existence of an article facilitated the understanding of the scope and reach of the treaty.  It would be for the benefit of users and providers of GRs.  Regarding the definition of derivatives itself, it </w:t>
      </w:r>
      <w:proofErr w:type="gramStart"/>
      <w:r w:rsidRPr="00C87326">
        <w:t>should be discussed</w:t>
      </w:r>
      <w:proofErr w:type="gramEnd"/>
      <w:r w:rsidRPr="00C87326">
        <w:t xml:space="preserve"> at the Nagoya Protocol level where there were experts on biotechnology.  The issue of derivatives was very technical, so WIPO was </w:t>
      </w:r>
      <w:proofErr w:type="gramStart"/>
      <w:r w:rsidRPr="00C87326">
        <w:t>perhaps not</w:t>
      </w:r>
      <w:proofErr w:type="gramEnd"/>
      <w:r w:rsidRPr="00C87326">
        <w:t xml:space="preserve"> the </w:t>
      </w:r>
      <w:proofErr w:type="gramStart"/>
      <w:r w:rsidRPr="00C87326">
        <w:t>best</w:t>
      </w:r>
      <w:proofErr w:type="gramEnd"/>
      <w:r w:rsidRPr="00C87326">
        <w:t xml:space="preserve"> forum to discuss it.  </w:t>
      </w:r>
      <w:r w:rsidR="00A94B50">
        <w:t>A</w:t>
      </w:r>
      <w:r w:rsidRPr="00C87326">
        <w:t xml:space="preserve"> better way to trace and monitor the utilization of GRs throu</w:t>
      </w:r>
      <w:r w:rsidR="00A94B50">
        <w:t xml:space="preserve">gh the IP/patent system </w:t>
      </w:r>
      <w:r w:rsidR="00594311">
        <w:t>should be the focus of the discussions at WIPO</w:t>
      </w:r>
      <w:r w:rsidRPr="00C87326">
        <w:t xml:space="preserve">.    </w:t>
      </w:r>
    </w:p>
    <w:p w:rsidR="00F475BF" w:rsidRDefault="00F475BF" w:rsidP="00F475BF"/>
    <w:p w:rsidR="00F475BF" w:rsidRDefault="00F475BF" w:rsidP="00310121">
      <w:pPr>
        <w:pStyle w:val="ListParagraph"/>
        <w:numPr>
          <w:ilvl w:val="0"/>
          <w:numId w:val="4"/>
        </w:numPr>
        <w:ind w:left="0" w:firstLine="0"/>
      </w:pPr>
      <w:r w:rsidRPr="00F475BF">
        <w:t xml:space="preserve">The Delegation of Nigeria noted that the protection of GRs engaged beyond patents.  The IGC did not need to shut down other possibilities in which order IP regimes were engaged in the GRs context.  It was important to include derivatives in the text.  </w:t>
      </w:r>
    </w:p>
    <w:p w:rsidR="00F475BF" w:rsidRDefault="00F475BF" w:rsidP="00F475BF"/>
    <w:p w:rsidR="00F475BF" w:rsidRDefault="00F475BF" w:rsidP="00310121">
      <w:pPr>
        <w:pStyle w:val="ListParagraph"/>
        <w:numPr>
          <w:ilvl w:val="0"/>
          <w:numId w:val="4"/>
        </w:numPr>
        <w:ind w:left="0" w:firstLine="0"/>
      </w:pPr>
      <w:r w:rsidRPr="00F475BF">
        <w:t>The Delegation of Morocco, speaking on behalf the African Group, considered that it would be timely and essential to extend the scope to include GRs, their der</w:t>
      </w:r>
      <w:r w:rsidR="009619AA">
        <w:t xml:space="preserve">ivatives and TK associated with </w:t>
      </w:r>
      <w:r w:rsidRPr="00F475BF">
        <w:t xml:space="preserve">GRs </w:t>
      </w:r>
      <w:proofErr w:type="gramStart"/>
      <w:r w:rsidRPr="00F475BF">
        <w:t>so as to</w:t>
      </w:r>
      <w:proofErr w:type="gramEnd"/>
      <w:r w:rsidRPr="00F475BF">
        <w:t xml:space="preserve"> ensure complementarity. </w:t>
      </w:r>
    </w:p>
    <w:p w:rsidR="00F475BF" w:rsidRDefault="00F475BF" w:rsidP="00F475BF"/>
    <w:p w:rsidR="00C403BB" w:rsidRDefault="00F475BF" w:rsidP="00310121">
      <w:pPr>
        <w:pStyle w:val="ListParagraph"/>
        <w:numPr>
          <w:ilvl w:val="0"/>
          <w:numId w:val="4"/>
        </w:numPr>
        <w:ind w:left="0" w:firstLine="0"/>
      </w:pPr>
      <w:r w:rsidRPr="00F475BF">
        <w:t>The Delegation of Senegal supported the statement made by the Delegation of Nigeria.  The language should extend to the entire IP system in order not to be restrictive as</w:t>
      </w:r>
      <w:r w:rsidR="006D5CB2">
        <w:t xml:space="preserve"> to the scope of protection.</w:t>
      </w:r>
    </w:p>
    <w:p w:rsidR="00C403BB" w:rsidRDefault="00C403BB" w:rsidP="00C403BB"/>
    <w:p w:rsidR="00C403BB" w:rsidRPr="00266F89" w:rsidRDefault="00C403BB" w:rsidP="00310121">
      <w:pPr>
        <w:pStyle w:val="ListParagraph"/>
        <w:numPr>
          <w:ilvl w:val="0"/>
          <w:numId w:val="4"/>
        </w:numPr>
        <w:ind w:left="0" w:firstLine="0"/>
      </w:pPr>
      <w:r w:rsidRPr="00266F89">
        <w:t xml:space="preserve">The Delegation of Japan strongly supported </w:t>
      </w:r>
      <w:r w:rsidR="00266F89">
        <w:t>the invention</w:t>
      </w:r>
      <w:r w:rsidRPr="00266F89">
        <w:t xml:space="preserve"> made by the Delegation of the USA, especially regarding the preamble, objective and subject matter.  The term “derivative” </w:t>
      </w:r>
      <w:proofErr w:type="gramStart"/>
      <w:r w:rsidRPr="00266F89">
        <w:t>was not used</w:t>
      </w:r>
      <w:proofErr w:type="gramEnd"/>
      <w:r w:rsidRPr="00266F89">
        <w:t xml:space="preserve"> in the main provisions of the Nagoya Protocol, although its meaning was defined </w:t>
      </w:r>
      <w:r w:rsidRPr="00266F89">
        <w:lastRenderedPageBreak/>
        <w:t xml:space="preserve">therein.  That was because </w:t>
      </w:r>
      <w:r w:rsidR="00266F89">
        <w:t xml:space="preserve">the </w:t>
      </w:r>
      <w:r w:rsidRPr="00266F89">
        <w:t>parties of the CBD had been a</w:t>
      </w:r>
      <w:r w:rsidR="00266F89">
        <w:t>fraid that the term “derivative</w:t>
      </w:r>
      <w:r w:rsidRPr="00266F89">
        <w:t>”</w:t>
      </w:r>
      <w:r w:rsidR="00266F89">
        <w:t>,</w:t>
      </w:r>
      <w:r w:rsidRPr="00266F89">
        <w:t xml:space="preserve"> which was likely to be interpreted too broadly, could expand the subject matter of the </w:t>
      </w:r>
      <w:r w:rsidR="00266F89">
        <w:t xml:space="preserve">Nagoya </w:t>
      </w:r>
      <w:r w:rsidRPr="00266F89">
        <w:t xml:space="preserve">Protocol unlimitedly and eventually lead to legal uncertainty.  It requested that the term “derivative” </w:t>
      </w:r>
      <w:proofErr w:type="gramStart"/>
      <w:r w:rsidRPr="00266F89">
        <w:t>be deleted</w:t>
      </w:r>
      <w:proofErr w:type="gramEnd"/>
      <w:r w:rsidRPr="00266F89">
        <w:t xml:space="preserve"> throughout the instrument.  As a result, its definition </w:t>
      </w:r>
      <w:proofErr w:type="gramStart"/>
      <w:r w:rsidRPr="00266F89">
        <w:t>should also be removed</w:t>
      </w:r>
      <w:proofErr w:type="gramEnd"/>
      <w:r w:rsidRPr="00266F89">
        <w:t xml:space="preserve">.  </w:t>
      </w:r>
      <w:r w:rsidR="00266F89">
        <w:t>Regarding</w:t>
      </w:r>
      <w:r w:rsidRPr="00266F89">
        <w:t xml:space="preserve"> the objective, it did not see the relevanc</w:t>
      </w:r>
      <w:r w:rsidR="00266F89">
        <w:t>e of the term “misappropriation</w:t>
      </w:r>
      <w:r w:rsidRPr="00266F89">
        <w:t>” which was outside of the patent system.</w:t>
      </w:r>
    </w:p>
    <w:p w:rsidR="00C403BB" w:rsidRDefault="00C403BB" w:rsidP="00C403BB"/>
    <w:p w:rsidR="007F742B" w:rsidRDefault="00C403BB" w:rsidP="00310121">
      <w:pPr>
        <w:pStyle w:val="ListParagraph"/>
        <w:numPr>
          <w:ilvl w:val="0"/>
          <w:numId w:val="4"/>
        </w:numPr>
        <w:ind w:left="0" w:firstLine="0"/>
      </w:pPr>
      <w:r w:rsidRPr="00C403BB">
        <w:t xml:space="preserve">The Delegation of India said that the CBD and the Nagoya Protocol related to IP and were not restricted to patents.  Derivatives should be part of the instrument, in line with the Nagoya Protocol.    </w:t>
      </w:r>
    </w:p>
    <w:p w:rsidR="007F742B" w:rsidRDefault="007F742B" w:rsidP="007F742B"/>
    <w:p w:rsidR="00716055" w:rsidRDefault="007F742B" w:rsidP="00310121">
      <w:pPr>
        <w:pStyle w:val="ListParagraph"/>
        <w:numPr>
          <w:ilvl w:val="0"/>
          <w:numId w:val="4"/>
        </w:numPr>
        <w:ind w:left="0" w:firstLine="0"/>
      </w:pPr>
      <w:r w:rsidRPr="007F742B">
        <w:t>The Delegation of Indonesia, speaking on behalf of the LMCs, preferred that the su</w:t>
      </w:r>
      <w:r w:rsidR="006762B4">
        <w:t>bject matter of instrument applied</w:t>
      </w:r>
      <w:r w:rsidRPr="007F742B">
        <w:t xml:space="preserve"> to the IP system.  The term “derivative” was an important element in the subject matter of the instrument.  It took note of the explanation by the Delegation of Switzerland and understood that the term </w:t>
      </w:r>
      <w:proofErr w:type="gramStart"/>
      <w:r w:rsidRPr="007F742B">
        <w:t>was not used</w:t>
      </w:r>
      <w:proofErr w:type="gramEnd"/>
      <w:r w:rsidRPr="007F742B">
        <w:t xml:space="preserve"> in the operative text of the Nagoya Protocol but it was </w:t>
      </w:r>
      <w:r>
        <w:t>linked</w:t>
      </w:r>
      <w:r w:rsidR="006762B4">
        <w:t xml:space="preserve"> to the term “utilization</w:t>
      </w:r>
      <w:r w:rsidRPr="007F742B">
        <w:t>”</w:t>
      </w:r>
      <w:r w:rsidR="006762B4">
        <w:t>,</w:t>
      </w:r>
      <w:r w:rsidRPr="007F742B">
        <w:t xml:space="preserve"> which was used directly or indirectly in many provisions.  It wished to see the term “derivatives” still reflected in the subject matter.  It also strongly supported </w:t>
      </w:r>
      <w:r w:rsidR="006762B4">
        <w:t>the inclusion of</w:t>
      </w:r>
      <w:r w:rsidRPr="007F742B">
        <w:t xml:space="preserve"> TK</w:t>
      </w:r>
      <w:r w:rsidR="006762B4">
        <w:t xml:space="preserve"> </w:t>
      </w:r>
      <w:r w:rsidRPr="007F742B">
        <w:t>a</w:t>
      </w:r>
      <w:r w:rsidR="006762B4">
        <w:t xml:space="preserve">ssociated with </w:t>
      </w:r>
      <w:r w:rsidRPr="007F742B">
        <w:t xml:space="preserve">GRs, because of the utmost need to preserve the rights of </w:t>
      </w:r>
      <w:r w:rsidR="006762B4">
        <w:t>IPLCs</w:t>
      </w:r>
      <w:r w:rsidRPr="007F742B">
        <w:t xml:space="preserve">.    </w:t>
      </w:r>
    </w:p>
    <w:p w:rsidR="00716055" w:rsidRDefault="00716055" w:rsidP="00716055"/>
    <w:p w:rsidR="00F25D0C" w:rsidRDefault="00716055" w:rsidP="00310121">
      <w:pPr>
        <w:pStyle w:val="ListParagraph"/>
        <w:numPr>
          <w:ilvl w:val="0"/>
          <w:numId w:val="4"/>
        </w:numPr>
        <w:ind w:left="0" w:firstLine="0"/>
      </w:pPr>
      <w:r w:rsidRPr="00716055">
        <w:t xml:space="preserve">The Delegation of El Salvador said that the relationship to GRs was more obvious in the field of patents.  However, it did </w:t>
      </w:r>
      <w:r>
        <w:t xml:space="preserve">not </w:t>
      </w:r>
      <w:r w:rsidRPr="00716055">
        <w:t xml:space="preserve">want </w:t>
      </w:r>
      <w:proofErr w:type="gramStart"/>
      <w:r w:rsidRPr="00716055">
        <w:t>to absolutely rule</w:t>
      </w:r>
      <w:proofErr w:type="gramEnd"/>
      <w:r w:rsidRPr="00716055">
        <w:t xml:space="preserve"> out the possibility that it might apply to other forms of IP.  To overcome that problem, patents</w:t>
      </w:r>
      <w:r w:rsidR="003371FF">
        <w:t xml:space="preserve"> </w:t>
      </w:r>
      <w:proofErr w:type="gramStart"/>
      <w:r w:rsidR="003371FF">
        <w:t>could be defined</w:t>
      </w:r>
      <w:proofErr w:type="gramEnd"/>
      <w:r w:rsidRPr="00716055">
        <w:t xml:space="preserve"> in the text and the preamble or somewhere </w:t>
      </w:r>
      <w:r w:rsidR="003371FF">
        <w:t>could</w:t>
      </w:r>
      <w:r w:rsidRPr="00716055">
        <w:t xml:space="preserve"> </w:t>
      </w:r>
      <w:r>
        <w:t>clarify</w:t>
      </w:r>
      <w:r w:rsidRPr="00716055">
        <w:t xml:space="preserve"> that, in those cases where it applied to another form of IP, patents would apply to those other IP forms.  A clarification of that type might open the way forward and would cover the concerns expressed by some delegations.    </w:t>
      </w:r>
    </w:p>
    <w:p w:rsidR="00F25D0C" w:rsidRDefault="00F25D0C" w:rsidP="00F25D0C"/>
    <w:p w:rsidR="00F255F3" w:rsidRDefault="00F25D0C" w:rsidP="00310121">
      <w:pPr>
        <w:pStyle w:val="ListParagraph"/>
        <w:numPr>
          <w:ilvl w:val="0"/>
          <w:numId w:val="4"/>
        </w:numPr>
        <w:ind w:left="0" w:firstLine="0"/>
      </w:pPr>
      <w:r w:rsidRPr="00F35478">
        <w:t>The Delegation of the Islamic Republic of Iran said that</w:t>
      </w:r>
      <w:r>
        <w:t xml:space="preserve"> </w:t>
      </w:r>
      <w:r w:rsidRPr="00F35478">
        <w:t xml:space="preserve">everyone </w:t>
      </w:r>
      <w:r>
        <w:t>was</w:t>
      </w:r>
      <w:r w:rsidRPr="00F35478">
        <w:t xml:space="preserve"> trying to reiterate </w:t>
      </w:r>
      <w:r>
        <w:t>its long</w:t>
      </w:r>
      <w:r>
        <w:noBreakHyphen/>
        <w:t>standing position,</w:t>
      </w:r>
      <w:r w:rsidRPr="00F35478">
        <w:t xml:space="preserve"> which </w:t>
      </w:r>
      <w:r>
        <w:t xml:space="preserve">was not </w:t>
      </w:r>
      <w:r w:rsidRPr="00F35478">
        <w:t>help</w:t>
      </w:r>
      <w:r w:rsidR="00BD3D77">
        <w:t>ing</w:t>
      </w:r>
      <w:r w:rsidRPr="00F35478">
        <w:t xml:space="preserve"> much.  I</w:t>
      </w:r>
      <w:r>
        <w:t xml:space="preserve">t said that the </w:t>
      </w:r>
      <w:r w:rsidRPr="00F35478">
        <w:t xml:space="preserve">exercise </w:t>
      </w:r>
      <w:proofErr w:type="gramStart"/>
      <w:r w:rsidRPr="00F35478">
        <w:t>with regards to</w:t>
      </w:r>
      <w:proofErr w:type="gramEnd"/>
      <w:r w:rsidRPr="00F35478">
        <w:t xml:space="preserve"> the objectives </w:t>
      </w:r>
      <w:r>
        <w:t>could be applied to the other a</w:t>
      </w:r>
      <w:r w:rsidR="00BD3D77">
        <w:t xml:space="preserve">rticles.  </w:t>
      </w:r>
      <w:r w:rsidRPr="00F35478">
        <w:t>While</w:t>
      </w:r>
      <w:r>
        <w:t xml:space="preserve"> respecting </w:t>
      </w:r>
      <w:r w:rsidR="00DE0C35">
        <w:t>each other’</w:t>
      </w:r>
      <w:r w:rsidRPr="00F35478">
        <w:t>s position</w:t>
      </w:r>
      <w:r>
        <w:t xml:space="preserve">, the IGC </w:t>
      </w:r>
      <w:r w:rsidRPr="00F35478">
        <w:t>really need</w:t>
      </w:r>
      <w:r>
        <w:t>ed</w:t>
      </w:r>
      <w:r w:rsidRPr="00F35478">
        <w:t xml:space="preserve"> to come up with a better text to make </w:t>
      </w:r>
      <w:r>
        <w:t>any progress.  That</w:t>
      </w:r>
      <w:r w:rsidRPr="00F35478">
        <w:t xml:space="preserve"> could only happen </w:t>
      </w:r>
      <w:r w:rsidR="00BD3D77">
        <w:t>if</w:t>
      </w:r>
      <w:r w:rsidRPr="00F35478">
        <w:t xml:space="preserve"> </w:t>
      </w:r>
      <w:r>
        <w:t>delegations were</w:t>
      </w:r>
      <w:r w:rsidR="00BD3D77">
        <w:t xml:space="preserve"> to</w:t>
      </w:r>
      <w:r>
        <w:t xml:space="preserve"> </w:t>
      </w:r>
      <w:r w:rsidRPr="00F35478">
        <w:t>respect and recogniz</w:t>
      </w:r>
      <w:r w:rsidR="00BD3D77">
        <w:t>e</w:t>
      </w:r>
      <w:r w:rsidR="00DE0C35">
        <w:t xml:space="preserve"> each other’</w:t>
      </w:r>
      <w:r w:rsidRPr="00F35478">
        <w:t xml:space="preserve">s position.  </w:t>
      </w:r>
      <w:proofErr w:type="gramStart"/>
      <w:r w:rsidRPr="00F35478">
        <w:t>Otherwise</w:t>
      </w:r>
      <w:proofErr w:type="gramEnd"/>
      <w:r w:rsidRPr="00F35478">
        <w:t xml:space="preserve"> it </w:t>
      </w:r>
      <w:r>
        <w:t>would</w:t>
      </w:r>
      <w:r w:rsidRPr="00F35478">
        <w:t xml:space="preserve"> be very difficult to ask a party to withdraw from one key position </w:t>
      </w:r>
      <w:r>
        <w:t>to improve the text</w:t>
      </w:r>
      <w:r w:rsidRPr="00F35478">
        <w:t xml:space="preserve">.  </w:t>
      </w:r>
      <w:r>
        <w:t>The IGC still had</w:t>
      </w:r>
      <w:r w:rsidRPr="00F35478">
        <w:t xml:space="preserve"> the opportunity </w:t>
      </w:r>
      <w:r>
        <w:t>to develop a</w:t>
      </w:r>
      <w:r w:rsidRPr="00F35478">
        <w:t xml:space="preserve"> more balance</w:t>
      </w:r>
      <w:r>
        <w:t>d</w:t>
      </w:r>
      <w:r w:rsidRPr="00F35478">
        <w:t xml:space="preserve"> and inclusive text.  </w:t>
      </w:r>
      <w:r>
        <w:t>Other</w:t>
      </w:r>
      <w:r w:rsidRPr="00F35478">
        <w:t xml:space="preserve"> international instruments such as </w:t>
      </w:r>
      <w:r>
        <w:t xml:space="preserve">the </w:t>
      </w:r>
      <w:r w:rsidRPr="00F35478">
        <w:t xml:space="preserve">CBD, </w:t>
      </w:r>
      <w:r>
        <w:t xml:space="preserve">the </w:t>
      </w:r>
      <w:r w:rsidRPr="00F35478">
        <w:t>Nagoya</w:t>
      </w:r>
      <w:r>
        <w:t xml:space="preserve"> Protocol</w:t>
      </w:r>
      <w:r w:rsidRPr="00F35478">
        <w:t xml:space="preserve"> or </w:t>
      </w:r>
      <w:r>
        <w:t xml:space="preserve">the FAO </w:t>
      </w:r>
      <w:hyperlink r:id="rId12" w:tgtFrame="_blank" w:history="1">
        <w:r w:rsidRPr="00C742C7">
          <w:t>International Treaty on Plant Genetic Resources for Food and Agriculture</w:t>
        </w:r>
      </w:hyperlink>
      <w:r>
        <w:t xml:space="preserve"> </w:t>
      </w:r>
      <w:r w:rsidR="00DE0C35">
        <w:t>(“ITPGR”</w:t>
      </w:r>
      <w:r w:rsidR="00874FD7">
        <w:t xml:space="preserve">) </w:t>
      </w:r>
      <w:r>
        <w:t xml:space="preserve">dealt with ABS </w:t>
      </w:r>
      <w:r w:rsidRPr="00F35478">
        <w:t xml:space="preserve">issues.  </w:t>
      </w:r>
      <w:r>
        <w:t xml:space="preserve">The IGC </w:t>
      </w:r>
      <w:r w:rsidR="00BD3D77">
        <w:t xml:space="preserve">dealt </w:t>
      </w:r>
      <w:r w:rsidRPr="00F35478">
        <w:t xml:space="preserve">with IP </w:t>
      </w:r>
      <w:r>
        <w:t xml:space="preserve">and had to </w:t>
      </w:r>
      <w:r w:rsidRPr="00F35478">
        <w:t>clarify those issues relat</w:t>
      </w:r>
      <w:r>
        <w:t>ing</w:t>
      </w:r>
      <w:r w:rsidRPr="00F35478">
        <w:t xml:space="preserve"> to IP</w:t>
      </w:r>
      <w:r>
        <w:t>.</w:t>
      </w:r>
      <w:r w:rsidRPr="00F35478">
        <w:t xml:space="preserve">  As pointed out by the Delegation of India, those instru</w:t>
      </w:r>
      <w:r>
        <w:t xml:space="preserve">ments were </w:t>
      </w:r>
      <w:r w:rsidRPr="00F35478">
        <w:t xml:space="preserve">referring to IP in general. </w:t>
      </w:r>
      <w:r>
        <w:t xml:space="preserve"> </w:t>
      </w:r>
      <w:r w:rsidR="00BD3D77">
        <w:t>The IGC instrument</w:t>
      </w:r>
      <w:r>
        <w:t xml:space="preserve"> </w:t>
      </w:r>
      <w:r w:rsidR="00BD3D77">
        <w:t>would</w:t>
      </w:r>
      <w:r w:rsidRPr="00F35478">
        <w:t xml:space="preserve"> set out the provisions </w:t>
      </w:r>
      <w:proofErr w:type="gramStart"/>
      <w:r w:rsidRPr="00F35478">
        <w:t>with regards to</w:t>
      </w:r>
      <w:proofErr w:type="gramEnd"/>
      <w:r w:rsidRPr="00F35478">
        <w:t xml:space="preserve"> IP and there </w:t>
      </w:r>
      <w:r>
        <w:t xml:space="preserve">was a need </w:t>
      </w:r>
      <w:r w:rsidRPr="00F35478">
        <w:t xml:space="preserve">to come up with the details required for </w:t>
      </w:r>
      <w:r>
        <w:t>that</w:t>
      </w:r>
      <w:r w:rsidRPr="00F35478">
        <w:t xml:space="preserve"> discussion. </w:t>
      </w:r>
      <w:r w:rsidR="00BD3D77">
        <w:t xml:space="preserve"> </w:t>
      </w:r>
      <w:r>
        <w:t>It wished</w:t>
      </w:r>
      <w:r w:rsidRPr="00F35478">
        <w:t xml:space="preserve"> to see the more recent instrument clearer</w:t>
      </w:r>
      <w:r>
        <w:t xml:space="preserve">, more up to date and to </w:t>
      </w:r>
      <w:r w:rsidRPr="00F35478">
        <w:t xml:space="preserve">provide solutions for </w:t>
      </w:r>
      <w:r>
        <w:t>out</w:t>
      </w:r>
      <w:r w:rsidRPr="00F35478">
        <w:t xml:space="preserve">standing issues.  </w:t>
      </w:r>
      <w:r>
        <w:t>As to</w:t>
      </w:r>
      <w:r w:rsidRPr="00F35478">
        <w:t xml:space="preserve"> derivatives</w:t>
      </w:r>
      <w:r>
        <w:t xml:space="preserve">, the IGC should not </w:t>
      </w:r>
      <w:r w:rsidR="00BD3D77">
        <w:t>engage</w:t>
      </w:r>
      <w:r w:rsidRPr="00F35478">
        <w:t xml:space="preserve"> on the different aspects.  </w:t>
      </w:r>
      <w:r>
        <w:t>The</w:t>
      </w:r>
      <w:r w:rsidRPr="00F35478">
        <w:t xml:space="preserve"> commercialization o</w:t>
      </w:r>
      <w:r>
        <w:t>f specific</w:t>
      </w:r>
      <w:r w:rsidRPr="00F35478">
        <w:t xml:space="preserve"> chemical</w:t>
      </w:r>
      <w:r>
        <w:t>s</w:t>
      </w:r>
      <w:r w:rsidRPr="00F35478">
        <w:t xml:space="preserve"> and pharmaceuticals </w:t>
      </w:r>
      <w:r>
        <w:t>was</w:t>
      </w:r>
      <w:r w:rsidRPr="00F35478">
        <w:t xml:space="preserve"> not really dealing with the GRs</w:t>
      </w:r>
      <w:r>
        <w:t xml:space="preserve"> themselves, not </w:t>
      </w:r>
      <w:r w:rsidRPr="00F35478">
        <w:t>with material with functional units of hereditary</w:t>
      </w:r>
      <w:r>
        <w:t>,</w:t>
      </w:r>
      <w:r w:rsidRPr="00F35478">
        <w:t xml:space="preserve"> but rather with the metabolites and biochemical compounds contained in those GRs.  </w:t>
      </w:r>
      <w:r>
        <w:t xml:space="preserve">The IGC could not </w:t>
      </w:r>
      <w:r w:rsidRPr="00F35478">
        <w:t xml:space="preserve">restrict </w:t>
      </w:r>
      <w:r>
        <w:t xml:space="preserve">itself </w:t>
      </w:r>
      <w:r w:rsidR="00BD3D77">
        <w:t>to</w:t>
      </w:r>
      <w:r>
        <w:t xml:space="preserve"> addressing IP issues related to </w:t>
      </w:r>
      <w:r w:rsidRPr="00F35478">
        <w:t xml:space="preserve">GRs.  </w:t>
      </w:r>
      <w:r>
        <w:t xml:space="preserve">The IGC needed </w:t>
      </w:r>
      <w:r w:rsidRPr="00F35478">
        <w:t xml:space="preserve">to provide solutions for </w:t>
      </w:r>
      <w:r>
        <w:t xml:space="preserve">the </w:t>
      </w:r>
      <w:r w:rsidR="00B83A0C">
        <w:t>IP </w:t>
      </w:r>
      <w:r>
        <w:t xml:space="preserve">protection </w:t>
      </w:r>
      <w:r w:rsidRPr="00F35478">
        <w:t xml:space="preserve">of </w:t>
      </w:r>
      <w:r w:rsidR="00BD3D77">
        <w:t xml:space="preserve">derivatives as well.  </w:t>
      </w:r>
      <w:r>
        <w:t>W</w:t>
      </w:r>
      <w:r w:rsidRPr="00F35478">
        <w:t xml:space="preserve">hen it </w:t>
      </w:r>
      <w:r>
        <w:t>came</w:t>
      </w:r>
      <w:r w:rsidRPr="00F35478">
        <w:t xml:space="preserve"> to the IP </w:t>
      </w:r>
      <w:r>
        <w:t>versus</w:t>
      </w:r>
      <w:r w:rsidRPr="00F35478">
        <w:t xml:space="preserve"> patent</w:t>
      </w:r>
      <w:r>
        <w:t xml:space="preserve"> system</w:t>
      </w:r>
      <w:r w:rsidRPr="00F35478">
        <w:t>, patent</w:t>
      </w:r>
      <w:r>
        <w:t>s</w:t>
      </w:r>
      <w:r w:rsidRPr="00F35478">
        <w:t xml:space="preserve"> did not refer to </w:t>
      </w:r>
      <w:r>
        <w:t xml:space="preserve">all </w:t>
      </w:r>
      <w:r w:rsidRPr="00F35478">
        <w:t xml:space="preserve">IP issues </w:t>
      </w:r>
      <w:r>
        <w:t>affecting</w:t>
      </w:r>
      <w:r w:rsidRPr="00F35478">
        <w:t xml:space="preserve"> GRs</w:t>
      </w:r>
      <w:r w:rsidR="00BD3D77">
        <w:t>.  S</w:t>
      </w:r>
      <w:r w:rsidRPr="00F35478">
        <w:t>pecifically</w:t>
      </w:r>
      <w:r>
        <w:t>,</w:t>
      </w:r>
      <w:r w:rsidRPr="00F35478">
        <w:t xml:space="preserve"> plant GRs </w:t>
      </w:r>
      <w:proofErr w:type="gramStart"/>
      <w:r>
        <w:t>were</w:t>
      </w:r>
      <w:r w:rsidRPr="00F35478">
        <w:t xml:space="preserve"> generally </w:t>
      </w:r>
      <w:r>
        <w:t>governed</w:t>
      </w:r>
      <w:proofErr w:type="gramEnd"/>
      <w:r w:rsidRPr="00F35478">
        <w:t xml:space="preserve"> by </w:t>
      </w:r>
      <w:r>
        <w:t>plant breeding right</w:t>
      </w:r>
      <w:r w:rsidRPr="00F35478">
        <w:t>s</w:t>
      </w:r>
      <w:r>
        <w:t xml:space="preserve">, also a form of </w:t>
      </w:r>
      <w:r w:rsidRPr="00F35478">
        <w:t>IP.  It was not in a position to exclude a major chunk of agricultural GRs</w:t>
      </w:r>
      <w:r>
        <w:t xml:space="preserve"> </w:t>
      </w:r>
      <w:r w:rsidRPr="00F35478">
        <w:t xml:space="preserve">from </w:t>
      </w:r>
      <w:r>
        <w:t>the</w:t>
      </w:r>
      <w:r w:rsidRPr="00F35478">
        <w:t xml:space="preserve"> instrument. </w:t>
      </w:r>
      <w:r>
        <w:t xml:space="preserve"> </w:t>
      </w:r>
      <w:r w:rsidRPr="00F35478">
        <w:t>Those</w:t>
      </w:r>
      <w:r>
        <w:t xml:space="preserve"> were major </w:t>
      </w:r>
      <w:r w:rsidRPr="00F35478">
        <w:t>IP</w:t>
      </w:r>
      <w:r>
        <w:t xml:space="preserve"> issues that needed also to </w:t>
      </w:r>
      <w:proofErr w:type="gramStart"/>
      <w:r>
        <w:t>be addressed</w:t>
      </w:r>
      <w:proofErr w:type="gramEnd"/>
      <w:r>
        <w:t xml:space="preserve">, </w:t>
      </w:r>
      <w:r w:rsidRPr="00F35478">
        <w:t xml:space="preserve">although they </w:t>
      </w:r>
      <w:r>
        <w:t>were</w:t>
      </w:r>
      <w:r w:rsidRPr="00F35478">
        <w:t xml:space="preserve"> not generally </w:t>
      </w:r>
      <w:r>
        <w:t>governed</w:t>
      </w:r>
      <w:r w:rsidRPr="00F35478">
        <w:t xml:space="preserve"> by patent</w:t>
      </w:r>
      <w:r>
        <w:t>s</w:t>
      </w:r>
      <w:r w:rsidRPr="00F35478">
        <w:t xml:space="preserve"> but rather </w:t>
      </w:r>
      <w:r>
        <w:t>by</w:t>
      </w:r>
      <w:r w:rsidRPr="00F35478">
        <w:t xml:space="preserve"> </w:t>
      </w:r>
      <w:r w:rsidRPr="00F25D0C">
        <w:rPr>
          <w:i/>
        </w:rPr>
        <w:t>sui generis</w:t>
      </w:r>
      <w:r w:rsidRPr="00F35478">
        <w:t xml:space="preserve"> system</w:t>
      </w:r>
      <w:r>
        <w:t>s</w:t>
      </w:r>
      <w:r w:rsidRPr="00F35478">
        <w:t xml:space="preserve"> or plant breeding system</w:t>
      </w:r>
      <w:r w:rsidR="00BD3D77">
        <w:t>s</w:t>
      </w:r>
      <w:r w:rsidRPr="00F35478">
        <w:t xml:space="preserve">.    </w:t>
      </w:r>
    </w:p>
    <w:p w:rsidR="00F255F3" w:rsidRDefault="00F255F3" w:rsidP="00F255F3">
      <w:pPr>
        <w:pStyle w:val="ListParagraph"/>
        <w:ind w:left="0"/>
      </w:pPr>
    </w:p>
    <w:p w:rsidR="00F255F3" w:rsidRDefault="00F255F3" w:rsidP="00310121">
      <w:pPr>
        <w:pStyle w:val="ListParagraph"/>
        <w:numPr>
          <w:ilvl w:val="0"/>
          <w:numId w:val="4"/>
        </w:numPr>
        <w:ind w:left="0" w:firstLine="0"/>
      </w:pPr>
      <w:r w:rsidRPr="00F255F3">
        <w:t xml:space="preserve">The Delegation of </w:t>
      </w:r>
      <w:r w:rsidR="006E31C3">
        <w:t xml:space="preserve">the Plurinational State of </w:t>
      </w:r>
      <w:r w:rsidRPr="00F255F3">
        <w:t xml:space="preserve">Bolivia supported </w:t>
      </w:r>
      <w:r w:rsidR="000D7942">
        <w:t>the inclusion of the term “derivatives</w:t>
      </w:r>
      <w:r w:rsidRPr="00F255F3">
        <w:t>”</w:t>
      </w:r>
      <w:r w:rsidR="000D7942">
        <w:t>.</w:t>
      </w:r>
      <w:r w:rsidRPr="00F255F3">
        <w:t xml:space="preserve">  The subject of derivatives in </w:t>
      </w:r>
      <w:r w:rsidR="000D7942">
        <w:t xml:space="preserve">the Plurinational State of </w:t>
      </w:r>
      <w:r w:rsidRPr="00F255F3">
        <w:t xml:space="preserve">Bolivia involved the primary and secondary metabolites found in the medicinal plants of indigenous communities. </w:t>
      </w:r>
    </w:p>
    <w:p w:rsidR="00F255F3" w:rsidRDefault="00F255F3" w:rsidP="00F255F3"/>
    <w:p w:rsidR="009A60E0" w:rsidRDefault="00F255F3" w:rsidP="00310121">
      <w:pPr>
        <w:pStyle w:val="ListParagraph"/>
        <w:numPr>
          <w:ilvl w:val="0"/>
          <w:numId w:val="4"/>
        </w:numPr>
        <w:ind w:left="0" w:firstLine="0"/>
      </w:pPr>
      <w:r w:rsidRPr="00F255F3">
        <w:t xml:space="preserve">The Delegation of the Republic of Korea said that Member States had not reached a common understanding </w:t>
      </w:r>
      <w:r>
        <w:t>of</w:t>
      </w:r>
      <w:r w:rsidRPr="00F255F3">
        <w:t xml:space="preserve"> the clear scope and definition of derivatives, which were so unclear that the applicants or examiners might be confused when filing patent applications. </w:t>
      </w:r>
      <w:r>
        <w:t xml:space="preserve"> </w:t>
      </w:r>
      <w:r w:rsidRPr="00F255F3">
        <w:t xml:space="preserve">It wished to remove derivatives from the text. </w:t>
      </w:r>
      <w:r>
        <w:t xml:space="preserve"> </w:t>
      </w:r>
      <w:r w:rsidRPr="00F255F3">
        <w:t>With regard to pate</w:t>
      </w:r>
      <w:r w:rsidR="0017791E">
        <w:t xml:space="preserve">nt versus IP system, GRs and TK associated with </w:t>
      </w:r>
      <w:r w:rsidRPr="00F255F3">
        <w:t xml:space="preserve">GRs </w:t>
      </w:r>
      <w:proofErr w:type="gramStart"/>
      <w:r w:rsidRPr="00F255F3">
        <w:t>were much more related</w:t>
      </w:r>
      <w:proofErr w:type="gramEnd"/>
      <w:r w:rsidRPr="00F255F3">
        <w:t xml:space="preserve"> to patent</w:t>
      </w:r>
      <w:r>
        <w:t>s</w:t>
      </w:r>
      <w:r w:rsidRPr="00F255F3">
        <w:t xml:space="preserve"> than to other IP rig</w:t>
      </w:r>
      <w:r w:rsidR="0017791E">
        <w:t>hts such as trademarks, designs</w:t>
      </w:r>
      <w:r w:rsidRPr="00F255F3">
        <w:t xml:space="preserve"> and copyright. </w:t>
      </w:r>
      <w:r>
        <w:t xml:space="preserve"> </w:t>
      </w:r>
      <w:r w:rsidRPr="00F255F3">
        <w:t xml:space="preserve">The subject matter should be limited to the patent system. </w:t>
      </w:r>
      <w:r>
        <w:t xml:space="preserve"> </w:t>
      </w:r>
      <w:r w:rsidRPr="00F255F3">
        <w:t xml:space="preserve">It wished to keep Article 2 in the text. </w:t>
      </w:r>
      <w:r>
        <w:t xml:space="preserve"> </w:t>
      </w:r>
      <w:r w:rsidRPr="00F255F3">
        <w:t xml:space="preserve">The scope of subject matter </w:t>
      </w:r>
      <w:proofErr w:type="gramStart"/>
      <w:r w:rsidRPr="00F255F3">
        <w:t>should be clearly defined</w:t>
      </w:r>
      <w:proofErr w:type="gramEnd"/>
      <w:r w:rsidRPr="00F255F3">
        <w:t xml:space="preserve"> to minimize confusion in implementing the instrument. </w:t>
      </w:r>
    </w:p>
    <w:p w:rsidR="009A60E0" w:rsidRDefault="009A60E0" w:rsidP="009A60E0"/>
    <w:p w:rsidR="009A60E0" w:rsidRDefault="009A60E0" w:rsidP="00310121">
      <w:pPr>
        <w:pStyle w:val="ListParagraph"/>
        <w:numPr>
          <w:ilvl w:val="0"/>
          <w:numId w:val="4"/>
        </w:numPr>
        <w:ind w:left="0" w:firstLine="0"/>
      </w:pPr>
      <w:r w:rsidRPr="009A60E0">
        <w:t xml:space="preserve">The Delegation of Colombia said that the IGC should include a section on unresolved issues, where the definition of derivatives </w:t>
      </w:r>
      <w:proofErr w:type="gramStart"/>
      <w:r w:rsidRPr="009A60E0">
        <w:t>could be placed, to be discussed</w:t>
      </w:r>
      <w:proofErr w:type="gramEnd"/>
      <w:r w:rsidRPr="009A60E0">
        <w:t xml:space="preserve"> once a discussion had already taken place elsewhere on that issue.  That term was in the Nagoya Protocol and its inclusion made it operative throughout the instrument.  It had been included as a definition because it </w:t>
      </w:r>
      <w:proofErr w:type="gramStart"/>
      <w:r w:rsidRPr="009A60E0">
        <w:t>had been recognized</w:t>
      </w:r>
      <w:proofErr w:type="gramEnd"/>
      <w:r w:rsidRPr="009A60E0">
        <w:t xml:space="preserve"> as an element different from GRs. </w:t>
      </w:r>
      <w:r>
        <w:t xml:space="preserve"> </w:t>
      </w:r>
      <w:r w:rsidRPr="009A60E0">
        <w:t xml:space="preserve">The IGC should not discuss </w:t>
      </w:r>
      <w:r>
        <w:t xml:space="preserve">technical </w:t>
      </w:r>
      <w:r w:rsidRPr="009A60E0">
        <w:t xml:space="preserve">issues already </w:t>
      </w:r>
      <w:r>
        <w:t>resolved</w:t>
      </w:r>
      <w:r w:rsidRPr="009A60E0">
        <w:t xml:space="preserve"> in other instruments. </w:t>
      </w:r>
      <w:r w:rsidR="00467A6B">
        <w:t xml:space="preserve"> The instrument should cover TK associated with </w:t>
      </w:r>
      <w:r w:rsidRPr="009A60E0">
        <w:t>GRs.  Based on experiences in various countries the scope need</w:t>
      </w:r>
      <w:r w:rsidR="00467A6B">
        <w:t>ed</w:t>
      </w:r>
      <w:r w:rsidRPr="009A60E0">
        <w:t xml:space="preserve"> to include all IP rights.  </w:t>
      </w:r>
    </w:p>
    <w:p w:rsidR="009A60E0" w:rsidRDefault="009A60E0" w:rsidP="009A60E0"/>
    <w:p w:rsidR="009A60E0" w:rsidRDefault="009A60E0" w:rsidP="00310121">
      <w:pPr>
        <w:pStyle w:val="ListParagraph"/>
        <w:numPr>
          <w:ilvl w:val="0"/>
          <w:numId w:val="4"/>
        </w:numPr>
        <w:ind w:left="0" w:firstLine="0"/>
      </w:pPr>
      <w:r w:rsidRPr="009A60E0">
        <w:t xml:space="preserve">The Delegation of Brazil clarified its earlier intervention.  It cautioned against redefining derivatives at WIPO.  There was a definition under the Nagoya Protocol and it </w:t>
      </w:r>
      <w:proofErr w:type="gramStart"/>
      <w:r w:rsidRPr="009A60E0">
        <w:t>should not be changed</w:t>
      </w:r>
      <w:proofErr w:type="gramEnd"/>
      <w:r w:rsidRPr="009A60E0">
        <w:t xml:space="preserve">.  </w:t>
      </w:r>
      <w:r>
        <w:t>Concerning</w:t>
      </w:r>
      <w:r w:rsidRPr="009A60E0">
        <w:t xml:space="preserve"> the inclusion or not of the derivatives in the operative parts of the Nagoya Protocol, it agreed with the statement by the Delegation of Colombia. </w:t>
      </w:r>
      <w:r>
        <w:t xml:space="preserve"> </w:t>
      </w:r>
      <w:r w:rsidRPr="009A60E0">
        <w:t xml:space="preserve">Article 2(c) stated that utilization of GRs included the application of biotechnology, </w:t>
      </w:r>
      <w:r>
        <w:t>thus</w:t>
      </w:r>
      <w:r w:rsidRPr="009A60E0">
        <w:t xml:space="preserve"> of derivatives.  T</w:t>
      </w:r>
      <w:r>
        <w:t>he term</w:t>
      </w:r>
      <w:r w:rsidRPr="009A60E0">
        <w:t xml:space="preserve"> “utilization” of GRs in Articles 5, 6, 17 and so on was a rather economical way of </w:t>
      </w:r>
      <w:proofErr w:type="gramStart"/>
      <w:r w:rsidRPr="009A60E0">
        <w:t>progressing</w:t>
      </w:r>
      <w:proofErr w:type="gramEnd"/>
      <w:r w:rsidRPr="009A60E0">
        <w:t xml:space="preserve"> the discussion of the text in the Nagoya Protocol. </w:t>
      </w:r>
      <w:r>
        <w:t xml:space="preserve"> </w:t>
      </w:r>
      <w:r w:rsidRPr="009A60E0">
        <w:t xml:space="preserve">There was no need to refer everywhere to derivatives. </w:t>
      </w:r>
      <w:r>
        <w:t xml:space="preserve"> D</w:t>
      </w:r>
      <w:r w:rsidRPr="009A60E0">
        <w:t xml:space="preserve">erivatives were under the scope of the Nagoya Protocol throughout the text.    </w:t>
      </w:r>
    </w:p>
    <w:p w:rsidR="009A60E0" w:rsidRDefault="009A60E0" w:rsidP="009A60E0"/>
    <w:p w:rsidR="00077484" w:rsidRDefault="009A60E0" w:rsidP="00310121">
      <w:pPr>
        <w:pStyle w:val="ListParagraph"/>
        <w:numPr>
          <w:ilvl w:val="0"/>
          <w:numId w:val="4"/>
        </w:numPr>
        <w:ind w:left="0" w:firstLine="0"/>
      </w:pPr>
      <w:r w:rsidRPr="009A60E0">
        <w:t xml:space="preserve">The Delegation of Australia said that </w:t>
      </w:r>
      <w:r>
        <w:t xml:space="preserve">it was most suitable for the instrument to </w:t>
      </w:r>
      <w:r w:rsidRPr="009A60E0">
        <w:t>focus on patents</w:t>
      </w:r>
      <w:r w:rsidR="009C2537">
        <w:t xml:space="preserve">.  It should include GRs and TK associated with </w:t>
      </w:r>
      <w:r w:rsidRPr="009A60E0">
        <w:t xml:space="preserve">GRs.  Derivatives </w:t>
      </w:r>
      <w:proofErr w:type="gramStart"/>
      <w:r w:rsidRPr="009A60E0">
        <w:t>would be encompassed</w:t>
      </w:r>
      <w:proofErr w:type="gramEnd"/>
      <w:r w:rsidRPr="009A60E0">
        <w:t xml:space="preserve"> within GRs.  It was interested </w:t>
      </w:r>
      <w:r>
        <w:t>in</w:t>
      </w:r>
      <w:r w:rsidRPr="009A60E0">
        <w:t xml:space="preserve"> hear</w:t>
      </w:r>
      <w:r>
        <w:t>ing</w:t>
      </w:r>
      <w:r w:rsidRPr="009A60E0">
        <w:t xml:space="preserve"> from countries with existing domestic disclosure requirements that had a speci</w:t>
      </w:r>
      <w:r>
        <w:t>fic reference to derivatives.  Such</w:t>
      </w:r>
      <w:r w:rsidRPr="009A60E0">
        <w:t xml:space="preserve"> practical experience would be helpful in understanding how that term would </w:t>
      </w:r>
      <w:proofErr w:type="gramStart"/>
      <w:r w:rsidRPr="009A60E0">
        <w:t>impact</w:t>
      </w:r>
      <w:proofErr w:type="gramEnd"/>
      <w:r w:rsidRPr="009A60E0">
        <w:t xml:space="preserve"> the scope of the international instrument.  It might also help to narrow down the relevance of that term to the specific instrument.</w:t>
      </w:r>
    </w:p>
    <w:p w:rsidR="00077484" w:rsidRDefault="00077484" w:rsidP="00077484"/>
    <w:p w:rsidR="00FA0086" w:rsidRDefault="00077484" w:rsidP="00310121">
      <w:pPr>
        <w:pStyle w:val="ListParagraph"/>
        <w:numPr>
          <w:ilvl w:val="0"/>
          <w:numId w:val="4"/>
        </w:numPr>
        <w:ind w:left="0" w:firstLine="0"/>
      </w:pPr>
      <w:r w:rsidRPr="00077484">
        <w:t xml:space="preserve">The Delegation of Canada said </w:t>
      </w:r>
      <w:r w:rsidR="00132A65">
        <w:t xml:space="preserve">that, </w:t>
      </w:r>
      <w:r w:rsidRPr="00077484">
        <w:t>while it</w:t>
      </w:r>
      <w:r w:rsidR="00132A65">
        <w:t xml:space="preserve"> understood</w:t>
      </w:r>
      <w:r w:rsidRPr="00077484">
        <w:t xml:space="preserve"> that the definition</w:t>
      </w:r>
      <w:r w:rsidR="00132A65">
        <w:t>s</w:t>
      </w:r>
      <w:r w:rsidRPr="00077484">
        <w:t xml:space="preserve"> of GRs</w:t>
      </w:r>
      <w:r w:rsidR="00132A65">
        <w:t xml:space="preserve"> and genetic material</w:t>
      </w:r>
      <w:r w:rsidRPr="00077484">
        <w:t xml:space="preserve"> in the CBD, </w:t>
      </w:r>
      <w:r w:rsidR="0027376F">
        <w:t>it was not necessary</w:t>
      </w:r>
      <w:r w:rsidRPr="00077484">
        <w:t xml:space="preserve"> </w:t>
      </w:r>
      <w:proofErr w:type="gramStart"/>
      <w:r w:rsidRPr="00077484">
        <w:t>to directly import</w:t>
      </w:r>
      <w:proofErr w:type="gramEnd"/>
      <w:r w:rsidRPr="00077484">
        <w:t xml:space="preserve"> all </w:t>
      </w:r>
      <w:r w:rsidR="00132A65">
        <w:t>tho</w:t>
      </w:r>
      <w:r w:rsidR="00B83A0C">
        <w:t>se terms into the IGC </w:t>
      </w:r>
      <w:r w:rsidRPr="00077484">
        <w:t>text</w:t>
      </w:r>
      <w:r w:rsidR="00132A65">
        <w:t>, a</w:t>
      </w:r>
      <w:r w:rsidRPr="00077484">
        <w:t xml:space="preserve">t least not without </w:t>
      </w:r>
      <w:r w:rsidR="00132A65">
        <w:t xml:space="preserve">first </w:t>
      </w:r>
      <w:r w:rsidRPr="00077484">
        <w:t xml:space="preserve">reaching </w:t>
      </w:r>
      <w:r w:rsidR="0027376F">
        <w:t xml:space="preserve">a </w:t>
      </w:r>
      <w:r w:rsidRPr="00077484">
        <w:t xml:space="preserve">common understanding.  The CBD pertained to biological diversity while the IGC was about the creation of an IP instrument.  Without prejudice to the important work of </w:t>
      </w:r>
      <w:r w:rsidR="00132A65">
        <w:t xml:space="preserve">the </w:t>
      </w:r>
      <w:r w:rsidRPr="00077484">
        <w:t xml:space="preserve">CBD </w:t>
      </w:r>
      <w:r w:rsidR="0027376F">
        <w:t>and the</w:t>
      </w:r>
      <w:r w:rsidRPr="00077484">
        <w:t xml:space="preserve"> Nagoya Protocol, biodiversity and IP were two different disciplines and the IGC needed to make sure that the terms in an IGC instrument </w:t>
      </w:r>
      <w:proofErr w:type="gramStart"/>
      <w:r w:rsidRPr="00077484">
        <w:t>could be applied</w:t>
      </w:r>
      <w:proofErr w:type="gramEnd"/>
      <w:r w:rsidRPr="00077484">
        <w:t xml:space="preserve"> in an IP context without prejudice to the nature of the outcome(s)</w:t>
      </w:r>
      <w:r w:rsidR="00132A65">
        <w:t xml:space="preserve">. </w:t>
      </w:r>
      <w:r w:rsidR="0027376F">
        <w:t xml:space="preserve"> </w:t>
      </w:r>
      <w:r w:rsidR="00132A65">
        <w:t>W</w:t>
      </w:r>
      <w:r w:rsidRPr="00077484">
        <w:t xml:space="preserve">ith a view to enhancing </w:t>
      </w:r>
      <w:r w:rsidR="0027376F">
        <w:t xml:space="preserve">a </w:t>
      </w:r>
      <w:r w:rsidRPr="00077484">
        <w:t>common understanding on that issue, it welcome</w:t>
      </w:r>
      <w:r w:rsidR="00132A65">
        <w:t>d</w:t>
      </w:r>
      <w:r w:rsidRPr="00077484">
        <w:t xml:space="preserve"> the views of Member States that applied those terms in an IP context </w:t>
      </w:r>
      <w:proofErr w:type="gramStart"/>
      <w:r w:rsidRPr="00077484">
        <w:t>so as to</w:t>
      </w:r>
      <w:proofErr w:type="gramEnd"/>
      <w:r w:rsidRPr="00077484">
        <w:t xml:space="preserve"> see how </w:t>
      </w:r>
      <w:r w:rsidR="00132A65">
        <w:t>they</w:t>
      </w:r>
      <w:r w:rsidRPr="00077484">
        <w:t xml:space="preserve"> had been interpreted by patent applicants or courts.  That would help establish the best definitions for the specific purposes of the instrument.  The same went for the term </w:t>
      </w:r>
      <w:r w:rsidR="00132A65">
        <w:t>“</w:t>
      </w:r>
      <w:r w:rsidRPr="00077484">
        <w:t>de</w:t>
      </w:r>
      <w:r w:rsidR="0027376F">
        <w:t>rivatives</w:t>
      </w:r>
      <w:r w:rsidR="00132A65">
        <w:t>”</w:t>
      </w:r>
      <w:r w:rsidR="0027376F">
        <w:t>,</w:t>
      </w:r>
      <w:r w:rsidRPr="00077484">
        <w:t xml:space="preserve"> </w:t>
      </w:r>
      <w:r w:rsidR="00132A65">
        <w:t xml:space="preserve">over </w:t>
      </w:r>
      <w:r w:rsidRPr="00077484">
        <w:t xml:space="preserve">which it continued to have concerns and questions, including what the term meant for </w:t>
      </w:r>
      <w:r w:rsidR="00132A65">
        <w:t xml:space="preserve">the </w:t>
      </w:r>
      <w:r w:rsidRPr="00077484">
        <w:t xml:space="preserve">breadth and scope of the instrument.  It looked forward to a discussion of what that term meant not theoretically but in the concrete office practice of Member States providing for mandatory disclosure </w:t>
      </w:r>
      <w:r w:rsidR="00132A65">
        <w:t>of</w:t>
      </w:r>
      <w:r w:rsidRPr="00077484">
        <w:t xml:space="preserve"> derivatives. </w:t>
      </w:r>
      <w:r w:rsidR="00132A65">
        <w:t xml:space="preserve"> </w:t>
      </w:r>
      <w:r w:rsidRPr="00077484">
        <w:t xml:space="preserve">It echoed the comment made by the Delegation of Australia.  It had a particular interest in the concrete application of the concept </w:t>
      </w:r>
      <w:r w:rsidR="00132A65">
        <w:t>“</w:t>
      </w:r>
      <w:r w:rsidRPr="00077484">
        <w:t xml:space="preserve">even if it </w:t>
      </w:r>
      <w:r w:rsidR="00132A65">
        <w:t>does</w:t>
      </w:r>
      <w:r w:rsidRPr="00077484">
        <w:t xml:space="preserve"> not contain functional units of heredi</w:t>
      </w:r>
      <w:r w:rsidR="007F6CCA">
        <w:t>ty</w:t>
      </w:r>
      <w:r w:rsidR="00132A65">
        <w:t>”</w:t>
      </w:r>
      <w:r w:rsidR="0027376F">
        <w:t>.</w:t>
      </w:r>
      <w:r w:rsidRPr="00077484">
        <w:t xml:space="preserve">  It welcomed a discussion about what “mutual supportiveness” entailed for those Member States supporting that concept.  It wondered whether an IGC instrument would essentially be an extension of the CBD and</w:t>
      </w:r>
      <w:r w:rsidR="0027376F">
        <w:t xml:space="preserve"> the</w:t>
      </w:r>
      <w:r w:rsidRPr="00077484">
        <w:t xml:space="preserve"> Nagoya Protocol.  </w:t>
      </w:r>
    </w:p>
    <w:p w:rsidR="00FA0086" w:rsidRDefault="00FA0086" w:rsidP="00FA0086">
      <w:pPr>
        <w:pStyle w:val="ListParagraph"/>
        <w:ind w:left="0"/>
      </w:pPr>
    </w:p>
    <w:p w:rsidR="00FA0086" w:rsidRDefault="00FA0086" w:rsidP="00310121">
      <w:pPr>
        <w:pStyle w:val="ListParagraph"/>
        <w:numPr>
          <w:ilvl w:val="0"/>
          <w:numId w:val="4"/>
        </w:numPr>
        <w:ind w:left="0" w:firstLine="0"/>
      </w:pPr>
      <w:r w:rsidRPr="00FA0086">
        <w:t xml:space="preserve">The Delegation of the Russian Federation said that the misappropriation of GRs was not within the competence of WIPO and </w:t>
      </w:r>
      <w:proofErr w:type="gramStart"/>
      <w:r w:rsidRPr="00FA0086">
        <w:t>should be deleted</w:t>
      </w:r>
      <w:proofErr w:type="gramEnd"/>
      <w:r w:rsidRPr="00FA0086">
        <w:t xml:space="preserve"> from Article 1.  In Article 2, it considered that the subject matter related to the patent system.  As regards derivatives, it supported the statement</w:t>
      </w:r>
      <w:r w:rsidR="004D2630">
        <w:t xml:space="preserve"> made</w:t>
      </w:r>
      <w:r w:rsidRPr="00FA0086">
        <w:t xml:space="preserve"> by the Delegation of the Republic of Korea and asked for a clear definition.</w:t>
      </w:r>
    </w:p>
    <w:p w:rsidR="00FA0086" w:rsidRDefault="00FA0086" w:rsidP="00FA0086"/>
    <w:p w:rsidR="00367B3B" w:rsidRDefault="00FA0086" w:rsidP="00310121">
      <w:pPr>
        <w:pStyle w:val="ListParagraph"/>
        <w:numPr>
          <w:ilvl w:val="0"/>
          <w:numId w:val="4"/>
        </w:numPr>
        <w:ind w:left="0" w:firstLine="0"/>
      </w:pPr>
      <w:r w:rsidRPr="00FA0086">
        <w:t xml:space="preserve">The Delegation of Costa Rica said the word “derivatives” should be included in the text, as it </w:t>
      </w:r>
      <w:proofErr w:type="gramStart"/>
      <w:r w:rsidRPr="00FA0086">
        <w:t>was clearly defined</w:t>
      </w:r>
      <w:proofErr w:type="gramEnd"/>
      <w:r w:rsidRPr="00FA0086">
        <w:t xml:space="preserve"> in the Nagoya Protocol.  Costa Rica had approximately 550 permits for access to biochemical</w:t>
      </w:r>
      <w:r>
        <w:t xml:space="preserve"> </w:t>
      </w:r>
      <w:r w:rsidRPr="00FA0086">
        <w:t xml:space="preserve">or GRs, following the rules established in the CBD and its regulations. </w:t>
      </w:r>
      <w:r>
        <w:t xml:space="preserve"> </w:t>
      </w:r>
      <w:r w:rsidR="004D2630">
        <w:t>Approximately 10 per</w:t>
      </w:r>
      <w:r w:rsidRPr="00FA0086">
        <w:t>cent of the applications were for b</w:t>
      </w:r>
      <w:r w:rsidR="004D2630">
        <w:t>iochemical access for bio-</w:t>
      </w:r>
      <w:r w:rsidRPr="00FA0086">
        <w:t xml:space="preserve">propagation.  TK was associated to the empirical and tangible experience in the biochemical derivatives, which </w:t>
      </w:r>
      <w:proofErr w:type="gramStart"/>
      <w:r w:rsidRPr="00FA0086">
        <w:t>were produced</w:t>
      </w:r>
      <w:proofErr w:type="gramEnd"/>
      <w:r w:rsidRPr="00FA0086">
        <w:t xml:space="preserve"> by the genetic or metabolic expression of living organisms, which </w:t>
      </w:r>
      <w:r>
        <w:t>had</w:t>
      </w:r>
      <w:r w:rsidRPr="00FA0086">
        <w:t xml:space="preserve"> a specific use.  The inclusion of derivatives in the text clarified further the scope of </w:t>
      </w:r>
      <w:r w:rsidR="004D2630">
        <w:t xml:space="preserve">TK associated with </w:t>
      </w:r>
      <w:r w:rsidRPr="00FA0086">
        <w:t xml:space="preserve">GRs.  </w:t>
      </w:r>
    </w:p>
    <w:p w:rsidR="00367B3B" w:rsidRDefault="00367B3B" w:rsidP="00367B3B"/>
    <w:p w:rsidR="00665683" w:rsidRDefault="00367B3B" w:rsidP="00310121">
      <w:pPr>
        <w:pStyle w:val="ListParagraph"/>
        <w:numPr>
          <w:ilvl w:val="0"/>
          <w:numId w:val="4"/>
        </w:numPr>
        <w:ind w:left="0" w:firstLine="0"/>
      </w:pPr>
      <w:r w:rsidRPr="00367B3B">
        <w:t xml:space="preserve">The </w:t>
      </w:r>
      <w:r w:rsidR="004D2630">
        <w:t>Chair closed the discussion on subject m</w:t>
      </w:r>
      <w:r w:rsidRPr="00367B3B">
        <w:t xml:space="preserve">atter.  He opened the discussion on Article 3 relating to the disclosure requirement. </w:t>
      </w:r>
      <w:r>
        <w:t xml:space="preserve"> </w:t>
      </w:r>
      <w:r w:rsidR="004D2630">
        <w:t>In Chair’</w:t>
      </w:r>
      <w:r w:rsidRPr="00367B3B">
        <w:t>s</w:t>
      </w:r>
      <w:r w:rsidR="004D2630">
        <w:t xml:space="preserve"> Information</w:t>
      </w:r>
      <w:r w:rsidRPr="00367B3B">
        <w:t xml:space="preserve"> Note</w:t>
      </w:r>
      <w:r w:rsidR="004D2630">
        <w:t>,</w:t>
      </w:r>
      <w:r w:rsidRPr="00367B3B">
        <w:t xml:space="preserve"> he had identified some key issues that needed to be worked </w:t>
      </w:r>
      <w:proofErr w:type="gramStart"/>
      <w:r w:rsidRPr="00367B3B">
        <w:t>through:</w:t>
      </w:r>
      <w:proofErr w:type="gramEnd"/>
      <w:r w:rsidRPr="00367B3B">
        <w:t xml:space="preserve"> </w:t>
      </w:r>
      <w:r w:rsidR="004D2630">
        <w:t xml:space="preserve"> </w:t>
      </w:r>
      <w:r w:rsidRPr="00367B3B">
        <w:t>trigger, content, exceptions and limitations, subject matter eligibility and the consequences of non</w:t>
      </w:r>
      <w:r w:rsidR="004D2630">
        <w:t>-</w:t>
      </w:r>
      <w:r w:rsidRPr="00367B3B">
        <w:t xml:space="preserve">compliance. </w:t>
      </w:r>
      <w:r>
        <w:t xml:space="preserve"> </w:t>
      </w:r>
      <w:r w:rsidRPr="00367B3B">
        <w:t xml:space="preserve">There were number of different options within those core issues, some of which related to the scope of the instrument.  He opened the floor for comments on the issue of the trigger.  </w:t>
      </w:r>
    </w:p>
    <w:p w:rsidR="00665683" w:rsidRDefault="00665683" w:rsidP="00665683"/>
    <w:p w:rsidR="00321C22" w:rsidRDefault="00665683" w:rsidP="00310121">
      <w:pPr>
        <w:pStyle w:val="ListParagraph"/>
        <w:numPr>
          <w:ilvl w:val="0"/>
          <w:numId w:val="4"/>
        </w:numPr>
        <w:ind w:left="0" w:firstLine="0"/>
      </w:pPr>
      <w:r w:rsidRPr="00665683">
        <w:t xml:space="preserve">The Delegation of the EU, speaking on behalf of the EU and its Member States, remained committed to constructively engaging in discussions on the disclosure requirement in patent applications.  It was not a </w:t>
      </w:r>
      <w:r w:rsidRPr="007C435F">
        <w:t xml:space="preserve">demandeur </w:t>
      </w:r>
      <w:r w:rsidRPr="00665683">
        <w:t xml:space="preserve">in the IGC.  </w:t>
      </w:r>
      <w:r w:rsidR="007C435F">
        <w:t>The d</w:t>
      </w:r>
      <w:r w:rsidRPr="00665683">
        <w:t xml:space="preserve">isclosure requirement should not apply to derivatives and its coverage </w:t>
      </w:r>
      <w:proofErr w:type="gramStart"/>
      <w:r w:rsidRPr="00665683">
        <w:t>with regards to</w:t>
      </w:r>
      <w:proofErr w:type="gramEnd"/>
      <w:r w:rsidRPr="00665683">
        <w:t xml:space="preserve"> TK should depend on the results of ongoing discussions on the definition of TK.  The trigger of the disclosure requirement should be that the invention </w:t>
      </w:r>
      <w:proofErr w:type="gramStart"/>
      <w:r w:rsidRPr="00665683">
        <w:t>was directly based</w:t>
      </w:r>
      <w:proofErr w:type="gramEnd"/>
      <w:r w:rsidRPr="00665683">
        <w:t xml:space="preserve"> on </w:t>
      </w:r>
      <w:r w:rsidR="007C435F">
        <w:t xml:space="preserve">the </w:t>
      </w:r>
      <w:r w:rsidRPr="00665683">
        <w:t xml:space="preserve">subject matter.  The applicant should declare the country of origin or, if unknown, the source of the specific resource to which the inventor had had physical access and which </w:t>
      </w:r>
      <w:proofErr w:type="gramStart"/>
      <w:r w:rsidRPr="00665683">
        <w:t>was still known</w:t>
      </w:r>
      <w:proofErr w:type="gramEnd"/>
      <w:r w:rsidRPr="00665683">
        <w:t xml:space="preserve"> to him</w:t>
      </w:r>
      <w:r w:rsidR="007C435F">
        <w:t>/her</w:t>
      </w:r>
      <w:r w:rsidRPr="00665683">
        <w:t xml:space="preserve">.  Exceptions and limitations </w:t>
      </w:r>
      <w:proofErr w:type="gramStart"/>
      <w:r w:rsidRPr="00665683">
        <w:t>should be provided for</w:t>
      </w:r>
      <w:proofErr w:type="gramEnd"/>
      <w:r w:rsidRPr="00665683">
        <w:t xml:space="preserve"> at the international level.  Revocation of patents could not constitute a sanction.  The consequence of non</w:t>
      </w:r>
      <w:r w:rsidR="007C435F">
        <w:t>-</w:t>
      </w:r>
      <w:r w:rsidRPr="00665683">
        <w:t xml:space="preserve">compliance would be, on the one hand, that if the applicant failed or refused to declare the required information, the application should not be further processed.  On the other hand, if the information provided was incorrect or incomplete, sanctions outside the field of patent law </w:t>
      </w:r>
      <w:proofErr w:type="gramStart"/>
      <w:r w:rsidRPr="00665683">
        <w:t>should be envisaged</w:t>
      </w:r>
      <w:proofErr w:type="gramEnd"/>
      <w:r w:rsidRPr="00665683">
        <w:t xml:space="preserve">.  </w:t>
      </w:r>
      <w:r w:rsidR="007C435F">
        <w:t>Regarding</w:t>
      </w:r>
      <w:r w:rsidRPr="00665683">
        <w:t xml:space="preserve"> defensive approaches, such as those focused on the databases or due diligence measures, it remained interested in discussing them to complement the policy debate on a disclosure requirement. </w:t>
      </w:r>
    </w:p>
    <w:p w:rsidR="00321C22" w:rsidRDefault="00321C22" w:rsidP="00321C22">
      <w:pPr>
        <w:pStyle w:val="ListParagraph"/>
        <w:ind w:left="0"/>
      </w:pPr>
    </w:p>
    <w:p w:rsidR="00960D62" w:rsidRDefault="007C435F" w:rsidP="00310121">
      <w:pPr>
        <w:pStyle w:val="ListParagraph"/>
        <w:numPr>
          <w:ilvl w:val="0"/>
          <w:numId w:val="4"/>
        </w:numPr>
        <w:ind w:left="0" w:firstLine="0"/>
      </w:pPr>
      <w:r w:rsidRPr="007C435F">
        <w:t>The Delegation of Brazil stated</w:t>
      </w:r>
      <w:r w:rsidR="00321C22" w:rsidRPr="007C435F">
        <w:t xml:space="preserve"> that the trigger should be the utilization of GRs as defined in the Nagoya Protocol.  Alternatively, it could go along with the utilization of subject matter, which was not only the terminology used in the Nagoya Protocol but in the UN </w:t>
      </w:r>
      <w:r>
        <w:t>SDGs</w:t>
      </w:r>
      <w:r w:rsidR="00321C22" w:rsidRPr="007C435F">
        <w:t xml:space="preserve">. </w:t>
      </w:r>
      <w:r>
        <w:t xml:space="preserve"> </w:t>
      </w:r>
      <w:r w:rsidR="00321C22" w:rsidRPr="007C435F">
        <w:t xml:space="preserve">Target 2.5 mandated to promote access to and fair and equitable sharing of </w:t>
      </w:r>
      <w:proofErr w:type="gramStart"/>
      <w:r w:rsidR="00321C22" w:rsidRPr="007C435F">
        <w:t>benefits</w:t>
      </w:r>
      <w:r>
        <w:t>,</w:t>
      </w:r>
      <w:proofErr w:type="gramEnd"/>
      <w:r w:rsidR="00321C22" w:rsidRPr="007C435F">
        <w:t xml:space="preserve"> and</w:t>
      </w:r>
      <w:r w:rsidR="00321C22" w:rsidRPr="00321C22">
        <w:t xml:space="preserve"> Target 15.6 mentioned that the global community should provide fair and </w:t>
      </w:r>
      <w:r w:rsidR="00321C22" w:rsidRPr="00874FD7">
        <w:t>equitable</w:t>
      </w:r>
      <w:r w:rsidR="00321C22" w:rsidRPr="00321C22">
        <w:rPr>
          <w:color w:val="008000"/>
        </w:rPr>
        <w:t xml:space="preserve"> </w:t>
      </w:r>
      <w:r w:rsidR="00321C22" w:rsidRPr="00321C22">
        <w:t xml:space="preserve">sharing of benefits arising from the utilization of GRs. </w:t>
      </w:r>
      <w:r w:rsidR="00321C22">
        <w:t xml:space="preserve"> </w:t>
      </w:r>
      <w:r w:rsidR="00321C22" w:rsidRPr="00321C22">
        <w:t>WIPO, as part of the UN system, had to be consistent with those targets.  The use of patent offices as checkpoints would do much to help the implementation of the Nagoya Protocol.  It would not place additional obligations on IP offices</w:t>
      </w:r>
      <w:r w:rsidR="00321C22">
        <w:t>,</w:t>
      </w:r>
      <w:r w:rsidR="00321C22" w:rsidRPr="00321C22">
        <w:t xml:space="preserve"> as they would not be obliged to verify the co</w:t>
      </w:r>
      <w:r>
        <w:t>ntents of the disclosure itself</w:t>
      </w:r>
      <w:proofErr w:type="gramStart"/>
      <w:r>
        <w:t xml:space="preserve">; </w:t>
      </w:r>
      <w:r w:rsidR="00321C22" w:rsidRPr="00321C22">
        <w:t xml:space="preserve"> it</w:t>
      </w:r>
      <w:proofErr w:type="gramEnd"/>
      <w:r w:rsidR="00321C22" w:rsidRPr="00321C22">
        <w:t xml:space="preserve"> would be a formal requirement.  The goal was </w:t>
      </w:r>
      <w:proofErr w:type="gramStart"/>
      <w:r w:rsidR="00321C22" w:rsidRPr="00321C22">
        <w:t>to clearly define</w:t>
      </w:r>
      <w:proofErr w:type="gramEnd"/>
      <w:r w:rsidR="00321C22" w:rsidRPr="00321C22">
        <w:t xml:space="preserve"> the respective implementing functions of IP offices and to contribute to allow provider countries to trace what might</w:t>
      </w:r>
      <w:r w:rsidR="00321C22">
        <w:t xml:space="preserve"> happen</w:t>
      </w:r>
      <w:r w:rsidR="00321C22" w:rsidRPr="00321C22">
        <w:t xml:space="preserve"> to the GRs, associated TK and derivatives once they had left the jurisdiction.  It would also make possible </w:t>
      </w:r>
      <w:r w:rsidR="00321C22">
        <w:t>for</w:t>
      </w:r>
      <w:r w:rsidR="00321C22" w:rsidRPr="00321C22">
        <w:t xml:space="preserve"> national authorities related to ABS to verify compliance with PIC and ABS requirements.  That would not overburden IP offices.  Its own national experience showed that the advent of IT systems facilitated simple notification procedure. </w:t>
      </w:r>
    </w:p>
    <w:p w:rsidR="00960D62" w:rsidRDefault="00960D62" w:rsidP="00960D62">
      <w:pPr>
        <w:pStyle w:val="ListParagraph"/>
        <w:ind w:left="0"/>
      </w:pPr>
    </w:p>
    <w:p w:rsidR="00960D62" w:rsidRPr="003342C9" w:rsidRDefault="00960D62" w:rsidP="00310121">
      <w:pPr>
        <w:pStyle w:val="ListParagraph"/>
        <w:numPr>
          <w:ilvl w:val="0"/>
          <w:numId w:val="4"/>
        </w:numPr>
        <w:ind w:left="0" w:firstLine="0"/>
      </w:pPr>
      <w:r w:rsidRPr="003342C9">
        <w:lastRenderedPageBreak/>
        <w:t>The Delegation of Switzerland said that it was im</w:t>
      </w:r>
      <w:r w:rsidR="00DF65C4" w:rsidRPr="003342C9">
        <w:t>portant that the trigger clarified</w:t>
      </w:r>
      <w:r w:rsidRPr="003342C9">
        <w:t xml:space="preserve"> the relationship between the claimed invention and the GR</w:t>
      </w:r>
      <w:r w:rsidR="003342C9" w:rsidRPr="003342C9">
        <w:t>s</w:t>
      </w:r>
      <w:r w:rsidRPr="003342C9">
        <w:t xml:space="preserve"> and/or associated TK.  As mentioned by the Delegation of the EU,</w:t>
      </w:r>
      <w:r w:rsidR="003342C9" w:rsidRPr="003342C9">
        <w:t xml:space="preserve"> on behalf of the EU and its Member States,</w:t>
      </w:r>
      <w:r w:rsidRPr="003342C9">
        <w:t xml:space="preserve"> “directly based on” would exactly establish such a relationship.  Seeing that the term “utilization” </w:t>
      </w:r>
      <w:proofErr w:type="gramStart"/>
      <w:r w:rsidRPr="003342C9">
        <w:t>could be used</w:t>
      </w:r>
      <w:proofErr w:type="gramEnd"/>
      <w:r w:rsidRPr="003342C9">
        <w:t xml:space="preserve"> as a trigger, it </w:t>
      </w:r>
      <w:r w:rsidR="003342C9" w:rsidRPr="003342C9">
        <w:t>wondered</w:t>
      </w:r>
      <w:r w:rsidRPr="003342C9">
        <w:t xml:space="preserve"> how t</w:t>
      </w:r>
      <w:r w:rsidR="003342C9" w:rsidRPr="003342C9">
        <w:t xml:space="preserve">hat term would be related to TK associated with </w:t>
      </w:r>
      <w:r w:rsidRPr="003342C9">
        <w:t xml:space="preserve">GRs.  The term “utilization” in the Nagoya </w:t>
      </w:r>
      <w:r w:rsidR="003342C9" w:rsidRPr="003342C9">
        <w:t xml:space="preserve">Protocol </w:t>
      </w:r>
      <w:r w:rsidRPr="003342C9">
        <w:t xml:space="preserve">context </w:t>
      </w:r>
      <w:proofErr w:type="gramStart"/>
      <w:r w:rsidRPr="003342C9">
        <w:t>had been defined</w:t>
      </w:r>
      <w:proofErr w:type="gramEnd"/>
      <w:r w:rsidRPr="003342C9">
        <w:t xml:space="preserve"> in the context of GRs but there was no definition o</w:t>
      </w:r>
      <w:r w:rsidR="003342C9" w:rsidRPr="003342C9">
        <w:t xml:space="preserve">n how actually it related to TK associated with </w:t>
      </w:r>
      <w:r w:rsidRPr="003342C9">
        <w:t xml:space="preserve">GRs. </w:t>
      </w:r>
      <w:r w:rsidR="003342C9" w:rsidRPr="003342C9">
        <w:t xml:space="preserve"> </w:t>
      </w:r>
      <w:r w:rsidRPr="003342C9">
        <w:t xml:space="preserve">It was questioning using </w:t>
      </w:r>
      <w:r w:rsidR="003342C9" w:rsidRPr="003342C9">
        <w:t>it</w:t>
      </w:r>
      <w:r w:rsidRPr="003342C9">
        <w:t xml:space="preserve"> to define a trigger in an IP or patent application context.    </w:t>
      </w:r>
    </w:p>
    <w:p w:rsidR="00960D62" w:rsidRPr="003342C9" w:rsidRDefault="00960D62" w:rsidP="00960D62"/>
    <w:p w:rsidR="00960D62" w:rsidRPr="00F6671A" w:rsidRDefault="00960D62" w:rsidP="00310121">
      <w:pPr>
        <w:pStyle w:val="ListParagraph"/>
        <w:numPr>
          <w:ilvl w:val="0"/>
          <w:numId w:val="4"/>
        </w:numPr>
        <w:ind w:left="0" w:firstLine="0"/>
      </w:pPr>
      <w:r w:rsidRPr="00F6671A">
        <w:t xml:space="preserve">The Delegation of Ecuador shared its legislation, which read: “According to the international treaties to which Ecuador is a party, if the subject matter of a </w:t>
      </w:r>
      <w:r w:rsidR="00F6671A" w:rsidRPr="00F6671A">
        <w:t xml:space="preserve">patent application involves GRs and TK associated with </w:t>
      </w:r>
      <w:r w:rsidRPr="00F6671A">
        <w:t xml:space="preserve">GRs, the applicant should say so.  </w:t>
      </w:r>
      <w:proofErr w:type="gramStart"/>
      <w:r w:rsidRPr="00F6671A">
        <w:t>The country and the source where these resources or knowledge are to be found, as well as the entity or persons from which these GRs were obtained have to be indicated” (approximate translation).</w:t>
      </w:r>
      <w:proofErr w:type="gramEnd"/>
      <w:r w:rsidRPr="00F6671A">
        <w:t xml:space="preserve">    </w:t>
      </w:r>
    </w:p>
    <w:p w:rsidR="00960D62" w:rsidRPr="00F6671A" w:rsidRDefault="00960D62" w:rsidP="00960D62"/>
    <w:p w:rsidR="00960D62" w:rsidRDefault="00960D62" w:rsidP="00310121">
      <w:pPr>
        <w:pStyle w:val="ListParagraph"/>
        <w:numPr>
          <w:ilvl w:val="0"/>
          <w:numId w:val="4"/>
        </w:numPr>
        <w:ind w:left="0" w:firstLine="0"/>
      </w:pPr>
      <w:r w:rsidRPr="00F6671A">
        <w:t xml:space="preserve">The Delegation of </w:t>
      </w:r>
      <w:r w:rsidR="006E31C3" w:rsidRPr="00F6671A">
        <w:t xml:space="preserve">the Plurinational State of </w:t>
      </w:r>
      <w:r w:rsidRPr="00F6671A">
        <w:t xml:space="preserve">Bolivia agreed with the Delegation of Brazil </w:t>
      </w:r>
      <w:r w:rsidR="003342C9" w:rsidRPr="00F6671A">
        <w:t>regarding</w:t>
      </w:r>
      <w:r w:rsidRPr="00960D62">
        <w:t xml:space="preserve"> the trigger.  </w:t>
      </w:r>
    </w:p>
    <w:p w:rsidR="00960D62" w:rsidRDefault="00960D62" w:rsidP="00960D62"/>
    <w:p w:rsidR="00960D62" w:rsidRDefault="00960D62" w:rsidP="00310121">
      <w:pPr>
        <w:pStyle w:val="ListParagraph"/>
        <w:numPr>
          <w:ilvl w:val="0"/>
          <w:numId w:val="4"/>
        </w:numPr>
        <w:ind w:left="0" w:firstLine="0"/>
      </w:pPr>
      <w:r w:rsidRPr="00960D62">
        <w:t>The Delegation of Morocco, speaking on behalf of the African Group, considered that disclosure was the cornerstone of the text and shoul</w:t>
      </w:r>
      <w:r w:rsidR="003342C9">
        <w:t xml:space="preserve">d cover GRs, derivatives and TK associated with </w:t>
      </w:r>
      <w:r w:rsidRPr="00960D62">
        <w:t xml:space="preserve">GRs.  </w:t>
      </w:r>
    </w:p>
    <w:p w:rsidR="00960D62" w:rsidRDefault="00960D62" w:rsidP="00960D62"/>
    <w:p w:rsidR="00960D62" w:rsidRDefault="00960D62" w:rsidP="00310121">
      <w:pPr>
        <w:pStyle w:val="ListParagraph"/>
        <w:numPr>
          <w:ilvl w:val="0"/>
          <w:numId w:val="4"/>
        </w:numPr>
        <w:ind w:left="0" w:firstLine="0"/>
      </w:pPr>
      <w:r w:rsidRPr="00960D62">
        <w:t xml:space="preserve">The Delegation of Lithuania, speaking on behalf of </w:t>
      </w:r>
      <w:r w:rsidR="003342C9">
        <w:t xml:space="preserve">the </w:t>
      </w:r>
      <w:r w:rsidRPr="00960D62">
        <w:t>CEBS</w:t>
      </w:r>
      <w:r w:rsidR="003342C9">
        <w:t xml:space="preserve"> Group</w:t>
      </w:r>
      <w:r w:rsidRPr="00960D62">
        <w:t>, look</w:t>
      </w:r>
      <w:r>
        <w:t>ed</w:t>
      </w:r>
      <w:r w:rsidRPr="00960D62">
        <w:t xml:space="preserve"> forward </w:t>
      </w:r>
      <w:proofErr w:type="gramStart"/>
      <w:r w:rsidRPr="00960D62">
        <w:t>to more thorough discussions in informals</w:t>
      </w:r>
      <w:proofErr w:type="gramEnd"/>
      <w:r w:rsidRPr="00960D62">
        <w:t xml:space="preserve">. </w:t>
      </w:r>
      <w:r>
        <w:t xml:space="preserve"> </w:t>
      </w:r>
      <w:r w:rsidR="003342C9">
        <w:t>As the Delegation</w:t>
      </w:r>
      <w:r w:rsidRPr="00960D62">
        <w:t xml:space="preserve"> of </w:t>
      </w:r>
      <w:r w:rsidR="003342C9">
        <w:t xml:space="preserve">Switzerland, the Delegation of </w:t>
      </w:r>
      <w:r w:rsidRPr="00960D62">
        <w:t xml:space="preserve">the EU, </w:t>
      </w:r>
      <w:r w:rsidR="003342C9">
        <w:t>on behalf of the EU and its Member States, and other delegations</w:t>
      </w:r>
      <w:r w:rsidRPr="00960D62">
        <w:t xml:space="preserve">, it had </w:t>
      </w:r>
      <w:r>
        <w:t>issues</w:t>
      </w:r>
      <w:r w:rsidRPr="00960D62">
        <w:t xml:space="preserve"> with the inclusion of derivatives in the disclosure requirement and in the text of the instrument.  It was not convinc</w:t>
      </w:r>
      <w:r w:rsidR="003342C9">
        <w:t xml:space="preserve">ed about the need to include TK associated with </w:t>
      </w:r>
      <w:r w:rsidRPr="00960D62">
        <w:t>GRs.  The instrument should relate onl</w:t>
      </w:r>
      <w:r>
        <w:t>y to patent applications, not</w:t>
      </w:r>
      <w:r w:rsidRPr="00960D62">
        <w:t xml:space="preserve"> other IP rights.  T</w:t>
      </w:r>
      <w:r>
        <w:t>h</w:t>
      </w:r>
      <w:r w:rsidRPr="00960D62">
        <w:t xml:space="preserve">e trigger of the disclosure requirement should be that the invention was “directly based on”.    </w:t>
      </w:r>
    </w:p>
    <w:p w:rsidR="00960D62" w:rsidRDefault="00960D62" w:rsidP="00960D62"/>
    <w:p w:rsidR="006E18BF" w:rsidRDefault="00960D62" w:rsidP="00310121">
      <w:pPr>
        <w:pStyle w:val="ListParagraph"/>
        <w:numPr>
          <w:ilvl w:val="0"/>
          <w:numId w:val="4"/>
        </w:numPr>
        <w:ind w:left="0" w:firstLine="0"/>
      </w:pPr>
      <w:r w:rsidRPr="00960D62">
        <w:t xml:space="preserve">The representative of </w:t>
      </w:r>
      <w:r w:rsidR="00A824D5">
        <w:t xml:space="preserve">the </w:t>
      </w:r>
      <w:r w:rsidRPr="00960D62">
        <w:t>Tebtebba</w:t>
      </w:r>
      <w:r w:rsidR="00A824D5">
        <w:t xml:space="preserve"> Foundation</w:t>
      </w:r>
      <w:r w:rsidRPr="00960D62">
        <w:t xml:space="preserve">, speaking on behalf of the Indigenous Caucus, said that Article 3 of the Nagoya Protocol referred to </w:t>
      </w:r>
      <w:r w:rsidR="00CB6517">
        <w:t xml:space="preserve">the </w:t>
      </w:r>
      <w:r w:rsidRPr="00960D62">
        <w:t xml:space="preserve">utilization of associated TK.  </w:t>
      </w:r>
      <w:r>
        <w:t>While</w:t>
      </w:r>
      <w:r w:rsidRPr="00960D62">
        <w:t xml:space="preserve"> </w:t>
      </w:r>
      <w:r w:rsidR="00CB6517">
        <w:t xml:space="preserve">the </w:t>
      </w:r>
      <w:r w:rsidRPr="00960D62">
        <w:t>list of terms only defined utilization of GRs, several other articles referenced the</w:t>
      </w:r>
      <w:r w:rsidR="004F5BA1">
        <w:t xml:space="preserve"> utilization of </w:t>
      </w:r>
      <w:proofErr w:type="gramStart"/>
      <w:r w:rsidR="004F5BA1">
        <w:t>TK,</w:t>
      </w:r>
      <w:proofErr w:type="gramEnd"/>
      <w:r w:rsidR="004F5BA1">
        <w:t xml:space="preserve"> therefore it</w:t>
      </w:r>
      <w:r w:rsidRPr="00960D62">
        <w:t xml:space="preserve"> would be appropriate to identif</w:t>
      </w:r>
      <w:r>
        <w:t>y utilization as the trigger</w:t>
      </w:r>
      <w:r w:rsidR="004F5BA1">
        <w:t xml:space="preserve"> in the IGC text</w:t>
      </w:r>
      <w:r w:rsidRPr="00960D62">
        <w:t xml:space="preserve">.    </w:t>
      </w:r>
    </w:p>
    <w:p w:rsidR="006E18BF" w:rsidRDefault="006E18BF" w:rsidP="006E18BF"/>
    <w:p w:rsidR="006E18BF" w:rsidRDefault="006E18BF" w:rsidP="00310121">
      <w:pPr>
        <w:pStyle w:val="ListParagraph"/>
        <w:numPr>
          <w:ilvl w:val="0"/>
          <w:numId w:val="4"/>
        </w:numPr>
        <w:ind w:left="0" w:firstLine="0"/>
      </w:pPr>
      <w:r w:rsidRPr="006E18BF">
        <w:t>The Delegation of Nigeria d</w:t>
      </w:r>
      <w:r w:rsidR="004F5BA1">
        <w:t>rew attention to the 2017 WIPO S</w:t>
      </w:r>
      <w:r w:rsidRPr="006E18BF">
        <w:t>tudy</w:t>
      </w:r>
      <w:r>
        <w:t xml:space="preserve"> on the disclosure requirement</w:t>
      </w:r>
      <w:r w:rsidRPr="006E18BF">
        <w:t xml:space="preserve">.  That document helped to look at the triggers constructively without necessarily restating hard fixed positions. </w:t>
      </w:r>
      <w:r>
        <w:t xml:space="preserve"> </w:t>
      </w:r>
      <w:r w:rsidRPr="006E18BF">
        <w:t xml:space="preserve">The </w:t>
      </w:r>
      <w:r>
        <w:t xml:space="preserve">three </w:t>
      </w:r>
      <w:r w:rsidRPr="006E18BF">
        <w:t xml:space="preserve">key words </w:t>
      </w:r>
      <w:r>
        <w:t>t</w:t>
      </w:r>
      <w:r w:rsidRPr="006E18BF">
        <w:t>hat showed where the trigge</w:t>
      </w:r>
      <w:r w:rsidR="004F5BA1">
        <w:t xml:space="preserve">rs would lie </w:t>
      </w:r>
      <w:proofErr w:type="gramStart"/>
      <w:r w:rsidR="004F5BA1">
        <w:t>were:</w:t>
      </w:r>
      <w:proofErr w:type="gramEnd"/>
      <w:r w:rsidR="004F5BA1">
        <w:t xml:space="preserve"> “utilization</w:t>
      </w:r>
      <w:r w:rsidRPr="006E18BF">
        <w:t>”</w:t>
      </w:r>
      <w:r w:rsidR="004F5BA1">
        <w:t>,</w:t>
      </w:r>
      <w:r w:rsidRPr="006E18BF">
        <w:t xml:space="preserve"> “derived” and “directly</w:t>
      </w:r>
      <w:r w:rsidR="004F5BA1" w:rsidRPr="004F5BA1">
        <w:t xml:space="preserve"> </w:t>
      </w:r>
      <w:r w:rsidR="004F5BA1" w:rsidRPr="006E18BF">
        <w:t>based</w:t>
      </w:r>
      <w:r w:rsidR="004F5BA1">
        <w:t xml:space="preserve"> on</w:t>
      </w:r>
      <w:r w:rsidRPr="006E18BF">
        <w:t>”</w:t>
      </w:r>
      <w:r w:rsidR="004F5BA1">
        <w:t>.</w:t>
      </w:r>
      <w:r w:rsidRPr="006E18BF">
        <w:t xml:space="preserve">  Some of those issues would be resolved at a national level through legislation or regulatory regimes.    </w:t>
      </w:r>
    </w:p>
    <w:p w:rsidR="006E18BF" w:rsidRDefault="006E18BF" w:rsidP="006E18BF"/>
    <w:p w:rsidR="00353445" w:rsidRDefault="006E18BF" w:rsidP="00310121">
      <w:pPr>
        <w:pStyle w:val="ListParagraph"/>
        <w:numPr>
          <w:ilvl w:val="0"/>
          <w:numId w:val="4"/>
        </w:numPr>
        <w:ind w:left="0" w:firstLine="0"/>
      </w:pPr>
      <w:r w:rsidRPr="006E18BF">
        <w:t xml:space="preserve">The Delegation of the USA was still considering the issue of the trigger.  Its current thinking was </w:t>
      </w:r>
      <w:r w:rsidR="00286808">
        <w:t>that “</w:t>
      </w:r>
      <w:r w:rsidRPr="006E18BF">
        <w:t>directly based on</w:t>
      </w:r>
      <w:r w:rsidR="00286808">
        <w:t xml:space="preserve">” </w:t>
      </w:r>
      <w:r w:rsidRPr="006E18BF">
        <w:t xml:space="preserve">might be the most practical approach.  It did not support disclosure requirements, as it caused many concerns.  A large gap existed around subject matter and it had some comments and proposals that could help to bridge those gaps.  It suggested a global change to use “Member State” </w:t>
      </w:r>
      <w:r w:rsidR="00286808">
        <w:t xml:space="preserve">instead of “Party”, </w:t>
      </w:r>
      <w:r w:rsidRPr="006E18BF">
        <w:t xml:space="preserve">because it did not want to prejudge the outcome of the instrument.  In </w:t>
      </w:r>
      <w:r w:rsidR="00286808">
        <w:t>Article</w:t>
      </w:r>
      <w:r w:rsidRPr="006E18BF">
        <w:t xml:space="preserve"> 3.1(b)</w:t>
      </w:r>
      <w:r w:rsidR="00286808">
        <w:t>,</w:t>
      </w:r>
      <w:r w:rsidRPr="006E18BF">
        <w:t xml:space="preserve"> it suggested bracketing “and” before “local communities” and inserting “any other holder of patent rights over</w:t>
      </w:r>
      <w:r w:rsidR="00286808">
        <w:t xml:space="preserve"> the genetic resource</w:t>
      </w:r>
      <w:r w:rsidRPr="006E18BF">
        <w:t>”</w:t>
      </w:r>
      <w:r w:rsidR="00286808">
        <w:t>.</w:t>
      </w:r>
      <w:r w:rsidRPr="006E18BF">
        <w:t xml:space="preserve">  With that change, all rights over GRs </w:t>
      </w:r>
      <w:proofErr w:type="gramStart"/>
      <w:r w:rsidR="00286808">
        <w:t>would be treated</w:t>
      </w:r>
      <w:proofErr w:type="gramEnd"/>
      <w:r w:rsidR="00286808">
        <w:t xml:space="preserve"> </w:t>
      </w:r>
      <w:r w:rsidRPr="006E18BF">
        <w:t xml:space="preserve">equally.  </w:t>
      </w:r>
      <w:proofErr w:type="gramStart"/>
      <w:r w:rsidRPr="006E18BF">
        <w:t xml:space="preserve">It proposed a new alternative </w:t>
      </w:r>
      <w:r w:rsidR="00286808">
        <w:t>Article</w:t>
      </w:r>
      <w:r w:rsidRPr="006E18BF">
        <w:t xml:space="preserve"> 3.1, which read: </w:t>
      </w:r>
      <w:r w:rsidR="00286808">
        <w:t xml:space="preserve"> </w:t>
      </w:r>
      <w:r w:rsidRPr="006E18BF">
        <w:t xml:space="preserve">“Where the subject matter of an invention is made using genetic resources obtained from an entity, that entity may, in the permit, agreement or license granting the applicant access to the genetic resource or the right to use the genetic resource, require a patent applicant to include within a specification of any patent application and any patent issuing thereon, a statement specifying that the invention was made using the genetic resource and </w:t>
      </w:r>
      <w:r w:rsidRPr="006E18BF">
        <w:lastRenderedPageBreak/>
        <w:t>other relevant information.”</w:t>
      </w:r>
      <w:proofErr w:type="gramEnd"/>
      <w:r w:rsidRPr="006E18BF">
        <w:t xml:space="preserve">  In </w:t>
      </w:r>
      <w:r w:rsidR="00286808">
        <w:t>Article</w:t>
      </w:r>
      <w:r w:rsidRPr="006E18BF">
        <w:t xml:space="preserve"> 3.2</w:t>
      </w:r>
      <w:r w:rsidR="00286808">
        <w:t>,</w:t>
      </w:r>
      <w:r w:rsidRPr="006E18BF">
        <w:t xml:space="preserve"> it suggested bracketing “requirement” and inserting “of the geographic location where the genetic material was obtai</w:t>
      </w:r>
      <w:r w:rsidR="00286808">
        <w:t>ned</w:t>
      </w:r>
      <w:r w:rsidRPr="006E18BF">
        <w:t>”</w:t>
      </w:r>
      <w:r w:rsidR="00286808">
        <w:t xml:space="preserve">, and </w:t>
      </w:r>
      <w:proofErr w:type="gramStart"/>
      <w:r w:rsidR="00286808">
        <w:t>adding</w:t>
      </w:r>
      <w:proofErr w:type="gramEnd"/>
      <w:r w:rsidR="00286808">
        <w:t xml:space="preserve"> </w:t>
      </w:r>
      <w:r w:rsidR="00286808" w:rsidRPr="006E18BF">
        <w:t xml:space="preserve">“as well as an opportunity for applicants or patentees to correct any disclosures </w:t>
      </w:r>
      <w:r w:rsidR="00286808">
        <w:t>that are erroneous or incorrect”</w:t>
      </w:r>
      <w:r>
        <w:t xml:space="preserve"> </w:t>
      </w:r>
      <w:r w:rsidR="00286808">
        <w:t>after “disclosure requirement</w:t>
      </w:r>
      <w:r w:rsidRPr="006E18BF">
        <w:t>”</w:t>
      </w:r>
      <w:r w:rsidR="00286808">
        <w:t xml:space="preserve">. </w:t>
      </w:r>
      <w:r w:rsidRPr="006E18BF">
        <w:t xml:space="preserve"> In </w:t>
      </w:r>
      <w:r w:rsidR="00286808">
        <w:t>Article</w:t>
      </w:r>
      <w:r w:rsidRPr="006E18BF">
        <w:t xml:space="preserve"> 3.3, it suggested replacing </w:t>
      </w:r>
      <w:r w:rsidR="00286808" w:rsidRPr="006E18BF">
        <w:t>“declaration”</w:t>
      </w:r>
      <w:r w:rsidR="00286808">
        <w:t xml:space="preserve"> with “patent application</w:t>
      </w:r>
      <w:r w:rsidRPr="006E18BF">
        <w:t>”</w:t>
      </w:r>
      <w:r w:rsidR="00286808">
        <w:t>.</w:t>
      </w:r>
      <w:r w:rsidRPr="006E18BF">
        <w:t xml:space="preserve">  It suggested a new </w:t>
      </w:r>
      <w:r w:rsidR="00286808">
        <w:t>Article</w:t>
      </w:r>
      <w:r w:rsidRPr="006E18BF">
        <w:t xml:space="preserve"> 3.4 as follows: </w:t>
      </w:r>
      <w:r w:rsidR="00286808">
        <w:t xml:space="preserve"> </w:t>
      </w:r>
      <w:r w:rsidRPr="006E18BF">
        <w:t xml:space="preserve">“Patent Offices should publish the entire disclosure of the patent on the internet on the date of patent grant and should also make the contents of the patent application publicly accessible over the internet.”  </w:t>
      </w:r>
      <w:proofErr w:type="gramStart"/>
      <w:r w:rsidRPr="006E18BF">
        <w:t>It suggested add</w:t>
      </w:r>
      <w:r>
        <w:t>ing</w:t>
      </w:r>
      <w:r w:rsidRPr="006E18BF">
        <w:t xml:space="preserve"> a new </w:t>
      </w:r>
      <w:r w:rsidR="00286808">
        <w:t>Article</w:t>
      </w:r>
      <w:r w:rsidRPr="006E18BF">
        <w:t xml:space="preserve"> 3.6</w:t>
      </w:r>
      <w:r>
        <w:t>,</w:t>
      </w:r>
      <w:r w:rsidRPr="006E18BF">
        <w:t xml:space="preserve"> which read: </w:t>
      </w:r>
      <w:r w:rsidR="00286808">
        <w:t xml:space="preserve"> </w:t>
      </w:r>
      <w:r w:rsidRPr="006E18BF">
        <w:t>“Where access to a genetic resource or associated traditional knowledge is not necessary to make or use the invention, information regarding the source or origin of the genetic resource or associated traditional knowledge can be provided at any time after the filing date of the application and without payment of a fee.”</w:t>
      </w:r>
      <w:proofErr w:type="gramEnd"/>
    </w:p>
    <w:p w:rsidR="00353445" w:rsidRDefault="00353445" w:rsidP="00353445"/>
    <w:p w:rsidR="00353445" w:rsidRDefault="00353445" w:rsidP="00310121">
      <w:pPr>
        <w:pStyle w:val="ListParagraph"/>
        <w:numPr>
          <w:ilvl w:val="0"/>
          <w:numId w:val="4"/>
        </w:numPr>
        <w:ind w:left="0" w:firstLine="0"/>
      </w:pPr>
      <w:r w:rsidRPr="00353445">
        <w:t xml:space="preserve">The Delegation of India said </w:t>
      </w:r>
      <w:r>
        <w:t>that</w:t>
      </w:r>
      <w:r w:rsidRPr="00353445">
        <w:t xml:space="preserve"> the Indian Patent Act </w:t>
      </w:r>
      <w:r>
        <w:t>included a mandatory requirement</w:t>
      </w:r>
      <w:r w:rsidRPr="00353445">
        <w:t xml:space="preserve"> to disclose the source and geographical origin of biological material used in an</w:t>
      </w:r>
      <w:r>
        <w:t xml:space="preserve"> invention</w:t>
      </w:r>
      <w:r w:rsidRPr="00353445">
        <w:t xml:space="preserve">.  </w:t>
      </w:r>
      <w:r>
        <w:t>In</w:t>
      </w:r>
      <w:r w:rsidRPr="00353445">
        <w:t xml:space="preserve"> </w:t>
      </w:r>
      <w:r w:rsidR="009D30D8">
        <w:t>Article</w:t>
      </w:r>
      <w:r w:rsidRPr="00353445">
        <w:t xml:space="preserve"> 3.1</w:t>
      </w:r>
      <w:r w:rsidR="009D30D8">
        <w:t>,</w:t>
      </w:r>
      <w:r w:rsidRPr="00353445">
        <w:t xml:space="preserve"> it wished to have wording: </w:t>
      </w:r>
      <w:r w:rsidR="009D30D8">
        <w:t xml:space="preserve"> </w:t>
      </w:r>
      <w:r w:rsidRPr="00353445">
        <w:t>“</w:t>
      </w:r>
      <w:r>
        <w:t>T</w:t>
      </w:r>
      <w:r w:rsidRPr="00353445">
        <w:t>he subject matter within an IP rights application includes utilization of GR</w:t>
      </w:r>
      <w:r w:rsidR="00F609CF">
        <w:t>s, their derivatives</w:t>
      </w:r>
      <w:r w:rsidR="009D30D8">
        <w:t xml:space="preserve"> and/or TK associated</w:t>
      </w:r>
      <w:r w:rsidR="00F609CF">
        <w:t xml:space="preserve"> with</w:t>
      </w:r>
      <w:r w:rsidR="009D30D8">
        <w:t xml:space="preserve"> </w:t>
      </w:r>
      <w:r w:rsidRPr="00353445">
        <w:t>GRs</w:t>
      </w:r>
      <w:r>
        <w:t xml:space="preserve">. </w:t>
      </w:r>
      <w:r w:rsidR="009D30D8">
        <w:t xml:space="preserve"> </w:t>
      </w:r>
      <w:r>
        <w:t>E</w:t>
      </w:r>
      <w:r w:rsidRPr="00353445">
        <w:t>ach party</w:t>
      </w:r>
      <w:r>
        <w:t xml:space="preserve"> shall require applicants to </w:t>
      </w:r>
      <w:r w:rsidRPr="00353445">
        <w:t>disclose the country of origin or, if unknown,</w:t>
      </w:r>
      <w:r>
        <w:t xml:space="preserve"> the</w:t>
      </w:r>
      <w:r w:rsidRPr="00353445">
        <w:t xml:space="preserve"> source of the GRs</w:t>
      </w:r>
      <w:r>
        <w:t>,</w:t>
      </w:r>
      <w:r w:rsidR="00F609CF">
        <w:t xml:space="preserve"> their derivatives and/or TK associated with </w:t>
      </w:r>
      <w:r w:rsidRPr="00353445">
        <w:t>GRs.”</w:t>
      </w:r>
    </w:p>
    <w:p w:rsidR="00353445" w:rsidRDefault="00353445" w:rsidP="00353445"/>
    <w:p w:rsidR="00353445" w:rsidRDefault="00353445" w:rsidP="00310121">
      <w:pPr>
        <w:pStyle w:val="ListParagraph"/>
        <w:numPr>
          <w:ilvl w:val="0"/>
          <w:numId w:val="4"/>
        </w:numPr>
        <w:ind w:left="0" w:firstLine="0"/>
      </w:pPr>
      <w:r w:rsidRPr="00F35478">
        <w:t>The Delegation of Egypt said that disclosure was a critical part of the instrument and</w:t>
      </w:r>
      <w:r>
        <w:t xml:space="preserve"> of</w:t>
      </w:r>
      <w:r w:rsidRPr="00F35478">
        <w:t xml:space="preserve"> the IGC’s work. </w:t>
      </w:r>
      <w:r>
        <w:t xml:space="preserve"> I</w:t>
      </w:r>
      <w:r w:rsidRPr="00F35478">
        <w:t xml:space="preserve">t </w:t>
      </w:r>
      <w:r w:rsidR="007B119B">
        <w:t>suggested a</w:t>
      </w:r>
      <w:r>
        <w:t xml:space="preserve"> compromised text:</w:t>
      </w:r>
      <w:r w:rsidRPr="00F35478">
        <w:t xml:space="preserve"> </w:t>
      </w:r>
      <w:r w:rsidR="007B119B">
        <w:t xml:space="preserve"> </w:t>
      </w:r>
      <w:r>
        <w:t>“The subject matter w</w:t>
      </w:r>
      <w:r w:rsidRPr="00F35478">
        <w:t>ithin</w:t>
      </w:r>
      <w:r>
        <w:t xml:space="preserve"> an</w:t>
      </w:r>
      <w:r w:rsidRPr="00F35478">
        <w:t xml:space="preserve"> IP rights application is directly based on and/or includes utilization of GRs, their derivatives and/or </w:t>
      </w:r>
      <w:r w:rsidR="007B119B">
        <w:t xml:space="preserve">TK associated with </w:t>
      </w:r>
      <w:r>
        <w:t>GRs.  E</w:t>
      </w:r>
      <w:r w:rsidRPr="00F35478">
        <w:t>ach party shall require a</w:t>
      </w:r>
      <w:r>
        <w:t>pplicants to disclose its source, p</w:t>
      </w:r>
      <w:r w:rsidRPr="00F35478">
        <w:t>rovided that this disclosure provide</w:t>
      </w:r>
      <w:r>
        <w:t>s</w:t>
      </w:r>
      <w:r w:rsidRPr="00F35478">
        <w:t xml:space="preserve"> relevant information as required by national law regarding compliance with ABS requirements including PIC.</w:t>
      </w:r>
      <w:r>
        <w:t>”</w:t>
      </w:r>
      <w:r w:rsidRPr="00F35478">
        <w:t xml:space="preserve"> </w:t>
      </w:r>
    </w:p>
    <w:p w:rsidR="00353445" w:rsidRDefault="00353445" w:rsidP="00353445"/>
    <w:p w:rsidR="00EF454A" w:rsidRPr="00EF454A" w:rsidRDefault="00353445" w:rsidP="00310121">
      <w:pPr>
        <w:pStyle w:val="ListParagraph"/>
        <w:numPr>
          <w:ilvl w:val="0"/>
          <w:numId w:val="4"/>
        </w:numPr>
        <w:ind w:left="0" w:firstLine="0"/>
      </w:pPr>
      <w:r w:rsidRPr="00F35478">
        <w:t xml:space="preserve">The Delegation of Japan </w:t>
      </w:r>
      <w:r w:rsidRPr="00353445">
        <w:rPr>
          <w:rFonts w:eastAsia="MS Gothic" w:cstheme="majorHAnsi"/>
        </w:rPr>
        <w:t>did not see the need for adopting a mandatory disclosure requirement, which would not be the most effective way to address issues concerning GRs.  Intro</w:t>
      </w:r>
      <w:r w:rsidR="00E2187F">
        <w:rPr>
          <w:rFonts w:eastAsia="MS Gothic" w:cstheme="majorHAnsi"/>
        </w:rPr>
        <w:t>ducing a</w:t>
      </w:r>
      <w:r w:rsidRPr="00353445">
        <w:rPr>
          <w:rFonts w:eastAsia="MS Gothic" w:cstheme="majorHAnsi"/>
        </w:rPr>
        <w:t xml:space="preserve"> mandatory disclosure requirement into the patent system could unnecessarily create legal uncertainty, diminish predictability, and harm the patent system under the aim of complying with ABS, which had no direct connection with the patent system.  Eventually, the outcome of introducing the mandatory disclosure requirement would lead to discouraging </w:t>
      </w:r>
      <w:r w:rsidR="00E2187F">
        <w:rPr>
          <w:rFonts w:eastAsia="MS Gothic" w:cstheme="majorHAnsi"/>
        </w:rPr>
        <w:t>R&amp;D</w:t>
      </w:r>
      <w:r w:rsidRPr="00353445">
        <w:rPr>
          <w:rFonts w:eastAsia="MS Gothic" w:cstheme="majorHAnsi"/>
        </w:rPr>
        <w:t xml:space="preserve"> activities utilizing GRs.</w:t>
      </w:r>
    </w:p>
    <w:p w:rsidR="00EF454A" w:rsidRDefault="00EF454A" w:rsidP="00EF454A"/>
    <w:p w:rsidR="00EF454A" w:rsidRDefault="00EF454A" w:rsidP="00310121">
      <w:pPr>
        <w:pStyle w:val="ListParagraph"/>
        <w:numPr>
          <w:ilvl w:val="0"/>
          <w:numId w:val="4"/>
        </w:numPr>
        <w:ind w:left="0" w:firstLine="0"/>
      </w:pPr>
      <w:r w:rsidRPr="00F35478">
        <w:t xml:space="preserve">The Delegation of South Africa </w:t>
      </w:r>
      <w:r w:rsidR="00E2187F">
        <w:t>stated that o</w:t>
      </w:r>
      <w:r>
        <w:t>n</w:t>
      </w:r>
      <w:r w:rsidRPr="00F35478">
        <w:t xml:space="preserve"> the trigger</w:t>
      </w:r>
      <w:r>
        <w:t>,</w:t>
      </w:r>
      <w:r w:rsidRPr="00F35478">
        <w:t xml:space="preserve"> </w:t>
      </w:r>
      <w:r>
        <w:t xml:space="preserve">the term “utilization” had to refer to utilization </w:t>
      </w:r>
      <w:r w:rsidRPr="00F35478">
        <w:t xml:space="preserve">outside of the community </w:t>
      </w:r>
      <w:r>
        <w:t>of</w:t>
      </w:r>
      <w:r w:rsidRPr="00F35478">
        <w:t xml:space="preserve"> the knowledge holders. </w:t>
      </w:r>
      <w:r>
        <w:t xml:space="preserve"> </w:t>
      </w:r>
      <w:r w:rsidRPr="00F35478">
        <w:t xml:space="preserve">South Africa </w:t>
      </w:r>
      <w:r>
        <w:t>had</w:t>
      </w:r>
      <w:r w:rsidRPr="00F35478">
        <w:t xml:space="preserve"> very clear legislation</w:t>
      </w:r>
      <w:r>
        <w:t xml:space="preserve"> on biodiversity, which included </w:t>
      </w:r>
      <w:r w:rsidRPr="00F35478">
        <w:t xml:space="preserve">a new definition of GRs.  If </w:t>
      </w:r>
      <w:r>
        <w:t>the issue</w:t>
      </w:r>
      <w:r w:rsidRPr="00F35478">
        <w:t xml:space="preserve"> </w:t>
      </w:r>
      <w:proofErr w:type="gramStart"/>
      <w:r w:rsidRPr="00F35478">
        <w:t>was still tied</w:t>
      </w:r>
      <w:proofErr w:type="gramEnd"/>
      <w:r w:rsidRPr="00F35478">
        <w:t xml:space="preserve"> </w:t>
      </w:r>
      <w:r>
        <w:t>to</w:t>
      </w:r>
      <w:r w:rsidR="00E2187F">
        <w:t xml:space="preserve"> an old-</w:t>
      </w:r>
      <w:r w:rsidRPr="00F35478">
        <w:t xml:space="preserve">fashioned definition of </w:t>
      </w:r>
      <w:r>
        <w:t>“</w:t>
      </w:r>
      <w:r w:rsidRPr="00F35478">
        <w:t>utilization</w:t>
      </w:r>
      <w:r>
        <w:t>”</w:t>
      </w:r>
      <w:r w:rsidR="00E2187F">
        <w:t>,</w:t>
      </w:r>
      <w:r w:rsidRPr="00F35478">
        <w:t xml:space="preserve"> which ha</w:t>
      </w:r>
      <w:r>
        <w:t>d</w:t>
      </w:r>
      <w:r w:rsidRPr="00F35478">
        <w:t xml:space="preserve"> a limited scope of </w:t>
      </w:r>
      <w:r>
        <w:t>bioprospecting,</w:t>
      </w:r>
      <w:r w:rsidRPr="00F35478">
        <w:t xml:space="preserve"> it was undermining the use. </w:t>
      </w:r>
      <w:r>
        <w:t xml:space="preserve"> Utilization had to </w:t>
      </w:r>
      <w:proofErr w:type="gramStart"/>
      <w:r>
        <w:t>be understood</w:t>
      </w:r>
      <w:proofErr w:type="gramEnd"/>
      <w:r>
        <w:t xml:space="preserve"> in a broader context, </w:t>
      </w:r>
      <w:r w:rsidRPr="00F35478">
        <w:t xml:space="preserve">up to date with the technological changes that </w:t>
      </w:r>
      <w:r>
        <w:t>had</w:t>
      </w:r>
      <w:r w:rsidRPr="00F35478">
        <w:t xml:space="preserve"> taken place.    </w:t>
      </w:r>
    </w:p>
    <w:p w:rsidR="00EF454A" w:rsidRDefault="00EF454A" w:rsidP="00EF454A"/>
    <w:p w:rsidR="00EB7EDD" w:rsidRDefault="00EF454A" w:rsidP="00310121">
      <w:pPr>
        <w:pStyle w:val="ListParagraph"/>
        <w:numPr>
          <w:ilvl w:val="0"/>
          <w:numId w:val="4"/>
        </w:numPr>
        <w:ind w:left="0" w:firstLine="0"/>
      </w:pPr>
      <w:r w:rsidRPr="00F35478">
        <w:t xml:space="preserve">The representative of the International Law Association said </w:t>
      </w:r>
      <w:r>
        <w:t>he</w:t>
      </w:r>
      <w:r w:rsidRPr="00F35478">
        <w:t xml:space="preserve"> had carried out a few studi</w:t>
      </w:r>
      <w:r>
        <w:t>es on that</w:t>
      </w:r>
      <w:r w:rsidRPr="00F35478">
        <w:t xml:space="preserve"> specific question</w:t>
      </w:r>
      <w:r>
        <w:t>.  C</w:t>
      </w:r>
      <w:r w:rsidRPr="00F35478">
        <w:t>ertain national approaches focused on the link with patent law and disclosure upon filing a patent application</w:t>
      </w:r>
      <w:r>
        <w:t>.  W</w:t>
      </w:r>
      <w:r w:rsidRPr="00F35478">
        <w:t>hether or not the mentioned</w:t>
      </w:r>
      <w:r>
        <w:t xml:space="preserve"> patent</w:t>
      </w:r>
      <w:r w:rsidRPr="00F35478">
        <w:t xml:space="preserve"> relied upon TK in some form </w:t>
      </w:r>
      <w:r>
        <w:t xml:space="preserve">had to </w:t>
      </w:r>
      <w:proofErr w:type="gramStart"/>
      <w:r>
        <w:t>be disclosed</w:t>
      </w:r>
      <w:proofErr w:type="gramEnd"/>
      <w:r>
        <w:t>.  I</w:t>
      </w:r>
      <w:r w:rsidR="005F30E2">
        <w:t>f there</w:t>
      </w:r>
      <w:r w:rsidRPr="00F35478">
        <w:t xml:space="preserve"> </w:t>
      </w:r>
      <w:r>
        <w:t>were</w:t>
      </w:r>
      <w:r w:rsidRPr="00F35478">
        <w:t xml:space="preserve"> relevant national laws on access to TK, PIC and MAT </w:t>
      </w:r>
      <w:proofErr w:type="gramStart"/>
      <w:r>
        <w:t xml:space="preserve">should </w:t>
      </w:r>
      <w:r w:rsidRPr="00F35478">
        <w:t>be demonstrated or supplied to the patent office</w:t>
      </w:r>
      <w:proofErr w:type="gramEnd"/>
      <w:r w:rsidRPr="00F35478">
        <w:t xml:space="preserve">. </w:t>
      </w:r>
      <w:r>
        <w:t xml:space="preserve"> </w:t>
      </w:r>
      <w:r w:rsidRPr="00F35478">
        <w:t>If th</w:t>
      </w:r>
      <w:r>
        <w:t>o</w:t>
      </w:r>
      <w:r w:rsidRPr="00F35478">
        <w:t xml:space="preserve">se </w:t>
      </w:r>
      <w:proofErr w:type="gramStart"/>
      <w:r w:rsidRPr="00F35478">
        <w:t>were not supplied</w:t>
      </w:r>
      <w:proofErr w:type="gramEnd"/>
      <w:r w:rsidR="005F30E2">
        <w:t>,</w:t>
      </w:r>
      <w:r w:rsidRPr="00F35478">
        <w:t xml:space="preserve"> the patent could not</w:t>
      </w:r>
      <w:r>
        <w:t xml:space="preserve"> be granted.  If</w:t>
      </w:r>
      <w:r w:rsidRPr="00F35478">
        <w:t xml:space="preserve"> incomplete information </w:t>
      </w:r>
      <w:proofErr w:type="gramStart"/>
      <w:r w:rsidRPr="00F35478">
        <w:t>was provided</w:t>
      </w:r>
      <w:proofErr w:type="gramEnd"/>
      <w:r>
        <w:t>,</w:t>
      </w:r>
      <w:r w:rsidRPr="00F35478">
        <w:t xml:space="preserve"> that constituted fraud and the patent could be revoked on that basis.  </w:t>
      </w:r>
    </w:p>
    <w:p w:rsidR="00EB7EDD" w:rsidRDefault="00EB7EDD" w:rsidP="00EB7EDD"/>
    <w:p w:rsidR="001F136F" w:rsidRDefault="00EB7EDD" w:rsidP="00310121">
      <w:pPr>
        <w:pStyle w:val="ListParagraph"/>
        <w:numPr>
          <w:ilvl w:val="0"/>
          <w:numId w:val="4"/>
        </w:numPr>
        <w:ind w:left="0" w:firstLine="0"/>
      </w:pPr>
      <w:r w:rsidRPr="00F35478">
        <w:t xml:space="preserve">The Delegation of Indonesia, speaking on behalf </w:t>
      </w:r>
      <w:r w:rsidR="00B576E7">
        <w:t xml:space="preserve">of </w:t>
      </w:r>
      <w:r w:rsidRPr="00F35478">
        <w:t>the LMCs, said that in order to narrow the gap</w:t>
      </w:r>
      <w:r>
        <w:t>s</w:t>
      </w:r>
      <w:r w:rsidRPr="00F35478">
        <w:t xml:space="preserve">, </w:t>
      </w:r>
      <w:r w:rsidR="005A4B39">
        <w:t>clarity</w:t>
      </w:r>
      <w:r w:rsidRPr="00F35478">
        <w:t xml:space="preserve"> </w:t>
      </w:r>
      <w:proofErr w:type="gramStart"/>
      <w:r w:rsidRPr="00F35478">
        <w:t>needed to</w:t>
      </w:r>
      <w:r w:rsidR="005A4B39">
        <w:t xml:space="preserve"> be</w:t>
      </w:r>
      <w:r w:rsidRPr="00F35478">
        <w:t xml:space="preserve"> focus</w:t>
      </w:r>
      <w:r w:rsidR="005A4B39">
        <w:t>ed</w:t>
      </w:r>
      <w:proofErr w:type="gramEnd"/>
      <w:r w:rsidRPr="00F35478">
        <w:t xml:space="preserve"> on. </w:t>
      </w:r>
      <w:r>
        <w:t xml:space="preserve"> It agreed</w:t>
      </w:r>
      <w:r w:rsidRPr="00F35478">
        <w:t xml:space="preserve"> with the Delegat</w:t>
      </w:r>
      <w:r>
        <w:t>ion</w:t>
      </w:r>
      <w:r w:rsidRPr="00F35478">
        <w:t xml:space="preserve"> of Switzerland that the application of </w:t>
      </w:r>
      <w:r>
        <w:t>a disclosure requirement depended</w:t>
      </w:r>
      <w:r w:rsidRPr="00F35478">
        <w:t xml:space="preserve"> on the trigger</w:t>
      </w:r>
      <w:r>
        <w:t xml:space="preserve">.  </w:t>
      </w:r>
      <w:r w:rsidR="005A4B39">
        <w:t>Everyone</w:t>
      </w:r>
      <w:r w:rsidRPr="00F35478">
        <w:t xml:space="preserve"> need</w:t>
      </w:r>
      <w:r>
        <w:t>ed</w:t>
      </w:r>
      <w:r w:rsidRPr="00F35478">
        <w:t xml:space="preserve"> to be able to understand</w:t>
      </w:r>
      <w:r>
        <w:t xml:space="preserve"> how</w:t>
      </w:r>
      <w:r w:rsidRPr="00F35478">
        <w:t xml:space="preserve"> the trigger </w:t>
      </w:r>
      <w:r>
        <w:t>would</w:t>
      </w:r>
      <w:r w:rsidRPr="00F35478">
        <w:t xml:space="preserve"> link</w:t>
      </w:r>
      <w:r>
        <w:t xml:space="preserve"> </w:t>
      </w:r>
      <w:r w:rsidRPr="00F35478">
        <w:t xml:space="preserve">the claimed invention </w:t>
      </w:r>
      <w:r w:rsidR="00B576E7">
        <w:t>to</w:t>
      </w:r>
      <w:r>
        <w:t xml:space="preserve"> the </w:t>
      </w:r>
      <w:r w:rsidRPr="00F35478">
        <w:t xml:space="preserve">GRs and </w:t>
      </w:r>
      <w:r w:rsidR="005A4B39">
        <w:t xml:space="preserve">TK associated with </w:t>
      </w:r>
      <w:r>
        <w:t xml:space="preserve">GRs. </w:t>
      </w:r>
      <w:r w:rsidR="00B576E7">
        <w:t xml:space="preserve"> </w:t>
      </w:r>
      <w:r>
        <w:t>It preferred</w:t>
      </w:r>
      <w:r w:rsidRPr="00F35478">
        <w:t xml:space="preserve"> broader markers of proximity </w:t>
      </w:r>
      <w:r w:rsidR="00E96DE0">
        <w:t>creating the boundaries on</w:t>
      </w:r>
      <w:r w:rsidRPr="00F35478">
        <w:t xml:space="preserve"> which the benefit</w:t>
      </w:r>
      <w:r w:rsidR="00B83A0C">
        <w:noBreakHyphen/>
      </w:r>
      <w:r w:rsidRPr="00F35478">
        <w:t xml:space="preserve">sharing requirements </w:t>
      </w:r>
      <w:r>
        <w:t>would</w:t>
      </w:r>
      <w:r w:rsidRPr="00F35478">
        <w:t xml:space="preserve"> apply.  </w:t>
      </w:r>
      <w:r>
        <w:t>It</w:t>
      </w:r>
      <w:r w:rsidRPr="00F35478">
        <w:t xml:space="preserve"> support</w:t>
      </w:r>
      <w:r>
        <w:t xml:space="preserve">ed </w:t>
      </w:r>
      <w:r w:rsidR="00B576E7">
        <w:t>the</w:t>
      </w:r>
      <w:r>
        <w:t xml:space="preserve"> terms</w:t>
      </w:r>
      <w:r w:rsidRPr="00F35478">
        <w:t xml:space="preserve"> </w:t>
      </w:r>
      <w:r>
        <w:t>“</w:t>
      </w:r>
      <w:r w:rsidR="005A4B39">
        <w:t>utilization</w:t>
      </w:r>
      <w:r>
        <w:t>”</w:t>
      </w:r>
      <w:r w:rsidR="005A4B39">
        <w:t>,</w:t>
      </w:r>
      <w:r w:rsidRPr="00F35478">
        <w:t xml:space="preserve"> </w:t>
      </w:r>
      <w:r>
        <w:t>“</w:t>
      </w:r>
      <w:r w:rsidRPr="00F35478">
        <w:t xml:space="preserve">subsequent </w:t>
      </w:r>
      <w:r w:rsidRPr="00F35478">
        <w:lastRenderedPageBreak/>
        <w:t>app</w:t>
      </w:r>
      <w:r>
        <w:t>lication” and “commercialization”</w:t>
      </w:r>
      <w:r w:rsidR="00EA5C44">
        <w:t xml:space="preserve"> to be used to</w:t>
      </w:r>
      <w:r w:rsidRPr="00F35478">
        <w:t xml:space="preserve"> tri</w:t>
      </w:r>
      <w:r w:rsidR="00EA5C44">
        <w:t>gger fair and equitable benefit-</w:t>
      </w:r>
      <w:r w:rsidRPr="00F35478">
        <w:t>sharing obligations</w:t>
      </w:r>
      <w:r w:rsidR="00E96DE0">
        <w:t>, as</w:t>
      </w:r>
      <w:r w:rsidRPr="00F35478">
        <w:t xml:space="preserve"> outlined i</w:t>
      </w:r>
      <w:r>
        <w:t>n the Nagoya Protocol.  The use of</w:t>
      </w:r>
      <w:r w:rsidR="00E96DE0">
        <w:t xml:space="preserve"> </w:t>
      </w:r>
      <w:r w:rsidR="00EA5C44">
        <w:t>“</w:t>
      </w:r>
      <w:r w:rsidR="00E96DE0">
        <w:t>utilization</w:t>
      </w:r>
      <w:r w:rsidR="00EA5C44">
        <w:t>” as</w:t>
      </w:r>
      <w:r w:rsidRPr="00F35478">
        <w:t xml:space="preserve"> a trigger </w:t>
      </w:r>
      <w:r>
        <w:t>was</w:t>
      </w:r>
      <w:r w:rsidRPr="00F35478">
        <w:t xml:space="preserve"> consistent with the Nagoya Protocol</w:t>
      </w:r>
      <w:r>
        <w:t xml:space="preserve">. </w:t>
      </w:r>
      <w:r w:rsidRPr="00F35478">
        <w:t xml:space="preserve"> </w:t>
      </w:r>
      <w:r>
        <w:t>A</w:t>
      </w:r>
      <w:r w:rsidRPr="00F35478">
        <w:t xml:space="preserve"> narrow interpretation excluded the application of disclosure for subject matter </w:t>
      </w:r>
      <w:r>
        <w:t xml:space="preserve">simply based on a source of </w:t>
      </w:r>
      <w:r w:rsidR="00E96DE0">
        <w:t xml:space="preserve">a non-tangible source of </w:t>
      </w:r>
      <w:r>
        <w:t>bio-</w:t>
      </w:r>
      <w:r w:rsidRPr="00F35478">
        <w:t xml:space="preserve">information and </w:t>
      </w:r>
      <w:r>
        <w:t>that had to be</w:t>
      </w:r>
      <w:r w:rsidRPr="00F35478">
        <w:t xml:space="preserve"> included as well.  </w:t>
      </w:r>
      <w:r>
        <w:t xml:space="preserve">Exceptions and limitations </w:t>
      </w:r>
      <w:r w:rsidRPr="00F35478">
        <w:t xml:space="preserve">should be </w:t>
      </w:r>
      <w:proofErr w:type="gramStart"/>
      <w:r w:rsidRPr="00F35478">
        <w:t>simple and straightforward</w:t>
      </w:r>
      <w:proofErr w:type="gramEnd"/>
      <w:r w:rsidRPr="00F35478">
        <w:t xml:space="preserve"> and not too extensive </w:t>
      </w:r>
      <w:r>
        <w:t xml:space="preserve">so as not to </w:t>
      </w:r>
      <w:r w:rsidRPr="00F35478">
        <w:t xml:space="preserve">compromise the scope of </w:t>
      </w:r>
      <w:r w:rsidR="00E96DE0">
        <w:t xml:space="preserve">protection of the </w:t>
      </w:r>
      <w:r w:rsidR="00EA5C44">
        <w:t xml:space="preserve">subject matter. </w:t>
      </w:r>
    </w:p>
    <w:p w:rsidR="001F136F" w:rsidRDefault="001F136F" w:rsidP="001F136F"/>
    <w:p w:rsidR="001F136F" w:rsidRDefault="001F136F" w:rsidP="00310121">
      <w:pPr>
        <w:pStyle w:val="ListParagraph"/>
        <w:numPr>
          <w:ilvl w:val="0"/>
          <w:numId w:val="4"/>
        </w:numPr>
        <w:ind w:left="0" w:firstLine="0"/>
      </w:pPr>
      <w:r w:rsidRPr="00F35478">
        <w:t xml:space="preserve">The Delegation of </w:t>
      </w:r>
      <w:r w:rsidR="006E31C3">
        <w:t xml:space="preserve">the Plurinational State of </w:t>
      </w:r>
      <w:r w:rsidRPr="00F35478">
        <w:t>Bolivia</w:t>
      </w:r>
      <w:r>
        <w:t xml:space="preserve"> said</w:t>
      </w:r>
      <w:r w:rsidRPr="00F35478">
        <w:t xml:space="preserve"> that </w:t>
      </w:r>
      <w:r>
        <w:t xml:space="preserve">Article 3 </w:t>
      </w:r>
      <w:r w:rsidRPr="00F35478">
        <w:t>should cover applications for IP rights when an invention us</w:t>
      </w:r>
      <w:r>
        <w:t>ed</w:t>
      </w:r>
      <w:r w:rsidRPr="00F35478">
        <w:t xml:space="preserve"> GRs</w:t>
      </w:r>
      <w:r>
        <w:t>,</w:t>
      </w:r>
      <w:r w:rsidRPr="00F35478">
        <w:t xml:space="preserve"> </w:t>
      </w:r>
      <w:r>
        <w:t xml:space="preserve">its </w:t>
      </w:r>
      <w:r w:rsidRPr="00F35478">
        <w:t>derivatives and TK</w:t>
      </w:r>
      <w:r w:rsidR="00EA5C44">
        <w:t xml:space="preserve"> associated with </w:t>
      </w:r>
      <w:r>
        <w:t>GRs</w:t>
      </w:r>
      <w:r w:rsidRPr="00F35478">
        <w:t xml:space="preserve">.  </w:t>
      </w:r>
      <w:r w:rsidR="00EA5C44">
        <w:t>Article</w:t>
      </w:r>
      <w:r w:rsidRPr="00F35478">
        <w:t xml:space="preserve"> </w:t>
      </w:r>
      <w:r w:rsidR="00EA5C44">
        <w:t>3.</w:t>
      </w:r>
      <w:r w:rsidRPr="00F35478">
        <w:t>3</w:t>
      </w:r>
      <w:r>
        <w:t>(</w:t>
      </w:r>
      <w:r w:rsidRPr="00F35478">
        <w:t>5</w:t>
      </w:r>
      <w:r>
        <w:t>)</w:t>
      </w:r>
      <w:r w:rsidRPr="00F35478">
        <w:t xml:space="preserve"> was pertinent and useful for the instrument, </w:t>
      </w:r>
      <w:r>
        <w:t>and was</w:t>
      </w:r>
      <w:r w:rsidRPr="00F35478">
        <w:t xml:space="preserve"> in line with the terms of reference of the IGC, i.e. to design an instrument </w:t>
      </w:r>
      <w:r>
        <w:t xml:space="preserve">in line with the </w:t>
      </w:r>
      <w:r w:rsidR="00EA5C44">
        <w:t>SDGs</w:t>
      </w:r>
      <w:r>
        <w:t>, particularly Target 15.  The p</w:t>
      </w:r>
      <w:r w:rsidRPr="00F35478">
        <w:t xml:space="preserve">atenting of GRs without </w:t>
      </w:r>
      <w:r>
        <w:t>any inventive step created</w:t>
      </w:r>
      <w:r w:rsidRPr="00F35478">
        <w:t xml:space="preserve"> an imbalance </w:t>
      </w:r>
      <w:r>
        <w:t>that needed</w:t>
      </w:r>
      <w:r w:rsidRPr="00F35478">
        <w:t xml:space="preserve"> to </w:t>
      </w:r>
      <w:proofErr w:type="gramStart"/>
      <w:r w:rsidRPr="00F35478">
        <w:t>be corrected</w:t>
      </w:r>
      <w:proofErr w:type="gramEnd"/>
      <w:r w:rsidRPr="00F35478">
        <w:t>.  Th</w:t>
      </w:r>
      <w:r>
        <w:t xml:space="preserve">e preamble </w:t>
      </w:r>
      <w:r w:rsidRPr="00F35478">
        <w:t xml:space="preserve">already </w:t>
      </w:r>
      <w:r>
        <w:t xml:space="preserve">included </w:t>
      </w:r>
      <w:r w:rsidRPr="00F35478">
        <w:t>a paragraph concerning the paten</w:t>
      </w:r>
      <w:r>
        <w:t>ting of genes and it needed</w:t>
      </w:r>
      <w:r w:rsidRPr="00F35478">
        <w:t xml:space="preserve"> to be included in the body of the instrument.  The disclosure of the source </w:t>
      </w:r>
      <w:r>
        <w:t>was</w:t>
      </w:r>
      <w:r w:rsidRPr="00F35478">
        <w:t xml:space="preserve"> very important</w:t>
      </w:r>
      <w:r>
        <w:t>,</w:t>
      </w:r>
      <w:r w:rsidRPr="00F35478">
        <w:t xml:space="preserve"> since GRs </w:t>
      </w:r>
      <w:proofErr w:type="gramStart"/>
      <w:r w:rsidRPr="00F35478">
        <w:t>should not be patented</w:t>
      </w:r>
      <w:proofErr w:type="gramEnd"/>
      <w:r w:rsidRPr="00F35478">
        <w:t xml:space="preserve"> </w:t>
      </w:r>
      <w:r>
        <w:t xml:space="preserve">after </w:t>
      </w:r>
      <w:r w:rsidRPr="00F35478">
        <w:t xml:space="preserve">having </w:t>
      </w:r>
      <w:r>
        <w:t>been isolated from their source.  Th</w:t>
      </w:r>
      <w:r w:rsidRPr="00F35478">
        <w:t>e disclosure of the source applie</w:t>
      </w:r>
      <w:r>
        <w:t>d</w:t>
      </w:r>
      <w:r w:rsidRPr="00F35478">
        <w:t xml:space="preserve"> to any use of GRs</w:t>
      </w:r>
      <w:r>
        <w:t xml:space="preserve">.  </w:t>
      </w:r>
      <w:r w:rsidR="00EA5C44">
        <w:t>Article</w:t>
      </w:r>
      <w:r>
        <w:t xml:space="preserve"> 3.5 filled a gap in the instrument.  </w:t>
      </w:r>
      <w:r w:rsidRPr="00F35478">
        <w:t>GRs</w:t>
      </w:r>
      <w:r w:rsidR="00EA5C44">
        <w:t>,</w:t>
      </w:r>
      <w:r w:rsidRPr="00F35478">
        <w:t xml:space="preserve"> as they </w:t>
      </w:r>
      <w:proofErr w:type="gramStart"/>
      <w:r>
        <w:t>were</w:t>
      </w:r>
      <w:r w:rsidRPr="00F35478">
        <w:t xml:space="preserve"> found</w:t>
      </w:r>
      <w:proofErr w:type="gramEnd"/>
      <w:r w:rsidRPr="00F35478">
        <w:t xml:space="preserve"> in nature</w:t>
      </w:r>
      <w:r w:rsidR="00EA5C44">
        <w:t>,</w:t>
      </w:r>
      <w:r w:rsidRPr="00F35478">
        <w:t xml:space="preserve"> should not be considered as inventions.  </w:t>
      </w:r>
    </w:p>
    <w:p w:rsidR="001F136F" w:rsidRDefault="001F136F" w:rsidP="001F136F"/>
    <w:p w:rsidR="00D435A4" w:rsidRDefault="001F136F" w:rsidP="00310121">
      <w:pPr>
        <w:pStyle w:val="ListParagraph"/>
        <w:numPr>
          <w:ilvl w:val="0"/>
          <w:numId w:val="4"/>
        </w:numPr>
        <w:ind w:left="0" w:firstLine="0"/>
      </w:pPr>
      <w:r w:rsidRPr="00F35478">
        <w:t xml:space="preserve">The Delegation of China </w:t>
      </w:r>
      <w:r>
        <w:t>said</w:t>
      </w:r>
      <w:r w:rsidRPr="00F35478">
        <w:t xml:space="preserve"> that disclosure should be mandatory.  </w:t>
      </w:r>
      <w:r>
        <w:t>O</w:t>
      </w:r>
      <w:r w:rsidRPr="00F35478">
        <w:t xml:space="preserve">n the question of </w:t>
      </w:r>
      <w:r>
        <w:t xml:space="preserve">the </w:t>
      </w:r>
      <w:r w:rsidRPr="00F35478">
        <w:t xml:space="preserve">trigger, </w:t>
      </w:r>
      <w:r>
        <w:t>its</w:t>
      </w:r>
      <w:r w:rsidRPr="00F35478">
        <w:t xml:space="preserve"> patent law ha</w:t>
      </w:r>
      <w:r>
        <w:t>d</w:t>
      </w:r>
      <w:r w:rsidRPr="00F35478">
        <w:t xml:space="preserve"> laid down the principles for disclosure and </w:t>
      </w:r>
      <w:r>
        <w:t>for</w:t>
      </w:r>
      <w:r w:rsidRPr="00F35478">
        <w:t xml:space="preserve"> the materials for the patent application</w:t>
      </w:r>
      <w:r>
        <w:t xml:space="preserve">.  It agreed </w:t>
      </w:r>
      <w:r w:rsidR="00EA5C44">
        <w:t xml:space="preserve">that </w:t>
      </w:r>
      <w:r>
        <w:t>“</w:t>
      </w:r>
      <w:r w:rsidRPr="00F35478">
        <w:t>based on</w:t>
      </w:r>
      <w:r>
        <w:t>”</w:t>
      </w:r>
      <w:r w:rsidRPr="00F35478">
        <w:t xml:space="preserve"> </w:t>
      </w:r>
      <w:r>
        <w:t>and</w:t>
      </w:r>
      <w:r w:rsidRPr="00F35478">
        <w:t xml:space="preserve"> </w:t>
      </w:r>
      <w:r>
        <w:t>“</w:t>
      </w:r>
      <w:r w:rsidRPr="00F35478">
        <w:t>utilizatio</w:t>
      </w:r>
      <w:r w:rsidR="00EA5C44">
        <w:t>n</w:t>
      </w:r>
      <w:r>
        <w:t>” should both be included</w:t>
      </w:r>
      <w:r w:rsidRPr="00F35478">
        <w:t xml:space="preserve">.    </w:t>
      </w:r>
    </w:p>
    <w:p w:rsidR="00D435A4" w:rsidRDefault="00D435A4" w:rsidP="00D435A4"/>
    <w:p w:rsidR="00D435A4" w:rsidRPr="008E30DB" w:rsidRDefault="00D435A4" w:rsidP="00310121">
      <w:pPr>
        <w:pStyle w:val="ListParagraph"/>
        <w:numPr>
          <w:ilvl w:val="0"/>
          <w:numId w:val="4"/>
        </w:numPr>
        <w:ind w:left="0" w:firstLine="0"/>
      </w:pPr>
      <w:r w:rsidRPr="00F35478">
        <w:t xml:space="preserve">The Delegation of Uganda supported the </w:t>
      </w:r>
      <w:r w:rsidR="004550D9">
        <w:t>comments made by the Delegation</w:t>
      </w:r>
      <w:r w:rsidRPr="00F35478">
        <w:t xml:space="preserve"> of Morocco</w:t>
      </w:r>
      <w:r w:rsidR="004550D9">
        <w:t>,</w:t>
      </w:r>
      <w:r w:rsidRPr="00F35478">
        <w:t xml:space="preserve"> on behalf African Group</w:t>
      </w:r>
      <w:r w:rsidR="004550D9">
        <w:t>,</w:t>
      </w:r>
      <w:r w:rsidRPr="00F35478">
        <w:t xml:space="preserve"> and </w:t>
      </w:r>
      <w:r w:rsidR="004550D9">
        <w:t xml:space="preserve">the Delegation </w:t>
      </w:r>
      <w:r w:rsidRPr="00F35478">
        <w:t>of Indonesia</w:t>
      </w:r>
      <w:r w:rsidR="004550D9">
        <w:t>,</w:t>
      </w:r>
      <w:r w:rsidRPr="00F35478">
        <w:t xml:space="preserve"> on behalf the LMCs.  </w:t>
      </w:r>
      <w:r w:rsidR="004550D9">
        <w:t>T</w:t>
      </w:r>
      <w:r w:rsidRPr="00F35478">
        <w:t xml:space="preserve">he subject matter of the </w:t>
      </w:r>
      <w:r>
        <w:t xml:space="preserve">IP </w:t>
      </w:r>
      <w:r w:rsidRPr="00F35478">
        <w:t xml:space="preserve">application </w:t>
      </w:r>
      <w:r>
        <w:t>had to be</w:t>
      </w:r>
      <w:r w:rsidRPr="00F35478">
        <w:t xml:space="preserve"> sufficiently related to GRs and associated TK</w:t>
      </w:r>
      <w:r>
        <w:t xml:space="preserve"> </w:t>
      </w:r>
      <w:proofErr w:type="gramStart"/>
      <w:r>
        <w:t>so a</w:t>
      </w:r>
      <w:r w:rsidRPr="00F35478">
        <w:t>s to</w:t>
      </w:r>
      <w:proofErr w:type="gramEnd"/>
      <w:r w:rsidRPr="00F35478">
        <w:t xml:space="preserve"> require the disclosure of relevant information.  In Uganda</w:t>
      </w:r>
      <w:r w:rsidR="004550D9">
        <w:t>,</w:t>
      </w:r>
      <w:r w:rsidRPr="00F35478">
        <w:t xml:space="preserve"> the Industri</w:t>
      </w:r>
      <w:r>
        <w:t>al Property Act of 2014 provided</w:t>
      </w:r>
      <w:r w:rsidRPr="00F35478">
        <w:t xml:space="preserve"> for a trigger.  The applicant </w:t>
      </w:r>
      <w:r>
        <w:t>was</w:t>
      </w:r>
      <w:r w:rsidRPr="00F35478">
        <w:t xml:space="preserve"> required to provide a clear identification </w:t>
      </w:r>
      <w:r>
        <w:t>of the origin of genetic or bio</w:t>
      </w:r>
      <w:r w:rsidRPr="00F35478">
        <w:t xml:space="preserve">logical resources collected in the territory of Uganda and that </w:t>
      </w:r>
      <w:r>
        <w:t>either</w:t>
      </w:r>
      <w:r w:rsidRPr="00F35478">
        <w:t xml:space="preserve"> directly or indirectly used in the making of a claimed invention as well as of element</w:t>
      </w:r>
      <w:r>
        <w:t>s</w:t>
      </w:r>
      <w:r w:rsidRPr="00F35478">
        <w:t xml:space="preserve"> of TK associa</w:t>
      </w:r>
      <w:r>
        <w:t xml:space="preserve">ted or not with those </w:t>
      </w:r>
      <w:r w:rsidRPr="008E30DB">
        <w:t xml:space="preserve">resources.  </w:t>
      </w:r>
      <w:r w:rsidR="004550D9" w:rsidRPr="008E30DB">
        <w:t>Some d</w:t>
      </w:r>
      <w:r w:rsidRPr="008E30DB">
        <w:t xml:space="preserve">elegations had expressed the view that the obligation to disclose </w:t>
      </w:r>
      <w:proofErr w:type="gramStart"/>
      <w:r w:rsidRPr="008E30DB">
        <w:t>be triggered</w:t>
      </w:r>
      <w:proofErr w:type="gramEnd"/>
      <w:r w:rsidRPr="008E30DB">
        <w:t xml:space="preserve"> only if the applicant had physical access or direct access to the GRs used.  However, the rapid evolution of genetic manipulation and sequestering of genomes created a situation where direct access to GRs </w:t>
      </w:r>
      <w:proofErr w:type="gramStart"/>
      <w:r w:rsidRPr="008E30DB">
        <w:t>might be avoided</w:t>
      </w:r>
      <w:proofErr w:type="gramEnd"/>
      <w:r w:rsidRPr="008E30DB">
        <w:t xml:space="preserve">.  It therefore preferred the broad term of “utilization” of GRs.  </w:t>
      </w:r>
    </w:p>
    <w:p w:rsidR="00D435A4" w:rsidRDefault="00D435A4" w:rsidP="00D435A4"/>
    <w:p w:rsidR="00D435A4" w:rsidRDefault="00D435A4" w:rsidP="00310121">
      <w:pPr>
        <w:pStyle w:val="ListParagraph"/>
        <w:numPr>
          <w:ilvl w:val="0"/>
          <w:numId w:val="4"/>
        </w:numPr>
        <w:ind w:left="0" w:firstLine="0"/>
      </w:pPr>
      <w:r w:rsidRPr="00F35478">
        <w:t xml:space="preserve">The Delegation of India said that since the disclosure requirement was mandatory as per </w:t>
      </w:r>
      <w:r>
        <w:t>its patent l</w:t>
      </w:r>
      <w:r w:rsidRPr="00F35478">
        <w:t>aw</w:t>
      </w:r>
      <w:r>
        <w:t>,</w:t>
      </w:r>
      <w:r w:rsidRPr="00F35478">
        <w:t xml:space="preserve"> there was no scope for an exceptions and limitations article.    </w:t>
      </w:r>
    </w:p>
    <w:p w:rsidR="00D435A4" w:rsidRDefault="00D435A4" w:rsidP="00D435A4"/>
    <w:p w:rsidR="003C2686" w:rsidRDefault="00D435A4" w:rsidP="00310121">
      <w:pPr>
        <w:pStyle w:val="ListParagraph"/>
        <w:numPr>
          <w:ilvl w:val="0"/>
          <w:numId w:val="4"/>
        </w:numPr>
        <w:ind w:left="0" w:firstLine="0"/>
      </w:pPr>
      <w:r w:rsidRPr="00F35478">
        <w:t xml:space="preserve">The </w:t>
      </w:r>
      <w:r w:rsidRPr="005F39E6">
        <w:t>Delegation</w:t>
      </w:r>
      <w:r w:rsidRPr="00F35478">
        <w:t xml:space="preserve"> of </w:t>
      </w:r>
      <w:r>
        <w:t xml:space="preserve">Sri Lanka said that </w:t>
      </w:r>
      <w:r w:rsidRPr="00F35478">
        <w:t xml:space="preserve">the IP regime </w:t>
      </w:r>
      <w:r>
        <w:t>had to be</w:t>
      </w:r>
      <w:r w:rsidRPr="00F35478">
        <w:t xml:space="preserve"> in agreement with the Nagoya P</w:t>
      </w:r>
      <w:r>
        <w:t>rotocol to facilitate a</w:t>
      </w:r>
      <w:r w:rsidRPr="00F35478">
        <w:t xml:space="preserve"> more practical implementation.  </w:t>
      </w:r>
      <w:r>
        <w:t>T</w:t>
      </w:r>
      <w:r w:rsidRPr="00F35478">
        <w:t>he inclusion of the term “utilization” was necessary in order to agree with the Nagoya Protocol</w:t>
      </w:r>
      <w:r>
        <w:t xml:space="preserve">.  Disclosure had to be </w:t>
      </w:r>
      <w:r w:rsidRPr="00F35478">
        <w:t xml:space="preserve">mandatory </w:t>
      </w:r>
      <w:r>
        <w:t>for</w:t>
      </w:r>
      <w:r w:rsidRPr="00F35478">
        <w:t xml:space="preserve"> GRs</w:t>
      </w:r>
      <w:r>
        <w:t xml:space="preserve">, </w:t>
      </w:r>
      <w:r w:rsidRPr="00F35478">
        <w:t xml:space="preserve">TK and </w:t>
      </w:r>
      <w:r>
        <w:t>TCEs</w:t>
      </w:r>
      <w:r w:rsidRPr="00F35478">
        <w:t xml:space="preserve">.    </w:t>
      </w:r>
    </w:p>
    <w:p w:rsidR="003C2686" w:rsidRDefault="003C2686" w:rsidP="003C2686"/>
    <w:p w:rsidR="003C2686" w:rsidRPr="003C2686" w:rsidRDefault="003C2686" w:rsidP="00310121">
      <w:pPr>
        <w:pStyle w:val="ListParagraph"/>
        <w:numPr>
          <w:ilvl w:val="0"/>
          <w:numId w:val="4"/>
        </w:numPr>
        <w:ind w:left="0" w:firstLine="0"/>
      </w:pPr>
      <w:r w:rsidRPr="005F39E6">
        <w:t xml:space="preserve">The Chair </w:t>
      </w:r>
      <w:r w:rsidRPr="003C2686">
        <w:rPr>
          <w:rFonts w:cs="Courier New"/>
        </w:rPr>
        <w:t xml:space="preserve">opened the floor for comments on the content of disclosure. </w:t>
      </w:r>
    </w:p>
    <w:p w:rsidR="003C2686" w:rsidRPr="003C2686" w:rsidRDefault="003C2686" w:rsidP="003C2686">
      <w:pPr>
        <w:rPr>
          <w:rFonts w:cs="Courier New"/>
        </w:rPr>
      </w:pPr>
    </w:p>
    <w:p w:rsidR="00F60C19" w:rsidRPr="00F60C19" w:rsidRDefault="00963B84" w:rsidP="00310121">
      <w:pPr>
        <w:pStyle w:val="ListParagraph"/>
        <w:numPr>
          <w:ilvl w:val="0"/>
          <w:numId w:val="4"/>
        </w:numPr>
        <w:ind w:left="0" w:firstLine="0"/>
      </w:pPr>
      <w:r>
        <w:rPr>
          <w:rFonts w:cs="Courier New"/>
        </w:rPr>
        <w:t>The Delegation of Canada</w:t>
      </w:r>
      <w:r w:rsidR="003C2686" w:rsidRPr="003C2686">
        <w:rPr>
          <w:rFonts w:cs="Courier New"/>
        </w:rPr>
        <w:t xml:space="preserve"> looked forward to better understanding the terms under discussion, including “dire</w:t>
      </w:r>
      <w:r>
        <w:rPr>
          <w:rFonts w:cs="Courier New"/>
        </w:rPr>
        <w:t>ctly based on” and “utilization</w:t>
      </w:r>
      <w:r w:rsidR="003C2686" w:rsidRPr="003C2686">
        <w:rPr>
          <w:rFonts w:cs="Courier New"/>
        </w:rPr>
        <w:t>”</w:t>
      </w:r>
      <w:r>
        <w:rPr>
          <w:rFonts w:cs="Courier New"/>
        </w:rPr>
        <w:t>,</w:t>
      </w:r>
      <w:r w:rsidR="003C2686" w:rsidRPr="003C2686">
        <w:rPr>
          <w:rFonts w:cs="Courier New"/>
        </w:rPr>
        <w:t xml:space="preserve"> on the basis of the concrete experiences of Member States applying those terms in practice as well as on the ex</w:t>
      </w:r>
      <w:r>
        <w:rPr>
          <w:rFonts w:cs="Courier New"/>
        </w:rPr>
        <w:t>perience of users navigating tho</w:t>
      </w:r>
      <w:r w:rsidR="003C2686" w:rsidRPr="003C2686">
        <w:rPr>
          <w:rFonts w:cs="Courier New"/>
        </w:rPr>
        <w:t>se concepts.  While it acknowledged and appreciated that there were</w:t>
      </w:r>
      <w:r w:rsidR="003C2686">
        <w:rPr>
          <w:rFonts w:cs="Courier New"/>
        </w:rPr>
        <w:t xml:space="preserve"> databases of</w:t>
      </w:r>
      <w:r w:rsidR="003C2686" w:rsidRPr="003C2686">
        <w:rPr>
          <w:rFonts w:cs="Courier New"/>
        </w:rPr>
        <w:t xml:space="preserve"> Member States legislation on disclosure requirements, what it was mostly interested in was not so much the legislation that was on paper, but rather how that legislation </w:t>
      </w:r>
      <w:proofErr w:type="gramStart"/>
      <w:r w:rsidR="003C2686" w:rsidRPr="003C2686">
        <w:rPr>
          <w:rFonts w:cs="Courier New"/>
        </w:rPr>
        <w:t>was actually implemented</w:t>
      </w:r>
      <w:proofErr w:type="gramEnd"/>
      <w:r w:rsidR="003C2686" w:rsidRPr="003C2686">
        <w:rPr>
          <w:rFonts w:cs="Courier New"/>
        </w:rPr>
        <w:t xml:space="preserve"> in practice.  For example, it wished to know how “directly based on” and “utilization” were concretely implemented in actual practice by the IP or patent offices of countries using those terms in their legislation.  That would help advance the work by enriching </w:t>
      </w:r>
      <w:r w:rsidR="003C2686" w:rsidRPr="003C2686">
        <w:rPr>
          <w:rFonts w:cs="Courier New"/>
        </w:rPr>
        <w:lastRenderedPageBreak/>
        <w:t>the discussions with the con</w:t>
      </w:r>
      <w:r>
        <w:rPr>
          <w:rFonts w:cs="Courier New"/>
        </w:rPr>
        <w:t>crete relatable experiences of</w:t>
      </w:r>
      <w:r w:rsidR="003C2686" w:rsidRPr="003C2686">
        <w:rPr>
          <w:rFonts w:cs="Courier New"/>
        </w:rPr>
        <w:t xml:space="preserve"> Member States, rather than </w:t>
      </w:r>
      <w:proofErr w:type="gramStart"/>
      <w:r w:rsidR="003C2686" w:rsidRPr="003C2686">
        <w:rPr>
          <w:rFonts w:cs="Courier New"/>
        </w:rPr>
        <w:t>on the basis of</w:t>
      </w:r>
      <w:proofErr w:type="gramEnd"/>
      <w:r w:rsidR="003C2686" w:rsidRPr="003C2686">
        <w:rPr>
          <w:rFonts w:cs="Courier New"/>
        </w:rPr>
        <w:t xml:space="preserve"> abstract language.  </w:t>
      </w:r>
      <w:r w:rsidR="003C2686">
        <w:rPr>
          <w:rFonts w:cs="Courier New"/>
        </w:rPr>
        <w:t>W</w:t>
      </w:r>
      <w:r w:rsidR="003C2686" w:rsidRPr="003C2686">
        <w:rPr>
          <w:rFonts w:cs="Courier New"/>
        </w:rPr>
        <w:t>hile “directly based on” aimed at establishing a closer relationship between the GR and the claimed invention than some other triggers, that concept was still unclear, since the definition contained equally unclear elements, i</w:t>
      </w:r>
      <w:r>
        <w:rPr>
          <w:rFonts w:cs="Courier New"/>
        </w:rPr>
        <w:t>ncluding “make immediate use of</w:t>
      </w:r>
      <w:r w:rsidR="003C2686" w:rsidRPr="003C2686">
        <w:rPr>
          <w:rFonts w:cs="Courier New"/>
        </w:rPr>
        <w:t>”</w:t>
      </w:r>
      <w:r>
        <w:rPr>
          <w:rFonts w:cs="Courier New"/>
        </w:rPr>
        <w:t>,</w:t>
      </w:r>
      <w:r w:rsidR="003C2686" w:rsidRPr="003C2686">
        <w:rPr>
          <w:rFonts w:cs="Courier New"/>
        </w:rPr>
        <w:t xml:space="preserve"> which was rather similar to “directly based on” itself such that the definition was somewhat recursive. </w:t>
      </w:r>
      <w:r w:rsidR="003C2686">
        <w:rPr>
          <w:rFonts w:cs="Courier New"/>
        </w:rPr>
        <w:t xml:space="preserve"> </w:t>
      </w:r>
      <w:r w:rsidR="003C2686" w:rsidRPr="003C2686">
        <w:rPr>
          <w:rFonts w:cs="Courier New"/>
        </w:rPr>
        <w:t>On “utilization”</w:t>
      </w:r>
      <w:r>
        <w:rPr>
          <w:rFonts w:cs="Courier New"/>
        </w:rPr>
        <w:t>,</w:t>
      </w:r>
      <w:r w:rsidR="003C2686" w:rsidRPr="003C2686">
        <w:rPr>
          <w:rFonts w:cs="Courier New"/>
        </w:rPr>
        <w:t xml:space="preserve"> it was equally unclear how conducting </w:t>
      </w:r>
      <w:r>
        <w:rPr>
          <w:rFonts w:cs="Courier New"/>
        </w:rPr>
        <w:t>R&amp;D</w:t>
      </w:r>
      <w:r w:rsidR="003C2686" w:rsidRPr="003C2686">
        <w:rPr>
          <w:rFonts w:cs="Courier New"/>
        </w:rPr>
        <w:t xml:space="preserve"> or conservation, for example, had direct IP implications.  For example, if </w:t>
      </w:r>
      <w:r>
        <w:rPr>
          <w:rFonts w:cs="Courier New"/>
        </w:rPr>
        <w:t>R&amp;D</w:t>
      </w:r>
      <w:r w:rsidR="003C2686" w:rsidRPr="003C2686">
        <w:rPr>
          <w:rFonts w:cs="Courier New"/>
        </w:rPr>
        <w:t xml:space="preserve"> occurred</w:t>
      </w:r>
      <w:r w:rsidR="003C2686">
        <w:rPr>
          <w:rFonts w:cs="Courier New"/>
        </w:rPr>
        <w:t xml:space="preserve"> up</w:t>
      </w:r>
      <w:r w:rsidR="003C2686" w:rsidRPr="003C2686">
        <w:rPr>
          <w:rFonts w:cs="Courier New"/>
        </w:rPr>
        <w:t>stream of a patent application or even without it leading to a patent</w:t>
      </w:r>
      <w:r>
        <w:rPr>
          <w:rFonts w:cs="Courier New"/>
        </w:rPr>
        <w:t xml:space="preserve"> application,</w:t>
      </w:r>
      <w:r w:rsidR="003C2686" w:rsidRPr="003C2686">
        <w:rPr>
          <w:rFonts w:cs="Courier New"/>
        </w:rPr>
        <w:t xml:space="preserve"> it did do not see a link between utilization and any disclosure requirement.  Notwithstanding its position on disclosure, the disclosure had to be about something in the application, rather than about some separate activity like conservation or collection, which might not even lead to an application for an IP right. </w:t>
      </w:r>
      <w:r w:rsidR="00F60C19">
        <w:rPr>
          <w:rFonts w:cs="Courier New"/>
        </w:rPr>
        <w:t xml:space="preserve"> </w:t>
      </w:r>
      <w:r w:rsidR="003C2686" w:rsidRPr="003C2686">
        <w:rPr>
          <w:rFonts w:cs="Courier New"/>
        </w:rPr>
        <w:t>With a view to clarifying that issue, it welcomed information on the concrete experiences of those Member States using utilization as a trigger for disclosure.</w:t>
      </w:r>
      <w:r w:rsidR="00F60C19">
        <w:rPr>
          <w:rFonts w:cs="Courier New"/>
        </w:rPr>
        <w:t xml:space="preserve"> </w:t>
      </w:r>
      <w:r w:rsidR="003C2686" w:rsidRPr="003C2686">
        <w:rPr>
          <w:rFonts w:cs="Courier New"/>
        </w:rPr>
        <w:t xml:space="preserve"> It had interrogations on source and origin, including what </w:t>
      </w:r>
      <w:r w:rsidR="00F60C19">
        <w:rPr>
          <w:rFonts w:cs="Courier New"/>
        </w:rPr>
        <w:t>“</w:t>
      </w:r>
      <w:r w:rsidR="003C2686" w:rsidRPr="003C2686">
        <w:rPr>
          <w:rFonts w:cs="Courier New"/>
        </w:rPr>
        <w:t>origin</w:t>
      </w:r>
      <w:r w:rsidR="00F60C19">
        <w:rPr>
          <w:rFonts w:cs="Courier New"/>
        </w:rPr>
        <w:t>”</w:t>
      </w:r>
      <w:r w:rsidR="003C2686" w:rsidRPr="003C2686">
        <w:rPr>
          <w:rFonts w:cs="Courier New"/>
        </w:rPr>
        <w:t xml:space="preserve"> mean</w:t>
      </w:r>
      <w:r w:rsidR="00F60C19">
        <w:rPr>
          <w:rFonts w:cs="Courier New"/>
        </w:rPr>
        <w:t>t</w:t>
      </w:r>
      <w:r w:rsidR="003C2686" w:rsidRPr="003C2686">
        <w:rPr>
          <w:rFonts w:cs="Courier New"/>
        </w:rPr>
        <w:t xml:space="preserve">, and how countries with disclosure </w:t>
      </w:r>
      <w:r>
        <w:rPr>
          <w:rFonts w:cs="Courier New"/>
        </w:rPr>
        <w:t xml:space="preserve">requirements </w:t>
      </w:r>
      <w:r w:rsidR="003C2686" w:rsidRPr="003C2686">
        <w:rPr>
          <w:rFonts w:cs="Courier New"/>
        </w:rPr>
        <w:t>based on disclosing the origin of the GR</w:t>
      </w:r>
      <w:r w:rsidR="00F60C19">
        <w:rPr>
          <w:rFonts w:cs="Courier New"/>
        </w:rPr>
        <w:t xml:space="preserve">s had </w:t>
      </w:r>
      <w:r w:rsidR="003C2686" w:rsidRPr="003C2686">
        <w:rPr>
          <w:rFonts w:cs="Courier New"/>
        </w:rPr>
        <w:t xml:space="preserve">implemented that term in practice.  It </w:t>
      </w:r>
      <w:r>
        <w:rPr>
          <w:rFonts w:cs="Courier New"/>
        </w:rPr>
        <w:t>wondered</w:t>
      </w:r>
      <w:r w:rsidR="003C2686" w:rsidRPr="003C2686">
        <w:rPr>
          <w:rFonts w:cs="Courier New"/>
        </w:rPr>
        <w:t xml:space="preserve"> whether there was a</w:t>
      </w:r>
      <w:r w:rsidR="00F60C19">
        <w:rPr>
          <w:rFonts w:cs="Courier New"/>
        </w:rPr>
        <w:t>n</w:t>
      </w:r>
      <w:r w:rsidR="003C2686" w:rsidRPr="003C2686">
        <w:rPr>
          <w:rFonts w:cs="Courier New"/>
        </w:rPr>
        <w:t xml:space="preserve"> expectation that the applicant would establish the provenance(s) of a GR up to its ultimate origin.  It could relate more to </w:t>
      </w:r>
      <w:r w:rsidR="00F60C19">
        <w:rPr>
          <w:rFonts w:cs="Courier New"/>
        </w:rPr>
        <w:t>“</w:t>
      </w:r>
      <w:r w:rsidR="003C2686" w:rsidRPr="003C2686">
        <w:rPr>
          <w:rFonts w:cs="Courier New"/>
        </w:rPr>
        <w:t>source</w:t>
      </w:r>
      <w:r w:rsidR="00F60C19">
        <w:rPr>
          <w:rFonts w:cs="Courier New"/>
        </w:rPr>
        <w:t>”</w:t>
      </w:r>
      <w:r w:rsidR="003C2686" w:rsidRPr="003C2686">
        <w:rPr>
          <w:rFonts w:cs="Courier New"/>
        </w:rPr>
        <w:t xml:space="preserve">. </w:t>
      </w:r>
      <w:r w:rsidR="00F60C19">
        <w:rPr>
          <w:rFonts w:cs="Courier New"/>
        </w:rPr>
        <w:t xml:space="preserve"> </w:t>
      </w:r>
      <w:r w:rsidR="003C2686" w:rsidRPr="003C2686">
        <w:rPr>
          <w:rFonts w:cs="Courier New"/>
        </w:rPr>
        <w:t xml:space="preserve">“Origin” was unclear, </w:t>
      </w:r>
      <w:proofErr w:type="gramStart"/>
      <w:r w:rsidR="003C2686" w:rsidRPr="003C2686">
        <w:rPr>
          <w:rFonts w:cs="Courier New"/>
        </w:rPr>
        <w:t>as it seemed to expect that applicants would make determinations that might not have anything to do with their use of the GR.</w:t>
      </w:r>
      <w:proofErr w:type="gramEnd"/>
      <w:r w:rsidR="003C2686" w:rsidRPr="003C2686">
        <w:rPr>
          <w:rFonts w:cs="Courier New"/>
        </w:rPr>
        <w:t xml:space="preserve">  </w:t>
      </w:r>
    </w:p>
    <w:p w:rsidR="00333205" w:rsidRPr="00333205" w:rsidRDefault="00333205" w:rsidP="00333205">
      <w:pPr>
        <w:rPr>
          <w:rFonts w:cs="Courier New"/>
        </w:rPr>
      </w:pPr>
    </w:p>
    <w:p w:rsidR="00FF15EC" w:rsidRPr="00B75AF4" w:rsidRDefault="00333205" w:rsidP="00310121">
      <w:pPr>
        <w:pStyle w:val="ListParagraph"/>
        <w:numPr>
          <w:ilvl w:val="0"/>
          <w:numId w:val="4"/>
        </w:numPr>
        <w:ind w:left="0" w:firstLine="0"/>
      </w:pPr>
      <w:r w:rsidRPr="00333205">
        <w:rPr>
          <w:rFonts w:cs="Courier New"/>
        </w:rPr>
        <w:t xml:space="preserve">The Delegation of Switzerland said that the content of disclosure needed to take into account the fact that there were various legal and factual circumstances under which GRs and associated TK </w:t>
      </w:r>
      <w:proofErr w:type="gramStart"/>
      <w:r w:rsidRPr="00333205">
        <w:rPr>
          <w:rFonts w:cs="Courier New"/>
        </w:rPr>
        <w:t>could be sourced</w:t>
      </w:r>
      <w:proofErr w:type="gramEnd"/>
      <w:r w:rsidRPr="00333205">
        <w:rPr>
          <w:rFonts w:cs="Courier New"/>
        </w:rPr>
        <w:t xml:space="preserve">. </w:t>
      </w:r>
      <w:proofErr w:type="gramStart"/>
      <w:r w:rsidRPr="00333205">
        <w:rPr>
          <w:rFonts w:cs="Courier New"/>
        </w:rPr>
        <w:t xml:space="preserve">Those circumstances included: </w:t>
      </w:r>
      <w:r w:rsidR="00A640FC">
        <w:rPr>
          <w:rFonts w:cs="Courier New"/>
        </w:rPr>
        <w:t xml:space="preserve"> </w:t>
      </w:r>
      <w:r w:rsidRPr="00333205">
        <w:rPr>
          <w:rFonts w:cs="Courier New"/>
        </w:rPr>
        <w:t xml:space="preserve">(a) a diversity of sourcing locations, such as </w:t>
      </w:r>
      <w:r w:rsidRPr="00333205">
        <w:rPr>
          <w:rFonts w:cs="Courier New"/>
          <w:i/>
        </w:rPr>
        <w:t>in situ</w:t>
      </w:r>
      <w:r w:rsidRPr="00333205">
        <w:rPr>
          <w:rFonts w:cs="Courier New"/>
        </w:rPr>
        <w:t xml:space="preserve"> locations in the country of origin, IPLCs, but also </w:t>
      </w:r>
      <w:r w:rsidRPr="00333205">
        <w:rPr>
          <w:rFonts w:cs="Courier New"/>
          <w:i/>
        </w:rPr>
        <w:t>ex situ</w:t>
      </w:r>
      <w:r w:rsidRPr="00333205">
        <w:rPr>
          <w:rFonts w:cs="Courier New"/>
        </w:rPr>
        <w:t xml:space="preserve"> locations, outside or inside the countries of origin; </w:t>
      </w:r>
      <w:r w:rsidR="00A640FC">
        <w:rPr>
          <w:rFonts w:cs="Courier New"/>
        </w:rPr>
        <w:t xml:space="preserve"> </w:t>
      </w:r>
      <w:r w:rsidRPr="00333205">
        <w:rPr>
          <w:rFonts w:cs="Courier New"/>
        </w:rPr>
        <w:t>(b) a diversity of legal situations, such as GRs which were subject to PIC and MAT</w:t>
      </w:r>
      <w:r w:rsidR="00CE2F6C">
        <w:rPr>
          <w:rFonts w:cs="Courier New"/>
        </w:rPr>
        <w:t>,</w:t>
      </w:r>
      <w:r w:rsidRPr="00333205">
        <w:rPr>
          <w:rFonts w:cs="Courier New"/>
        </w:rPr>
        <w:t xml:space="preserve"> while orders </w:t>
      </w:r>
      <w:r w:rsidR="00CE2F6C">
        <w:rPr>
          <w:rFonts w:cs="Courier New"/>
        </w:rPr>
        <w:t>might</w:t>
      </w:r>
      <w:r w:rsidRPr="00333205">
        <w:rPr>
          <w:rFonts w:cs="Courier New"/>
        </w:rPr>
        <w:t xml:space="preserve"> be sourced under the conditions of other international agreements such as the multilateral </w:t>
      </w:r>
      <w:r w:rsidRPr="00B75AF4">
        <w:rPr>
          <w:rFonts w:cs="Courier New"/>
        </w:rPr>
        <w:t xml:space="preserve">system of the </w:t>
      </w:r>
      <w:r w:rsidR="004116A9" w:rsidRPr="00B75AF4">
        <w:rPr>
          <w:rFonts w:cs="Courier New"/>
        </w:rPr>
        <w:t>ITPGR</w:t>
      </w:r>
      <w:r w:rsidRPr="00B75AF4">
        <w:rPr>
          <w:rFonts w:cs="Courier New"/>
        </w:rPr>
        <w:t>;</w:t>
      </w:r>
      <w:r w:rsidR="00B75AF4" w:rsidRPr="00B75AF4">
        <w:rPr>
          <w:rFonts w:cs="Courier New"/>
        </w:rPr>
        <w:t xml:space="preserve"> </w:t>
      </w:r>
      <w:r w:rsidRPr="00B75AF4">
        <w:rPr>
          <w:rFonts w:cs="Courier New"/>
        </w:rPr>
        <w:t xml:space="preserve"> (c) a diversity of types of GRs, some were naturally occurring, while others had been cultivated or modified over years and therefore, might contain GRs from multiple countries.</w:t>
      </w:r>
      <w:proofErr w:type="gramEnd"/>
      <w:r w:rsidRPr="00B75AF4">
        <w:rPr>
          <w:rFonts w:cs="Courier New"/>
        </w:rPr>
        <w:t xml:space="preserve">  Moreover, any requirement should </w:t>
      </w:r>
      <w:proofErr w:type="gramStart"/>
      <w:r w:rsidR="00CE2F6C" w:rsidRPr="00B75AF4">
        <w:rPr>
          <w:rFonts w:cs="Courier New"/>
        </w:rPr>
        <w:t>not lead</w:t>
      </w:r>
      <w:proofErr w:type="gramEnd"/>
      <w:r w:rsidRPr="00B75AF4">
        <w:rPr>
          <w:rFonts w:cs="Courier New"/>
        </w:rPr>
        <w:t xml:space="preserve"> to unreasonable burdens neither for patent applicants nor for patent examiners. </w:t>
      </w:r>
      <w:r w:rsidR="00CE2F6C" w:rsidRPr="00B75AF4">
        <w:rPr>
          <w:rFonts w:cs="Courier New"/>
        </w:rPr>
        <w:t xml:space="preserve"> </w:t>
      </w:r>
      <w:r w:rsidRPr="00B75AF4">
        <w:rPr>
          <w:rFonts w:cs="Courier New"/>
        </w:rPr>
        <w:t>The concept of “source” which it had explained and illustrated in a number of submissions to the IGC would indeed take into account those important aspects.  It recalled its submission WIPO/GRTKF/IC/31/8 where it had ex</w:t>
      </w:r>
      <w:r w:rsidR="00B75AF4" w:rsidRPr="00B75AF4">
        <w:rPr>
          <w:rFonts w:cs="Courier New"/>
        </w:rPr>
        <w:t>plained that in further details</w:t>
      </w:r>
      <w:r w:rsidRPr="00B75AF4">
        <w:rPr>
          <w:rFonts w:cs="Courier New"/>
        </w:rPr>
        <w:t xml:space="preserve">.  </w:t>
      </w:r>
    </w:p>
    <w:p w:rsidR="00FF15EC" w:rsidRPr="00FF15EC" w:rsidRDefault="00FF15EC" w:rsidP="00FF15EC">
      <w:pPr>
        <w:pStyle w:val="ListParagraph"/>
        <w:ind w:left="0"/>
      </w:pPr>
    </w:p>
    <w:p w:rsidR="00FF15EC" w:rsidRPr="00FF15EC" w:rsidRDefault="00FF15EC" w:rsidP="00310121">
      <w:pPr>
        <w:pStyle w:val="ListParagraph"/>
        <w:numPr>
          <w:ilvl w:val="0"/>
          <w:numId w:val="4"/>
        </w:numPr>
        <w:ind w:left="0" w:firstLine="0"/>
      </w:pPr>
      <w:r w:rsidRPr="00FF15EC">
        <w:rPr>
          <w:rFonts w:cs="Courier New"/>
        </w:rPr>
        <w:t>The</w:t>
      </w:r>
      <w:r w:rsidRPr="00F35478">
        <w:t xml:space="preserve"> Delegation of </w:t>
      </w:r>
      <w:r w:rsidRPr="00FF15EC">
        <w:rPr>
          <w:rFonts w:cs="Courier New"/>
        </w:rPr>
        <w:t>Brazil agreed with the Delegation of Switzerland that the content of the disclosure should not be burdensome on patent or other IP rights applicants.  It should contain the minimal information necessary for the competent ABS authority of the patent office to assess that the access and utilization of GRs complied with PIC and ABS requirements under the Nagoya Protocol and the CBD.  It should enable the traceability of the GRs, derivatives a</w:t>
      </w:r>
      <w:r w:rsidR="00D352F6">
        <w:rPr>
          <w:rFonts w:cs="Courier New"/>
        </w:rPr>
        <w:t xml:space="preserve">nd TK associated with </w:t>
      </w:r>
      <w:r w:rsidRPr="00FF15EC">
        <w:rPr>
          <w:rFonts w:cs="Courier New"/>
        </w:rPr>
        <w:t xml:space="preserve">GRs, allowing the providers to keep track of the use of the resources. </w:t>
      </w:r>
      <w:r>
        <w:rPr>
          <w:rFonts w:cs="Courier New"/>
        </w:rPr>
        <w:t xml:space="preserve"> </w:t>
      </w:r>
      <w:r w:rsidRPr="00FF15EC">
        <w:rPr>
          <w:rFonts w:cs="Courier New"/>
        </w:rPr>
        <w:t xml:space="preserve">It should contain information regarding the country of origin or the country providing the resources, if from </w:t>
      </w:r>
      <w:r w:rsidRPr="00FF15EC">
        <w:rPr>
          <w:rFonts w:cs="Courier New"/>
          <w:i/>
        </w:rPr>
        <w:t>ex situ</w:t>
      </w:r>
      <w:r w:rsidRPr="00FF15EC">
        <w:rPr>
          <w:rFonts w:cs="Courier New"/>
        </w:rPr>
        <w:t xml:space="preserve"> source</w:t>
      </w:r>
      <w:r>
        <w:rPr>
          <w:rFonts w:cs="Courier New"/>
        </w:rPr>
        <w:t>s</w:t>
      </w:r>
      <w:r w:rsidRPr="00FF15EC">
        <w:rPr>
          <w:rFonts w:cs="Courier New"/>
        </w:rPr>
        <w:t xml:space="preserve">, and </w:t>
      </w:r>
      <w:r>
        <w:rPr>
          <w:rFonts w:cs="Courier New"/>
        </w:rPr>
        <w:t xml:space="preserve">state </w:t>
      </w:r>
      <w:r w:rsidRPr="00FF15EC">
        <w:rPr>
          <w:rFonts w:cs="Courier New"/>
        </w:rPr>
        <w:t xml:space="preserve">that the resources </w:t>
      </w:r>
      <w:proofErr w:type="gramStart"/>
      <w:r w:rsidRPr="00FF15EC">
        <w:rPr>
          <w:rFonts w:cs="Courier New"/>
        </w:rPr>
        <w:t>were acquired</w:t>
      </w:r>
      <w:proofErr w:type="gramEnd"/>
      <w:r w:rsidRPr="00FF15EC">
        <w:rPr>
          <w:rFonts w:cs="Courier New"/>
        </w:rPr>
        <w:t xml:space="preserve"> in accordance with the CBD.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 xml:space="preserve">The Delegation of Egypt said the content of disclosure consisted in the resources that the claimants were using for their patents.  It should contain sufficient information in line with national legislation in terms of prior knowledge.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The Cha</w:t>
      </w:r>
      <w:r w:rsidR="00D352F6">
        <w:rPr>
          <w:rFonts w:cs="Courier New"/>
        </w:rPr>
        <w:t>ir opened the discussion on exceptions and limitations.</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The</w:t>
      </w:r>
      <w:r w:rsidRPr="00F35478">
        <w:t xml:space="preserve"> Delegation of the Islamic Republic of Iran said</w:t>
      </w:r>
      <w:r>
        <w:t xml:space="preserve"> that</w:t>
      </w:r>
      <w:r w:rsidRPr="00F35478">
        <w:t xml:space="preserve">, </w:t>
      </w:r>
      <w:r w:rsidRPr="00FF15EC">
        <w:rPr>
          <w:rFonts w:cs="Courier New"/>
        </w:rPr>
        <w:t xml:space="preserve">in keeping with the agreed international instruments, the IGC should </w:t>
      </w:r>
      <w:r>
        <w:rPr>
          <w:rFonts w:cs="Courier New"/>
        </w:rPr>
        <w:t>draft</w:t>
      </w:r>
      <w:r w:rsidRPr="00FF15EC">
        <w:rPr>
          <w:rFonts w:cs="Courier New"/>
        </w:rPr>
        <w:t xml:space="preserve"> simple and straightforward exceptions and limitations. </w:t>
      </w:r>
      <w:r>
        <w:rPr>
          <w:rFonts w:cs="Courier New"/>
        </w:rPr>
        <w:t xml:space="preserve"> </w:t>
      </w:r>
      <w:r w:rsidRPr="00FF15EC">
        <w:rPr>
          <w:rFonts w:cs="Courier New"/>
        </w:rPr>
        <w:t xml:space="preserve">It </w:t>
      </w:r>
      <w:r w:rsidR="00583C0B">
        <w:rPr>
          <w:rFonts w:cs="Courier New"/>
        </w:rPr>
        <w:t>supported the original text</w:t>
      </w:r>
      <w:r w:rsidRPr="00FF15EC">
        <w:rPr>
          <w:rFonts w:cs="Courier New"/>
        </w:rPr>
        <w:t xml:space="preserve">.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 xml:space="preserve">The Delegation of the USA suggested inserting “and public </w:t>
      </w:r>
      <w:r w:rsidR="003E705D">
        <w:rPr>
          <w:rFonts w:cs="Courier New"/>
        </w:rPr>
        <w:t>health,” after “public interest</w:t>
      </w:r>
      <w:r w:rsidRPr="00FF15EC">
        <w:rPr>
          <w:rFonts w:cs="Courier New"/>
        </w:rPr>
        <w:t>”</w:t>
      </w:r>
      <w:r w:rsidR="003E705D">
        <w:rPr>
          <w:rFonts w:cs="Courier New"/>
        </w:rPr>
        <w:t>.</w:t>
      </w:r>
      <w:r w:rsidRPr="00FF15EC">
        <w:rPr>
          <w:rFonts w:cs="Courier New"/>
        </w:rPr>
        <w:t xml:space="preserve">  In </w:t>
      </w:r>
      <w:r w:rsidR="003E705D">
        <w:rPr>
          <w:rFonts w:cs="Courier New"/>
        </w:rPr>
        <w:t xml:space="preserve">Article </w:t>
      </w:r>
      <w:r w:rsidRPr="00FF15EC">
        <w:rPr>
          <w:rFonts w:cs="Courier New"/>
        </w:rPr>
        <w:t>4.1</w:t>
      </w:r>
      <w:r w:rsidR="003E705D">
        <w:rPr>
          <w:rFonts w:cs="Courier New"/>
        </w:rPr>
        <w:t xml:space="preserve"> ALT</w:t>
      </w:r>
      <w:r w:rsidRPr="00FF15EC">
        <w:rPr>
          <w:rFonts w:cs="Courier New"/>
        </w:rPr>
        <w:t xml:space="preserve">, it suggested inserting a new </w:t>
      </w:r>
      <w:r w:rsidRPr="00874FD7">
        <w:rPr>
          <w:rFonts w:cs="Courier New"/>
        </w:rPr>
        <w:t>paragraph (</w:t>
      </w:r>
      <w:r w:rsidR="00772B1C" w:rsidRPr="00874FD7">
        <w:rPr>
          <w:rFonts w:cs="Courier New"/>
        </w:rPr>
        <w:t>g</w:t>
      </w:r>
      <w:r w:rsidRPr="00874FD7">
        <w:rPr>
          <w:rFonts w:cs="Courier New"/>
        </w:rPr>
        <w:t>) that</w:t>
      </w:r>
      <w:r w:rsidRPr="00FF15EC">
        <w:rPr>
          <w:rFonts w:cs="Courier New"/>
        </w:rPr>
        <w:t xml:space="preserve"> read: </w:t>
      </w:r>
      <w:r w:rsidR="00B83A0C">
        <w:rPr>
          <w:rFonts w:cs="Courier New"/>
        </w:rPr>
        <w:t xml:space="preserve"> </w:t>
      </w:r>
      <w:r w:rsidRPr="00FF15EC">
        <w:rPr>
          <w:rFonts w:cs="Courier New"/>
        </w:rPr>
        <w:t xml:space="preserve">“Genetic resources and </w:t>
      </w:r>
      <w:r w:rsidRPr="00FF15EC">
        <w:rPr>
          <w:rFonts w:cs="Courier New"/>
        </w:rPr>
        <w:lastRenderedPageBreak/>
        <w:t xml:space="preserve">traditional knowledge associated with genetic resources necessary to protect human, animal or plant life or health or to avoid serious prejudice to the environment.”  It would be extremely difficult from a practical perspective to include PIC or MAT in a disclosure requirement. </w:t>
      </w:r>
      <w:r>
        <w:rPr>
          <w:rFonts w:cs="Courier New"/>
        </w:rPr>
        <w:t xml:space="preserve"> </w:t>
      </w:r>
      <w:r w:rsidRPr="00FF15EC">
        <w:rPr>
          <w:rFonts w:cs="Courier New"/>
        </w:rPr>
        <w:t xml:space="preserve">It </w:t>
      </w:r>
      <w:r>
        <w:rPr>
          <w:rFonts w:cs="Courier New"/>
        </w:rPr>
        <w:t>did not support</w:t>
      </w:r>
      <w:r w:rsidRPr="00FF15EC">
        <w:rPr>
          <w:rFonts w:cs="Courier New"/>
        </w:rPr>
        <w:t xml:space="preserve"> a disclosure requirement, but to the extent that it was part of the discussion, it urged members to think of </w:t>
      </w:r>
      <w:r>
        <w:rPr>
          <w:rFonts w:cs="Courier New"/>
        </w:rPr>
        <w:t xml:space="preserve">a practical solution.  </w:t>
      </w:r>
      <w:r w:rsidRPr="00FF15EC">
        <w:rPr>
          <w:rFonts w:cs="Courier New"/>
        </w:rPr>
        <w:t>“</w:t>
      </w:r>
      <w:r>
        <w:rPr>
          <w:rFonts w:cs="Courier New"/>
        </w:rPr>
        <w:t>S</w:t>
      </w:r>
      <w:r w:rsidRPr="00FF15EC">
        <w:rPr>
          <w:rFonts w:cs="Courier New"/>
        </w:rPr>
        <w:t xml:space="preserve">ource” versus “origin” would be an advantage.  It urged members </w:t>
      </w:r>
      <w:proofErr w:type="gramStart"/>
      <w:r w:rsidRPr="00FF15EC">
        <w:rPr>
          <w:rFonts w:cs="Courier New"/>
        </w:rPr>
        <w:t>to not include</w:t>
      </w:r>
      <w:proofErr w:type="gramEnd"/>
      <w:r w:rsidRPr="00FF15EC">
        <w:rPr>
          <w:rFonts w:cs="Courier New"/>
        </w:rPr>
        <w:t xml:space="preserve"> PIC, MAT, ABS or any other CBD related concepts.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proofErr w:type="gramStart"/>
      <w:r w:rsidRPr="00FF15EC">
        <w:rPr>
          <w:rFonts w:cs="Courier New"/>
        </w:rPr>
        <w:t xml:space="preserve">The representative of </w:t>
      </w:r>
      <w:r>
        <w:rPr>
          <w:rFonts w:cs="Courier New"/>
        </w:rPr>
        <w:t xml:space="preserve">the </w:t>
      </w:r>
      <w:r w:rsidRPr="00FF15EC">
        <w:rPr>
          <w:rFonts w:cs="Courier New"/>
        </w:rPr>
        <w:t>Tulalip Tribes, speaking on behalf of the Indigenous Caucus, supported Art</w:t>
      </w:r>
      <w:r w:rsidR="00F9275C">
        <w:rPr>
          <w:rFonts w:cs="Courier New"/>
        </w:rPr>
        <w:t>icle 4 but with a text addition.</w:t>
      </w:r>
      <w:proofErr w:type="gramEnd"/>
      <w:r w:rsidR="00F9275C">
        <w:rPr>
          <w:rFonts w:cs="Courier New"/>
        </w:rPr>
        <w:t xml:space="preserve">  H</w:t>
      </w:r>
      <w:r w:rsidRPr="00FF15EC">
        <w:rPr>
          <w:rFonts w:cs="Courier New"/>
        </w:rPr>
        <w:t>e wished to add “or mutual suppor</w:t>
      </w:r>
      <w:r w:rsidR="00F9275C">
        <w:rPr>
          <w:rFonts w:cs="Courier New"/>
        </w:rPr>
        <w:t>tiveness with other instruments</w:t>
      </w:r>
      <w:r w:rsidRPr="00FF15EC">
        <w:rPr>
          <w:rFonts w:cs="Courier New"/>
        </w:rPr>
        <w:t>” after “the i</w:t>
      </w:r>
      <w:r w:rsidR="00F9275C">
        <w:rPr>
          <w:rFonts w:cs="Courier New"/>
        </w:rPr>
        <w:t>mplementation of the instrument</w:t>
      </w:r>
      <w:r w:rsidRPr="00FF15EC">
        <w:rPr>
          <w:rFonts w:cs="Courier New"/>
        </w:rPr>
        <w:t>”</w:t>
      </w:r>
      <w:r w:rsidR="00F9275C">
        <w:rPr>
          <w:rFonts w:cs="Courier New"/>
        </w:rPr>
        <w:t>.</w:t>
      </w:r>
    </w:p>
    <w:p w:rsidR="00FF15EC" w:rsidRPr="00FF15EC" w:rsidRDefault="00FF15EC" w:rsidP="00FF15EC">
      <w:pPr>
        <w:rPr>
          <w:rFonts w:cs="Courier New"/>
        </w:rPr>
      </w:pPr>
    </w:p>
    <w:p w:rsidR="00FF15EC" w:rsidRDefault="00FF15EC" w:rsidP="00310121">
      <w:pPr>
        <w:pStyle w:val="ListParagraph"/>
        <w:numPr>
          <w:ilvl w:val="0"/>
          <w:numId w:val="4"/>
        </w:numPr>
        <w:ind w:left="0" w:firstLine="0"/>
      </w:pPr>
      <w:r w:rsidRPr="00FF15EC">
        <w:rPr>
          <w:rFonts w:cs="Courier New"/>
        </w:rPr>
        <w:t>The</w:t>
      </w:r>
      <w:r w:rsidRPr="00F35478">
        <w:t xml:space="preserve"> Delegation of Nigeria supported the textual proposal by </w:t>
      </w:r>
      <w:r w:rsidR="00F9275C">
        <w:rPr>
          <w:rFonts w:cs="Courier New"/>
        </w:rPr>
        <w:t>t</w:t>
      </w:r>
      <w:r w:rsidR="00F9275C" w:rsidRPr="00FF15EC">
        <w:rPr>
          <w:rFonts w:cs="Courier New"/>
        </w:rPr>
        <w:t xml:space="preserve">he representative of </w:t>
      </w:r>
      <w:r w:rsidR="00F9275C">
        <w:rPr>
          <w:rFonts w:cs="Courier New"/>
        </w:rPr>
        <w:t xml:space="preserve">the </w:t>
      </w:r>
      <w:r w:rsidR="00F9275C" w:rsidRPr="00FF15EC">
        <w:rPr>
          <w:rFonts w:cs="Courier New"/>
        </w:rPr>
        <w:t>Tulalip Tribes</w:t>
      </w:r>
      <w:r w:rsidR="00F9275C">
        <w:rPr>
          <w:rFonts w:cs="Courier New"/>
        </w:rPr>
        <w:t>, on behalf of</w:t>
      </w:r>
      <w:r w:rsidR="00F9275C" w:rsidRPr="00F35478">
        <w:t xml:space="preserve"> </w:t>
      </w:r>
      <w:r w:rsidRPr="00F35478">
        <w:t xml:space="preserve">the Indigenous Caucus. </w:t>
      </w:r>
    </w:p>
    <w:p w:rsidR="00FF15EC" w:rsidRPr="00FF15EC" w:rsidRDefault="00FF15EC" w:rsidP="00FF15EC">
      <w:pPr>
        <w:rPr>
          <w:rFonts w:cs="Courier New"/>
        </w:rPr>
      </w:pPr>
    </w:p>
    <w:p w:rsidR="00FF15EC" w:rsidRPr="005349A6" w:rsidRDefault="00FF15EC" w:rsidP="00310121">
      <w:pPr>
        <w:pStyle w:val="ListParagraph"/>
        <w:numPr>
          <w:ilvl w:val="0"/>
          <w:numId w:val="4"/>
        </w:numPr>
        <w:ind w:left="0" w:firstLine="0"/>
      </w:pPr>
      <w:r w:rsidRPr="005349A6">
        <w:rPr>
          <w:rFonts w:cs="Courier New"/>
        </w:rPr>
        <w:t>The</w:t>
      </w:r>
      <w:r w:rsidRPr="005349A6">
        <w:t xml:space="preserve"> Delegation of </w:t>
      </w:r>
      <w:r w:rsidRPr="005349A6">
        <w:rPr>
          <w:rFonts w:cs="Courier New"/>
        </w:rPr>
        <w:t xml:space="preserve">South Africa noted the positive contribution by the Delegation of the USA around the issue of disclosure.  On exceptions and limitations, </w:t>
      </w:r>
      <w:r w:rsidR="00F6671A" w:rsidRPr="005349A6">
        <w:rPr>
          <w:rFonts w:cs="Courier New"/>
        </w:rPr>
        <w:t>Article</w:t>
      </w:r>
      <w:r w:rsidRPr="005349A6">
        <w:rPr>
          <w:rFonts w:cs="Courier New"/>
        </w:rPr>
        <w:t>s 4.1 and 4.2 were inconsistent with the logic of disclosure.  It proposed moving them to the alternative article</w:t>
      </w:r>
      <w:r w:rsidR="00F6671A" w:rsidRPr="005349A6">
        <w:rPr>
          <w:rFonts w:cs="Courier New"/>
        </w:rPr>
        <w:t xml:space="preserve"> “No New Disclosure Requirement</w:t>
      </w:r>
      <w:r w:rsidRPr="005349A6">
        <w:rPr>
          <w:rFonts w:cs="Courier New"/>
        </w:rPr>
        <w:t>”</w:t>
      </w:r>
      <w:r w:rsidR="00F6671A" w:rsidRPr="005349A6">
        <w:rPr>
          <w:rFonts w:cs="Courier New"/>
        </w:rPr>
        <w:t>.</w:t>
      </w:r>
      <w:r w:rsidRPr="005349A6">
        <w:rPr>
          <w:rFonts w:cs="Courier New"/>
        </w:rPr>
        <w:t xml:space="preserve">  The concept of public interest was w</w:t>
      </w:r>
      <w:r w:rsidR="00F6671A" w:rsidRPr="005349A6">
        <w:rPr>
          <w:rFonts w:cs="Courier New"/>
        </w:rPr>
        <w:t>ider than that of public health</w:t>
      </w:r>
      <w:r w:rsidRPr="005349A6">
        <w:rPr>
          <w:rFonts w:cs="Courier New"/>
        </w:rPr>
        <w:t xml:space="preserve"> along with many others.  </w:t>
      </w:r>
    </w:p>
    <w:p w:rsidR="00FF15EC" w:rsidRPr="005349A6" w:rsidRDefault="00FF15EC" w:rsidP="00FF15EC">
      <w:pPr>
        <w:rPr>
          <w:rFonts w:cs="Courier New"/>
        </w:rPr>
      </w:pPr>
    </w:p>
    <w:p w:rsidR="00FF15EC" w:rsidRPr="00FF15EC" w:rsidRDefault="00FF15EC" w:rsidP="00310121">
      <w:pPr>
        <w:pStyle w:val="ListParagraph"/>
        <w:numPr>
          <w:ilvl w:val="0"/>
          <w:numId w:val="4"/>
        </w:numPr>
        <w:ind w:left="0" w:firstLine="0"/>
      </w:pPr>
      <w:r w:rsidRPr="005349A6">
        <w:rPr>
          <w:rFonts w:cs="Courier New"/>
        </w:rPr>
        <w:t>The</w:t>
      </w:r>
      <w:r w:rsidRPr="005349A6">
        <w:t xml:space="preserve"> Delegation of </w:t>
      </w:r>
      <w:r w:rsidRPr="005349A6">
        <w:rPr>
          <w:rFonts w:cs="Courier New"/>
        </w:rPr>
        <w:t>Morocco, speaking</w:t>
      </w:r>
      <w:r w:rsidRPr="00FF15EC">
        <w:rPr>
          <w:rFonts w:cs="Courier New"/>
        </w:rPr>
        <w:t xml:space="preserve"> on behalf of the African Group, was in favor of the initial text of Article 4 and did not understand the p</w:t>
      </w:r>
      <w:r w:rsidR="005349A6">
        <w:rPr>
          <w:rFonts w:cs="Courier New"/>
        </w:rPr>
        <w:t>urpose of adding “public health</w:t>
      </w:r>
      <w:r w:rsidRPr="00FF15EC">
        <w:rPr>
          <w:rFonts w:cs="Courier New"/>
        </w:rPr>
        <w:t>”</w:t>
      </w:r>
      <w:r w:rsidR="005349A6">
        <w:rPr>
          <w:rFonts w:cs="Courier New"/>
        </w:rPr>
        <w:t>.</w:t>
      </w:r>
    </w:p>
    <w:p w:rsidR="00FF15EC" w:rsidRDefault="00FF15EC" w:rsidP="00FF15EC"/>
    <w:p w:rsidR="00AA666D" w:rsidRPr="00AA666D" w:rsidRDefault="00FF15EC" w:rsidP="00310121">
      <w:pPr>
        <w:pStyle w:val="ListParagraph"/>
        <w:numPr>
          <w:ilvl w:val="0"/>
          <w:numId w:val="4"/>
        </w:numPr>
        <w:ind w:left="0" w:firstLine="0"/>
      </w:pPr>
      <w:r w:rsidRPr="00F35478">
        <w:t xml:space="preserve">The Delegation of </w:t>
      </w:r>
      <w:r w:rsidRPr="00FF15EC">
        <w:rPr>
          <w:rFonts w:cs="Courier New"/>
        </w:rPr>
        <w:t xml:space="preserve">Brazil said </w:t>
      </w:r>
      <w:r>
        <w:rPr>
          <w:rFonts w:cs="Courier New"/>
        </w:rPr>
        <w:t xml:space="preserve">that </w:t>
      </w:r>
      <w:r w:rsidRPr="00FF15EC">
        <w:rPr>
          <w:rFonts w:cs="Courier New"/>
        </w:rPr>
        <w:t xml:space="preserve">a degree of flexibility </w:t>
      </w:r>
      <w:proofErr w:type="gramStart"/>
      <w:r w:rsidRPr="00FF15EC">
        <w:rPr>
          <w:rFonts w:cs="Courier New"/>
        </w:rPr>
        <w:t>was needed</w:t>
      </w:r>
      <w:proofErr w:type="gramEnd"/>
      <w:r w:rsidRPr="00FF15EC">
        <w:rPr>
          <w:rFonts w:cs="Courier New"/>
        </w:rPr>
        <w:t xml:space="preserve"> regarding exceptions and limitations to allow countries to better adapt the norm to their legal </w:t>
      </w:r>
      <w:r>
        <w:rPr>
          <w:rFonts w:cs="Courier New"/>
        </w:rPr>
        <w:t>context</w:t>
      </w:r>
      <w:r w:rsidRPr="00FF15EC">
        <w:rPr>
          <w:rFonts w:cs="Courier New"/>
        </w:rPr>
        <w:t xml:space="preserve">.  The first option in Article 4 contained a nice </w:t>
      </w:r>
      <w:r w:rsidRPr="00874FD7">
        <w:rPr>
          <w:rFonts w:cs="Courier New"/>
        </w:rPr>
        <w:t xml:space="preserve">and elegant solution in line with Articles 13 and 30 of the TRIPS Agreement.  It supported the statement </w:t>
      </w:r>
      <w:r w:rsidR="004766C8">
        <w:rPr>
          <w:rFonts w:cs="Courier New"/>
        </w:rPr>
        <w:t xml:space="preserve">made </w:t>
      </w:r>
      <w:r w:rsidRPr="00874FD7">
        <w:rPr>
          <w:rFonts w:cs="Courier New"/>
        </w:rPr>
        <w:t>by the Delegation of South Africa that the ALT Article 4 was not in line with the spirit of that article and</w:t>
      </w:r>
      <w:r w:rsidRPr="00FF15EC">
        <w:rPr>
          <w:rFonts w:cs="Courier New"/>
        </w:rPr>
        <w:t xml:space="preserve"> </w:t>
      </w:r>
      <w:proofErr w:type="gramStart"/>
      <w:r w:rsidRPr="00FF15EC">
        <w:rPr>
          <w:rFonts w:cs="Courier New"/>
        </w:rPr>
        <w:t>should be moved</w:t>
      </w:r>
      <w:proofErr w:type="gramEnd"/>
      <w:r w:rsidRPr="00FF15EC">
        <w:rPr>
          <w:rFonts w:cs="Courier New"/>
        </w:rPr>
        <w:t xml:space="preserve"> to </w:t>
      </w:r>
      <w:r>
        <w:rPr>
          <w:rFonts w:cs="Courier New"/>
        </w:rPr>
        <w:t>“</w:t>
      </w:r>
      <w:r w:rsidR="009B6899">
        <w:rPr>
          <w:rFonts w:cs="Courier New"/>
        </w:rPr>
        <w:t>No New Disclosure Requirement</w:t>
      </w:r>
      <w:r>
        <w:rPr>
          <w:rFonts w:cs="Courier New"/>
        </w:rPr>
        <w:t>”</w:t>
      </w:r>
      <w:r w:rsidR="009B6899">
        <w:rPr>
          <w:rFonts w:cs="Courier New"/>
        </w:rPr>
        <w:t>.</w:t>
      </w:r>
      <w:r w:rsidRPr="00FF15EC">
        <w:rPr>
          <w:rFonts w:cs="Courier New"/>
        </w:rPr>
        <w:t xml:space="preserve">  </w:t>
      </w:r>
    </w:p>
    <w:p w:rsidR="00AA666D" w:rsidRDefault="00AA666D" w:rsidP="00AA666D"/>
    <w:p w:rsidR="00AA666D" w:rsidRPr="00AA666D" w:rsidRDefault="00AA666D" w:rsidP="00310121">
      <w:pPr>
        <w:pStyle w:val="ListParagraph"/>
        <w:numPr>
          <w:ilvl w:val="0"/>
          <w:numId w:val="4"/>
        </w:numPr>
        <w:ind w:left="0" w:firstLine="0"/>
      </w:pPr>
      <w:r w:rsidRPr="00F35478">
        <w:t>The Delegation of India said that as per the Indian P</w:t>
      </w:r>
      <w:r w:rsidRPr="00AA666D">
        <w:rPr>
          <w:rFonts w:cs="Courier New"/>
        </w:rPr>
        <w:t xml:space="preserve">atents Act, disclosure was mandatory.  In every case, the inventor, the applicant, had to disclose the source.  There was no provision </w:t>
      </w:r>
      <w:r>
        <w:rPr>
          <w:rFonts w:cs="Courier New"/>
        </w:rPr>
        <w:t>on</w:t>
      </w:r>
      <w:r w:rsidRPr="00AA666D">
        <w:rPr>
          <w:rFonts w:cs="Courier New"/>
        </w:rPr>
        <w:t xml:space="preserve"> exceptions and limitations.  </w:t>
      </w:r>
    </w:p>
    <w:p w:rsidR="00AA666D" w:rsidRPr="00AA666D" w:rsidRDefault="00AA666D" w:rsidP="00AA666D">
      <w:pPr>
        <w:rPr>
          <w:rFonts w:cs="Courier New"/>
        </w:rPr>
      </w:pPr>
    </w:p>
    <w:p w:rsidR="00AA666D" w:rsidRPr="00AA666D" w:rsidRDefault="00AA666D" w:rsidP="00310121">
      <w:pPr>
        <w:pStyle w:val="ListParagraph"/>
        <w:numPr>
          <w:ilvl w:val="0"/>
          <w:numId w:val="4"/>
        </w:numPr>
        <w:ind w:left="0" w:firstLine="0"/>
      </w:pPr>
      <w:r w:rsidRPr="00AA666D">
        <w:rPr>
          <w:rFonts w:cs="Courier New"/>
        </w:rPr>
        <w:t xml:space="preserve">The Delegation of China supported the statement made by the Delegation of Brazil. </w:t>
      </w:r>
      <w:r>
        <w:rPr>
          <w:rFonts w:cs="Courier New"/>
        </w:rPr>
        <w:t xml:space="preserve"> </w:t>
      </w:r>
      <w:r w:rsidRPr="00AA666D">
        <w:rPr>
          <w:rFonts w:cs="Courier New"/>
        </w:rPr>
        <w:t xml:space="preserve">Different countries had different situations, so the article on exceptions and limitations should provide maximum flexibility.  </w:t>
      </w:r>
    </w:p>
    <w:p w:rsidR="00AA666D" w:rsidRPr="00AA666D" w:rsidRDefault="00AA666D" w:rsidP="00AA666D">
      <w:pPr>
        <w:rPr>
          <w:rFonts w:cs="Courier New"/>
        </w:rPr>
      </w:pPr>
    </w:p>
    <w:p w:rsidR="00AA666D" w:rsidRPr="00AA666D" w:rsidRDefault="00AA666D" w:rsidP="00310121">
      <w:pPr>
        <w:pStyle w:val="ListParagraph"/>
        <w:numPr>
          <w:ilvl w:val="0"/>
          <w:numId w:val="4"/>
        </w:numPr>
        <w:ind w:left="0" w:firstLine="0"/>
      </w:pPr>
      <w:r w:rsidRPr="00AA666D">
        <w:rPr>
          <w:rFonts w:cs="Courier New"/>
        </w:rPr>
        <w:t>The Delegation of Indonesia, speaking on behalf of the LMCs, said exceptions and limitations should be simple and straightforward, in line with international agreement</w:t>
      </w:r>
      <w:r>
        <w:rPr>
          <w:rFonts w:cs="Courier New"/>
        </w:rPr>
        <w:t>s</w:t>
      </w:r>
      <w:r w:rsidRPr="00AA666D">
        <w:rPr>
          <w:rFonts w:cs="Courier New"/>
        </w:rPr>
        <w:t xml:space="preserve">. </w:t>
      </w:r>
      <w:r>
        <w:rPr>
          <w:rFonts w:cs="Courier New"/>
        </w:rPr>
        <w:t xml:space="preserve"> </w:t>
      </w:r>
      <w:r w:rsidRPr="00AA666D">
        <w:rPr>
          <w:rFonts w:cs="Courier New"/>
        </w:rPr>
        <w:t xml:space="preserve">They should not be too extensive </w:t>
      </w:r>
      <w:proofErr w:type="gramStart"/>
      <w:r w:rsidRPr="00AA666D">
        <w:rPr>
          <w:rFonts w:cs="Courier New"/>
        </w:rPr>
        <w:t>so as to</w:t>
      </w:r>
      <w:proofErr w:type="gramEnd"/>
      <w:r w:rsidRPr="00AA666D">
        <w:rPr>
          <w:rFonts w:cs="Courier New"/>
        </w:rPr>
        <w:t xml:space="preserve"> compromise the scope of pr</w:t>
      </w:r>
      <w:r>
        <w:rPr>
          <w:rFonts w:cs="Courier New"/>
        </w:rPr>
        <w:t>otection of the subject matter.</w:t>
      </w:r>
    </w:p>
    <w:p w:rsidR="00AA666D" w:rsidRPr="00AA666D" w:rsidRDefault="00AA666D" w:rsidP="00AA666D">
      <w:pPr>
        <w:rPr>
          <w:rFonts w:cs="Courier New"/>
        </w:rPr>
      </w:pPr>
    </w:p>
    <w:p w:rsidR="008A02CF" w:rsidRPr="008A02CF" w:rsidRDefault="00AA666D" w:rsidP="00310121">
      <w:pPr>
        <w:pStyle w:val="ListParagraph"/>
        <w:numPr>
          <w:ilvl w:val="0"/>
          <w:numId w:val="4"/>
        </w:numPr>
        <w:ind w:left="0" w:firstLine="0"/>
      </w:pPr>
      <w:r w:rsidRPr="00AA666D">
        <w:rPr>
          <w:rFonts w:cs="Courier New"/>
        </w:rPr>
        <w:t xml:space="preserve">The Delegation of Egypt supported </w:t>
      </w:r>
      <w:r>
        <w:rPr>
          <w:rFonts w:cs="Courier New"/>
        </w:rPr>
        <w:t>the statement made</w:t>
      </w:r>
      <w:r w:rsidRPr="00AA666D">
        <w:rPr>
          <w:rFonts w:cs="Courier New"/>
        </w:rPr>
        <w:t xml:space="preserve"> by</w:t>
      </w:r>
      <w:r w:rsidRPr="00F35478">
        <w:t xml:space="preserve"> the Delegation of</w:t>
      </w:r>
      <w:r w:rsidRPr="00AA666D">
        <w:rPr>
          <w:rFonts w:cs="Courier New"/>
        </w:rPr>
        <w:t xml:space="preserve"> Indonesia</w:t>
      </w:r>
      <w:r w:rsidR="009B6899">
        <w:rPr>
          <w:rFonts w:cs="Courier New"/>
        </w:rPr>
        <w:t>,</w:t>
      </w:r>
      <w:r w:rsidRPr="00AA666D">
        <w:rPr>
          <w:rFonts w:cs="Courier New"/>
        </w:rPr>
        <w:t xml:space="preserve"> on behalf of the LMCs. </w:t>
      </w:r>
      <w:r>
        <w:rPr>
          <w:rFonts w:cs="Courier New"/>
        </w:rPr>
        <w:t xml:space="preserve"> </w:t>
      </w:r>
      <w:r w:rsidRPr="00AA666D">
        <w:rPr>
          <w:rFonts w:cs="Courier New"/>
        </w:rPr>
        <w:t>The protection of the public interest was</w:t>
      </w:r>
      <w:r>
        <w:rPr>
          <w:rFonts w:cs="Courier New"/>
        </w:rPr>
        <w:t xml:space="preserve"> ambiguous</w:t>
      </w:r>
      <w:r w:rsidRPr="00AA666D">
        <w:rPr>
          <w:rFonts w:cs="Courier New"/>
        </w:rPr>
        <w:t xml:space="preserve"> and might lead to </w:t>
      </w:r>
      <w:proofErr w:type="gramStart"/>
      <w:r w:rsidRPr="00AA666D">
        <w:rPr>
          <w:rFonts w:cs="Courier New"/>
        </w:rPr>
        <w:t>a lot of</w:t>
      </w:r>
      <w:proofErr w:type="gramEnd"/>
      <w:r w:rsidRPr="00AA666D">
        <w:rPr>
          <w:rFonts w:cs="Courier New"/>
        </w:rPr>
        <w:t xml:space="preserve"> exceptions, which would not be desirable for the instrument.  Exceptions and limitations should not prohibit mandatory disclosure</w:t>
      </w:r>
      <w:r>
        <w:rPr>
          <w:rFonts w:cs="Courier New"/>
        </w:rPr>
        <w:t xml:space="preserve"> and </w:t>
      </w:r>
      <w:r w:rsidRPr="00AA666D">
        <w:rPr>
          <w:rFonts w:cs="Courier New"/>
        </w:rPr>
        <w:t>should be clear, in line with the three</w:t>
      </w:r>
      <w:r w:rsidRPr="00AA666D">
        <w:rPr>
          <w:rFonts w:hAnsi="Monaco" w:cs="Monaco"/>
        </w:rPr>
        <w:t>-</w:t>
      </w:r>
      <w:r w:rsidRPr="00AA666D">
        <w:rPr>
          <w:rFonts w:cs="Courier New"/>
        </w:rPr>
        <w:t xml:space="preserve">step test.  </w:t>
      </w:r>
    </w:p>
    <w:p w:rsidR="008A02CF" w:rsidRPr="008A02CF" w:rsidRDefault="008A02CF" w:rsidP="008A02CF">
      <w:pPr>
        <w:rPr>
          <w:rFonts w:cs="Courier New"/>
        </w:rPr>
      </w:pPr>
    </w:p>
    <w:p w:rsidR="008A02CF" w:rsidRPr="008A02CF" w:rsidRDefault="008A02CF" w:rsidP="00310121">
      <w:pPr>
        <w:pStyle w:val="ListParagraph"/>
        <w:numPr>
          <w:ilvl w:val="0"/>
          <w:numId w:val="4"/>
        </w:numPr>
        <w:ind w:left="0" w:firstLine="0"/>
      </w:pPr>
      <w:r w:rsidRPr="008A02CF">
        <w:rPr>
          <w:rFonts w:cs="Courier New"/>
        </w:rPr>
        <w:t xml:space="preserve">The Delegation of Colombia said that the exceptions and limitations </w:t>
      </w:r>
      <w:r>
        <w:rPr>
          <w:rFonts w:cs="Courier New"/>
        </w:rPr>
        <w:t>were</w:t>
      </w:r>
      <w:r w:rsidRPr="008A02CF">
        <w:rPr>
          <w:rFonts w:cs="Courier New"/>
        </w:rPr>
        <w:t xml:space="preserve"> a burden, an overload of work on the patent offices. The IP system on GRs should not include exceptions and limitations. </w:t>
      </w:r>
    </w:p>
    <w:p w:rsidR="008A02CF" w:rsidRPr="008A02CF" w:rsidRDefault="008A02CF" w:rsidP="008A02CF">
      <w:pPr>
        <w:rPr>
          <w:rFonts w:cs="Courier New"/>
        </w:rPr>
      </w:pPr>
    </w:p>
    <w:p w:rsidR="008A02CF" w:rsidRPr="008A02CF" w:rsidRDefault="008A02CF" w:rsidP="00310121">
      <w:pPr>
        <w:pStyle w:val="ListParagraph"/>
        <w:numPr>
          <w:ilvl w:val="0"/>
          <w:numId w:val="4"/>
        </w:numPr>
        <w:ind w:left="0" w:firstLine="0"/>
      </w:pPr>
      <w:r w:rsidRPr="008A02CF">
        <w:rPr>
          <w:rFonts w:cs="Courier New"/>
        </w:rPr>
        <w:t xml:space="preserve">The Chair opened the discussion on sanctions and remedies. The fundamental issue was that of revocation and its potential impact on innovation and commercialization opportunities.  Some Member States had concerns over unintended consequences.  At the same </w:t>
      </w:r>
      <w:r>
        <w:rPr>
          <w:rFonts w:cs="Courier New"/>
        </w:rPr>
        <w:t xml:space="preserve">time, a </w:t>
      </w:r>
      <w:r>
        <w:rPr>
          <w:rFonts w:cs="Courier New"/>
        </w:rPr>
        <w:lastRenderedPageBreak/>
        <w:t>number of Member States</w:t>
      </w:r>
      <w:r w:rsidRPr="008A02CF">
        <w:rPr>
          <w:rFonts w:cs="Courier New"/>
        </w:rPr>
        <w:t xml:space="preserve"> had revocation within their domestic regimes. </w:t>
      </w:r>
      <w:r>
        <w:rPr>
          <w:rFonts w:cs="Courier New"/>
        </w:rPr>
        <w:t xml:space="preserve"> </w:t>
      </w:r>
      <w:r w:rsidRPr="008A02CF">
        <w:rPr>
          <w:rFonts w:cs="Courier New"/>
        </w:rPr>
        <w:t xml:space="preserve">The instrument had to allow for policy space. </w:t>
      </w:r>
      <w:r>
        <w:rPr>
          <w:rFonts w:cs="Courier New"/>
        </w:rPr>
        <w:t xml:space="preserve"> </w:t>
      </w:r>
      <w:r w:rsidRPr="008A02CF">
        <w:rPr>
          <w:rFonts w:cs="Courier New"/>
        </w:rPr>
        <w:t>He opened the floor for comments on sanctions and remedies.</w:t>
      </w:r>
    </w:p>
    <w:p w:rsidR="008A02CF" w:rsidRPr="008A02CF" w:rsidRDefault="008A02CF" w:rsidP="008A02CF">
      <w:pPr>
        <w:rPr>
          <w:rFonts w:cs="Courier New"/>
        </w:rPr>
      </w:pPr>
    </w:p>
    <w:p w:rsidR="008012A7" w:rsidRPr="008012A7" w:rsidRDefault="008A02CF" w:rsidP="008012A7">
      <w:pPr>
        <w:pStyle w:val="ListParagraph"/>
        <w:numPr>
          <w:ilvl w:val="0"/>
          <w:numId w:val="4"/>
        </w:numPr>
        <w:ind w:left="0" w:firstLine="0"/>
      </w:pPr>
      <w:r w:rsidRPr="008A02CF">
        <w:rPr>
          <w:rFonts w:cs="Courier New"/>
        </w:rPr>
        <w:t>The Delegation of India said the provision of sanctions and remedies was essential because it g</w:t>
      </w:r>
      <w:r w:rsidR="008012A7">
        <w:rPr>
          <w:rFonts w:cs="Courier New"/>
        </w:rPr>
        <w:t>ave an opportunity to both the S</w:t>
      </w:r>
      <w:r w:rsidRPr="008A02CF">
        <w:rPr>
          <w:rFonts w:cs="Courier New"/>
        </w:rPr>
        <w:t>tate as well as the inventor to correct what had happened, either knowingly or unknowingly.  The Indian patent system had that provision applicable at the pre</w:t>
      </w:r>
      <w:r w:rsidRPr="008A02CF">
        <w:rPr>
          <w:rFonts w:hAnsi="Monaco" w:cs="Monaco"/>
        </w:rPr>
        <w:t>-</w:t>
      </w:r>
      <w:r w:rsidRPr="008A02CF">
        <w:rPr>
          <w:rFonts w:cs="Courier New"/>
        </w:rPr>
        <w:t>grant and post-grant stages.  It supported the inclusion of that provision in paragraph 5.</w:t>
      </w:r>
    </w:p>
    <w:p w:rsidR="008012A7" w:rsidRPr="008012A7" w:rsidRDefault="008012A7" w:rsidP="008012A7">
      <w:pPr>
        <w:pStyle w:val="ListParagraph"/>
        <w:ind w:left="0"/>
      </w:pPr>
    </w:p>
    <w:p w:rsidR="008A02CF" w:rsidRPr="008012A7" w:rsidRDefault="008A02CF" w:rsidP="008012A7">
      <w:pPr>
        <w:pStyle w:val="ListParagraph"/>
        <w:numPr>
          <w:ilvl w:val="0"/>
          <w:numId w:val="4"/>
        </w:numPr>
        <w:ind w:left="0" w:firstLine="0"/>
      </w:pPr>
      <w:r w:rsidRPr="008012A7">
        <w:rPr>
          <w:rFonts w:cs="Courier New"/>
        </w:rPr>
        <w:t xml:space="preserve">The representative of </w:t>
      </w:r>
      <w:r w:rsidR="008012A7" w:rsidRPr="008012A7">
        <w:rPr>
          <w:rFonts w:cs="Courier New"/>
        </w:rPr>
        <w:t xml:space="preserve">the </w:t>
      </w:r>
      <w:r w:rsidRPr="008012A7">
        <w:rPr>
          <w:rFonts w:cs="Courier New"/>
        </w:rPr>
        <w:t>Tebtebba</w:t>
      </w:r>
      <w:r w:rsidR="008012A7" w:rsidRPr="008012A7">
        <w:rPr>
          <w:rFonts w:cs="Courier New"/>
        </w:rPr>
        <w:t xml:space="preserve"> Foundation</w:t>
      </w:r>
      <w:r w:rsidRPr="008012A7">
        <w:rPr>
          <w:rFonts w:cs="Courier New"/>
        </w:rPr>
        <w:t xml:space="preserve">, speaking on behalf of the Indigenous Caucus, said </w:t>
      </w:r>
      <w:r w:rsidR="008012A7" w:rsidRPr="008012A7">
        <w:rPr>
          <w:rFonts w:cs="Courier New"/>
        </w:rPr>
        <w:t xml:space="preserve">that </w:t>
      </w:r>
      <w:r w:rsidRPr="008012A7">
        <w:rPr>
          <w:rFonts w:cs="Courier New"/>
        </w:rPr>
        <w:t>there should be clear consequences spelled out in the instrument for non</w:t>
      </w:r>
      <w:r w:rsidR="00B83A0C">
        <w:rPr>
          <w:rFonts w:cs="Courier New"/>
        </w:rPr>
        <w:noBreakHyphen/>
      </w:r>
      <w:r w:rsidRPr="008012A7">
        <w:rPr>
          <w:rFonts w:cs="Courier New"/>
        </w:rPr>
        <w:t>compliance with the disclosure requirement.  Invalidation should be on the table.  There should also be penalties in all cases of non</w:t>
      </w:r>
      <w:r w:rsidR="008012A7" w:rsidRPr="008012A7">
        <w:rPr>
          <w:rFonts w:cs="Courier New"/>
        </w:rPr>
        <w:t>-</w:t>
      </w:r>
      <w:r w:rsidRPr="008012A7">
        <w:rPr>
          <w:rFonts w:cs="Courier New"/>
        </w:rPr>
        <w:t xml:space="preserve">compliance, similar to what was in the Yakuanoi film, there should be benefits given.  </w:t>
      </w:r>
      <w:r w:rsidR="008012A7" w:rsidRPr="008012A7">
        <w:rPr>
          <w:rFonts w:cs="Courier New"/>
        </w:rPr>
        <w:t xml:space="preserve">[Note from the Secretariat:  The Yakuanoi film is available online at http://www.wipo.int/tk/en/.]  </w:t>
      </w:r>
      <w:r w:rsidRPr="008012A7">
        <w:rPr>
          <w:rFonts w:cs="Courier New"/>
        </w:rPr>
        <w:t xml:space="preserve">The difference between the instrument under negotiation and the </w:t>
      </w:r>
      <w:r w:rsidR="00585D6A">
        <w:rPr>
          <w:rFonts w:cs="Courier New"/>
        </w:rPr>
        <w:t xml:space="preserve">fictitious </w:t>
      </w:r>
      <w:r w:rsidR="00A605A6">
        <w:rPr>
          <w:rFonts w:cs="Courier New"/>
        </w:rPr>
        <w:t xml:space="preserve">story in the </w:t>
      </w:r>
      <w:r w:rsidRPr="008012A7">
        <w:rPr>
          <w:rFonts w:cs="Courier New"/>
        </w:rPr>
        <w:t xml:space="preserve">Yakuanoi </w:t>
      </w:r>
      <w:r w:rsidR="00A605A6">
        <w:rPr>
          <w:rFonts w:cs="Courier New"/>
        </w:rPr>
        <w:t xml:space="preserve">film </w:t>
      </w:r>
      <w:r w:rsidRPr="008012A7">
        <w:rPr>
          <w:rFonts w:cs="Courier New"/>
        </w:rPr>
        <w:t>was that the latter</w:t>
      </w:r>
      <w:r w:rsidR="008012A7">
        <w:rPr>
          <w:rFonts w:cs="Courier New"/>
        </w:rPr>
        <w:t xml:space="preserve"> </w:t>
      </w:r>
      <w:proofErr w:type="gramStart"/>
      <w:r w:rsidR="008012A7">
        <w:rPr>
          <w:rFonts w:cs="Courier New"/>
        </w:rPr>
        <w:t>was based</w:t>
      </w:r>
      <w:proofErr w:type="gramEnd"/>
      <w:r w:rsidR="008012A7">
        <w:rPr>
          <w:rFonts w:cs="Courier New"/>
        </w:rPr>
        <w:t xml:space="preserve"> on private contract.  I</w:t>
      </w:r>
      <w:r w:rsidRPr="008012A7">
        <w:rPr>
          <w:rFonts w:cs="Courier New"/>
        </w:rPr>
        <w:t>n cases of non</w:t>
      </w:r>
      <w:r w:rsidR="008012A7">
        <w:rPr>
          <w:rFonts w:cs="Courier New"/>
        </w:rPr>
        <w:t>-</w:t>
      </w:r>
      <w:r w:rsidRPr="008012A7">
        <w:rPr>
          <w:rFonts w:cs="Courier New"/>
        </w:rPr>
        <w:t xml:space="preserve">compliance, there should be a legal framework that required the GRs users </w:t>
      </w:r>
      <w:proofErr w:type="gramStart"/>
      <w:r w:rsidRPr="008012A7">
        <w:rPr>
          <w:rFonts w:cs="Courier New"/>
        </w:rPr>
        <w:t>to still share</w:t>
      </w:r>
      <w:proofErr w:type="gramEnd"/>
      <w:r w:rsidRPr="008012A7">
        <w:rPr>
          <w:rFonts w:cs="Courier New"/>
        </w:rPr>
        <w:t xml:space="preserve"> benefits.  There should also be the possibility of reassignment of the patent to indigenous peoples in cases of non</w:t>
      </w:r>
      <w:r w:rsidR="008012A7">
        <w:rPr>
          <w:rFonts w:cs="Courier New"/>
        </w:rPr>
        <w:t>-</w:t>
      </w:r>
      <w:r w:rsidRPr="008012A7">
        <w:rPr>
          <w:rFonts w:cs="Courier New"/>
        </w:rPr>
        <w:t xml:space="preserve">compliance.  </w:t>
      </w:r>
    </w:p>
    <w:p w:rsidR="008A02CF" w:rsidRPr="008A02CF" w:rsidRDefault="008A02CF" w:rsidP="008A02CF">
      <w:pPr>
        <w:rPr>
          <w:rFonts w:cs="Courier New"/>
        </w:rPr>
      </w:pPr>
    </w:p>
    <w:p w:rsidR="00B529B9" w:rsidRPr="00B529B9" w:rsidRDefault="008A02CF" w:rsidP="00310121">
      <w:pPr>
        <w:pStyle w:val="ListParagraph"/>
        <w:numPr>
          <w:ilvl w:val="0"/>
          <w:numId w:val="4"/>
        </w:numPr>
        <w:ind w:left="0" w:firstLine="0"/>
      </w:pPr>
      <w:r w:rsidRPr="008A02CF">
        <w:rPr>
          <w:rFonts w:cs="Courier New"/>
        </w:rPr>
        <w:t xml:space="preserve">The Delegation of El Salvador supported the option of the original text. </w:t>
      </w:r>
      <w:r>
        <w:rPr>
          <w:rFonts w:cs="Courier New"/>
        </w:rPr>
        <w:t xml:space="preserve"> </w:t>
      </w:r>
      <w:r w:rsidRPr="008A02CF">
        <w:rPr>
          <w:rFonts w:cs="Courier New"/>
        </w:rPr>
        <w:t xml:space="preserve">It was important that there be sanctions, when there was misappropriation or non-authorized use of GRs.  There should be a series of sanctions established for those cases, and they should be proportionate to the size of the misuse.  </w:t>
      </w:r>
    </w:p>
    <w:p w:rsidR="00B529B9" w:rsidRPr="00B529B9" w:rsidRDefault="00B529B9" w:rsidP="00B529B9">
      <w:pPr>
        <w:rPr>
          <w:rFonts w:cs="Courier New"/>
        </w:rPr>
      </w:pPr>
    </w:p>
    <w:p w:rsidR="006554CF" w:rsidRPr="006554CF" w:rsidRDefault="00B529B9" w:rsidP="00310121">
      <w:pPr>
        <w:pStyle w:val="ListParagraph"/>
        <w:numPr>
          <w:ilvl w:val="0"/>
          <w:numId w:val="4"/>
        </w:numPr>
        <w:ind w:left="0" w:firstLine="0"/>
      </w:pPr>
      <w:r w:rsidRPr="00B529B9">
        <w:rPr>
          <w:rFonts w:cs="Courier New"/>
        </w:rPr>
        <w:t xml:space="preserve">The Delegation of </w:t>
      </w:r>
      <w:r w:rsidR="006554CF">
        <w:rPr>
          <w:rFonts w:cs="Courier New"/>
        </w:rPr>
        <w:t xml:space="preserve">the </w:t>
      </w:r>
      <w:r w:rsidRPr="00B529B9">
        <w:rPr>
          <w:rFonts w:cs="Courier New"/>
        </w:rPr>
        <w:t xml:space="preserve">USA suggested bracketing Article 5 to reflect that it required additional work. </w:t>
      </w:r>
      <w:r w:rsidR="006554CF">
        <w:rPr>
          <w:rFonts w:cs="Courier New"/>
        </w:rPr>
        <w:t xml:space="preserve"> </w:t>
      </w:r>
      <w:r w:rsidRPr="00B529B9">
        <w:rPr>
          <w:rFonts w:cs="Courier New"/>
        </w:rPr>
        <w:t xml:space="preserve">To improve </w:t>
      </w:r>
      <w:r w:rsidR="008012A7">
        <w:rPr>
          <w:rFonts w:cs="Courier New"/>
        </w:rPr>
        <w:t>the text</w:t>
      </w:r>
      <w:r w:rsidRPr="00B529B9">
        <w:rPr>
          <w:rFonts w:cs="Courier New"/>
        </w:rPr>
        <w:t xml:space="preserve">, it suggested the addition of a new </w:t>
      </w:r>
      <w:r w:rsidR="008012A7">
        <w:rPr>
          <w:rFonts w:cs="Courier New"/>
        </w:rPr>
        <w:t>Article 5(a</w:t>
      </w:r>
      <w:proofErr w:type="gramStart"/>
      <w:r w:rsidR="008012A7">
        <w:rPr>
          <w:rFonts w:cs="Courier New"/>
        </w:rPr>
        <w:t>)</w:t>
      </w:r>
      <w:r w:rsidRPr="00B529B9">
        <w:rPr>
          <w:rFonts w:cs="Courier New"/>
        </w:rPr>
        <w:t>(</w:t>
      </w:r>
      <w:proofErr w:type="gramEnd"/>
      <w:r w:rsidRPr="00B529B9">
        <w:rPr>
          <w:rFonts w:cs="Courier New"/>
        </w:rPr>
        <w:t xml:space="preserve">iv): “Providing an opportunity for patent applicants to supplement the patent application with additional information to disclose the source or origin of any genetic resource or traditional knowledge used.  Since such information is irrelevant to how to make and use the invention, there would be no impact upon the filing date of the application and no fee required for its submission after the filing date of the application.”  It suggested the addition of </w:t>
      </w:r>
      <w:r w:rsidR="008012A7">
        <w:rPr>
          <w:rFonts w:cs="Courier New"/>
        </w:rPr>
        <w:t>Article</w:t>
      </w:r>
      <w:r w:rsidRPr="00B529B9">
        <w:rPr>
          <w:rFonts w:cs="Courier New"/>
        </w:rPr>
        <w:t xml:space="preserve"> 5.4, which read: “Failure to examine a patent application in a timely manner shall result in an adjustment of the term of the patent to compensate the patentee for administrative delays.”</w:t>
      </w:r>
    </w:p>
    <w:p w:rsidR="006554CF" w:rsidRPr="006554CF" w:rsidRDefault="006554CF" w:rsidP="006554CF">
      <w:pPr>
        <w:rPr>
          <w:rFonts w:cs="Courier New"/>
        </w:rPr>
      </w:pPr>
    </w:p>
    <w:p w:rsidR="00FA3762" w:rsidRPr="00FA3762" w:rsidRDefault="00B529B9" w:rsidP="00310121">
      <w:pPr>
        <w:pStyle w:val="ListParagraph"/>
        <w:numPr>
          <w:ilvl w:val="0"/>
          <w:numId w:val="4"/>
        </w:numPr>
        <w:ind w:left="0" w:firstLine="0"/>
      </w:pPr>
      <w:r w:rsidRPr="006554CF">
        <w:rPr>
          <w:rFonts w:cs="Courier New"/>
        </w:rPr>
        <w:t>The Delegation of Brazil saw the need for effective sanctions that allow</w:t>
      </w:r>
      <w:r w:rsidR="006554CF">
        <w:rPr>
          <w:rFonts w:cs="Courier New"/>
        </w:rPr>
        <w:t>ed</w:t>
      </w:r>
      <w:r w:rsidRPr="006554CF">
        <w:rPr>
          <w:rFonts w:cs="Courier New"/>
        </w:rPr>
        <w:t xml:space="preserve"> for proper compliance with the disclosure requirement.  The sanctions would deter deviations from the expected behavior of stakeholders by providing punishment.  Those punishments could take the form of criminal sanctions, monetary fines or administrative sanctions, and in certain exceptional cases</w:t>
      </w:r>
      <w:r w:rsidR="006554CF">
        <w:rPr>
          <w:rFonts w:cs="Courier New"/>
        </w:rPr>
        <w:t>,</w:t>
      </w:r>
      <w:r w:rsidRPr="006554CF">
        <w:rPr>
          <w:rFonts w:cs="Courier New"/>
        </w:rPr>
        <w:t xml:space="preserve"> they could affect the validity of a patent.  They had to provide legal certainty and avoid moral hazard situations. </w:t>
      </w:r>
      <w:r w:rsidR="006554CF">
        <w:rPr>
          <w:rFonts w:cs="Courier New"/>
        </w:rPr>
        <w:t xml:space="preserve"> </w:t>
      </w:r>
      <w:r w:rsidRPr="006554CF">
        <w:rPr>
          <w:rFonts w:cs="Courier New"/>
        </w:rPr>
        <w:t>If</w:t>
      </w:r>
      <w:r w:rsidR="006554CF">
        <w:rPr>
          <w:rFonts w:cs="Courier New"/>
        </w:rPr>
        <w:t xml:space="preserve"> the willful or </w:t>
      </w:r>
      <w:r w:rsidRPr="006554CF">
        <w:rPr>
          <w:rFonts w:cs="Courier New"/>
        </w:rPr>
        <w:t xml:space="preserve">fraudulent lack of compliance with disclosure requirements entailed low costs, financial or otherwise, it was facing a situation of moral hazard.  The Brazilian legislation on GRs contained administrative sanctions and </w:t>
      </w:r>
      <w:r w:rsidR="006554CF">
        <w:rPr>
          <w:rFonts w:cs="Courier New"/>
        </w:rPr>
        <w:t xml:space="preserve">followed a </w:t>
      </w:r>
      <w:proofErr w:type="gramStart"/>
      <w:r w:rsidRPr="006554CF">
        <w:rPr>
          <w:rFonts w:cs="Courier New"/>
        </w:rPr>
        <w:t>crescendo,</w:t>
      </w:r>
      <w:proofErr w:type="gramEnd"/>
      <w:r w:rsidRPr="006554CF">
        <w:rPr>
          <w:rFonts w:cs="Courier New"/>
        </w:rPr>
        <w:t xml:space="preserve"> they might go from mere written reprimand but might include fines, apprehension of the samples of </w:t>
      </w:r>
      <w:r w:rsidR="006554CF">
        <w:rPr>
          <w:rFonts w:cs="Courier New"/>
        </w:rPr>
        <w:t xml:space="preserve">the </w:t>
      </w:r>
      <w:r w:rsidRPr="006554CF">
        <w:rPr>
          <w:rFonts w:cs="Courier New"/>
        </w:rPr>
        <w:t xml:space="preserve">biodiversity or even partial interdiction of the establishment that </w:t>
      </w:r>
      <w:r w:rsidR="006554CF">
        <w:rPr>
          <w:rFonts w:cs="Courier New"/>
        </w:rPr>
        <w:t xml:space="preserve">had </w:t>
      </w:r>
      <w:r w:rsidRPr="006554CF">
        <w:rPr>
          <w:rFonts w:cs="Courier New"/>
        </w:rPr>
        <w:t>committed the offense.  The competent authorities took into account the gravity of the</w:t>
      </w:r>
      <w:r w:rsidR="006554CF">
        <w:rPr>
          <w:rFonts w:cs="Courier New"/>
        </w:rPr>
        <w:t xml:space="preserve"> offense, whether</w:t>
      </w:r>
      <w:r w:rsidRPr="006554CF">
        <w:rPr>
          <w:rFonts w:cs="Courier New"/>
        </w:rPr>
        <w:t xml:space="preserve"> the offender was a recidivist or not as well as the economic situation of the offender.  On the other hand, a formal requirement might also cause post-</w:t>
      </w:r>
      <w:r w:rsidR="006554CF">
        <w:rPr>
          <w:rFonts w:cs="Courier New"/>
        </w:rPr>
        <w:t>sanction revocation.  In</w:t>
      </w:r>
      <w:r w:rsidRPr="006554CF">
        <w:rPr>
          <w:rFonts w:cs="Courier New"/>
        </w:rPr>
        <w:t xml:space="preserve"> certain exceptional cases</w:t>
      </w:r>
      <w:r w:rsidR="00737D7E">
        <w:rPr>
          <w:rFonts w:cs="Courier New"/>
        </w:rPr>
        <w:t>,</w:t>
      </w:r>
      <w:r w:rsidRPr="006554CF">
        <w:rPr>
          <w:rFonts w:cs="Courier New"/>
        </w:rPr>
        <w:t xml:space="preserve"> it affected the validity of a patent.  Those were not automatic processes, and </w:t>
      </w:r>
      <w:r w:rsidR="00737D7E">
        <w:rPr>
          <w:rFonts w:cs="Courier New"/>
        </w:rPr>
        <w:t xml:space="preserve">the </w:t>
      </w:r>
      <w:r w:rsidRPr="006554CF">
        <w:rPr>
          <w:rFonts w:cs="Courier New"/>
        </w:rPr>
        <w:t xml:space="preserve">applicants </w:t>
      </w:r>
      <w:proofErr w:type="gramStart"/>
      <w:r w:rsidRPr="006554CF">
        <w:rPr>
          <w:rFonts w:cs="Courier New"/>
        </w:rPr>
        <w:t>were given</w:t>
      </w:r>
      <w:proofErr w:type="gramEnd"/>
      <w:r w:rsidRPr="006554CF">
        <w:rPr>
          <w:rFonts w:cs="Courier New"/>
        </w:rPr>
        <w:t xml:space="preserve"> the opportunity to present their argument, both </w:t>
      </w:r>
      <w:r w:rsidR="006554CF">
        <w:rPr>
          <w:rFonts w:cs="Courier New"/>
        </w:rPr>
        <w:t>in</w:t>
      </w:r>
      <w:r w:rsidRPr="006554CF">
        <w:rPr>
          <w:rFonts w:cs="Courier New"/>
        </w:rPr>
        <w:t xml:space="preserve"> the course of an administrative procedure at the patent office and during an eventual judicial process.  That ensured due process.  The TRIPS Agreement </w:t>
      </w:r>
      <w:r w:rsidR="00FA3762">
        <w:rPr>
          <w:rFonts w:cs="Courier New"/>
        </w:rPr>
        <w:t>provided for</w:t>
      </w:r>
      <w:r w:rsidRPr="006554CF">
        <w:rPr>
          <w:rFonts w:cs="Courier New"/>
        </w:rPr>
        <w:t xml:space="preserve"> the </w:t>
      </w:r>
      <w:r w:rsidR="006554CF">
        <w:rPr>
          <w:rFonts w:cs="Courier New"/>
        </w:rPr>
        <w:t>revocation of a</w:t>
      </w:r>
      <w:r w:rsidRPr="006554CF">
        <w:rPr>
          <w:rFonts w:cs="Courier New"/>
        </w:rPr>
        <w:t xml:space="preserve"> patent as a remedy.  It was important to allow for </w:t>
      </w:r>
      <w:r w:rsidR="006554CF">
        <w:rPr>
          <w:rFonts w:cs="Courier New"/>
        </w:rPr>
        <w:t>policy</w:t>
      </w:r>
      <w:r w:rsidRPr="006554CF">
        <w:rPr>
          <w:rFonts w:cs="Courier New"/>
        </w:rPr>
        <w:t xml:space="preserve"> space in national legislation and for the possibility to have extreme sanctions in cases of extreme failures to comply with ABS systems.  Minimum </w:t>
      </w:r>
      <w:r w:rsidRPr="006554CF">
        <w:rPr>
          <w:rFonts w:cs="Courier New"/>
        </w:rPr>
        <w:lastRenderedPageBreak/>
        <w:t xml:space="preserve">sanctions </w:t>
      </w:r>
      <w:proofErr w:type="gramStart"/>
      <w:r w:rsidRPr="006554CF">
        <w:rPr>
          <w:rFonts w:cs="Courier New"/>
        </w:rPr>
        <w:t>should be agreed</w:t>
      </w:r>
      <w:proofErr w:type="gramEnd"/>
      <w:r w:rsidRPr="006554CF">
        <w:rPr>
          <w:rFonts w:cs="Courier New"/>
        </w:rPr>
        <w:t xml:space="preserve"> by the IGC, leaving flexibility to Member States</w:t>
      </w:r>
      <w:r w:rsidR="006554CF">
        <w:rPr>
          <w:rFonts w:cs="Courier New"/>
        </w:rPr>
        <w:t xml:space="preserve"> to</w:t>
      </w:r>
      <w:r w:rsidRPr="006554CF">
        <w:rPr>
          <w:rFonts w:cs="Courier New"/>
        </w:rPr>
        <w:t xml:space="preserve"> include </w:t>
      </w:r>
      <w:r w:rsidR="00EB2AAD">
        <w:rPr>
          <w:rFonts w:cs="Courier New"/>
        </w:rPr>
        <w:t xml:space="preserve">other </w:t>
      </w:r>
      <w:r w:rsidRPr="006554CF">
        <w:rPr>
          <w:rFonts w:cs="Courier New"/>
        </w:rPr>
        <w:t>effective, proportionate sanctions</w:t>
      </w:r>
      <w:r w:rsidR="006554CF">
        <w:rPr>
          <w:rFonts w:cs="Courier New"/>
        </w:rPr>
        <w:t xml:space="preserve"> and dissuasive acts</w:t>
      </w:r>
      <w:r w:rsidRPr="006554CF">
        <w:rPr>
          <w:rFonts w:cs="Courier New"/>
        </w:rPr>
        <w:t xml:space="preserve"> in accordance with their legal framework.  </w:t>
      </w:r>
    </w:p>
    <w:p w:rsidR="00FA3762" w:rsidRPr="00FA3762" w:rsidRDefault="00FA3762" w:rsidP="00FA3762">
      <w:pPr>
        <w:pStyle w:val="ListParagraph"/>
        <w:ind w:left="0"/>
      </w:pPr>
    </w:p>
    <w:p w:rsidR="007531E1" w:rsidRPr="00EB2AAD" w:rsidRDefault="00B529B9" w:rsidP="00310121">
      <w:pPr>
        <w:pStyle w:val="ListParagraph"/>
        <w:numPr>
          <w:ilvl w:val="0"/>
          <w:numId w:val="4"/>
        </w:numPr>
        <w:ind w:left="0" w:firstLine="0"/>
      </w:pPr>
      <w:r w:rsidRPr="00EB2AAD">
        <w:rPr>
          <w:rFonts w:cs="Courier New"/>
        </w:rPr>
        <w:t xml:space="preserve">The Delegation of Uganda was in favor of mandatory disclosure. </w:t>
      </w:r>
      <w:r w:rsidR="00FA3762" w:rsidRPr="00EB2AAD">
        <w:rPr>
          <w:rFonts w:cs="Courier New"/>
        </w:rPr>
        <w:t xml:space="preserve"> </w:t>
      </w:r>
      <w:r w:rsidRPr="00EB2AAD">
        <w:rPr>
          <w:rFonts w:cs="Courier New"/>
        </w:rPr>
        <w:t xml:space="preserve">It supported the sanctions and remedies in the original text.  </w:t>
      </w:r>
    </w:p>
    <w:p w:rsidR="007531E1" w:rsidRPr="007531E1" w:rsidRDefault="007531E1" w:rsidP="007531E1">
      <w:pPr>
        <w:rPr>
          <w:rFonts w:cs="Courier New"/>
        </w:rPr>
      </w:pPr>
    </w:p>
    <w:p w:rsidR="007531E1" w:rsidRPr="007531E1" w:rsidRDefault="007531E1" w:rsidP="00310121">
      <w:pPr>
        <w:pStyle w:val="ListParagraph"/>
        <w:numPr>
          <w:ilvl w:val="0"/>
          <w:numId w:val="4"/>
        </w:numPr>
        <w:ind w:left="0" w:firstLine="0"/>
      </w:pPr>
      <w:r w:rsidRPr="007531E1">
        <w:rPr>
          <w:rFonts w:cs="Courier New"/>
        </w:rPr>
        <w:t xml:space="preserve">The Delegation of South Africa said it was important to have balance in terms of the measures in the sanctions, </w:t>
      </w:r>
      <w:r w:rsidR="00E771C8">
        <w:rPr>
          <w:rFonts w:cs="Courier New"/>
        </w:rPr>
        <w:t>taking</w:t>
      </w:r>
      <w:r w:rsidRPr="007531E1">
        <w:rPr>
          <w:rFonts w:cs="Courier New"/>
        </w:rPr>
        <w:t xml:space="preserve"> into consideration the nature of the disclosure.  South Africa had administrative sanctions in the National Biodiversity Act, so the Minister could provide some mechanisms at the pre</w:t>
      </w:r>
      <w:r w:rsidRPr="007531E1">
        <w:rPr>
          <w:rFonts w:cs="Monaco"/>
        </w:rPr>
        <w:t>-</w:t>
      </w:r>
      <w:r w:rsidRPr="007531E1">
        <w:rPr>
          <w:rFonts w:cs="Courier New"/>
        </w:rPr>
        <w:t>grant stage.  In the Patent Act, there was a provision for sanctions</w:t>
      </w:r>
      <w:r w:rsidR="00E771C8">
        <w:rPr>
          <w:rFonts w:cs="Courier New"/>
        </w:rPr>
        <w:t xml:space="preserve"> for failure to disclose.  The Patent</w:t>
      </w:r>
      <w:r w:rsidRPr="007531E1">
        <w:rPr>
          <w:rFonts w:cs="Courier New"/>
        </w:rPr>
        <w:t xml:space="preserve"> Amendment Act, which covered TK and indigenous knowledge, also had provisions on sanctions. </w:t>
      </w:r>
      <w:r>
        <w:rPr>
          <w:rFonts w:cs="Courier New"/>
        </w:rPr>
        <w:t xml:space="preserve"> </w:t>
      </w:r>
      <w:r w:rsidRPr="007531E1">
        <w:rPr>
          <w:rFonts w:cs="Courier New"/>
        </w:rPr>
        <w:t xml:space="preserve">The gaps that </w:t>
      </w:r>
      <w:proofErr w:type="gramStart"/>
      <w:r w:rsidRPr="007531E1">
        <w:rPr>
          <w:rFonts w:cs="Courier New"/>
        </w:rPr>
        <w:t>had been left out</w:t>
      </w:r>
      <w:proofErr w:type="gramEnd"/>
      <w:r w:rsidRPr="007531E1">
        <w:rPr>
          <w:rFonts w:cs="Courier New"/>
        </w:rPr>
        <w:t xml:space="preserve"> were being taken up by the Indigenous Knowledge Bill, which covered issues around sanctions that had not been covered. </w:t>
      </w:r>
      <w:r>
        <w:rPr>
          <w:rFonts w:cs="Courier New"/>
        </w:rPr>
        <w:t xml:space="preserve"> </w:t>
      </w:r>
      <w:r w:rsidRPr="007531E1">
        <w:rPr>
          <w:rFonts w:cs="Courier New"/>
        </w:rPr>
        <w:t>At the pre</w:t>
      </w:r>
      <w:r w:rsidRPr="007531E1">
        <w:rPr>
          <w:rFonts w:hAnsi="Monaco" w:cs="Monaco"/>
        </w:rPr>
        <w:t>-</w:t>
      </w:r>
      <w:r w:rsidRPr="007531E1">
        <w:rPr>
          <w:rFonts w:cs="Courier New"/>
        </w:rPr>
        <w:t xml:space="preserve">grant stage, applicants </w:t>
      </w:r>
      <w:proofErr w:type="gramStart"/>
      <w:r w:rsidRPr="007531E1">
        <w:rPr>
          <w:rFonts w:cs="Courier New"/>
        </w:rPr>
        <w:t>were given</w:t>
      </w:r>
      <w:proofErr w:type="gramEnd"/>
      <w:r w:rsidRPr="007531E1">
        <w:rPr>
          <w:rFonts w:cs="Courier New"/>
        </w:rPr>
        <w:t xml:space="preserve"> an opportunity to go and find their TK sources and were subsequently given the permission to process.  Around revocation, the Act allowed courts to arbitrate in that case.  It was not just within the patent system </w:t>
      </w:r>
      <w:proofErr w:type="gramStart"/>
      <w:r w:rsidRPr="007531E1">
        <w:rPr>
          <w:rFonts w:cs="Courier New"/>
        </w:rPr>
        <w:t>but</w:t>
      </w:r>
      <w:proofErr w:type="gramEnd"/>
      <w:r w:rsidRPr="007531E1">
        <w:rPr>
          <w:rFonts w:cs="Courier New"/>
        </w:rPr>
        <w:t xml:space="preserve"> in the entire legal system.</w:t>
      </w:r>
    </w:p>
    <w:p w:rsidR="007531E1" w:rsidRPr="007531E1" w:rsidRDefault="007531E1" w:rsidP="007531E1">
      <w:pPr>
        <w:rPr>
          <w:rFonts w:cs="Courier New"/>
        </w:rPr>
      </w:pPr>
    </w:p>
    <w:p w:rsidR="004B66A8" w:rsidRPr="004B66A8" w:rsidRDefault="007531E1" w:rsidP="00310121">
      <w:pPr>
        <w:pStyle w:val="ListParagraph"/>
        <w:numPr>
          <w:ilvl w:val="0"/>
          <w:numId w:val="4"/>
        </w:numPr>
        <w:ind w:left="0" w:firstLine="0"/>
      </w:pPr>
      <w:r w:rsidRPr="007531E1">
        <w:rPr>
          <w:rFonts w:cs="Courier New"/>
        </w:rPr>
        <w:t>The Delegation of Nigeria identified strongly with Article 5, in the interest of simplifying and closing gaps.  It identified with the need for consequential san</w:t>
      </w:r>
      <w:r>
        <w:rPr>
          <w:rFonts w:cs="Courier New"/>
        </w:rPr>
        <w:t>ctions for failure to disclose.  T</w:t>
      </w:r>
      <w:r w:rsidRPr="007531E1">
        <w:rPr>
          <w:rFonts w:cs="Courier New"/>
        </w:rPr>
        <w:t xml:space="preserve">he sanctions in Article 5 </w:t>
      </w:r>
      <w:r>
        <w:rPr>
          <w:rFonts w:cs="Courier New"/>
        </w:rPr>
        <w:t xml:space="preserve">were </w:t>
      </w:r>
      <w:r w:rsidRPr="007531E1">
        <w:rPr>
          <w:rFonts w:cs="Courier New"/>
        </w:rPr>
        <w:t xml:space="preserve">merely enumerative and not necessarily prescriptive. </w:t>
      </w:r>
      <w:r>
        <w:rPr>
          <w:rFonts w:cs="Courier New"/>
        </w:rPr>
        <w:t xml:space="preserve"> </w:t>
      </w:r>
      <w:r w:rsidRPr="007531E1">
        <w:rPr>
          <w:rFonts w:cs="Courier New"/>
        </w:rPr>
        <w:t>Those types of sanctions allowed for flexibilities over the nature of specific sanction</w:t>
      </w:r>
      <w:r>
        <w:rPr>
          <w:rFonts w:cs="Courier New"/>
        </w:rPr>
        <w:t>s that</w:t>
      </w:r>
      <w:r w:rsidRPr="007531E1">
        <w:rPr>
          <w:rFonts w:cs="Courier New"/>
        </w:rPr>
        <w:t xml:space="preserve"> each State might be inclined to invoke. </w:t>
      </w:r>
      <w:r>
        <w:rPr>
          <w:rFonts w:cs="Courier New"/>
        </w:rPr>
        <w:t xml:space="preserve"> </w:t>
      </w:r>
      <w:r w:rsidRPr="007531E1">
        <w:rPr>
          <w:rFonts w:cs="Courier New"/>
        </w:rPr>
        <w:t>As indicated by the Delegation of South Africa, in specific national jurisdictions, that might</w:t>
      </w:r>
      <w:r>
        <w:rPr>
          <w:rFonts w:cs="Courier New"/>
        </w:rPr>
        <w:t xml:space="preserve"> be </w:t>
      </w:r>
      <w:r w:rsidRPr="007531E1">
        <w:rPr>
          <w:rFonts w:cs="Courier New"/>
        </w:rPr>
        <w:t xml:space="preserve">the </w:t>
      </w:r>
      <w:r>
        <w:rPr>
          <w:rFonts w:cs="Courier New"/>
        </w:rPr>
        <w:t>realm</w:t>
      </w:r>
      <w:r w:rsidRPr="007531E1">
        <w:rPr>
          <w:rFonts w:cs="Courier New"/>
        </w:rPr>
        <w:t xml:space="preserve"> of litigation.  In essence, it identified strongly with the need for sanctions, </w:t>
      </w:r>
      <w:r>
        <w:rPr>
          <w:rFonts w:cs="Courier New"/>
        </w:rPr>
        <w:t>which</w:t>
      </w:r>
      <w:r w:rsidRPr="007531E1">
        <w:rPr>
          <w:rFonts w:cs="Courier New"/>
        </w:rPr>
        <w:t xml:space="preserve"> would be a matter of national law.  In relation to ALT Article 5, Article</w:t>
      </w:r>
      <w:r w:rsidR="00D05091">
        <w:rPr>
          <w:rFonts w:cs="Courier New"/>
        </w:rPr>
        <w:t>s</w:t>
      </w:r>
      <w:r w:rsidRPr="007531E1">
        <w:rPr>
          <w:rFonts w:cs="Courier New"/>
        </w:rPr>
        <w:t xml:space="preserve"> 5.1, 5.2 and 5.3 </w:t>
      </w:r>
      <w:r>
        <w:rPr>
          <w:rFonts w:cs="Courier New"/>
        </w:rPr>
        <w:t>were</w:t>
      </w:r>
      <w:r w:rsidRPr="007531E1">
        <w:rPr>
          <w:rFonts w:cs="Courier New"/>
        </w:rPr>
        <w:t xml:space="preserve"> irreconcilable if not inconsistent with substantive Article 5.  It wondered if they could not be parked somewhere </w:t>
      </w:r>
      <w:proofErr w:type="gramStart"/>
      <w:r>
        <w:rPr>
          <w:rFonts w:cs="Courier New"/>
        </w:rPr>
        <w:t xml:space="preserve">so </w:t>
      </w:r>
      <w:r w:rsidRPr="007531E1">
        <w:rPr>
          <w:rFonts w:cs="Courier New"/>
        </w:rPr>
        <w:t>as to</w:t>
      </w:r>
      <w:proofErr w:type="gramEnd"/>
      <w:r w:rsidRPr="007531E1">
        <w:rPr>
          <w:rFonts w:cs="Courier New"/>
        </w:rPr>
        <w:t xml:space="preserve"> make the article workable and help close gaps.  </w:t>
      </w:r>
    </w:p>
    <w:p w:rsidR="004B66A8" w:rsidRPr="004B66A8" w:rsidRDefault="004B66A8" w:rsidP="004B66A8">
      <w:pPr>
        <w:rPr>
          <w:rFonts w:cs="Courier New"/>
        </w:rPr>
      </w:pPr>
    </w:p>
    <w:p w:rsidR="004B66A8" w:rsidRPr="004B66A8" w:rsidRDefault="004B66A8" w:rsidP="00310121">
      <w:pPr>
        <w:pStyle w:val="ListParagraph"/>
        <w:numPr>
          <w:ilvl w:val="0"/>
          <w:numId w:val="4"/>
        </w:numPr>
        <w:ind w:left="0" w:firstLine="0"/>
      </w:pPr>
      <w:r w:rsidRPr="004B66A8">
        <w:rPr>
          <w:rFonts w:cs="Courier New"/>
        </w:rPr>
        <w:t>The Delegation of Indonesia, speaking on behalf of the LMCs, said that</w:t>
      </w:r>
      <w:r>
        <w:rPr>
          <w:rFonts w:cs="Courier New"/>
        </w:rPr>
        <w:t>,</w:t>
      </w:r>
      <w:r w:rsidRPr="004B66A8">
        <w:rPr>
          <w:rFonts w:cs="Courier New"/>
        </w:rPr>
        <w:t xml:space="preserve"> </w:t>
      </w:r>
      <w:r>
        <w:rPr>
          <w:rFonts w:cs="Courier New"/>
        </w:rPr>
        <w:t>with a</w:t>
      </w:r>
      <w:r w:rsidRPr="004B66A8">
        <w:rPr>
          <w:rFonts w:cs="Courier New"/>
        </w:rPr>
        <w:t xml:space="preserve"> disclosure requirement, the only burden </w:t>
      </w:r>
      <w:r>
        <w:rPr>
          <w:rFonts w:cs="Courier New"/>
        </w:rPr>
        <w:t xml:space="preserve">on applicants would be their intent </w:t>
      </w:r>
      <w:r w:rsidRPr="004B66A8">
        <w:rPr>
          <w:rFonts w:cs="Courier New"/>
        </w:rPr>
        <w:t xml:space="preserve">to provide relevant information, </w:t>
      </w:r>
      <w:r>
        <w:rPr>
          <w:rFonts w:cs="Courier New"/>
        </w:rPr>
        <w:t xml:space="preserve">whether </w:t>
      </w:r>
      <w:r w:rsidRPr="004B66A8">
        <w:rPr>
          <w:rFonts w:cs="Courier New"/>
        </w:rPr>
        <w:t xml:space="preserve">in good faith or fraudulent. </w:t>
      </w:r>
      <w:r w:rsidR="00612070">
        <w:rPr>
          <w:rFonts w:cs="Courier New"/>
        </w:rPr>
        <w:t xml:space="preserve"> As to “moral hazard</w:t>
      </w:r>
      <w:r>
        <w:rPr>
          <w:rFonts w:cs="Courier New"/>
        </w:rPr>
        <w:t>”</w:t>
      </w:r>
      <w:r w:rsidR="00612070">
        <w:rPr>
          <w:rFonts w:cs="Courier New"/>
        </w:rPr>
        <w:t>,</w:t>
      </w:r>
      <w:r>
        <w:rPr>
          <w:rFonts w:cs="Courier New"/>
        </w:rPr>
        <w:t xml:space="preserve"> as mentioned by</w:t>
      </w:r>
      <w:r w:rsidRPr="004B66A8">
        <w:rPr>
          <w:rFonts w:cs="Courier New"/>
        </w:rPr>
        <w:t xml:space="preserve"> the Delegation of Brazil</w:t>
      </w:r>
      <w:r>
        <w:rPr>
          <w:rFonts w:cs="Courier New"/>
        </w:rPr>
        <w:t xml:space="preserve">, </w:t>
      </w:r>
      <w:r w:rsidRPr="004B66A8">
        <w:rPr>
          <w:rFonts w:cs="Courier New"/>
        </w:rPr>
        <w:t xml:space="preserve">for example, some companies based on </w:t>
      </w:r>
      <w:r>
        <w:rPr>
          <w:rFonts w:cs="Courier New"/>
        </w:rPr>
        <w:t xml:space="preserve">a </w:t>
      </w:r>
      <w:r w:rsidRPr="004B66A8">
        <w:rPr>
          <w:rFonts w:cs="Courier New"/>
        </w:rPr>
        <w:t xml:space="preserve">cost/benefit analysis might consciously prefer to run the risk of paying a fine at </w:t>
      </w:r>
      <w:r w:rsidR="00612070">
        <w:rPr>
          <w:rFonts w:cs="Courier New"/>
        </w:rPr>
        <w:t xml:space="preserve">a </w:t>
      </w:r>
      <w:r w:rsidRPr="004B66A8">
        <w:rPr>
          <w:rFonts w:cs="Courier New"/>
        </w:rPr>
        <w:t>later stage rather t</w:t>
      </w:r>
      <w:r>
        <w:rPr>
          <w:rFonts w:cs="Courier New"/>
        </w:rPr>
        <w:t>han disclose</w:t>
      </w:r>
      <w:r w:rsidRPr="004B66A8">
        <w:rPr>
          <w:rFonts w:cs="Courier New"/>
        </w:rPr>
        <w:t xml:space="preserve"> some information.  </w:t>
      </w:r>
      <w:r>
        <w:rPr>
          <w:rFonts w:cs="Courier New"/>
        </w:rPr>
        <w:t xml:space="preserve">That was </w:t>
      </w:r>
      <w:r w:rsidRPr="004B66A8">
        <w:rPr>
          <w:rFonts w:cs="Courier New"/>
        </w:rPr>
        <w:t xml:space="preserve">not in a good faith. </w:t>
      </w:r>
      <w:r>
        <w:rPr>
          <w:rFonts w:cs="Courier New"/>
        </w:rPr>
        <w:t xml:space="preserve"> </w:t>
      </w:r>
      <w:r w:rsidRPr="004B66A8">
        <w:rPr>
          <w:rFonts w:cs="Courier New"/>
        </w:rPr>
        <w:t xml:space="preserve">The article needed to strike a very fine balance between good faith and strict liability to make sure that the instrument could achieve its objective.  It supported the original text. </w:t>
      </w:r>
      <w:r>
        <w:rPr>
          <w:rFonts w:cs="Courier New"/>
        </w:rPr>
        <w:t xml:space="preserve"> </w:t>
      </w:r>
      <w:r w:rsidRPr="004B66A8">
        <w:rPr>
          <w:rFonts w:cs="Courier New"/>
        </w:rPr>
        <w:t>It agreed that since the text included “</w:t>
      </w:r>
      <w:r w:rsidR="00612070">
        <w:rPr>
          <w:rFonts w:cs="Courier New"/>
        </w:rPr>
        <w:t>subject to national legislation</w:t>
      </w:r>
      <w:r w:rsidRPr="004B66A8">
        <w:rPr>
          <w:rFonts w:cs="Courier New"/>
        </w:rPr>
        <w:t>”</w:t>
      </w:r>
      <w:r w:rsidR="00612070">
        <w:rPr>
          <w:rFonts w:cs="Courier New"/>
        </w:rPr>
        <w:t>,</w:t>
      </w:r>
      <w:r w:rsidRPr="004B66A8">
        <w:rPr>
          <w:rFonts w:cs="Courier New"/>
        </w:rPr>
        <w:t xml:space="preserve"> it was not really prescriptive</w:t>
      </w:r>
      <w:r>
        <w:rPr>
          <w:rFonts w:cs="Courier New"/>
        </w:rPr>
        <w:t xml:space="preserve"> but </w:t>
      </w:r>
      <w:r w:rsidRPr="004B66A8">
        <w:rPr>
          <w:rFonts w:cs="Courier New"/>
        </w:rPr>
        <w:t>rather open and flexible.</w:t>
      </w:r>
      <w:r>
        <w:rPr>
          <w:rFonts w:cs="Courier New"/>
        </w:rPr>
        <w:t xml:space="preserve"> </w:t>
      </w:r>
      <w:r w:rsidRPr="004B66A8">
        <w:rPr>
          <w:rFonts w:cs="Courier New"/>
        </w:rPr>
        <w:t xml:space="preserve"> It </w:t>
      </w:r>
      <w:r>
        <w:rPr>
          <w:rFonts w:cs="Courier New"/>
        </w:rPr>
        <w:t>remained</w:t>
      </w:r>
      <w:r w:rsidRPr="004B66A8">
        <w:rPr>
          <w:rFonts w:cs="Courier New"/>
        </w:rPr>
        <w:t xml:space="preserve"> open to any textual proposal aiming </w:t>
      </w:r>
      <w:r>
        <w:rPr>
          <w:rFonts w:cs="Courier New"/>
        </w:rPr>
        <w:t>at</w:t>
      </w:r>
      <w:r w:rsidRPr="004B66A8">
        <w:rPr>
          <w:rFonts w:cs="Courier New"/>
        </w:rPr>
        <w:t xml:space="preserve"> narrow</w:t>
      </w:r>
      <w:r>
        <w:rPr>
          <w:rFonts w:cs="Courier New"/>
        </w:rPr>
        <w:t>ing</w:t>
      </w:r>
      <w:r w:rsidRPr="004B66A8">
        <w:rPr>
          <w:rFonts w:cs="Courier New"/>
        </w:rPr>
        <w:t xml:space="preserve"> gaps.  </w:t>
      </w:r>
    </w:p>
    <w:p w:rsidR="004B66A8" w:rsidRPr="004B66A8" w:rsidRDefault="004B66A8" w:rsidP="004B66A8">
      <w:pPr>
        <w:pStyle w:val="ListParagraph"/>
        <w:ind w:left="0"/>
      </w:pPr>
    </w:p>
    <w:p w:rsidR="004B66A8" w:rsidRPr="004B66A8" w:rsidRDefault="004B66A8" w:rsidP="00310121">
      <w:pPr>
        <w:pStyle w:val="ListParagraph"/>
        <w:numPr>
          <w:ilvl w:val="0"/>
          <w:numId w:val="4"/>
        </w:numPr>
        <w:ind w:left="0" w:firstLine="0"/>
      </w:pPr>
      <w:r w:rsidRPr="004B66A8">
        <w:rPr>
          <w:rFonts w:cs="Courier New"/>
        </w:rPr>
        <w:t xml:space="preserve">The Delegation of Egypt said </w:t>
      </w:r>
      <w:r w:rsidR="00612070">
        <w:rPr>
          <w:rFonts w:cs="Courier New"/>
        </w:rPr>
        <w:t xml:space="preserve">that </w:t>
      </w:r>
      <w:r w:rsidRPr="004B66A8">
        <w:rPr>
          <w:rFonts w:cs="Courier New"/>
        </w:rPr>
        <w:t>it was talking about non</w:t>
      </w:r>
      <w:r w:rsidR="00612070">
        <w:rPr>
          <w:rFonts w:cs="Courier New"/>
        </w:rPr>
        <w:t>-</w:t>
      </w:r>
      <w:r w:rsidRPr="004B66A8">
        <w:rPr>
          <w:rFonts w:cs="Courier New"/>
        </w:rPr>
        <w:t xml:space="preserve">disclosure </w:t>
      </w:r>
      <w:r>
        <w:rPr>
          <w:rFonts w:cs="Courier New"/>
        </w:rPr>
        <w:t>in</w:t>
      </w:r>
      <w:r w:rsidRPr="004B66A8">
        <w:rPr>
          <w:rFonts w:cs="Courier New"/>
        </w:rPr>
        <w:t xml:space="preserve"> a pre</w:t>
      </w:r>
      <w:r w:rsidR="00B83A0C">
        <w:rPr>
          <w:rFonts w:hAnsi="Monaco" w:cs="Monaco"/>
        </w:rPr>
        <w:noBreakHyphen/>
      </w:r>
      <w:r>
        <w:rPr>
          <w:rFonts w:cs="Courier New"/>
        </w:rPr>
        <w:t>grant stage, t</w:t>
      </w:r>
      <w:r w:rsidRPr="004B66A8">
        <w:rPr>
          <w:rFonts w:cs="Courier New"/>
        </w:rPr>
        <w:t xml:space="preserve">he right to hold IP or a patent </w:t>
      </w:r>
      <w:r>
        <w:rPr>
          <w:rFonts w:cs="Courier New"/>
        </w:rPr>
        <w:t xml:space="preserve">obtained </w:t>
      </w:r>
      <w:r w:rsidRPr="004B66A8">
        <w:rPr>
          <w:rFonts w:cs="Courier New"/>
        </w:rPr>
        <w:t xml:space="preserve">via erroneous and fraudulent information. </w:t>
      </w:r>
      <w:r>
        <w:rPr>
          <w:rFonts w:cs="Courier New"/>
        </w:rPr>
        <w:t xml:space="preserve"> </w:t>
      </w:r>
      <w:r w:rsidRPr="004B66A8">
        <w:rPr>
          <w:rFonts w:cs="Courier New"/>
        </w:rPr>
        <w:t xml:space="preserve">There were three elements.  If the person requesting the patent did not include information in </w:t>
      </w:r>
      <w:r>
        <w:rPr>
          <w:rFonts w:cs="Courier New"/>
        </w:rPr>
        <w:t>its</w:t>
      </w:r>
      <w:r w:rsidRPr="004B66A8">
        <w:rPr>
          <w:rFonts w:cs="Courier New"/>
        </w:rPr>
        <w:t xml:space="preserve"> request and it did have to do with TK, the </w:t>
      </w:r>
      <w:r w:rsidR="00381A41">
        <w:rPr>
          <w:rFonts w:cs="Courier New"/>
        </w:rPr>
        <w:t>State</w:t>
      </w:r>
      <w:r w:rsidRPr="004B66A8">
        <w:rPr>
          <w:rFonts w:cs="Courier New"/>
        </w:rPr>
        <w:t xml:space="preserve"> should review the national legislation.  If the patent holder had achieved his patent via administrative fraud, the </w:t>
      </w:r>
      <w:r w:rsidR="00381A41">
        <w:rPr>
          <w:rFonts w:cs="Courier New"/>
        </w:rPr>
        <w:t>State</w:t>
      </w:r>
      <w:r w:rsidRPr="004B66A8">
        <w:rPr>
          <w:rFonts w:cs="Courier New"/>
        </w:rPr>
        <w:t xml:space="preserve"> would have to revoke or withdraw</w:t>
      </w:r>
      <w:r>
        <w:rPr>
          <w:rFonts w:cs="Courier New"/>
        </w:rPr>
        <w:t xml:space="preserve"> the patent</w:t>
      </w:r>
      <w:r w:rsidRPr="004B66A8">
        <w:rPr>
          <w:rFonts w:cs="Courier New"/>
        </w:rPr>
        <w:t>.  Those sanc</w:t>
      </w:r>
      <w:r w:rsidR="00381A41">
        <w:rPr>
          <w:rFonts w:cs="Courier New"/>
        </w:rPr>
        <w:t xml:space="preserve">tions needed to be in line with </w:t>
      </w:r>
      <w:r w:rsidRPr="004B66A8">
        <w:rPr>
          <w:rFonts w:cs="Courier New"/>
        </w:rPr>
        <w:t>national legislation, including complementary sanctions</w:t>
      </w:r>
      <w:r w:rsidR="00381A41">
        <w:rPr>
          <w:rFonts w:cs="Courier New"/>
        </w:rPr>
        <w:t>.  D</w:t>
      </w:r>
      <w:r w:rsidRPr="004B66A8">
        <w:rPr>
          <w:rFonts w:cs="Courier New"/>
        </w:rPr>
        <w:t>amages</w:t>
      </w:r>
      <w:r w:rsidR="00381A41" w:rsidRPr="004B66A8">
        <w:rPr>
          <w:rFonts w:cs="Courier New"/>
        </w:rPr>
        <w:t xml:space="preserve"> needed to</w:t>
      </w:r>
      <w:r w:rsidR="00381A41">
        <w:rPr>
          <w:rFonts w:cs="Courier New"/>
        </w:rPr>
        <w:t xml:space="preserve"> </w:t>
      </w:r>
      <w:proofErr w:type="gramStart"/>
      <w:r w:rsidR="00381A41">
        <w:rPr>
          <w:rFonts w:cs="Courier New"/>
        </w:rPr>
        <w:t>be</w:t>
      </w:r>
      <w:r w:rsidR="00381A41" w:rsidRPr="004B66A8">
        <w:rPr>
          <w:rFonts w:cs="Courier New"/>
        </w:rPr>
        <w:t xml:space="preserve"> take</w:t>
      </w:r>
      <w:r w:rsidR="00381A41">
        <w:rPr>
          <w:rFonts w:cs="Courier New"/>
        </w:rPr>
        <w:t>n</w:t>
      </w:r>
      <w:proofErr w:type="gramEnd"/>
      <w:r w:rsidR="00381A41" w:rsidRPr="004B66A8">
        <w:rPr>
          <w:rFonts w:cs="Courier New"/>
        </w:rPr>
        <w:t xml:space="preserve"> into account</w:t>
      </w:r>
      <w:r w:rsidRPr="004B66A8">
        <w:rPr>
          <w:rFonts w:cs="Courier New"/>
        </w:rPr>
        <w:t xml:space="preserve">, in line with national legislation.  </w:t>
      </w:r>
    </w:p>
    <w:p w:rsidR="004B66A8" w:rsidRPr="004B66A8" w:rsidRDefault="004B66A8" w:rsidP="004B66A8">
      <w:pPr>
        <w:rPr>
          <w:rFonts w:cs="Courier New"/>
        </w:rPr>
      </w:pPr>
    </w:p>
    <w:p w:rsidR="004B66A8" w:rsidRPr="004B66A8" w:rsidRDefault="004B66A8" w:rsidP="00310121">
      <w:pPr>
        <w:pStyle w:val="ListParagraph"/>
        <w:numPr>
          <w:ilvl w:val="0"/>
          <w:numId w:val="4"/>
        </w:numPr>
        <w:ind w:left="0" w:firstLine="0"/>
      </w:pPr>
      <w:r w:rsidRPr="004B66A8">
        <w:rPr>
          <w:rFonts w:cs="Courier New"/>
        </w:rPr>
        <w:t xml:space="preserve">The Delegation of Morocco, speaking on behalf of the African Group, said that sanctions were highly important for the application of the text and </w:t>
      </w:r>
      <w:proofErr w:type="gramStart"/>
      <w:r w:rsidRPr="004B66A8">
        <w:rPr>
          <w:rFonts w:cs="Courier New"/>
        </w:rPr>
        <w:t>should be based</w:t>
      </w:r>
      <w:proofErr w:type="gramEnd"/>
      <w:r w:rsidRPr="004B66A8">
        <w:rPr>
          <w:rFonts w:cs="Courier New"/>
        </w:rPr>
        <w:t xml:space="preserve"> on administrative and legal measures, pre</w:t>
      </w:r>
      <w:r w:rsidRPr="004B66A8">
        <w:rPr>
          <w:rFonts w:cs="Monaco"/>
        </w:rPr>
        <w:t>-</w:t>
      </w:r>
      <w:r w:rsidRPr="004B66A8">
        <w:rPr>
          <w:rFonts w:cs="Courier New"/>
        </w:rPr>
        <w:t>grant and post grant.</w:t>
      </w:r>
      <w:r>
        <w:rPr>
          <w:rFonts w:cs="Courier New"/>
        </w:rPr>
        <w:t xml:space="preserve"> </w:t>
      </w:r>
      <w:r w:rsidRPr="004B66A8">
        <w:rPr>
          <w:rFonts w:cs="Courier New"/>
        </w:rPr>
        <w:t xml:space="preserve"> It preferred the initial text, because it </w:t>
      </w:r>
      <w:proofErr w:type="gramStart"/>
      <w:r w:rsidRPr="004B66A8">
        <w:rPr>
          <w:rFonts w:cs="Courier New"/>
        </w:rPr>
        <w:t>was balanced</w:t>
      </w:r>
      <w:proofErr w:type="gramEnd"/>
      <w:r w:rsidRPr="004B66A8">
        <w:rPr>
          <w:rFonts w:cs="Courier New"/>
        </w:rPr>
        <w:t>, but some brackets could be alleviated.</w:t>
      </w:r>
    </w:p>
    <w:p w:rsidR="004B66A8" w:rsidRPr="004B66A8" w:rsidRDefault="004B66A8" w:rsidP="004B66A8">
      <w:pPr>
        <w:rPr>
          <w:rFonts w:cs="Courier New"/>
        </w:rPr>
      </w:pPr>
    </w:p>
    <w:p w:rsidR="008C2113" w:rsidRPr="008C2113" w:rsidRDefault="004B66A8" w:rsidP="00310121">
      <w:pPr>
        <w:pStyle w:val="ListParagraph"/>
        <w:numPr>
          <w:ilvl w:val="0"/>
          <w:numId w:val="4"/>
        </w:numPr>
        <w:ind w:left="0" w:firstLine="0"/>
      </w:pPr>
      <w:r w:rsidRPr="004B66A8">
        <w:rPr>
          <w:rFonts w:cs="Courier New"/>
        </w:rPr>
        <w:t xml:space="preserve">The Delegation of the Islamic Republic of Iran was in favor of </w:t>
      </w:r>
      <w:r w:rsidR="001B7EC0">
        <w:rPr>
          <w:rFonts w:cs="Courier New"/>
        </w:rPr>
        <w:t>a</w:t>
      </w:r>
      <w:r w:rsidRPr="004B66A8">
        <w:rPr>
          <w:rFonts w:cs="Courier New"/>
        </w:rPr>
        <w:t xml:space="preserve"> mandatory disclosure requirement.  Sanctions and remedies were an important part.</w:t>
      </w:r>
      <w:r>
        <w:rPr>
          <w:rFonts w:cs="Courier New"/>
        </w:rPr>
        <w:t xml:space="preserve"> </w:t>
      </w:r>
      <w:r w:rsidRPr="004B66A8">
        <w:rPr>
          <w:rFonts w:cs="Courier New"/>
        </w:rPr>
        <w:t xml:space="preserve"> Along with other LMC</w:t>
      </w:r>
      <w:r w:rsidR="001B7EC0">
        <w:rPr>
          <w:rFonts w:cs="Courier New"/>
        </w:rPr>
        <w:t>s</w:t>
      </w:r>
      <w:r w:rsidRPr="004B66A8">
        <w:rPr>
          <w:rFonts w:cs="Courier New"/>
        </w:rPr>
        <w:t>, it was in favor of the original article, which provided enough policy space and flexibility for all Member States to prescribe any sanction</w:t>
      </w:r>
      <w:r w:rsidR="001B7EC0">
        <w:rPr>
          <w:rFonts w:cs="Courier New"/>
        </w:rPr>
        <w:t>s</w:t>
      </w:r>
      <w:r w:rsidRPr="004B66A8">
        <w:rPr>
          <w:rFonts w:cs="Courier New"/>
        </w:rPr>
        <w:t xml:space="preserve"> and remedies based on national law. </w:t>
      </w:r>
    </w:p>
    <w:p w:rsidR="008C2113" w:rsidRPr="008C2113" w:rsidRDefault="008C2113" w:rsidP="008C2113">
      <w:pPr>
        <w:rPr>
          <w:rFonts w:cs="Courier New"/>
        </w:rPr>
      </w:pPr>
    </w:p>
    <w:p w:rsidR="00310121" w:rsidRPr="00310121" w:rsidRDefault="004B66A8" w:rsidP="00310121">
      <w:pPr>
        <w:pStyle w:val="ListParagraph"/>
        <w:numPr>
          <w:ilvl w:val="0"/>
          <w:numId w:val="4"/>
        </w:numPr>
        <w:ind w:left="0" w:firstLine="0"/>
      </w:pPr>
      <w:r w:rsidRPr="008C2113">
        <w:rPr>
          <w:rFonts w:cs="Courier New"/>
        </w:rPr>
        <w:t xml:space="preserve">The Delegation of Australia said that sanctions and remedies should be limited to where they </w:t>
      </w:r>
      <w:proofErr w:type="gramStart"/>
      <w:r w:rsidRPr="008C2113">
        <w:rPr>
          <w:rFonts w:cs="Courier New"/>
        </w:rPr>
        <w:t>were needed</w:t>
      </w:r>
      <w:proofErr w:type="gramEnd"/>
      <w:r w:rsidRPr="008C2113">
        <w:rPr>
          <w:rFonts w:cs="Courier New"/>
        </w:rPr>
        <w:t xml:space="preserve"> to meet the objectives of the requirement.  For a requirement focused on supporting transparency in the patent system, effective and proportionate sanctions and remedies </w:t>
      </w:r>
      <w:proofErr w:type="gramStart"/>
      <w:r w:rsidRPr="008C2113">
        <w:rPr>
          <w:rFonts w:cs="Courier New"/>
        </w:rPr>
        <w:t>would be aimed</w:t>
      </w:r>
      <w:proofErr w:type="gramEnd"/>
      <w:r w:rsidRPr="008C2113">
        <w:rPr>
          <w:rFonts w:cs="Courier New"/>
        </w:rPr>
        <w:t xml:space="preserve"> at facilitating h</w:t>
      </w:r>
      <w:r w:rsidR="0087454A">
        <w:rPr>
          <w:rFonts w:cs="Courier New"/>
        </w:rPr>
        <w:t>onest and good faith disclosure</w:t>
      </w:r>
      <w:r w:rsidRPr="008C2113">
        <w:rPr>
          <w:rFonts w:cs="Courier New"/>
        </w:rPr>
        <w:t xml:space="preserve">.  </w:t>
      </w:r>
      <w:r w:rsidR="0087454A">
        <w:rPr>
          <w:rFonts w:cs="Courier New"/>
        </w:rPr>
        <w:t>T</w:t>
      </w:r>
      <w:r w:rsidRPr="008C2113">
        <w:rPr>
          <w:rFonts w:cs="Courier New"/>
        </w:rPr>
        <w:t xml:space="preserve">he sanctions </w:t>
      </w:r>
      <w:proofErr w:type="gramStart"/>
      <w:r w:rsidRPr="008C2113">
        <w:rPr>
          <w:rFonts w:cs="Courier New"/>
        </w:rPr>
        <w:t>should be focused</w:t>
      </w:r>
      <w:proofErr w:type="gramEnd"/>
      <w:r w:rsidRPr="008C2113">
        <w:rPr>
          <w:rFonts w:cs="Courier New"/>
        </w:rPr>
        <w:t xml:space="preserve"> on intermediate measures.  Invalidation of a patent would place an unreasonable burden on patent applicants and </w:t>
      </w:r>
      <w:proofErr w:type="gramStart"/>
      <w:r w:rsidRPr="008C2113">
        <w:rPr>
          <w:rFonts w:cs="Courier New"/>
        </w:rPr>
        <w:t>should be avoided</w:t>
      </w:r>
      <w:proofErr w:type="gramEnd"/>
      <w:r w:rsidRPr="008C2113">
        <w:rPr>
          <w:rFonts w:cs="Courier New"/>
        </w:rPr>
        <w:t xml:space="preserve"> as a sanction. </w:t>
      </w:r>
      <w:r w:rsidR="008C2113">
        <w:rPr>
          <w:rFonts w:cs="Courier New"/>
        </w:rPr>
        <w:t xml:space="preserve"> It preferred the ALT</w:t>
      </w:r>
      <w:r w:rsidR="008C2113" w:rsidRPr="008C2113">
        <w:rPr>
          <w:rFonts w:cs="Courier New"/>
        </w:rPr>
        <w:t xml:space="preserve"> option.  In the Australian context, </w:t>
      </w:r>
      <w:r w:rsidR="00310121">
        <w:rPr>
          <w:rFonts w:cs="Courier New"/>
        </w:rPr>
        <w:t>the Patent Act provided for</w:t>
      </w:r>
      <w:r w:rsidR="008C2113" w:rsidRPr="008C2113">
        <w:rPr>
          <w:rFonts w:cs="Courier New"/>
        </w:rPr>
        <w:t xml:space="preserve"> sanctions like revocation where a patent </w:t>
      </w:r>
      <w:proofErr w:type="gramStart"/>
      <w:r w:rsidR="008C2113" w:rsidRPr="008C2113">
        <w:rPr>
          <w:rFonts w:cs="Courier New"/>
        </w:rPr>
        <w:t>was obtained</w:t>
      </w:r>
      <w:proofErr w:type="gramEnd"/>
      <w:r w:rsidR="008C2113" w:rsidRPr="008C2113">
        <w:rPr>
          <w:rFonts w:cs="Courier New"/>
        </w:rPr>
        <w:t xml:space="preserve"> in fraud.  </w:t>
      </w:r>
    </w:p>
    <w:p w:rsidR="00310121" w:rsidRPr="00310121" w:rsidRDefault="00310121" w:rsidP="00310121">
      <w:pPr>
        <w:rPr>
          <w:rFonts w:cs="Courier New"/>
        </w:rPr>
      </w:pPr>
    </w:p>
    <w:p w:rsidR="008A15A3" w:rsidRPr="008A15A3" w:rsidRDefault="00310121" w:rsidP="008A15A3">
      <w:pPr>
        <w:pStyle w:val="ListParagraph"/>
        <w:numPr>
          <w:ilvl w:val="0"/>
          <w:numId w:val="4"/>
        </w:numPr>
        <w:ind w:left="0" w:firstLine="0"/>
      </w:pPr>
      <w:r w:rsidRPr="00310121">
        <w:rPr>
          <w:rFonts w:cs="Courier New"/>
        </w:rPr>
        <w:t>The Delegation of Colombia said that with a mandatory disclosure requirement there needed to be consequences for non</w:t>
      </w:r>
      <w:r w:rsidR="005C642F">
        <w:rPr>
          <w:rFonts w:cs="Courier New"/>
        </w:rPr>
        <w:t>-</w:t>
      </w:r>
      <w:r w:rsidRPr="00310121">
        <w:rPr>
          <w:rFonts w:cs="Courier New"/>
        </w:rPr>
        <w:t>compliance.</w:t>
      </w:r>
      <w:r w:rsidR="008A15A3">
        <w:rPr>
          <w:rFonts w:cs="Courier New"/>
        </w:rPr>
        <w:t xml:space="preserve"> </w:t>
      </w:r>
      <w:r w:rsidRPr="00310121">
        <w:rPr>
          <w:rFonts w:cs="Courier New"/>
        </w:rPr>
        <w:t xml:space="preserve"> If the objective of the in</w:t>
      </w:r>
      <w:r w:rsidR="005C642F">
        <w:rPr>
          <w:rFonts w:cs="Courier New"/>
        </w:rPr>
        <w:t xml:space="preserve">strument was to protect GRs </w:t>
      </w:r>
      <w:proofErr w:type="gramStart"/>
      <w:r w:rsidR="005C642F">
        <w:rPr>
          <w:rFonts w:cs="Courier New"/>
        </w:rPr>
        <w:t>and</w:t>
      </w:r>
      <w:r w:rsidRPr="00310121">
        <w:rPr>
          <w:rFonts w:cs="Courier New"/>
        </w:rPr>
        <w:t xml:space="preserve"> also</w:t>
      </w:r>
      <w:proofErr w:type="gramEnd"/>
      <w:r w:rsidRPr="00310121">
        <w:rPr>
          <w:rFonts w:cs="Courier New"/>
        </w:rPr>
        <w:t xml:space="preserve"> to enhance the transparency and </w:t>
      </w:r>
      <w:r w:rsidRPr="00F35478">
        <w:t>effectiveness</w:t>
      </w:r>
      <w:r w:rsidRPr="00310121">
        <w:rPr>
          <w:rFonts w:cs="Courier New"/>
        </w:rPr>
        <w:t xml:space="preserve"> of the IP system, Member States </w:t>
      </w:r>
      <w:r w:rsidR="008A15A3">
        <w:rPr>
          <w:rFonts w:cs="Courier New"/>
        </w:rPr>
        <w:t>had to</w:t>
      </w:r>
      <w:r w:rsidRPr="00310121">
        <w:rPr>
          <w:rFonts w:cs="Courier New"/>
        </w:rPr>
        <w:t xml:space="preserve"> implement administrative, legal or criminal measures that they considered appropriate.  It supported the statement made by the Delegation of Brazil that the proportionality of the punishment would be included in national legislation, and could include criminal and monetary fines.  </w:t>
      </w:r>
    </w:p>
    <w:p w:rsidR="008A15A3" w:rsidRPr="008A15A3" w:rsidRDefault="008A15A3" w:rsidP="008A15A3">
      <w:pPr>
        <w:rPr>
          <w:rFonts w:cs="Courier New"/>
        </w:rPr>
      </w:pPr>
    </w:p>
    <w:p w:rsidR="008A15A3" w:rsidRPr="008A15A3" w:rsidRDefault="005C642F" w:rsidP="008A15A3">
      <w:pPr>
        <w:pStyle w:val="ListParagraph"/>
        <w:numPr>
          <w:ilvl w:val="0"/>
          <w:numId w:val="4"/>
        </w:numPr>
        <w:ind w:left="0" w:firstLine="0"/>
      </w:pPr>
      <w:r>
        <w:rPr>
          <w:rFonts w:cs="Courier New"/>
        </w:rPr>
        <w:t>The Chair</w:t>
      </w:r>
      <w:r w:rsidR="00042A56">
        <w:rPr>
          <w:rFonts w:cs="Courier New"/>
        </w:rPr>
        <w:t xml:space="preserve"> opened the floor</w:t>
      </w:r>
      <w:r w:rsidR="00310121" w:rsidRPr="008A15A3">
        <w:rPr>
          <w:rFonts w:cs="Courier New"/>
        </w:rPr>
        <w:t xml:space="preserve"> </w:t>
      </w:r>
      <w:r>
        <w:rPr>
          <w:rFonts w:cs="Courier New"/>
        </w:rPr>
        <w:t>for comments on defensive measures</w:t>
      </w:r>
      <w:r w:rsidR="00310121" w:rsidRPr="008A15A3">
        <w:rPr>
          <w:rFonts w:cs="Courier New"/>
        </w:rPr>
        <w:t xml:space="preserve">.  </w:t>
      </w:r>
    </w:p>
    <w:p w:rsidR="008A15A3" w:rsidRPr="008A15A3" w:rsidRDefault="008A15A3" w:rsidP="008A15A3">
      <w:pPr>
        <w:rPr>
          <w:rFonts w:cs="Courier New"/>
        </w:rPr>
      </w:pPr>
    </w:p>
    <w:p w:rsidR="008A15A3" w:rsidRPr="008A15A3" w:rsidRDefault="00310121" w:rsidP="008A15A3">
      <w:pPr>
        <w:pStyle w:val="ListParagraph"/>
        <w:numPr>
          <w:ilvl w:val="0"/>
          <w:numId w:val="4"/>
        </w:numPr>
        <w:ind w:left="0" w:firstLine="0"/>
      </w:pPr>
      <w:r w:rsidRPr="008A15A3">
        <w:rPr>
          <w:rFonts w:cs="Courier New"/>
        </w:rPr>
        <w:t>The Delegation of the USA said that while it did not have any particular concerns about defensive measures, it wished to make a few suggestions to the text.  In Article 6, it wished to brack</w:t>
      </w:r>
      <w:r w:rsidR="005C642F">
        <w:rPr>
          <w:rFonts w:cs="Courier New"/>
        </w:rPr>
        <w:t>et “access and benefits sharing</w:t>
      </w:r>
      <w:r w:rsidRPr="008A15A3">
        <w:rPr>
          <w:rFonts w:cs="Courier New"/>
        </w:rPr>
        <w:t>”</w:t>
      </w:r>
      <w:r w:rsidR="005C642F">
        <w:rPr>
          <w:rFonts w:cs="Courier New"/>
        </w:rPr>
        <w:t>.</w:t>
      </w:r>
      <w:r w:rsidRPr="008A15A3">
        <w:rPr>
          <w:rFonts w:cs="Courier New"/>
        </w:rPr>
        <w:t xml:space="preserve"> </w:t>
      </w:r>
      <w:r w:rsidR="008A15A3">
        <w:rPr>
          <w:rFonts w:cs="Courier New"/>
        </w:rPr>
        <w:t xml:space="preserve"> </w:t>
      </w:r>
      <w:r w:rsidRPr="008A15A3">
        <w:rPr>
          <w:rFonts w:cs="Courier New"/>
        </w:rPr>
        <w:t>In Artic</w:t>
      </w:r>
      <w:r w:rsidR="005C642F">
        <w:rPr>
          <w:rFonts w:cs="Courier New"/>
        </w:rPr>
        <w:t>le 7.1(d), it wished to insert “containing</w:t>
      </w:r>
      <w:r w:rsidRPr="008A15A3">
        <w:rPr>
          <w:rFonts w:cs="Courier New"/>
        </w:rPr>
        <w:t xml:space="preserve">” </w:t>
      </w:r>
      <w:r w:rsidR="005C642F" w:rsidRPr="008A15A3">
        <w:rPr>
          <w:rFonts w:cs="Courier New"/>
        </w:rPr>
        <w:t xml:space="preserve">after </w:t>
      </w:r>
      <w:r w:rsidR="005C642F">
        <w:rPr>
          <w:rFonts w:cs="Courier New"/>
        </w:rPr>
        <w:t>“databases</w:t>
      </w:r>
      <w:r w:rsidR="005C642F" w:rsidRPr="008A15A3">
        <w:rPr>
          <w:rFonts w:cs="Courier New"/>
        </w:rPr>
        <w:t>”</w:t>
      </w:r>
      <w:r w:rsidR="005C642F">
        <w:rPr>
          <w:rFonts w:cs="Courier New"/>
        </w:rPr>
        <w:t>,</w:t>
      </w:r>
      <w:r w:rsidR="005C642F" w:rsidRPr="008A15A3">
        <w:rPr>
          <w:rFonts w:cs="Courier New"/>
        </w:rPr>
        <w:t xml:space="preserve"> </w:t>
      </w:r>
      <w:r w:rsidRPr="008A15A3">
        <w:rPr>
          <w:rFonts w:cs="Courier New"/>
        </w:rPr>
        <w:t>and to bracke</w:t>
      </w:r>
      <w:r w:rsidR="005C642F">
        <w:rPr>
          <w:rFonts w:cs="Courier New"/>
        </w:rPr>
        <w:t>t “of” before “genetic resource</w:t>
      </w:r>
      <w:r w:rsidRPr="008A15A3">
        <w:rPr>
          <w:rFonts w:cs="Courier New"/>
        </w:rPr>
        <w:t>”</w:t>
      </w:r>
      <w:r w:rsidR="005C642F">
        <w:rPr>
          <w:rFonts w:cs="Courier New"/>
        </w:rPr>
        <w:t>.</w:t>
      </w:r>
    </w:p>
    <w:p w:rsidR="008A15A3" w:rsidRDefault="008A15A3" w:rsidP="008A15A3"/>
    <w:p w:rsidR="00850FF7" w:rsidRPr="00850FF7" w:rsidRDefault="00310121" w:rsidP="00850FF7">
      <w:pPr>
        <w:pStyle w:val="ListParagraph"/>
        <w:numPr>
          <w:ilvl w:val="0"/>
          <w:numId w:val="4"/>
        </w:numPr>
        <w:ind w:left="0" w:firstLine="0"/>
      </w:pPr>
      <w:r w:rsidRPr="00F35478">
        <w:t>The Delegation of Japan</w:t>
      </w:r>
      <w:r>
        <w:t xml:space="preserve"> supported</w:t>
      </w:r>
      <w:r w:rsidRPr="00F35478">
        <w:t xml:space="preserve"> Articles 7.1, 7.3 and 7.4 because the objective of the instrument </w:t>
      </w:r>
      <w:r>
        <w:t>was</w:t>
      </w:r>
      <w:r w:rsidRPr="00F35478">
        <w:t xml:space="preserve"> to prevent the erroneous granting of patents for inventions utilizing GRs. </w:t>
      </w:r>
      <w:r w:rsidR="008A15A3">
        <w:t xml:space="preserve"> </w:t>
      </w:r>
      <w:r>
        <w:t>That</w:t>
      </w:r>
      <w:r w:rsidR="008A15A3">
        <w:t xml:space="preserve"> a</w:t>
      </w:r>
      <w:r w:rsidRPr="00F35478">
        <w:t xml:space="preserve">rticle </w:t>
      </w:r>
      <w:proofErr w:type="gramStart"/>
      <w:r>
        <w:t>was</w:t>
      </w:r>
      <w:r w:rsidRPr="00F35478">
        <w:t xml:space="preserve"> based</w:t>
      </w:r>
      <w:proofErr w:type="gramEnd"/>
      <w:r w:rsidRPr="00F35478">
        <w:t xml:space="preserve"> on </w:t>
      </w:r>
      <w:r>
        <w:t>its</w:t>
      </w:r>
      <w:r w:rsidRPr="00F35478">
        <w:t xml:space="preserve"> joint proposal, namely, </w:t>
      </w:r>
      <w:r w:rsidR="005C642F">
        <w:t>d</w:t>
      </w:r>
      <w:r>
        <w:t xml:space="preserve">ocument </w:t>
      </w:r>
      <w:r w:rsidRPr="00F35478">
        <w:t xml:space="preserve">WIPO/GRTKF/IC/35/7. </w:t>
      </w:r>
      <w:r w:rsidR="00C07FBB">
        <w:t xml:space="preserve"> </w:t>
      </w:r>
      <w:r w:rsidRPr="008A15A3">
        <w:rPr>
          <w:rFonts w:cstheme="majorHAnsi"/>
        </w:rPr>
        <w:t>Regarding defensive measures, it wished to add one paragraph to Artic</w:t>
      </w:r>
      <w:r w:rsidR="009B3379">
        <w:rPr>
          <w:rFonts w:cstheme="majorHAnsi"/>
        </w:rPr>
        <w:t>le 7, based on paragraph 17 of d</w:t>
      </w:r>
      <w:r w:rsidRPr="008A15A3">
        <w:rPr>
          <w:rFonts w:cstheme="majorHAnsi"/>
        </w:rPr>
        <w:t xml:space="preserve">ocument WIPO/GRTKF/IC/35/8, </w:t>
      </w:r>
      <w:r w:rsidR="00C07FBB">
        <w:rPr>
          <w:rFonts w:cstheme="majorHAnsi"/>
        </w:rPr>
        <w:t>to</w:t>
      </w:r>
      <w:r w:rsidRPr="008A15A3">
        <w:rPr>
          <w:rFonts w:cstheme="majorHAnsi"/>
        </w:rPr>
        <w:t xml:space="preserve"> clarify the relationship between Member States and the WIPO Portal Site.</w:t>
      </w:r>
      <w:r w:rsidRPr="008A15A3">
        <w:rPr>
          <w:rFonts w:cs="Courier New"/>
        </w:rPr>
        <w:t xml:space="preserve">  </w:t>
      </w:r>
      <w:r w:rsidRPr="008A15A3">
        <w:rPr>
          <w:rFonts w:cstheme="majorHAnsi"/>
        </w:rPr>
        <w:t>The prop</w:t>
      </w:r>
      <w:r w:rsidR="00C07FBB">
        <w:rPr>
          <w:rFonts w:cstheme="majorHAnsi"/>
        </w:rPr>
        <w:t>osed paragraph read as follows:</w:t>
      </w:r>
      <w:r w:rsidRPr="008A15A3">
        <w:rPr>
          <w:rFonts w:cstheme="majorHAnsi"/>
        </w:rPr>
        <w:t xml:space="preserve"> </w:t>
      </w:r>
      <w:r w:rsidR="009B3379">
        <w:rPr>
          <w:rFonts w:cstheme="majorHAnsi"/>
        </w:rPr>
        <w:t xml:space="preserve"> </w:t>
      </w:r>
      <w:r w:rsidRPr="008A15A3">
        <w:rPr>
          <w:rFonts w:cstheme="majorHAnsi"/>
        </w:rPr>
        <w:t>“</w:t>
      </w:r>
      <w:proofErr w:type="gramStart"/>
      <w:r w:rsidRPr="008A15A3">
        <w:rPr>
          <w:rFonts w:cstheme="majorHAnsi"/>
        </w:rPr>
        <w:t xml:space="preserve">7.5 </w:t>
      </w:r>
      <w:r w:rsidR="009B3379">
        <w:rPr>
          <w:rFonts w:cstheme="majorHAnsi"/>
        </w:rPr>
        <w:t xml:space="preserve"> </w:t>
      </w:r>
      <w:r w:rsidRPr="008A15A3">
        <w:rPr>
          <w:rFonts w:cstheme="majorHAnsi"/>
        </w:rPr>
        <w:t>Member</w:t>
      </w:r>
      <w:proofErr w:type="gramEnd"/>
      <w:r w:rsidRPr="008A15A3">
        <w:rPr>
          <w:rFonts w:cstheme="majorHAnsi"/>
        </w:rPr>
        <w:t xml:space="preserve"> States should provide effective legal, policy or administrative measures, as appropriate and in accordance with national law, to implement and administer the WIPO Portal.”  The objective of the instrument was to prevent the erroneous grant of p</w:t>
      </w:r>
      <w:r w:rsidR="009B3379">
        <w:rPr>
          <w:rFonts w:cstheme="majorHAnsi"/>
        </w:rPr>
        <w:t>atents and the term “erroneous grant/granting of p</w:t>
      </w:r>
      <w:r w:rsidRPr="008A15A3">
        <w:rPr>
          <w:rFonts w:cstheme="majorHAnsi"/>
        </w:rPr>
        <w:t>atents” was one of the most importa</w:t>
      </w:r>
      <w:r w:rsidR="00C07FBB">
        <w:rPr>
          <w:rFonts w:cstheme="majorHAnsi"/>
        </w:rPr>
        <w:t>nt concepts so</w:t>
      </w:r>
      <w:r w:rsidRPr="008A15A3">
        <w:rPr>
          <w:rFonts w:cstheme="majorHAnsi"/>
        </w:rPr>
        <w:t xml:space="preserve"> it wished to add the concept to the List of Terms. That proposal read as </w:t>
      </w:r>
      <w:proofErr w:type="gramStart"/>
      <w:r w:rsidRPr="008A15A3">
        <w:rPr>
          <w:rFonts w:cstheme="majorHAnsi"/>
        </w:rPr>
        <w:t>follows:</w:t>
      </w:r>
      <w:proofErr w:type="gramEnd"/>
      <w:r w:rsidR="00B83A0C">
        <w:rPr>
          <w:rFonts w:cstheme="majorHAnsi"/>
        </w:rPr>
        <w:t xml:space="preserve">  </w:t>
      </w:r>
      <w:r w:rsidRPr="008A15A3">
        <w:rPr>
          <w:rFonts w:cstheme="majorHAnsi"/>
        </w:rPr>
        <w:t xml:space="preserve">“Erroneous Grant/Granting of Patents. </w:t>
      </w:r>
      <w:r w:rsidR="00C07FBB">
        <w:rPr>
          <w:rFonts w:cstheme="majorHAnsi"/>
        </w:rPr>
        <w:t xml:space="preserve"> </w:t>
      </w:r>
      <w:r w:rsidRPr="008A15A3">
        <w:rPr>
          <w:rFonts w:cstheme="majorHAnsi"/>
        </w:rPr>
        <w:t>Erro</w:t>
      </w:r>
      <w:r w:rsidR="009B3379">
        <w:rPr>
          <w:rFonts w:cstheme="majorHAnsi"/>
        </w:rPr>
        <w:t>neous grant/granting of patents</w:t>
      </w:r>
      <w:r w:rsidRPr="008A15A3">
        <w:rPr>
          <w:rFonts w:cstheme="majorHAnsi"/>
        </w:rPr>
        <w:t xml:space="preserve"> means the granting of patent rights on inventions that are not novel, that are obvious, or that are not industrially applicable.”  In addition, </w:t>
      </w:r>
      <w:r w:rsidR="009B3379">
        <w:rPr>
          <w:rFonts w:cstheme="majorHAnsi"/>
        </w:rPr>
        <w:t>regarding</w:t>
      </w:r>
      <w:r w:rsidRPr="008A15A3">
        <w:rPr>
          <w:rFonts w:cstheme="majorHAnsi"/>
        </w:rPr>
        <w:t xml:space="preserve"> the preamble, in relation to the prevention of the erroneous grant of patents, it wished to add three paragraphs, as essential elements of the preamble because the objective of the instrument was to prevent the erroneous grant of patents.  The first </w:t>
      </w:r>
      <w:r w:rsidR="00C07FBB" w:rsidRPr="008A15A3">
        <w:rPr>
          <w:rFonts w:cstheme="majorHAnsi"/>
        </w:rPr>
        <w:t xml:space="preserve">proposed </w:t>
      </w:r>
      <w:r w:rsidRPr="008A15A3">
        <w:rPr>
          <w:rFonts w:cstheme="majorHAnsi"/>
        </w:rPr>
        <w:t xml:space="preserve">paragraph read as </w:t>
      </w:r>
      <w:proofErr w:type="gramStart"/>
      <w:r w:rsidRPr="008A15A3">
        <w:rPr>
          <w:rFonts w:cstheme="majorHAnsi"/>
        </w:rPr>
        <w:t>follows:</w:t>
      </w:r>
      <w:proofErr w:type="gramEnd"/>
      <w:r w:rsidRPr="008A15A3">
        <w:rPr>
          <w:rFonts w:cstheme="majorHAnsi"/>
        </w:rPr>
        <w:t xml:space="preserve"> </w:t>
      </w:r>
      <w:r w:rsidR="009B3379">
        <w:rPr>
          <w:rFonts w:cstheme="majorHAnsi"/>
        </w:rPr>
        <w:t xml:space="preserve"> </w:t>
      </w:r>
      <w:r w:rsidRPr="008A15A3">
        <w:rPr>
          <w:rFonts w:cstheme="majorHAnsi"/>
        </w:rPr>
        <w:t xml:space="preserve">“Ensure that patent offices have appropriate information available to them on genetic resources and traditional knowledge associated with genetic resources, which they need in order to make informed decisions in terms of granting patents.” </w:t>
      </w:r>
      <w:r w:rsidR="00C07FBB">
        <w:rPr>
          <w:rFonts w:cstheme="majorHAnsi"/>
        </w:rPr>
        <w:t xml:space="preserve"> </w:t>
      </w:r>
      <w:r w:rsidRPr="008A15A3">
        <w:rPr>
          <w:rFonts w:cstheme="majorHAnsi"/>
        </w:rPr>
        <w:t xml:space="preserve">The second paragraph proposed read as follows: </w:t>
      </w:r>
      <w:r w:rsidR="009B3379">
        <w:rPr>
          <w:rFonts w:cstheme="majorHAnsi"/>
        </w:rPr>
        <w:t xml:space="preserve"> </w:t>
      </w:r>
      <w:r w:rsidRPr="008A15A3">
        <w:rPr>
          <w:rFonts w:cstheme="majorHAnsi"/>
        </w:rPr>
        <w:t xml:space="preserve">“Reaffirm the stability and predictability of correctly granted patent rights.”  </w:t>
      </w:r>
      <w:proofErr w:type="gramStart"/>
      <w:r w:rsidRPr="008A15A3">
        <w:rPr>
          <w:rFonts w:cstheme="majorHAnsi"/>
        </w:rPr>
        <w:t>The third paragraph proposed read as follows:</w:t>
      </w:r>
      <w:r w:rsidR="00B83A0C">
        <w:rPr>
          <w:rFonts w:cstheme="majorHAnsi"/>
        </w:rPr>
        <w:t xml:space="preserve"> </w:t>
      </w:r>
      <w:r w:rsidRPr="008A15A3">
        <w:rPr>
          <w:rFonts w:cstheme="majorHAnsi"/>
        </w:rPr>
        <w:t xml:space="preserve"> “Recognize that the erroneous granting of patents can be effectively addressed by improving databases for storing information on genet</w:t>
      </w:r>
      <w:r w:rsidR="009B3379">
        <w:rPr>
          <w:rFonts w:cstheme="majorHAnsi"/>
        </w:rPr>
        <w:t xml:space="preserve">ic resources and non-secret TK associated with </w:t>
      </w:r>
      <w:r w:rsidRPr="008A15A3">
        <w:rPr>
          <w:rFonts w:cstheme="majorHAnsi"/>
        </w:rPr>
        <w:t>GRs, which can thus be used to search prior art and reference materials not only in the proceedings of examination, but also in the proceedings of opposition or invalidation against granted patents.”</w:t>
      </w:r>
      <w:proofErr w:type="gramEnd"/>
    </w:p>
    <w:p w:rsidR="00960F94" w:rsidRPr="00960F94" w:rsidRDefault="00960F94" w:rsidP="00960F94">
      <w:pPr>
        <w:rPr>
          <w:rFonts w:cs="Courier New"/>
        </w:rPr>
      </w:pPr>
    </w:p>
    <w:p w:rsidR="00DE536E" w:rsidRPr="00DE536E" w:rsidRDefault="00960F94" w:rsidP="00DE536E">
      <w:pPr>
        <w:pStyle w:val="ListParagraph"/>
        <w:numPr>
          <w:ilvl w:val="0"/>
          <w:numId w:val="4"/>
        </w:numPr>
        <w:ind w:left="0" w:firstLine="0"/>
      </w:pPr>
      <w:r w:rsidRPr="00960F94">
        <w:rPr>
          <w:rFonts w:cs="Courier New"/>
        </w:rPr>
        <w:t>The representative of the Tulalip Tribes, speaking on behalf of the Indigenous Caucus, said he could work on the basis of Article 6 on due diligence</w:t>
      </w:r>
      <w:r>
        <w:rPr>
          <w:rFonts w:cs="Courier New"/>
        </w:rPr>
        <w:t xml:space="preserve">.  </w:t>
      </w:r>
      <w:r w:rsidRPr="00960F94">
        <w:rPr>
          <w:rFonts w:cs="Courier New"/>
        </w:rPr>
        <w:t>The alternative was</w:t>
      </w:r>
      <w:r>
        <w:rPr>
          <w:rFonts w:cs="Courier New"/>
        </w:rPr>
        <w:t xml:space="preserve"> too</w:t>
      </w:r>
      <w:r w:rsidRPr="00960F94">
        <w:rPr>
          <w:rFonts w:cs="Courier New"/>
        </w:rPr>
        <w:t xml:space="preserve"> long</w:t>
      </w:r>
      <w:r w:rsidR="00FF728E">
        <w:rPr>
          <w:rFonts w:cs="Courier New"/>
        </w:rPr>
        <w:t xml:space="preserve">, </w:t>
      </w:r>
      <w:r w:rsidRPr="00960F94">
        <w:rPr>
          <w:rFonts w:cs="Courier New"/>
        </w:rPr>
        <w:t xml:space="preserve">too prescriptive and involved too many issues that </w:t>
      </w:r>
      <w:r w:rsidR="00FF728E">
        <w:rPr>
          <w:rFonts w:cs="Courier New"/>
        </w:rPr>
        <w:t xml:space="preserve">needed to </w:t>
      </w:r>
      <w:proofErr w:type="gramStart"/>
      <w:r w:rsidR="00FF728E">
        <w:rPr>
          <w:rFonts w:cs="Courier New"/>
        </w:rPr>
        <w:t>be settled</w:t>
      </w:r>
      <w:proofErr w:type="gramEnd"/>
      <w:r w:rsidR="00FF728E">
        <w:rPr>
          <w:rFonts w:cs="Courier New"/>
        </w:rPr>
        <w:t xml:space="preserve"> i</w:t>
      </w:r>
      <w:r w:rsidRPr="00960F94">
        <w:rPr>
          <w:rFonts w:cs="Courier New"/>
        </w:rPr>
        <w:t xml:space="preserve">n international law.  That issue involved negotiations on TK that were not yet finished </w:t>
      </w:r>
      <w:r w:rsidR="00FF728E">
        <w:rPr>
          <w:rFonts w:cs="Courier New"/>
        </w:rPr>
        <w:t>or</w:t>
      </w:r>
      <w:r w:rsidRPr="00960F94">
        <w:rPr>
          <w:rFonts w:cs="Courier New"/>
        </w:rPr>
        <w:t xml:space="preserve"> agreed </w:t>
      </w:r>
      <w:proofErr w:type="gramStart"/>
      <w:r w:rsidRPr="00960F94">
        <w:rPr>
          <w:rFonts w:cs="Courier New"/>
        </w:rPr>
        <w:t>upon</w:t>
      </w:r>
      <w:proofErr w:type="gramEnd"/>
      <w:r w:rsidRPr="00960F94">
        <w:rPr>
          <w:rFonts w:cs="Courier New"/>
        </w:rPr>
        <w:t xml:space="preserve">.  The database </w:t>
      </w:r>
      <w:r w:rsidRPr="00960F94">
        <w:rPr>
          <w:rFonts w:cs="Courier New"/>
        </w:rPr>
        <w:lastRenderedPageBreak/>
        <w:t xml:space="preserve">issue should be complementary to the other measures, which were the most important </w:t>
      </w:r>
      <w:r w:rsidR="00FF728E">
        <w:rPr>
          <w:rFonts w:cs="Courier New"/>
        </w:rPr>
        <w:t>regarding</w:t>
      </w:r>
      <w:r w:rsidRPr="00960F94">
        <w:rPr>
          <w:rFonts w:cs="Courier New"/>
        </w:rPr>
        <w:t xml:space="preserve"> problems in the development of IP. </w:t>
      </w:r>
      <w:r>
        <w:rPr>
          <w:rFonts w:cs="Courier New"/>
        </w:rPr>
        <w:t xml:space="preserve"> </w:t>
      </w:r>
      <w:r w:rsidRPr="00960F94">
        <w:rPr>
          <w:rFonts w:cs="Courier New"/>
        </w:rPr>
        <w:t xml:space="preserve">Those who were </w:t>
      </w:r>
      <w:r w:rsidR="00FF728E">
        <w:rPr>
          <w:rFonts w:cs="Courier New"/>
        </w:rPr>
        <w:t>doing</w:t>
      </w:r>
      <w:r w:rsidRPr="00960F94">
        <w:rPr>
          <w:rFonts w:cs="Courier New"/>
        </w:rPr>
        <w:t xml:space="preserve"> the development were in the economic and information position to know where </w:t>
      </w:r>
      <w:r w:rsidR="00FF728E">
        <w:rPr>
          <w:rFonts w:cs="Courier New"/>
        </w:rPr>
        <w:t>the</w:t>
      </w:r>
      <w:r w:rsidRPr="00960F94">
        <w:rPr>
          <w:rFonts w:cs="Courier New"/>
        </w:rPr>
        <w:t xml:space="preserve"> GRs and TK inputs had come from.  If they did not know where their knowledge came from, they </w:t>
      </w:r>
      <w:r w:rsidR="00FF728E">
        <w:rPr>
          <w:rFonts w:cs="Courier New"/>
        </w:rPr>
        <w:t>could do a</w:t>
      </w:r>
      <w:r w:rsidRPr="00960F94">
        <w:rPr>
          <w:rFonts w:cs="Courier New"/>
        </w:rPr>
        <w:t xml:space="preserve"> due diligence to discover </w:t>
      </w:r>
      <w:r>
        <w:rPr>
          <w:rFonts w:cs="Courier New"/>
        </w:rPr>
        <w:t>that</w:t>
      </w:r>
      <w:r w:rsidRPr="00960F94">
        <w:rPr>
          <w:rFonts w:cs="Courier New"/>
        </w:rPr>
        <w:t xml:space="preserve">.  Focus should be on the prior prevention of things coming before a patent officer.  Databases were useful as an adjunct </w:t>
      </w:r>
      <w:r>
        <w:rPr>
          <w:rFonts w:cs="Courier New"/>
        </w:rPr>
        <w:t>in a patent review.  He</w:t>
      </w:r>
      <w:r w:rsidRPr="00960F94">
        <w:rPr>
          <w:rFonts w:cs="Courier New"/>
        </w:rPr>
        <w:t xml:space="preserve"> was very concerned about how databases </w:t>
      </w:r>
      <w:proofErr w:type="gramStart"/>
      <w:r w:rsidRPr="00960F94">
        <w:rPr>
          <w:rFonts w:cs="Courier New"/>
        </w:rPr>
        <w:t>were produced</w:t>
      </w:r>
      <w:proofErr w:type="gramEnd"/>
      <w:r w:rsidRPr="00960F94">
        <w:rPr>
          <w:rFonts w:cs="Courier New"/>
        </w:rPr>
        <w:t xml:space="preserve">, how they came together, what the status of the TK </w:t>
      </w:r>
      <w:r w:rsidR="00FF728E">
        <w:rPr>
          <w:rFonts w:cs="Courier New"/>
        </w:rPr>
        <w:t>therein</w:t>
      </w:r>
      <w:r w:rsidRPr="00960F94">
        <w:rPr>
          <w:rFonts w:cs="Courier New"/>
        </w:rPr>
        <w:t xml:space="preserve"> was.</w:t>
      </w:r>
      <w:r>
        <w:rPr>
          <w:rFonts w:cs="Courier New"/>
        </w:rPr>
        <w:t xml:space="preserve"> </w:t>
      </w:r>
      <w:r w:rsidRPr="00960F94">
        <w:rPr>
          <w:rFonts w:cs="Courier New"/>
        </w:rPr>
        <w:t xml:space="preserve"> Many indigenous peoples did not want certain k</w:t>
      </w:r>
      <w:r w:rsidR="00FF728E">
        <w:rPr>
          <w:rFonts w:cs="Courier New"/>
        </w:rPr>
        <w:t>inds of TK stored in a database</w:t>
      </w:r>
      <w:proofErr w:type="gramStart"/>
      <w:r w:rsidR="00FF728E">
        <w:rPr>
          <w:rFonts w:cs="Courier New"/>
        </w:rPr>
        <w:t>;</w:t>
      </w:r>
      <w:r w:rsidR="00B06AA1">
        <w:rPr>
          <w:rFonts w:cs="Courier New"/>
        </w:rPr>
        <w:t xml:space="preserve"> </w:t>
      </w:r>
      <w:r w:rsidR="00FF728E">
        <w:rPr>
          <w:rFonts w:cs="Courier New"/>
        </w:rPr>
        <w:t xml:space="preserve"> i</w:t>
      </w:r>
      <w:r w:rsidRPr="00960F94">
        <w:rPr>
          <w:rFonts w:cs="Courier New"/>
        </w:rPr>
        <w:t>t</w:t>
      </w:r>
      <w:proofErr w:type="gramEnd"/>
      <w:r w:rsidRPr="00960F94">
        <w:rPr>
          <w:rFonts w:cs="Courier New"/>
        </w:rPr>
        <w:t xml:space="preserve"> would be culturally wrong for them to do so.  </w:t>
      </w:r>
      <w:proofErr w:type="gramStart"/>
      <w:r w:rsidRPr="00960F94">
        <w:rPr>
          <w:rFonts w:cs="Courier New"/>
        </w:rPr>
        <w:t>So</w:t>
      </w:r>
      <w:proofErr w:type="gramEnd"/>
      <w:r w:rsidRPr="00960F94">
        <w:rPr>
          <w:rFonts w:cs="Courier New"/>
        </w:rPr>
        <w:t xml:space="preserve"> the contents of the databases would never be perfect. </w:t>
      </w:r>
      <w:r>
        <w:rPr>
          <w:rFonts w:cs="Courier New"/>
        </w:rPr>
        <w:t xml:space="preserve"> </w:t>
      </w:r>
      <w:r w:rsidRPr="00960F94">
        <w:rPr>
          <w:rFonts w:cs="Courier New"/>
        </w:rPr>
        <w:t>TK not currently disclosed require</w:t>
      </w:r>
      <w:r>
        <w:rPr>
          <w:rFonts w:cs="Courier New"/>
        </w:rPr>
        <w:t>d</w:t>
      </w:r>
      <w:r w:rsidRPr="00960F94">
        <w:rPr>
          <w:rFonts w:cs="Courier New"/>
        </w:rPr>
        <w:t xml:space="preserve"> the </w:t>
      </w:r>
      <w:r w:rsidRPr="00874FD7">
        <w:rPr>
          <w:rFonts w:cs="Courier New"/>
        </w:rPr>
        <w:t>FPIC</w:t>
      </w:r>
      <w:r w:rsidRPr="00960F94">
        <w:rPr>
          <w:rFonts w:cs="Courier New"/>
        </w:rPr>
        <w:t xml:space="preserve"> of indigenous peoples before </w:t>
      </w:r>
      <w:r>
        <w:rPr>
          <w:rFonts w:cs="Courier New"/>
        </w:rPr>
        <w:t>it</w:t>
      </w:r>
      <w:r w:rsidRPr="00960F94">
        <w:rPr>
          <w:rFonts w:cs="Courier New"/>
        </w:rPr>
        <w:t xml:space="preserve"> entered a database.  The use of </w:t>
      </w:r>
      <w:r w:rsidRPr="00C2471A">
        <w:rPr>
          <w:rFonts w:cs="Courier New"/>
        </w:rPr>
        <w:t xml:space="preserve">published literature by itself could not imply that TK in the publications was in the public domain.  Even if it </w:t>
      </w:r>
      <w:proofErr w:type="gramStart"/>
      <w:r w:rsidRPr="00C2471A">
        <w:rPr>
          <w:rFonts w:cs="Courier New"/>
        </w:rPr>
        <w:t>was published</w:t>
      </w:r>
      <w:proofErr w:type="gramEnd"/>
      <w:r w:rsidRPr="00C2471A">
        <w:rPr>
          <w:rFonts w:cs="Courier New"/>
        </w:rPr>
        <w:t xml:space="preserve">, it should be considered positive evidence of property rights of the TK holders.  </w:t>
      </w:r>
      <w:r w:rsidRPr="00183DD2">
        <w:rPr>
          <w:rFonts w:cs="Courier New"/>
        </w:rPr>
        <w:t xml:space="preserve">Databases should only be open to patent offices with safeguards for the perpetual protection of such databases.  There was an inconsistency between the Consolidated Document and the documents submitted by some Member States.  The latter proposed that databases were only open to patent offices, whereas Article 7.4 of the Consolidated </w:t>
      </w:r>
      <w:r w:rsidR="0056690F" w:rsidRPr="00183DD2">
        <w:rPr>
          <w:rFonts w:cs="Courier New"/>
        </w:rPr>
        <w:t>Document</w:t>
      </w:r>
      <w:r w:rsidRPr="00183DD2">
        <w:rPr>
          <w:rFonts w:cs="Courier New"/>
        </w:rPr>
        <w:t xml:space="preserve"> proposed that they be open to the public.  Opening databases to the public, even only information contained in published literature, could be harmful to IPLCs, because it made easily available information about their TK that </w:t>
      </w:r>
      <w:proofErr w:type="gramStart"/>
      <w:r w:rsidRPr="00183DD2">
        <w:rPr>
          <w:rFonts w:cs="Courier New"/>
        </w:rPr>
        <w:t>could be exploited</w:t>
      </w:r>
      <w:proofErr w:type="gramEnd"/>
      <w:r w:rsidRPr="00183DD2">
        <w:rPr>
          <w:rFonts w:cs="Courier New"/>
        </w:rPr>
        <w:t xml:space="preserve"> in a non-IP context.  Those issues </w:t>
      </w:r>
      <w:proofErr w:type="gramStart"/>
      <w:r w:rsidRPr="00183DD2">
        <w:rPr>
          <w:rFonts w:cs="Courier New"/>
        </w:rPr>
        <w:t>were also tied</w:t>
      </w:r>
      <w:proofErr w:type="gramEnd"/>
      <w:r w:rsidRPr="00183DD2">
        <w:rPr>
          <w:rFonts w:cs="Courier New"/>
        </w:rPr>
        <w:t xml:space="preserve"> to the definition of</w:t>
      </w:r>
      <w:r w:rsidRPr="00960F94">
        <w:rPr>
          <w:rFonts w:cs="Courier New"/>
        </w:rPr>
        <w:t xml:space="preserve"> misappropriation in Option 2.  That option </w:t>
      </w:r>
      <w:proofErr w:type="gramStart"/>
      <w:r w:rsidRPr="00960F94">
        <w:rPr>
          <w:rFonts w:cs="Courier New"/>
        </w:rPr>
        <w:t>was related</w:t>
      </w:r>
      <w:proofErr w:type="gramEnd"/>
      <w:r w:rsidRPr="00960F94">
        <w:rPr>
          <w:rFonts w:cs="Courier New"/>
        </w:rPr>
        <w:t xml:space="preserve"> to some </w:t>
      </w:r>
      <w:r w:rsidR="00FF728E">
        <w:rPr>
          <w:rFonts w:cs="Courier New"/>
        </w:rPr>
        <w:t>concepts on</w:t>
      </w:r>
      <w:r w:rsidRPr="00960F94">
        <w:rPr>
          <w:rFonts w:cs="Courier New"/>
        </w:rPr>
        <w:t xml:space="preserve"> the status of TK in databases.  Nothing in the definition said that there should be a test against customary law, </w:t>
      </w:r>
      <w:proofErr w:type="gramStart"/>
      <w:r w:rsidRPr="00960F94">
        <w:rPr>
          <w:rFonts w:cs="Courier New"/>
        </w:rPr>
        <w:t>although it was customary law, traditional law, and indigenous law that mattered for indigenous peoples</w:t>
      </w:r>
      <w:proofErr w:type="gramEnd"/>
      <w:r w:rsidRPr="00960F94">
        <w:rPr>
          <w:rFonts w:cs="Courier New"/>
        </w:rPr>
        <w:t>.  There was</w:t>
      </w:r>
      <w:r w:rsidR="00FF728E">
        <w:rPr>
          <w:rFonts w:cs="Courier New"/>
        </w:rPr>
        <w:t xml:space="preserve"> also</w:t>
      </w:r>
      <w:r w:rsidRPr="00960F94">
        <w:rPr>
          <w:rFonts w:cs="Courier New"/>
        </w:rPr>
        <w:t xml:space="preserve"> th</w:t>
      </w:r>
      <w:r w:rsidR="00FF728E">
        <w:rPr>
          <w:rFonts w:cs="Courier New"/>
        </w:rPr>
        <w:t xml:space="preserve">e issue of reverse engineering </w:t>
      </w:r>
      <w:r w:rsidRPr="00960F94">
        <w:rPr>
          <w:rFonts w:cs="Courier New"/>
        </w:rPr>
        <w:t xml:space="preserve">within the IP system.  The United States </w:t>
      </w:r>
      <w:r w:rsidR="00C258C5" w:rsidRPr="00960F94">
        <w:rPr>
          <w:rFonts w:cs="Courier New"/>
        </w:rPr>
        <w:t xml:space="preserve">Digital </w:t>
      </w:r>
      <w:r w:rsidRPr="00960F94">
        <w:rPr>
          <w:rFonts w:cs="Courier New"/>
        </w:rPr>
        <w:t xml:space="preserve">Millennium Copyright Act allowed for reverse engineering of an artifact or process, as long as it </w:t>
      </w:r>
      <w:proofErr w:type="gramStart"/>
      <w:r w:rsidRPr="00960F94">
        <w:rPr>
          <w:rFonts w:cs="Courier New"/>
        </w:rPr>
        <w:t>was obtained</w:t>
      </w:r>
      <w:proofErr w:type="gramEnd"/>
      <w:r w:rsidRPr="00960F94">
        <w:rPr>
          <w:rFonts w:cs="Courier New"/>
        </w:rPr>
        <w:t xml:space="preserve"> legitimately</w:t>
      </w:r>
      <w:r w:rsidR="00FF728E">
        <w:rPr>
          <w:rFonts w:cs="Courier New"/>
        </w:rPr>
        <w:t xml:space="preserve">.  That raised the </w:t>
      </w:r>
      <w:r w:rsidRPr="00960F94">
        <w:rPr>
          <w:rFonts w:cs="Courier New"/>
        </w:rPr>
        <w:t>question o</w:t>
      </w:r>
      <w:r w:rsidR="00FF728E">
        <w:rPr>
          <w:rFonts w:cs="Courier New"/>
        </w:rPr>
        <w:t>f</w:t>
      </w:r>
      <w:r w:rsidRPr="00960F94">
        <w:rPr>
          <w:rFonts w:cs="Courier New"/>
        </w:rPr>
        <w:t xml:space="preserve"> what was legitimate acquisition in the context of GRs databases.  It was not misappropriation if it </w:t>
      </w:r>
      <w:proofErr w:type="gramStart"/>
      <w:r w:rsidRPr="00960F94">
        <w:rPr>
          <w:rFonts w:cs="Courier New"/>
        </w:rPr>
        <w:t>was obt</w:t>
      </w:r>
      <w:r w:rsidR="00FF728E">
        <w:rPr>
          <w:rFonts w:cs="Courier New"/>
        </w:rPr>
        <w:t>ained</w:t>
      </w:r>
      <w:proofErr w:type="gramEnd"/>
      <w:r w:rsidR="00FF728E">
        <w:rPr>
          <w:rFonts w:cs="Courier New"/>
        </w:rPr>
        <w:t xml:space="preserve"> by reading publications.  </w:t>
      </w:r>
      <w:r w:rsidRPr="00960F94">
        <w:rPr>
          <w:rFonts w:cs="Courier New"/>
        </w:rPr>
        <w:t>It did not say “public do</w:t>
      </w:r>
      <w:r w:rsidR="00183DD2">
        <w:rPr>
          <w:rFonts w:cs="Courier New"/>
        </w:rPr>
        <w:t>main</w:t>
      </w:r>
      <w:r w:rsidRPr="00960F94">
        <w:rPr>
          <w:rFonts w:cs="Courier New"/>
        </w:rPr>
        <w:t>”</w:t>
      </w:r>
      <w:r w:rsidR="00183DD2">
        <w:rPr>
          <w:rFonts w:cs="Courier New"/>
        </w:rPr>
        <w:t>,</w:t>
      </w:r>
      <w:r w:rsidRPr="00960F94">
        <w:rPr>
          <w:rFonts w:cs="Courier New"/>
        </w:rPr>
        <w:t xml:space="preserve"> but if </w:t>
      </w:r>
      <w:r w:rsidR="00C258C5">
        <w:rPr>
          <w:rFonts w:cs="Courier New"/>
        </w:rPr>
        <w:t>using it was not misappropriation</w:t>
      </w:r>
      <w:r w:rsidRPr="00960F94">
        <w:rPr>
          <w:rFonts w:cs="Courier New"/>
        </w:rPr>
        <w:t xml:space="preserve"> and there </w:t>
      </w:r>
      <w:r w:rsidR="00183DD2">
        <w:rPr>
          <w:rFonts w:cs="Courier New"/>
        </w:rPr>
        <w:t xml:space="preserve">were no obligations for </w:t>
      </w:r>
      <w:proofErr w:type="gramStart"/>
      <w:r w:rsidR="00183DD2">
        <w:rPr>
          <w:rFonts w:cs="Courier New"/>
        </w:rPr>
        <w:t>benefit-</w:t>
      </w:r>
      <w:r w:rsidRPr="00960F94">
        <w:rPr>
          <w:rFonts w:cs="Courier New"/>
        </w:rPr>
        <w:t>sharing</w:t>
      </w:r>
      <w:proofErr w:type="gramEnd"/>
      <w:r w:rsidRPr="00960F94">
        <w:rPr>
          <w:rFonts w:cs="Courier New"/>
        </w:rPr>
        <w:t xml:space="preserve">, it was </w:t>
      </w:r>
      <w:r w:rsidRPr="00960F94">
        <w:rPr>
          <w:rFonts w:cs="Courier New"/>
          <w:i/>
        </w:rPr>
        <w:t>de</w:t>
      </w:r>
      <w:r w:rsidRPr="00960F94">
        <w:rPr>
          <w:rFonts w:cs="Courier New"/>
        </w:rPr>
        <w:t xml:space="preserve"> </w:t>
      </w:r>
      <w:r w:rsidRPr="00960F94">
        <w:rPr>
          <w:rFonts w:cs="Courier New"/>
          <w:i/>
        </w:rPr>
        <w:t>facto</w:t>
      </w:r>
      <w:r w:rsidRPr="00960F94">
        <w:rPr>
          <w:rFonts w:cs="Courier New"/>
        </w:rPr>
        <w:t xml:space="preserve"> public domain, because there was no control over that.  </w:t>
      </w:r>
      <w:r w:rsidR="00FF728E">
        <w:rPr>
          <w:rFonts w:cs="Courier New"/>
        </w:rPr>
        <w:t>The issue of independent discovery</w:t>
      </w:r>
      <w:r w:rsidRPr="00960F94">
        <w:rPr>
          <w:rFonts w:cs="Courier New"/>
        </w:rPr>
        <w:t xml:space="preserve"> was und</w:t>
      </w:r>
      <w:r w:rsidR="00FF728E">
        <w:rPr>
          <w:rFonts w:cs="Courier New"/>
        </w:rPr>
        <w:t>er negotiation in the TK arena</w:t>
      </w:r>
      <w:r w:rsidR="00C258C5">
        <w:rPr>
          <w:rFonts w:cs="Courier New"/>
        </w:rPr>
        <w:t>.  H</w:t>
      </w:r>
      <w:r w:rsidRPr="00960F94">
        <w:rPr>
          <w:rFonts w:cs="Courier New"/>
        </w:rPr>
        <w:t>e did not have a fundamental problem with that</w:t>
      </w:r>
      <w:r w:rsidR="00C258C5">
        <w:rPr>
          <w:rFonts w:cs="Courier New"/>
        </w:rPr>
        <w:t>, b</w:t>
      </w:r>
      <w:r w:rsidRPr="00960F94">
        <w:rPr>
          <w:rFonts w:cs="Courier New"/>
        </w:rPr>
        <w:t xml:space="preserve">ut there needed to be a chain of evidence on independent discovery to show that it </w:t>
      </w:r>
      <w:proofErr w:type="gramStart"/>
      <w:r w:rsidRPr="00960F94">
        <w:rPr>
          <w:rFonts w:cs="Courier New"/>
        </w:rPr>
        <w:t>had not been obtained</w:t>
      </w:r>
      <w:proofErr w:type="gramEnd"/>
      <w:r w:rsidRPr="00960F94">
        <w:rPr>
          <w:rFonts w:cs="Courier New"/>
        </w:rPr>
        <w:t xml:space="preserve"> from TK.  </w:t>
      </w:r>
      <w:r w:rsidR="00FF728E">
        <w:rPr>
          <w:rFonts w:cs="Courier New"/>
        </w:rPr>
        <w:t>T</w:t>
      </w:r>
      <w:r w:rsidRPr="00960F94">
        <w:rPr>
          <w:rFonts w:cs="Courier New"/>
        </w:rPr>
        <w:t xml:space="preserve">here </w:t>
      </w:r>
      <w:r w:rsidR="00FF728E">
        <w:rPr>
          <w:rFonts w:cs="Courier New"/>
        </w:rPr>
        <w:t>could be</w:t>
      </w:r>
      <w:r w:rsidRPr="00960F94">
        <w:rPr>
          <w:rFonts w:cs="Courier New"/>
        </w:rPr>
        <w:t xml:space="preserve"> extensive overlap between </w:t>
      </w:r>
      <w:r w:rsidR="00FF728E">
        <w:rPr>
          <w:rFonts w:cs="Courier New"/>
        </w:rPr>
        <w:t>TK and an independent discovery, for example</w:t>
      </w:r>
      <w:r w:rsidRPr="00960F94">
        <w:rPr>
          <w:rFonts w:cs="Courier New"/>
        </w:rPr>
        <w:t xml:space="preserve"> in the case of a sin</w:t>
      </w:r>
      <w:r w:rsidR="00FF728E">
        <w:rPr>
          <w:rFonts w:cs="Courier New"/>
        </w:rPr>
        <w:t>gle molecule or a simple effect.  However,</w:t>
      </w:r>
      <w:r w:rsidRPr="00960F94">
        <w:rPr>
          <w:rFonts w:cs="Courier New"/>
        </w:rPr>
        <w:t xml:space="preserve"> a lot of indigenous knowledge </w:t>
      </w:r>
      <w:proofErr w:type="gramStart"/>
      <w:r w:rsidRPr="00960F94">
        <w:rPr>
          <w:rFonts w:cs="Courier New"/>
        </w:rPr>
        <w:t>was actually related</w:t>
      </w:r>
      <w:proofErr w:type="gramEnd"/>
      <w:r w:rsidRPr="00960F94">
        <w:rPr>
          <w:rFonts w:cs="Courier New"/>
        </w:rPr>
        <w:t xml:space="preserve"> to complex compounds </w:t>
      </w:r>
      <w:r w:rsidR="00FF728E">
        <w:rPr>
          <w:rFonts w:cs="Courier New"/>
        </w:rPr>
        <w:t>that</w:t>
      </w:r>
      <w:r w:rsidRPr="00960F94">
        <w:rPr>
          <w:rFonts w:cs="Courier New"/>
        </w:rPr>
        <w:t xml:space="preserve"> required procedures for preparation</w:t>
      </w:r>
      <w:r w:rsidR="00FF728E">
        <w:rPr>
          <w:rFonts w:cs="Courier New"/>
        </w:rPr>
        <w:t>, and i</w:t>
      </w:r>
      <w:r w:rsidRPr="00960F94">
        <w:rPr>
          <w:rFonts w:cs="Courier New"/>
        </w:rPr>
        <w:t>t would be very unlikely for those to overlap.  He did not know wh</w:t>
      </w:r>
      <w:r w:rsidR="00C258C5">
        <w:rPr>
          <w:rFonts w:cs="Courier New"/>
        </w:rPr>
        <w:t>at inadvertent disclosure meant</w:t>
      </w:r>
      <w:proofErr w:type="gramStart"/>
      <w:r w:rsidR="00C258C5">
        <w:rPr>
          <w:rFonts w:cs="Courier New"/>
        </w:rPr>
        <w:t>;</w:t>
      </w:r>
      <w:r w:rsidR="00183DD2">
        <w:rPr>
          <w:rFonts w:cs="Courier New"/>
        </w:rPr>
        <w:t xml:space="preserve"> </w:t>
      </w:r>
      <w:r w:rsidR="00C258C5">
        <w:rPr>
          <w:rFonts w:cs="Courier New"/>
        </w:rPr>
        <w:t xml:space="preserve"> it</w:t>
      </w:r>
      <w:proofErr w:type="gramEnd"/>
      <w:r w:rsidR="00C258C5">
        <w:rPr>
          <w:rFonts w:cs="Courier New"/>
        </w:rPr>
        <w:t xml:space="preserve"> seemed to be </w:t>
      </w:r>
      <w:r w:rsidRPr="00960F94">
        <w:rPr>
          <w:rFonts w:cs="Courier New"/>
        </w:rPr>
        <w:t>a trade secret</w:t>
      </w:r>
      <w:r w:rsidR="00B83A0C">
        <w:rPr>
          <w:rFonts w:cs="Monaco"/>
        </w:rPr>
        <w:noBreakHyphen/>
      </w:r>
      <w:r w:rsidRPr="00960F94">
        <w:rPr>
          <w:rFonts w:cs="Courier New"/>
        </w:rPr>
        <w:t xml:space="preserve">like principle. </w:t>
      </w:r>
      <w:r w:rsidR="00FF728E">
        <w:rPr>
          <w:rFonts w:cs="Courier New"/>
        </w:rPr>
        <w:t xml:space="preserve"> </w:t>
      </w:r>
      <w:r w:rsidRPr="00960F94">
        <w:rPr>
          <w:rFonts w:cs="Courier New"/>
        </w:rPr>
        <w:t xml:space="preserve">Indigenous societies did not act like corporations, where employees signed contracts and there were brick-and-mortar buildings.  The idea that an indigenous society should change its behavior in order to meet the expectations of the western IP system was a very big problem. </w:t>
      </w:r>
      <w:r w:rsidR="00FF728E">
        <w:rPr>
          <w:rFonts w:cs="Courier New"/>
        </w:rPr>
        <w:t xml:space="preserve"> </w:t>
      </w:r>
      <w:r w:rsidRPr="00960F94">
        <w:rPr>
          <w:rFonts w:cs="Courier New"/>
        </w:rPr>
        <w:t xml:space="preserve">The simpler framework definition in Article 6 was the one to work </w:t>
      </w:r>
      <w:proofErr w:type="gramStart"/>
      <w:r w:rsidRPr="00960F94">
        <w:rPr>
          <w:rFonts w:cs="Courier New"/>
        </w:rPr>
        <w:t>from</w:t>
      </w:r>
      <w:proofErr w:type="gramEnd"/>
      <w:r w:rsidRPr="00960F94">
        <w:rPr>
          <w:rFonts w:cs="Courier New"/>
        </w:rPr>
        <w:t xml:space="preserve">. </w:t>
      </w:r>
      <w:r w:rsidR="00FF728E">
        <w:rPr>
          <w:rFonts w:cs="Courier New"/>
        </w:rPr>
        <w:t xml:space="preserve"> </w:t>
      </w:r>
    </w:p>
    <w:p w:rsidR="00DE536E" w:rsidRPr="00DE536E" w:rsidRDefault="00DE536E" w:rsidP="00DE536E">
      <w:pPr>
        <w:pStyle w:val="ListParagraph"/>
        <w:ind w:left="0"/>
      </w:pPr>
    </w:p>
    <w:p w:rsidR="004528C1" w:rsidRPr="004528C1" w:rsidRDefault="00DE536E" w:rsidP="004528C1">
      <w:pPr>
        <w:pStyle w:val="ListParagraph"/>
        <w:numPr>
          <w:ilvl w:val="0"/>
          <w:numId w:val="4"/>
        </w:numPr>
        <w:ind w:left="0" w:firstLine="0"/>
      </w:pPr>
      <w:r w:rsidRPr="00EF3308">
        <w:rPr>
          <w:rFonts w:cs="Courier New"/>
        </w:rPr>
        <w:t>The</w:t>
      </w:r>
      <w:r w:rsidRPr="00EF3308">
        <w:t xml:space="preserve"> Delegation of </w:t>
      </w:r>
      <w:r w:rsidRPr="00EF3308">
        <w:rPr>
          <w:rFonts w:cs="Courier New"/>
        </w:rPr>
        <w:t>Brazil recognized the value of databases and defensive measures, but as complementary to the disclosure requirement.  They could only be effective together with a mandatory disclosure requirement system with sanctions.  They were not an end in themselves but a means to achieve the goal of protecting GRs and TK in conjunction with the disclosure requirements.  However, though they may be</w:t>
      </w:r>
      <w:r w:rsidR="00492FA2" w:rsidRPr="00EF3308">
        <w:rPr>
          <w:rFonts w:cs="Courier New"/>
        </w:rPr>
        <w:t xml:space="preserve"> useful</w:t>
      </w:r>
      <w:r w:rsidRPr="00EF3308">
        <w:rPr>
          <w:rFonts w:cs="Courier New"/>
        </w:rPr>
        <w:t>, they were not an encompassing solution.  It was not feasible to have all GRs in a single database</w:t>
      </w:r>
      <w:proofErr w:type="gramStart"/>
      <w:r w:rsidRPr="00EF3308">
        <w:rPr>
          <w:rFonts w:cs="Courier New"/>
        </w:rPr>
        <w:t xml:space="preserve">; </w:t>
      </w:r>
      <w:r w:rsidR="00EF3308" w:rsidRPr="00EF3308">
        <w:rPr>
          <w:rFonts w:cs="Courier New"/>
        </w:rPr>
        <w:t xml:space="preserve"> </w:t>
      </w:r>
      <w:r w:rsidRPr="00EF3308">
        <w:rPr>
          <w:rFonts w:cs="Courier New"/>
        </w:rPr>
        <w:t>it</w:t>
      </w:r>
      <w:proofErr w:type="gramEnd"/>
      <w:r w:rsidRPr="00EF3308">
        <w:rPr>
          <w:rFonts w:cs="Courier New"/>
        </w:rPr>
        <w:t xml:space="preserve"> was simply out of reach.  The question of how many species existed had intrigued scientists for centuries.  Recently the census of marine life had tried to tackle the question.  The census was a ten-year scientific initiative involving a global network of researchers from more than 80 nations.</w:t>
      </w:r>
      <w:r>
        <w:rPr>
          <w:rFonts w:cs="Courier New"/>
        </w:rPr>
        <w:t xml:space="preserve"> </w:t>
      </w:r>
      <w:r w:rsidRPr="00DE536E">
        <w:rPr>
          <w:rFonts w:cs="Courier New"/>
        </w:rPr>
        <w:t xml:space="preserve"> The goal was to assess and explain the diversity</w:t>
      </w:r>
      <w:r>
        <w:rPr>
          <w:rFonts w:cs="Courier New"/>
        </w:rPr>
        <w:t>,</w:t>
      </w:r>
      <w:r w:rsidRPr="00DE536E">
        <w:rPr>
          <w:rFonts w:cs="Courier New"/>
        </w:rPr>
        <w:t xml:space="preserve"> distribution and abundance of life on earth.  A study estimated the total number of species on earth and a staggering 86 percent of all species on land and 91 percent of those in the seas had yet to be </w:t>
      </w:r>
      <w:proofErr w:type="gramStart"/>
      <w:r w:rsidRPr="00DE536E">
        <w:rPr>
          <w:rFonts w:cs="Courier New"/>
        </w:rPr>
        <w:t>discovered</w:t>
      </w:r>
      <w:proofErr w:type="gramEnd"/>
      <w:r w:rsidRPr="00DE536E">
        <w:rPr>
          <w:rFonts w:cs="Courier New"/>
        </w:rPr>
        <w:t xml:space="preserve">, described and catalogued.  In the Amazon region, one new species </w:t>
      </w:r>
      <w:proofErr w:type="gramStart"/>
      <w:r w:rsidRPr="00DE536E">
        <w:rPr>
          <w:rFonts w:cs="Courier New"/>
        </w:rPr>
        <w:t>was discovered</w:t>
      </w:r>
      <w:proofErr w:type="gramEnd"/>
      <w:r w:rsidRPr="00DE536E">
        <w:rPr>
          <w:rFonts w:cs="Courier New"/>
        </w:rPr>
        <w:t xml:space="preserve"> every two days.  That translated into 380 new animal or plant species discovered in the past two years.  The concerns of the Indigenous </w:t>
      </w:r>
      <w:r w:rsidRPr="00DE536E">
        <w:rPr>
          <w:rFonts w:cs="Courier New"/>
        </w:rPr>
        <w:lastRenderedPageBreak/>
        <w:t xml:space="preserve">Caucus </w:t>
      </w:r>
      <w:proofErr w:type="gramStart"/>
      <w:r w:rsidRPr="00DE536E">
        <w:rPr>
          <w:rFonts w:cs="Courier New"/>
        </w:rPr>
        <w:t>should be duly taken</w:t>
      </w:r>
      <w:proofErr w:type="gramEnd"/>
      <w:r w:rsidRPr="00DE536E">
        <w:rPr>
          <w:rFonts w:cs="Courier New"/>
        </w:rPr>
        <w:t xml:space="preserve"> into account when designing databases.  There were other practical issues related to databases, for instance</w:t>
      </w:r>
      <w:r>
        <w:rPr>
          <w:rFonts w:cs="Courier New"/>
        </w:rPr>
        <w:t>,</w:t>
      </w:r>
      <w:r w:rsidRPr="00DE536E">
        <w:rPr>
          <w:rFonts w:cs="Courier New"/>
        </w:rPr>
        <w:t xml:space="preserve"> the responsibility for their compilation, structure, content, interoperabil</w:t>
      </w:r>
      <w:r w:rsidR="00EF3308">
        <w:rPr>
          <w:rFonts w:cs="Courier New"/>
        </w:rPr>
        <w:t>ity and costs.  Nevertheless, the Delegation</w:t>
      </w:r>
      <w:r w:rsidRPr="00DE536E">
        <w:rPr>
          <w:rFonts w:cs="Courier New"/>
        </w:rPr>
        <w:t xml:space="preserve"> was not opposed to the inclusion of databases in the text.  </w:t>
      </w:r>
    </w:p>
    <w:p w:rsidR="004528C1" w:rsidRPr="004528C1" w:rsidRDefault="004528C1" w:rsidP="004528C1">
      <w:pPr>
        <w:pStyle w:val="ListParagraph"/>
        <w:ind w:left="0"/>
      </w:pPr>
    </w:p>
    <w:p w:rsidR="00297F28" w:rsidRPr="00297F28" w:rsidRDefault="004528C1" w:rsidP="00297F28">
      <w:pPr>
        <w:pStyle w:val="ListParagraph"/>
        <w:numPr>
          <w:ilvl w:val="0"/>
          <w:numId w:val="4"/>
        </w:numPr>
        <w:ind w:left="0" w:firstLine="0"/>
      </w:pPr>
      <w:r w:rsidRPr="00F35478">
        <w:t xml:space="preserve">The Delegation of </w:t>
      </w:r>
      <w:r w:rsidRPr="004528C1">
        <w:rPr>
          <w:rFonts w:cs="Courier New"/>
        </w:rPr>
        <w:t xml:space="preserve">India said that misappropriation of TK and biopiracy of GRs were of great concern to many countries and IPLCs.  While those issues </w:t>
      </w:r>
      <w:proofErr w:type="gramStart"/>
      <w:r w:rsidRPr="004528C1">
        <w:rPr>
          <w:rFonts w:cs="Courier New"/>
        </w:rPr>
        <w:t>had been taken up</w:t>
      </w:r>
      <w:proofErr w:type="gramEnd"/>
      <w:r w:rsidRPr="004528C1">
        <w:rPr>
          <w:rFonts w:cs="Courier New"/>
        </w:rPr>
        <w:t xml:space="preserve"> within various multilateral fora, a global framework to protect TK had not yet been established.  The IGC was going a step further.  It supported including Article 6, as a defensive measure complementary to mandatory disclosure</w:t>
      </w:r>
      <w:r w:rsidR="00EF3308">
        <w:rPr>
          <w:rFonts w:cs="Courier New"/>
        </w:rPr>
        <w:t xml:space="preserve"> requirements</w:t>
      </w:r>
      <w:r w:rsidRPr="004528C1">
        <w:rPr>
          <w:rFonts w:cs="Courier New"/>
        </w:rPr>
        <w:t>.  In order to protect TK and GRs, India had made a pio</w:t>
      </w:r>
      <w:r w:rsidR="00EF3308">
        <w:rPr>
          <w:rFonts w:cs="Courier New"/>
        </w:rPr>
        <w:t>neering effort to establish a Traditional Knowledge Digital L</w:t>
      </w:r>
      <w:r w:rsidRPr="004528C1">
        <w:rPr>
          <w:rFonts w:cs="Courier New"/>
        </w:rPr>
        <w:t>ibrary (</w:t>
      </w:r>
      <w:r w:rsidR="00EF3308">
        <w:rPr>
          <w:rFonts w:cs="Courier New"/>
        </w:rPr>
        <w:t>“</w:t>
      </w:r>
      <w:r w:rsidRPr="004528C1">
        <w:rPr>
          <w:rFonts w:cs="Courier New"/>
        </w:rPr>
        <w:t>TKDL</w:t>
      </w:r>
      <w:r w:rsidR="00EF3308">
        <w:rPr>
          <w:rFonts w:cs="Courier New"/>
        </w:rPr>
        <w:t>”</w:t>
      </w:r>
      <w:r w:rsidRPr="004528C1">
        <w:rPr>
          <w:rFonts w:cs="Courier New"/>
        </w:rPr>
        <w:t xml:space="preserve">).  That </w:t>
      </w:r>
      <w:proofErr w:type="gramStart"/>
      <w:r w:rsidRPr="004528C1">
        <w:rPr>
          <w:rFonts w:cs="Courier New"/>
        </w:rPr>
        <w:t>was particularly for the medicinal plants and formulations used</w:t>
      </w:r>
      <w:proofErr w:type="gramEnd"/>
      <w:r w:rsidRPr="004528C1">
        <w:rPr>
          <w:rFonts w:cs="Courier New"/>
        </w:rPr>
        <w:t xml:space="preserve"> in Indian systems of medicine.  It was a tremendous work.  It had started in 2001, initiated by the Council of Scientific and Industrial Research and the Ministry of </w:t>
      </w:r>
      <w:r>
        <w:rPr>
          <w:rFonts w:cs="Courier New"/>
        </w:rPr>
        <w:t>AYUSH</w:t>
      </w:r>
      <w:r w:rsidRPr="004528C1">
        <w:rPr>
          <w:rFonts w:cs="Courier New"/>
        </w:rPr>
        <w:t xml:space="preserve"> with the objective to protect the country’s TK from exploitation through biopiracy and unethical patents, by documenting it electronically and classifying it as per the International Patent Classification system.  As of 2010, the TKDL had transcribed 148 books on ayurveda, unani, siddha and yoga in the public domain into 34 million pages of information</w:t>
      </w:r>
      <w:r w:rsidR="00EF3308">
        <w:rPr>
          <w:rFonts w:cs="Courier New"/>
        </w:rPr>
        <w:t xml:space="preserve"> translated into five languages</w:t>
      </w:r>
      <w:r w:rsidRPr="004528C1">
        <w:rPr>
          <w:rFonts w:cs="Courier New"/>
        </w:rPr>
        <w:t xml:space="preserve"> </w:t>
      </w:r>
      <w:r w:rsidR="00EF3308">
        <w:rPr>
          <w:rFonts w:cs="Courier New"/>
        </w:rPr>
        <w:t>(</w:t>
      </w:r>
      <w:r w:rsidRPr="004528C1">
        <w:rPr>
          <w:rFonts w:cs="Courier New"/>
        </w:rPr>
        <w:t>English, German, French, Spanish and Japanese</w:t>
      </w:r>
      <w:r w:rsidR="00EF3308">
        <w:rPr>
          <w:rFonts w:cs="Courier New"/>
        </w:rPr>
        <w:t>)</w:t>
      </w:r>
      <w:r w:rsidRPr="004528C1">
        <w:rPr>
          <w:rFonts w:cs="Courier New"/>
        </w:rPr>
        <w:t xml:space="preserve">.  More than around </w:t>
      </w:r>
      <w:r w:rsidR="006F67EA">
        <w:rPr>
          <w:rFonts w:cs="Courier New"/>
        </w:rPr>
        <w:t>0.3</w:t>
      </w:r>
      <w:r w:rsidRPr="004528C1">
        <w:rPr>
          <w:rFonts w:cs="Courier New"/>
        </w:rPr>
        <w:t xml:space="preserve"> million formulations </w:t>
      </w:r>
      <w:proofErr w:type="gramStart"/>
      <w:r w:rsidRPr="004528C1">
        <w:rPr>
          <w:rFonts w:cs="Courier New"/>
        </w:rPr>
        <w:t>had been digitized</w:t>
      </w:r>
      <w:proofErr w:type="gramEnd"/>
      <w:r>
        <w:rPr>
          <w:rFonts w:cs="Courier New"/>
        </w:rPr>
        <w:t xml:space="preserve"> and</w:t>
      </w:r>
      <w:r w:rsidR="00B83A0C">
        <w:rPr>
          <w:rFonts w:cs="Courier New"/>
        </w:rPr>
        <w:t xml:space="preserve"> more than 1,000 </w:t>
      </w:r>
      <w:r w:rsidRPr="004528C1">
        <w:rPr>
          <w:rFonts w:cs="Courier New"/>
        </w:rPr>
        <w:t>patent application</w:t>
      </w:r>
      <w:r w:rsidR="00EF3308">
        <w:rPr>
          <w:rFonts w:cs="Courier New"/>
        </w:rPr>
        <w:t>s</w:t>
      </w:r>
      <w:r w:rsidRPr="004528C1">
        <w:rPr>
          <w:rFonts w:cs="Courier New"/>
        </w:rPr>
        <w:t xml:space="preserve"> had been identified, scrutinized based on the TKDL.  Considerable success </w:t>
      </w:r>
      <w:proofErr w:type="gramStart"/>
      <w:r w:rsidRPr="004528C1">
        <w:rPr>
          <w:rFonts w:cs="Courier New"/>
        </w:rPr>
        <w:t>had been achieved</w:t>
      </w:r>
      <w:proofErr w:type="gramEnd"/>
      <w:r w:rsidRPr="004528C1">
        <w:rPr>
          <w:rFonts w:cs="Courier New"/>
        </w:rPr>
        <w:t xml:space="preserve">.  There were more than 200 cases of patent applications withdrawn, canceled, declared dead or terminated. The example of turmeric was a glaring example in that regard. </w:t>
      </w:r>
    </w:p>
    <w:p w:rsidR="00297F28" w:rsidRPr="00297F28" w:rsidRDefault="00297F28" w:rsidP="00297F28">
      <w:pPr>
        <w:pStyle w:val="ListParagraph"/>
        <w:ind w:left="0"/>
      </w:pPr>
    </w:p>
    <w:p w:rsidR="00297F28" w:rsidRPr="00297F28" w:rsidRDefault="00297F28" w:rsidP="00297F28">
      <w:pPr>
        <w:pStyle w:val="ListParagraph"/>
        <w:numPr>
          <w:ilvl w:val="0"/>
          <w:numId w:val="4"/>
        </w:numPr>
        <w:ind w:left="0" w:firstLine="0"/>
      </w:pPr>
      <w:r w:rsidRPr="00F35478">
        <w:t xml:space="preserve">The Delegation of </w:t>
      </w:r>
      <w:r w:rsidRPr="00297F28">
        <w:rPr>
          <w:rFonts w:cs="Courier New"/>
        </w:rPr>
        <w:t>South Africa said it was important to look at databases in the context of data sovereignty.  Databases were very useful, because they were part of the age of data revolution.  It referred to the statements by the Delegations of India and Brazil on the technical complexities around data</w:t>
      </w:r>
      <w:r w:rsidR="007429C4">
        <w:rPr>
          <w:rFonts w:cs="Courier New"/>
        </w:rPr>
        <w:t>bases</w:t>
      </w:r>
      <w:r w:rsidRPr="00297F28">
        <w:rPr>
          <w:rFonts w:cs="Courier New"/>
        </w:rPr>
        <w:t xml:space="preserve">. </w:t>
      </w:r>
      <w:r>
        <w:rPr>
          <w:rFonts w:cs="Courier New"/>
        </w:rPr>
        <w:t xml:space="preserve"> </w:t>
      </w:r>
      <w:r w:rsidRPr="00297F28">
        <w:rPr>
          <w:rFonts w:cs="Courier New"/>
        </w:rPr>
        <w:t xml:space="preserve">The work of the IGC might be outdated by the time agreement </w:t>
      </w:r>
      <w:proofErr w:type="gramStart"/>
      <w:r w:rsidRPr="00297F28">
        <w:rPr>
          <w:rFonts w:cs="Courier New"/>
        </w:rPr>
        <w:t>was reached</w:t>
      </w:r>
      <w:proofErr w:type="gramEnd"/>
      <w:r w:rsidRPr="00297F28">
        <w:rPr>
          <w:rFonts w:cs="Courier New"/>
        </w:rPr>
        <w:t xml:space="preserve"> on the issues of technological changes.  For instance, sequential information around GRs </w:t>
      </w:r>
      <w:proofErr w:type="gramStart"/>
      <w:r w:rsidRPr="00297F28">
        <w:rPr>
          <w:rFonts w:cs="Courier New"/>
        </w:rPr>
        <w:t>had been digitized</w:t>
      </w:r>
      <w:proofErr w:type="gramEnd"/>
      <w:r w:rsidRPr="00297F28">
        <w:rPr>
          <w:rFonts w:cs="Courier New"/>
        </w:rPr>
        <w:t xml:space="preserve">. </w:t>
      </w:r>
      <w:r>
        <w:rPr>
          <w:rFonts w:cs="Courier New"/>
        </w:rPr>
        <w:t xml:space="preserve"> </w:t>
      </w:r>
      <w:r w:rsidRPr="00297F28">
        <w:rPr>
          <w:rFonts w:cs="Courier New"/>
        </w:rPr>
        <w:t xml:space="preserve">The </w:t>
      </w:r>
      <w:r w:rsidR="007429C4">
        <w:rPr>
          <w:rFonts w:cs="Courier New"/>
        </w:rPr>
        <w:t>IGC had to leapfrog into “today</w:t>
      </w:r>
      <w:r w:rsidRPr="00297F28">
        <w:rPr>
          <w:rFonts w:cs="Courier New"/>
        </w:rPr>
        <w:t>”</w:t>
      </w:r>
      <w:r w:rsidR="007429C4">
        <w:rPr>
          <w:rFonts w:cs="Courier New"/>
        </w:rPr>
        <w:t>.</w:t>
      </w:r>
      <w:r w:rsidRPr="00297F28">
        <w:rPr>
          <w:rFonts w:cs="Courier New"/>
        </w:rPr>
        <w:t xml:space="preserve">  The IGC was still discussing physical data, but the world had changed. </w:t>
      </w:r>
      <w:r>
        <w:rPr>
          <w:rFonts w:cs="Courier New"/>
        </w:rPr>
        <w:t xml:space="preserve"> </w:t>
      </w:r>
      <w:r w:rsidRPr="00297F28">
        <w:rPr>
          <w:rFonts w:cs="Courier New"/>
        </w:rPr>
        <w:t>It was important to</w:t>
      </w:r>
      <w:r>
        <w:rPr>
          <w:rFonts w:cs="Courier New"/>
        </w:rPr>
        <w:t xml:space="preserve"> simplify the text.  I</w:t>
      </w:r>
      <w:r w:rsidRPr="00297F28">
        <w:rPr>
          <w:rFonts w:cs="Courier New"/>
        </w:rPr>
        <w:t xml:space="preserve">t supported a simple text beginning with a due diligence, but it had to </w:t>
      </w:r>
      <w:proofErr w:type="gramStart"/>
      <w:r w:rsidRPr="00297F28">
        <w:rPr>
          <w:rFonts w:cs="Courier New"/>
        </w:rPr>
        <w:t>be expanded</w:t>
      </w:r>
      <w:proofErr w:type="gramEnd"/>
      <w:r w:rsidRPr="00297F28">
        <w:rPr>
          <w:rFonts w:cs="Courier New"/>
        </w:rPr>
        <w:t>.  Some text proposals would have to come out.</w:t>
      </w:r>
      <w:r>
        <w:rPr>
          <w:rFonts w:cs="Courier New"/>
        </w:rPr>
        <w:t xml:space="preserve"> </w:t>
      </w:r>
      <w:r w:rsidRPr="00297F28">
        <w:rPr>
          <w:rFonts w:cs="Courier New"/>
        </w:rPr>
        <w:t xml:space="preserve"> The text of Article 6 had to stay on a high level and address policy issues.  The implementation of databases was an issue to follow up on and discuss. </w:t>
      </w:r>
    </w:p>
    <w:p w:rsidR="00297F28" w:rsidRDefault="00297F28" w:rsidP="00297F28"/>
    <w:p w:rsidR="00885716" w:rsidRPr="00885716" w:rsidRDefault="00297F28" w:rsidP="00885716">
      <w:pPr>
        <w:pStyle w:val="ListParagraph"/>
        <w:numPr>
          <w:ilvl w:val="0"/>
          <w:numId w:val="4"/>
        </w:numPr>
        <w:ind w:left="0" w:firstLine="0"/>
      </w:pPr>
      <w:r w:rsidRPr="00F35478">
        <w:t xml:space="preserve">The Delegation of </w:t>
      </w:r>
      <w:r w:rsidR="006E31C3">
        <w:t xml:space="preserve">the Plurinational State of </w:t>
      </w:r>
      <w:r w:rsidRPr="00297F28">
        <w:rPr>
          <w:rFonts w:cs="Courier New"/>
        </w:rPr>
        <w:t xml:space="preserve">Bolivia described </w:t>
      </w:r>
      <w:r>
        <w:rPr>
          <w:rFonts w:cs="Courier New"/>
        </w:rPr>
        <w:t>its</w:t>
      </w:r>
      <w:r w:rsidRPr="00297F28">
        <w:rPr>
          <w:rFonts w:cs="Courier New"/>
        </w:rPr>
        <w:t xml:space="preserve"> experience with databases, which it had started to implement within indigenous communities.  However, there had been some problems, such as the degree of confidentiality.  Many people from the communities distrust</w:t>
      </w:r>
      <w:r>
        <w:rPr>
          <w:rFonts w:cs="Courier New"/>
        </w:rPr>
        <w:t>ed</w:t>
      </w:r>
      <w:r w:rsidRPr="00297F28">
        <w:rPr>
          <w:rFonts w:cs="Courier New"/>
        </w:rPr>
        <w:t xml:space="preserve"> everything and did not understand why there were databases. </w:t>
      </w:r>
      <w:r>
        <w:rPr>
          <w:rFonts w:cs="Courier New"/>
        </w:rPr>
        <w:t xml:space="preserve"> </w:t>
      </w:r>
      <w:r w:rsidRPr="00297F28">
        <w:rPr>
          <w:rFonts w:cs="Courier New"/>
        </w:rPr>
        <w:t xml:space="preserve">The other issue was the ownership of TK, which belonged to the whole community and not just to one person, because it was community knowledge.  It would have difficulties in making any progress </w:t>
      </w:r>
      <w:r>
        <w:rPr>
          <w:rFonts w:cs="Courier New"/>
        </w:rPr>
        <w:t xml:space="preserve">on </w:t>
      </w:r>
      <w:r w:rsidRPr="00297F28">
        <w:rPr>
          <w:rFonts w:cs="Courier New"/>
        </w:rPr>
        <w:t xml:space="preserve">databases. </w:t>
      </w:r>
    </w:p>
    <w:p w:rsidR="00885716" w:rsidRDefault="00885716" w:rsidP="00885716"/>
    <w:p w:rsidR="00912B7B" w:rsidRPr="00912B7B" w:rsidRDefault="00885716" w:rsidP="00912B7B">
      <w:pPr>
        <w:pStyle w:val="ListParagraph"/>
        <w:numPr>
          <w:ilvl w:val="0"/>
          <w:numId w:val="4"/>
        </w:numPr>
        <w:ind w:left="0" w:firstLine="0"/>
      </w:pPr>
      <w:r w:rsidRPr="00F35478">
        <w:t xml:space="preserve">The Delegation of </w:t>
      </w:r>
      <w:r w:rsidRPr="00885716">
        <w:rPr>
          <w:rFonts w:cs="Courier New"/>
        </w:rPr>
        <w:t>Switzerland said that many d</w:t>
      </w:r>
      <w:r w:rsidR="00DF45D3">
        <w:rPr>
          <w:rFonts w:cs="Courier New"/>
        </w:rPr>
        <w:t xml:space="preserve">atabases relating to GRs and TK associated with </w:t>
      </w:r>
      <w:r w:rsidRPr="00885716">
        <w:rPr>
          <w:rFonts w:cs="Courier New"/>
        </w:rPr>
        <w:t xml:space="preserve">GRs already existed, as illustrated by the compilation prepared by the Secretariat.  It was important that any provision with regard to databases in a WIPO instrument </w:t>
      </w:r>
      <w:r w:rsidR="00DF45D3">
        <w:rPr>
          <w:rFonts w:cs="Courier New"/>
        </w:rPr>
        <w:t>not only</w:t>
      </w:r>
      <w:r w:rsidRPr="00885716">
        <w:rPr>
          <w:rFonts w:cs="Courier New"/>
        </w:rPr>
        <w:t xml:space="preserve"> lead to a proliferation of additional d</w:t>
      </w:r>
      <w:r w:rsidR="002918C6">
        <w:rPr>
          <w:rFonts w:cs="Courier New"/>
        </w:rPr>
        <w:t xml:space="preserve">atabases relating to GRs and TK associated with </w:t>
      </w:r>
      <w:r w:rsidRPr="00885716">
        <w:rPr>
          <w:rFonts w:cs="Courier New"/>
        </w:rPr>
        <w:t xml:space="preserve">GRs, but </w:t>
      </w:r>
      <w:r w:rsidR="002918C6">
        <w:rPr>
          <w:rFonts w:cs="Courier New"/>
        </w:rPr>
        <w:t>also added</w:t>
      </w:r>
      <w:r w:rsidRPr="00885716">
        <w:rPr>
          <w:rFonts w:cs="Courier New"/>
        </w:rPr>
        <w:t xml:space="preserve"> a real value, including for patent examiners.  Many of the existing databases </w:t>
      </w:r>
      <w:proofErr w:type="gramStart"/>
      <w:r w:rsidRPr="00885716">
        <w:rPr>
          <w:rFonts w:cs="Courier New"/>
        </w:rPr>
        <w:t>were established</w:t>
      </w:r>
      <w:proofErr w:type="gramEnd"/>
      <w:r w:rsidRPr="00885716">
        <w:rPr>
          <w:rFonts w:cs="Courier New"/>
        </w:rPr>
        <w:t xml:space="preserve"> for a completely different purpose than for prior art searches by patent examiners.</w:t>
      </w:r>
      <w:r>
        <w:rPr>
          <w:rFonts w:cs="Courier New"/>
        </w:rPr>
        <w:t xml:space="preserve">  I</w:t>
      </w:r>
      <w:r w:rsidRPr="00885716">
        <w:rPr>
          <w:rFonts w:cs="Courier New"/>
        </w:rPr>
        <w:t xml:space="preserve">t wondered how likely it was that one could manage to increase the interoperability of databases and their usefulness for patent examiners, </w:t>
      </w:r>
      <w:r>
        <w:rPr>
          <w:rFonts w:cs="Courier New"/>
        </w:rPr>
        <w:t>b</w:t>
      </w:r>
      <w:r w:rsidR="00B83A0C">
        <w:rPr>
          <w:rFonts w:cs="Courier New"/>
        </w:rPr>
        <w:t>ased on a WIPO </w:t>
      </w:r>
      <w:r w:rsidRPr="00885716">
        <w:rPr>
          <w:rFonts w:cs="Courier New"/>
        </w:rPr>
        <w:t xml:space="preserve">instrument.  Specifically in the context of GRs, not all databases might necessarily facilitate the prevention of the erroneous granting of patents, because an invention was not necessarily </w:t>
      </w:r>
      <w:r w:rsidRPr="002918C6">
        <w:rPr>
          <w:rFonts w:cs="Courier New"/>
        </w:rPr>
        <w:t>consisting of</w:t>
      </w:r>
      <w:r w:rsidRPr="00885716">
        <w:rPr>
          <w:rFonts w:cs="Courier New"/>
        </w:rPr>
        <w:t xml:space="preserve"> a GR as such but </w:t>
      </w:r>
      <w:proofErr w:type="gramStart"/>
      <w:r w:rsidRPr="00885716">
        <w:rPr>
          <w:rFonts w:cs="Courier New"/>
        </w:rPr>
        <w:t xml:space="preserve">was rather </w:t>
      </w:r>
      <w:r w:rsidRPr="002918C6">
        <w:rPr>
          <w:rFonts w:cs="Courier New"/>
        </w:rPr>
        <w:t>based</w:t>
      </w:r>
      <w:proofErr w:type="gramEnd"/>
      <w:r w:rsidRPr="002918C6">
        <w:rPr>
          <w:rFonts w:cs="Courier New"/>
        </w:rPr>
        <w:t xml:space="preserve"> on a GR.  Therefore, even if the specific GRs were contained in the database, an invention based</w:t>
      </w:r>
      <w:r w:rsidRPr="00885716">
        <w:rPr>
          <w:rFonts w:cs="Courier New"/>
        </w:rPr>
        <w:t xml:space="preserve"> on the GRs might or might not </w:t>
      </w:r>
      <w:r w:rsidRPr="00885716">
        <w:rPr>
          <w:rFonts w:cs="Courier New"/>
        </w:rPr>
        <w:lastRenderedPageBreak/>
        <w:t xml:space="preserve">actually fulfill the patentability criteria.  Moreover, as mentioned by the Delegation of Brazil, it </w:t>
      </w:r>
      <w:proofErr w:type="gramStart"/>
      <w:r w:rsidRPr="00885716">
        <w:rPr>
          <w:rFonts w:cs="Courier New"/>
        </w:rPr>
        <w:t>was estimated</w:t>
      </w:r>
      <w:proofErr w:type="gramEnd"/>
      <w:r w:rsidRPr="00885716">
        <w:rPr>
          <w:rFonts w:cs="Courier New"/>
        </w:rPr>
        <w:t xml:space="preserve"> that about 1.6 million species had been databased thus far and that over 80 percent of all species had not yet been described.  However, GRs were not species and the number of GRs was far greater than the number of species.  That raised a number of questions: </w:t>
      </w:r>
      <w:r w:rsidR="002918C6">
        <w:rPr>
          <w:rFonts w:cs="Courier New"/>
        </w:rPr>
        <w:t xml:space="preserve"> </w:t>
      </w:r>
      <w:r w:rsidRPr="00885716">
        <w:rPr>
          <w:rFonts w:cs="Courier New"/>
        </w:rPr>
        <w:t xml:space="preserve">what was the value of a database that was likely to contain only a very tiny amount of all GRs in a specific country?  How comprehensive were existing databases with GRs?  What exactly </w:t>
      </w:r>
      <w:proofErr w:type="gramStart"/>
      <w:r w:rsidRPr="00885716">
        <w:rPr>
          <w:rFonts w:cs="Courier New"/>
        </w:rPr>
        <w:t>should be registered</w:t>
      </w:r>
      <w:proofErr w:type="gramEnd"/>
      <w:r w:rsidRPr="00885716">
        <w:rPr>
          <w:rFonts w:cs="Courier New"/>
        </w:rPr>
        <w:t xml:space="preserve"> in the database: the precise description of the GRs</w:t>
      </w:r>
      <w:r>
        <w:rPr>
          <w:rFonts w:cs="Courier New"/>
        </w:rPr>
        <w:t>,</w:t>
      </w:r>
      <w:r w:rsidRPr="00885716">
        <w:rPr>
          <w:rFonts w:cs="Courier New"/>
        </w:rPr>
        <w:t xml:space="preserve"> including all known properties and the precise origin, or just the name of a species?  Keeping in mind the evidence</w:t>
      </w:r>
      <w:r w:rsidR="00B83A0C">
        <w:rPr>
          <w:rFonts w:cs="Monaco"/>
        </w:rPr>
        <w:noBreakHyphen/>
      </w:r>
      <w:r w:rsidRPr="00885716">
        <w:rPr>
          <w:rFonts w:cs="Courier New"/>
        </w:rPr>
        <w:t xml:space="preserve">based approach, what were the practical experiences with databases in the context of GRs? </w:t>
      </w:r>
      <w:r>
        <w:rPr>
          <w:rFonts w:cs="Courier New"/>
        </w:rPr>
        <w:t xml:space="preserve"> </w:t>
      </w:r>
      <w:r w:rsidRPr="00885716">
        <w:rPr>
          <w:rFonts w:cs="Courier New"/>
        </w:rPr>
        <w:t xml:space="preserve">How many erroneously granted patents </w:t>
      </w:r>
      <w:proofErr w:type="gramStart"/>
      <w:r w:rsidRPr="00885716">
        <w:rPr>
          <w:rFonts w:cs="Courier New"/>
        </w:rPr>
        <w:t>could have been avoided</w:t>
      </w:r>
      <w:proofErr w:type="gramEnd"/>
      <w:r w:rsidRPr="00885716">
        <w:rPr>
          <w:rFonts w:cs="Courier New"/>
        </w:rPr>
        <w:t xml:space="preserve"> so far by using databases on GRs?  What were the costs of establishing and running and continuously updating such databases?  </w:t>
      </w:r>
      <w:proofErr w:type="gramStart"/>
      <w:r w:rsidRPr="00885716">
        <w:rPr>
          <w:rFonts w:cs="Courier New"/>
        </w:rPr>
        <w:t>And</w:t>
      </w:r>
      <w:proofErr w:type="gramEnd"/>
      <w:r w:rsidRPr="00885716">
        <w:rPr>
          <w:rFonts w:cs="Courier New"/>
        </w:rPr>
        <w:t xml:space="preserve"> which databases relating to GRs were currently used by patent examiners for prior art searches? </w:t>
      </w:r>
      <w:r>
        <w:rPr>
          <w:rFonts w:cs="Courier New"/>
        </w:rPr>
        <w:t xml:space="preserve"> </w:t>
      </w:r>
    </w:p>
    <w:p w:rsidR="00912B7B" w:rsidRPr="00912B7B" w:rsidRDefault="00912B7B" w:rsidP="00912B7B">
      <w:pPr>
        <w:pStyle w:val="ListParagraph"/>
        <w:ind w:left="0"/>
      </w:pPr>
    </w:p>
    <w:p w:rsidR="00912B7B" w:rsidRPr="00912B7B" w:rsidRDefault="00912B7B" w:rsidP="00912B7B">
      <w:pPr>
        <w:pStyle w:val="ListParagraph"/>
        <w:numPr>
          <w:ilvl w:val="0"/>
          <w:numId w:val="4"/>
        </w:numPr>
        <w:ind w:left="0" w:firstLine="0"/>
      </w:pPr>
      <w:r w:rsidRPr="00912B7B">
        <w:rPr>
          <w:rFonts w:cs="Courier New"/>
        </w:rPr>
        <w:t xml:space="preserve">The Delegation of Indonesia, speaking on behalf of the LMCs, welcomed Article </w:t>
      </w:r>
      <w:r>
        <w:rPr>
          <w:rFonts w:cs="Courier New"/>
        </w:rPr>
        <w:t>6</w:t>
      </w:r>
      <w:r w:rsidRPr="00912B7B">
        <w:rPr>
          <w:rFonts w:cs="Courier New"/>
        </w:rPr>
        <w:t xml:space="preserve">, noting that due diligence obligations should complement a requirement of a declaration of source of the subject matter. </w:t>
      </w:r>
      <w:r>
        <w:rPr>
          <w:rFonts w:cs="Courier New"/>
        </w:rPr>
        <w:t xml:space="preserve"> </w:t>
      </w:r>
      <w:r w:rsidRPr="00912B7B">
        <w:rPr>
          <w:rFonts w:cs="Courier New"/>
        </w:rPr>
        <w:t>Databases also had value to reinforce the due diligence approach.</w:t>
      </w:r>
      <w:r>
        <w:rPr>
          <w:rFonts w:cs="Courier New"/>
        </w:rPr>
        <w:t xml:space="preserve"> </w:t>
      </w:r>
      <w:r w:rsidRPr="00912B7B">
        <w:rPr>
          <w:rFonts w:cs="Courier New"/>
        </w:rPr>
        <w:t xml:space="preserve"> However, without proper security measures in place, the establishment of database</w:t>
      </w:r>
      <w:r>
        <w:rPr>
          <w:rFonts w:cs="Courier New"/>
        </w:rPr>
        <w:t>s</w:t>
      </w:r>
      <w:r w:rsidRPr="00912B7B">
        <w:rPr>
          <w:rFonts w:cs="Courier New"/>
        </w:rPr>
        <w:t xml:space="preserve"> raised issues regarding access </w:t>
      </w:r>
      <w:r>
        <w:rPr>
          <w:rFonts w:cs="Courier New"/>
        </w:rPr>
        <w:t>to</w:t>
      </w:r>
      <w:r w:rsidRPr="00912B7B">
        <w:rPr>
          <w:rFonts w:cs="Courier New"/>
        </w:rPr>
        <w:t xml:space="preserve"> the content and information made available in the databases.</w:t>
      </w:r>
    </w:p>
    <w:p w:rsidR="00912B7B" w:rsidRPr="00912B7B" w:rsidRDefault="00912B7B" w:rsidP="00912B7B">
      <w:pPr>
        <w:rPr>
          <w:rFonts w:cstheme="majorHAnsi"/>
        </w:rPr>
      </w:pPr>
    </w:p>
    <w:p w:rsidR="00E41A83" w:rsidRPr="00E41A83" w:rsidRDefault="00912B7B" w:rsidP="00E41A83">
      <w:pPr>
        <w:pStyle w:val="ListParagraph"/>
        <w:numPr>
          <w:ilvl w:val="0"/>
          <w:numId w:val="4"/>
        </w:numPr>
        <w:ind w:left="0" w:firstLine="0"/>
      </w:pPr>
      <w:r w:rsidRPr="006C632F">
        <w:rPr>
          <w:rFonts w:cstheme="majorHAnsi"/>
        </w:rPr>
        <w:t>The Delegation of the Republic of Korea said that the prevention of erroneously granted patents through the establishment and use of database systems was the most effective and efficient form of facilitati</w:t>
      </w:r>
      <w:r w:rsidR="00496CA0" w:rsidRPr="006C632F">
        <w:rPr>
          <w:rFonts w:cstheme="majorHAnsi"/>
        </w:rPr>
        <w:t xml:space="preserve">ng the protection of GRs and TK </w:t>
      </w:r>
      <w:r w:rsidR="006C632F" w:rsidRPr="006C632F">
        <w:rPr>
          <w:rFonts w:cstheme="majorHAnsi"/>
        </w:rPr>
        <w:t xml:space="preserve">associated with </w:t>
      </w:r>
      <w:r w:rsidRPr="006C632F">
        <w:rPr>
          <w:rFonts w:cstheme="majorHAnsi"/>
        </w:rPr>
        <w:t>GRs in the patent system.  The Korean Intellectual Property Office (</w:t>
      </w:r>
      <w:r w:rsidR="006C632F" w:rsidRPr="006C632F">
        <w:rPr>
          <w:rFonts w:cstheme="majorHAnsi"/>
        </w:rPr>
        <w:t>“</w:t>
      </w:r>
      <w:r w:rsidRPr="006C632F">
        <w:rPr>
          <w:rFonts w:cstheme="majorHAnsi"/>
        </w:rPr>
        <w:t>KIPO</w:t>
      </w:r>
      <w:r w:rsidR="006C632F" w:rsidRPr="006C632F">
        <w:rPr>
          <w:rFonts w:cstheme="majorHAnsi"/>
        </w:rPr>
        <w:t>”</w:t>
      </w:r>
      <w:r w:rsidRPr="006C632F">
        <w:rPr>
          <w:rFonts w:cstheme="majorHAnsi"/>
        </w:rPr>
        <w:t>) had estab</w:t>
      </w:r>
      <w:r w:rsidR="006C632F" w:rsidRPr="006C632F">
        <w:rPr>
          <w:rFonts w:cstheme="majorHAnsi"/>
        </w:rPr>
        <w:t xml:space="preserve">lished a database for TK and TK associated with </w:t>
      </w:r>
      <w:r w:rsidRPr="006C632F">
        <w:rPr>
          <w:rFonts w:cstheme="majorHAnsi"/>
        </w:rPr>
        <w:t xml:space="preserve">GRs.  Currently, KIPO’s database of TK had a vast amount of documents on old Korean medicine and current patents and articles containing TK from the past and the present.  The database </w:t>
      </w:r>
      <w:proofErr w:type="gramStart"/>
      <w:r w:rsidRPr="006C632F">
        <w:rPr>
          <w:rFonts w:cstheme="majorHAnsi"/>
        </w:rPr>
        <w:t>was presented</w:t>
      </w:r>
      <w:proofErr w:type="gramEnd"/>
      <w:r w:rsidRPr="006C632F">
        <w:rPr>
          <w:rFonts w:cstheme="majorHAnsi"/>
        </w:rPr>
        <w:t xml:space="preserve"> on-line through the Korean Traditional Knowledge Portal (</w:t>
      </w:r>
      <w:r w:rsidR="006C632F" w:rsidRPr="006C632F">
        <w:rPr>
          <w:rFonts w:cstheme="majorHAnsi"/>
        </w:rPr>
        <w:t>“</w:t>
      </w:r>
      <w:r w:rsidRPr="006C632F">
        <w:rPr>
          <w:rFonts w:cstheme="majorHAnsi"/>
        </w:rPr>
        <w:t>KTKP</w:t>
      </w:r>
      <w:r w:rsidR="006C632F" w:rsidRPr="006C632F">
        <w:rPr>
          <w:rFonts w:cstheme="majorHAnsi"/>
        </w:rPr>
        <w:t>”</w:t>
      </w:r>
      <w:r w:rsidRPr="006C632F">
        <w:rPr>
          <w:rFonts w:cstheme="majorHAnsi"/>
        </w:rPr>
        <w:t xml:space="preserve">).  </w:t>
      </w:r>
      <w:proofErr w:type="gramStart"/>
      <w:r w:rsidRPr="006C632F">
        <w:rPr>
          <w:rFonts w:cstheme="majorHAnsi"/>
        </w:rPr>
        <w:t xml:space="preserve">The database was made publicly accessible for the following reasons: </w:t>
      </w:r>
      <w:r w:rsidR="006C632F">
        <w:rPr>
          <w:rFonts w:cstheme="majorHAnsi"/>
        </w:rPr>
        <w:t xml:space="preserve"> (1)</w:t>
      </w:r>
      <w:r w:rsidRPr="006C632F">
        <w:rPr>
          <w:rFonts w:cstheme="majorHAnsi"/>
        </w:rPr>
        <w:t xml:space="preserve"> to lay the foundations for international protection of Korean TK, thereby preventing the grant of erroneous patents inside</w:t>
      </w:r>
      <w:r w:rsidRPr="00912B7B">
        <w:rPr>
          <w:rFonts w:cstheme="majorHAnsi"/>
        </w:rPr>
        <w:t xml:space="preserve"> and outside the country; </w:t>
      </w:r>
      <w:r w:rsidR="006C632F">
        <w:rPr>
          <w:rFonts w:cstheme="majorHAnsi"/>
        </w:rPr>
        <w:t xml:space="preserve"> (2)</w:t>
      </w:r>
      <w:r w:rsidRPr="00912B7B">
        <w:rPr>
          <w:rFonts w:cstheme="majorHAnsi"/>
        </w:rPr>
        <w:t xml:space="preserve"> to provide an abundance of information on TK and related research, thereby expediting the development of related studies and industries; </w:t>
      </w:r>
      <w:r w:rsidR="006C632F">
        <w:rPr>
          <w:rFonts w:cstheme="majorHAnsi"/>
        </w:rPr>
        <w:t xml:space="preserve"> and (3)</w:t>
      </w:r>
      <w:r w:rsidRPr="00912B7B">
        <w:rPr>
          <w:rFonts w:cstheme="majorHAnsi"/>
        </w:rPr>
        <w:t xml:space="preserve"> to provide essential information for patent examinations, thereby enhancing the quality of IP applications for TK.</w:t>
      </w:r>
      <w:proofErr w:type="gramEnd"/>
      <w:r w:rsidRPr="00912B7B">
        <w:rPr>
          <w:rFonts w:cstheme="majorHAnsi"/>
        </w:rPr>
        <w:t xml:space="preserve">  Patent examiners at KIPO were obligated to search the said database for prior art in relevant patent applications.</w:t>
      </w:r>
      <w:r>
        <w:rPr>
          <w:rFonts w:cstheme="majorHAnsi"/>
        </w:rPr>
        <w:t xml:space="preserve"> </w:t>
      </w:r>
      <w:r w:rsidRPr="00912B7B">
        <w:rPr>
          <w:rFonts w:cstheme="majorHAnsi"/>
        </w:rPr>
        <w:t xml:space="preserve"> That method had been successfully used and efficient in KIPO to protect GRs and T</w:t>
      </w:r>
      <w:r w:rsidR="006C632F">
        <w:rPr>
          <w:rFonts w:cstheme="majorHAnsi"/>
        </w:rPr>
        <w:t xml:space="preserve">K associated with </w:t>
      </w:r>
      <w:r w:rsidRPr="00912B7B">
        <w:rPr>
          <w:rFonts w:cstheme="majorHAnsi"/>
        </w:rPr>
        <w:t>GR</w:t>
      </w:r>
      <w:r w:rsidR="006C632F">
        <w:rPr>
          <w:rFonts w:cstheme="majorHAnsi"/>
        </w:rPr>
        <w:t>s</w:t>
      </w:r>
      <w:r w:rsidRPr="00912B7B">
        <w:rPr>
          <w:rFonts w:cstheme="majorHAnsi"/>
        </w:rPr>
        <w:t>.</w:t>
      </w:r>
      <w:r>
        <w:rPr>
          <w:rFonts w:cstheme="majorHAnsi"/>
        </w:rPr>
        <w:t xml:space="preserve"> </w:t>
      </w:r>
      <w:r w:rsidR="00B83A0C">
        <w:rPr>
          <w:rFonts w:cstheme="majorHAnsi"/>
        </w:rPr>
        <w:t xml:space="preserve"> A well</w:t>
      </w:r>
      <w:r w:rsidR="00B83A0C">
        <w:rPr>
          <w:rFonts w:cstheme="majorHAnsi"/>
        </w:rPr>
        <w:noBreakHyphen/>
      </w:r>
      <w:r w:rsidRPr="00912B7B">
        <w:rPr>
          <w:rFonts w:cstheme="majorHAnsi"/>
        </w:rPr>
        <w:t xml:space="preserve">developed database was a very practical and feasible method for reducing the number of erroneously granted patents in each </w:t>
      </w:r>
      <w:r>
        <w:rPr>
          <w:rFonts w:cstheme="majorHAnsi"/>
        </w:rPr>
        <w:t>Member S</w:t>
      </w:r>
      <w:r w:rsidRPr="00912B7B">
        <w:rPr>
          <w:rFonts w:cstheme="majorHAnsi"/>
        </w:rPr>
        <w:t>tate.</w:t>
      </w:r>
    </w:p>
    <w:p w:rsidR="00E41A83" w:rsidRPr="00E41A83" w:rsidRDefault="00E41A83" w:rsidP="00E41A83">
      <w:pPr>
        <w:pStyle w:val="ListParagraph"/>
        <w:ind w:left="0"/>
      </w:pPr>
    </w:p>
    <w:p w:rsidR="00E41A83" w:rsidRPr="00E41A83" w:rsidRDefault="00E41A83" w:rsidP="00E41A83">
      <w:pPr>
        <w:pStyle w:val="ListParagraph"/>
        <w:numPr>
          <w:ilvl w:val="0"/>
          <w:numId w:val="4"/>
        </w:numPr>
        <w:ind w:left="0" w:firstLine="0"/>
      </w:pPr>
      <w:r w:rsidRPr="00E41A83">
        <w:rPr>
          <w:rFonts w:cs="Courier New"/>
        </w:rPr>
        <w:t xml:space="preserve">The </w:t>
      </w:r>
      <w:r w:rsidRPr="00E41A83">
        <w:rPr>
          <w:rFonts w:cstheme="majorHAnsi"/>
        </w:rPr>
        <w:t>Delegation</w:t>
      </w:r>
      <w:r w:rsidRPr="00E41A83">
        <w:rPr>
          <w:rFonts w:cs="Courier New"/>
        </w:rPr>
        <w:t xml:space="preserve"> of Senegal said that </w:t>
      </w:r>
      <w:proofErr w:type="gramStart"/>
      <w:r w:rsidRPr="00E41A83">
        <w:rPr>
          <w:rFonts w:cs="Courier New"/>
        </w:rPr>
        <w:t>most of its concerns had been developed by the Delegations of Brazil and South Africa</w:t>
      </w:r>
      <w:proofErr w:type="gramEnd"/>
      <w:r w:rsidRPr="00E41A83">
        <w:rPr>
          <w:rFonts w:cs="Courier New"/>
        </w:rPr>
        <w:t xml:space="preserve">. </w:t>
      </w:r>
      <w:r>
        <w:rPr>
          <w:rFonts w:cs="Courier New"/>
        </w:rPr>
        <w:t xml:space="preserve"> </w:t>
      </w:r>
      <w:r w:rsidRPr="00E41A83">
        <w:rPr>
          <w:rFonts w:cs="Courier New"/>
        </w:rPr>
        <w:t xml:space="preserve">In the long history of </w:t>
      </w:r>
      <w:proofErr w:type="gramStart"/>
      <w:r w:rsidRPr="00E41A83">
        <w:rPr>
          <w:rFonts w:cs="Courier New"/>
        </w:rPr>
        <w:t>mankind,</w:t>
      </w:r>
      <w:proofErr w:type="gramEnd"/>
      <w:r w:rsidRPr="00E41A83">
        <w:rPr>
          <w:rFonts w:cs="Courier New"/>
        </w:rPr>
        <w:t xml:space="preserve"> people had used millions of GRs to ensure their survival.  One should not give up in the face of difficulties involved in set</w:t>
      </w:r>
      <w:r w:rsidR="006C632F">
        <w:rPr>
          <w:rFonts w:cs="Courier New"/>
        </w:rPr>
        <w:t>ting up databases.  Patentscope</w:t>
      </w:r>
      <w:r w:rsidRPr="00E41A83">
        <w:rPr>
          <w:rFonts w:cs="Courier New"/>
        </w:rPr>
        <w:t xml:space="preserve"> and all</w:t>
      </w:r>
      <w:r w:rsidR="006C632F">
        <w:rPr>
          <w:rFonts w:cs="Courier New"/>
        </w:rPr>
        <w:t xml:space="preserve"> the patent information therein</w:t>
      </w:r>
      <w:r w:rsidRPr="00E41A83">
        <w:rPr>
          <w:rFonts w:cs="Courier New"/>
        </w:rPr>
        <w:t xml:space="preserve"> had also needed time to </w:t>
      </w:r>
      <w:r>
        <w:rPr>
          <w:rFonts w:cs="Courier New"/>
        </w:rPr>
        <w:t>be set up</w:t>
      </w:r>
      <w:r w:rsidRPr="00E41A83">
        <w:rPr>
          <w:rFonts w:cs="Courier New"/>
        </w:rPr>
        <w:t xml:space="preserve"> for the benefit of the progress </w:t>
      </w:r>
      <w:proofErr w:type="gramStart"/>
      <w:r w:rsidRPr="00E41A83">
        <w:rPr>
          <w:rFonts w:cs="Courier New"/>
        </w:rPr>
        <w:t>of mankind</w:t>
      </w:r>
      <w:proofErr w:type="gramEnd"/>
      <w:r w:rsidRPr="00E41A83">
        <w:rPr>
          <w:rFonts w:cs="Courier New"/>
        </w:rPr>
        <w:t xml:space="preserve"> to help people overcome problems of everyday life.  If databases were to be a solution to resolve legal difficulties, it would be possible to do it. </w:t>
      </w:r>
      <w:r>
        <w:rPr>
          <w:rFonts w:cs="Courier New"/>
        </w:rPr>
        <w:t xml:space="preserve"> P</w:t>
      </w:r>
      <w:r w:rsidRPr="00E41A83">
        <w:rPr>
          <w:rFonts w:cs="Courier New"/>
        </w:rPr>
        <w:t xml:space="preserve">eople who used and developed GRs had an extraordinary relationship with the GRs.  In Senegal, a community </w:t>
      </w:r>
      <w:r>
        <w:rPr>
          <w:rFonts w:cs="Courier New"/>
        </w:rPr>
        <w:t xml:space="preserve">produced </w:t>
      </w:r>
      <w:r w:rsidRPr="00E41A83">
        <w:rPr>
          <w:rFonts w:cs="Courier New"/>
        </w:rPr>
        <w:t xml:space="preserve">myrrh oil that </w:t>
      </w:r>
      <w:proofErr w:type="gramStart"/>
      <w:r w:rsidRPr="00E41A83">
        <w:rPr>
          <w:rFonts w:cs="Courier New"/>
        </w:rPr>
        <w:t>was used</w:t>
      </w:r>
      <w:proofErr w:type="gramEnd"/>
      <w:r w:rsidRPr="00E41A83">
        <w:rPr>
          <w:rFonts w:cs="Courier New"/>
        </w:rPr>
        <w:t xml:space="preserve"> for treating complicated pathologies.  In order to get that oil, certain conditions had to </w:t>
      </w:r>
      <w:proofErr w:type="gramStart"/>
      <w:r w:rsidRPr="00E41A83">
        <w:rPr>
          <w:rFonts w:cs="Courier New"/>
        </w:rPr>
        <w:t>be met</w:t>
      </w:r>
      <w:proofErr w:type="gramEnd"/>
      <w:r w:rsidRPr="00E41A83">
        <w:rPr>
          <w:rFonts w:cs="Courier New"/>
        </w:rPr>
        <w:t xml:space="preserve">.  It was work done exclusively by women of a certain age. </w:t>
      </w:r>
      <w:r>
        <w:rPr>
          <w:rFonts w:cs="Courier New"/>
        </w:rPr>
        <w:t xml:space="preserve"> </w:t>
      </w:r>
      <w:r w:rsidRPr="00E41A83">
        <w:rPr>
          <w:rFonts w:cs="Courier New"/>
        </w:rPr>
        <w:t xml:space="preserve">The IGC was an extraordinary forum.  One could come to the IGC and go home with important information about what was being prepared in terms of law.  </w:t>
      </w:r>
    </w:p>
    <w:p w:rsidR="00E41A83" w:rsidRPr="00E41A83" w:rsidRDefault="00E41A83" w:rsidP="00E41A83">
      <w:pPr>
        <w:rPr>
          <w:rFonts w:cs="Courier New"/>
        </w:rPr>
      </w:pPr>
    </w:p>
    <w:p w:rsidR="00E41A83" w:rsidRPr="00837435" w:rsidRDefault="00E41A83" w:rsidP="00E41A83">
      <w:pPr>
        <w:pStyle w:val="ListParagraph"/>
        <w:numPr>
          <w:ilvl w:val="0"/>
          <w:numId w:val="4"/>
        </w:numPr>
        <w:ind w:left="0" w:firstLine="0"/>
      </w:pPr>
      <w:r w:rsidRPr="00837435">
        <w:rPr>
          <w:rFonts w:cs="Courier New"/>
        </w:rPr>
        <w:t>The Delegation of Ecuador shared its experience in buildi</w:t>
      </w:r>
      <w:r w:rsidR="00B83A0C">
        <w:rPr>
          <w:rFonts w:cs="Courier New"/>
        </w:rPr>
        <w:t>ng databases.  It had about 500 </w:t>
      </w:r>
      <w:r w:rsidRPr="00837435">
        <w:rPr>
          <w:rFonts w:cs="Courier New"/>
        </w:rPr>
        <w:t xml:space="preserve">databases on TK.  Experience had shown how tricky it was to set up a database on ancestral TK in a voluntary way, without due attention to how to respect confidentiality.  It supported the statement made </w:t>
      </w:r>
      <w:r w:rsidR="009E4EB3" w:rsidRPr="00837435">
        <w:rPr>
          <w:rFonts w:cs="Courier New"/>
        </w:rPr>
        <w:t>by the Delegation of Brazil.  Ecuador</w:t>
      </w:r>
      <w:r w:rsidRPr="00837435">
        <w:rPr>
          <w:rFonts w:cs="Courier New"/>
        </w:rPr>
        <w:t xml:space="preserve"> was one of the countries with the greatest biodiversity.  </w:t>
      </w:r>
      <w:r w:rsidR="00837435" w:rsidRPr="00837435">
        <w:rPr>
          <w:rFonts w:cs="Courier New"/>
        </w:rPr>
        <w:t>It</w:t>
      </w:r>
      <w:r w:rsidRPr="00837435">
        <w:rPr>
          <w:rFonts w:cs="Courier New"/>
        </w:rPr>
        <w:t xml:space="preserve"> had wanted to set up a national d</w:t>
      </w:r>
      <w:r w:rsidR="00837435" w:rsidRPr="00837435">
        <w:rPr>
          <w:rFonts w:cs="Courier New"/>
        </w:rPr>
        <w:t xml:space="preserve">atabase on genetic </w:t>
      </w:r>
      <w:r w:rsidR="00837435" w:rsidRPr="00837435">
        <w:rPr>
          <w:rFonts w:cs="Courier New"/>
        </w:rPr>
        <w:lastRenderedPageBreak/>
        <w:t>sequencing, and</w:t>
      </w:r>
      <w:r w:rsidRPr="00837435">
        <w:rPr>
          <w:rFonts w:cs="Courier New"/>
        </w:rPr>
        <w:t xml:space="preserve"> had realized that there were about 500,000 different sequences.  It did not have the capacity, as a country, to maintain control over its database, to ensure safeguards for it.  However, it was in the public interest and strategic, so it wanted all that information to be in one national repository held by the patent office.  Discussions in an international forum had led to a number of themes.  For example, </w:t>
      </w:r>
      <w:r w:rsidR="00837435" w:rsidRPr="00837435">
        <w:rPr>
          <w:rFonts w:cs="Courier New"/>
        </w:rPr>
        <w:t>for</w:t>
      </w:r>
      <w:r w:rsidRPr="00837435">
        <w:rPr>
          <w:rFonts w:cs="Courier New"/>
        </w:rPr>
        <w:t xml:space="preserve"> the megadiverse countries of the world and those rich in GRs, it wondered how feasible it might be to build databases, which in the long term </w:t>
      </w:r>
      <w:proofErr w:type="gramStart"/>
      <w:r w:rsidRPr="00837435">
        <w:rPr>
          <w:rFonts w:cs="Courier New"/>
        </w:rPr>
        <w:t>could be connected</w:t>
      </w:r>
      <w:proofErr w:type="gramEnd"/>
      <w:r w:rsidRPr="00837435">
        <w:rPr>
          <w:rFonts w:cs="Courier New"/>
        </w:rPr>
        <w:t xml:space="preserve"> with a center like WIPO that could check the origin of GRs deposited in foreign databases.  It hoped that later on, one could go into details on databases.  Article 6 should stay very general.  The use of databases should be a complementary measure, in line with national rules and regulations.  At </w:t>
      </w:r>
      <w:r w:rsidR="00837435" w:rsidRPr="00837435">
        <w:rPr>
          <w:rFonts w:cs="Courier New"/>
        </w:rPr>
        <w:t>a</w:t>
      </w:r>
      <w:r w:rsidRPr="00837435">
        <w:rPr>
          <w:rFonts w:cs="Courier New"/>
        </w:rPr>
        <w:t xml:space="preserve"> later </w:t>
      </w:r>
      <w:r w:rsidR="00837435" w:rsidRPr="00837435">
        <w:rPr>
          <w:rFonts w:cs="Courier New"/>
        </w:rPr>
        <w:t>stage, biotechnology, genetics</w:t>
      </w:r>
      <w:r w:rsidRPr="00837435">
        <w:rPr>
          <w:rFonts w:cs="Courier New"/>
        </w:rPr>
        <w:t xml:space="preserve"> and </w:t>
      </w:r>
      <w:r w:rsidR="00837435" w:rsidRPr="00837435">
        <w:rPr>
          <w:rFonts w:cs="Courier New"/>
        </w:rPr>
        <w:t>new information technologies</w:t>
      </w:r>
      <w:r w:rsidRPr="00837435">
        <w:rPr>
          <w:rFonts w:cs="Courier New"/>
        </w:rPr>
        <w:t xml:space="preserve"> might be the subject of another specific treaty.  The IGC should not discuss databases in too much detail but keep it to generalities.  </w:t>
      </w:r>
    </w:p>
    <w:p w:rsidR="00E41A83" w:rsidRPr="00E41A83" w:rsidRDefault="00E41A83" w:rsidP="00E41A83">
      <w:pPr>
        <w:pStyle w:val="ListParagraph"/>
        <w:ind w:left="0"/>
      </w:pPr>
    </w:p>
    <w:p w:rsidR="00E41A83" w:rsidRPr="00E41A83" w:rsidRDefault="00E41A83" w:rsidP="00E41A83">
      <w:pPr>
        <w:pStyle w:val="ListParagraph"/>
        <w:numPr>
          <w:ilvl w:val="0"/>
          <w:numId w:val="4"/>
        </w:numPr>
        <w:ind w:left="0" w:firstLine="0"/>
      </w:pPr>
      <w:r w:rsidRPr="00E41A83">
        <w:rPr>
          <w:rFonts w:cs="Courier New"/>
        </w:rPr>
        <w:t xml:space="preserve">The Delegation of Egypt said it had listened very carefully to the concerns expressed by a number of representatives of indigenous peoples on the subject of including information in databases. </w:t>
      </w:r>
      <w:r>
        <w:rPr>
          <w:rFonts w:cs="Courier New"/>
        </w:rPr>
        <w:t xml:space="preserve"> </w:t>
      </w:r>
      <w:r w:rsidRPr="00E41A83">
        <w:rPr>
          <w:rFonts w:cs="Courier New"/>
        </w:rPr>
        <w:t>Those were legitimate fears, because the text did not reflect the legal nature of the inclusion of the</w:t>
      </w:r>
      <w:r>
        <w:rPr>
          <w:rFonts w:cs="Courier New"/>
        </w:rPr>
        <w:t xml:space="preserve"> information</w:t>
      </w:r>
      <w:r w:rsidRPr="00E41A83">
        <w:rPr>
          <w:rFonts w:cs="Courier New"/>
        </w:rPr>
        <w:t xml:space="preserve">.  It wondered if that would provide protection. </w:t>
      </w:r>
      <w:r>
        <w:rPr>
          <w:rFonts w:cs="Courier New"/>
        </w:rPr>
        <w:t xml:space="preserve"> </w:t>
      </w:r>
      <w:r w:rsidRPr="00E41A83">
        <w:rPr>
          <w:rFonts w:cs="Courier New"/>
        </w:rPr>
        <w:t xml:space="preserve">That concept </w:t>
      </w:r>
      <w:proofErr w:type="gramStart"/>
      <w:r w:rsidRPr="00E41A83">
        <w:rPr>
          <w:rFonts w:cs="Courier New"/>
        </w:rPr>
        <w:t>should be cleared up</w:t>
      </w:r>
      <w:proofErr w:type="gramEnd"/>
      <w:r w:rsidRPr="00E41A83">
        <w:rPr>
          <w:rFonts w:cs="Courier New"/>
        </w:rPr>
        <w:t xml:space="preserve"> in a way that satisfied delegations.  </w:t>
      </w:r>
    </w:p>
    <w:p w:rsidR="00E41A83" w:rsidRPr="00E41A83" w:rsidRDefault="00E41A83" w:rsidP="00E41A83">
      <w:pPr>
        <w:rPr>
          <w:rFonts w:cs="Courier New"/>
        </w:rPr>
      </w:pPr>
    </w:p>
    <w:p w:rsidR="0063548D" w:rsidRPr="0063548D" w:rsidRDefault="00837435" w:rsidP="00E41A83">
      <w:pPr>
        <w:pStyle w:val="ListParagraph"/>
        <w:numPr>
          <w:ilvl w:val="0"/>
          <w:numId w:val="4"/>
        </w:numPr>
        <w:ind w:left="0" w:firstLine="0"/>
      </w:pPr>
      <w:r>
        <w:rPr>
          <w:rFonts w:cs="Courier New"/>
        </w:rPr>
        <w:t xml:space="preserve">The Delegation of Canada stated that databases of GRs and TK associated with </w:t>
      </w:r>
      <w:r w:rsidR="00E41A83" w:rsidRPr="00E41A83">
        <w:rPr>
          <w:rFonts w:cs="Courier New"/>
        </w:rPr>
        <w:t>GRs could be a useful tool in addressing th</w:t>
      </w:r>
      <w:r w:rsidR="00E41A83">
        <w:rPr>
          <w:rFonts w:cs="Courier New"/>
        </w:rPr>
        <w:t>e erroneous granting of patents, p</w:t>
      </w:r>
      <w:r w:rsidR="00E41A83" w:rsidRPr="00E41A83">
        <w:rPr>
          <w:rFonts w:cs="Courier New"/>
        </w:rPr>
        <w:t>articularly when looking at the positive experience of some e</w:t>
      </w:r>
      <w:r>
        <w:rPr>
          <w:rFonts w:cs="Courier New"/>
        </w:rPr>
        <w:t>xisting databases such as India’</w:t>
      </w:r>
      <w:r w:rsidR="00E41A83" w:rsidRPr="00E41A83">
        <w:rPr>
          <w:rFonts w:cs="Courier New"/>
        </w:rPr>
        <w:t xml:space="preserve">s TKDL to which Canada subscribed. </w:t>
      </w:r>
      <w:r w:rsidR="00E41A83">
        <w:rPr>
          <w:rFonts w:cs="Courier New"/>
        </w:rPr>
        <w:t xml:space="preserve"> </w:t>
      </w:r>
      <w:r w:rsidR="00E41A83" w:rsidRPr="00E41A83">
        <w:rPr>
          <w:rFonts w:cs="Courier New"/>
        </w:rPr>
        <w:t xml:space="preserve">The results of the TKDL in preventing the erroneous grant of patents </w:t>
      </w:r>
      <w:r w:rsidR="00E41A83">
        <w:rPr>
          <w:rFonts w:cs="Courier New"/>
        </w:rPr>
        <w:t>showed</w:t>
      </w:r>
      <w:r>
        <w:rPr>
          <w:rFonts w:cs="Courier New"/>
        </w:rPr>
        <w:t xml:space="preserve"> that</w:t>
      </w:r>
      <w:r w:rsidR="00E41A83" w:rsidRPr="00E41A83">
        <w:rPr>
          <w:rFonts w:cs="Courier New"/>
        </w:rPr>
        <w:t xml:space="preserve"> there </w:t>
      </w:r>
      <w:r w:rsidR="00E41A83">
        <w:rPr>
          <w:rFonts w:cs="Courier New"/>
        </w:rPr>
        <w:t>was</w:t>
      </w:r>
      <w:r w:rsidR="00E41A83" w:rsidRPr="00E41A83">
        <w:rPr>
          <w:rFonts w:cs="Courier New"/>
        </w:rPr>
        <w:t xml:space="preserve"> surely some usefulness there, at least on the TK side. </w:t>
      </w:r>
      <w:r w:rsidR="00E41A83">
        <w:rPr>
          <w:rFonts w:cs="Courier New"/>
        </w:rPr>
        <w:t xml:space="preserve"> </w:t>
      </w:r>
      <w:r w:rsidR="00E41A83" w:rsidRPr="00E41A83">
        <w:rPr>
          <w:rFonts w:cs="Courier New"/>
        </w:rPr>
        <w:t>It referred to the question by the Delegation of Switzerland as to the usefulness of databases.  While it was probably impractical to catalog every possi</w:t>
      </w:r>
      <w:r>
        <w:rPr>
          <w:rFonts w:cs="Courier New"/>
        </w:rPr>
        <w:t xml:space="preserve">ble GR in the world, GRs and TK </w:t>
      </w:r>
      <w:r w:rsidR="00E41A83" w:rsidRPr="00E41A83">
        <w:rPr>
          <w:rFonts w:cs="Courier New"/>
        </w:rPr>
        <w:t>holders could, for example, if they so wished</w:t>
      </w:r>
      <w:r w:rsidR="00E41A83">
        <w:rPr>
          <w:rFonts w:cs="Courier New"/>
        </w:rPr>
        <w:t>,</w:t>
      </w:r>
      <w:r w:rsidR="00E41A83" w:rsidRPr="00E41A83">
        <w:rPr>
          <w:rFonts w:cs="Courier New"/>
        </w:rPr>
        <w:t xml:space="preserve"> </w:t>
      </w:r>
      <w:r w:rsidR="00E41A83">
        <w:rPr>
          <w:rFonts w:cs="Courier New"/>
        </w:rPr>
        <w:t xml:space="preserve">place in </w:t>
      </w:r>
      <w:r w:rsidR="00E41A83" w:rsidRPr="00E41A83">
        <w:rPr>
          <w:rFonts w:cs="Courier New"/>
        </w:rPr>
        <w:t>databases information on GRs with useful properties known by those holders</w:t>
      </w:r>
      <w:r w:rsidR="00E41A83">
        <w:rPr>
          <w:rFonts w:cs="Courier New"/>
        </w:rPr>
        <w:t>,</w:t>
      </w:r>
      <w:r>
        <w:rPr>
          <w:rFonts w:cs="Courier New"/>
        </w:rPr>
        <w:t xml:space="preserve"> as well as information on TK associated with </w:t>
      </w:r>
      <w:r w:rsidR="00E41A83" w:rsidRPr="00E41A83">
        <w:rPr>
          <w:rFonts w:cs="Courier New"/>
        </w:rPr>
        <w:t>GRs</w:t>
      </w:r>
      <w:r>
        <w:rPr>
          <w:rFonts w:cs="Courier New"/>
        </w:rPr>
        <w:t xml:space="preserve"> pertaining to those properties. </w:t>
      </w:r>
      <w:r w:rsidR="00E41A83" w:rsidRPr="00E41A83">
        <w:rPr>
          <w:rFonts w:cs="Courier New"/>
        </w:rPr>
        <w:t xml:space="preserve"> </w:t>
      </w:r>
      <w:r>
        <w:rPr>
          <w:rFonts w:cs="Courier New"/>
        </w:rPr>
        <w:t>P</w:t>
      </w:r>
      <w:r w:rsidR="00E41A83" w:rsidRPr="00E41A83">
        <w:rPr>
          <w:rFonts w:cs="Courier New"/>
        </w:rPr>
        <w:t xml:space="preserve">atent offices could </w:t>
      </w:r>
      <w:r>
        <w:rPr>
          <w:rFonts w:cs="Courier New"/>
        </w:rPr>
        <w:t xml:space="preserve">then </w:t>
      </w:r>
      <w:r w:rsidR="00E41A83" w:rsidRPr="00E41A83">
        <w:rPr>
          <w:rFonts w:cs="Courier New"/>
        </w:rPr>
        <w:t>have access to</w:t>
      </w:r>
      <w:r w:rsidR="0063548D">
        <w:rPr>
          <w:rFonts w:cs="Courier New"/>
        </w:rPr>
        <w:t xml:space="preserve"> that information and identify</w:t>
      </w:r>
      <w:r w:rsidR="00E41A83" w:rsidRPr="00E41A83">
        <w:rPr>
          <w:rFonts w:cs="Courier New"/>
        </w:rPr>
        <w:t xml:space="preserve"> those properties as prior art and therefore potentially refuse to grant a patent on an invention that was not novel or inventive with regard to that GR. </w:t>
      </w:r>
      <w:r w:rsidR="0063548D">
        <w:rPr>
          <w:rFonts w:cs="Courier New"/>
        </w:rPr>
        <w:t xml:space="preserve"> </w:t>
      </w:r>
    </w:p>
    <w:p w:rsidR="00E02AF6" w:rsidRPr="00CE0690" w:rsidRDefault="00E02AF6" w:rsidP="00E02AF6">
      <w:pPr>
        <w:pStyle w:val="NormalWeb"/>
        <w:spacing w:before="2" w:after="2"/>
        <w:rPr>
          <w:rFonts w:ascii="Arial" w:hAnsi="Arial" w:cs="Arial"/>
          <w:sz w:val="22"/>
          <w:szCs w:val="22"/>
          <w:lang w:val="en-US"/>
        </w:rPr>
      </w:pPr>
    </w:p>
    <w:p w:rsidR="00706F56" w:rsidRDefault="00E02AF6" w:rsidP="00E02AF6">
      <w:pPr>
        <w:pStyle w:val="ListParagraph"/>
        <w:numPr>
          <w:ilvl w:val="0"/>
          <w:numId w:val="4"/>
        </w:numPr>
        <w:ind w:left="0" w:firstLine="0"/>
      </w:pPr>
      <w:r w:rsidRPr="00F35478">
        <w:t xml:space="preserve"> </w:t>
      </w:r>
      <w:r>
        <w:rPr>
          <w:szCs w:val="22"/>
        </w:rPr>
        <w:t xml:space="preserve">[Note from the Secretariat:  This part of the session took place after the distribution of Rev. 1 dated March 21, 2018 prepared by the facilitator and the Friend of the Chair.]  The Chair explained that he would invite the facilitator and the Friend of the Chair to introduce Rev. 1.  </w:t>
      </w:r>
      <w:r w:rsidR="00F5116A">
        <w:t>H</w:t>
      </w:r>
      <w:r w:rsidR="00B61B7B">
        <w:t xml:space="preserve">e would allow </w:t>
      </w:r>
      <w:r w:rsidR="00F5116A">
        <w:t>participant</w:t>
      </w:r>
      <w:r w:rsidR="00B61B7B">
        <w:t xml:space="preserve">s to ask questions </w:t>
      </w:r>
      <w:r w:rsidR="00B61B7B" w:rsidRPr="00F35478">
        <w:t>relating t</w:t>
      </w:r>
      <w:r w:rsidR="00B61B7B">
        <w:t>o a clarification,</w:t>
      </w:r>
      <w:r w:rsidR="00B61B7B" w:rsidRPr="00F35478">
        <w:t xml:space="preserve"> omission or misunderstanding</w:t>
      </w:r>
      <w:r w:rsidR="00B61B7B">
        <w:t xml:space="preserve">.  Members would then have time to review the </w:t>
      </w:r>
      <w:r w:rsidR="00F5116A">
        <w:t xml:space="preserve">text and provide </w:t>
      </w:r>
      <w:r w:rsidR="001B2932">
        <w:t>comments</w:t>
      </w:r>
      <w:r w:rsidR="00823234">
        <w:t xml:space="preserve">. </w:t>
      </w:r>
      <w:r w:rsidR="001B2932">
        <w:t xml:space="preserve"> </w:t>
      </w:r>
      <w:r w:rsidR="00823234">
        <w:t>He noted that</w:t>
      </w:r>
      <w:r w:rsidR="00B61B7B" w:rsidRPr="00F35478">
        <w:t xml:space="preserve"> </w:t>
      </w:r>
      <w:r w:rsidR="00B61B7B">
        <w:t>Rev</w:t>
      </w:r>
      <w:r w:rsidR="00823234">
        <w:t>.</w:t>
      </w:r>
      <w:r w:rsidR="00B61B7B">
        <w:t xml:space="preserve"> 1 was simply</w:t>
      </w:r>
      <w:r w:rsidR="00B61B7B" w:rsidRPr="00F35478">
        <w:t xml:space="preserve"> a document to help progress </w:t>
      </w:r>
      <w:r w:rsidR="00B61B7B">
        <w:t>on the</w:t>
      </w:r>
      <w:r w:rsidR="00B61B7B" w:rsidRPr="00F35478">
        <w:t xml:space="preserve"> work and it </w:t>
      </w:r>
      <w:r w:rsidR="00B61B7B">
        <w:t>would</w:t>
      </w:r>
      <w:r w:rsidR="00B61B7B" w:rsidRPr="00F35478">
        <w:t xml:space="preserve"> be </w:t>
      </w:r>
      <w:r w:rsidR="00B61B7B">
        <w:t xml:space="preserve">further </w:t>
      </w:r>
      <w:r w:rsidR="00B61B7B" w:rsidRPr="00F35478">
        <w:t>revised based on</w:t>
      </w:r>
      <w:r w:rsidR="00823234">
        <w:t xml:space="preserve"> M</w:t>
      </w:r>
      <w:r w:rsidR="00B61B7B">
        <w:t>ember</w:t>
      </w:r>
      <w:r w:rsidR="00823234">
        <w:t xml:space="preserve"> State</w:t>
      </w:r>
      <w:r w:rsidR="00B61B7B">
        <w:t>s’</w:t>
      </w:r>
      <w:r w:rsidR="00B61B7B" w:rsidRPr="00F35478">
        <w:t xml:space="preserve"> feedback.  </w:t>
      </w:r>
      <w:r w:rsidR="00823234">
        <w:t>The facilitator and the Friend of the Chair</w:t>
      </w:r>
      <w:r w:rsidR="00B61B7B">
        <w:t xml:space="preserve"> had </w:t>
      </w:r>
      <w:r w:rsidR="00B61B7B" w:rsidRPr="00F35478">
        <w:t>a remit to attempt to bridge gaps, give greater clarity to positions and remove duplica</w:t>
      </w:r>
      <w:r w:rsidR="00A07CEF">
        <w:t>tions.  I</w:t>
      </w:r>
      <w:r w:rsidR="00B61B7B" w:rsidRPr="00F35478">
        <w:t xml:space="preserve">n some instances, they </w:t>
      </w:r>
      <w:r w:rsidR="00B61B7B">
        <w:t>might</w:t>
      </w:r>
      <w:r w:rsidR="00823234">
        <w:t xml:space="preserve"> have revised textual proposals</w:t>
      </w:r>
      <w:r w:rsidR="00B61B7B" w:rsidRPr="00F35478">
        <w:t xml:space="preserve"> for clarity or in an attempt to merge similar concepts.  Members </w:t>
      </w:r>
      <w:r w:rsidR="00B61B7B">
        <w:t>could accept tho</w:t>
      </w:r>
      <w:r w:rsidR="00B61B7B" w:rsidRPr="00F35478">
        <w:t xml:space="preserve">se or ask for their original text to </w:t>
      </w:r>
      <w:proofErr w:type="gramStart"/>
      <w:r w:rsidR="00B61B7B" w:rsidRPr="00F35478">
        <w:t>be reinstated</w:t>
      </w:r>
      <w:proofErr w:type="gramEnd"/>
      <w:r w:rsidR="00B61B7B">
        <w:t xml:space="preserve">.  Some new ideas </w:t>
      </w:r>
      <w:proofErr w:type="gramStart"/>
      <w:r w:rsidR="00B61B7B">
        <w:t>had been introduced</w:t>
      </w:r>
      <w:proofErr w:type="gramEnd"/>
      <w:r w:rsidR="00B61B7B">
        <w:t xml:space="preserve"> and any change</w:t>
      </w:r>
      <w:r w:rsidR="00B61B7B" w:rsidRPr="00F35478">
        <w:t xml:space="preserve"> would have to be supported by a Member State.  </w:t>
      </w:r>
      <w:r w:rsidR="00B61B7B">
        <w:t>Any omission, error</w:t>
      </w:r>
      <w:r w:rsidR="00B61B7B" w:rsidRPr="00F35478">
        <w:t xml:space="preserve"> or misunderstand</w:t>
      </w:r>
      <w:r w:rsidR="00B61B7B">
        <w:t>ing was</w:t>
      </w:r>
      <w:r w:rsidR="00B61B7B" w:rsidRPr="00F35478">
        <w:t xml:space="preserve"> not intentional.  </w:t>
      </w:r>
    </w:p>
    <w:p w:rsidR="00706F56" w:rsidRDefault="00706F56" w:rsidP="00706F56">
      <w:pPr>
        <w:pStyle w:val="ListParagraph"/>
        <w:ind w:left="0"/>
      </w:pPr>
    </w:p>
    <w:p w:rsidR="002B1D28" w:rsidRDefault="00823234" w:rsidP="00B61B7B">
      <w:pPr>
        <w:pStyle w:val="ListParagraph"/>
        <w:numPr>
          <w:ilvl w:val="0"/>
          <w:numId w:val="4"/>
        </w:numPr>
        <w:ind w:left="0" w:firstLine="0"/>
      </w:pPr>
      <w:r>
        <w:t>Mr.</w:t>
      </w:r>
      <w:r w:rsidR="00B61B7B" w:rsidRPr="00F35478">
        <w:t xml:space="preserve"> Kuruk</w:t>
      </w:r>
      <w:r>
        <w:t>, speaking as the facilitator,</w:t>
      </w:r>
      <w:r w:rsidR="00B61B7B" w:rsidRPr="00F35478">
        <w:t xml:space="preserve"> presented </w:t>
      </w:r>
      <w:r w:rsidR="00B61B7B">
        <w:t>Rev</w:t>
      </w:r>
      <w:r>
        <w:t>.</w:t>
      </w:r>
      <w:r w:rsidR="00B61B7B">
        <w:t xml:space="preserve"> 1</w:t>
      </w:r>
      <w:r>
        <w:t>, which included 12 articles</w:t>
      </w:r>
      <w:r w:rsidR="00B61B7B" w:rsidRPr="00F35478">
        <w:t>.</w:t>
      </w:r>
      <w:r w:rsidR="00B850B1">
        <w:t xml:space="preserve"> </w:t>
      </w:r>
      <w:r w:rsidR="00B61B7B" w:rsidRPr="00F35478">
        <w:t xml:space="preserve"> Article 12</w:t>
      </w:r>
      <w:r w:rsidR="00B61B7B">
        <w:t xml:space="preserve"> </w:t>
      </w:r>
      <w:proofErr w:type="gramStart"/>
      <w:r w:rsidR="00B61B7B">
        <w:t>had been added</w:t>
      </w:r>
      <w:proofErr w:type="gramEnd"/>
      <w:r w:rsidR="00B61B7B" w:rsidRPr="00F35478">
        <w:t xml:space="preserve"> to take into account a provision proposed by </w:t>
      </w:r>
      <w:r>
        <w:t>one Member State</w:t>
      </w:r>
      <w:r w:rsidR="00B61B7B" w:rsidRPr="00F35478">
        <w:t xml:space="preserve">. </w:t>
      </w:r>
      <w:r w:rsidR="00B850B1">
        <w:t xml:space="preserve"> </w:t>
      </w:r>
      <w:r w:rsidR="00B61B7B" w:rsidRPr="00F35478">
        <w:t xml:space="preserve">The reference to derivatives </w:t>
      </w:r>
      <w:proofErr w:type="gramStart"/>
      <w:r w:rsidR="00B61B7B">
        <w:t>was</w:t>
      </w:r>
      <w:r w:rsidR="00B61B7B" w:rsidRPr="00F35478">
        <w:t xml:space="preserve"> found</w:t>
      </w:r>
      <w:proofErr w:type="gramEnd"/>
      <w:r w:rsidR="00B61B7B" w:rsidRPr="00F35478">
        <w:t xml:space="preserve"> throughout the entire text, in brackets. </w:t>
      </w:r>
      <w:r w:rsidR="00B850B1">
        <w:t xml:space="preserve"> </w:t>
      </w:r>
      <w:r>
        <w:t>He and the Friend of the Chair</w:t>
      </w:r>
      <w:r w:rsidR="00B61B7B">
        <w:t xml:space="preserve"> had not taken </w:t>
      </w:r>
      <w:r w:rsidR="00B61B7B" w:rsidRPr="00F35478">
        <w:t>an</w:t>
      </w:r>
      <w:r w:rsidR="00B61B7B">
        <w:t>y position with regard</w:t>
      </w:r>
      <w:r w:rsidR="00B61B7B" w:rsidRPr="00F35478">
        <w:t xml:space="preserve"> to whether or not </w:t>
      </w:r>
      <w:r w:rsidR="00B61B7B">
        <w:t>GRs</w:t>
      </w:r>
      <w:r w:rsidR="00B61B7B" w:rsidRPr="00F35478">
        <w:t xml:space="preserve"> should include </w:t>
      </w:r>
      <w:r w:rsidR="00B61B7B">
        <w:t>derivatives</w:t>
      </w:r>
      <w:r w:rsidR="00B61B7B" w:rsidRPr="00F35478">
        <w:t xml:space="preserve"> but just for </w:t>
      </w:r>
      <w:r w:rsidR="00A7497F">
        <w:t xml:space="preserve">the </w:t>
      </w:r>
      <w:r w:rsidR="00B61B7B" w:rsidRPr="00F35478">
        <w:t xml:space="preserve">purposes of simplifying and clarifying the text, all references regarding </w:t>
      </w:r>
      <w:r w:rsidR="00B61B7B">
        <w:t>derivatives</w:t>
      </w:r>
      <w:r w:rsidR="00B61B7B" w:rsidRPr="00F35478">
        <w:t xml:space="preserve"> </w:t>
      </w:r>
      <w:proofErr w:type="gramStart"/>
      <w:r w:rsidR="00B61B7B">
        <w:t>had been shifted</w:t>
      </w:r>
      <w:proofErr w:type="gramEnd"/>
      <w:r w:rsidR="00B61B7B">
        <w:t xml:space="preserve"> </w:t>
      </w:r>
      <w:r>
        <w:t>to the definition</w:t>
      </w:r>
      <w:r w:rsidR="00B61B7B" w:rsidRPr="00F35478">
        <w:t xml:space="preserve"> section </w:t>
      </w:r>
      <w:r w:rsidR="00BC6CDC">
        <w:t>under the term “</w:t>
      </w:r>
      <w:r w:rsidR="00B61B7B">
        <w:t>genetic material</w:t>
      </w:r>
      <w:r w:rsidR="00BC6CDC">
        <w:t>”</w:t>
      </w:r>
      <w:r w:rsidR="00B61B7B">
        <w:t xml:space="preserve"> which included “derivatives </w:t>
      </w:r>
      <w:r w:rsidR="00BC6CDC">
        <w:t>thereof</w:t>
      </w:r>
      <w:r w:rsidR="00B61B7B">
        <w:t>”</w:t>
      </w:r>
      <w:r w:rsidR="00BC6CDC">
        <w:t>.</w:t>
      </w:r>
      <w:r w:rsidR="00B61B7B" w:rsidRPr="00F35478">
        <w:t xml:space="preserve"> </w:t>
      </w:r>
      <w:r w:rsidR="00B61B7B">
        <w:t xml:space="preserve"> </w:t>
      </w:r>
      <w:r w:rsidR="002B1D28">
        <w:t>As</w:t>
      </w:r>
      <w:r w:rsidR="00A7497F">
        <w:t xml:space="preserve"> to the</w:t>
      </w:r>
      <w:r w:rsidR="00BC6CDC">
        <w:t xml:space="preserve"> p</w:t>
      </w:r>
      <w:r w:rsidR="00B61B7B" w:rsidRPr="00F35478">
        <w:t>reamble, for purposes of clarifying and simplifying the text, a revised preamble</w:t>
      </w:r>
      <w:r w:rsidR="00BC6CDC">
        <w:t xml:space="preserve"> </w:t>
      </w:r>
      <w:proofErr w:type="gramStart"/>
      <w:r w:rsidR="00BC6CDC">
        <w:t>had been proposed</w:t>
      </w:r>
      <w:proofErr w:type="gramEnd"/>
      <w:r w:rsidR="00B61B7B" w:rsidRPr="00F35478">
        <w:t xml:space="preserve"> as an alternat</w:t>
      </w:r>
      <w:r w:rsidR="00B61B7B">
        <w:t>ive for consideration and review</w:t>
      </w:r>
      <w:r w:rsidR="00B61B7B" w:rsidRPr="00F35478">
        <w:t xml:space="preserve">. </w:t>
      </w:r>
      <w:r w:rsidR="00A7497F">
        <w:t xml:space="preserve"> </w:t>
      </w:r>
      <w:r w:rsidR="00C257C2">
        <w:t xml:space="preserve">He believed that the revised preamble was a very simple and </w:t>
      </w:r>
      <w:r w:rsidR="00C257C2" w:rsidRPr="00F35478">
        <w:t>succin</w:t>
      </w:r>
      <w:r w:rsidR="00C257C2">
        <w:t>ct text that had</w:t>
      </w:r>
      <w:r w:rsidR="00C257C2" w:rsidRPr="00F35478">
        <w:t xml:space="preserve"> a much better logical arrangement than </w:t>
      </w:r>
      <w:r w:rsidR="00C257C2">
        <w:t>the</w:t>
      </w:r>
      <w:r w:rsidR="00C257C2" w:rsidRPr="00F35478">
        <w:t xml:space="preserve"> original preamble. </w:t>
      </w:r>
      <w:r w:rsidR="00C257C2">
        <w:t xml:space="preserve"> </w:t>
      </w:r>
      <w:r w:rsidR="00BC6CDC">
        <w:t>T</w:t>
      </w:r>
      <w:r w:rsidR="00A7497F">
        <w:t xml:space="preserve">he </w:t>
      </w:r>
      <w:r w:rsidR="00B61B7B" w:rsidRPr="00F35478">
        <w:t xml:space="preserve">preamble </w:t>
      </w:r>
      <w:r w:rsidR="00B61B7B">
        <w:t>was</w:t>
      </w:r>
      <w:r w:rsidR="00C257C2">
        <w:t xml:space="preserve"> now</w:t>
      </w:r>
      <w:r w:rsidR="00B61B7B" w:rsidRPr="00F35478">
        <w:t xml:space="preserve"> in two </w:t>
      </w:r>
      <w:r w:rsidR="00B61B7B" w:rsidRPr="00F35478">
        <w:lastRenderedPageBreak/>
        <w:t>parts</w:t>
      </w:r>
      <w:r w:rsidR="00B61B7B">
        <w:t>:</w:t>
      </w:r>
      <w:r w:rsidR="00B61B7B" w:rsidRPr="00F35478">
        <w:t xml:space="preserve"> </w:t>
      </w:r>
      <w:r w:rsidR="00BC6CDC">
        <w:t xml:space="preserve"> </w:t>
      </w:r>
      <w:r w:rsidR="00B61B7B" w:rsidRPr="00F35478">
        <w:t>original preamble and alternative preamble.</w:t>
      </w:r>
      <w:r w:rsidR="00A7497F">
        <w:t xml:space="preserve"> </w:t>
      </w:r>
      <w:r w:rsidR="00B61B7B" w:rsidRPr="00F35478">
        <w:t xml:space="preserve"> In Article 1 on objectives, </w:t>
      </w:r>
      <w:r w:rsidR="00B61B7B">
        <w:t>they</w:t>
      </w:r>
      <w:r w:rsidR="00B61B7B" w:rsidRPr="00F35478">
        <w:t xml:space="preserve"> had proposed a text for consideration </w:t>
      </w:r>
      <w:r w:rsidR="002B1D28">
        <w:t>to achieve</w:t>
      </w:r>
      <w:r w:rsidR="00B61B7B" w:rsidRPr="00F35478">
        <w:t xml:space="preserve"> broad consensus</w:t>
      </w:r>
      <w:r w:rsidR="00B61B7B">
        <w:t xml:space="preserve">. </w:t>
      </w:r>
      <w:r w:rsidR="002B1D28">
        <w:t xml:space="preserve"> </w:t>
      </w:r>
      <w:r w:rsidR="00B61B7B">
        <w:t>C</w:t>
      </w:r>
      <w:r w:rsidR="00B61B7B" w:rsidRPr="00F35478">
        <w:t>ertain Member States had proposed some changes in the lan</w:t>
      </w:r>
      <w:r w:rsidR="00B61B7B">
        <w:t xml:space="preserve">guage as originally presented. </w:t>
      </w:r>
      <w:r w:rsidR="00B61B7B" w:rsidRPr="00F35478">
        <w:t xml:space="preserve"> There were no changes in Article 2, because no Member State had requested a change.  </w:t>
      </w:r>
      <w:r w:rsidR="00C257C2">
        <w:t>Regarding</w:t>
      </w:r>
      <w:r w:rsidR="00B61B7B">
        <w:t xml:space="preserve"> </w:t>
      </w:r>
      <w:r w:rsidR="00B61B7B" w:rsidRPr="00F35478">
        <w:t xml:space="preserve">Article 3, </w:t>
      </w:r>
      <w:r w:rsidR="00C257C2">
        <w:t>i</w:t>
      </w:r>
      <w:r w:rsidR="00B61B7B">
        <w:t>n paragraph 3.1</w:t>
      </w:r>
      <w:r w:rsidR="002B1D28">
        <w:t>,</w:t>
      </w:r>
      <w:r w:rsidR="00B61B7B">
        <w:t xml:space="preserve"> they had </w:t>
      </w:r>
      <w:r w:rsidR="00B61B7B" w:rsidRPr="00F35478">
        <w:t xml:space="preserve">tried to simplify the provision by deleting the third of three previous options. </w:t>
      </w:r>
      <w:r w:rsidR="002B1D28">
        <w:t xml:space="preserve"> </w:t>
      </w:r>
      <w:r w:rsidR="00B61B7B">
        <w:t>There were</w:t>
      </w:r>
      <w:r w:rsidR="002B1D28">
        <w:t xml:space="preserve"> then</w:t>
      </w:r>
      <w:r w:rsidR="00B61B7B">
        <w:t xml:space="preserve"> </w:t>
      </w:r>
      <w:r w:rsidR="00B61B7B" w:rsidRPr="00F35478">
        <w:t xml:space="preserve">two provisions.  </w:t>
      </w:r>
      <w:r w:rsidR="00B61B7B">
        <w:t>They had</w:t>
      </w:r>
      <w:r w:rsidR="00B61B7B" w:rsidRPr="00F35478">
        <w:t xml:space="preserve"> deleted </w:t>
      </w:r>
      <w:r w:rsidR="00B61B7B">
        <w:t>“is directly based o</w:t>
      </w:r>
      <w:r w:rsidR="00B61B7B" w:rsidRPr="00F35478">
        <w:t>n the u</w:t>
      </w:r>
      <w:r w:rsidR="00C257C2">
        <w:t>tilization of genetic resources</w:t>
      </w:r>
      <w:r w:rsidR="00B61B7B">
        <w:t>”</w:t>
      </w:r>
      <w:r w:rsidR="00C257C2">
        <w:t>,</w:t>
      </w:r>
      <w:r w:rsidR="00B61B7B" w:rsidRPr="00F35478">
        <w:t xml:space="preserve"> </w:t>
      </w:r>
      <w:r w:rsidR="002B1D28">
        <w:t>t</w:t>
      </w:r>
      <w:r w:rsidR="00B61B7B" w:rsidRPr="00F35478">
        <w:t xml:space="preserve">he rationale being that </w:t>
      </w:r>
      <w:r w:rsidR="00B61B7B">
        <w:t>the</w:t>
      </w:r>
      <w:r w:rsidR="00B61B7B" w:rsidRPr="00F35478">
        <w:t xml:space="preserve"> preceding two options</w:t>
      </w:r>
      <w:r w:rsidR="00B61B7B">
        <w:t xml:space="preserve"> were</w:t>
      </w:r>
      <w:r w:rsidR="00B61B7B" w:rsidRPr="00F35478">
        <w:t xml:space="preserve"> dealing with pre</w:t>
      </w:r>
      <w:r w:rsidR="00B61B7B">
        <w:t xml:space="preserve">cisely the same subject matter, so it was </w:t>
      </w:r>
      <w:r w:rsidR="00B61B7B" w:rsidRPr="00F35478">
        <w:t xml:space="preserve">redundant to have that </w:t>
      </w:r>
      <w:r w:rsidR="002B1D28">
        <w:t xml:space="preserve">third </w:t>
      </w:r>
      <w:r w:rsidR="00B61B7B" w:rsidRPr="00F35478">
        <w:t>option.  They had deleted the option</w:t>
      </w:r>
      <w:r w:rsidR="002B1D28">
        <w:t>,</w:t>
      </w:r>
      <w:r w:rsidR="00B61B7B" w:rsidRPr="00F35478">
        <w:t xml:space="preserve"> but the issues raised </w:t>
      </w:r>
      <w:r w:rsidR="002B1D28">
        <w:t>therein</w:t>
      </w:r>
      <w:r w:rsidR="00B61B7B" w:rsidRPr="00F35478">
        <w:t xml:space="preserve"> </w:t>
      </w:r>
      <w:proofErr w:type="gramStart"/>
      <w:r w:rsidR="00B61B7B">
        <w:t>were</w:t>
      </w:r>
      <w:r w:rsidR="00B61B7B" w:rsidRPr="00F35478">
        <w:t xml:space="preserve"> retained</w:t>
      </w:r>
      <w:proofErr w:type="gramEnd"/>
      <w:r w:rsidR="00B61B7B" w:rsidRPr="00F35478">
        <w:t xml:space="preserve"> in the reference</w:t>
      </w:r>
      <w:r w:rsidR="00B61B7B">
        <w:t>s to “utilization of”</w:t>
      </w:r>
      <w:r w:rsidR="00B61B7B" w:rsidRPr="00F35478">
        <w:t xml:space="preserve"> or </w:t>
      </w:r>
      <w:r w:rsidR="00B61B7B">
        <w:t>“</w:t>
      </w:r>
      <w:r w:rsidR="00C257C2">
        <w:t>is directly based on</w:t>
      </w:r>
      <w:r w:rsidR="00B61B7B">
        <w:t>”</w:t>
      </w:r>
      <w:r w:rsidR="00C257C2">
        <w:t>.</w:t>
      </w:r>
      <w:r w:rsidR="00B61B7B" w:rsidRPr="00F35478">
        <w:t xml:space="preserve"> </w:t>
      </w:r>
      <w:r w:rsidR="002B1D28">
        <w:t xml:space="preserve"> </w:t>
      </w:r>
      <w:r w:rsidR="00C257C2">
        <w:t>A</w:t>
      </w:r>
      <w:r w:rsidR="00B61B7B" w:rsidRPr="00F35478">
        <w:t xml:space="preserve">s part of Article 3, </w:t>
      </w:r>
      <w:r w:rsidR="00B61B7B">
        <w:t>they had</w:t>
      </w:r>
      <w:r w:rsidR="00B61B7B" w:rsidRPr="00F35478">
        <w:t xml:space="preserve"> retained the</w:t>
      </w:r>
      <w:r w:rsidR="00B61B7B">
        <w:t xml:space="preserve"> section on sub</w:t>
      </w:r>
      <w:r w:rsidR="00B61B7B" w:rsidRPr="00F35478">
        <w:t xml:space="preserve">paragraph </w:t>
      </w:r>
      <w:r w:rsidR="00B61B7B">
        <w:t xml:space="preserve">(a) </w:t>
      </w:r>
      <w:r w:rsidR="00B61B7B" w:rsidRPr="00F35478">
        <w:t xml:space="preserve">but moved the previous subsection </w:t>
      </w:r>
      <w:r w:rsidR="00B61B7B">
        <w:t>(</w:t>
      </w:r>
      <w:r w:rsidR="00B61B7B" w:rsidRPr="00F35478">
        <w:t>b</w:t>
      </w:r>
      <w:r w:rsidR="00B61B7B">
        <w:t>)</w:t>
      </w:r>
      <w:r w:rsidR="00B61B7B" w:rsidRPr="00F35478">
        <w:t xml:space="preserve"> to a new place, current Article 3.2.  </w:t>
      </w:r>
      <w:r w:rsidR="00B61B7B">
        <w:t>T</w:t>
      </w:r>
      <w:r w:rsidR="00B61B7B" w:rsidRPr="00F35478">
        <w:t>he current and existing text</w:t>
      </w:r>
      <w:r w:rsidR="00B61B7B">
        <w:t>s</w:t>
      </w:r>
      <w:r w:rsidR="00B61B7B" w:rsidRPr="00F35478">
        <w:t xml:space="preserve"> should be </w:t>
      </w:r>
      <w:r w:rsidR="00B61B7B">
        <w:t>paragraph 3.1 (a)</w:t>
      </w:r>
      <w:r w:rsidR="00B61B7B" w:rsidRPr="00F35478">
        <w:t xml:space="preserve"> about the need to disclose the country of origin and </w:t>
      </w:r>
      <w:r w:rsidR="00B61B7B">
        <w:t>(</w:t>
      </w:r>
      <w:r w:rsidR="00B61B7B" w:rsidRPr="00F35478">
        <w:t>b</w:t>
      </w:r>
      <w:r w:rsidR="00B61B7B">
        <w:t>)</w:t>
      </w:r>
      <w:r w:rsidR="00B61B7B" w:rsidRPr="00F35478">
        <w:t xml:space="preserve"> </w:t>
      </w:r>
      <w:r w:rsidR="00B61B7B">
        <w:t>about</w:t>
      </w:r>
      <w:r w:rsidR="00B61B7B" w:rsidRPr="00F35478">
        <w:t xml:space="preserve"> the source or providing country or country of origin. </w:t>
      </w:r>
      <w:r w:rsidR="002B1D28">
        <w:t xml:space="preserve"> </w:t>
      </w:r>
      <w:proofErr w:type="gramStart"/>
      <w:r w:rsidR="00B61B7B">
        <w:t xml:space="preserve">Article </w:t>
      </w:r>
      <w:r w:rsidR="00B61B7B" w:rsidRPr="00F35478">
        <w:t xml:space="preserve">3.2, which </w:t>
      </w:r>
      <w:r w:rsidR="00B61B7B">
        <w:t>was</w:t>
      </w:r>
      <w:r w:rsidR="00B61B7B" w:rsidRPr="00F35478">
        <w:t xml:space="preserve"> simply a replacement of previous subparagraph </w:t>
      </w:r>
      <w:r w:rsidR="00B61B7B">
        <w:t>(</w:t>
      </w:r>
      <w:r w:rsidR="00B61B7B" w:rsidRPr="00F35478">
        <w:t>b</w:t>
      </w:r>
      <w:r w:rsidR="00B61B7B">
        <w:t>)</w:t>
      </w:r>
      <w:r w:rsidR="00B86C69">
        <w:t>.</w:t>
      </w:r>
      <w:proofErr w:type="gramEnd"/>
      <w:r w:rsidR="00B86C69">
        <w:t xml:space="preserve">  </w:t>
      </w:r>
      <w:r w:rsidR="00B61B7B">
        <w:t xml:space="preserve">Having listened </w:t>
      </w:r>
      <w:r w:rsidR="00B61B7B" w:rsidRPr="00F35478">
        <w:t>to all the intervention</w:t>
      </w:r>
      <w:r w:rsidR="00B61B7B">
        <w:t>s</w:t>
      </w:r>
      <w:r w:rsidR="00B61B7B" w:rsidRPr="00F35478">
        <w:t xml:space="preserve"> from the Member States, there was a broad consensus on including reference to origin and source as part of the disclosure requirement.  However, there was </w:t>
      </w:r>
      <w:r w:rsidR="00B61B7B">
        <w:t>no</w:t>
      </w:r>
      <w:r w:rsidR="00B61B7B" w:rsidRPr="00F35478">
        <w:t xml:space="preserve"> similar consensus developed </w:t>
      </w:r>
      <w:r w:rsidR="00B61B7B">
        <w:t>for</w:t>
      </w:r>
      <w:r w:rsidR="00B61B7B" w:rsidRPr="00F35478">
        <w:t xml:space="preserve"> ABS </w:t>
      </w:r>
      <w:r w:rsidR="00B61B7B">
        <w:t>or PIC</w:t>
      </w:r>
      <w:r w:rsidR="00B61B7B" w:rsidRPr="00F35478">
        <w:t xml:space="preserve">.  </w:t>
      </w:r>
      <w:r w:rsidR="00B61B7B">
        <w:t>B</w:t>
      </w:r>
      <w:r w:rsidR="00B61B7B" w:rsidRPr="00F35478">
        <w:t xml:space="preserve">ased on </w:t>
      </w:r>
      <w:r w:rsidR="00B61B7B">
        <w:t>their</w:t>
      </w:r>
      <w:r w:rsidR="00B61B7B" w:rsidRPr="00F35478">
        <w:t xml:space="preserve"> understanding of the interventions, </w:t>
      </w:r>
      <w:r w:rsidR="00B61B7B">
        <w:t xml:space="preserve">they </w:t>
      </w:r>
      <w:r w:rsidR="002B1D28">
        <w:t xml:space="preserve">had </w:t>
      </w:r>
      <w:r w:rsidR="00B61B7B">
        <w:t xml:space="preserve">made </w:t>
      </w:r>
      <w:r w:rsidR="00B61B7B" w:rsidRPr="00F35478">
        <w:t>the need to provide information regarding ABS subject to national legislation, including all the qualifying language in the current</w:t>
      </w:r>
      <w:r w:rsidR="00B61B7B">
        <w:t xml:space="preserve"> paragraph</w:t>
      </w:r>
      <w:r w:rsidR="00B61B7B" w:rsidRPr="00F35478">
        <w:t xml:space="preserve"> 3.2.  </w:t>
      </w:r>
      <w:r w:rsidR="00B86C69">
        <w:t>Thus,</w:t>
      </w:r>
      <w:r w:rsidR="00B61B7B" w:rsidRPr="00F35478">
        <w:t xml:space="preserve"> </w:t>
      </w:r>
      <w:r w:rsidR="00B61B7B">
        <w:t xml:space="preserve">paragraph </w:t>
      </w:r>
      <w:r w:rsidR="00B61B7B" w:rsidRPr="00F35478">
        <w:t xml:space="preserve">3.1 </w:t>
      </w:r>
      <w:r w:rsidR="00B61B7B">
        <w:t>was</w:t>
      </w:r>
      <w:r w:rsidR="002B1D28">
        <w:t xml:space="preserve"> more general and </w:t>
      </w:r>
      <w:r w:rsidR="00B61B7B" w:rsidRPr="00F35478">
        <w:t>broadly applicable</w:t>
      </w:r>
      <w:r w:rsidR="002B1D28">
        <w:t>,</w:t>
      </w:r>
      <w:r w:rsidR="00B61B7B" w:rsidRPr="00F35478">
        <w:t xml:space="preserve"> but subject to national legislation.  </w:t>
      </w:r>
      <w:r w:rsidR="00B61B7B" w:rsidRPr="004573FE">
        <w:t xml:space="preserve">In paragraph 3.4 and the paragraphs following, </w:t>
      </w:r>
      <w:r w:rsidR="004573FE" w:rsidRPr="004573FE">
        <w:t xml:space="preserve">the references to the </w:t>
      </w:r>
      <w:proofErr w:type="gramStart"/>
      <w:r w:rsidR="004573FE" w:rsidRPr="004573FE">
        <w:t xml:space="preserve">clearing </w:t>
      </w:r>
      <w:r w:rsidR="00B61B7B" w:rsidRPr="004573FE">
        <w:t>house</w:t>
      </w:r>
      <w:proofErr w:type="gramEnd"/>
      <w:r w:rsidR="00B61B7B" w:rsidRPr="004573FE">
        <w:t xml:space="preserve"> mechanism</w:t>
      </w:r>
      <w:r w:rsidR="004573FE" w:rsidRPr="004573FE">
        <w:t xml:space="preserve"> had been deleted</w:t>
      </w:r>
      <w:r w:rsidR="002B1D28" w:rsidRPr="004573FE">
        <w:t xml:space="preserve">, </w:t>
      </w:r>
      <w:r w:rsidR="004573FE" w:rsidRPr="004573FE">
        <w:t>because they were</w:t>
      </w:r>
      <w:r w:rsidR="00B61B7B" w:rsidRPr="004573FE">
        <w:t xml:space="preserve"> too specific to the r</w:t>
      </w:r>
      <w:r w:rsidR="004573FE" w:rsidRPr="004573FE">
        <w:t>elevant CBD provisions and as they</w:t>
      </w:r>
      <w:r w:rsidR="00B61B7B" w:rsidRPr="004573FE">
        <w:t xml:space="preserve"> related to the need to provide notification, that point was adequately captured in the immediately succeeding paragraph. </w:t>
      </w:r>
      <w:r w:rsidR="002B1D28" w:rsidRPr="004573FE">
        <w:t xml:space="preserve"> </w:t>
      </w:r>
      <w:r w:rsidR="00B61B7B" w:rsidRPr="004573FE">
        <w:t xml:space="preserve">Previous </w:t>
      </w:r>
      <w:r w:rsidR="00B61B7B" w:rsidRPr="007A757A">
        <w:t xml:space="preserve">paragraph 3.5 </w:t>
      </w:r>
      <w:proofErr w:type="gramStart"/>
      <w:r w:rsidR="00B61B7B" w:rsidRPr="007A757A">
        <w:t>had not been deleted</w:t>
      </w:r>
      <w:proofErr w:type="gramEnd"/>
      <w:r w:rsidR="00B61B7B" w:rsidRPr="007A757A">
        <w:t xml:space="preserve"> on a permanent basis, but had been found a more comfortable place in Article 12. </w:t>
      </w:r>
      <w:r w:rsidR="002B1D28">
        <w:t xml:space="preserve"> </w:t>
      </w:r>
      <w:r w:rsidR="00193C6F">
        <w:t>Regarding</w:t>
      </w:r>
      <w:r w:rsidR="00B61B7B" w:rsidRPr="007A757A">
        <w:t xml:space="preserve"> Article 4, </w:t>
      </w:r>
      <w:r w:rsidR="00193C6F">
        <w:t>t</w:t>
      </w:r>
      <w:r w:rsidR="00B61B7B" w:rsidRPr="00F35478">
        <w:t xml:space="preserve">here were requests made to move </w:t>
      </w:r>
      <w:r w:rsidR="002B1D28">
        <w:t>paragraphs</w:t>
      </w:r>
      <w:r w:rsidR="00B61B7B" w:rsidRPr="00F35478">
        <w:t xml:space="preserve"> 4.1 and 4.2 </w:t>
      </w:r>
      <w:r w:rsidR="00193C6F">
        <w:t>to</w:t>
      </w:r>
      <w:r w:rsidR="00B61B7B">
        <w:t xml:space="preserve"> a different part of the text,</w:t>
      </w:r>
      <w:r w:rsidR="00B61B7B" w:rsidRPr="00F35478">
        <w:t xml:space="preserve"> where </w:t>
      </w:r>
      <w:r w:rsidR="00B61B7B">
        <w:t>one did not find</w:t>
      </w:r>
      <w:r w:rsidR="00B61B7B" w:rsidRPr="00F35478">
        <w:t xml:space="preserve"> much of an int</w:t>
      </w:r>
      <w:r w:rsidR="00193C6F">
        <w:t>erest in a mandatory disclosure.  However,</w:t>
      </w:r>
      <w:r w:rsidR="00B61B7B" w:rsidRPr="00F35478">
        <w:t xml:space="preserve"> upon serious review and critical examination of the provision, </w:t>
      </w:r>
      <w:r w:rsidR="00193C6F">
        <w:t>he and the Friend of the Chair</w:t>
      </w:r>
      <w:r w:rsidR="00B61B7B">
        <w:t xml:space="preserve"> had</w:t>
      </w:r>
      <w:r w:rsidR="00B61B7B" w:rsidRPr="00F35478">
        <w:t xml:space="preserve"> determined that </w:t>
      </w:r>
      <w:r w:rsidR="00B61B7B">
        <w:t xml:space="preserve">paragraph </w:t>
      </w:r>
      <w:r w:rsidR="00B61B7B" w:rsidRPr="00F35478">
        <w:t>4.1 assume</w:t>
      </w:r>
      <w:r w:rsidR="00B61B7B">
        <w:t>d</w:t>
      </w:r>
      <w:r w:rsidR="00B61B7B" w:rsidRPr="00F35478">
        <w:t xml:space="preserve"> the application of the disclosure requirement, but </w:t>
      </w:r>
      <w:proofErr w:type="gramStart"/>
      <w:r w:rsidR="00B61B7B" w:rsidRPr="00F35478">
        <w:t>was more focused</w:t>
      </w:r>
      <w:proofErr w:type="gramEnd"/>
      <w:r w:rsidR="00B61B7B" w:rsidRPr="00F35478">
        <w:t xml:space="preserve"> on inserting limitations.  </w:t>
      </w:r>
      <w:r w:rsidR="002B1D28">
        <w:t>T</w:t>
      </w:r>
      <w:r w:rsidR="00B61B7B">
        <w:t>hey had</w:t>
      </w:r>
      <w:r w:rsidR="00B61B7B" w:rsidRPr="00F35478">
        <w:t xml:space="preserve"> </w:t>
      </w:r>
      <w:r w:rsidR="002B1D28">
        <w:t>hence d</w:t>
      </w:r>
      <w:r w:rsidR="00B61B7B" w:rsidRPr="00F35478">
        <w:t xml:space="preserve">etermined that the placement </w:t>
      </w:r>
      <w:r w:rsidR="00B61B7B">
        <w:t>was</w:t>
      </w:r>
      <w:r w:rsidR="00193C6F">
        <w:t xml:space="preserve"> proper</w:t>
      </w:r>
      <w:r w:rsidR="00B61B7B" w:rsidRPr="00F35478">
        <w:t xml:space="preserve"> and retain</w:t>
      </w:r>
      <w:r w:rsidR="00B61B7B">
        <w:t>ed paragraph 4.1 in its current place</w:t>
      </w:r>
      <w:r w:rsidR="00B61B7B" w:rsidRPr="00F35478">
        <w:t>.</w:t>
      </w:r>
    </w:p>
    <w:p w:rsidR="002B1D28" w:rsidRDefault="002B1D28" w:rsidP="002B1D28">
      <w:pPr>
        <w:pStyle w:val="ListParagraph"/>
        <w:ind w:left="0"/>
      </w:pPr>
    </w:p>
    <w:p w:rsidR="00643CEE" w:rsidRDefault="008463C9" w:rsidP="00B61B7B">
      <w:pPr>
        <w:pStyle w:val="ListParagraph"/>
        <w:numPr>
          <w:ilvl w:val="0"/>
          <w:numId w:val="4"/>
        </w:numPr>
        <w:ind w:left="0" w:firstLine="0"/>
      </w:pPr>
      <w:r>
        <w:t>Ms.</w:t>
      </w:r>
      <w:r w:rsidR="00B61B7B" w:rsidRPr="00F35478">
        <w:t xml:space="preserve"> Bagley</w:t>
      </w:r>
      <w:r>
        <w:t>, speaking as the Friend of the Chair,</w:t>
      </w:r>
      <w:r w:rsidR="00B61B7B" w:rsidRPr="00F35478">
        <w:t xml:space="preserve"> said </w:t>
      </w:r>
      <w:r w:rsidR="00B61B7B">
        <w:t>that Article 5 on sanctions and r</w:t>
      </w:r>
      <w:r w:rsidR="00B61B7B" w:rsidRPr="00F35478">
        <w:t xml:space="preserve">emedies was important for a mandatory requirement. </w:t>
      </w:r>
      <w:r w:rsidR="002B1D28">
        <w:t xml:space="preserve"> </w:t>
      </w:r>
      <w:r w:rsidR="00B61B7B" w:rsidRPr="00F35478">
        <w:t xml:space="preserve">There </w:t>
      </w:r>
      <w:r w:rsidR="00B61B7B">
        <w:t>were</w:t>
      </w:r>
      <w:r w:rsidR="00B61B7B" w:rsidRPr="00F35478">
        <w:t xml:space="preserve"> four alternatives for </w:t>
      </w:r>
      <w:r w:rsidR="00B61B7B">
        <w:t>that</w:t>
      </w:r>
      <w:r w:rsidR="00B61B7B" w:rsidRPr="00F35478">
        <w:t xml:space="preserve"> article, in which </w:t>
      </w:r>
      <w:r w:rsidR="00B61B7B">
        <w:t>they had</w:t>
      </w:r>
      <w:r w:rsidR="00B61B7B" w:rsidRPr="00F35478">
        <w:t xml:space="preserve"> tried to lay out the v</w:t>
      </w:r>
      <w:r w:rsidR="00B61B7B">
        <w:t>arious approaches to that issue</w:t>
      </w:r>
      <w:r w:rsidR="00B61B7B" w:rsidRPr="00F35478">
        <w:t>.  Alt</w:t>
      </w:r>
      <w:r w:rsidR="002B1D28">
        <w:t>ernative</w:t>
      </w:r>
      <w:r w:rsidR="00B61B7B" w:rsidRPr="00F35478">
        <w:t xml:space="preserve"> </w:t>
      </w:r>
      <w:proofErr w:type="gramStart"/>
      <w:r w:rsidR="00B61B7B" w:rsidRPr="00F35478">
        <w:t>1</w:t>
      </w:r>
      <w:proofErr w:type="gramEnd"/>
      <w:r w:rsidR="00B61B7B" w:rsidRPr="00F35478">
        <w:t xml:space="preserve"> </w:t>
      </w:r>
      <w:r w:rsidR="00B61B7B">
        <w:t>was</w:t>
      </w:r>
      <w:r w:rsidR="00B61B7B" w:rsidRPr="00F35478">
        <w:t xml:space="preserve"> a broad provision that </w:t>
      </w:r>
      <w:r w:rsidR="00B61B7B">
        <w:t>left a lot of</w:t>
      </w:r>
      <w:r w:rsidR="00B61B7B" w:rsidRPr="00F35478">
        <w:t xml:space="preserve"> question </w:t>
      </w:r>
      <w:r w:rsidR="00B61B7B">
        <w:t>about</w:t>
      </w:r>
      <w:r w:rsidR="00B61B7B" w:rsidRPr="00F35478">
        <w:t xml:space="preserve"> sa</w:t>
      </w:r>
      <w:r w:rsidR="00B61B7B">
        <w:t>nctions to national law.  As a Member S</w:t>
      </w:r>
      <w:r w:rsidR="00B61B7B" w:rsidRPr="00F35478">
        <w:t xml:space="preserve">tate </w:t>
      </w:r>
      <w:r w:rsidR="00B61B7B">
        <w:t xml:space="preserve">had </w:t>
      </w:r>
      <w:r w:rsidR="00B61B7B" w:rsidRPr="00F35478">
        <w:t xml:space="preserve">noted, countries </w:t>
      </w:r>
      <w:r w:rsidR="00B61B7B">
        <w:t>wanted</w:t>
      </w:r>
      <w:r w:rsidR="00B61B7B" w:rsidRPr="00F35478">
        <w:t xml:space="preserve"> flexibility in determining what kind of sanctions </w:t>
      </w:r>
      <w:r w:rsidR="00B61B7B">
        <w:t>might</w:t>
      </w:r>
      <w:r w:rsidR="00B61B7B" w:rsidRPr="00F35478">
        <w:t xml:space="preserve"> be effect</w:t>
      </w:r>
      <w:r w:rsidR="002B1D28">
        <w:t>ive</w:t>
      </w:r>
      <w:r w:rsidR="00B61B7B">
        <w:t xml:space="preserve"> and proportionate in light of their p</w:t>
      </w:r>
      <w:r w:rsidR="00B61B7B" w:rsidRPr="00F35478">
        <w:t xml:space="preserve">articular circumstances.  </w:t>
      </w:r>
      <w:r w:rsidR="00B61B7B">
        <w:t>That</w:t>
      </w:r>
      <w:r w:rsidR="00B61B7B" w:rsidRPr="00F35478">
        <w:t xml:space="preserve"> alternative </w:t>
      </w:r>
      <w:r w:rsidR="00B61B7B">
        <w:t>did</w:t>
      </w:r>
      <w:r w:rsidR="00B61B7B" w:rsidRPr="00F35478">
        <w:t xml:space="preserve"> not limit revocation as a possible sanction for noncompliance with the disclosure requirement. </w:t>
      </w:r>
      <w:r w:rsidR="002E6A98">
        <w:t xml:space="preserve"> </w:t>
      </w:r>
      <w:r w:rsidR="00B61B7B" w:rsidRPr="00F35478">
        <w:t xml:space="preserve">Alternative 2 </w:t>
      </w:r>
      <w:proofErr w:type="gramStart"/>
      <w:r w:rsidR="00B61B7B">
        <w:t>was</w:t>
      </w:r>
      <w:r w:rsidR="00B61B7B" w:rsidRPr="00F35478">
        <w:t xml:space="preserve"> designed</w:t>
      </w:r>
      <w:proofErr w:type="gramEnd"/>
      <w:r w:rsidR="00B61B7B" w:rsidRPr="00F35478">
        <w:t xml:space="preserve"> to reflect the option for non</w:t>
      </w:r>
      <w:r w:rsidR="004F43FC">
        <w:t>-</w:t>
      </w:r>
      <w:r w:rsidR="00B61B7B" w:rsidRPr="00F35478">
        <w:t xml:space="preserve">compliance.  Revoking a patent </w:t>
      </w:r>
      <w:r w:rsidR="00B61B7B">
        <w:t>did not</w:t>
      </w:r>
      <w:r w:rsidR="00B61B7B" w:rsidRPr="00F35478">
        <w:t xml:space="preserve"> prevent the patentee from continuing to use the </w:t>
      </w:r>
      <w:r w:rsidR="00B61B7B">
        <w:t>GRs</w:t>
      </w:r>
      <w:r w:rsidR="00B61B7B" w:rsidRPr="00F35478">
        <w:t xml:space="preserve"> </w:t>
      </w:r>
      <w:r w:rsidR="004F43FC">
        <w:t xml:space="preserve">or TK associated with </w:t>
      </w:r>
      <w:r w:rsidR="00B61B7B">
        <w:t>GRs</w:t>
      </w:r>
      <w:r w:rsidR="00B61B7B" w:rsidRPr="00F35478">
        <w:t xml:space="preserve">, </w:t>
      </w:r>
      <w:r w:rsidR="004F43FC">
        <w:t xml:space="preserve">and </w:t>
      </w:r>
      <w:r w:rsidR="00B61B7B" w:rsidRPr="00F35478">
        <w:t xml:space="preserve">more entities </w:t>
      </w:r>
      <w:r w:rsidR="00B61B7B">
        <w:t>could</w:t>
      </w:r>
      <w:r w:rsidR="00B61B7B" w:rsidRPr="00F35478">
        <w:t xml:space="preserve"> use it because a patent document would disclose how to use it and patent holder</w:t>
      </w:r>
      <w:r w:rsidR="00B61B7B">
        <w:t>s</w:t>
      </w:r>
      <w:r w:rsidR="00B61B7B" w:rsidRPr="00F35478">
        <w:t xml:space="preserve"> would not have the</w:t>
      </w:r>
      <w:r w:rsidR="004F43FC">
        <w:t xml:space="preserve"> right to exclude third parties.  Y</w:t>
      </w:r>
      <w:r w:rsidR="00B61B7B" w:rsidRPr="00F35478">
        <w:t xml:space="preserve">et none of those uses would necessarily provide any benefits to the owner of the </w:t>
      </w:r>
      <w:r w:rsidR="00B61B7B">
        <w:t>GR</w:t>
      </w:r>
      <w:r w:rsidR="002E6A98">
        <w:t>s</w:t>
      </w:r>
      <w:r w:rsidR="00B61B7B" w:rsidRPr="00F35478">
        <w:t xml:space="preserve"> or </w:t>
      </w:r>
      <w:r w:rsidR="004F43FC">
        <w:t xml:space="preserve">TK associated with </w:t>
      </w:r>
      <w:r w:rsidR="00B61B7B">
        <w:t>GRs</w:t>
      </w:r>
      <w:r w:rsidR="00B61B7B" w:rsidRPr="00F35478">
        <w:t xml:space="preserve">.  </w:t>
      </w:r>
      <w:r w:rsidR="00B61B7B">
        <w:t>That</w:t>
      </w:r>
      <w:r w:rsidR="00B61B7B" w:rsidRPr="00F35478">
        <w:t xml:space="preserve"> provision thus allow</w:t>
      </w:r>
      <w:r w:rsidR="00B61B7B">
        <w:t>ed</w:t>
      </w:r>
      <w:r w:rsidR="00B61B7B" w:rsidRPr="00F35478">
        <w:t xml:space="preserve"> countries to decide appropriate sanctions under national </w:t>
      </w:r>
      <w:proofErr w:type="gramStart"/>
      <w:r w:rsidR="00B61B7B" w:rsidRPr="00F35478">
        <w:t>law and allow</w:t>
      </w:r>
      <w:r w:rsidR="00B61B7B">
        <w:t>ed</w:t>
      </w:r>
      <w:r w:rsidR="00B61B7B" w:rsidRPr="00F35478">
        <w:t xml:space="preserve"> for revocation as a sanction only for willful or deliberate instances </w:t>
      </w:r>
      <w:r w:rsidR="00B61B7B">
        <w:t>of</w:t>
      </w:r>
      <w:r w:rsidR="00B61B7B" w:rsidRPr="00F35478">
        <w:t xml:space="preserve"> refusal to comply</w:t>
      </w:r>
      <w:proofErr w:type="gramEnd"/>
      <w:r w:rsidR="00B61B7B" w:rsidRPr="00F35478">
        <w:t xml:space="preserve"> and only after the paten</w:t>
      </w:r>
      <w:r w:rsidR="00B61B7B">
        <w:t xml:space="preserve">t holder </w:t>
      </w:r>
      <w:r w:rsidR="00B61B7B" w:rsidRPr="004A5CF6">
        <w:t xml:space="preserve">had been offered an opportunity to reach a mutually satisfactory resolution with relevant parties defined under national law and such negotiations had failed.  </w:t>
      </w:r>
      <w:r w:rsidR="00B61B7B">
        <w:t>Alt</w:t>
      </w:r>
      <w:r w:rsidR="002E6A98">
        <w:t>ernative</w:t>
      </w:r>
      <w:r w:rsidR="00B61B7B">
        <w:t xml:space="preserve"> </w:t>
      </w:r>
      <w:proofErr w:type="gramStart"/>
      <w:r w:rsidR="00B61B7B">
        <w:t>3</w:t>
      </w:r>
      <w:proofErr w:type="gramEnd"/>
      <w:r w:rsidR="00B61B7B">
        <w:t xml:space="preserve"> reflected</w:t>
      </w:r>
      <w:r w:rsidR="00B61B7B" w:rsidRPr="00F35478">
        <w:t xml:space="preserve"> the approach </w:t>
      </w:r>
      <w:r w:rsidR="00B61B7B">
        <w:t>of some of countries that had</w:t>
      </w:r>
      <w:r w:rsidR="00B61B7B" w:rsidRPr="00F35478">
        <w:t xml:space="preserve"> a mandato</w:t>
      </w:r>
      <w:r w:rsidR="00B61B7B">
        <w:t>ry disclosure requirement but did</w:t>
      </w:r>
      <w:r w:rsidR="00B61B7B" w:rsidRPr="00F35478">
        <w:t xml:space="preserve"> not employ revocation as a sanction for non</w:t>
      </w:r>
      <w:r w:rsidR="004F43FC">
        <w:t>-</w:t>
      </w:r>
      <w:r w:rsidR="00B61B7B" w:rsidRPr="00F35478">
        <w:t>compliance.  Rather</w:t>
      </w:r>
      <w:r w:rsidR="00B61B7B">
        <w:t>,</w:t>
      </w:r>
      <w:r w:rsidR="00B61B7B" w:rsidRPr="00F35478">
        <w:t xml:space="preserve"> non</w:t>
      </w:r>
      <w:r w:rsidR="004F43FC">
        <w:t>-</w:t>
      </w:r>
      <w:r w:rsidR="00B61B7B" w:rsidRPr="00F35478">
        <w:t xml:space="preserve">compliance </w:t>
      </w:r>
      <w:proofErr w:type="gramStart"/>
      <w:r w:rsidR="00B61B7B">
        <w:t>was</w:t>
      </w:r>
      <w:r w:rsidR="00B61B7B" w:rsidRPr="00F35478">
        <w:t xml:space="preserve"> addressed</w:t>
      </w:r>
      <w:proofErr w:type="gramEnd"/>
      <w:r w:rsidR="00B61B7B" w:rsidRPr="00F35478">
        <w:t xml:space="preserve"> outside of the patent system once the patent</w:t>
      </w:r>
      <w:r w:rsidR="00B61B7B">
        <w:t xml:space="preserve"> was</w:t>
      </w:r>
      <w:r w:rsidR="00B61B7B" w:rsidRPr="00F35478">
        <w:t xml:space="preserve"> issue</w:t>
      </w:r>
      <w:r w:rsidR="00B61B7B">
        <w:t>d</w:t>
      </w:r>
      <w:r w:rsidR="00B61B7B" w:rsidRPr="00F35478">
        <w:t xml:space="preserve">, although application processing </w:t>
      </w:r>
      <w:r w:rsidR="00B61B7B">
        <w:t>might</w:t>
      </w:r>
      <w:r w:rsidR="00B61B7B" w:rsidRPr="00F35478">
        <w:t xml:space="preserve"> be stopped if the disclosure requirement </w:t>
      </w:r>
      <w:r w:rsidR="00B61B7B">
        <w:t>was</w:t>
      </w:r>
      <w:r w:rsidR="00B61B7B" w:rsidRPr="00F35478">
        <w:t xml:space="preserve"> not met.</w:t>
      </w:r>
      <w:r w:rsidR="002E6A98">
        <w:t xml:space="preserve"> </w:t>
      </w:r>
      <w:r w:rsidR="00B61B7B" w:rsidRPr="00F35478">
        <w:t xml:space="preserve"> That alternative represented a </w:t>
      </w:r>
      <w:r w:rsidR="004F43FC" w:rsidRPr="00F35478">
        <w:t>ceiling</w:t>
      </w:r>
      <w:r w:rsidR="00B61B7B" w:rsidRPr="00F35478">
        <w:t xml:space="preserve"> on sancti</w:t>
      </w:r>
      <w:r w:rsidR="00B61B7B">
        <w:t xml:space="preserve">ons and remedies.  </w:t>
      </w:r>
      <w:r w:rsidR="00B61B7B" w:rsidRPr="004A5CF6">
        <w:t>Alt</w:t>
      </w:r>
      <w:r w:rsidR="002E6A98">
        <w:t>ernative</w:t>
      </w:r>
      <w:r w:rsidR="004F43FC">
        <w:t xml:space="preserve"> 4 was the former main sanction provision.  </w:t>
      </w:r>
      <w:r w:rsidR="00B61B7B" w:rsidRPr="004A5CF6">
        <w:t>It left the question of sanctions to national law, but provide</w:t>
      </w:r>
      <w:r w:rsidR="00CC1392">
        <w:t>d</w:t>
      </w:r>
      <w:r w:rsidR="00B61B7B" w:rsidRPr="004A5CF6">
        <w:t xml:space="preserve"> </w:t>
      </w:r>
      <w:r w:rsidR="002E6A98">
        <w:t xml:space="preserve">a </w:t>
      </w:r>
      <w:r w:rsidR="004F43FC">
        <w:t>non-</w:t>
      </w:r>
      <w:r w:rsidR="00B61B7B" w:rsidRPr="004A5CF6">
        <w:t>exhaustive list of possible pre-</w:t>
      </w:r>
      <w:r w:rsidR="004F43FC">
        <w:t>grant</w:t>
      </w:r>
      <w:r w:rsidR="00B61B7B" w:rsidRPr="004A5CF6">
        <w:t xml:space="preserve"> and post-grant sanctions.  </w:t>
      </w:r>
      <w:r w:rsidR="00B61B7B">
        <w:t>She said that Alt</w:t>
      </w:r>
      <w:r w:rsidR="002E6A98">
        <w:t>ernative</w:t>
      </w:r>
      <w:r w:rsidR="00B61B7B">
        <w:t xml:space="preserve"> 4 </w:t>
      </w:r>
      <w:proofErr w:type="gramStart"/>
      <w:r w:rsidR="00B61B7B" w:rsidRPr="00F35478">
        <w:t>could be deleted</w:t>
      </w:r>
      <w:proofErr w:type="gramEnd"/>
      <w:r w:rsidR="00B61B7B" w:rsidRPr="00F35478">
        <w:t xml:space="preserve"> and Alt</w:t>
      </w:r>
      <w:r w:rsidR="002E6A98">
        <w:t>ernative</w:t>
      </w:r>
      <w:r w:rsidR="00B61B7B" w:rsidRPr="00F35478">
        <w:t xml:space="preserve"> 1, which provide</w:t>
      </w:r>
      <w:r w:rsidR="00B61B7B">
        <w:t>d</w:t>
      </w:r>
      <w:r w:rsidR="00B61B7B" w:rsidRPr="00F35478">
        <w:t xml:space="preserve"> maximum breadth under national law</w:t>
      </w:r>
      <w:r w:rsidR="002E6A98">
        <w:t>,</w:t>
      </w:r>
      <w:r w:rsidR="00B61B7B" w:rsidRPr="00F35478">
        <w:t xml:space="preserve"> could be retained for countries that </w:t>
      </w:r>
      <w:r w:rsidR="00B61B7B">
        <w:t>sought</w:t>
      </w:r>
      <w:r w:rsidR="00B61B7B" w:rsidRPr="00F35478">
        <w:t xml:space="preserve"> such </w:t>
      </w:r>
      <w:r w:rsidR="00B61B7B" w:rsidRPr="00F35478">
        <w:lastRenderedPageBreak/>
        <w:t xml:space="preserve">an approach, and </w:t>
      </w:r>
      <w:r w:rsidR="00B61B7B">
        <w:t>she</w:t>
      </w:r>
      <w:r w:rsidR="00B61B7B" w:rsidRPr="00F35478">
        <w:t xml:space="preserve"> welcome</w:t>
      </w:r>
      <w:r w:rsidR="00B61B7B">
        <w:t>d</w:t>
      </w:r>
      <w:r w:rsidR="00B61B7B" w:rsidRPr="00F35478">
        <w:t xml:space="preserve"> a Member State</w:t>
      </w:r>
      <w:r w:rsidR="00CC1392">
        <w:t>’s</w:t>
      </w:r>
      <w:r w:rsidR="00B61B7B" w:rsidRPr="00F35478">
        <w:t xml:space="preserve"> intervention to that effect.  </w:t>
      </w:r>
      <w:r w:rsidR="00B61B7B">
        <w:t xml:space="preserve">The </w:t>
      </w:r>
      <w:r w:rsidR="00CC1392">
        <w:t>section</w:t>
      </w:r>
      <w:r w:rsidR="00B61B7B">
        <w:t xml:space="preserve"> on comple</w:t>
      </w:r>
      <w:r w:rsidR="00B61B7B" w:rsidRPr="00F35478">
        <w:t>mentary measures</w:t>
      </w:r>
      <w:r w:rsidR="00B61B7B">
        <w:t xml:space="preserve"> contained A</w:t>
      </w:r>
      <w:r w:rsidR="00B61B7B" w:rsidRPr="00F35478">
        <w:t xml:space="preserve">rticles 6 and 7.  </w:t>
      </w:r>
      <w:r w:rsidR="00B61B7B">
        <w:t>They had</w:t>
      </w:r>
      <w:r w:rsidR="00B61B7B" w:rsidRPr="00F35478">
        <w:t xml:space="preserve"> sensed broad agreement that Article 6 on due diligence, including databases</w:t>
      </w:r>
      <w:r w:rsidR="00B61B7B">
        <w:t>, could be a useful comple</w:t>
      </w:r>
      <w:r w:rsidR="00B61B7B" w:rsidRPr="00F35478">
        <w:t xml:space="preserve">ment to a mandatory disclosure requirement.  Article 6.1 </w:t>
      </w:r>
      <w:r w:rsidR="00B61B7B">
        <w:t>was former Article 7.2 and explicitl</w:t>
      </w:r>
      <w:r w:rsidR="00B61B7B" w:rsidRPr="00F35478">
        <w:t>y state</w:t>
      </w:r>
      <w:r w:rsidR="00B61B7B">
        <w:t>d</w:t>
      </w:r>
      <w:r w:rsidR="00B61B7B" w:rsidRPr="00F35478">
        <w:t xml:space="preserve"> that a </w:t>
      </w:r>
      <w:r w:rsidR="00B61B7B">
        <w:t>M</w:t>
      </w:r>
      <w:r w:rsidR="00B61B7B" w:rsidRPr="00F35478">
        <w:t xml:space="preserve">ember </w:t>
      </w:r>
      <w:r w:rsidR="00B61B7B">
        <w:t>S</w:t>
      </w:r>
      <w:r w:rsidR="00B61B7B" w:rsidRPr="00F35478">
        <w:t xml:space="preserve">tate </w:t>
      </w:r>
      <w:r w:rsidR="00B61B7B">
        <w:t>might</w:t>
      </w:r>
      <w:r w:rsidR="00B61B7B" w:rsidRPr="00F35478">
        <w:t xml:space="preserve"> consider the use of databases on </w:t>
      </w:r>
      <w:r w:rsidR="00B61B7B">
        <w:t>TK</w:t>
      </w:r>
      <w:r w:rsidR="00B61B7B" w:rsidRPr="00F35478">
        <w:t xml:space="preserve"> and </w:t>
      </w:r>
      <w:r w:rsidR="00B61B7B">
        <w:t>GRs</w:t>
      </w:r>
      <w:r w:rsidR="00B61B7B" w:rsidRPr="00F35478">
        <w:t xml:space="preserve"> in accordance with the needs, </w:t>
      </w:r>
      <w:r w:rsidR="00CC1392">
        <w:t>priorities and safeguards as might</w:t>
      </w:r>
      <w:r w:rsidR="00B61B7B" w:rsidRPr="00F35478">
        <w:t xml:space="preserve"> be required under national laws and special circumstances.  Article 6.2 </w:t>
      </w:r>
      <w:r w:rsidR="00B61B7B">
        <w:t>was</w:t>
      </w:r>
      <w:r w:rsidR="00B61B7B" w:rsidRPr="00F35478">
        <w:t xml:space="preserve"> former Article 6 </w:t>
      </w:r>
      <w:r w:rsidR="00B61B7B">
        <w:t xml:space="preserve">and </w:t>
      </w:r>
      <w:proofErr w:type="gramStart"/>
      <w:r w:rsidR="00B61B7B">
        <w:t>had</w:t>
      </w:r>
      <w:r w:rsidR="00B61B7B" w:rsidRPr="00F35478">
        <w:t xml:space="preserve"> not been meaningfully changed</w:t>
      </w:r>
      <w:proofErr w:type="gramEnd"/>
      <w:r w:rsidR="00B61B7B" w:rsidRPr="00F35478">
        <w:t>.  Several Member States</w:t>
      </w:r>
      <w:r w:rsidR="00B61B7B">
        <w:t xml:space="preserve"> had</w:t>
      </w:r>
      <w:r w:rsidR="00B61B7B" w:rsidRPr="00F35478">
        <w:t xml:space="preserve"> articulated concerns with Article 7.  In light </w:t>
      </w:r>
      <w:r w:rsidR="00B61B7B">
        <w:t>thereof</w:t>
      </w:r>
      <w:r w:rsidR="00B61B7B" w:rsidRPr="00F35478">
        <w:t xml:space="preserve">, the title </w:t>
      </w:r>
      <w:r w:rsidR="00B61B7B">
        <w:t>had been</w:t>
      </w:r>
      <w:r w:rsidR="00B61B7B" w:rsidRPr="00F35478">
        <w:t xml:space="preserve"> modified</w:t>
      </w:r>
      <w:r w:rsidR="00B61B7B">
        <w:t xml:space="preserve"> slightly and only Article 7.1 (b)</w:t>
      </w:r>
      <w:r w:rsidR="00B61B7B" w:rsidRPr="00F35478">
        <w:t xml:space="preserve"> </w:t>
      </w:r>
      <w:r w:rsidR="00B61B7B">
        <w:t>(</w:t>
      </w:r>
      <w:r w:rsidR="00B61B7B" w:rsidRPr="00F35478">
        <w:t>c</w:t>
      </w:r>
      <w:r w:rsidR="00B61B7B">
        <w:t>)</w:t>
      </w:r>
      <w:r w:rsidR="00B61B7B" w:rsidRPr="00F35478">
        <w:t xml:space="preserve"> and </w:t>
      </w:r>
      <w:r w:rsidR="00B61B7B">
        <w:t>(</w:t>
      </w:r>
      <w:r w:rsidR="00B61B7B" w:rsidRPr="00F35478">
        <w:t>d</w:t>
      </w:r>
      <w:r w:rsidR="00CC1392">
        <w:t>)</w:t>
      </w:r>
      <w:r w:rsidR="00B61B7B">
        <w:t xml:space="preserve"> had been</w:t>
      </w:r>
      <w:r w:rsidR="00B61B7B" w:rsidRPr="00F35478">
        <w:t xml:space="preserve"> included in </w:t>
      </w:r>
      <w:r w:rsidR="00B61B7B">
        <w:t>the</w:t>
      </w:r>
      <w:r w:rsidR="00B61B7B" w:rsidRPr="00F35478">
        <w:t xml:space="preserve"> mandatory disclosure requirement provision.  They </w:t>
      </w:r>
      <w:proofErr w:type="gramStart"/>
      <w:r w:rsidR="00B61B7B">
        <w:t>were</w:t>
      </w:r>
      <w:r w:rsidR="00B61B7B" w:rsidRPr="00F35478">
        <w:t xml:space="preserve"> now identified</w:t>
      </w:r>
      <w:proofErr w:type="gramEnd"/>
      <w:r w:rsidR="00B61B7B" w:rsidRPr="00F35478">
        <w:t xml:space="preserve"> as paragraphs </w:t>
      </w:r>
      <w:r w:rsidR="00B61B7B">
        <w:t>(</w:t>
      </w:r>
      <w:r w:rsidR="00B61B7B" w:rsidRPr="00F35478">
        <w:t>a</w:t>
      </w:r>
      <w:r w:rsidR="00B61B7B">
        <w:t>)</w:t>
      </w:r>
      <w:r w:rsidR="00B61B7B" w:rsidRPr="00F35478">
        <w:t xml:space="preserve">, </w:t>
      </w:r>
      <w:r w:rsidR="00B61B7B">
        <w:t>(b)</w:t>
      </w:r>
      <w:r w:rsidR="00B61B7B" w:rsidRPr="00F35478">
        <w:t xml:space="preserve"> and </w:t>
      </w:r>
      <w:r w:rsidR="00B61B7B">
        <w:t>(</w:t>
      </w:r>
      <w:r w:rsidR="00B61B7B" w:rsidRPr="00F35478">
        <w:t>c</w:t>
      </w:r>
      <w:r w:rsidR="00B61B7B">
        <w:t>)</w:t>
      </w:r>
      <w:r w:rsidR="00B61B7B" w:rsidRPr="00F35478">
        <w:t xml:space="preserve">. </w:t>
      </w:r>
      <w:r w:rsidR="002E6A98">
        <w:t xml:space="preserve"> </w:t>
      </w:r>
      <w:r w:rsidR="00B61B7B" w:rsidRPr="00F35478">
        <w:t>Article 7</w:t>
      </w:r>
      <w:r w:rsidR="00CC1392">
        <w:t xml:space="preserve"> was</w:t>
      </w:r>
      <w:r w:rsidR="00B61B7B" w:rsidRPr="00F35478">
        <w:t xml:space="preserve"> </w:t>
      </w:r>
      <w:r w:rsidR="00B61B7B">
        <w:t>entitled “</w:t>
      </w:r>
      <w:r w:rsidR="00B61B7B" w:rsidRPr="005C5BAD">
        <w:t xml:space="preserve">Prevention </w:t>
      </w:r>
      <w:r w:rsidR="00B61B7B">
        <w:t>of t</w:t>
      </w:r>
      <w:r w:rsidR="00B61B7B" w:rsidRPr="005C5BAD">
        <w:t xml:space="preserve">he Erroneous Grant </w:t>
      </w:r>
      <w:r w:rsidR="00B61B7B">
        <w:t>o</w:t>
      </w:r>
      <w:r w:rsidR="00B61B7B" w:rsidRPr="005C5BAD">
        <w:t>f Patents, Databases</w:t>
      </w:r>
      <w:r w:rsidR="00B61B7B">
        <w:t xml:space="preserve"> and Voluntary Codes o</w:t>
      </w:r>
      <w:r w:rsidR="00B61B7B" w:rsidRPr="005C5BAD">
        <w:t>f Conduct</w:t>
      </w:r>
      <w:r w:rsidR="00B61B7B">
        <w:t>”</w:t>
      </w:r>
      <w:r w:rsidR="00CC1392">
        <w:t>.</w:t>
      </w:r>
    </w:p>
    <w:p w:rsidR="00643CEE" w:rsidRDefault="00643CEE" w:rsidP="00643CEE">
      <w:pPr>
        <w:pStyle w:val="ListParagraph"/>
        <w:ind w:left="0"/>
      </w:pPr>
    </w:p>
    <w:p w:rsidR="00643CEE" w:rsidRDefault="006B5D0B" w:rsidP="00600273">
      <w:pPr>
        <w:pStyle w:val="ListParagraph"/>
        <w:numPr>
          <w:ilvl w:val="0"/>
          <w:numId w:val="4"/>
        </w:numPr>
        <w:ind w:left="0" w:firstLine="0"/>
      </w:pPr>
      <w:r>
        <w:t>Mr.</w:t>
      </w:r>
      <w:r w:rsidR="00B61B7B" w:rsidRPr="00F35478">
        <w:t xml:space="preserve"> Kuruk</w:t>
      </w:r>
      <w:r>
        <w:t>, speaking as the facilitator,</w:t>
      </w:r>
      <w:r w:rsidR="00B61B7B" w:rsidRPr="00F35478">
        <w:t xml:space="preserve"> </w:t>
      </w:r>
      <w:r w:rsidR="00B61B7B">
        <w:t>presented the alternatives to A</w:t>
      </w:r>
      <w:r w:rsidR="00B61B7B" w:rsidRPr="00F35478">
        <w:t>rticle</w:t>
      </w:r>
      <w:r w:rsidR="00B61B7B">
        <w:t xml:space="preserve">s 1 </w:t>
      </w:r>
      <w:r>
        <w:t>to</w:t>
      </w:r>
      <w:r w:rsidR="00B61B7B">
        <w:t xml:space="preserve"> </w:t>
      </w:r>
      <w:proofErr w:type="gramStart"/>
      <w:r w:rsidR="00B61B7B">
        <w:t>4</w:t>
      </w:r>
      <w:proofErr w:type="gramEnd"/>
      <w:r w:rsidR="00B61B7B">
        <w:t xml:space="preserve">. </w:t>
      </w:r>
      <w:r>
        <w:t xml:space="preserve"> Regarding</w:t>
      </w:r>
      <w:r w:rsidR="00B61B7B">
        <w:t xml:space="preserve"> ALT</w:t>
      </w:r>
      <w:r w:rsidR="00B61B7B" w:rsidRPr="00F35478">
        <w:t xml:space="preserve"> Article 1 on obj</w:t>
      </w:r>
      <w:r w:rsidR="00B61B7B">
        <w:t xml:space="preserve">ectives, the very first part </w:t>
      </w:r>
      <w:proofErr w:type="gramStart"/>
      <w:r w:rsidR="00B61B7B">
        <w:t>had</w:t>
      </w:r>
      <w:r w:rsidR="00B61B7B" w:rsidRPr="00F35478">
        <w:t xml:space="preserve"> been placed</w:t>
      </w:r>
      <w:proofErr w:type="gramEnd"/>
      <w:r w:rsidR="00B61B7B" w:rsidRPr="00F35478">
        <w:t xml:space="preserve"> in brackets, but it</w:t>
      </w:r>
      <w:r w:rsidR="00B61B7B">
        <w:t xml:space="preserve"> wa</w:t>
      </w:r>
      <w:r w:rsidR="00B61B7B" w:rsidRPr="00F35478">
        <w:t xml:space="preserve">s a previous provision and </w:t>
      </w:r>
      <w:r>
        <w:t>no</w:t>
      </w:r>
      <w:r w:rsidR="00B61B7B" w:rsidRPr="00F35478">
        <w:t xml:space="preserve"> substantive changes </w:t>
      </w:r>
      <w:r>
        <w:t xml:space="preserve">had been made </w:t>
      </w:r>
      <w:r w:rsidR="00B61B7B" w:rsidRPr="00F35478">
        <w:t>to that text.  However, there</w:t>
      </w:r>
      <w:r w:rsidR="00B61B7B">
        <w:t xml:space="preserve"> was</w:t>
      </w:r>
      <w:r w:rsidR="00B61B7B" w:rsidRPr="00F35478">
        <w:t xml:space="preserve"> an </w:t>
      </w:r>
      <w:r w:rsidR="00B61B7B">
        <w:t>ALT</w:t>
      </w:r>
      <w:r w:rsidR="00B61B7B" w:rsidRPr="00F35478">
        <w:t xml:space="preserve"> to Article 1</w:t>
      </w:r>
      <w:r w:rsidR="00B61B7B">
        <w:t>, which represent</w:t>
      </w:r>
      <w:r>
        <w:t>ed a proposal of a Member State.</w:t>
      </w:r>
      <w:r w:rsidR="00B61B7B">
        <w:t xml:space="preserve"> </w:t>
      </w:r>
      <w:r>
        <w:t xml:space="preserve"> </w:t>
      </w:r>
    </w:p>
    <w:p w:rsidR="006B5D0B" w:rsidRDefault="006B5D0B" w:rsidP="006B5D0B">
      <w:pPr>
        <w:pStyle w:val="ListParagraph"/>
        <w:ind w:left="0"/>
      </w:pPr>
    </w:p>
    <w:p w:rsidR="00B46A92" w:rsidRDefault="006B5D0B" w:rsidP="00B61B7B">
      <w:pPr>
        <w:pStyle w:val="ListParagraph"/>
        <w:numPr>
          <w:ilvl w:val="0"/>
          <w:numId w:val="4"/>
        </w:numPr>
        <w:ind w:left="0" w:firstLine="0"/>
      </w:pPr>
      <w:r>
        <w:t>Ms.</w:t>
      </w:r>
      <w:r w:rsidR="00B61B7B" w:rsidRPr="00F35478">
        <w:t xml:space="preserve"> Bagle</w:t>
      </w:r>
      <w:r w:rsidR="00B61B7B">
        <w:t>y</w:t>
      </w:r>
      <w:r>
        <w:t xml:space="preserve">, speaking as the Friend of the Chair, presented the changes to ALT Articles 6 and 7. </w:t>
      </w:r>
      <w:r w:rsidR="00B61B7B">
        <w:t xml:space="preserve"> </w:t>
      </w:r>
      <w:r>
        <w:t xml:space="preserve">She said that </w:t>
      </w:r>
      <w:r w:rsidR="00B61B7B" w:rsidRPr="00F35478">
        <w:t>Articles 8 through 11 remained</w:t>
      </w:r>
      <w:r w:rsidR="00B61B7B">
        <w:t xml:space="preserve"> unchanged, as the</w:t>
      </w:r>
      <w:r>
        <w:t xml:space="preserve"> plenary had not discussed them</w:t>
      </w:r>
      <w:r w:rsidR="00B61B7B" w:rsidRPr="00F35478">
        <w:t xml:space="preserve">.  </w:t>
      </w:r>
      <w:r w:rsidR="00B56CF6">
        <w:t>She stated that the</w:t>
      </w:r>
      <w:r w:rsidR="00B61B7B" w:rsidRPr="00F35478">
        <w:t xml:space="preserve"> goal</w:t>
      </w:r>
      <w:r w:rsidR="00B56CF6">
        <w:t xml:space="preserve"> of the facilitator and the Friend of the Chair</w:t>
      </w:r>
      <w:r w:rsidR="00B61B7B" w:rsidRPr="00F35478">
        <w:t xml:space="preserve"> had been </w:t>
      </w:r>
      <w:proofErr w:type="gramStart"/>
      <w:r w:rsidR="00B61B7B" w:rsidRPr="00F35478">
        <w:t>to incrementally streamline</w:t>
      </w:r>
      <w:proofErr w:type="gramEnd"/>
      <w:r w:rsidR="00B61B7B" w:rsidRPr="00F35478">
        <w:t xml:space="preserve"> the text to further narrow gaps, enhance clarity, and maintain the integrity of positions.</w:t>
      </w:r>
      <w:r w:rsidR="00B61B7B">
        <w:t xml:space="preserve">  Sh</w:t>
      </w:r>
      <w:r w:rsidR="00B61B7B" w:rsidRPr="00F35478">
        <w:t xml:space="preserve">e apologized for any errors, </w:t>
      </w:r>
      <w:r w:rsidR="00B46A92">
        <w:t>noting that the compressed time</w:t>
      </w:r>
      <w:r w:rsidR="00B61B7B" w:rsidRPr="00F35478">
        <w:t xml:space="preserve">frame made </w:t>
      </w:r>
      <w:r w:rsidR="00B61B7B">
        <w:t>avoiding</w:t>
      </w:r>
      <w:r w:rsidR="00B61B7B" w:rsidRPr="00F35478">
        <w:t xml:space="preserve"> errors nearly impossible.  </w:t>
      </w:r>
      <w:r w:rsidR="00B56CF6">
        <w:t>She</w:t>
      </w:r>
      <w:r w:rsidR="00B61B7B" w:rsidRPr="00F35478">
        <w:t xml:space="preserve"> look</w:t>
      </w:r>
      <w:r w:rsidR="00B61B7B">
        <w:t>ed</w:t>
      </w:r>
      <w:r w:rsidR="00B61B7B" w:rsidRPr="00F35478">
        <w:t xml:space="preserve"> forward to collaborating </w:t>
      </w:r>
      <w:r w:rsidR="00B61B7B">
        <w:t xml:space="preserve">on </w:t>
      </w:r>
      <w:r w:rsidR="00B56CF6">
        <w:t>Rev. 1</w:t>
      </w:r>
      <w:r w:rsidR="00B61B7B" w:rsidRPr="00F35478">
        <w:t>.</w:t>
      </w:r>
    </w:p>
    <w:p w:rsidR="00B46A92" w:rsidRDefault="00B46A92" w:rsidP="00B46A92">
      <w:pPr>
        <w:pStyle w:val="ListParagraph"/>
        <w:ind w:left="0"/>
      </w:pPr>
    </w:p>
    <w:p w:rsidR="00A93EDA" w:rsidRDefault="00B61B7B" w:rsidP="00A93EDA">
      <w:pPr>
        <w:pStyle w:val="ListParagraph"/>
        <w:numPr>
          <w:ilvl w:val="0"/>
          <w:numId w:val="4"/>
        </w:numPr>
        <w:ind w:left="0" w:firstLine="0"/>
      </w:pPr>
      <w:r w:rsidRPr="00F35478">
        <w:t xml:space="preserve">The Chair opened the floor </w:t>
      </w:r>
      <w:r>
        <w:t>for any</w:t>
      </w:r>
      <w:r w:rsidR="00B46A92">
        <w:t xml:space="preserve"> technical questions</w:t>
      </w:r>
      <w:r w:rsidRPr="00F35478">
        <w:t xml:space="preserve">. </w:t>
      </w:r>
    </w:p>
    <w:p w:rsidR="00A93EDA" w:rsidRDefault="00A93EDA" w:rsidP="00A93EDA"/>
    <w:p w:rsidR="00A93EDA" w:rsidRDefault="00A93EDA" w:rsidP="00A93EDA">
      <w:pPr>
        <w:pStyle w:val="ListParagraph"/>
        <w:numPr>
          <w:ilvl w:val="0"/>
          <w:numId w:val="4"/>
        </w:numPr>
        <w:ind w:left="0" w:firstLine="0"/>
      </w:pPr>
      <w:r w:rsidRPr="004A6A08">
        <w:t xml:space="preserve">[Note from the Secretariat: </w:t>
      </w:r>
      <w:r w:rsidR="00F32ECB">
        <w:t xml:space="preserve"> </w:t>
      </w:r>
      <w:r w:rsidR="00326D45">
        <w:t>all speakers thanked the f</w:t>
      </w:r>
      <w:r w:rsidRPr="004A6A08">
        <w:t xml:space="preserve">acilitator and </w:t>
      </w:r>
      <w:r w:rsidR="00326D45">
        <w:t xml:space="preserve">the </w:t>
      </w:r>
      <w:r w:rsidRPr="004A6A08">
        <w:t>Friend of the Chair for their work</w:t>
      </w:r>
      <w:r>
        <w:t xml:space="preserve"> in producing Rev</w:t>
      </w:r>
      <w:r w:rsidR="00F32ECB">
        <w:t>.</w:t>
      </w:r>
      <w:r>
        <w:t xml:space="preserve"> 1</w:t>
      </w:r>
      <w:r w:rsidRPr="004A6A08">
        <w:t>.]</w:t>
      </w:r>
      <w:r>
        <w:t xml:space="preserve">  </w:t>
      </w:r>
      <w:r w:rsidRPr="00F35478">
        <w:t xml:space="preserve">The Delegation of El Salvador </w:t>
      </w:r>
      <w:r w:rsidR="00ED553E">
        <w:t xml:space="preserve">referred to </w:t>
      </w:r>
      <w:r>
        <w:t>its</w:t>
      </w:r>
      <w:r w:rsidRPr="00F35478">
        <w:t xml:space="preserve"> suggestion</w:t>
      </w:r>
      <w:r>
        <w:t xml:space="preserve"> on </w:t>
      </w:r>
      <w:r w:rsidRPr="00F35478">
        <w:t>the</w:t>
      </w:r>
      <w:r>
        <w:t xml:space="preserve"> issue of IP</w:t>
      </w:r>
      <w:r w:rsidRPr="00F35478">
        <w:t xml:space="preserve"> rights </w:t>
      </w:r>
      <w:r>
        <w:t xml:space="preserve">versus patent rights.  Its </w:t>
      </w:r>
      <w:r w:rsidRPr="00F35478">
        <w:t xml:space="preserve">suggestion was </w:t>
      </w:r>
      <w:r>
        <w:t xml:space="preserve">to </w:t>
      </w:r>
      <w:r w:rsidRPr="00F35478">
        <w:t xml:space="preserve">leave only patents in the text and </w:t>
      </w:r>
      <w:r>
        <w:t xml:space="preserve">draft some language to the effect that </w:t>
      </w:r>
      <w:r w:rsidRPr="00F35478">
        <w:t xml:space="preserve">everything said about patents could be applicable to </w:t>
      </w:r>
      <w:r>
        <w:t>IP</w:t>
      </w:r>
      <w:r w:rsidRPr="00F35478">
        <w:t xml:space="preserve">, similar to the solution found </w:t>
      </w:r>
      <w:r>
        <w:t>with regard to</w:t>
      </w:r>
      <w:r w:rsidRPr="00F35478">
        <w:t xml:space="preserve"> derivatives.</w:t>
      </w:r>
    </w:p>
    <w:p w:rsidR="00A93EDA" w:rsidRDefault="00A93EDA" w:rsidP="00A93EDA"/>
    <w:p w:rsidR="00A93EDA" w:rsidRDefault="00326D45" w:rsidP="00A93EDA">
      <w:pPr>
        <w:pStyle w:val="ListParagraph"/>
        <w:numPr>
          <w:ilvl w:val="0"/>
          <w:numId w:val="4"/>
        </w:numPr>
        <w:ind w:left="0" w:firstLine="0"/>
      </w:pPr>
      <w:r>
        <w:t>Ms.</w:t>
      </w:r>
      <w:r w:rsidR="00A93EDA">
        <w:t xml:space="preserve"> Bagley</w:t>
      </w:r>
      <w:r>
        <w:t>, speaking as the Friend of the Chair,</w:t>
      </w:r>
      <w:r w:rsidR="00A93EDA">
        <w:t xml:space="preserve"> said </w:t>
      </w:r>
      <w:proofErr w:type="gramStart"/>
      <w:r w:rsidR="00A93EDA">
        <w:t xml:space="preserve">it had been </w:t>
      </w:r>
      <w:r w:rsidR="00A93EDA" w:rsidRPr="00F35478">
        <w:t xml:space="preserve">an oversight on </w:t>
      </w:r>
      <w:r w:rsidR="00A93EDA">
        <w:t>their</w:t>
      </w:r>
      <w:r w:rsidR="00A93EDA" w:rsidRPr="00F35478">
        <w:t xml:space="preserve"> part that </w:t>
      </w:r>
      <w:r w:rsidR="00A93EDA">
        <w:t>they would</w:t>
      </w:r>
      <w:r w:rsidR="00A93EDA" w:rsidRPr="00F35478">
        <w:t xml:space="preserve"> remedy with Rev</w:t>
      </w:r>
      <w:r>
        <w:t>.</w:t>
      </w:r>
      <w:r w:rsidR="00A93EDA" w:rsidRPr="00F35478">
        <w:t xml:space="preserve"> 2</w:t>
      </w:r>
      <w:proofErr w:type="gramEnd"/>
      <w:r w:rsidR="00A93EDA" w:rsidRPr="00F35478">
        <w:t xml:space="preserve">.  </w:t>
      </w:r>
    </w:p>
    <w:p w:rsidR="00A93EDA" w:rsidRDefault="00A93EDA" w:rsidP="00A93EDA"/>
    <w:p w:rsidR="00A93EDA" w:rsidRDefault="00A93EDA" w:rsidP="00A93EDA">
      <w:pPr>
        <w:pStyle w:val="ListParagraph"/>
        <w:numPr>
          <w:ilvl w:val="0"/>
          <w:numId w:val="4"/>
        </w:numPr>
        <w:ind w:left="0" w:firstLine="0"/>
      </w:pPr>
      <w:r w:rsidRPr="00F35478">
        <w:t>The Delegation</w:t>
      </w:r>
      <w:r w:rsidR="00326D45">
        <w:t>s</w:t>
      </w:r>
      <w:r w:rsidRPr="00F35478">
        <w:t xml:space="preserve"> of Italy</w:t>
      </w:r>
      <w:r w:rsidR="00326D45">
        <w:t xml:space="preserve"> and Japan pointed out the errors regarding “the data are obvious” instead of</w:t>
      </w:r>
      <w:r w:rsidRPr="00F35478">
        <w:t xml:space="preserve"> “the data are not obvious”</w:t>
      </w:r>
      <w:r w:rsidR="00F32ECB">
        <w:t>.</w:t>
      </w:r>
    </w:p>
    <w:p w:rsidR="000A0C93" w:rsidRDefault="000A0C93" w:rsidP="000A0C93">
      <w:pPr>
        <w:pStyle w:val="ListParagraph"/>
        <w:ind w:left="0"/>
      </w:pPr>
    </w:p>
    <w:p w:rsidR="000A0C93" w:rsidRDefault="000A0C93" w:rsidP="00A93EDA">
      <w:pPr>
        <w:pStyle w:val="ListParagraph"/>
        <w:numPr>
          <w:ilvl w:val="0"/>
          <w:numId w:val="4"/>
        </w:numPr>
        <w:ind w:left="0" w:firstLine="0"/>
      </w:pPr>
      <w:r w:rsidRPr="004A6A08">
        <w:t xml:space="preserve">[Note from the Secretariat: </w:t>
      </w:r>
      <w:r>
        <w:t xml:space="preserve"> This part of the session took place after a short break when delegations reviewed Rev. 1.</w:t>
      </w:r>
      <w:r w:rsidRPr="004A6A08">
        <w:t>]</w:t>
      </w:r>
      <w:r>
        <w:t xml:space="preserve">  The Chair opened the floor for general comments on Rev. 1. </w:t>
      </w:r>
    </w:p>
    <w:p w:rsidR="00402698" w:rsidRDefault="00402698" w:rsidP="00402698"/>
    <w:p w:rsidR="0043424E" w:rsidRDefault="00402698" w:rsidP="0043424E">
      <w:pPr>
        <w:pStyle w:val="ListParagraph"/>
        <w:numPr>
          <w:ilvl w:val="0"/>
          <w:numId w:val="4"/>
        </w:numPr>
        <w:ind w:left="0" w:firstLine="0"/>
      </w:pPr>
      <w:r w:rsidRPr="004A6A08">
        <w:t xml:space="preserve">[Note from the Secretariat: </w:t>
      </w:r>
      <w:r w:rsidR="00326D45">
        <w:t xml:space="preserve"> </w:t>
      </w:r>
      <w:r w:rsidR="00B1248F">
        <w:t>A</w:t>
      </w:r>
      <w:r w:rsidRPr="004A6A08">
        <w:t>ll speakers thanked the Facilitator and Friend of the Chair for their work</w:t>
      </w:r>
      <w:r>
        <w:t xml:space="preserve"> in producing Rev 1</w:t>
      </w:r>
      <w:r w:rsidRPr="004A6A08">
        <w:t>.]</w:t>
      </w:r>
      <w:r w:rsidR="0043424E">
        <w:t xml:space="preserve">  </w:t>
      </w:r>
      <w:r w:rsidR="0043424E" w:rsidRPr="0043424E">
        <w:t xml:space="preserve">The Delegation of Indonesia, speaking on behalf of the LMCs, recognized and acknowledged the great efforts </w:t>
      </w:r>
      <w:r w:rsidR="005F6378">
        <w:t>by the f</w:t>
      </w:r>
      <w:r w:rsidR="0043424E">
        <w:t>acilitator</w:t>
      </w:r>
      <w:r w:rsidR="005F6378">
        <w:t xml:space="preserve"> and the Friend of the Chair</w:t>
      </w:r>
      <w:r w:rsidR="0043424E" w:rsidRPr="0043424E">
        <w:t xml:space="preserve"> to come up with </w:t>
      </w:r>
      <w:r w:rsidR="005F6378">
        <w:t>Rev. 1</w:t>
      </w:r>
      <w:r w:rsidR="0043424E" w:rsidRPr="0043424E">
        <w:t xml:space="preserve"> trying to reflect all the interventions and positions of Member States in the IGC. </w:t>
      </w:r>
      <w:r w:rsidR="0043424E">
        <w:t xml:space="preserve"> </w:t>
      </w:r>
      <w:r w:rsidR="0043424E" w:rsidRPr="0043424E">
        <w:t>It reiterated that it had full trust in the Chair, t</w:t>
      </w:r>
      <w:r w:rsidR="005F6378">
        <w:t>he Friend of the Chair and the f</w:t>
      </w:r>
      <w:r w:rsidR="0043424E" w:rsidRPr="0043424E">
        <w:t>acilitator to look at the integrity of the text, not only structurally, but in terms of the various approaches</w:t>
      </w:r>
      <w:r w:rsidR="0043424E">
        <w:t xml:space="preserve"> as well</w:t>
      </w:r>
      <w:r w:rsidR="0043424E" w:rsidRPr="0043424E">
        <w:t xml:space="preserve">. </w:t>
      </w:r>
      <w:r w:rsidR="0043424E">
        <w:t xml:space="preserve"> </w:t>
      </w:r>
      <w:r w:rsidR="0043424E" w:rsidRPr="0043424E">
        <w:t>It had been respectful of the IGC</w:t>
      </w:r>
      <w:r w:rsidR="005F6378">
        <w:t>’s</w:t>
      </w:r>
      <w:r w:rsidR="0043424E" w:rsidRPr="0043424E">
        <w:t xml:space="preserve"> mandate and the </w:t>
      </w:r>
      <w:r w:rsidR="0043424E">
        <w:t xml:space="preserve">Chair’s </w:t>
      </w:r>
      <w:r w:rsidR="0043424E" w:rsidRPr="0043424E">
        <w:t>metho</w:t>
      </w:r>
      <w:r w:rsidR="0043424E">
        <w:t>dology and guidance</w:t>
      </w:r>
      <w:r w:rsidR="0043424E" w:rsidRPr="0043424E">
        <w:t xml:space="preserve"> not to make any textual proposal</w:t>
      </w:r>
      <w:r w:rsidR="0043424E">
        <w:t>s</w:t>
      </w:r>
      <w:r w:rsidR="0043424E" w:rsidRPr="0043424E">
        <w:t xml:space="preserve"> that were not narrowing the gaps and trying not to engage on any other approaches that it could not agree </w:t>
      </w:r>
      <w:proofErr w:type="gramStart"/>
      <w:r w:rsidR="0043424E" w:rsidRPr="0043424E">
        <w:t>on</w:t>
      </w:r>
      <w:proofErr w:type="gramEnd"/>
      <w:r w:rsidR="0043424E" w:rsidRPr="0043424E">
        <w:t xml:space="preserve">. </w:t>
      </w:r>
      <w:r w:rsidR="0043424E">
        <w:t xml:space="preserve"> A</w:t>
      </w:r>
      <w:r w:rsidR="0043424E" w:rsidRPr="0043424E">
        <w:t>t that point</w:t>
      </w:r>
      <w:r w:rsidR="0043424E">
        <w:t>, it</w:t>
      </w:r>
      <w:r w:rsidR="0043424E" w:rsidRPr="0043424E">
        <w:t xml:space="preserve"> was not in the position to engage in the text of Rev</w:t>
      </w:r>
      <w:r w:rsidR="005F6378">
        <w:t>.</w:t>
      </w:r>
      <w:r w:rsidR="0043424E" w:rsidRPr="0043424E">
        <w:t xml:space="preserve"> 1 at all.  It asked for more guidance from the Chair on where the negotiations were taking place. </w:t>
      </w:r>
      <w:r w:rsidR="0043424E">
        <w:t xml:space="preserve"> </w:t>
      </w:r>
      <w:r w:rsidR="0043424E" w:rsidRPr="0043424E">
        <w:t>Some members had put forward positions and proposals, some</w:t>
      </w:r>
      <w:r w:rsidR="005F6378">
        <w:t xml:space="preserve"> of which</w:t>
      </w:r>
      <w:r w:rsidR="0043424E" w:rsidRPr="0043424E">
        <w:t xml:space="preserve"> </w:t>
      </w:r>
      <w:proofErr w:type="gramStart"/>
      <w:r w:rsidR="0043424E" w:rsidRPr="0043424E">
        <w:t xml:space="preserve">were </w:t>
      </w:r>
      <w:r w:rsidR="0043424E">
        <w:t>reflected</w:t>
      </w:r>
      <w:proofErr w:type="gramEnd"/>
      <w:r w:rsidR="0043424E">
        <w:t xml:space="preserve">. </w:t>
      </w:r>
      <w:r w:rsidR="005F6378">
        <w:t xml:space="preserve"> </w:t>
      </w:r>
      <w:r w:rsidR="0043424E">
        <w:t>T</w:t>
      </w:r>
      <w:r w:rsidR="0043424E" w:rsidRPr="0043424E">
        <w:t>hose</w:t>
      </w:r>
      <w:r w:rsidR="005F6378">
        <w:t xml:space="preserve"> proposals</w:t>
      </w:r>
      <w:r w:rsidR="0043424E" w:rsidRPr="0043424E">
        <w:t xml:space="preserve"> trying to respect the mandate</w:t>
      </w:r>
      <w:r w:rsidR="0043424E">
        <w:t xml:space="preserve">, to build clarity and </w:t>
      </w:r>
      <w:r w:rsidR="0043424E" w:rsidRPr="0043424E">
        <w:t xml:space="preserve">to narrow gaps </w:t>
      </w:r>
      <w:proofErr w:type="gramStart"/>
      <w:r w:rsidR="0043424E" w:rsidRPr="0043424E">
        <w:t>were not reflected</w:t>
      </w:r>
      <w:proofErr w:type="gramEnd"/>
      <w:r w:rsidR="0043424E" w:rsidRPr="0043424E">
        <w:t xml:space="preserve">.  </w:t>
      </w:r>
    </w:p>
    <w:p w:rsidR="0043424E" w:rsidRDefault="0043424E" w:rsidP="0043424E">
      <w:pPr>
        <w:pStyle w:val="ListParagraph"/>
        <w:ind w:left="0"/>
      </w:pPr>
    </w:p>
    <w:p w:rsidR="0043424E" w:rsidRDefault="0043424E" w:rsidP="0043424E">
      <w:pPr>
        <w:pStyle w:val="ListParagraph"/>
        <w:numPr>
          <w:ilvl w:val="0"/>
          <w:numId w:val="4"/>
        </w:numPr>
        <w:ind w:left="0" w:firstLine="0"/>
      </w:pPr>
      <w:r w:rsidRPr="0043424E">
        <w:t xml:space="preserve">The Delegation of Morocco, speaking on behalf of the </w:t>
      </w:r>
      <w:r w:rsidR="00B83A0C">
        <w:t>African Group, recalled the IGC </w:t>
      </w:r>
      <w:r w:rsidRPr="0043424E">
        <w:t>mand</w:t>
      </w:r>
      <w:r w:rsidR="00691FE5">
        <w:t xml:space="preserve">ate and the need to reduce gaps.  </w:t>
      </w:r>
      <w:r w:rsidRPr="0043424E">
        <w:t>Rev</w:t>
      </w:r>
      <w:r w:rsidR="00691FE5">
        <w:t>.</w:t>
      </w:r>
      <w:r w:rsidRPr="0043424E">
        <w:t xml:space="preserve"> 1 was going to solidify differences rather than reduce them.  It </w:t>
      </w:r>
      <w:proofErr w:type="gramStart"/>
      <w:r w:rsidRPr="0043424E">
        <w:t>was much attached</w:t>
      </w:r>
      <w:proofErr w:type="gramEnd"/>
      <w:r w:rsidRPr="0043424E">
        <w:t xml:space="preserve"> to the integrity of the text.</w:t>
      </w:r>
    </w:p>
    <w:p w:rsidR="0043424E" w:rsidRDefault="0043424E" w:rsidP="0043424E"/>
    <w:p w:rsidR="0043424E" w:rsidRDefault="0043424E" w:rsidP="0043424E">
      <w:pPr>
        <w:pStyle w:val="ListParagraph"/>
        <w:numPr>
          <w:ilvl w:val="0"/>
          <w:numId w:val="4"/>
        </w:numPr>
        <w:ind w:left="0" w:firstLine="0"/>
      </w:pPr>
      <w:r w:rsidRPr="0043424E">
        <w:t>The Delegation of Indonesia,</w:t>
      </w:r>
      <w:r w:rsidR="00691FE5">
        <w:t xml:space="preserve"> speaking on behalf of the Asia-</w:t>
      </w:r>
      <w:r w:rsidRPr="0043424E">
        <w:t>Pacific Group, acknowledged</w:t>
      </w:r>
      <w:r w:rsidR="00691FE5">
        <w:t xml:space="preserve"> that</w:t>
      </w:r>
      <w:r w:rsidRPr="0043424E">
        <w:t xml:space="preserve"> it was not easy to reflect all interventions of Member States in Rev</w:t>
      </w:r>
      <w:r w:rsidR="00691FE5">
        <w:t>.</w:t>
      </w:r>
      <w:r w:rsidRPr="0043424E">
        <w:t xml:space="preserve"> 1.  It had been respectful </w:t>
      </w:r>
      <w:r>
        <w:t>of</w:t>
      </w:r>
      <w:r w:rsidRPr="0043424E">
        <w:t xml:space="preserve"> the </w:t>
      </w:r>
      <w:r>
        <w:t xml:space="preserve">Chair’s </w:t>
      </w:r>
      <w:r w:rsidRPr="0043424E">
        <w:t xml:space="preserve">methodology </w:t>
      </w:r>
      <w:r>
        <w:t xml:space="preserve">and guidance and </w:t>
      </w:r>
      <w:r w:rsidRPr="0043424E">
        <w:t>of the IGC</w:t>
      </w:r>
      <w:r w:rsidR="00691FE5">
        <w:t>’s</w:t>
      </w:r>
      <w:r w:rsidRPr="0043424E">
        <w:t xml:space="preserve"> mandate.</w:t>
      </w:r>
    </w:p>
    <w:p w:rsidR="0043424E" w:rsidRDefault="0043424E" w:rsidP="0043424E"/>
    <w:p w:rsidR="0043424E" w:rsidRDefault="0043424E" w:rsidP="0043424E">
      <w:pPr>
        <w:pStyle w:val="ListParagraph"/>
        <w:numPr>
          <w:ilvl w:val="0"/>
          <w:numId w:val="4"/>
        </w:numPr>
        <w:ind w:left="0" w:firstLine="0"/>
      </w:pPr>
      <w:r w:rsidRPr="0043424E">
        <w:t>The Delegation of Ecuador, speaking on behalf of GRULAC, said that Rev</w:t>
      </w:r>
      <w:r w:rsidR="007B532B">
        <w:t>.</w:t>
      </w:r>
      <w:r w:rsidRPr="0043424E">
        <w:t xml:space="preserve"> 1 was work in progress. </w:t>
      </w:r>
      <w:r>
        <w:t xml:space="preserve"> </w:t>
      </w:r>
      <w:r w:rsidRPr="0043424E">
        <w:t xml:space="preserve">It was open to continue working on </w:t>
      </w:r>
      <w:r w:rsidR="007B532B">
        <w:t>Rev. 1</w:t>
      </w:r>
      <w:r w:rsidRPr="0043424E">
        <w:t xml:space="preserve"> in a general way to continue with the discussions within the IGC</w:t>
      </w:r>
      <w:r w:rsidR="007B532B">
        <w:t>’s</w:t>
      </w:r>
      <w:r w:rsidRPr="0043424E">
        <w:t xml:space="preserve"> mandate.  It would make </w:t>
      </w:r>
      <w:proofErr w:type="gramStart"/>
      <w:r w:rsidRPr="0043424E">
        <w:t>more detailed comments</w:t>
      </w:r>
      <w:proofErr w:type="gramEnd"/>
      <w:r w:rsidRPr="0043424E">
        <w:t xml:space="preserve"> </w:t>
      </w:r>
      <w:r w:rsidR="00D2480E">
        <w:t>later</w:t>
      </w:r>
      <w:r w:rsidRPr="0043424E">
        <w:t>.</w:t>
      </w:r>
    </w:p>
    <w:p w:rsidR="0043424E" w:rsidRDefault="0043424E" w:rsidP="0043424E"/>
    <w:p w:rsidR="00592221" w:rsidRDefault="0043424E" w:rsidP="00592221">
      <w:pPr>
        <w:pStyle w:val="ListParagraph"/>
        <w:numPr>
          <w:ilvl w:val="0"/>
          <w:numId w:val="4"/>
        </w:numPr>
        <w:ind w:left="0" w:firstLine="0"/>
      </w:pPr>
      <w:r w:rsidRPr="0043424E">
        <w:t xml:space="preserve">The Delegation of the EU, speaking on behalf of the EU and its Member States, </w:t>
      </w:r>
      <w:r w:rsidR="008667CC">
        <w:t>said that it had considered Rev. 1 and</w:t>
      </w:r>
      <w:r w:rsidRPr="0043424E">
        <w:t xml:space="preserve"> had detailed technical comments</w:t>
      </w:r>
      <w:r w:rsidR="008667CC">
        <w:t xml:space="preserve">, which </w:t>
      </w:r>
      <w:proofErr w:type="gramStart"/>
      <w:r w:rsidR="008667CC">
        <w:t>would be presented</w:t>
      </w:r>
      <w:proofErr w:type="gramEnd"/>
      <w:r w:rsidR="008667CC">
        <w:t xml:space="preserve"> later</w:t>
      </w:r>
      <w:r w:rsidRPr="0043424E">
        <w:t>.</w:t>
      </w:r>
    </w:p>
    <w:p w:rsidR="00592221" w:rsidRDefault="00592221" w:rsidP="00592221"/>
    <w:p w:rsidR="00592221" w:rsidRDefault="00592221" w:rsidP="00592221">
      <w:pPr>
        <w:pStyle w:val="ListParagraph"/>
        <w:numPr>
          <w:ilvl w:val="0"/>
          <w:numId w:val="4"/>
        </w:numPr>
        <w:ind w:left="0" w:firstLine="0"/>
      </w:pPr>
      <w:r w:rsidRPr="00592221">
        <w:t xml:space="preserve">The Delegation of Lithuania, speaking on behalf of </w:t>
      </w:r>
      <w:r w:rsidR="008667CC">
        <w:t xml:space="preserve">the </w:t>
      </w:r>
      <w:r w:rsidRPr="00592221">
        <w:t>CEBS</w:t>
      </w:r>
      <w:r w:rsidR="008667CC">
        <w:t xml:space="preserve"> Group</w:t>
      </w:r>
      <w:r w:rsidRPr="00592221">
        <w:t xml:space="preserve">, was not in favor of the instrument but, even though it was not a </w:t>
      </w:r>
      <w:r w:rsidRPr="008667CC">
        <w:t>demandeur</w:t>
      </w:r>
      <w:r w:rsidRPr="00592221">
        <w:t xml:space="preserve">, it appreciated the efforts </w:t>
      </w:r>
      <w:r>
        <w:t>of</w:t>
      </w:r>
      <w:r w:rsidR="008667CC">
        <w:t xml:space="preserve"> the facilitator and the Friend of the Chair</w:t>
      </w:r>
      <w:r w:rsidRPr="00592221">
        <w:t xml:space="preserve"> in preparing Rev</w:t>
      </w:r>
      <w:r w:rsidR="008667CC">
        <w:t>.</w:t>
      </w:r>
      <w:r w:rsidRPr="00592221">
        <w:t xml:space="preserve"> 1.  There were positive aspects in </w:t>
      </w:r>
      <w:r w:rsidR="008667CC">
        <w:t xml:space="preserve">Rev. 1, </w:t>
      </w:r>
      <w:r w:rsidRPr="00592221">
        <w:t>but there were</w:t>
      </w:r>
      <w:r>
        <w:t xml:space="preserve"> also</w:t>
      </w:r>
      <w:r w:rsidRPr="00592221">
        <w:t xml:space="preserve"> areas of difficulty, e.g., on definitions, sanctions, and provisions touching upon substantive patent law.  It was in favor of disclosure provisions, but </w:t>
      </w:r>
      <w:proofErr w:type="gramStart"/>
      <w:r w:rsidRPr="00592221">
        <w:t>there were some aspects that went beyond what was practically workable and realistic</w:t>
      </w:r>
      <w:proofErr w:type="gramEnd"/>
      <w:r w:rsidR="008667CC">
        <w:t>.</w:t>
      </w:r>
    </w:p>
    <w:p w:rsidR="00592221" w:rsidRDefault="00592221" w:rsidP="00592221"/>
    <w:p w:rsidR="00592221" w:rsidRDefault="00592221" w:rsidP="00592221">
      <w:pPr>
        <w:pStyle w:val="ListParagraph"/>
        <w:numPr>
          <w:ilvl w:val="0"/>
          <w:numId w:val="4"/>
        </w:numPr>
        <w:ind w:left="0" w:firstLine="0"/>
      </w:pPr>
      <w:r w:rsidRPr="00592221">
        <w:t>The Delegation of China said Rev</w:t>
      </w:r>
      <w:r w:rsidR="0071485C">
        <w:t>.</w:t>
      </w:r>
      <w:r w:rsidRPr="00592221">
        <w:t xml:space="preserve"> 1 contained </w:t>
      </w:r>
      <w:proofErr w:type="gramStart"/>
      <w:r w:rsidRPr="00592221">
        <w:t>lots of</w:t>
      </w:r>
      <w:proofErr w:type="gramEnd"/>
      <w:r w:rsidRPr="00592221">
        <w:t xml:space="preserve"> major modifications.  Some of them were simple, but there were many issues still subject to </w:t>
      </w:r>
      <w:r w:rsidR="00F731D9">
        <w:t>further debate</w:t>
      </w:r>
      <w:r w:rsidRPr="00592221">
        <w:t xml:space="preserve">.  The </w:t>
      </w:r>
      <w:proofErr w:type="gramStart"/>
      <w:r w:rsidRPr="00592221">
        <w:t>main</w:t>
      </w:r>
      <w:r w:rsidR="00F731D9">
        <w:t xml:space="preserve"> focus</w:t>
      </w:r>
      <w:proofErr w:type="gramEnd"/>
      <w:r w:rsidR="00F731D9">
        <w:t xml:space="preserve"> should be to resolve those</w:t>
      </w:r>
      <w:r w:rsidRPr="00592221">
        <w:t xml:space="preserve"> issue</w:t>
      </w:r>
      <w:r w:rsidR="00F731D9">
        <w:t>s</w:t>
      </w:r>
      <w:r w:rsidRPr="00592221">
        <w:t xml:space="preserve">.  </w:t>
      </w:r>
    </w:p>
    <w:p w:rsidR="00592221" w:rsidRDefault="00592221" w:rsidP="00592221"/>
    <w:p w:rsidR="00A57AE6" w:rsidRDefault="00592221" w:rsidP="00A57AE6">
      <w:pPr>
        <w:pStyle w:val="ListParagraph"/>
        <w:numPr>
          <w:ilvl w:val="0"/>
          <w:numId w:val="4"/>
        </w:numPr>
        <w:ind w:left="0" w:firstLine="0"/>
      </w:pPr>
      <w:r w:rsidRPr="00592221">
        <w:t xml:space="preserve">The Delegation of Australia </w:t>
      </w:r>
      <w:r w:rsidR="004C70C9">
        <w:t>stated that</w:t>
      </w:r>
      <w:r w:rsidRPr="00592221">
        <w:t xml:space="preserve"> Rev</w:t>
      </w:r>
      <w:r w:rsidR="004C70C9">
        <w:t>.</w:t>
      </w:r>
      <w:r w:rsidRPr="00592221">
        <w:t xml:space="preserve"> 1 was a useful document to continue the discussion.  With only two sessions on GRs, it was important for the IGC to foc</w:t>
      </w:r>
      <w:r w:rsidR="004C70C9">
        <w:t>us on reaching consensus.  The facilitator and the Friend of the Chair</w:t>
      </w:r>
      <w:r w:rsidRPr="00592221">
        <w:t xml:space="preserve"> </w:t>
      </w:r>
      <w:r>
        <w:t xml:space="preserve">had </w:t>
      </w:r>
      <w:r w:rsidRPr="00592221">
        <w:t>provided a good basis.  Article 3 on disclosure requirement and Article 5 on sanctions and remedies were a good reflection of the discussions and efforts to streamline.  H</w:t>
      </w:r>
      <w:r w:rsidR="004C70C9">
        <w:t>owever, the facilitator and the Friend of the Chair</w:t>
      </w:r>
      <w:r w:rsidRPr="00592221">
        <w:t xml:space="preserve"> could only do so much.  Member States needed to be open and hear what others had to say and resolve existing gaps.  It looked forward to engaging on specific aspects.</w:t>
      </w:r>
    </w:p>
    <w:p w:rsidR="00A57AE6" w:rsidRDefault="00A57AE6" w:rsidP="00A57AE6"/>
    <w:p w:rsidR="00A57AE6" w:rsidRDefault="00A57AE6" w:rsidP="00A57AE6">
      <w:pPr>
        <w:pStyle w:val="ListParagraph"/>
        <w:numPr>
          <w:ilvl w:val="0"/>
          <w:numId w:val="4"/>
        </w:numPr>
        <w:ind w:left="0" w:firstLine="0"/>
      </w:pPr>
      <w:r w:rsidRPr="00A57AE6">
        <w:t>The Delegation of Egypt was very surprised and rather pessimistic when reading Rev</w:t>
      </w:r>
      <w:r w:rsidR="003F4EAF">
        <w:t>.</w:t>
      </w:r>
      <w:r w:rsidRPr="00A57AE6">
        <w:t xml:space="preserve"> 1 because it only reflected the very limited positions of some Member States.  Rev</w:t>
      </w:r>
      <w:r w:rsidR="003F4EAF">
        <w:t>.</w:t>
      </w:r>
      <w:r w:rsidRPr="00A57AE6">
        <w:t xml:space="preserve"> 1 did not respect the IGC’s mandate to iron out difficulties.  After 18 years of work, the IGC was back to square one. </w:t>
      </w:r>
      <w:r>
        <w:t xml:space="preserve"> </w:t>
      </w:r>
      <w:r w:rsidRPr="00A57AE6">
        <w:t xml:space="preserve">It would be wise to </w:t>
      </w:r>
      <w:r w:rsidR="003F4EAF">
        <w:t>go back to d</w:t>
      </w:r>
      <w:r w:rsidRPr="00A57AE6">
        <w:t>ocument WIPO/GRTKF/IC/35/4 as the reference.</w:t>
      </w:r>
    </w:p>
    <w:p w:rsidR="00A57AE6" w:rsidRDefault="00A57AE6" w:rsidP="00A57AE6"/>
    <w:p w:rsidR="00A57AE6" w:rsidRPr="00020455" w:rsidRDefault="00A57AE6" w:rsidP="00A57AE6">
      <w:pPr>
        <w:pStyle w:val="ListParagraph"/>
        <w:numPr>
          <w:ilvl w:val="0"/>
          <w:numId w:val="4"/>
        </w:numPr>
        <w:ind w:left="0" w:firstLine="0"/>
      </w:pPr>
      <w:r w:rsidRPr="00020455">
        <w:t>The Delegation of the Islamic Republic of Iran said that it had expected the text on objectives to narrow the gaps.  It was surprised that the text was taking a different direction</w:t>
      </w:r>
      <w:proofErr w:type="gramStart"/>
      <w:r w:rsidRPr="00020455">
        <w:t>, basically</w:t>
      </w:r>
      <w:proofErr w:type="gramEnd"/>
      <w:r w:rsidRPr="00020455">
        <w:t xml:space="preserve"> crystallizing the differences and boldly showing the gaps.  It was a very good t</w:t>
      </w:r>
      <w:r w:rsidR="00020455">
        <w:t>ext in understanding each other’</w:t>
      </w:r>
      <w:r w:rsidRPr="00020455">
        <w:t>s position</w:t>
      </w:r>
      <w:r w:rsidR="00020455">
        <w:t>s</w:t>
      </w:r>
      <w:r w:rsidRPr="00020455">
        <w:t xml:space="preserve"> much more clearly.  At the end, the IGC needed to come up with a text that was agreeable to </w:t>
      </w:r>
      <w:r w:rsidR="00020455">
        <w:t>everyone</w:t>
      </w:r>
      <w:r w:rsidRPr="00020455">
        <w:t xml:space="preserve">.  Showing the differences was good to indicate differences and gaps.  The IGC had to go back and bridge those very clear gaps.  That would take extra efforts.  </w:t>
      </w:r>
    </w:p>
    <w:p w:rsidR="00A57AE6" w:rsidRDefault="00A57AE6" w:rsidP="00A57AE6">
      <w:pPr>
        <w:pStyle w:val="ListParagraph"/>
        <w:ind w:left="0"/>
      </w:pPr>
    </w:p>
    <w:p w:rsidR="00EF1D67" w:rsidRDefault="00A57AE6" w:rsidP="00EF1D67">
      <w:pPr>
        <w:pStyle w:val="ListParagraph"/>
        <w:numPr>
          <w:ilvl w:val="0"/>
          <w:numId w:val="4"/>
        </w:numPr>
        <w:ind w:left="0" w:firstLine="0"/>
      </w:pPr>
      <w:r w:rsidRPr="00A57AE6">
        <w:t xml:space="preserve">The Delegation of Nigeria noted the Chair’s emphasis </w:t>
      </w:r>
      <w:r>
        <w:t>on</w:t>
      </w:r>
      <w:r w:rsidRPr="00A57AE6">
        <w:t xml:space="preserve"> the need to preserve the integrity of the Consolidated Document.  It shared and deeply respected that sentiment.  The text on the objectives shared the day before </w:t>
      </w:r>
      <w:proofErr w:type="gramStart"/>
      <w:r w:rsidRPr="00A57AE6">
        <w:t>reflected</w:t>
      </w:r>
      <w:proofErr w:type="gramEnd"/>
      <w:r w:rsidRPr="00A57AE6">
        <w:t xml:space="preserve"> </w:t>
      </w:r>
      <w:r>
        <w:t>a</w:t>
      </w:r>
      <w:r w:rsidRPr="00A57AE6">
        <w:t xml:space="preserve"> narrowing of gaps and had raised its hopes. </w:t>
      </w:r>
      <w:r>
        <w:t xml:space="preserve"> </w:t>
      </w:r>
      <w:r w:rsidRPr="00A57AE6">
        <w:t>However, Rev</w:t>
      </w:r>
      <w:r w:rsidR="00DB1BC9">
        <w:t>.</w:t>
      </w:r>
      <w:r w:rsidRPr="00A57AE6">
        <w:t xml:space="preserve"> 1 contained a lot of new text and concepts that had moved the IGC further away from closing the gaps.  If the free flow of drafting suggestions continued to </w:t>
      </w:r>
      <w:proofErr w:type="gramStart"/>
      <w:r w:rsidRPr="00A57AE6">
        <w:t>be allowed</w:t>
      </w:r>
      <w:proofErr w:type="gramEnd"/>
      <w:r w:rsidRPr="00A57AE6">
        <w:t>, it would be counterproductive to the mandate.</w:t>
      </w:r>
      <w:r>
        <w:t xml:space="preserve"> </w:t>
      </w:r>
      <w:r w:rsidR="00DB1BC9">
        <w:t xml:space="preserve"> It was inclined to revert to d</w:t>
      </w:r>
      <w:r w:rsidRPr="00A57AE6">
        <w:t>ocument WIPO/GRTKF/IC/35/4 with stronger, clearer direction that really assisted moving forward.</w:t>
      </w:r>
    </w:p>
    <w:p w:rsidR="00EF1D67" w:rsidRDefault="00EF1D67" w:rsidP="00EF1D67"/>
    <w:p w:rsidR="00EF1D67" w:rsidRDefault="00EF1D67" w:rsidP="00EF1D67">
      <w:pPr>
        <w:pStyle w:val="ListParagraph"/>
        <w:numPr>
          <w:ilvl w:val="0"/>
          <w:numId w:val="4"/>
        </w:numPr>
        <w:ind w:left="0" w:firstLine="0"/>
      </w:pPr>
      <w:r w:rsidRPr="00EF1D67">
        <w:t xml:space="preserve">The Delegation of South Africa said </w:t>
      </w:r>
      <w:r w:rsidR="00FF7E95">
        <w:t>that the role of the f</w:t>
      </w:r>
      <w:r w:rsidRPr="00EF1D67">
        <w:t>acilitators was to summarize the general outpouring of comments within the IGC.  Over the past four years, the IGC had taken the approach of preparing Rev</w:t>
      </w:r>
      <w:r w:rsidR="00FF7E95">
        <w:t>.</w:t>
      </w:r>
      <w:r w:rsidRPr="00EF1D67">
        <w:t xml:space="preserve"> 1, having no status, and then Rev</w:t>
      </w:r>
      <w:r w:rsidR="00FF7E95">
        <w:t>.</w:t>
      </w:r>
      <w:r w:rsidRPr="00EF1D67">
        <w:t xml:space="preserve"> 2, which was given status by default and forwarded to the next session, without ever being seriously debated, </w:t>
      </w:r>
      <w:r w:rsidR="00FF7E95">
        <w:t>except</w:t>
      </w:r>
      <w:r w:rsidRPr="00EF1D67">
        <w:t xml:space="preserve"> for flagging issues of clarification and omissions.  The IGC had to make a decision on Rev</w:t>
      </w:r>
      <w:r w:rsidR="00FF7E95">
        <w:t>.</w:t>
      </w:r>
      <w:r w:rsidRPr="00EF1D67">
        <w:t xml:space="preserve"> 2</w:t>
      </w:r>
      <w:r>
        <w:t>, rather than forward</w:t>
      </w:r>
      <w:r w:rsidRPr="00EF1D67">
        <w:t xml:space="preserve"> it to the </w:t>
      </w:r>
      <w:r w:rsidR="00FF7E95">
        <w:t>GA</w:t>
      </w:r>
      <w:r w:rsidRPr="00EF1D67">
        <w:t xml:space="preserve"> by default an</w:t>
      </w:r>
      <w:r>
        <w:t>d</w:t>
      </w:r>
      <w:r w:rsidRPr="00EF1D67">
        <w:t xml:space="preserve"> without debate.  That important procedural issue needed to </w:t>
      </w:r>
      <w:proofErr w:type="gramStart"/>
      <w:r w:rsidRPr="00EF1D67">
        <w:t>be considered</w:t>
      </w:r>
      <w:proofErr w:type="gramEnd"/>
      <w:r w:rsidRPr="00EF1D67">
        <w:t xml:space="preserve">. </w:t>
      </w:r>
      <w:r>
        <w:t xml:space="preserve"> </w:t>
      </w:r>
      <w:r w:rsidRPr="00EF1D67">
        <w:t>Rev</w:t>
      </w:r>
      <w:r w:rsidR="00FF7E95">
        <w:t>.</w:t>
      </w:r>
      <w:r w:rsidRPr="00EF1D67">
        <w:t xml:space="preserve"> 2 did not reflect consensus but </w:t>
      </w:r>
      <w:proofErr w:type="gramStart"/>
      <w:r w:rsidRPr="00EF1D67">
        <w:t>was simply noted</w:t>
      </w:r>
      <w:proofErr w:type="gramEnd"/>
      <w:r w:rsidRPr="00EF1D67">
        <w:t>.  The IGC had to look at its methodology as a way of going forward.  It was not ready to engage with Rev</w:t>
      </w:r>
      <w:r w:rsidR="00EE5AA0">
        <w:t>.</w:t>
      </w:r>
      <w:r w:rsidRPr="00EF1D67">
        <w:t xml:space="preserve"> 1 and, like the Delegation of N</w:t>
      </w:r>
      <w:r w:rsidR="00EE5AA0">
        <w:t>igeria, it wished to revert to d</w:t>
      </w:r>
      <w:r w:rsidRPr="00EF1D67">
        <w:t>ocument WIPO/GRTKF/IC/35/4 as the negotiating text.  It ha</w:t>
      </w:r>
      <w:r w:rsidR="00EE5AA0">
        <w:t>d not had a chance to negotiate and</w:t>
      </w:r>
      <w:r w:rsidRPr="00EF1D67">
        <w:t xml:space="preserve"> there had</w:t>
      </w:r>
      <w:r w:rsidR="00EE5AA0">
        <w:t xml:space="preserve"> been only general discussions. </w:t>
      </w:r>
    </w:p>
    <w:p w:rsidR="00EF1D67" w:rsidRDefault="00EF1D67" w:rsidP="00EF1D67">
      <w:pPr>
        <w:pStyle w:val="ListParagraph"/>
        <w:ind w:left="0"/>
      </w:pPr>
    </w:p>
    <w:p w:rsidR="00EF1D67" w:rsidRDefault="00EF1D67" w:rsidP="00EF1D67">
      <w:pPr>
        <w:pStyle w:val="ListParagraph"/>
        <w:numPr>
          <w:ilvl w:val="0"/>
          <w:numId w:val="4"/>
        </w:numPr>
        <w:ind w:left="0" w:firstLine="0"/>
      </w:pPr>
      <w:r w:rsidRPr="00EF1D67">
        <w:t xml:space="preserve">The Delegation of India said </w:t>
      </w:r>
      <w:r w:rsidR="00EE5AA0">
        <w:t xml:space="preserve">that </w:t>
      </w:r>
      <w:r w:rsidRPr="00EF1D67">
        <w:t xml:space="preserve">there were two approaches </w:t>
      </w:r>
      <w:r w:rsidR="00EE5AA0">
        <w:t>in</w:t>
      </w:r>
      <w:r w:rsidRPr="00EF1D67">
        <w:t xml:space="preserve"> the text: </w:t>
      </w:r>
      <w:r w:rsidR="00EE5AA0">
        <w:t xml:space="preserve"> (1) mandatory disclosure </w:t>
      </w:r>
      <w:r w:rsidRPr="00EF1D67">
        <w:t>oriented text</w:t>
      </w:r>
      <w:proofErr w:type="gramStart"/>
      <w:r w:rsidR="00EE5AA0">
        <w:t>;  and</w:t>
      </w:r>
      <w:proofErr w:type="gramEnd"/>
      <w:r w:rsidR="00EE5AA0">
        <w:t xml:space="preserve"> (2) no disclosure </w:t>
      </w:r>
      <w:r w:rsidRPr="00EF1D67">
        <w:t xml:space="preserve">oriented text.  It said </w:t>
      </w:r>
      <w:r w:rsidR="00EE5AA0">
        <w:t xml:space="preserve">that </w:t>
      </w:r>
      <w:r w:rsidRPr="00EF1D67">
        <w:t xml:space="preserve">a majority of Member States </w:t>
      </w:r>
      <w:proofErr w:type="gramStart"/>
      <w:r w:rsidRPr="00EF1D67">
        <w:t>was aligned</w:t>
      </w:r>
      <w:proofErr w:type="gramEnd"/>
      <w:r w:rsidRPr="00EF1D67">
        <w:t xml:space="preserve"> with a man</w:t>
      </w:r>
      <w:r w:rsidR="00EE5AA0">
        <w:t xml:space="preserve">datory </w:t>
      </w:r>
      <w:r w:rsidRPr="00EF1D67">
        <w:t xml:space="preserve">disclosure </w:t>
      </w:r>
      <w:r w:rsidR="00EE5AA0">
        <w:t>requirement</w:t>
      </w:r>
      <w:r w:rsidRPr="00EF1D67">
        <w:t>.  It had re</w:t>
      </w:r>
      <w:r w:rsidR="00EE5AA0">
        <w:t>quested the proponents of a no-disclosure requirement</w:t>
      </w:r>
      <w:r w:rsidRPr="00EF1D67">
        <w:t xml:space="preserve"> to show flexibility and to support mandatory disclosure in the text.  In that way, the IGC could move forward. </w:t>
      </w:r>
      <w:r w:rsidR="00EE5AA0">
        <w:t xml:space="preserve"> </w:t>
      </w:r>
      <w:r w:rsidRPr="00EF1D67">
        <w:t xml:space="preserve">Document WIPO/GRTKF/IC/35/4 </w:t>
      </w:r>
      <w:proofErr w:type="gramStart"/>
      <w:r w:rsidRPr="00EF1D67">
        <w:t>should be considered</w:t>
      </w:r>
      <w:proofErr w:type="gramEnd"/>
      <w:r w:rsidRPr="00EF1D67">
        <w:t xml:space="preserve"> for further discussions.</w:t>
      </w:r>
    </w:p>
    <w:p w:rsidR="00EF1D67" w:rsidRDefault="00EF1D67" w:rsidP="00EF1D67"/>
    <w:p w:rsidR="00E327A6" w:rsidRDefault="00EF1D67" w:rsidP="00E327A6">
      <w:pPr>
        <w:pStyle w:val="ListParagraph"/>
        <w:numPr>
          <w:ilvl w:val="0"/>
          <w:numId w:val="4"/>
        </w:numPr>
        <w:ind w:left="0" w:firstLine="0"/>
      </w:pPr>
      <w:r w:rsidRPr="00EF1D67">
        <w:t>The Delegation of Indonesia was not in a position to engage in Rev</w:t>
      </w:r>
      <w:r w:rsidR="00232834">
        <w:t>.</w:t>
      </w:r>
      <w:r w:rsidRPr="00EF1D67">
        <w:t xml:space="preserve"> 1, which was not narrowing existing gaps or reaching a common understanding of core issues as per the mandate.  Therefore, it was not ready to discuss the recently introduced issues and concepts</w:t>
      </w:r>
      <w:r w:rsidR="00232834">
        <w:t>.</w:t>
      </w:r>
      <w:r w:rsidRPr="00EF1D67">
        <w:t xml:space="preserve">  It </w:t>
      </w:r>
      <w:r w:rsidR="00F82A40" w:rsidRPr="00EF1D67">
        <w:t xml:space="preserve">very much </w:t>
      </w:r>
      <w:r w:rsidRPr="00EF1D67">
        <w:t xml:space="preserve">appreciated </w:t>
      </w:r>
      <w:r w:rsidR="00232834" w:rsidRPr="00EF1D67">
        <w:t xml:space="preserve">the efforts </w:t>
      </w:r>
      <w:r w:rsidRPr="00EF1D67">
        <w:t xml:space="preserve">put forward by the </w:t>
      </w:r>
      <w:r w:rsidR="00232834">
        <w:t>f</w:t>
      </w:r>
      <w:r w:rsidRPr="00EF1D67">
        <w:t>acilitator</w:t>
      </w:r>
      <w:r w:rsidR="00232834">
        <w:t xml:space="preserve"> and the Friend of the Chair</w:t>
      </w:r>
      <w:r w:rsidRPr="00EF1D67">
        <w:t>, but it was concerned that a number of new issues introduced in Rev</w:t>
      </w:r>
      <w:r w:rsidR="00232834">
        <w:t>.</w:t>
      </w:r>
      <w:r w:rsidRPr="00EF1D67">
        <w:t xml:space="preserve"> 1 created major modifications. </w:t>
      </w:r>
      <w:r>
        <w:t xml:space="preserve"> </w:t>
      </w:r>
      <w:r w:rsidRPr="00EF1D67">
        <w:t>Rev</w:t>
      </w:r>
      <w:r w:rsidR="00232834">
        <w:t>.</w:t>
      </w:r>
      <w:r w:rsidRPr="00EF1D67">
        <w:t xml:space="preserve"> 1 was widening the gaps and not providing clarity.  It maintained its trust and support for the Chair and stood ready to engage constructively in any process to expedite the work, in accordance with the mandate.</w:t>
      </w:r>
    </w:p>
    <w:p w:rsidR="00E327A6" w:rsidRDefault="00E327A6" w:rsidP="00E327A6"/>
    <w:p w:rsidR="00E327A6" w:rsidRDefault="00E327A6" w:rsidP="00E327A6">
      <w:pPr>
        <w:pStyle w:val="ListParagraph"/>
        <w:numPr>
          <w:ilvl w:val="0"/>
          <w:numId w:val="4"/>
        </w:numPr>
        <w:ind w:left="0" w:firstLine="0"/>
      </w:pPr>
      <w:r w:rsidRPr="00E327A6">
        <w:t xml:space="preserve">The Delegation of Brazil supported the statements </w:t>
      </w:r>
      <w:r w:rsidR="00866876">
        <w:t xml:space="preserve">made </w:t>
      </w:r>
      <w:r w:rsidRPr="00E327A6">
        <w:t>by the Delegation of Indonesia</w:t>
      </w:r>
      <w:r w:rsidR="00866876">
        <w:t>,</w:t>
      </w:r>
      <w:r w:rsidRPr="00E327A6">
        <w:t xml:space="preserve"> on behalf of the LMCs, and agreed with the Deleg</w:t>
      </w:r>
      <w:r w:rsidR="00866876">
        <w:t>ations of Nigeria, South Africa</w:t>
      </w:r>
      <w:r w:rsidRPr="00E327A6">
        <w:t xml:space="preserve"> and other</w:t>
      </w:r>
      <w:r w:rsidR="00866876">
        <w:t>s</w:t>
      </w:r>
      <w:r w:rsidRPr="00E327A6">
        <w:t xml:space="preserve"> regarding the procedural aspects.  It had refrained from making specific textual proposals because the three first days of the session were to try to take the temp</w:t>
      </w:r>
      <w:r w:rsidR="00866876">
        <w:t>erature of the plenary so that the facilitator and the Friend of the Chair</w:t>
      </w:r>
      <w:r w:rsidRPr="00E327A6">
        <w:t xml:space="preserve"> could reflect and make proposals aimed at narrowing existing gaps.  The </w:t>
      </w:r>
      <w:r w:rsidR="00866876">
        <w:t>“work-in-progress”</w:t>
      </w:r>
      <w:r w:rsidRPr="00E327A6">
        <w:t xml:space="preserve"> circulate</w:t>
      </w:r>
      <w:r w:rsidR="00866876">
        <w:t>d the day before on objective</w:t>
      </w:r>
      <w:r w:rsidRPr="00E327A6">
        <w:t xml:space="preserve"> was going</w:t>
      </w:r>
      <w:r>
        <w:t xml:space="preserve"> in</w:t>
      </w:r>
      <w:r w:rsidRPr="00E327A6">
        <w:t xml:space="preserve"> the right direction. </w:t>
      </w:r>
      <w:r>
        <w:t xml:space="preserve"> </w:t>
      </w:r>
      <w:r w:rsidRPr="00E327A6">
        <w:t>However, Rev</w:t>
      </w:r>
      <w:r w:rsidR="00866876">
        <w:t>.</w:t>
      </w:r>
      <w:r w:rsidRPr="00E327A6">
        <w:t xml:space="preserve"> 1 widened the gaps and did not lead to the desired result.  The IGC had to reflect on potential ways to proceed.  The WIPO Rules of Procedure, for instance, included voting as one of the options to reach </w:t>
      </w:r>
      <w:r w:rsidR="00866876">
        <w:t xml:space="preserve">an </w:t>
      </w:r>
      <w:r w:rsidRPr="00E327A6">
        <w:t xml:space="preserve">agreement.  That was something for the IGC to consider. </w:t>
      </w:r>
      <w:r>
        <w:t xml:space="preserve"> </w:t>
      </w:r>
      <w:r w:rsidRPr="00E327A6">
        <w:t>It was ready to engage on further discussions if that was the consensus.</w:t>
      </w:r>
    </w:p>
    <w:p w:rsidR="00E327A6" w:rsidRDefault="00E327A6" w:rsidP="00E327A6"/>
    <w:p w:rsidR="00E327A6" w:rsidRDefault="00E327A6" w:rsidP="00E327A6">
      <w:pPr>
        <w:pStyle w:val="ListParagraph"/>
        <w:numPr>
          <w:ilvl w:val="0"/>
          <w:numId w:val="4"/>
        </w:numPr>
        <w:ind w:left="0" w:firstLine="0"/>
      </w:pPr>
      <w:r w:rsidRPr="00E327A6">
        <w:t xml:space="preserve">The Delegation of </w:t>
      </w:r>
      <w:r w:rsidR="006E31C3">
        <w:t xml:space="preserve">the Plurinational State of </w:t>
      </w:r>
      <w:r w:rsidRPr="00E327A6">
        <w:t xml:space="preserve">Bolivia supported the statement </w:t>
      </w:r>
      <w:r w:rsidR="00866876">
        <w:t xml:space="preserve">made </w:t>
      </w:r>
      <w:r w:rsidRPr="00E327A6">
        <w:t>by the Delegation of Indonesia</w:t>
      </w:r>
      <w:r w:rsidR="00866876">
        <w:t>,</w:t>
      </w:r>
      <w:r w:rsidRPr="00E327A6">
        <w:t xml:space="preserve"> on behalf of the LMCs.</w:t>
      </w:r>
    </w:p>
    <w:p w:rsidR="00E327A6" w:rsidRDefault="00E327A6" w:rsidP="00E327A6"/>
    <w:p w:rsidR="002F3B8E" w:rsidRDefault="00E327A6" w:rsidP="00151718">
      <w:pPr>
        <w:pStyle w:val="ListParagraph"/>
        <w:numPr>
          <w:ilvl w:val="0"/>
          <w:numId w:val="4"/>
        </w:numPr>
        <w:ind w:left="0" w:firstLine="0"/>
      </w:pPr>
      <w:r w:rsidRPr="00E327A6">
        <w:t xml:space="preserve">The Chair said that </w:t>
      </w:r>
      <w:r w:rsidR="00866876">
        <w:t xml:space="preserve">he </w:t>
      </w:r>
      <w:r w:rsidRPr="00E327A6">
        <w:t>could not reduce the gaps</w:t>
      </w:r>
      <w:r w:rsidR="00866876">
        <w:t xml:space="preserve"> himself and </w:t>
      </w:r>
      <w:proofErr w:type="gramStart"/>
      <w:r w:rsidR="00866876">
        <w:t>neither could</w:t>
      </w:r>
      <w:proofErr w:type="gramEnd"/>
      <w:r w:rsidR="00866876">
        <w:t xml:space="preserve"> the facilitator nor the Friend of the Chair</w:t>
      </w:r>
      <w:r w:rsidRPr="00E327A6">
        <w:t xml:space="preserve">.  Many delegations were not happy with </w:t>
      </w:r>
      <w:r>
        <w:t>Rev</w:t>
      </w:r>
      <w:r w:rsidR="00866876">
        <w:t>.</w:t>
      </w:r>
      <w:r>
        <w:t xml:space="preserve"> 1</w:t>
      </w:r>
      <w:r w:rsidR="00866876">
        <w:t>.  He</w:t>
      </w:r>
      <w:r w:rsidRPr="00E327A6">
        <w:t xml:space="preserve"> took their advice on that.  He felt that the text was helpful in clarifying the gaps for the negotiators to narrow.  He took the point of</w:t>
      </w:r>
      <w:r w:rsidR="002F3B8E">
        <w:t xml:space="preserve"> the Delegation of South Africa</w:t>
      </w:r>
      <w:r w:rsidRPr="00E327A6">
        <w:t xml:space="preserve"> that the IGC had been using a process for a long time, and maybe it needed to reflect on its efficiency.  </w:t>
      </w:r>
      <w:r w:rsidR="00400A33">
        <w:t xml:space="preserve">The Chair concluded that there was no consensus on Rev. 1 </w:t>
      </w:r>
      <w:proofErr w:type="gramStart"/>
      <w:r w:rsidR="00400A33">
        <w:t>being used</w:t>
      </w:r>
      <w:proofErr w:type="gramEnd"/>
      <w:r w:rsidR="00400A33">
        <w:t xml:space="preserve"> as the basis for further discussions.  As an information document only, Rev. 1</w:t>
      </w:r>
      <w:r w:rsidR="00400A33" w:rsidRPr="00593CB1">
        <w:t xml:space="preserve"> could </w:t>
      </w:r>
      <w:r w:rsidR="00400A33">
        <w:t>be a resource available to all M</w:t>
      </w:r>
      <w:r w:rsidR="00400A33" w:rsidRPr="00593CB1">
        <w:t>ember</w:t>
      </w:r>
      <w:r w:rsidR="00400A33">
        <w:t xml:space="preserve"> State</w:t>
      </w:r>
      <w:r w:rsidR="00400A33" w:rsidRPr="00593CB1">
        <w:t>s</w:t>
      </w:r>
      <w:r w:rsidR="00400A33">
        <w:t>,</w:t>
      </w:r>
      <w:r w:rsidR="00400A33" w:rsidRPr="00593CB1">
        <w:t xml:space="preserve"> as it </w:t>
      </w:r>
      <w:r w:rsidR="00400A33">
        <w:t>contained useful ideas</w:t>
      </w:r>
      <w:r w:rsidR="00400A33" w:rsidRPr="00593CB1">
        <w:t>.</w:t>
      </w:r>
      <w:r w:rsidR="00400A33">
        <w:t xml:space="preserve"> </w:t>
      </w:r>
      <w:r w:rsidR="00400A33" w:rsidRPr="00593CB1">
        <w:t xml:space="preserve"> The next revision would start from the baseline of </w:t>
      </w:r>
      <w:r w:rsidR="00400A33">
        <w:t>document WIPO/GRTKF/IC/</w:t>
      </w:r>
      <w:r w:rsidR="00400A33" w:rsidRPr="00593CB1">
        <w:t>35</w:t>
      </w:r>
      <w:r w:rsidR="00400A33">
        <w:t>/</w:t>
      </w:r>
      <w:r w:rsidR="00400A33" w:rsidRPr="00593CB1">
        <w:t xml:space="preserve">4.  </w:t>
      </w:r>
    </w:p>
    <w:p w:rsidR="002F3B8E" w:rsidRDefault="002F3B8E" w:rsidP="002F3B8E">
      <w:pPr>
        <w:pStyle w:val="ListParagraph"/>
        <w:ind w:left="0"/>
      </w:pPr>
    </w:p>
    <w:p w:rsidR="00A15573" w:rsidRDefault="007A304A" w:rsidP="00151718">
      <w:pPr>
        <w:pStyle w:val="ListParagraph"/>
        <w:numPr>
          <w:ilvl w:val="0"/>
          <w:numId w:val="4"/>
        </w:numPr>
        <w:ind w:left="0" w:firstLine="0"/>
      </w:pPr>
      <w:r w:rsidRPr="004A6A08">
        <w:t xml:space="preserve">[Note from the Secretariat: </w:t>
      </w:r>
      <w:r>
        <w:t xml:space="preserve"> The informal</w:t>
      </w:r>
      <w:r w:rsidR="00042A56">
        <w:t xml:space="preserve">, chaired by one of the Vice-Chairs Mr. </w:t>
      </w:r>
      <w:proofErr w:type="spellStart"/>
      <w:r w:rsidR="00042A56">
        <w:t>Liedes</w:t>
      </w:r>
      <w:proofErr w:type="spellEnd"/>
      <w:r w:rsidR="00042A56">
        <w:t>,</w:t>
      </w:r>
      <w:r>
        <w:t xml:space="preserve"> took place on the morning of March 22, 2018.  Three contact groups</w:t>
      </w:r>
      <w:r w:rsidR="00400A33">
        <w:t xml:space="preserve"> </w:t>
      </w:r>
      <w:proofErr w:type="gramStart"/>
      <w:r>
        <w:t>were established</w:t>
      </w:r>
      <w:proofErr w:type="gramEnd"/>
      <w:r>
        <w:t xml:space="preserve"> </w:t>
      </w:r>
      <w:r w:rsidR="00400A33">
        <w:t xml:space="preserve">to </w:t>
      </w:r>
      <w:r w:rsidR="00400A33">
        <w:lastRenderedPageBreak/>
        <w:t>address the issues of the preamble, the list of terms, and the disclosure</w:t>
      </w:r>
      <w:r w:rsidR="00CC33DD">
        <w:t xml:space="preserve"> requirement</w:t>
      </w:r>
      <w:r w:rsidR="00400A33">
        <w:t xml:space="preserve">, </w:t>
      </w:r>
      <w:r>
        <w:t xml:space="preserve">and </w:t>
      </w:r>
      <w:r w:rsidR="00400A33">
        <w:t xml:space="preserve">they </w:t>
      </w:r>
      <w:r>
        <w:t>met on the afternoon of March 22, 2018.  This part of the session took place on March 22, 2018 after the meeting of the contact groups.</w:t>
      </w:r>
      <w:r w:rsidRPr="004A6A08">
        <w:t>]</w:t>
      </w:r>
      <w:r>
        <w:t xml:space="preserve">  </w:t>
      </w:r>
      <w:r w:rsidR="00400A33">
        <w:t>The Chair</w:t>
      </w:r>
      <w:r w:rsidR="00A15573" w:rsidRPr="00A15573">
        <w:t xml:space="preserve"> invited the rapporteur of the c</w:t>
      </w:r>
      <w:r w:rsidR="00A15573">
        <w:t xml:space="preserve">ontact group </w:t>
      </w:r>
      <w:r w:rsidR="00A15573" w:rsidRPr="00A15573">
        <w:t xml:space="preserve">on the preamble, the Delegation of Brazil, to present on the results of their work. </w:t>
      </w:r>
    </w:p>
    <w:p w:rsidR="00A15573" w:rsidRDefault="00A15573" w:rsidP="00A15573"/>
    <w:p w:rsidR="003F19E9" w:rsidRDefault="00A15573" w:rsidP="003F19E9">
      <w:pPr>
        <w:pStyle w:val="ListParagraph"/>
        <w:numPr>
          <w:ilvl w:val="0"/>
          <w:numId w:val="4"/>
        </w:numPr>
        <w:ind w:left="0" w:firstLine="0"/>
      </w:pPr>
      <w:r w:rsidRPr="00A15573">
        <w:t>The Delegation of Brazil, speaking as the rapporteur for the contact group on the preamble, said that the preamble explained the purpose and philosophy of an</w:t>
      </w:r>
      <w:r>
        <w:t xml:space="preserve"> instrument </w:t>
      </w:r>
      <w:r w:rsidRPr="00A15573">
        <w:t>and provided guidance for the interpretation of the operative clauses.  Members had recognized that the alternative preamble was</w:t>
      </w:r>
      <w:r w:rsidR="002D4D96">
        <w:t xml:space="preserve"> a good basis, because</w:t>
      </w:r>
      <w:r>
        <w:t xml:space="preserve"> </w:t>
      </w:r>
      <w:r w:rsidRPr="00A15573">
        <w:t xml:space="preserve">it was more solid than the previous version of the preamble, with the caveat that there were pending discussions with capitals </w:t>
      </w:r>
      <w:proofErr w:type="gramStart"/>
      <w:r w:rsidRPr="00A15573">
        <w:t>to further address</w:t>
      </w:r>
      <w:proofErr w:type="gramEnd"/>
      <w:r w:rsidRPr="00A15573">
        <w:t xml:space="preserve"> the preamble.  The group recognized three main </w:t>
      </w:r>
      <w:r w:rsidR="00105BAA">
        <w:t>streams</w:t>
      </w:r>
      <w:r w:rsidRPr="00A15573">
        <w:t xml:space="preserve"> in the preamble: </w:t>
      </w:r>
      <w:r w:rsidR="00890651">
        <w:t xml:space="preserve"> </w:t>
      </w:r>
      <w:r w:rsidR="00B83A0C">
        <w:t>(1) </w:t>
      </w:r>
      <w:r w:rsidRPr="00A15573">
        <w:t xml:space="preserve">relationship </w:t>
      </w:r>
      <w:r>
        <w:t xml:space="preserve">between </w:t>
      </w:r>
      <w:r w:rsidR="00890651">
        <w:t>the</w:t>
      </w:r>
      <w:r>
        <w:t xml:space="preserve"> instrument on GRS and </w:t>
      </w:r>
      <w:r w:rsidRPr="00A15573">
        <w:t xml:space="preserve">the CBD and </w:t>
      </w:r>
      <w:r w:rsidR="00890651">
        <w:t xml:space="preserve">the </w:t>
      </w:r>
      <w:r w:rsidRPr="00A15573">
        <w:t>Nagoya Protocol</w:t>
      </w:r>
      <w:proofErr w:type="gramStart"/>
      <w:r w:rsidRPr="00A15573">
        <w:t xml:space="preserve">; </w:t>
      </w:r>
      <w:r w:rsidR="00890651">
        <w:t xml:space="preserve"> </w:t>
      </w:r>
      <w:proofErr w:type="gramEnd"/>
      <w:r w:rsidR="00B83A0C">
        <w:br/>
      </w:r>
      <w:r w:rsidRPr="00A15573">
        <w:t xml:space="preserve">(2) a traditional IP approach; </w:t>
      </w:r>
      <w:r w:rsidR="00890651">
        <w:t xml:space="preserve"> and </w:t>
      </w:r>
      <w:r w:rsidRPr="00A15573">
        <w:t xml:space="preserve">(3) </w:t>
      </w:r>
      <w:r w:rsidR="00890651">
        <w:t xml:space="preserve">the </w:t>
      </w:r>
      <w:r w:rsidRPr="00A15573">
        <w:t xml:space="preserve">interface between those two aspects.  Parts of the paragraphs related directly to an agreement on GRs and others were specific to IP.  There was some interconnection between some of them, and there was a need to better clarify that relation in other cases. </w:t>
      </w:r>
      <w:r>
        <w:t xml:space="preserve"> </w:t>
      </w:r>
      <w:r w:rsidRPr="00A15573">
        <w:t xml:space="preserve">The preamble was directly linked to the discussions on the </w:t>
      </w:r>
      <w:r>
        <w:t xml:space="preserve">operative </w:t>
      </w:r>
      <w:proofErr w:type="gramStart"/>
      <w:r>
        <w:t>articles,</w:t>
      </w:r>
      <w:proofErr w:type="gramEnd"/>
      <w:r>
        <w:t xml:space="preserve"> hence </w:t>
      </w:r>
      <w:r w:rsidRPr="00A15573">
        <w:t>some of the paragraphs were contingent on further discussions among members on the operative part of the instrument, in order to enable a drafting exercise.  Lastly, the group had discussed whether some paragraphs were not too operative to remain in the preamble and had considered ways to streamline them</w:t>
      </w:r>
      <w:r w:rsidR="00890651">
        <w:t>.  He invited the C</w:t>
      </w:r>
      <w:r w:rsidRPr="00A15573">
        <w:t xml:space="preserve">hair of the contact group to provide his views on the utility of the exercise and ways to further progress.  </w:t>
      </w:r>
    </w:p>
    <w:p w:rsidR="003F19E9" w:rsidRDefault="003F19E9" w:rsidP="003F19E9">
      <w:pPr>
        <w:pStyle w:val="ListParagraph"/>
        <w:ind w:left="0"/>
      </w:pPr>
    </w:p>
    <w:p w:rsidR="003F19E9" w:rsidRPr="00C61EBA" w:rsidRDefault="00772C09" w:rsidP="003F19E9">
      <w:pPr>
        <w:pStyle w:val="ListParagraph"/>
        <w:numPr>
          <w:ilvl w:val="0"/>
          <w:numId w:val="4"/>
        </w:numPr>
        <w:ind w:left="0" w:firstLine="0"/>
      </w:pPr>
      <w:r w:rsidRPr="00C61EBA">
        <w:t>Mr. Faizal Chery Sidharta, speaking as the C</w:t>
      </w:r>
      <w:r w:rsidR="00A15573" w:rsidRPr="00C61EBA">
        <w:t xml:space="preserve">hair of the </w:t>
      </w:r>
      <w:r w:rsidRPr="00C61EBA">
        <w:t>contact group, expressed his</w:t>
      </w:r>
      <w:r w:rsidR="00A15573" w:rsidRPr="00C61EBA">
        <w:t xml:space="preserve"> appreciation to the members of th</w:t>
      </w:r>
      <w:r w:rsidRPr="00C61EBA">
        <w:t>e group.  He</w:t>
      </w:r>
      <w:r w:rsidR="00A15573" w:rsidRPr="00C61EBA">
        <w:t xml:space="preserve"> said that their cooperation and active engagement had enabled </w:t>
      </w:r>
      <w:r w:rsidR="00C61EBA" w:rsidRPr="00C61EBA">
        <w:t>to go</w:t>
      </w:r>
      <w:r w:rsidR="00A15573" w:rsidRPr="00C61EBA">
        <w:t xml:space="preserve"> through all the paragraphs in the preamble.  With several improvements, revisions and consultations at a later stage, the alternat</w:t>
      </w:r>
      <w:r w:rsidR="00C61EBA" w:rsidRPr="00C61EBA">
        <w:t>ive preamble as drafted by the f</w:t>
      </w:r>
      <w:r w:rsidR="00A15573" w:rsidRPr="00C61EBA">
        <w:t>acilitators could be the way ahead on the draft instrument under negotiation.</w:t>
      </w:r>
    </w:p>
    <w:p w:rsidR="003F19E9" w:rsidRPr="00C61EBA" w:rsidRDefault="003F19E9" w:rsidP="003F19E9"/>
    <w:p w:rsidR="009706F3" w:rsidRPr="00C61EBA" w:rsidRDefault="00A15573" w:rsidP="009706F3">
      <w:pPr>
        <w:pStyle w:val="ListParagraph"/>
        <w:numPr>
          <w:ilvl w:val="0"/>
          <w:numId w:val="4"/>
        </w:numPr>
        <w:ind w:left="0" w:firstLine="0"/>
      </w:pPr>
      <w:r w:rsidRPr="00C61EBA">
        <w:t>The Chair opened the floor for questions</w:t>
      </w:r>
      <w:r w:rsidR="00772C09" w:rsidRPr="00C61EBA">
        <w:t xml:space="preserve"> and comments</w:t>
      </w:r>
      <w:r w:rsidRPr="00C61EBA">
        <w:t xml:space="preserve">.  </w:t>
      </w:r>
    </w:p>
    <w:p w:rsidR="009706F3" w:rsidRPr="00C61EBA" w:rsidRDefault="009706F3" w:rsidP="009706F3"/>
    <w:p w:rsidR="009706F3" w:rsidRPr="00C61EBA" w:rsidRDefault="009706F3" w:rsidP="009706F3">
      <w:pPr>
        <w:pStyle w:val="ListParagraph"/>
        <w:numPr>
          <w:ilvl w:val="0"/>
          <w:numId w:val="4"/>
        </w:numPr>
        <w:ind w:left="0" w:firstLine="0"/>
      </w:pPr>
      <w:r w:rsidRPr="00C61EBA">
        <w:t xml:space="preserve">The Delegation of Egypt said that the preamble had to come before the list of terms, because otherwise the latter would have no legal status.  </w:t>
      </w:r>
    </w:p>
    <w:p w:rsidR="009706F3" w:rsidRDefault="009706F3" w:rsidP="009706F3"/>
    <w:p w:rsidR="00B4705D" w:rsidRDefault="009706F3" w:rsidP="00B4705D">
      <w:pPr>
        <w:pStyle w:val="ListParagraph"/>
        <w:numPr>
          <w:ilvl w:val="0"/>
          <w:numId w:val="4"/>
        </w:numPr>
        <w:ind w:left="0" w:firstLine="0"/>
      </w:pPr>
      <w:r w:rsidRPr="009706F3">
        <w:t xml:space="preserve">The Chair invited </w:t>
      </w:r>
      <w:r w:rsidR="00C61EBA">
        <w:t xml:space="preserve">the Delegation of Nigeria, </w:t>
      </w:r>
      <w:r w:rsidRPr="009706F3">
        <w:t>the rapporteur of the contact group on the list of terms</w:t>
      </w:r>
      <w:r w:rsidR="00C61EBA">
        <w:t>, to provide his</w:t>
      </w:r>
      <w:r w:rsidRPr="009706F3">
        <w:t xml:space="preserve"> report. </w:t>
      </w:r>
    </w:p>
    <w:p w:rsidR="00B4705D" w:rsidRDefault="00B4705D" w:rsidP="00B4705D"/>
    <w:p w:rsidR="00BC421B" w:rsidRPr="00C37CE8" w:rsidRDefault="00B4705D" w:rsidP="00BC421B">
      <w:pPr>
        <w:pStyle w:val="ListParagraph"/>
        <w:numPr>
          <w:ilvl w:val="0"/>
          <w:numId w:val="4"/>
        </w:numPr>
        <w:ind w:left="0" w:firstLine="0"/>
      </w:pPr>
      <w:r w:rsidRPr="00B4705D">
        <w:t>The Delegation of Nigeria, speaking as the rapporteur of the contact group</w:t>
      </w:r>
      <w:r w:rsidR="006C2457">
        <w:t xml:space="preserve"> on the list of terms</w:t>
      </w:r>
      <w:r w:rsidRPr="00B4705D">
        <w:t xml:space="preserve">, said </w:t>
      </w:r>
      <w:r w:rsidR="006C2457">
        <w:t xml:space="preserve">that </w:t>
      </w:r>
      <w:r w:rsidRPr="00B4705D">
        <w:t xml:space="preserve">they had looked at seven key terms reflected in the operative articles relating to disclosure. </w:t>
      </w:r>
      <w:r>
        <w:t xml:space="preserve"> </w:t>
      </w:r>
      <w:r w:rsidRPr="00B4705D">
        <w:t xml:space="preserve">The group had tried as much as possible to close gaps and </w:t>
      </w:r>
      <w:r>
        <w:t xml:space="preserve">to </w:t>
      </w:r>
      <w:r w:rsidRPr="00B4705D">
        <w:t xml:space="preserve">harmonize the competing drafts. </w:t>
      </w:r>
      <w:r>
        <w:t xml:space="preserve"> </w:t>
      </w:r>
      <w:r w:rsidR="006C2457">
        <w:t>The first term was “traditional knowledge associated with genetic resources</w:t>
      </w:r>
      <w:r w:rsidRPr="00B4705D">
        <w:t>”</w:t>
      </w:r>
      <w:r w:rsidR="006C2457">
        <w:t>.</w:t>
      </w:r>
      <w:r w:rsidRPr="00B4705D">
        <w:t xml:space="preserve">  They had tried to marry the first option with the second </w:t>
      </w:r>
      <w:r>
        <w:t>one</w:t>
      </w:r>
      <w:r w:rsidR="006C2457">
        <w:t xml:space="preserve">, </w:t>
      </w:r>
      <w:r w:rsidRPr="00B4705D">
        <w:t>in order to h</w:t>
      </w:r>
      <w:r>
        <w:t>ave a synergistic definition</w:t>
      </w:r>
      <w:r w:rsidRPr="00B4705D">
        <w:t xml:space="preserve">. </w:t>
      </w:r>
      <w:r w:rsidR="00BC421B">
        <w:t xml:space="preserve"> </w:t>
      </w:r>
      <w:r w:rsidRPr="00B4705D">
        <w:t xml:space="preserve">The </w:t>
      </w:r>
      <w:r>
        <w:t>second</w:t>
      </w:r>
      <w:r w:rsidRPr="00B4705D">
        <w:t xml:space="preserve"> term was </w:t>
      </w:r>
      <w:r>
        <w:t>“</w:t>
      </w:r>
      <w:r w:rsidRPr="00B4705D">
        <w:t>country of</w:t>
      </w:r>
      <w:r w:rsidR="006C2457">
        <w:t xml:space="preserve"> origin</w:t>
      </w:r>
      <w:r>
        <w:t>”</w:t>
      </w:r>
      <w:r w:rsidR="006C2457">
        <w:t>.</w:t>
      </w:r>
      <w:r w:rsidRPr="00B4705D">
        <w:t xml:space="preserve">  It prefer</w:t>
      </w:r>
      <w:r>
        <w:t>red</w:t>
      </w:r>
      <w:r w:rsidRPr="00B4705D">
        <w:t xml:space="preserve"> the </w:t>
      </w:r>
      <w:r>
        <w:t>definition</w:t>
      </w:r>
      <w:r w:rsidR="00BC421B">
        <w:t xml:space="preserve"> that appeared first.  I</w:t>
      </w:r>
      <w:r w:rsidRPr="00B4705D">
        <w:t xml:space="preserve">t </w:t>
      </w:r>
      <w:r w:rsidR="00BC421B">
        <w:t>was</w:t>
      </w:r>
      <w:r w:rsidRPr="00B4705D">
        <w:t xml:space="preserve"> possible to </w:t>
      </w:r>
      <w:r w:rsidR="00BC421B">
        <w:t>stick to</w:t>
      </w:r>
      <w:r w:rsidRPr="00B4705D">
        <w:t xml:space="preserve"> the CBD for </w:t>
      </w:r>
      <w:r w:rsidR="00BC421B">
        <w:t>a</w:t>
      </w:r>
      <w:r w:rsidRPr="00B4705D">
        <w:t xml:space="preserve"> </w:t>
      </w:r>
      <w:r w:rsidR="006C2457" w:rsidRPr="00B4705D">
        <w:t xml:space="preserve">more </w:t>
      </w:r>
      <w:r w:rsidRPr="00B4705D">
        <w:t xml:space="preserve">scientific expression of the authenticity of origin on </w:t>
      </w:r>
      <w:r w:rsidR="00BC421B">
        <w:t xml:space="preserve">a </w:t>
      </w:r>
      <w:r w:rsidRPr="00B4705D">
        <w:t>practical</w:t>
      </w:r>
      <w:r w:rsidR="00BC421B">
        <w:t>,</w:t>
      </w:r>
      <w:r w:rsidRPr="00B4705D">
        <w:t xml:space="preserve"> scientific and evidentiary basis to avoid the rest of the </w:t>
      </w:r>
      <w:r w:rsidR="00BC421B">
        <w:t>definition</w:t>
      </w:r>
      <w:r w:rsidRPr="00B4705D">
        <w:t xml:space="preserve"> of selecting a</w:t>
      </w:r>
      <w:r w:rsidR="00BC421B">
        <w:t>n</w:t>
      </w:r>
      <w:r w:rsidRPr="00B4705D">
        <w:t xml:space="preserve"> origin of </w:t>
      </w:r>
      <w:r w:rsidR="00BC421B">
        <w:t>convenience</w:t>
      </w:r>
      <w:r w:rsidR="006C2457">
        <w:t xml:space="preserve"> by any</w:t>
      </w:r>
      <w:r w:rsidRPr="00B4705D">
        <w:t xml:space="preserve">one seeking to access GRs. </w:t>
      </w:r>
      <w:r w:rsidR="00BC421B">
        <w:t xml:space="preserve"> </w:t>
      </w:r>
      <w:r w:rsidRPr="00F966DF">
        <w:t>The ch</w:t>
      </w:r>
      <w:r w:rsidR="00F966DF" w:rsidRPr="00F966DF">
        <w:t>oice was whether to stick with the</w:t>
      </w:r>
      <w:r w:rsidRPr="00F966DF">
        <w:t xml:space="preserve"> CBD text or to get a unique definition.  The </w:t>
      </w:r>
      <w:r w:rsidR="00BC421B" w:rsidRPr="00F966DF">
        <w:t>third</w:t>
      </w:r>
      <w:r w:rsidR="00F966DF" w:rsidRPr="00F966DF">
        <w:t xml:space="preserve"> term was “providing country</w:t>
      </w:r>
      <w:r w:rsidRPr="00F966DF">
        <w:t>”</w:t>
      </w:r>
      <w:r w:rsidR="00F966DF" w:rsidRPr="00F966DF">
        <w:t>.</w:t>
      </w:r>
      <w:r w:rsidRPr="00F966DF">
        <w:t xml:space="preserve">  It wondered if that definition was necessary or dispensable.  Some members in the group had expressed reservations over </w:t>
      </w:r>
      <w:r w:rsidR="00BC421B" w:rsidRPr="00F966DF">
        <w:t xml:space="preserve">a </w:t>
      </w:r>
      <w:r w:rsidRPr="00F966DF">
        <w:t xml:space="preserve">reference to the Nagoya Protocol, and some had preferred consistency with the Nagoya Protocol, which was actually what that text had done.  There was an alternative definition that was neutral and </w:t>
      </w:r>
      <w:proofErr w:type="gramStart"/>
      <w:r w:rsidRPr="00F966DF">
        <w:t>made no reference</w:t>
      </w:r>
      <w:proofErr w:type="gramEnd"/>
      <w:r w:rsidRPr="00F966DF">
        <w:t xml:space="preserve"> to the Nagoya Protocol.  On</w:t>
      </w:r>
      <w:r w:rsidR="00BC421B" w:rsidRPr="00F966DF">
        <w:t xml:space="preserve"> the term</w:t>
      </w:r>
      <w:r w:rsidR="00F966DF" w:rsidRPr="00F966DF">
        <w:t xml:space="preserve"> “derivative</w:t>
      </w:r>
      <w:r w:rsidRPr="00F966DF">
        <w:t>”</w:t>
      </w:r>
      <w:r w:rsidR="00F966DF" w:rsidRPr="00F966DF">
        <w:t>,</w:t>
      </w:r>
      <w:r w:rsidRPr="00F966DF">
        <w:t xml:space="preserve"> although the group </w:t>
      </w:r>
      <w:proofErr w:type="gramStart"/>
      <w:r w:rsidRPr="00F966DF">
        <w:t>had</w:t>
      </w:r>
      <w:r w:rsidR="00BC421B" w:rsidRPr="00F966DF">
        <w:t xml:space="preserve"> not been assigned</w:t>
      </w:r>
      <w:proofErr w:type="gramEnd"/>
      <w:r w:rsidR="00BC421B" w:rsidRPr="00F966DF">
        <w:t xml:space="preserve"> to tackle that term, </w:t>
      </w:r>
      <w:r w:rsidR="00F966DF" w:rsidRPr="00F966DF">
        <w:t>the group</w:t>
      </w:r>
      <w:r w:rsidRPr="00F966DF">
        <w:t xml:space="preserve"> noted that it could be addressed in the definition of GRs</w:t>
      </w:r>
      <w:r w:rsidR="00F966DF" w:rsidRPr="00F966DF">
        <w:t>, as the facilitator and the Friend of the Chair</w:t>
      </w:r>
      <w:r w:rsidRPr="00F966DF">
        <w:t xml:space="preserve"> had demonstrated. </w:t>
      </w:r>
      <w:r w:rsidR="00BC421B" w:rsidRPr="00F966DF">
        <w:t xml:space="preserve"> </w:t>
      </w:r>
      <w:r w:rsidRPr="00F966DF">
        <w:t>One member of the contact group had suggested deleting the reference t</w:t>
      </w:r>
      <w:r w:rsidR="00F966DF" w:rsidRPr="00F966DF">
        <w:t>o “functional units of heredity</w:t>
      </w:r>
      <w:r w:rsidRPr="00F966DF">
        <w:t>”</w:t>
      </w:r>
      <w:r w:rsidR="00F966DF" w:rsidRPr="00F966DF">
        <w:t>.</w:t>
      </w:r>
      <w:r w:rsidRPr="00F966DF">
        <w:t xml:space="preserve">  The </w:t>
      </w:r>
      <w:r w:rsidR="00636C3C" w:rsidRPr="00F966DF">
        <w:t>following</w:t>
      </w:r>
      <w:r w:rsidR="00BC421B" w:rsidRPr="00F966DF">
        <w:t xml:space="preserve"> </w:t>
      </w:r>
      <w:r w:rsidRPr="00F966DF">
        <w:t>term “directly based on” was the elephant</w:t>
      </w:r>
      <w:r w:rsidR="00F966DF">
        <w:t xml:space="preserve"> in the room.  The group</w:t>
      </w:r>
      <w:r w:rsidRPr="00B4705D">
        <w:t xml:space="preserve"> had considered deleting it but one member had opposed </w:t>
      </w:r>
      <w:r w:rsidR="00F966DF">
        <w:t xml:space="preserve">the </w:t>
      </w:r>
      <w:r w:rsidRPr="00B4705D">
        <w:t xml:space="preserve">deletion. </w:t>
      </w:r>
      <w:r w:rsidR="00636C3C">
        <w:t xml:space="preserve"> </w:t>
      </w:r>
      <w:r w:rsidRPr="00B4705D">
        <w:t xml:space="preserve">The </w:t>
      </w:r>
      <w:r w:rsidRPr="00B4705D">
        <w:lastRenderedPageBreak/>
        <w:t xml:space="preserve">debate was on physical access or use of information.  </w:t>
      </w:r>
      <w:r w:rsidR="00F966DF">
        <w:t>The group wondered</w:t>
      </w:r>
      <w:r w:rsidRPr="00B4705D">
        <w:t xml:space="preserve"> w</w:t>
      </w:r>
      <w:r w:rsidR="00BC421B">
        <w:t>hat the reference to “immediate</w:t>
      </w:r>
      <w:r w:rsidRPr="00B4705D">
        <w:t xml:space="preserve"> use of GRs</w:t>
      </w:r>
      <w:r w:rsidR="00BC421B">
        <w:t>”</w:t>
      </w:r>
      <w:r w:rsidRPr="00B4705D">
        <w:t xml:space="preserve"> was in relation</w:t>
      </w:r>
      <w:r w:rsidR="00636C3C">
        <w:t xml:space="preserve"> to</w:t>
      </w:r>
      <w:r w:rsidRPr="00B4705D">
        <w:t>:</w:t>
      </w:r>
      <w:r w:rsidR="00F966DF">
        <w:t xml:space="preserve"> </w:t>
      </w:r>
      <w:r w:rsidRPr="00B4705D">
        <w:t xml:space="preserve"> the </w:t>
      </w:r>
      <w:r w:rsidR="00BC421B">
        <w:t xml:space="preserve">digital sequence of </w:t>
      </w:r>
      <w:r w:rsidRPr="00B4705D">
        <w:t>information, the physical GRs, or both.  Both “utilization” and “di</w:t>
      </w:r>
      <w:r w:rsidR="00636C3C">
        <w:t xml:space="preserve">rectly based on” did not give </w:t>
      </w:r>
      <w:r w:rsidRPr="00B4705D">
        <w:t>causality for</w:t>
      </w:r>
      <w:r w:rsidR="00BC421B">
        <w:t xml:space="preserve"> purposes</w:t>
      </w:r>
      <w:r w:rsidR="00636C3C">
        <w:t xml:space="preserve"> of</w:t>
      </w:r>
      <w:r w:rsidRPr="00B4705D">
        <w:t xml:space="preserve"> IP and disclosure of origin, yet those were the key terms to work on.  The </w:t>
      </w:r>
      <w:r w:rsidR="00636C3C">
        <w:t>next</w:t>
      </w:r>
      <w:r w:rsidR="00F966DF">
        <w:t xml:space="preserve"> definitional issue was GRs.</w:t>
      </w:r>
      <w:r w:rsidRPr="00B4705D">
        <w:t xml:space="preserve">  The definition in the text was good and consistent with othe</w:t>
      </w:r>
      <w:r w:rsidR="00F966DF">
        <w:t>r documents.  The group wondered if it</w:t>
      </w:r>
      <w:r w:rsidRPr="00B4705D">
        <w:t xml:space="preserve"> </w:t>
      </w:r>
      <w:proofErr w:type="gramStart"/>
      <w:r w:rsidRPr="00B4705D">
        <w:t xml:space="preserve">could </w:t>
      </w:r>
      <w:r w:rsidR="00F966DF">
        <w:t xml:space="preserve">be </w:t>
      </w:r>
      <w:r w:rsidRPr="00B4705D">
        <w:t>merge</w:t>
      </w:r>
      <w:r w:rsidR="00F966DF">
        <w:t>d</w:t>
      </w:r>
      <w:proofErr w:type="gramEnd"/>
      <w:r w:rsidRPr="00B4705D">
        <w:t xml:space="preserve"> with the definition of genetic material.</w:t>
      </w:r>
      <w:r w:rsidR="00BC421B">
        <w:t xml:space="preserve"> </w:t>
      </w:r>
      <w:r w:rsidR="00F966DF">
        <w:t xml:space="preserve"> In trying to define GRs, the group</w:t>
      </w:r>
      <w:r w:rsidRPr="00B4705D">
        <w:t xml:space="preserve"> wanted to address the notion of deri</w:t>
      </w:r>
      <w:r w:rsidR="00636C3C">
        <w:t>vatives and digital information</w:t>
      </w:r>
      <w:r w:rsidRPr="00B4705D">
        <w:t xml:space="preserve">.  </w:t>
      </w:r>
      <w:r w:rsidR="00BC421B">
        <w:t>On the term</w:t>
      </w:r>
      <w:r w:rsidR="00F966DF">
        <w:t xml:space="preserve"> “source</w:t>
      </w:r>
      <w:r w:rsidRPr="00B4705D">
        <w:t>”</w:t>
      </w:r>
      <w:r w:rsidR="00F966DF">
        <w:t>,</w:t>
      </w:r>
      <w:r w:rsidRPr="00B4705D">
        <w:t xml:space="preserve"> the group preferred the fi</w:t>
      </w:r>
      <w:r w:rsidR="00F966DF">
        <w:t>rst option because</w:t>
      </w:r>
      <w:r w:rsidRPr="00B4705D">
        <w:t xml:space="preserve"> it was simpler and closed the gap.  </w:t>
      </w:r>
      <w:r w:rsidR="0079183A" w:rsidRPr="00C37CE8">
        <w:t>Regarding “utilization</w:t>
      </w:r>
      <w:r w:rsidRPr="00C37CE8">
        <w:t>”</w:t>
      </w:r>
      <w:r w:rsidR="0079183A" w:rsidRPr="00C37CE8">
        <w:t>, the group</w:t>
      </w:r>
      <w:r w:rsidRPr="00C37CE8">
        <w:t xml:space="preserve"> wanted to work with the first alternative in the text, and it recommended linking it with innovation that could trigger disclosure, consistent with the proposed definition of TK.  </w:t>
      </w:r>
      <w:r w:rsidR="00636C3C" w:rsidRPr="00C37CE8">
        <w:t>I</w:t>
      </w:r>
      <w:r w:rsidRPr="00C37CE8">
        <w:t xml:space="preserve">t had been impossible to develop a single trigger and content option within the </w:t>
      </w:r>
      <w:r w:rsidR="00636C3C" w:rsidRPr="00C37CE8">
        <w:t xml:space="preserve">allocated </w:t>
      </w:r>
      <w:proofErr w:type="gramStart"/>
      <w:r w:rsidR="00636C3C" w:rsidRPr="00C37CE8">
        <w:t xml:space="preserve">time </w:t>
      </w:r>
      <w:r w:rsidRPr="00C37CE8">
        <w:t>period</w:t>
      </w:r>
      <w:proofErr w:type="gramEnd"/>
      <w:r w:rsidRPr="00C37CE8">
        <w:t xml:space="preserve">. </w:t>
      </w:r>
    </w:p>
    <w:p w:rsidR="00BC421B" w:rsidRDefault="00BC421B" w:rsidP="00BC421B">
      <w:pPr>
        <w:pStyle w:val="ListParagraph"/>
        <w:ind w:left="0"/>
      </w:pPr>
    </w:p>
    <w:p w:rsidR="00636C3C" w:rsidRDefault="00C37CE8" w:rsidP="00BC421B">
      <w:pPr>
        <w:pStyle w:val="ListParagraph"/>
        <w:numPr>
          <w:ilvl w:val="0"/>
          <w:numId w:val="4"/>
        </w:numPr>
        <w:ind w:left="0" w:firstLine="0"/>
      </w:pPr>
      <w:r>
        <w:t>Mr.</w:t>
      </w:r>
      <w:r w:rsidR="00B4705D" w:rsidRPr="00BC421B">
        <w:t xml:space="preserve"> Jukka Liedes</w:t>
      </w:r>
      <w:r>
        <w:t>, speaking as the Chair of the contact group,</w:t>
      </w:r>
      <w:r w:rsidR="00B4705D" w:rsidRPr="00BC421B">
        <w:t xml:space="preserve"> said that there was high level of knowledge, experience and analytic capacity within the group.  It was obvious, early on, that it would be impossible to </w:t>
      </w:r>
      <w:r w:rsidR="00636C3C">
        <w:t>draft</w:t>
      </w:r>
      <w:r w:rsidR="00B4705D" w:rsidRPr="00BC421B">
        <w:t xml:space="preserve"> any new text, and the group </w:t>
      </w:r>
      <w:r w:rsidR="00636C3C">
        <w:t xml:space="preserve">had </w:t>
      </w:r>
      <w:r w:rsidR="00B4705D" w:rsidRPr="00BC421B">
        <w:t xml:space="preserve">decided not to treat those elements in the list of </w:t>
      </w:r>
      <w:proofErr w:type="gramStart"/>
      <w:r w:rsidR="00B4705D" w:rsidRPr="00BC421B">
        <w:t>terms which</w:t>
      </w:r>
      <w:proofErr w:type="gramEnd"/>
      <w:r w:rsidR="00B4705D" w:rsidRPr="00BC421B">
        <w:t xml:space="preserve"> were not </w:t>
      </w:r>
      <w:r w:rsidR="00636C3C">
        <w:t>with</w:t>
      </w:r>
      <w:r w:rsidR="00B4705D" w:rsidRPr="00BC421B">
        <w:t xml:space="preserve">in its remit. </w:t>
      </w:r>
      <w:r w:rsidR="00636C3C">
        <w:t xml:space="preserve"> </w:t>
      </w:r>
      <w:r w:rsidR="00B4705D" w:rsidRPr="00BC421B">
        <w:t xml:space="preserve">That made it possible to work through </w:t>
      </w:r>
      <w:r w:rsidR="00636C3C">
        <w:t>the terms</w:t>
      </w:r>
      <w:r w:rsidR="00B4705D" w:rsidRPr="00BC421B">
        <w:t>.  The group had been able to</w:t>
      </w:r>
      <w:r w:rsidR="00636C3C">
        <w:t xml:space="preserve"> put together some observations but t</w:t>
      </w:r>
      <w:r w:rsidR="00B4705D" w:rsidRPr="00BC421B">
        <w:t>he package</w:t>
      </w:r>
      <w:r w:rsidR="00636C3C">
        <w:t xml:space="preserve"> of issues</w:t>
      </w:r>
      <w:r w:rsidR="00B4705D" w:rsidRPr="00BC421B">
        <w:t xml:space="preserve"> was far too big </w:t>
      </w:r>
      <w:r w:rsidR="00636C3C">
        <w:t xml:space="preserve">for a group of ten people to deal with </w:t>
      </w:r>
      <w:r w:rsidR="00B4705D" w:rsidRPr="00BC421B">
        <w:t xml:space="preserve">within two hours. </w:t>
      </w:r>
      <w:r w:rsidR="00636C3C">
        <w:t xml:space="preserve"> </w:t>
      </w:r>
      <w:r w:rsidR="00B4705D" w:rsidRPr="00BC421B">
        <w:t xml:space="preserve">In the future, the package should be smaller. </w:t>
      </w:r>
      <w:r w:rsidR="00636C3C">
        <w:t xml:space="preserve"> </w:t>
      </w:r>
      <w:proofErr w:type="gramStart"/>
      <w:r w:rsidR="00636C3C">
        <w:t>All in all</w:t>
      </w:r>
      <w:proofErr w:type="gramEnd"/>
      <w:r w:rsidR="00636C3C">
        <w:t>, the pilot had been an enjoyable and successful exercise and i</w:t>
      </w:r>
      <w:r w:rsidR="00B4705D" w:rsidRPr="00BC421B">
        <w:t xml:space="preserve">t was proof that that working method might function. </w:t>
      </w:r>
    </w:p>
    <w:p w:rsidR="00BC421B" w:rsidRDefault="00BC421B" w:rsidP="00636C3C">
      <w:pPr>
        <w:pStyle w:val="ListParagraph"/>
        <w:ind w:left="0"/>
      </w:pPr>
    </w:p>
    <w:p w:rsidR="00BC421B" w:rsidRDefault="00B4705D" w:rsidP="00BC421B">
      <w:pPr>
        <w:pStyle w:val="ListParagraph"/>
        <w:numPr>
          <w:ilvl w:val="0"/>
          <w:numId w:val="4"/>
        </w:numPr>
        <w:ind w:left="0" w:firstLine="0"/>
      </w:pPr>
      <w:r w:rsidRPr="00BC421B">
        <w:t xml:space="preserve">The Chair opened the floor for </w:t>
      </w:r>
      <w:r w:rsidR="00C37CE8">
        <w:t xml:space="preserve">questions and </w:t>
      </w:r>
      <w:r w:rsidRPr="00BC421B">
        <w:t xml:space="preserve">comments. </w:t>
      </w:r>
    </w:p>
    <w:p w:rsidR="00BC421B" w:rsidRDefault="00BC421B" w:rsidP="00BC421B"/>
    <w:p w:rsidR="00BC421B" w:rsidRDefault="00B4705D" w:rsidP="00BC421B">
      <w:pPr>
        <w:pStyle w:val="ListParagraph"/>
        <w:numPr>
          <w:ilvl w:val="0"/>
          <w:numId w:val="4"/>
        </w:numPr>
        <w:ind w:left="0" w:firstLine="0"/>
      </w:pPr>
      <w:r w:rsidRPr="00BC421B">
        <w:t xml:space="preserve">The Delegation of Morocco thanked the contact group for </w:t>
      </w:r>
      <w:r w:rsidR="00C37CE8">
        <w:t>its</w:t>
      </w:r>
      <w:r w:rsidRPr="00BC421B">
        <w:t xml:space="preserve"> remarkable work.  It asked to see the comments and the revised list</w:t>
      </w:r>
      <w:r w:rsidR="00636C3C">
        <w:t xml:space="preserve"> in writing</w:t>
      </w:r>
      <w:r w:rsidRPr="00BC421B">
        <w:t xml:space="preserve"> to</w:t>
      </w:r>
      <w:r w:rsidR="00636C3C">
        <w:t xml:space="preserve"> be able to</w:t>
      </w:r>
      <w:r w:rsidRPr="00BC421B">
        <w:t xml:space="preserve"> look at it in detail.   </w:t>
      </w:r>
    </w:p>
    <w:p w:rsidR="00BC421B" w:rsidRDefault="00BC421B" w:rsidP="00BC421B"/>
    <w:p w:rsidR="00BC421B" w:rsidRDefault="00B4705D" w:rsidP="00BC421B">
      <w:pPr>
        <w:pStyle w:val="ListParagraph"/>
        <w:numPr>
          <w:ilvl w:val="0"/>
          <w:numId w:val="4"/>
        </w:numPr>
        <w:ind w:left="0" w:firstLine="0"/>
      </w:pPr>
      <w:r w:rsidRPr="00BC421B">
        <w:t xml:space="preserve">The Delegation of Brazil thanked the participants of the contact group. </w:t>
      </w:r>
      <w:r w:rsidR="00636C3C">
        <w:t xml:space="preserve"> </w:t>
      </w:r>
      <w:r w:rsidRPr="00BC421B">
        <w:t xml:space="preserve">Despite the very short time, they had </w:t>
      </w:r>
      <w:r w:rsidR="00636C3C">
        <w:t xml:space="preserve">made </w:t>
      </w:r>
      <w:r w:rsidRPr="00BC421B">
        <w:t xml:space="preserve">a very impressive number of statements in relation to the core issue. </w:t>
      </w:r>
      <w:r w:rsidR="00636C3C">
        <w:t xml:space="preserve"> </w:t>
      </w:r>
      <w:r w:rsidRPr="00BC421B">
        <w:t xml:space="preserve">It asked if the group had discussed the conversion of the list of terms into an article, or whether that </w:t>
      </w:r>
      <w:proofErr w:type="gramStart"/>
      <w:r w:rsidRPr="00BC421B">
        <w:t>had been left</w:t>
      </w:r>
      <w:proofErr w:type="gramEnd"/>
      <w:r w:rsidRPr="00BC421B">
        <w:t xml:space="preserve"> to future discussion.  </w:t>
      </w:r>
    </w:p>
    <w:p w:rsidR="00BC421B" w:rsidRDefault="00BC421B" w:rsidP="00BC421B"/>
    <w:p w:rsidR="00400E81" w:rsidRDefault="00C37CE8" w:rsidP="00400E81">
      <w:pPr>
        <w:pStyle w:val="ListParagraph"/>
        <w:numPr>
          <w:ilvl w:val="0"/>
          <w:numId w:val="4"/>
        </w:numPr>
        <w:ind w:left="0" w:firstLine="0"/>
      </w:pPr>
      <w:r>
        <w:t>Mr.</w:t>
      </w:r>
      <w:r w:rsidR="00B4705D" w:rsidRPr="00BC421B">
        <w:t xml:space="preserve"> Liedes</w:t>
      </w:r>
      <w:r>
        <w:t>, speaking as the Chair of the contact group,</w:t>
      </w:r>
      <w:r w:rsidR="00B4705D" w:rsidRPr="00BC421B">
        <w:t xml:space="preserve"> said that the text </w:t>
      </w:r>
      <w:proofErr w:type="gramStart"/>
      <w:r w:rsidR="00B4705D" w:rsidRPr="00BC421B">
        <w:t>would most probably be turned</w:t>
      </w:r>
      <w:proofErr w:type="gramEnd"/>
      <w:r w:rsidR="00B4705D" w:rsidRPr="00BC421B">
        <w:t xml:space="preserve"> into an article on definitions.</w:t>
      </w:r>
    </w:p>
    <w:p w:rsidR="00400E81" w:rsidRDefault="00400E81" w:rsidP="00400E81"/>
    <w:p w:rsidR="00400E81" w:rsidRDefault="00400E81" w:rsidP="00400E81">
      <w:pPr>
        <w:pStyle w:val="ListParagraph"/>
        <w:numPr>
          <w:ilvl w:val="0"/>
          <w:numId w:val="4"/>
        </w:numPr>
        <w:ind w:left="0" w:firstLine="0"/>
      </w:pPr>
      <w:r w:rsidRPr="00400E81">
        <w:t xml:space="preserve">The Delegation of Canada thanked the contact group for its commendable work. </w:t>
      </w:r>
      <w:r>
        <w:t xml:space="preserve"> </w:t>
      </w:r>
      <w:r w:rsidRPr="00400E81">
        <w:t xml:space="preserve">It echoed the statement </w:t>
      </w:r>
      <w:r w:rsidR="00C37CE8">
        <w:t xml:space="preserve">made </w:t>
      </w:r>
      <w:r w:rsidRPr="00400E81">
        <w:t xml:space="preserve">by the Delegation of Morocco and requested to see the changes in writing.  It asked for details about the discussion </w:t>
      </w:r>
      <w:r>
        <w:t>o</w:t>
      </w:r>
      <w:r w:rsidRPr="00400E81">
        <w:t xml:space="preserve">n the proposed merger within the GRs definition. </w:t>
      </w:r>
    </w:p>
    <w:p w:rsidR="00400E81" w:rsidRDefault="00400E81" w:rsidP="00400E81"/>
    <w:p w:rsidR="00400E81" w:rsidRDefault="00400E81" w:rsidP="00400E81">
      <w:pPr>
        <w:pStyle w:val="ListParagraph"/>
        <w:numPr>
          <w:ilvl w:val="0"/>
          <w:numId w:val="4"/>
        </w:numPr>
        <w:ind w:left="0" w:firstLine="0"/>
      </w:pPr>
      <w:r w:rsidRPr="00400E81">
        <w:t>The Delegation of Nigeria said it would engage directly with the Delegation of Canada outside the room.</w:t>
      </w:r>
    </w:p>
    <w:p w:rsidR="00400E81" w:rsidRDefault="00400E81" w:rsidP="00400E81"/>
    <w:p w:rsidR="00400E81" w:rsidRPr="007D27BB" w:rsidRDefault="00400E81" w:rsidP="00400E81">
      <w:pPr>
        <w:pStyle w:val="ListParagraph"/>
        <w:numPr>
          <w:ilvl w:val="0"/>
          <w:numId w:val="4"/>
        </w:numPr>
        <w:ind w:left="0" w:firstLine="0"/>
      </w:pPr>
      <w:r w:rsidRPr="007D27BB">
        <w:t xml:space="preserve">The Chair invited </w:t>
      </w:r>
      <w:r w:rsidR="00CC33DD" w:rsidRPr="007D27BB">
        <w:t xml:space="preserve">the representative of NARF, </w:t>
      </w:r>
      <w:r w:rsidRPr="007D27BB">
        <w:t xml:space="preserve">the rapporteur of the contact group on </w:t>
      </w:r>
      <w:r w:rsidR="00F34906">
        <w:t xml:space="preserve">sanctions of </w:t>
      </w:r>
      <w:r w:rsidR="00CC33DD" w:rsidRPr="007D27BB">
        <w:t>disclosure requirement,</w:t>
      </w:r>
      <w:r w:rsidRPr="007D27BB">
        <w:t xml:space="preserve"> to present the result of their work. </w:t>
      </w:r>
    </w:p>
    <w:p w:rsidR="00400E81" w:rsidRPr="007D27BB" w:rsidRDefault="00400E81" w:rsidP="00400E81"/>
    <w:p w:rsidR="001D0AA7" w:rsidRDefault="00400E81" w:rsidP="001D0AA7">
      <w:pPr>
        <w:pStyle w:val="ListParagraph"/>
        <w:numPr>
          <w:ilvl w:val="0"/>
          <w:numId w:val="4"/>
        </w:numPr>
        <w:ind w:left="0" w:firstLine="0"/>
      </w:pPr>
      <w:r w:rsidRPr="00813D6F">
        <w:t xml:space="preserve">The representative of NARF, speaking as the rapporteur of the contact group, said </w:t>
      </w:r>
      <w:r w:rsidR="00CC33DD" w:rsidRPr="00813D6F">
        <w:t xml:space="preserve">that </w:t>
      </w:r>
      <w:r w:rsidRPr="00813D6F">
        <w:t xml:space="preserve">the group had had a challenging task, but had worked hard to narrow gaps and clarify the options.  </w:t>
      </w:r>
      <w:r w:rsidRPr="00F34906">
        <w:t>On the first provision, the general language was agreed to commonly by everyone, not subject to any objection.  That language was included in the different alternatives.  Regarding the list of indicative possible measures for non</w:t>
      </w:r>
      <w:r w:rsidR="00CC33DD" w:rsidRPr="00F34906">
        <w:t>-</w:t>
      </w:r>
      <w:r w:rsidRPr="00F34906">
        <w:t xml:space="preserve">compliance with Article 3, it had identified three options.  The first option was </w:t>
      </w:r>
      <w:proofErr w:type="gramStart"/>
      <w:r w:rsidRPr="00F34906">
        <w:t>essentially</w:t>
      </w:r>
      <w:proofErr w:type="gramEnd"/>
      <w:r w:rsidRPr="00F34906">
        <w:t xml:space="preserve"> what was included in the </w:t>
      </w:r>
      <w:r w:rsidR="002B394F" w:rsidRPr="00F34906">
        <w:t>previous</w:t>
      </w:r>
      <w:r w:rsidRPr="00F34906">
        <w:t xml:space="preserve"> draft.  The second option would be to have no list of indicative measures.  The third option was to develop a different list by the parties.  On the issue of revocation, it had identified three options.  The first option would allow revocation</w:t>
      </w:r>
      <w:proofErr w:type="gramStart"/>
      <w:r w:rsidRPr="00F34906">
        <w:t xml:space="preserve">; </w:t>
      </w:r>
      <w:r w:rsidR="00F34906" w:rsidRPr="00F34906">
        <w:t xml:space="preserve"> </w:t>
      </w:r>
      <w:r w:rsidRPr="00F34906">
        <w:t>the</w:t>
      </w:r>
      <w:proofErr w:type="gramEnd"/>
      <w:r w:rsidRPr="00F34906">
        <w:t xml:space="preserve"> second had been</w:t>
      </w:r>
      <w:r w:rsidR="00F34906" w:rsidRPr="00F34906">
        <w:t xml:space="preserve"> identified by the f</w:t>
      </w:r>
      <w:r w:rsidRPr="00F34906">
        <w:t xml:space="preserve">acilitator and the Friend </w:t>
      </w:r>
      <w:r w:rsidRPr="00F34906">
        <w:lastRenderedPageBreak/>
        <w:t>of the Chair in Rev</w:t>
      </w:r>
      <w:r w:rsidR="002B394F" w:rsidRPr="00F34906">
        <w:t>.</w:t>
      </w:r>
      <w:r w:rsidRPr="00F34906">
        <w:t xml:space="preserve"> 1 and allowed revocation with</w:t>
      </w:r>
      <w:r w:rsidRPr="00400E81">
        <w:t xml:space="preserve"> a process included; </w:t>
      </w:r>
      <w:r w:rsidR="00F34906">
        <w:t xml:space="preserve"> and </w:t>
      </w:r>
      <w:r w:rsidRPr="00400E81">
        <w:t xml:space="preserve">the final option was </w:t>
      </w:r>
      <w:r w:rsidR="00F34906">
        <w:t>“no revocation</w:t>
      </w:r>
      <w:r w:rsidRPr="00400E81">
        <w:t>”</w:t>
      </w:r>
      <w:r w:rsidR="00F34906">
        <w:t>.</w:t>
      </w:r>
      <w:r w:rsidRPr="00400E81">
        <w:t xml:space="preserve"> </w:t>
      </w:r>
      <w:r>
        <w:t xml:space="preserve"> </w:t>
      </w:r>
      <w:r w:rsidRPr="00400E81">
        <w:t xml:space="preserve">The dispute resolution measures </w:t>
      </w:r>
      <w:r>
        <w:t xml:space="preserve">had </w:t>
      </w:r>
      <w:r w:rsidRPr="00400E81">
        <w:t>bec</w:t>
      </w:r>
      <w:r>
        <w:t>o</w:t>
      </w:r>
      <w:r w:rsidR="00F34906">
        <w:t>me a separate provision</w:t>
      </w:r>
      <w:r w:rsidRPr="00400E81">
        <w:t xml:space="preserve"> because it was more appropriate to have it identified separately, not as a particular sanction or remedy.</w:t>
      </w:r>
    </w:p>
    <w:p w:rsidR="001D0AA7" w:rsidRDefault="001D0AA7" w:rsidP="001D0AA7">
      <w:pPr>
        <w:pStyle w:val="ListParagraph"/>
        <w:ind w:left="0"/>
      </w:pPr>
    </w:p>
    <w:p w:rsidR="003109A3" w:rsidRDefault="00506637" w:rsidP="003109A3">
      <w:pPr>
        <w:pStyle w:val="ListParagraph"/>
        <w:numPr>
          <w:ilvl w:val="0"/>
          <w:numId w:val="4"/>
        </w:numPr>
        <w:ind w:left="0" w:firstLine="0"/>
      </w:pPr>
      <w:r>
        <w:t>Mr.</w:t>
      </w:r>
      <w:r w:rsidR="001D0AA7" w:rsidRPr="001D0AA7">
        <w:t xml:space="preserve"> Kuruk, speaking as </w:t>
      </w:r>
      <w:r>
        <w:t>the C</w:t>
      </w:r>
      <w:r w:rsidR="001D0AA7" w:rsidRPr="001D0AA7">
        <w:t xml:space="preserve">hair of the contact group, thanked all members of the group for sharing their views.  All regional groups </w:t>
      </w:r>
      <w:proofErr w:type="gramStart"/>
      <w:r w:rsidR="001D0AA7" w:rsidRPr="001D0AA7">
        <w:t xml:space="preserve">were </w:t>
      </w:r>
      <w:r w:rsidR="003109A3">
        <w:t>well represented</w:t>
      </w:r>
      <w:proofErr w:type="gramEnd"/>
      <w:r w:rsidR="003109A3">
        <w:t xml:space="preserve"> in the meeting</w:t>
      </w:r>
      <w:r w:rsidR="001D0AA7" w:rsidRPr="001D0AA7">
        <w:t xml:space="preserve"> and the deliberations had started on time.  Its</w:t>
      </w:r>
      <w:r w:rsidR="003109A3">
        <w:t xml:space="preserve"> first</w:t>
      </w:r>
      <w:r w:rsidR="001D0AA7" w:rsidRPr="001D0AA7">
        <w:t xml:space="preserve"> task had been to identify the universe of proposals on the matter of</w:t>
      </w:r>
      <w:r w:rsidR="003109A3">
        <w:t xml:space="preserve"> sanctions</w:t>
      </w:r>
      <w:r w:rsidR="001D0AA7" w:rsidRPr="001D0AA7">
        <w:t xml:space="preserve"> and to attempt to narrow the gaps and reduce the number of options.  It had engaged in very robust discussions, and in the end, there was unanimous agreement to include the need for Member States to provide for </w:t>
      </w:r>
      <w:r w:rsidR="003109A3" w:rsidRPr="001D0AA7">
        <w:t xml:space="preserve">effective and proportionate </w:t>
      </w:r>
      <w:r w:rsidR="001D0AA7" w:rsidRPr="001D0AA7">
        <w:t xml:space="preserve">legislative and administrative measures. </w:t>
      </w:r>
      <w:r w:rsidR="001D0AA7">
        <w:t xml:space="preserve"> Generally, t</w:t>
      </w:r>
      <w:r w:rsidR="001D0AA7" w:rsidRPr="001D0AA7">
        <w:t xml:space="preserve">he exercise </w:t>
      </w:r>
      <w:r w:rsidR="001D0AA7">
        <w:t>had been</w:t>
      </w:r>
      <w:r w:rsidR="001D0AA7" w:rsidRPr="001D0AA7">
        <w:t xml:space="preserve"> quite </w:t>
      </w:r>
      <w:r w:rsidR="003109A3">
        <w:t>useful.  I</w:t>
      </w:r>
      <w:r w:rsidR="001D0AA7" w:rsidRPr="001D0AA7">
        <w:t xml:space="preserve">t </w:t>
      </w:r>
      <w:r w:rsidR="001D0AA7">
        <w:t xml:space="preserve">had </w:t>
      </w:r>
      <w:r w:rsidR="001D0AA7" w:rsidRPr="001D0AA7">
        <w:t>allowed the members of the group the opportunity to explain different perspectives</w:t>
      </w:r>
      <w:r w:rsidR="001D0AA7">
        <w:t xml:space="preserve"> </w:t>
      </w:r>
      <w:r w:rsidR="001D0AA7" w:rsidRPr="001D0AA7">
        <w:t xml:space="preserve">and to agree to certain compromises.  He wholeheartedly endorsed the process of contact groups. </w:t>
      </w:r>
    </w:p>
    <w:p w:rsidR="003109A3" w:rsidRDefault="003109A3" w:rsidP="003109A3">
      <w:pPr>
        <w:pStyle w:val="ListParagraph"/>
        <w:ind w:left="0"/>
      </w:pPr>
    </w:p>
    <w:p w:rsidR="005F3AEA" w:rsidRDefault="001D0AA7" w:rsidP="005F3AEA">
      <w:pPr>
        <w:pStyle w:val="ListParagraph"/>
        <w:numPr>
          <w:ilvl w:val="0"/>
          <w:numId w:val="4"/>
        </w:numPr>
        <w:ind w:left="0" w:firstLine="0"/>
      </w:pPr>
      <w:r w:rsidRPr="003109A3">
        <w:t xml:space="preserve">The Chair opened the floor for comments. </w:t>
      </w:r>
    </w:p>
    <w:p w:rsidR="005F3AEA" w:rsidRDefault="005F3AEA" w:rsidP="005F3AEA"/>
    <w:p w:rsidR="005F3AEA" w:rsidRDefault="005F3AEA" w:rsidP="005F3AEA">
      <w:pPr>
        <w:pStyle w:val="ListParagraph"/>
        <w:numPr>
          <w:ilvl w:val="0"/>
          <w:numId w:val="4"/>
        </w:numPr>
        <w:ind w:left="0" w:firstLine="0"/>
      </w:pPr>
      <w:r w:rsidRPr="005F3AEA">
        <w:t xml:space="preserve">The Delegation of </w:t>
      </w:r>
      <w:r w:rsidR="006E31C3">
        <w:t xml:space="preserve">the Plurinational State of </w:t>
      </w:r>
      <w:r w:rsidRPr="005F3AEA">
        <w:t xml:space="preserve">Bolivia welcomed the work done by the contact groups and congratulated them on trying to narrow gaps.  Nonetheless, it did not necessarily reflect the position of members.  The instrument under negotiation was an IP instrument that guaranteed the protection of GRs, which had a specific definition in the Nagoya Protocol.  The suggestions made in the text </w:t>
      </w:r>
      <w:proofErr w:type="gramStart"/>
      <w:r w:rsidRPr="005F3AEA">
        <w:t>should be presented</w:t>
      </w:r>
      <w:proofErr w:type="gramEnd"/>
      <w:r w:rsidRPr="005F3AEA">
        <w:t xml:space="preserve"> in writing to the members for further analysis and consultation with capitals, in order to be able to provide more substantive comments.  </w:t>
      </w:r>
    </w:p>
    <w:p w:rsidR="005F3AEA" w:rsidRDefault="005F3AEA" w:rsidP="005F3AEA"/>
    <w:p w:rsidR="000D66C8" w:rsidRDefault="005F3AEA" w:rsidP="000D66C8">
      <w:pPr>
        <w:pStyle w:val="ListParagraph"/>
        <w:numPr>
          <w:ilvl w:val="0"/>
          <w:numId w:val="4"/>
        </w:numPr>
        <w:ind w:left="0" w:firstLine="0"/>
      </w:pPr>
      <w:r w:rsidRPr="005F3AEA">
        <w:t xml:space="preserve">The Delegation of the USA appreciated the opportunity to participate in </w:t>
      </w:r>
      <w:r w:rsidR="00D104F8">
        <w:t>one of the</w:t>
      </w:r>
      <w:r w:rsidRPr="005F3AEA">
        <w:t xml:space="preserve"> contact group.  It also appreciated the work of all the contact groups.  Like the Delegation of </w:t>
      </w:r>
      <w:r w:rsidR="006E31C3">
        <w:t xml:space="preserve">the Plurinational State of </w:t>
      </w:r>
      <w:r w:rsidRPr="005F3AEA">
        <w:t xml:space="preserve">Bolivia, it noted that the recommendations of the contact groups </w:t>
      </w:r>
      <w:proofErr w:type="gramStart"/>
      <w:r w:rsidRPr="005F3AEA">
        <w:t>had not yet been considered and dis</w:t>
      </w:r>
      <w:r w:rsidR="00D104F8">
        <w:t>cussed by all members</w:t>
      </w:r>
      <w:proofErr w:type="gramEnd"/>
      <w:r w:rsidR="00D104F8">
        <w:t>.  If the facilitator and the Friend of the Chair</w:t>
      </w:r>
      <w:r w:rsidRPr="005F3AEA">
        <w:t xml:space="preserve"> decided to incorporate th</w:t>
      </w:r>
      <w:r w:rsidR="00840FFB">
        <w:t xml:space="preserve">em </w:t>
      </w:r>
      <w:r w:rsidRPr="005F3AEA">
        <w:t>into Rev</w:t>
      </w:r>
      <w:r w:rsidR="00D104F8">
        <w:t>.</w:t>
      </w:r>
      <w:r w:rsidRPr="005F3AEA">
        <w:t xml:space="preserve"> 2, they should do so in a bracketed form and should not replace the existing options.  They would be additional options for consideration</w:t>
      </w:r>
      <w:r w:rsidR="00840FFB">
        <w:t xml:space="preserve"> and review by all members</w:t>
      </w:r>
      <w:r w:rsidRPr="005F3AEA">
        <w:t xml:space="preserve"> and </w:t>
      </w:r>
      <w:r w:rsidR="00840FFB">
        <w:t xml:space="preserve">they </w:t>
      </w:r>
      <w:proofErr w:type="gramStart"/>
      <w:r w:rsidRPr="005F3AEA">
        <w:t>would be discussed</w:t>
      </w:r>
      <w:proofErr w:type="gramEnd"/>
      <w:r w:rsidRPr="005F3AEA">
        <w:t xml:space="preserve"> before determining their fate.</w:t>
      </w:r>
    </w:p>
    <w:p w:rsidR="000D66C8" w:rsidRDefault="000D66C8" w:rsidP="000D66C8"/>
    <w:p w:rsidR="00FA10C7" w:rsidRDefault="000D66C8" w:rsidP="00755C96">
      <w:pPr>
        <w:pStyle w:val="ListParagraph"/>
        <w:numPr>
          <w:ilvl w:val="0"/>
          <w:numId w:val="4"/>
        </w:numPr>
        <w:ind w:left="0" w:firstLine="0"/>
      </w:pPr>
      <w:r w:rsidRPr="000D66C8">
        <w:t xml:space="preserve">The Chair agreed that not all Member States had had the opportunity to look at all </w:t>
      </w:r>
      <w:r w:rsidR="00CB1F5D">
        <w:t>the</w:t>
      </w:r>
      <w:r>
        <w:t xml:space="preserve"> material</w:t>
      </w:r>
      <w:r w:rsidR="00D104F8">
        <w:t>s provided by the contact groups</w:t>
      </w:r>
      <w:r>
        <w:t xml:space="preserve">. </w:t>
      </w:r>
      <w:r w:rsidR="00CB1F5D">
        <w:t xml:space="preserve"> As to the pilot process, t</w:t>
      </w:r>
      <w:r w:rsidRPr="000D66C8">
        <w:t xml:space="preserve">here was a general feeling that there was some benefit in it, and, to a degree, it had been successful. </w:t>
      </w:r>
      <w:r w:rsidR="00CB1F5D">
        <w:t xml:space="preserve"> </w:t>
      </w:r>
      <w:r w:rsidRPr="000D66C8">
        <w:t>T</w:t>
      </w:r>
      <w:r w:rsidR="00CB1F5D">
        <w:t>he IGC would consider whether</w:t>
      </w:r>
      <w:r w:rsidRPr="000D66C8">
        <w:t xml:space="preserve"> that mechanism </w:t>
      </w:r>
      <w:proofErr w:type="gramStart"/>
      <w:r w:rsidRPr="000D66C8">
        <w:t>could be brought</w:t>
      </w:r>
      <w:proofErr w:type="gramEnd"/>
      <w:r w:rsidRPr="000D66C8">
        <w:t xml:space="preserve"> into IGC 36.</w:t>
      </w:r>
      <w:r w:rsidR="00CB1F5D">
        <w:t xml:space="preserve">  </w:t>
      </w:r>
      <w:r w:rsidR="00D104F8">
        <w:t>The facilitator and the Friend of the Chair</w:t>
      </w:r>
      <w:r w:rsidRPr="000D66C8">
        <w:t xml:space="preserve"> would work on Rev</w:t>
      </w:r>
      <w:r w:rsidR="00D104F8">
        <w:t>.</w:t>
      </w:r>
      <w:r w:rsidRPr="000D66C8">
        <w:t xml:space="preserve"> 2 </w:t>
      </w:r>
      <w:proofErr w:type="gramStart"/>
      <w:r w:rsidRPr="000D66C8">
        <w:t>on the basis of</w:t>
      </w:r>
      <w:proofErr w:type="gramEnd"/>
      <w:r w:rsidRPr="000D66C8">
        <w:t xml:space="preserve"> </w:t>
      </w:r>
      <w:r w:rsidR="00D104F8">
        <w:t>d</w:t>
      </w:r>
      <w:r w:rsidR="00CB1F5D">
        <w:t xml:space="preserve">ocument </w:t>
      </w:r>
      <w:r w:rsidRPr="000D66C8">
        <w:t xml:space="preserve">WIPO/GRTKF/IC/35/4, </w:t>
      </w:r>
      <w:r w:rsidR="00CB1F5D">
        <w:t>considering</w:t>
      </w:r>
      <w:r w:rsidRPr="000D66C8">
        <w:t xml:space="preserve"> all the interventions made in plenary, including textual </w:t>
      </w:r>
      <w:r w:rsidR="00D104F8">
        <w:t xml:space="preserve">proposals.  They </w:t>
      </w:r>
      <w:r w:rsidR="00CB1F5D">
        <w:t xml:space="preserve">would </w:t>
      </w:r>
      <w:r w:rsidRPr="000D66C8">
        <w:t>consider the material</w:t>
      </w:r>
      <w:r w:rsidR="00D104F8">
        <w:t>s</w:t>
      </w:r>
      <w:r w:rsidRPr="000D66C8">
        <w:t xml:space="preserve"> provided by the contact groups </w:t>
      </w:r>
      <w:r w:rsidR="00CB1F5D">
        <w:t>just like observers’</w:t>
      </w:r>
      <w:r w:rsidRPr="000D66C8">
        <w:t xml:space="preserve"> intervention</w:t>
      </w:r>
      <w:r w:rsidR="00CB1F5D">
        <w:t>s</w:t>
      </w:r>
      <w:r w:rsidR="00D104F8">
        <w:t>, i.e.,</w:t>
      </w:r>
      <w:r w:rsidRPr="000D66C8">
        <w:t xml:space="preserve"> it needed </w:t>
      </w:r>
      <w:r w:rsidR="00D104F8">
        <w:t xml:space="preserve">a </w:t>
      </w:r>
      <w:r w:rsidRPr="000D66C8">
        <w:t>Member State</w:t>
      </w:r>
      <w:r w:rsidR="00D104F8">
        <w:t>’s</w:t>
      </w:r>
      <w:r w:rsidRPr="000D66C8">
        <w:t xml:space="preserve"> support to stay in the text. </w:t>
      </w:r>
      <w:r w:rsidR="00CB1F5D">
        <w:t xml:space="preserve"> </w:t>
      </w:r>
      <w:r w:rsidR="00FA10C7" w:rsidRPr="00F35478">
        <w:t>The Chair invited</w:t>
      </w:r>
      <w:r w:rsidR="00FA10C7">
        <w:t xml:space="preserve"> the Delegation of the USA to </w:t>
      </w:r>
      <w:r w:rsidR="00FA10C7" w:rsidRPr="00F35478">
        <w:t xml:space="preserve">introduce </w:t>
      </w:r>
      <w:r w:rsidR="00D104F8">
        <w:t>d</w:t>
      </w:r>
      <w:r w:rsidR="00FA10C7">
        <w:t>ocument WIPO/GRTKF/IC/35/7</w:t>
      </w:r>
      <w:r w:rsidR="00D104F8">
        <w:t>.</w:t>
      </w:r>
    </w:p>
    <w:p w:rsidR="00FA10C7" w:rsidRDefault="00FA10C7" w:rsidP="00FA10C7"/>
    <w:p w:rsidR="00FA10C7" w:rsidRDefault="00FA10C7" w:rsidP="00FA10C7">
      <w:pPr>
        <w:pStyle w:val="ListParagraph"/>
        <w:numPr>
          <w:ilvl w:val="0"/>
          <w:numId w:val="4"/>
        </w:numPr>
        <w:ind w:left="0" w:firstLine="0"/>
      </w:pPr>
      <w:r w:rsidRPr="00F35478">
        <w:t xml:space="preserve">The Delegation of the USA was pleased to introduce </w:t>
      </w:r>
      <w:r>
        <w:t>its proposal,</w:t>
      </w:r>
      <w:r w:rsidRPr="00F35478">
        <w:t xml:space="preserve"> </w:t>
      </w:r>
      <w:r>
        <w:t>co</w:t>
      </w:r>
      <w:r w:rsidR="00992541">
        <w:t>-</w:t>
      </w:r>
      <w:r>
        <w:t>sponsored by the D</w:t>
      </w:r>
      <w:r w:rsidRPr="00F35478">
        <w:t xml:space="preserve">elegations of Canada, Japan, Norway, the Republic of Korea and the USA.  </w:t>
      </w:r>
      <w:r>
        <w:t>It had</w:t>
      </w:r>
      <w:r w:rsidRPr="00F35478">
        <w:t xml:space="preserve"> previously introduced </w:t>
      </w:r>
      <w:r>
        <w:t>it at</w:t>
      </w:r>
      <w:r w:rsidRPr="00F35478">
        <w:t xml:space="preserve"> IGC 34, as document</w:t>
      </w:r>
      <w:r>
        <w:t xml:space="preserve"> WIPO/GRTKF/IC/</w:t>
      </w:r>
      <w:r w:rsidRPr="00F35478">
        <w:t xml:space="preserve">34/9.  </w:t>
      </w:r>
      <w:r>
        <w:t>The</w:t>
      </w:r>
      <w:r w:rsidRPr="00F35478">
        <w:t xml:space="preserve"> documen</w:t>
      </w:r>
      <w:r w:rsidR="00992541">
        <w:t xml:space="preserve">t </w:t>
      </w:r>
      <w:proofErr w:type="gramStart"/>
      <w:r w:rsidR="00992541">
        <w:t>could be used</w:t>
      </w:r>
      <w:proofErr w:type="gramEnd"/>
      <w:r w:rsidR="00992541">
        <w:t xml:space="preserve"> as a confidence-</w:t>
      </w:r>
      <w:r w:rsidRPr="00F35478">
        <w:t xml:space="preserve">building measure to help </w:t>
      </w:r>
      <w:r>
        <w:t>the IGC</w:t>
      </w:r>
      <w:r w:rsidRPr="00F35478">
        <w:t xml:space="preserve"> move forward on key issues concerning </w:t>
      </w:r>
      <w:r w:rsidR="00992541">
        <w:t xml:space="preserve">GRs and TK associated with </w:t>
      </w:r>
      <w:r>
        <w:t>GRs</w:t>
      </w:r>
      <w:r w:rsidRPr="00F35478">
        <w:t>.</w:t>
      </w:r>
      <w:r>
        <w:t xml:space="preserve"> </w:t>
      </w:r>
      <w:r w:rsidRPr="00F35478">
        <w:t xml:space="preserve"> The co</w:t>
      </w:r>
      <w:r w:rsidR="00992541">
        <w:t>-</w:t>
      </w:r>
      <w:r w:rsidRPr="00F35478">
        <w:t>sponsors ha</w:t>
      </w:r>
      <w:r>
        <w:t>d</w:t>
      </w:r>
      <w:r w:rsidRPr="00F35478">
        <w:t xml:space="preserve"> </w:t>
      </w:r>
      <w:r w:rsidR="00992541">
        <w:t>resubmitted</w:t>
      </w:r>
      <w:r w:rsidRPr="00F35478">
        <w:t xml:space="preserve"> </w:t>
      </w:r>
      <w:r>
        <w:t>the document in some IGC sessions</w:t>
      </w:r>
      <w:r w:rsidRPr="00F35478">
        <w:t xml:space="preserve"> when the delegations</w:t>
      </w:r>
      <w:r>
        <w:t xml:space="preserve"> had</w:t>
      </w:r>
      <w:r w:rsidRPr="00F35478">
        <w:t xml:space="preserve"> expressed interest</w:t>
      </w:r>
      <w:r w:rsidR="00992541">
        <w:t>s</w:t>
      </w:r>
      <w:r w:rsidRPr="00F35478">
        <w:t xml:space="preserve"> in </w:t>
      </w:r>
      <w:r>
        <w:t>that</w:t>
      </w:r>
      <w:r w:rsidRPr="00F35478">
        <w:t xml:space="preserve"> document and </w:t>
      </w:r>
      <w:r>
        <w:t xml:space="preserve">its </w:t>
      </w:r>
      <w:r w:rsidRPr="00F35478">
        <w:t>objective</w:t>
      </w:r>
      <w:r>
        <w:t>,</w:t>
      </w:r>
      <w:r w:rsidRPr="00F35478">
        <w:t xml:space="preserve"> which include</w:t>
      </w:r>
      <w:r>
        <w:t>d</w:t>
      </w:r>
      <w:r w:rsidRPr="00F35478">
        <w:t xml:space="preserve"> preventing the</w:t>
      </w:r>
      <w:r>
        <w:t xml:space="preserve"> erroneous grant of patents.  The </w:t>
      </w:r>
      <w:r w:rsidRPr="00F35478">
        <w:t xml:space="preserve">proposed joint recommendation </w:t>
      </w:r>
      <w:proofErr w:type="gramStart"/>
      <w:r>
        <w:t>could</w:t>
      </w:r>
      <w:r w:rsidRPr="00F35478">
        <w:t xml:space="preserve"> be negotiated, finalized and adopted without slowing down the work of the </w:t>
      </w:r>
      <w:r>
        <w:t>IGC</w:t>
      </w:r>
      <w:proofErr w:type="gramEnd"/>
      <w:r w:rsidRPr="00F35478">
        <w:t>.</w:t>
      </w:r>
      <w:r>
        <w:t xml:space="preserve">  It</w:t>
      </w:r>
      <w:r w:rsidRPr="00F35478">
        <w:t xml:space="preserve"> would promote the use of opposition systems to allow third parties to dispute the validity of a patent</w:t>
      </w:r>
      <w:r>
        <w:t xml:space="preserve"> and the </w:t>
      </w:r>
      <w:r w:rsidRPr="00F35478">
        <w:t xml:space="preserve">development and use of voluntary codes of conduct and the exchange of access to databases, among other things, in order to prevent the erroneous granting of patents for inventions based on </w:t>
      </w:r>
      <w:r>
        <w:t>GRs</w:t>
      </w:r>
      <w:r w:rsidRPr="00F35478">
        <w:t xml:space="preserve"> and </w:t>
      </w:r>
      <w:r w:rsidR="00992541">
        <w:t xml:space="preserve">TK associated with </w:t>
      </w:r>
      <w:r>
        <w:t>GRs</w:t>
      </w:r>
      <w:r w:rsidRPr="00F35478">
        <w:t>.</w:t>
      </w:r>
      <w:r>
        <w:t xml:space="preserve">  </w:t>
      </w:r>
      <w:r w:rsidRPr="00F35478">
        <w:t>With re</w:t>
      </w:r>
      <w:r w:rsidR="0035357C">
        <w:t>spect to opposition systems, US </w:t>
      </w:r>
      <w:r w:rsidRPr="00F35478">
        <w:t>patent law provide</w:t>
      </w:r>
      <w:r>
        <w:t>d</w:t>
      </w:r>
      <w:r w:rsidRPr="00F35478">
        <w:t xml:space="preserve"> a mechanism for third parties to submit printed publications of potential </w:t>
      </w:r>
      <w:r w:rsidRPr="00F35478">
        <w:lastRenderedPageBreak/>
        <w:t xml:space="preserve">relevance to the examination of a patent application with a concise description of the asserted relevance of each document submitted. </w:t>
      </w:r>
      <w:r>
        <w:t xml:space="preserve"> That</w:t>
      </w:r>
      <w:r w:rsidRPr="00F35478">
        <w:t xml:space="preserve"> provision </w:t>
      </w:r>
      <w:proofErr w:type="gramStart"/>
      <w:r>
        <w:t>had been</w:t>
      </w:r>
      <w:r w:rsidRPr="00F35478">
        <w:t xml:space="preserve"> introduced</w:t>
      </w:r>
      <w:proofErr w:type="gramEnd"/>
      <w:r w:rsidRPr="00F35478">
        <w:t xml:space="preserve"> in 2012 under the America Invents Act.  Such submissions </w:t>
      </w:r>
      <w:proofErr w:type="gramStart"/>
      <w:r>
        <w:t>might</w:t>
      </w:r>
      <w:r w:rsidRPr="00F35478">
        <w:t xml:space="preserve"> be made</w:t>
      </w:r>
      <w:proofErr w:type="gramEnd"/>
      <w:r w:rsidRPr="00F35478">
        <w:t xml:space="preserve"> prior to the date of a notice of allowa</w:t>
      </w:r>
      <w:r w:rsidR="00992541">
        <w:t>nce.  Third-</w:t>
      </w:r>
      <w:r>
        <w:t>party submissions did</w:t>
      </w:r>
      <w:r w:rsidRPr="00F35478">
        <w:t xml:space="preserve"> not delay or otherwise interfere with the examination of patent applications because they merely provide</w:t>
      </w:r>
      <w:r>
        <w:t>d</w:t>
      </w:r>
      <w:r w:rsidRPr="00F35478">
        <w:t xml:space="preserve"> additional information to patent examiners without creating new</w:t>
      </w:r>
      <w:r>
        <w:t xml:space="preserve"> procedural requirements for tho</w:t>
      </w:r>
      <w:r w:rsidRPr="00F35478">
        <w:t xml:space="preserve">se examiners. </w:t>
      </w:r>
      <w:r>
        <w:t xml:space="preserve"> </w:t>
      </w:r>
      <w:r w:rsidR="0035357C">
        <w:t>Almost half of the third</w:t>
      </w:r>
      <w:r w:rsidR="0035357C">
        <w:noBreakHyphen/>
      </w:r>
      <w:r w:rsidRPr="00F35478">
        <w:t xml:space="preserve">party submissions between 2012 and 2015 </w:t>
      </w:r>
      <w:proofErr w:type="gramStart"/>
      <w:r>
        <w:t>had been</w:t>
      </w:r>
      <w:r w:rsidRPr="00F35478">
        <w:t xml:space="preserve"> filed</w:t>
      </w:r>
      <w:proofErr w:type="gramEnd"/>
      <w:r w:rsidRPr="00F35478">
        <w:t xml:space="preserve"> in technology centers that examined b</w:t>
      </w:r>
      <w:r>
        <w:t>iotechnological, pharmaceutical</w:t>
      </w:r>
      <w:r w:rsidRPr="00F35478">
        <w:t xml:space="preserve"> and chemical inventions, as well as those related to food and chemical engineering. </w:t>
      </w:r>
      <w:r>
        <w:t xml:space="preserve"> Tho</w:t>
      </w:r>
      <w:r w:rsidRPr="00F35478">
        <w:t xml:space="preserve">se submissions </w:t>
      </w:r>
      <w:r>
        <w:t>might</w:t>
      </w:r>
      <w:r w:rsidR="00992541">
        <w:t xml:space="preserve"> include non-</w:t>
      </w:r>
      <w:r w:rsidRPr="00F35478">
        <w:t xml:space="preserve">patent literature such as published </w:t>
      </w:r>
      <w:r>
        <w:t>GRs</w:t>
      </w:r>
      <w:r w:rsidRPr="00F35478">
        <w:t xml:space="preserve"> and </w:t>
      </w:r>
      <w:r>
        <w:t>TK</w:t>
      </w:r>
      <w:r w:rsidRPr="00F35478">
        <w:t xml:space="preserve">. </w:t>
      </w:r>
      <w:r>
        <w:t xml:space="preserve"> </w:t>
      </w:r>
      <w:r w:rsidRPr="00F35478">
        <w:t>In fact, over 30</w:t>
      </w:r>
      <w:r w:rsidR="00992541">
        <w:t xml:space="preserve"> per</w:t>
      </w:r>
      <w:r>
        <w:t>cent o</w:t>
      </w:r>
      <w:r w:rsidRPr="00F35478">
        <w:t>f the submitted documents fo</w:t>
      </w:r>
      <w:r w:rsidR="00992541">
        <w:t xml:space="preserve">r the same </w:t>
      </w:r>
      <w:proofErr w:type="gramStart"/>
      <w:r w:rsidR="00992541">
        <w:t>time period</w:t>
      </w:r>
      <w:proofErr w:type="gramEnd"/>
      <w:r w:rsidR="00992541">
        <w:t xml:space="preserve"> were non-</w:t>
      </w:r>
      <w:r w:rsidRPr="00F35478">
        <w:t>patent literature.  With respect to voluntary codes of conduct, a number of pharmaceutical and biotechno</w:t>
      </w:r>
      <w:r w:rsidR="00992541">
        <w:t>logy inventions, including life-</w:t>
      </w:r>
      <w:r w:rsidRPr="00F35478">
        <w:t>saving medicines, biofuels and agricultural products</w:t>
      </w:r>
      <w:r>
        <w:t>,</w:t>
      </w:r>
      <w:r w:rsidRPr="00F35478">
        <w:t xml:space="preserve"> utilize</w:t>
      </w:r>
      <w:r>
        <w:t>d</w:t>
      </w:r>
      <w:r w:rsidRPr="00F35478">
        <w:t xml:space="preserve"> compounds and processes that exist</w:t>
      </w:r>
      <w:r>
        <w:t>ed</w:t>
      </w:r>
      <w:r w:rsidRPr="00F35478">
        <w:t xml:space="preserve"> in nature.  </w:t>
      </w:r>
      <w:r>
        <w:t>Many companies had</w:t>
      </w:r>
      <w:r w:rsidRPr="00F35478">
        <w:t xml:space="preserve"> established guidelines and rules for proper bioprospecting.</w:t>
      </w:r>
      <w:r>
        <w:t xml:space="preserve"> </w:t>
      </w:r>
      <w:r w:rsidRPr="00F35478">
        <w:t xml:space="preserve"> </w:t>
      </w:r>
      <w:r>
        <w:t>For example, the Biotechnology O</w:t>
      </w:r>
      <w:r w:rsidRPr="00F35478">
        <w:t>rganization, a global</w:t>
      </w:r>
      <w:r>
        <w:t xml:space="preserve"> trade association that included</w:t>
      </w:r>
      <w:r w:rsidRPr="00F35478">
        <w:t xml:space="preserve"> SMEs and other companies, academic institutions, biotechnology centers and related organizations in more than 30 nations ha</w:t>
      </w:r>
      <w:r>
        <w:t>d</w:t>
      </w:r>
      <w:r w:rsidRPr="00F35478">
        <w:t xml:space="preserve"> developed bioprospecting guidelines for its members.  The guidelines identif</w:t>
      </w:r>
      <w:r>
        <w:t>ied</w:t>
      </w:r>
      <w:r w:rsidRPr="00F35478">
        <w:t xml:space="preserve"> certain best practices that </w:t>
      </w:r>
      <w:proofErr w:type="gramStart"/>
      <w:r>
        <w:t>could</w:t>
      </w:r>
      <w:r w:rsidRPr="00F35478">
        <w:t xml:space="preserve"> be followed</w:t>
      </w:r>
      <w:proofErr w:type="gramEnd"/>
      <w:r w:rsidRPr="00F35478">
        <w:t xml:space="preserve"> by companies that elect</w:t>
      </w:r>
      <w:r>
        <w:t>ed to engage in tho</w:t>
      </w:r>
      <w:r w:rsidRPr="00F35478">
        <w:t>se activities.  The guidelines also attempt</w:t>
      </w:r>
      <w:r>
        <w:t>ed</w:t>
      </w:r>
      <w:r w:rsidRPr="00F35478">
        <w:t xml:space="preserve"> to provide a roadmap </w:t>
      </w:r>
      <w:r>
        <w:t xml:space="preserve">for member companies to use </w:t>
      </w:r>
      <w:proofErr w:type="gramStart"/>
      <w:r>
        <w:t xml:space="preserve">if </w:t>
      </w:r>
      <w:r w:rsidRPr="00F35478">
        <w:t>and when</w:t>
      </w:r>
      <w:proofErr w:type="gramEnd"/>
      <w:r w:rsidRPr="00F35478">
        <w:t xml:space="preserve"> t</w:t>
      </w:r>
      <w:r>
        <w:t>he company engaged</w:t>
      </w:r>
      <w:r w:rsidRPr="00F35478">
        <w:t xml:space="preserve"> in bioprospecting activities.  </w:t>
      </w:r>
      <w:proofErr w:type="gramStart"/>
      <w:r>
        <w:t>Thus</w:t>
      </w:r>
      <w:proofErr w:type="gramEnd"/>
      <w:r>
        <w:t xml:space="preserve"> the guidelines identified</w:t>
      </w:r>
      <w:r w:rsidRPr="00F35478">
        <w:t xml:space="preserve"> steps that companies should take before engaging in bioprospecting, such as obtaining </w:t>
      </w:r>
      <w:r w:rsidR="00874FD7">
        <w:t>PIC</w:t>
      </w:r>
      <w:r w:rsidRPr="00F35478">
        <w:t>.  They also provide</w:t>
      </w:r>
      <w:r>
        <w:t>d</w:t>
      </w:r>
      <w:r w:rsidRPr="00F35478">
        <w:t xml:space="preserve"> useful information on </w:t>
      </w:r>
      <w:proofErr w:type="gramStart"/>
      <w:r w:rsidRPr="00F35478">
        <w:t>be</w:t>
      </w:r>
      <w:r>
        <w:t>ne</w:t>
      </w:r>
      <w:r w:rsidRPr="00F35478">
        <w:t>fit</w:t>
      </w:r>
      <w:r w:rsidR="00FD2D30">
        <w:t>-</w:t>
      </w:r>
      <w:r>
        <w:t>sharing</w:t>
      </w:r>
      <w:proofErr w:type="gramEnd"/>
      <w:r>
        <w:t>,</w:t>
      </w:r>
      <w:r w:rsidRPr="00F35478">
        <w:t xml:space="preserve"> sharing of research results, </w:t>
      </w:r>
      <w:r>
        <w:t>IP procurement and it protected</w:t>
      </w:r>
      <w:r w:rsidRPr="00F35478">
        <w:t xml:space="preserve"> the rights of indigenous and local communities and the steps for the conservation and the sustainable</w:t>
      </w:r>
      <w:r>
        <w:t xml:space="preserve"> use of biological diversity.  Tho</w:t>
      </w:r>
      <w:r w:rsidRPr="00F35478">
        <w:t>se guidelines provide</w:t>
      </w:r>
      <w:r>
        <w:t>d</w:t>
      </w:r>
      <w:r w:rsidRPr="00F35478">
        <w:t xml:space="preserve"> a useful example of h</w:t>
      </w:r>
      <w:r>
        <w:t xml:space="preserve">ow </w:t>
      </w:r>
      <w:r w:rsidRPr="00F35478">
        <w:t xml:space="preserve">private sector innovators </w:t>
      </w:r>
      <w:r>
        <w:t>were</w:t>
      </w:r>
      <w:r w:rsidRPr="00F35478">
        <w:t xml:space="preserve"> taking proactive steps to preserve biodiversity, promote sustainable use of GRs and equitably share benefits arising from</w:t>
      </w:r>
      <w:r>
        <w:t xml:space="preserve"> the</w:t>
      </w:r>
      <w:r w:rsidRPr="00F35478">
        <w:t xml:space="preserve"> use of </w:t>
      </w:r>
      <w:r>
        <w:t>GRs</w:t>
      </w:r>
      <w:r w:rsidRPr="00F35478">
        <w:t xml:space="preserve">.  </w:t>
      </w:r>
      <w:r>
        <w:t xml:space="preserve">It wished </w:t>
      </w:r>
      <w:r w:rsidRPr="00F35478">
        <w:t xml:space="preserve">to continue </w:t>
      </w:r>
      <w:r>
        <w:t>the discussion on the</w:t>
      </w:r>
      <w:r w:rsidRPr="00F35478">
        <w:t xml:space="preserve"> proposed </w:t>
      </w:r>
      <w:r>
        <w:t>joint recommendation because it captured key objectives and facilitated</w:t>
      </w:r>
      <w:r w:rsidRPr="00F35478">
        <w:t xml:space="preserve"> the establishment of effective mechanisms for the protection of </w:t>
      </w:r>
      <w:r>
        <w:t>GRs</w:t>
      </w:r>
      <w:r w:rsidRPr="00F35478">
        <w:t xml:space="preserve"> and </w:t>
      </w:r>
      <w:r w:rsidR="00FD2D30">
        <w:t xml:space="preserve">TK associated with </w:t>
      </w:r>
      <w:r>
        <w:t>GRs</w:t>
      </w:r>
      <w:r w:rsidRPr="00F35478">
        <w:t xml:space="preserve">. </w:t>
      </w:r>
      <w:r>
        <w:t xml:space="preserve"> </w:t>
      </w:r>
      <w:r w:rsidRPr="00F35478">
        <w:t xml:space="preserve">It invited other delegations to express their support for </w:t>
      </w:r>
      <w:r>
        <w:t>the proposal and</w:t>
      </w:r>
      <w:r w:rsidRPr="00F35478">
        <w:t xml:space="preserve"> welcome</w:t>
      </w:r>
      <w:r>
        <w:t>d</w:t>
      </w:r>
      <w:r w:rsidRPr="00F35478">
        <w:t xml:space="preserve"> additional co</w:t>
      </w:r>
      <w:r w:rsidR="00FD2D30">
        <w:t>-</w:t>
      </w:r>
      <w:r w:rsidRPr="00F35478">
        <w:t xml:space="preserve">sponsors.  </w:t>
      </w:r>
      <w:r>
        <w:t>It</w:t>
      </w:r>
      <w:r w:rsidRPr="00F35478">
        <w:t xml:space="preserve"> look</w:t>
      </w:r>
      <w:r>
        <w:t>ed</w:t>
      </w:r>
      <w:r w:rsidRPr="00F35478">
        <w:t xml:space="preserve"> forward </w:t>
      </w:r>
      <w:r>
        <w:t>to continued discussions on the</w:t>
      </w:r>
      <w:r w:rsidRPr="00F35478">
        <w:t xml:space="preserve"> proposal.</w:t>
      </w:r>
    </w:p>
    <w:p w:rsidR="00FA10C7" w:rsidRDefault="00FA10C7" w:rsidP="00FA10C7">
      <w:pPr>
        <w:pStyle w:val="ListParagraph"/>
        <w:ind w:left="0"/>
      </w:pPr>
    </w:p>
    <w:p w:rsidR="00FA10C7" w:rsidRDefault="00FA10C7" w:rsidP="00FA10C7">
      <w:pPr>
        <w:pStyle w:val="ListParagraph"/>
        <w:numPr>
          <w:ilvl w:val="0"/>
          <w:numId w:val="4"/>
        </w:numPr>
        <w:ind w:left="0" w:firstLine="0"/>
      </w:pPr>
      <w:r w:rsidRPr="00F35478">
        <w:t>The Chair opened</w:t>
      </w:r>
      <w:r>
        <w:t xml:space="preserve"> the floor for comments</w:t>
      </w:r>
      <w:r w:rsidRPr="00F35478">
        <w:t>.</w:t>
      </w:r>
    </w:p>
    <w:p w:rsidR="00FA10C7" w:rsidRDefault="00FA10C7" w:rsidP="00FA10C7"/>
    <w:p w:rsidR="00FA10C7" w:rsidRDefault="00FA10C7" w:rsidP="00FA10C7">
      <w:pPr>
        <w:pStyle w:val="ListParagraph"/>
        <w:numPr>
          <w:ilvl w:val="0"/>
          <w:numId w:val="4"/>
        </w:numPr>
        <w:ind w:left="0" w:firstLine="0"/>
      </w:pPr>
      <w:r w:rsidRPr="00F35478">
        <w:t xml:space="preserve">The Delegation of Japan thanked the Delegation of the USA for the explanation. </w:t>
      </w:r>
      <w:r>
        <w:t xml:space="preserve"> As a co</w:t>
      </w:r>
      <w:r w:rsidR="0035357C">
        <w:noBreakHyphen/>
      </w:r>
      <w:r>
        <w:t>sponsor, i</w:t>
      </w:r>
      <w:r w:rsidRPr="00F35478">
        <w:t>t support</w:t>
      </w:r>
      <w:r>
        <w:t>ed</w:t>
      </w:r>
      <w:r w:rsidRPr="00F35478">
        <w:t xml:space="preserve"> </w:t>
      </w:r>
      <w:r w:rsidR="00FD2D30">
        <w:t>d</w:t>
      </w:r>
      <w:r>
        <w:t>ocument WIPO/</w:t>
      </w:r>
      <w:r w:rsidRPr="00F35478">
        <w:t>GRTKF/</w:t>
      </w:r>
      <w:r>
        <w:t>IC/</w:t>
      </w:r>
      <w:r w:rsidRPr="00F35478">
        <w:t>35/7</w:t>
      </w:r>
      <w:r>
        <w:t>.  I</w:t>
      </w:r>
      <w:r w:rsidRPr="00F35478">
        <w:t xml:space="preserve">t was a good basis for the </w:t>
      </w:r>
      <w:r>
        <w:t xml:space="preserve">discussion on the </w:t>
      </w:r>
      <w:r w:rsidRPr="00F35478">
        <w:t xml:space="preserve">issues regarding </w:t>
      </w:r>
      <w:r>
        <w:t>IP</w:t>
      </w:r>
      <w:r w:rsidRPr="00F35478">
        <w:t xml:space="preserve"> and </w:t>
      </w:r>
      <w:r>
        <w:t>GRs</w:t>
      </w:r>
      <w:r w:rsidRPr="00F35478">
        <w:t>, especially on the prevention of the erroneous grant of patents.  It looked forward to continuing discussions.</w:t>
      </w:r>
    </w:p>
    <w:p w:rsidR="00FA10C7" w:rsidRDefault="00FA10C7" w:rsidP="00FA10C7"/>
    <w:p w:rsidR="00FA10C7" w:rsidRDefault="00FA10C7" w:rsidP="00FA10C7">
      <w:pPr>
        <w:pStyle w:val="ListParagraph"/>
        <w:numPr>
          <w:ilvl w:val="0"/>
          <w:numId w:val="4"/>
        </w:numPr>
        <w:ind w:left="0" w:firstLine="0"/>
      </w:pPr>
      <w:r w:rsidRPr="00F35478">
        <w:t xml:space="preserve">The Delegation of the Republic of Korea, as a </w:t>
      </w:r>
      <w:r>
        <w:t>co</w:t>
      </w:r>
      <w:r w:rsidR="00FD2D30">
        <w:t>-</w:t>
      </w:r>
      <w:r w:rsidRPr="00F35478">
        <w:t>sponsor, supported</w:t>
      </w:r>
      <w:r>
        <w:t xml:space="preserve"> the joint recommendation</w:t>
      </w:r>
      <w:r w:rsidRPr="00F35478">
        <w:t xml:space="preserve">.  </w:t>
      </w:r>
      <w:r>
        <w:t>The p</w:t>
      </w:r>
      <w:r w:rsidRPr="00F35478">
        <w:t>revention of erroneous</w:t>
      </w:r>
      <w:r>
        <w:t>ly</w:t>
      </w:r>
      <w:r w:rsidRPr="00F35478">
        <w:t xml:space="preserve"> grant</w:t>
      </w:r>
      <w:r>
        <w:t>ed</w:t>
      </w:r>
      <w:r w:rsidRPr="00F35478">
        <w:t xml:space="preserve"> patents through the establishment </w:t>
      </w:r>
      <w:r>
        <w:t>and use of</w:t>
      </w:r>
      <w:r w:rsidRPr="00F35478">
        <w:t xml:space="preserve"> database </w:t>
      </w:r>
      <w:r>
        <w:t xml:space="preserve">systems </w:t>
      </w:r>
      <w:r w:rsidRPr="00F35478">
        <w:t xml:space="preserve">and using opposition measures </w:t>
      </w:r>
      <w:r>
        <w:t>would</w:t>
      </w:r>
      <w:r w:rsidRPr="00F35478">
        <w:t xml:space="preserve"> be </w:t>
      </w:r>
      <w:r>
        <w:t>an</w:t>
      </w:r>
      <w:r w:rsidRPr="00F35478">
        <w:t xml:space="preserve"> effective and efficient form of promoting protection of </w:t>
      </w:r>
      <w:r>
        <w:t>GRs</w:t>
      </w:r>
      <w:r w:rsidRPr="00F35478">
        <w:t xml:space="preserve"> and </w:t>
      </w:r>
      <w:r w:rsidR="00FD2D30">
        <w:t xml:space="preserve">TK associated with </w:t>
      </w:r>
      <w:r>
        <w:t xml:space="preserve">GRs </w:t>
      </w:r>
      <w:r w:rsidRPr="00F35478">
        <w:t xml:space="preserve">in the patent system.  </w:t>
      </w:r>
    </w:p>
    <w:p w:rsidR="00FA10C7" w:rsidRDefault="00FA10C7" w:rsidP="00FA10C7"/>
    <w:p w:rsidR="003E16FC" w:rsidRDefault="00FA10C7" w:rsidP="003E16FC">
      <w:pPr>
        <w:pStyle w:val="ListParagraph"/>
        <w:numPr>
          <w:ilvl w:val="0"/>
          <w:numId w:val="4"/>
        </w:numPr>
        <w:ind w:left="0" w:firstLine="0"/>
      </w:pPr>
      <w:r w:rsidRPr="00F35478">
        <w:t xml:space="preserve">The Delegation of the </w:t>
      </w:r>
      <w:r w:rsidR="00FD2D30">
        <w:t>Russian Federation supported d</w:t>
      </w:r>
      <w:r w:rsidRPr="00F35478">
        <w:t xml:space="preserve">ocument </w:t>
      </w:r>
      <w:r w:rsidR="0090332B">
        <w:t>WIPO/GRTKF/IC/35/7</w:t>
      </w:r>
      <w:r w:rsidRPr="00F35478">
        <w:t xml:space="preserve">. </w:t>
      </w:r>
      <w:r>
        <w:t xml:space="preserve"> </w:t>
      </w:r>
      <w:r w:rsidRPr="00F35478">
        <w:t xml:space="preserve">It </w:t>
      </w:r>
      <w:r>
        <w:t>was</w:t>
      </w:r>
      <w:r w:rsidRPr="00F35478">
        <w:t xml:space="preserve"> a good basis for </w:t>
      </w:r>
      <w:r>
        <w:t>the IGC’s</w:t>
      </w:r>
      <w:r w:rsidRPr="00F35478">
        <w:t xml:space="preserve"> work </w:t>
      </w:r>
      <w:r>
        <w:t>and</w:t>
      </w:r>
      <w:r w:rsidRPr="00F35478">
        <w:t xml:space="preserve"> could be adopted in the future by the </w:t>
      </w:r>
      <w:r>
        <w:t>IGC</w:t>
      </w:r>
      <w:r w:rsidRPr="00F35478">
        <w:t xml:space="preserve"> as guiding principles for GRs and </w:t>
      </w:r>
      <w:r w:rsidR="00FD2D30">
        <w:t xml:space="preserve">TK associated with </w:t>
      </w:r>
      <w:r>
        <w:t>GRs</w:t>
      </w:r>
      <w:r w:rsidRPr="00F35478">
        <w:t>, especia</w:t>
      </w:r>
      <w:r>
        <w:t>lly as there had</w:t>
      </w:r>
      <w:r w:rsidRPr="00F35478">
        <w:t xml:space="preserve"> been examples in the past of work developed on the basis of </w:t>
      </w:r>
      <w:r>
        <w:t>that</w:t>
      </w:r>
      <w:r w:rsidRPr="00F35478">
        <w:t xml:space="preserve"> document.</w:t>
      </w:r>
    </w:p>
    <w:p w:rsidR="003E16FC" w:rsidRDefault="003E16FC" w:rsidP="003E16FC"/>
    <w:p w:rsidR="003E16FC" w:rsidRDefault="00FA10C7" w:rsidP="003E16FC">
      <w:pPr>
        <w:pStyle w:val="ListParagraph"/>
        <w:numPr>
          <w:ilvl w:val="0"/>
          <w:numId w:val="4"/>
        </w:numPr>
        <w:ind w:left="0" w:firstLine="0"/>
      </w:pPr>
      <w:r w:rsidRPr="00F35478">
        <w:t>The Delegation of Morocco, speaking on behalf of the African Group, thanked</w:t>
      </w:r>
      <w:r>
        <w:t xml:space="preserve"> the co</w:t>
      </w:r>
      <w:r w:rsidR="0035357C">
        <w:noBreakHyphen/>
      </w:r>
      <w:r w:rsidR="00FD2D30">
        <w:t>sponsors for</w:t>
      </w:r>
      <w:r>
        <w:t xml:space="preserve"> the</w:t>
      </w:r>
      <w:r w:rsidRPr="00F35478">
        <w:t xml:space="preserve"> recommendation</w:t>
      </w:r>
      <w:r>
        <w:t xml:space="preserve">.  It </w:t>
      </w:r>
      <w:r w:rsidRPr="00F35478">
        <w:t>consider</w:t>
      </w:r>
      <w:r>
        <w:t>ed</w:t>
      </w:r>
      <w:r w:rsidRPr="00F35478">
        <w:t xml:space="preserve"> that the ideas put forward </w:t>
      </w:r>
      <w:r>
        <w:t>comple</w:t>
      </w:r>
      <w:r w:rsidRPr="00F35478">
        <w:t>ment</w:t>
      </w:r>
      <w:r w:rsidR="00FD2D30">
        <w:t>ed d</w:t>
      </w:r>
      <w:r w:rsidRPr="00F35478">
        <w:t>ocument WIPO/GRTKF/IC/35/4</w:t>
      </w:r>
      <w:r>
        <w:t>, b</w:t>
      </w:r>
      <w:r w:rsidRPr="00F35478">
        <w:t xml:space="preserve">ecause they </w:t>
      </w:r>
      <w:proofErr w:type="gramStart"/>
      <w:r>
        <w:t>were</w:t>
      </w:r>
      <w:r w:rsidRPr="00F35478">
        <w:t xml:space="preserve"> already reflected</w:t>
      </w:r>
      <w:proofErr w:type="gramEnd"/>
      <w:r w:rsidRPr="00F35478">
        <w:t xml:space="preserve"> in the text and </w:t>
      </w:r>
      <w:r>
        <w:t>were</w:t>
      </w:r>
      <w:r w:rsidR="00FD2D30">
        <w:t xml:space="preserve"> part of the discussion.  H</w:t>
      </w:r>
      <w:r w:rsidRPr="00F35478">
        <w:t xml:space="preserve">owever, </w:t>
      </w:r>
      <w:r>
        <w:t>it</w:t>
      </w:r>
      <w:r w:rsidRPr="00F35478">
        <w:t xml:space="preserve"> prejudge</w:t>
      </w:r>
      <w:r>
        <w:t>d</w:t>
      </w:r>
      <w:r w:rsidRPr="00F35478">
        <w:t xml:space="preserve"> some of the terms.  </w:t>
      </w:r>
      <w:r>
        <w:t xml:space="preserve">Discussions </w:t>
      </w:r>
      <w:r w:rsidRPr="00F35478">
        <w:t xml:space="preserve">should </w:t>
      </w:r>
      <w:r>
        <w:t xml:space="preserve">focus on </w:t>
      </w:r>
      <w:r w:rsidR="00FD2D30">
        <w:t>d</w:t>
      </w:r>
      <w:r>
        <w:t>ocument</w:t>
      </w:r>
      <w:r w:rsidR="00FD2D30">
        <w:t xml:space="preserve"> </w:t>
      </w:r>
      <w:r w:rsidR="00FD2D30" w:rsidRPr="00F35478">
        <w:t>WIPO/GRTKF/IC/35/4</w:t>
      </w:r>
      <w:r w:rsidRPr="00F35478">
        <w:t>.</w:t>
      </w:r>
    </w:p>
    <w:p w:rsidR="003E16FC" w:rsidRDefault="003E16FC" w:rsidP="003E16FC"/>
    <w:p w:rsidR="003E16FC" w:rsidRDefault="00FA10C7" w:rsidP="003E16FC">
      <w:pPr>
        <w:pStyle w:val="ListParagraph"/>
        <w:numPr>
          <w:ilvl w:val="0"/>
          <w:numId w:val="4"/>
        </w:numPr>
        <w:ind w:left="0" w:firstLine="0"/>
      </w:pPr>
      <w:r w:rsidRPr="00F35478">
        <w:lastRenderedPageBreak/>
        <w:t>The Delegation of Canada was pleased to co</w:t>
      </w:r>
      <w:r w:rsidR="0021451B">
        <w:t>-</w:t>
      </w:r>
      <w:r w:rsidRPr="00F35478">
        <w:t xml:space="preserve">sponsor </w:t>
      </w:r>
      <w:r>
        <w:t>the</w:t>
      </w:r>
      <w:r w:rsidRPr="00F35478">
        <w:t xml:space="preserve"> proposed joint recommendation as one of several possible positive ways forward</w:t>
      </w:r>
      <w:r>
        <w:t>,</w:t>
      </w:r>
      <w:r w:rsidRPr="00F35478">
        <w:t xml:space="preserve"> including as means to consider the full range of options available, without prejudice to the IGC's work and eventual outcome</w:t>
      </w:r>
      <w:r>
        <w:t>(s)</w:t>
      </w:r>
      <w:r w:rsidRPr="00F35478">
        <w:t xml:space="preserve">.  </w:t>
      </w:r>
    </w:p>
    <w:p w:rsidR="003E16FC" w:rsidRDefault="003E16FC" w:rsidP="003E16FC"/>
    <w:p w:rsidR="003E16FC" w:rsidRDefault="00FA10C7" w:rsidP="003E16FC">
      <w:pPr>
        <w:pStyle w:val="ListParagraph"/>
        <w:numPr>
          <w:ilvl w:val="0"/>
          <w:numId w:val="4"/>
        </w:numPr>
        <w:ind w:left="0" w:firstLine="0"/>
      </w:pPr>
      <w:r w:rsidRPr="00F35478">
        <w:t>The Delegation of Ecuador welcomed the initiative by the</w:t>
      </w:r>
      <w:r>
        <w:t xml:space="preserve"> Delegation of</w:t>
      </w:r>
      <w:r w:rsidRPr="00F35478">
        <w:t xml:space="preserve"> USA and </w:t>
      </w:r>
      <w:r>
        <w:t>other</w:t>
      </w:r>
      <w:r w:rsidRPr="00F35478">
        <w:t xml:space="preserve"> proponent countries.  </w:t>
      </w:r>
      <w:r>
        <w:t>T</w:t>
      </w:r>
      <w:r w:rsidRPr="00F35478">
        <w:t xml:space="preserve">here </w:t>
      </w:r>
      <w:r>
        <w:t>was</w:t>
      </w:r>
      <w:r w:rsidRPr="00F35478">
        <w:t xml:space="preserve"> a need to contribute with defensive protection measures, </w:t>
      </w:r>
      <w:r>
        <w:t>which were</w:t>
      </w:r>
      <w:r w:rsidRPr="00F35478">
        <w:t xml:space="preserve"> directed at guaranteeing due access to </w:t>
      </w:r>
      <w:r>
        <w:t xml:space="preserve">GRs. </w:t>
      </w:r>
      <w:r w:rsidR="003E16FC">
        <w:t xml:space="preserve"> </w:t>
      </w:r>
      <w:r>
        <w:t>They should not be confused with</w:t>
      </w:r>
      <w:r w:rsidRPr="00F35478">
        <w:t xml:space="preserve"> measures, which ensure</w:t>
      </w:r>
      <w:r>
        <w:t>d</w:t>
      </w:r>
      <w:r w:rsidRPr="00F35478">
        <w:t xml:space="preserve"> the protection of GRs of originating countries. </w:t>
      </w:r>
    </w:p>
    <w:p w:rsidR="003E16FC" w:rsidRDefault="003E16FC" w:rsidP="003E16FC"/>
    <w:p w:rsidR="003E16FC" w:rsidRDefault="00FA10C7" w:rsidP="003E16FC">
      <w:pPr>
        <w:pStyle w:val="ListParagraph"/>
        <w:numPr>
          <w:ilvl w:val="0"/>
          <w:numId w:val="4"/>
        </w:numPr>
        <w:ind w:left="0" w:firstLine="0"/>
      </w:pPr>
      <w:r w:rsidRPr="00F35478">
        <w:t>The Delegation of India was delig</w:t>
      </w:r>
      <w:r>
        <w:t xml:space="preserve">hted to </w:t>
      </w:r>
      <w:r w:rsidR="003E16FC">
        <w:t>see</w:t>
      </w:r>
      <w:r>
        <w:t xml:space="preserve"> that the proposal </w:t>
      </w:r>
      <w:r w:rsidRPr="00F35478">
        <w:t>also recognize</w:t>
      </w:r>
      <w:r>
        <w:t>d</w:t>
      </w:r>
      <w:r w:rsidRPr="00F35478">
        <w:t xml:space="preserve"> the essence of the proposal in </w:t>
      </w:r>
      <w:r w:rsidR="005071C7">
        <w:t>d</w:t>
      </w:r>
      <w:r w:rsidRPr="00F35478">
        <w:t xml:space="preserve">ocument </w:t>
      </w:r>
      <w:r>
        <w:t>WIPO/GRTKF/IC/35/4, i.e.</w:t>
      </w:r>
      <w:r w:rsidRPr="00F35478">
        <w:t xml:space="preserve">, respect for </w:t>
      </w:r>
      <w:r>
        <w:t xml:space="preserve">biodiversity, PIC, </w:t>
      </w:r>
      <w:proofErr w:type="gramStart"/>
      <w:r w:rsidR="005071C7">
        <w:t>benefit-</w:t>
      </w:r>
      <w:r w:rsidRPr="00F35478">
        <w:t>sharing</w:t>
      </w:r>
      <w:proofErr w:type="gramEnd"/>
      <w:r w:rsidRPr="00F35478">
        <w:t xml:space="preserve"> and </w:t>
      </w:r>
      <w:r w:rsidR="003E16FC">
        <w:t xml:space="preserve">prevention of </w:t>
      </w:r>
      <w:r w:rsidRPr="00F35478">
        <w:t xml:space="preserve">erroneous grant of patents. </w:t>
      </w:r>
      <w:r w:rsidR="003E16FC">
        <w:t xml:space="preserve"> </w:t>
      </w:r>
      <w:r>
        <w:t xml:space="preserve">There were </w:t>
      </w:r>
      <w:proofErr w:type="gramStart"/>
      <w:r>
        <w:t>a</w:t>
      </w:r>
      <w:r w:rsidRPr="00F35478">
        <w:t xml:space="preserve"> lot of</w:t>
      </w:r>
      <w:proofErr w:type="gramEnd"/>
      <w:r w:rsidRPr="00F35478">
        <w:t xml:space="preserve"> points of convergence between two </w:t>
      </w:r>
      <w:r>
        <w:t>documents.</w:t>
      </w:r>
      <w:r w:rsidR="003E16FC">
        <w:t xml:space="preserve"> </w:t>
      </w:r>
      <w:r>
        <w:t xml:space="preserve"> It</w:t>
      </w:r>
      <w:r w:rsidRPr="00F35478">
        <w:t xml:space="preserve"> request</w:t>
      </w:r>
      <w:r>
        <w:t>ed</w:t>
      </w:r>
      <w:r w:rsidRPr="00F35478">
        <w:t xml:space="preserve"> the supporters of </w:t>
      </w:r>
      <w:r w:rsidR="003E16FC">
        <w:t xml:space="preserve">the </w:t>
      </w:r>
      <w:r w:rsidRPr="00F35478">
        <w:t>proposal to relook into</w:t>
      </w:r>
      <w:r w:rsidR="005071C7" w:rsidRPr="005071C7">
        <w:t xml:space="preserve"> </w:t>
      </w:r>
      <w:r w:rsidR="005071C7">
        <w:t>d</w:t>
      </w:r>
      <w:r w:rsidR="005071C7" w:rsidRPr="00F35478">
        <w:t xml:space="preserve">ocument </w:t>
      </w:r>
      <w:r w:rsidR="005071C7">
        <w:t>WIPO/GRTKF/IC/35/4</w:t>
      </w:r>
      <w:r>
        <w:t xml:space="preserve">, and find out ways to come </w:t>
      </w:r>
      <w:r w:rsidRPr="00F35478">
        <w:t xml:space="preserve">to a mutually agreed document.  </w:t>
      </w:r>
    </w:p>
    <w:p w:rsidR="003E16FC" w:rsidRDefault="003E16FC" w:rsidP="003E16FC"/>
    <w:p w:rsidR="00F4358C" w:rsidRDefault="00FA10C7" w:rsidP="00F4358C">
      <w:pPr>
        <w:pStyle w:val="ListParagraph"/>
        <w:numPr>
          <w:ilvl w:val="0"/>
          <w:numId w:val="4"/>
        </w:numPr>
        <w:ind w:left="0" w:firstLine="0"/>
      </w:pPr>
      <w:r w:rsidRPr="00F35478">
        <w:t xml:space="preserve">The representative of Tupaj Amaru </w:t>
      </w:r>
      <w:r>
        <w:t>said</w:t>
      </w:r>
      <w:r w:rsidRPr="00F35478">
        <w:t xml:space="preserve"> that the contribution by the </w:t>
      </w:r>
      <w:r>
        <w:t>proposal was</w:t>
      </w:r>
      <w:r w:rsidRPr="00F35478">
        <w:t xml:space="preserve"> positive, but </w:t>
      </w:r>
      <w:r>
        <w:t>it</w:t>
      </w:r>
      <w:r w:rsidRPr="00F35478">
        <w:t xml:space="preserve"> should be in the context of the CBD</w:t>
      </w:r>
      <w:r>
        <w:t xml:space="preserve"> and the Nagoya P</w:t>
      </w:r>
      <w:r w:rsidRPr="00F35478">
        <w:t xml:space="preserve">rotocol.  </w:t>
      </w:r>
      <w:r>
        <w:t xml:space="preserve">The document did not mention </w:t>
      </w:r>
      <w:r w:rsidRPr="00F35478">
        <w:t xml:space="preserve">the fight against the erosion of </w:t>
      </w:r>
      <w:r>
        <w:t>GRs</w:t>
      </w:r>
      <w:r w:rsidRPr="00F35478">
        <w:t xml:space="preserve"> o</w:t>
      </w:r>
      <w:r>
        <w:t>r biopiracy of associated TK.</w:t>
      </w:r>
      <w:r w:rsidRPr="00F35478">
        <w:t xml:space="preserve">  The main problem, for many years, </w:t>
      </w:r>
      <w:r>
        <w:t xml:space="preserve">had been to determine </w:t>
      </w:r>
      <w:r w:rsidRPr="00F35478">
        <w:t xml:space="preserve">how </w:t>
      </w:r>
      <w:r>
        <w:t>to confront bio</w:t>
      </w:r>
      <w:r w:rsidRPr="00F35478">
        <w:t>piracy</w:t>
      </w:r>
      <w:r>
        <w:t>,</w:t>
      </w:r>
      <w:r w:rsidRPr="00F35478">
        <w:t xml:space="preserve"> which </w:t>
      </w:r>
      <w:r>
        <w:t>occurred</w:t>
      </w:r>
      <w:r w:rsidRPr="00F35478">
        <w:t xml:space="preserve"> in all impunity.  </w:t>
      </w:r>
    </w:p>
    <w:p w:rsidR="00F4358C" w:rsidRDefault="00F4358C" w:rsidP="00F4358C"/>
    <w:p w:rsidR="00F4358C" w:rsidRDefault="00F4358C" w:rsidP="00F4358C">
      <w:pPr>
        <w:pStyle w:val="ListParagraph"/>
        <w:numPr>
          <w:ilvl w:val="0"/>
          <w:numId w:val="4"/>
        </w:numPr>
        <w:ind w:left="0" w:firstLine="0"/>
      </w:pPr>
      <w:r w:rsidRPr="00F35478">
        <w:t xml:space="preserve">The Chair invited the Delegation </w:t>
      </w:r>
      <w:r w:rsidR="005071C7">
        <w:t>of Japan to introduce d</w:t>
      </w:r>
      <w:r>
        <w:t>ocument</w:t>
      </w:r>
      <w:r w:rsidRPr="00F35478">
        <w:t xml:space="preserve"> </w:t>
      </w:r>
      <w:r>
        <w:t>WIPO/GRTKF/IC/35/8</w:t>
      </w:r>
      <w:r w:rsidRPr="00F35478">
        <w:t>.</w:t>
      </w:r>
    </w:p>
    <w:p w:rsidR="00F4358C" w:rsidRDefault="00F4358C" w:rsidP="00F4358C"/>
    <w:p w:rsidR="00F4358C" w:rsidRDefault="00F4358C" w:rsidP="00F4358C">
      <w:pPr>
        <w:pStyle w:val="ListParagraph"/>
        <w:numPr>
          <w:ilvl w:val="0"/>
          <w:numId w:val="4"/>
        </w:numPr>
        <w:ind w:left="0" w:firstLine="0"/>
      </w:pPr>
      <w:r w:rsidRPr="00F35478">
        <w:t>The Delegation of Japan, together with the Delegations of Canada, the Republic of Korea, and the USA, was pleased to offer a brief explanation</w:t>
      </w:r>
      <w:r w:rsidR="00535788">
        <w:t xml:space="preserve"> of d</w:t>
      </w:r>
      <w:r>
        <w:t>ocument WIPO/GRTKF/IC/35/8</w:t>
      </w:r>
      <w:r w:rsidRPr="00F35478">
        <w:t xml:space="preserve">.  </w:t>
      </w:r>
      <w:r>
        <w:t>Most of the M</w:t>
      </w:r>
      <w:r w:rsidRPr="00F35478">
        <w:t xml:space="preserve">ember </w:t>
      </w:r>
      <w:r>
        <w:t xml:space="preserve">States </w:t>
      </w:r>
      <w:r w:rsidRPr="00F35478">
        <w:t>share</w:t>
      </w:r>
      <w:r>
        <w:t>d</w:t>
      </w:r>
      <w:r w:rsidRPr="00F35478">
        <w:t xml:space="preserve"> a common recognition of the importance of taking effective measures to prevent the misappropriation of </w:t>
      </w:r>
      <w:r>
        <w:t>GRs</w:t>
      </w:r>
      <w:r w:rsidRPr="00F35478">
        <w:t xml:space="preserve"> and </w:t>
      </w:r>
      <w:r w:rsidR="00535788">
        <w:t xml:space="preserve">TK associated with </w:t>
      </w:r>
      <w:r>
        <w:t>GRs</w:t>
      </w:r>
      <w:r w:rsidRPr="00F35478">
        <w:t xml:space="preserve">.  Based on that recognition, </w:t>
      </w:r>
      <w:r>
        <w:t>it had</w:t>
      </w:r>
      <w:r w:rsidRPr="00F35478">
        <w:t xml:space="preserve"> been contributing to the discussions on </w:t>
      </w:r>
      <w:r>
        <w:t>that</w:t>
      </w:r>
      <w:r w:rsidRPr="00F35478">
        <w:t xml:space="preserve"> issue at the IGC and other fora, proposing creating a database for </w:t>
      </w:r>
      <w:r>
        <w:t>GRs that would</w:t>
      </w:r>
      <w:r w:rsidRPr="00F35478">
        <w:t xml:space="preserve"> prevent </w:t>
      </w:r>
      <w:r>
        <w:t xml:space="preserve">the </w:t>
      </w:r>
      <w:r w:rsidRPr="00F35478">
        <w:t xml:space="preserve">erroneous granting of patents. </w:t>
      </w:r>
      <w:r>
        <w:t xml:space="preserve"> </w:t>
      </w:r>
      <w:r w:rsidRPr="00F35478">
        <w:t>As al</w:t>
      </w:r>
      <w:r w:rsidR="00535788">
        <w:t>so indicated in the Secretariat’</w:t>
      </w:r>
      <w:r w:rsidRPr="00F35478">
        <w:t xml:space="preserve">s report </w:t>
      </w:r>
      <w:r w:rsidR="00535788">
        <w:t>(d</w:t>
      </w:r>
      <w:r>
        <w:t xml:space="preserve">ocument </w:t>
      </w:r>
      <w:r w:rsidRPr="00F35478">
        <w:t>WIPO/GRTKF/IC/35/5</w:t>
      </w:r>
      <w:r>
        <w:t>)</w:t>
      </w:r>
      <w:r w:rsidRPr="00F35478">
        <w:t xml:space="preserve">, ever since the IGC </w:t>
      </w:r>
      <w:r>
        <w:t xml:space="preserve">had </w:t>
      </w:r>
      <w:proofErr w:type="gramStart"/>
      <w:r>
        <w:t>been established</w:t>
      </w:r>
      <w:proofErr w:type="gramEnd"/>
      <w:r>
        <w:t>, Member States had</w:t>
      </w:r>
      <w:r w:rsidRPr="00F35478">
        <w:t xml:space="preserve"> submitted a number of proposals on databases relating to GRs and </w:t>
      </w:r>
      <w:r w:rsidR="00535788">
        <w:t xml:space="preserve">TK associated with </w:t>
      </w:r>
      <w:r>
        <w:t>GRs</w:t>
      </w:r>
      <w:r w:rsidRPr="00F35478">
        <w:t xml:space="preserve">. </w:t>
      </w:r>
      <w:r>
        <w:t xml:space="preserve"> </w:t>
      </w:r>
      <w:r w:rsidRPr="00F35478">
        <w:t xml:space="preserve">In order to achieve </w:t>
      </w:r>
      <w:r>
        <w:t>that</w:t>
      </w:r>
      <w:r w:rsidRPr="00F35478">
        <w:t xml:space="preserve"> purpose, it would be more appropriate to establish databases on </w:t>
      </w:r>
      <w:r>
        <w:t>GRs</w:t>
      </w:r>
      <w:r w:rsidRPr="00F35478">
        <w:t xml:space="preserve">, which </w:t>
      </w:r>
      <w:r>
        <w:t>would</w:t>
      </w:r>
      <w:r w:rsidRPr="00F35478">
        <w:t xml:space="preserve"> provide information that examiners need</w:t>
      </w:r>
      <w:r>
        <w:t>ed</w:t>
      </w:r>
      <w:r w:rsidRPr="00F35478">
        <w:t xml:space="preserve"> to determine novelty and in</w:t>
      </w:r>
      <w:r>
        <w:t>v</w:t>
      </w:r>
      <w:r w:rsidRPr="00F35478">
        <w:t>en</w:t>
      </w:r>
      <w:r>
        <w:t xml:space="preserve">tive steps of inventions claimed in </w:t>
      </w:r>
      <w:r w:rsidRPr="00F35478">
        <w:t xml:space="preserve">patent applications.  </w:t>
      </w:r>
      <w:r>
        <w:t>That</w:t>
      </w:r>
      <w:r w:rsidRPr="00F35478">
        <w:t xml:space="preserve"> </w:t>
      </w:r>
      <w:proofErr w:type="gramStart"/>
      <w:r w:rsidRPr="00F35478">
        <w:t>should be done</w:t>
      </w:r>
      <w:proofErr w:type="gramEnd"/>
      <w:r w:rsidRPr="00F35478">
        <w:t xml:space="preserve"> instead of introducing </w:t>
      </w:r>
      <w:r>
        <w:t>a</w:t>
      </w:r>
      <w:r w:rsidRPr="00F35478">
        <w:t xml:space="preserve"> mandatory disclosure requirement. </w:t>
      </w:r>
      <w:r>
        <w:t xml:space="preserve"> S</w:t>
      </w:r>
      <w:r w:rsidRPr="00F35478">
        <w:t>uch databases enable</w:t>
      </w:r>
      <w:r>
        <w:t>d</w:t>
      </w:r>
      <w:r w:rsidRPr="00F35478">
        <w:t xml:space="preserve"> </w:t>
      </w:r>
      <w:r>
        <w:t>patent</w:t>
      </w:r>
      <w:r w:rsidRPr="00F35478">
        <w:t xml:space="preserve"> examiners to make efficient searches for relevant prior art among thousands of </w:t>
      </w:r>
      <w:r>
        <w:t>patent</w:t>
      </w:r>
      <w:r w:rsidRPr="00F35478">
        <w:t xml:space="preserve"> documents and </w:t>
      </w:r>
      <w:r>
        <w:t>non-</w:t>
      </w:r>
      <w:r w:rsidRPr="00F35478">
        <w:t>patent literature.  By examiners</w:t>
      </w:r>
      <w:r>
        <w:t>’</w:t>
      </w:r>
      <w:r w:rsidRPr="00F35478">
        <w:t xml:space="preserve"> utilizing </w:t>
      </w:r>
      <w:r>
        <w:t>the</w:t>
      </w:r>
      <w:r w:rsidRPr="00F35478">
        <w:t xml:space="preserve"> proposed databases during the patent examination process, the quality of patent examination in the area of </w:t>
      </w:r>
      <w:r>
        <w:t>GRs</w:t>
      </w:r>
      <w:r w:rsidRPr="00F35478">
        <w:t xml:space="preserve"> </w:t>
      </w:r>
      <w:proofErr w:type="gramStart"/>
      <w:r>
        <w:t>would</w:t>
      </w:r>
      <w:r w:rsidRPr="00F35478">
        <w:t xml:space="preserve"> be improved</w:t>
      </w:r>
      <w:proofErr w:type="gramEnd"/>
      <w:r w:rsidRPr="00F35478">
        <w:t xml:space="preserve"> and </w:t>
      </w:r>
      <w:r>
        <w:t xml:space="preserve">the </w:t>
      </w:r>
      <w:r w:rsidRPr="00F35478">
        <w:t xml:space="preserve">protection of </w:t>
      </w:r>
      <w:r>
        <w:t>GRs</w:t>
      </w:r>
      <w:r w:rsidRPr="00F35478">
        <w:t xml:space="preserve"> </w:t>
      </w:r>
      <w:r>
        <w:t>would</w:t>
      </w:r>
      <w:r w:rsidRPr="00F35478">
        <w:t xml:space="preserve"> be enhanced.  </w:t>
      </w:r>
      <w:r>
        <w:t xml:space="preserve">It hoped that the </w:t>
      </w:r>
      <w:r w:rsidRPr="00F35478">
        <w:t xml:space="preserve">document </w:t>
      </w:r>
      <w:r>
        <w:t>would</w:t>
      </w:r>
      <w:r w:rsidRPr="00F35478">
        <w:t xml:space="preserve"> foster a better understanding of </w:t>
      </w:r>
      <w:r>
        <w:t>its</w:t>
      </w:r>
      <w:r w:rsidRPr="00F35478">
        <w:t xml:space="preserve"> proposal for creating databases among Member States.</w:t>
      </w:r>
    </w:p>
    <w:p w:rsidR="00F4358C" w:rsidRDefault="00F4358C" w:rsidP="00F4358C">
      <w:pPr>
        <w:pStyle w:val="ListParagraph"/>
        <w:ind w:left="0"/>
      </w:pPr>
    </w:p>
    <w:p w:rsidR="00F54E5C" w:rsidRDefault="00F4358C" w:rsidP="00F4358C">
      <w:pPr>
        <w:pStyle w:val="ListParagraph"/>
        <w:numPr>
          <w:ilvl w:val="0"/>
          <w:numId w:val="4"/>
        </w:numPr>
        <w:ind w:left="0" w:firstLine="0"/>
      </w:pPr>
      <w:r w:rsidRPr="00F35478">
        <w:t>The Delegation of the USA supported the comments made by the Delegation</w:t>
      </w:r>
      <w:r>
        <w:t xml:space="preserve"> of Japan</w:t>
      </w:r>
      <w:r w:rsidRPr="00F35478">
        <w:t xml:space="preserve">.  </w:t>
      </w:r>
      <w:r w:rsidR="007004D8">
        <w:t>It</w:t>
      </w:r>
      <w:r>
        <w:t xml:space="preserve"> viewed that</w:t>
      </w:r>
      <w:r w:rsidRPr="00F35478">
        <w:t xml:space="preserve"> proposal as a valuable contribution to the work of the IGC that aim</w:t>
      </w:r>
      <w:r>
        <w:t>ed</w:t>
      </w:r>
      <w:r w:rsidRPr="00F35478">
        <w:t xml:space="preserve"> to provide an</w:t>
      </w:r>
      <w:r>
        <w:t xml:space="preserve"> international legal instrument(s) </w:t>
      </w:r>
      <w:r w:rsidRPr="00F35478">
        <w:t xml:space="preserve">for the effective protection of </w:t>
      </w:r>
      <w:r>
        <w:t>GRs</w:t>
      </w:r>
      <w:r w:rsidRPr="00F35478">
        <w:t xml:space="preserve"> and </w:t>
      </w:r>
      <w:r>
        <w:t>TK</w:t>
      </w:r>
      <w:r w:rsidRPr="00F35478">
        <w:t xml:space="preserve">. </w:t>
      </w:r>
      <w:r>
        <w:t xml:space="preserve"> In particular,</w:t>
      </w:r>
      <w:r w:rsidRPr="00F35478">
        <w:t xml:space="preserve"> it help</w:t>
      </w:r>
      <w:r>
        <w:t>ed</w:t>
      </w:r>
      <w:r w:rsidRPr="00F35478">
        <w:t xml:space="preserve"> to address concerns raised in </w:t>
      </w:r>
      <w:r>
        <w:t>the IGC</w:t>
      </w:r>
      <w:r w:rsidRPr="00F35478">
        <w:t xml:space="preserve"> relating to the erroneous granting of patents.</w:t>
      </w:r>
      <w:r>
        <w:t xml:space="preserve">  Moreover,</w:t>
      </w:r>
      <w:r w:rsidRPr="00F35478">
        <w:t xml:space="preserve"> it </w:t>
      </w:r>
      <w:r>
        <w:t>was</w:t>
      </w:r>
      <w:r w:rsidRPr="00F35478">
        <w:t xml:space="preserve"> essential that </w:t>
      </w:r>
      <w:r>
        <w:t>the IGC</w:t>
      </w:r>
      <w:r w:rsidRPr="00F35478">
        <w:t xml:space="preserve"> further engage</w:t>
      </w:r>
      <w:r w:rsidR="00B936E6">
        <w:t>d</w:t>
      </w:r>
      <w:r w:rsidRPr="00F35478">
        <w:t xml:space="preserve"> on </w:t>
      </w:r>
      <w:r>
        <w:t>that</w:t>
      </w:r>
      <w:r w:rsidRPr="00F35478">
        <w:t xml:space="preserve"> proposal in order to address questions and concerns raised about the use of databases in past discussions.</w:t>
      </w:r>
      <w:r>
        <w:t xml:space="preserve">  </w:t>
      </w:r>
      <w:r w:rsidRPr="00F35478">
        <w:t xml:space="preserve">Some questions that </w:t>
      </w:r>
      <w:proofErr w:type="gramStart"/>
      <w:r w:rsidRPr="00F35478">
        <w:t>ha</w:t>
      </w:r>
      <w:r>
        <w:t>d</w:t>
      </w:r>
      <w:r w:rsidRPr="00F35478">
        <w:t xml:space="preserve"> been raised</w:t>
      </w:r>
      <w:proofErr w:type="gramEnd"/>
      <w:r w:rsidRPr="00F35478">
        <w:t xml:space="preserve"> in the </w:t>
      </w:r>
      <w:r>
        <w:t xml:space="preserve">IGC included: </w:t>
      </w:r>
      <w:r w:rsidR="00B936E6">
        <w:t xml:space="preserve"> </w:t>
      </w:r>
      <w:r w:rsidRPr="00F35478">
        <w:t xml:space="preserve">what </w:t>
      </w:r>
      <w:r>
        <w:t>was</w:t>
      </w:r>
      <w:r w:rsidRPr="00F35478">
        <w:t xml:space="preserve"> the value add</w:t>
      </w:r>
      <w:r>
        <w:t>ed</w:t>
      </w:r>
      <w:r w:rsidRPr="00F35478">
        <w:t xml:space="preserve"> of a new </w:t>
      </w:r>
      <w:r>
        <w:t>GRs</w:t>
      </w:r>
      <w:r w:rsidRPr="00F35478">
        <w:t xml:space="preserve"> database, give</w:t>
      </w:r>
      <w:r>
        <w:t>n</w:t>
      </w:r>
      <w:r w:rsidRPr="00F35478">
        <w:t xml:space="preserve"> than there </w:t>
      </w:r>
      <w:r>
        <w:t>were</w:t>
      </w:r>
      <w:r w:rsidRPr="00F35478">
        <w:t xml:space="preserve"> already excellent databases of </w:t>
      </w:r>
      <w:r>
        <w:t>GRs</w:t>
      </w:r>
      <w:r w:rsidRPr="00F35478">
        <w:t xml:space="preserve"> as well as databases of scientific literature in ex</w:t>
      </w:r>
      <w:r>
        <w:t>istence?</w:t>
      </w:r>
      <w:r w:rsidRPr="00F35478">
        <w:t xml:space="preserve">  If information placed in a database was not intended to be in the public domain, what, if anything, </w:t>
      </w:r>
      <w:r>
        <w:t>could</w:t>
      </w:r>
      <w:r w:rsidRPr="00F35478">
        <w:t xml:space="preserve"> be done to ensure that </w:t>
      </w:r>
      <w:r>
        <w:t>GRs</w:t>
      </w:r>
      <w:r w:rsidRPr="00F35478">
        <w:t xml:space="preserve"> and </w:t>
      </w:r>
      <w:r>
        <w:t xml:space="preserve">TK did </w:t>
      </w:r>
      <w:r w:rsidRPr="00F35478">
        <w:t>not fall into the pub</w:t>
      </w:r>
      <w:r>
        <w:t>lic domain once in the database?  W</w:t>
      </w:r>
      <w:r w:rsidRPr="00F35478">
        <w:t xml:space="preserve">hich databases relating to GRs and TK </w:t>
      </w:r>
      <w:proofErr w:type="gramStart"/>
      <w:r>
        <w:t>were</w:t>
      </w:r>
      <w:r w:rsidRPr="00F35478">
        <w:t xml:space="preserve"> searched</w:t>
      </w:r>
      <w:proofErr w:type="gramEnd"/>
      <w:r w:rsidRPr="00F35478">
        <w:t xml:space="preserve"> by national patent offices?  </w:t>
      </w:r>
      <w:r w:rsidR="00B936E6">
        <w:t>Through the IGC’</w:t>
      </w:r>
      <w:r>
        <w:t>s work, one had</w:t>
      </w:r>
      <w:r w:rsidRPr="00F35478">
        <w:t xml:space="preserve"> learned that there </w:t>
      </w:r>
      <w:proofErr w:type="gramStart"/>
      <w:r>
        <w:t>were</w:t>
      </w:r>
      <w:r w:rsidRPr="00F35478">
        <w:t xml:space="preserve"> a variety</w:t>
      </w:r>
      <w:proofErr w:type="gramEnd"/>
      <w:r w:rsidRPr="00F35478">
        <w:t xml:space="preserve"> of approaches to databases at the national level.  While </w:t>
      </w:r>
      <w:r>
        <w:t>the</w:t>
      </w:r>
      <w:r w:rsidRPr="00F35478">
        <w:t xml:space="preserve"> joint recommend</w:t>
      </w:r>
      <w:r>
        <w:t xml:space="preserve">ation would not be prescriptive, the Delegation would provide responses to </w:t>
      </w:r>
      <w:r w:rsidRPr="00F35478">
        <w:t>many o</w:t>
      </w:r>
      <w:r>
        <w:t xml:space="preserve">f the questions </w:t>
      </w:r>
      <w:r>
        <w:lastRenderedPageBreak/>
        <w:t xml:space="preserve">raised </w:t>
      </w:r>
      <w:r w:rsidRPr="00F35478">
        <w:t xml:space="preserve">from a US perspective. </w:t>
      </w:r>
      <w:r>
        <w:t xml:space="preserve"> </w:t>
      </w:r>
      <w:r w:rsidRPr="00F35478">
        <w:t xml:space="preserve">In response </w:t>
      </w:r>
      <w:r>
        <w:t>to the</w:t>
      </w:r>
      <w:r w:rsidRPr="00F35478">
        <w:t xml:space="preserve"> first question, having a centralized database could help to simplify search procedures by making it easier to conduct more systemic searches that cover</w:t>
      </w:r>
      <w:r>
        <w:t>ed</w:t>
      </w:r>
      <w:r w:rsidRPr="00F35478">
        <w:t xml:space="preserve"> the content of several databases. </w:t>
      </w:r>
      <w:r>
        <w:t xml:space="preserve"> </w:t>
      </w:r>
      <w:r w:rsidRPr="00F35478">
        <w:t xml:space="preserve">In response to the second question, if a database </w:t>
      </w:r>
      <w:r>
        <w:t>was</w:t>
      </w:r>
      <w:r w:rsidRPr="00F35478">
        <w:t xml:space="preserve"> made available to patent examiners</w:t>
      </w:r>
      <w:r w:rsidR="00B936E6">
        <w:t>, as well as to the public,</w:t>
      </w:r>
      <w:r w:rsidRPr="00F35478">
        <w:t xml:space="preserve"> that database should only contain information that </w:t>
      </w:r>
      <w:r>
        <w:t>was</w:t>
      </w:r>
      <w:r w:rsidRPr="00F35478">
        <w:t xml:space="preserve"> eligible to be prior art.  </w:t>
      </w:r>
      <w:proofErr w:type="gramStart"/>
      <w:r w:rsidRPr="00F35478">
        <w:t xml:space="preserve">Regarding the third question about which databases relating to </w:t>
      </w:r>
      <w:r>
        <w:t>GRs</w:t>
      </w:r>
      <w:r w:rsidRPr="00F35478">
        <w:t xml:space="preserve"> and </w:t>
      </w:r>
      <w:r>
        <w:t>TK were</w:t>
      </w:r>
      <w:r w:rsidRPr="00F35478">
        <w:t xml:space="preserve"> searc</w:t>
      </w:r>
      <w:r>
        <w:t>hed by national patent offices,</w:t>
      </w:r>
      <w:r w:rsidRPr="00F35478">
        <w:t xml:space="preserve"> USPTO patent examiners search</w:t>
      </w:r>
      <w:r>
        <w:t>ed</w:t>
      </w:r>
      <w:r w:rsidRPr="00F35478">
        <w:t xml:space="preserve"> a wide variety of </w:t>
      </w:r>
      <w:r w:rsidR="00B936E6">
        <w:t>databases, including the KTK</w:t>
      </w:r>
      <w:r>
        <w:t>P</w:t>
      </w:r>
      <w:r w:rsidRPr="00F35478">
        <w:t xml:space="preserve">, the Indian </w:t>
      </w:r>
      <w:r>
        <w:t>TKDL, Malta Wild Plants, the Northern Ontario P</w:t>
      </w:r>
      <w:r w:rsidRPr="00F35478">
        <w:t xml:space="preserve">lant </w:t>
      </w:r>
      <w:r w:rsidR="00B936E6">
        <w:t>Database, South Africa’</w:t>
      </w:r>
      <w:r>
        <w:t>s Traditional Medicines Database, the U</w:t>
      </w:r>
      <w:r w:rsidRPr="00F35478">
        <w:t>niversity of Melbourne Multilingual Multiscript Plant Name Database and the US Department of Agricultur</w:t>
      </w:r>
      <w:r>
        <w:t>e P</w:t>
      </w:r>
      <w:r w:rsidRPr="00F35478">
        <w:t xml:space="preserve">lants </w:t>
      </w:r>
      <w:r>
        <w:t>D</w:t>
      </w:r>
      <w:r w:rsidRPr="00F35478">
        <w:t>atabase.</w:t>
      </w:r>
      <w:proofErr w:type="gramEnd"/>
      <w:r w:rsidRPr="00F35478">
        <w:t xml:space="preserve"> </w:t>
      </w:r>
      <w:r w:rsidR="00B936E6">
        <w:t xml:space="preserve"> </w:t>
      </w:r>
      <w:r w:rsidRPr="00F35478">
        <w:t xml:space="preserve">It </w:t>
      </w:r>
      <w:r>
        <w:t>looked</w:t>
      </w:r>
      <w:r w:rsidRPr="00F35478">
        <w:t xml:space="preserve"> forward to discussing the WIPO</w:t>
      </w:r>
      <w:r w:rsidR="00B936E6">
        <w:t xml:space="preserve"> portal proposal and any follow-</w:t>
      </w:r>
      <w:r w:rsidRPr="00F35478">
        <w:t xml:space="preserve">up questions.  </w:t>
      </w:r>
      <w:r>
        <w:t>It</w:t>
      </w:r>
      <w:r w:rsidRPr="00F35478">
        <w:t xml:space="preserve"> ask</w:t>
      </w:r>
      <w:r>
        <w:t>ed</w:t>
      </w:r>
      <w:r w:rsidRPr="00F35478">
        <w:t xml:space="preserve"> other delegations to support </w:t>
      </w:r>
      <w:r>
        <w:t>the</w:t>
      </w:r>
      <w:r w:rsidRPr="00F35478">
        <w:t xml:space="preserve"> proposal.  </w:t>
      </w:r>
    </w:p>
    <w:p w:rsidR="00F4358C" w:rsidRDefault="00F4358C" w:rsidP="00F54E5C">
      <w:pPr>
        <w:pStyle w:val="ListParagraph"/>
        <w:ind w:left="0"/>
      </w:pPr>
    </w:p>
    <w:p w:rsidR="00F4358C" w:rsidRDefault="00F4358C" w:rsidP="00F4358C">
      <w:pPr>
        <w:pStyle w:val="ListParagraph"/>
        <w:numPr>
          <w:ilvl w:val="0"/>
          <w:numId w:val="4"/>
        </w:numPr>
        <w:ind w:left="0" w:firstLine="0"/>
      </w:pPr>
      <w:r w:rsidRPr="00F35478">
        <w:t>The Delegation of the Republic of Korea, as a co</w:t>
      </w:r>
      <w:r w:rsidR="00AE6B29">
        <w:t>-</w:t>
      </w:r>
      <w:r w:rsidRPr="00F35478">
        <w:t xml:space="preserve">sponsor, supported </w:t>
      </w:r>
      <w:r>
        <w:t>the joint recommendation</w:t>
      </w:r>
      <w:r w:rsidRPr="00F35478">
        <w:t xml:space="preserve">. </w:t>
      </w:r>
      <w:r>
        <w:t xml:space="preserve"> </w:t>
      </w:r>
      <w:r w:rsidR="00AE6B29">
        <w:t>A well-</w:t>
      </w:r>
      <w:r w:rsidRPr="00F35478">
        <w:t xml:space="preserve">developed database </w:t>
      </w:r>
      <w:r>
        <w:t>was a</w:t>
      </w:r>
      <w:r w:rsidRPr="00F35478">
        <w:t xml:space="preserve"> very practical and feasible method for reducing the number of erroneously grant</w:t>
      </w:r>
      <w:r>
        <w:t>ed patents in each Member State</w:t>
      </w:r>
      <w:r w:rsidRPr="00F35478">
        <w:t xml:space="preserve"> and promoting the protection of </w:t>
      </w:r>
      <w:r>
        <w:t>GRs</w:t>
      </w:r>
      <w:r w:rsidRPr="00F35478">
        <w:t xml:space="preserve"> and </w:t>
      </w:r>
      <w:r w:rsidR="00AE6B29">
        <w:t xml:space="preserve">TK associated with </w:t>
      </w:r>
      <w:r>
        <w:t>GRs</w:t>
      </w:r>
      <w:r w:rsidRPr="00F35478">
        <w:t>.  D</w:t>
      </w:r>
      <w:r>
        <w:t>eveloping a</w:t>
      </w:r>
      <w:r w:rsidRPr="00F35478">
        <w:t>n integrated</w:t>
      </w:r>
      <w:r>
        <w:t>, one-</w:t>
      </w:r>
      <w:r w:rsidRPr="00F35478">
        <w:t xml:space="preserve">click database </w:t>
      </w:r>
      <w:r w:rsidR="00AE6B29">
        <w:t>system, a WIPO P</w:t>
      </w:r>
      <w:r w:rsidRPr="00F35478">
        <w:t xml:space="preserve">ortal system </w:t>
      </w:r>
      <w:r>
        <w:t>would</w:t>
      </w:r>
      <w:r w:rsidRPr="00F35478">
        <w:t xml:space="preserve"> effectively and efficiently enhance the protection of </w:t>
      </w:r>
      <w:r>
        <w:t>GRs</w:t>
      </w:r>
      <w:r w:rsidRPr="00F35478">
        <w:t xml:space="preserve"> and </w:t>
      </w:r>
      <w:r w:rsidR="00AE6B29">
        <w:t xml:space="preserve">TK associated with </w:t>
      </w:r>
      <w:r>
        <w:t>GRs</w:t>
      </w:r>
      <w:r w:rsidRPr="00F35478">
        <w:t xml:space="preserve"> in the patent system. </w:t>
      </w:r>
      <w:r>
        <w:t xml:space="preserve"> It looked</w:t>
      </w:r>
      <w:r w:rsidRPr="00F35478">
        <w:t xml:space="preserve"> forward</w:t>
      </w:r>
      <w:r>
        <w:t xml:space="preserve"> to discussing th</w:t>
      </w:r>
      <w:r w:rsidRPr="00F35478">
        <w:t xml:space="preserve">e joint recommendations in a constructive way during the IGC session.  </w:t>
      </w:r>
    </w:p>
    <w:p w:rsidR="00F4358C" w:rsidRDefault="00F4358C" w:rsidP="00F4358C">
      <w:pPr>
        <w:pStyle w:val="ListParagraph"/>
        <w:ind w:left="0"/>
      </w:pPr>
    </w:p>
    <w:p w:rsidR="00F4358C" w:rsidRDefault="00F4358C" w:rsidP="00F4358C">
      <w:pPr>
        <w:pStyle w:val="ListParagraph"/>
        <w:numPr>
          <w:ilvl w:val="0"/>
          <w:numId w:val="4"/>
        </w:numPr>
        <w:ind w:left="0" w:firstLine="0"/>
      </w:pPr>
      <w:r w:rsidRPr="00F35478">
        <w:t xml:space="preserve">The Delegation of the Russian Federation </w:t>
      </w:r>
      <w:r w:rsidR="00AE6B29">
        <w:t>supported d</w:t>
      </w:r>
      <w:r>
        <w:t>ocument</w:t>
      </w:r>
      <w:r w:rsidRPr="00F35478">
        <w:t xml:space="preserve"> </w:t>
      </w:r>
      <w:r>
        <w:t>WIPO/GRTKF/IC/35/8.  It</w:t>
      </w:r>
      <w:r w:rsidRPr="00F35478">
        <w:t xml:space="preserve"> </w:t>
      </w:r>
      <w:r>
        <w:t>would</w:t>
      </w:r>
      <w:r w:rsidRPr="00F35478">
        <w:t xml:space="preserve"> </w:t>
      </w:r>
      <w:r w:rsidR="00AE6B29">
        <w:t>help patent examiners</w:t>
      </w:r>
      <w:r w:rsidRPr="00F35478">
        <w:t xml:space="preserve"> carry out more </w:t>
      </w:r>
      <w:r>
        <w:t>effective searches of prior art</w:t>
      </w:r>
      <w:r w:rsidRPr="00F35478">
        <w:t xml:space="preserve"> and find out about background material related to </w:t>
      </w:r>
      <w:r>
        <w:t>GRs</w:t>
      </w:r>
      <w:r w:rsidRPr="00F35478">
        <w:t xml:space="preserve"> and non-secret </w:t>
      </w:r>
      <w:r w:rsidR="00AE6B29">
        <w:t xml:space="preserve">TK associated with </w:t>
      </w:r>
      <w:r>
        <w:t>GRs.  It would</w:t>
      </w:r>
      <w:r w:rsidRPr="00F35478">
        <w:t xml:space="preserve"> reduce the probability of erroneous grant</w:t>
      </w:r>
      <w:r>
        <w:t>s</w:t>
      </w:r>
      <w:r w:rsidRPr="00F35478">
        <w:t xml:space="preserve"> of patents.</w:t>
      </w:r>
    </w:p>
    <w:p w:rsidR="00F4358C" w:rsidRDefault="00F4358C" w:rsidP="00F4358C"/>
    <w:p w:rsidR="00A25504" w:rsidRDefault="00F4358C" w:rsidP="00A25504">
      <w:pPr>
        <w:pStyle w:val="ListParagraph"/>
        <w:numPr>
          <w:ilvl w:val="0"/>
          <w:numId w:val="4"/>
        </w:numPr>
        <w:ind w:left="0" w:firstLine="0"/>
      </w:pPr>
      <w:r w:rsidRPr="00F35478">
        <w:t>The Delegation of</w:t>
      </w:r>
      <w:r w:rsidR="004F22D3">
        <w:t xml:space="preserve"> Canada was pleased to co-sponsor</w:t>
      </w:r>
      <w:r w:rsidRPr="00F35478">
        <w:t xml:space="preserve"> </w:t>
      </w:r>
      <w:r>
        <w:t>the</w:t>
      </w:r>
      <w:r w:rsidRPr="00F35478">
        <w:t xml:space="preserve"> joint recommendation, as one of several positive possible ways forward including as a means to consider the full range of options. </w:t>
      </w:r>
      <w:r>
        <w:t xml:space="preserve"> </w:t>
      </w:r>
      <w:r w:rsidRPr="00F35478">
        <w:t>Databases play</w:t>
      </w:r>
      <w:r>
        <w:t>ed</w:t>
      </w:r>
      <w:r w:rsidRPr="00F35478">
        <w:t xml:space="preserve"> a valuable role in the prevention of the erroneous grant of patents with regard to </w:t>
      </w:r>
      <w:r>
        <w:t>GRs</w:t>
      </w:r>
      <w:r w:rsidRPr="00F35478">
        <w:t xml:space="preserve"> and </w:t>
      </w:r>
      <w:r w:rsidR="004F22D3">
        <w:t xml:space="preserve">TK associated with </w:t>
      </w:r>
      <w:r>
        <w:t xml:space="preserve">GRs.  It </w:t>
      </w:r>
      <w:r w:rsidRPr="00F35478">
        <w:t>fully acknowledge</w:t>
      </w:r>
      <w:r>
        <w:t>d</w:t>
      </w:r>
      <w:r w:rsidRPr="00F35478">
        <w:t xml:space="preserve"> the concerns expressed by </w:t>
      </w:r>
      <w:r w:rsidR="004F22D3">
        <w:t>IPLCs</w:t>
      </w:r>
      <w:r w:rsidRPr="00F35478">
        <w:t xml:space="preserve"> in </w:t>
      </w:r>
      <w:r>
        <w:t>the IGC</w:t>
      </w:r>
      <w:r w:rsidRPr="00F35478">
        <w:t>.  Its support w</w:t>
      </w:r>
      <w:r w:rsidR="004F22D3">
        <w:t>as without prejudice to the IGC’</w:t>
      </w:r>
      <w:r w:rsidRPr="00F35478">
        <w:t>s work and eventual outcome</w:t>
      </w:r>
      <w:r>
        <w:t>(s)</w:t>
      </w:r>
      <w:r w:rsidRPr="00F35478">
        <w:t>.</w:t>
      </w:r>
    </w:p>
    <w:p w:rsidR="00A25504" w:rsidRDefault="00A25504" w:rsidP="00A25504"/>
    <w:p w:rsidR="00A25504" w:rsidRDefault="00A25504" w:rsidP="00A25504">
      <w:pPr>
        <w:pStyle w:val="ListParagraph"/>
        <w:numPr>
          <w:ilvl w:val="0"/>
          <w:numId w:val="4"/>
        </w:numPr>
        <w:ind w:left="0" w:firstLine="0"/>
      </w:pPr>
      <w:r w:rsidRPr="00F35478">
        <w:t xml:space="preserve">The Delegation of Morocco, speaking on behalf of the African Group, thanked </w:t>
      </w:r>
      <w:r w:rsidR="000B5E0C">
        <w:t>for</w:t>
      </w:r>
      <w:r w:rsidRPr="00F35478">
        <w:t xml:space="preserve"> </w:t>
      </w:r>
      <w:r>
        <w:t>the</w:t>
      </w:r>
      <w:r w:rsidRPr="00F35478">
        <w:t xml:space="preserve"> recommendation</w:t>
      </w:r>
      <w:r>
        <w:t>.  D</w:t>
      </w:r>
      <w:r w:rsidRPr="00F35478">
        <w:t>atabase</w:t>
      </w:r>
      <w:r>
        <w:t>s were</w:t>
      </w:r>
      <w:r w:rsidRPr="00F35478">
        <w:t xml:space="preserve"> an important issue</w:t>
      </w:r>
      <w:r>
        <w:t>,</w:t>
      </w:r>
      <w:r w:rsidRPr="00F35478">
        <w:t xml:space="preserve"> which </w:t>
      </w:r>
      <w:proofErr w:type="gramStart"/>
      <w:r w:rsidRPr="00F35478">
        <w:t>could be addressed</w:t>
      </w:r>
      <w:proofErr w:type="gramEnd"/>
      <w:r w:rsidRPr="00F35478">
        <w:t xml:space="preserve"> once an international treaty </w:t>
      </w:r>
      <w:r>
        <w:t>had been</w:t>
      </w:r>
      <w:r w:rsidRPr="00F35478">
        <w:t xml:space="preserve"> established.  In any case, defensive measures </w:t>
      </w:r>
      <w:r>
        <w:t xml:space="preserve">were </w:t>
      </w:r>
      <w:r w:rsidRPr="00F35478">
        <w:t xml:space="preserve">already included in </w:t>
      </w:r>
      <w:r w:rsidR="000B5E0C">
        <w:t>d</w:t>
      </w:r>
      <w:r w:rsidR="000B5E0C" w:rsidRPr="00F35478">
        <w:t xml:space="preserve">ocument </w:t>
      </w:r>
      <w:r w:rsidR="000B5E0C">
        <w:t xml:space="preserve">WIPO/GRTKF/IC/35/4 </w:t>
      </w:r>
      <w:r w:rsidRPr="00F35478">
        <w:t xml:space="preserve">and parallel discussions on the same subject would only detract from the time devoted to </w:t>
      </w:r>
      <w:r>
        <w:t>the</w:t>
      </w:r>
      <w:r w:rsidRPr="00F35478">
        <w:t xml:space="preserve"> debates.  </w:t>
      </w:r>
      <w:r w:rsidR="000B5E0C">
        <w:t>D</w:t>
      </w:r>
      <w:r w:rsidRPr="00F35478">
        <w:t>atabase</w:t>
      </w:r>
      <w:r>
        <w:t>s were</w:t>
      </w:r>
      <w:r w:rsidRPr="00F35478">
        <w:t xml:space="preserve"> only one measure among others for the protection of </w:t>
      </w:r>
      <w:r w:rsidR="000B5E0C">
        <w:t xml:space="preserve">GRs and TK associated with </w:t>
      </w:r>
      <w:r>
        <w:t>GRs</w:t>
      </w:r>
      <w:r w:rsidRPr="00F35478">
        <w:t xml:space="preserve">.  It invited Member States to concentrate on </w:t>
      </w:r>
      <w:r w:rsidR="000B5E0C">
        <w:t>d</w:t>
      </w:r>
      <w:r>
        <w:t>ocument</w:t>
      </w:r>
      <w:r w:rsidRPr="00F35478">
        <w:t xml:space="preserve"> </w:t>
      </w:r>
      <w:r>
        <w:t>WIPO/GRTKF/IC/35/4, which covered</w:t>
      </w:r>
      <w:r w:rsidR="000B5E0C">
        <w:t xml:space="preserve"> all</w:t>
      </w:r>
      <w:r w:rsidRPr="00F35478">
        <w:t xml:space="preserve"> concerns.  </w:t>
      </w:r>
    </w:p>
    <w:p w:rsidR="00A25504" w:rsidRDefault="00A25504" w:rsidP="00A25504"/>
    <w:p w:rsidR="00A25504" w:rsidRDefault="00A25504" w:rsidP="00A25504">
      <w:pPr>
        <w:pStyle w:val="ListParagraph"/>
        <w:numPr>
          <w:ilvl w:val="0"/>
          <w:numId w:val="4"/>
        </w:numPr>
        <w:ind w:left="0" w:firstLine="0"/>
      </w:pPr>
      <w:r w:rsidRPr="00F35478">
        <w:t>The Chair invited the D</w:t>
      </w:r>
      <w:r w:rsidR="004B76F6">
        <w:t>elegation of Canada to present d</w:t>
      </w:r>
      <w:r w:rsidRPr="00F35478">
        <w:t xml:space="preserve">ocument WIPO/GRTKF/IC/35/9.  </w:t>
      </w:r>
    </w:p>
    <w:p w:rsidR="00A25504" w:rsidRDefault="00A25504" w:rsidP="00A25504"/>
    <w:p w:rsidR="003E36F4" w:rsidRDefault="00A25504" w:rsidP="003E36F4">
      <w:pPr>
        <w:pStyle w:val="ListParagraph"/>
        <w:numPr>
          <w:ilvl w:val="0"/>
          <w:numId w:val="4"/>
        </w:numPr>
        <w:ind w:left="0" w:firstLine="0"/>
      </w:pPr>
      <w:r w:rsidRPr="00F35478">
        <w:t>The Delegation of Canada was please</w:t>
      </w:r>
      <w:r>
        <w:t>d to co</w:t>
      </w:r>
      <w:r w:rsidR="00485178">
        <w:t>-</w:t>
      </w:r>
      <w:r>
        <w:t xml:space="preserve">sponsor </w:t>
      </w:r>
      <w:r w:rsidR="00485178">
        <w:t>d</w:t>
      </w:r>
      <w:r w:rsidR="00485178" w:rsidRPr="00F35478">
        <w:t xml:space="preserve">ocument </w:t>
      </w:r>
      <w:r w:rsidR="00485178">
        <w:t>WIPO/GRTKF/IC/35/9,</w:t>
      </w:r>
      <w:r w:rsidRPr="00F35478">
        <w:t xml:space="preserve"> which </w:t>
      </w:r>
      <w:r>
        <w:t>it had</w:t>
      </w:r>
      <w:r w:rsidRPr="00F35478">
        <w:t xml:space="preserve"> initially co</w:t>
      </w:r>
      <w:r w:rsidR="00485178">
        <w:t>-</w:t>
      </w:r>
      <w:r w:rsidRPr="00F35478">
        <w:t xml:space="preserve">sponsored </w:t>
      </w:r>
      <w:r>
        <w:t xml:space="preserve">in 2013 </w:t>
      </w:r>
      <w:r w:rsidRPr="00F35478">
        <w:t>along with</w:t>
      </w:r>
      <w:r>
        <w:t xml:space="preserve"> the Delegations of</w:t>
      </w:r>
      <w:r w:rsidRPr="00F35478">
        <w:t xml:space="preserve"> Japan, Norway, the Republic of Korea and the USA. </w:t>
      </w:r>
      <w:r>
        <w:t xml:space="preserve"> The proposal set</w:t>
      </w:r>
      <w:r w:rsidRPr="00F35478">
        <w:t xml:space="preserve"> out a list of questions in</w:t>
      </w:r>
      <w:r>
        <w:t>tended to update the 2004 WIPO T</w:t>
      </w:r>
      <w:r w:rsidRPr="00F35478">
        <w:t xml:space="preserve">echnical </w:t>
      </w:r>
      <w:r>
        <w:t>Study related to Genetic Resources and Traditional Knowledge w</w:t>
      </w:r>
      <w:r w:rsidRPr="00F35478">
        <w:t xml:space="preserve">ith information regarding disclosure requirements and </w:t>
      </w:r>
      <w:r w:rsidRPr="00434F65">
        <w:t>related ABS</w:t>
      </w:r>
      <w:r>
        <w:t xml:space="preserve"> </w:t>
      </w:r>
      <w:r w:rsidRPr="00F35478">
        <w:t xml:space="preserve">systems, as they </w:t>
      </w:r>
      <w:proofErr w:type="gramStart"/>
      <w:r>
        <w:t>were</w:t>
      </w:r>
      <w:r w:rsidRPr="00F35478">
        <w:t xml:space="preserve"> being implemented</w:t>
      </w:r>
      <w:proofErr w:type="gramEnd"/>
      <w:r w:rsidRPr="00F35478">
        <w:t xml:space="preserve"> by Member States.  </w:t>
      </w:r>
      <w:r>
        <w:t>That</w:t>
      </w:r>
      <w:r w:rsidRPr="00F35478">
        <w:t xml:space="preserve"> type of information </w:t>
      </w:r>
      <w:r>
        <w:t>was</w:t>
      </w:r>
      <w:r w:rsidRPr="00F35478">
        <w:t xml:space="preserve"> important for consideration </w:t>
      </w:r>
      <w:r w:rsidR="003E36F4">
        <w:t>of any proposal</w:t>
      </w:r>
      <w:r>
        <w:t xml:space="preserve"> centered on GRs </w:t>
      </w:r>
      <w:r w:rsidRPr="00F35478">
        <w:t xml:space="preserve">and </w:t>
      </w:r>
      <w:r w:rsidR="00485178">
        <w:t xml:space="preserve">TK associated with </w:t>
      </w:r>
      <w:r>
        <w:t>GRs</w:t>
      </w:r>
      <w:r w:rsidRPr="00F35478">
        <w:t xml:space="preserve">.  </w:t>
      </w:r>
      <w:r>
        <w:t>That was</w:t>
      </w:r>
      <w:r w:rsidR="00485178">
        <w:t xml:space="preserve"> in line with the IGC’</w:t>
      </w:r>
      <w:r w:rsidRPr="00F35478">
        <w:t>s m</w:t>
      </w:r>
      <w:r w:rsidR="00485178">
        <w:t>andate for 2018-</w:t>
      </w:r>
      <w:r>
        <w:t>2019, which called</w:t>
      </w:r>
      <w:r w:rsidRPr="00F35478">
        <w:t xml:space="preserve"> for an evidence</w:t>
      </w:r>
      <w:r w:rsidR="00485178">
        <w:t>-</w:t>
      </w:r>
      <w:r>
        <w:t>based approach and contemplated</w:t>
      </w:r>
      <w:r w:rsidRPr="00F35478">
        <w:t xml:space="preserve"> studies. </w:t>
      </w:r>
      <w:r w:rsidR="003E36F4">
        <w:t xml:space="preserve"> </w:t>
      </w:r>
      <w:r w:rsidRPr="00F35478">
        <w:t xml:space="preserve">Some Member States </w:t>
      </w:r>
      <w:proofErr w:type="gramStart"/>
      <w:r w:rsidRPr="00F35478">
        <w:t>might not have been convinced</w:t>
      </w:r>
      <w:proofErr w:type="gramEnd"/>
      <w:r w:rsidRPr="00F35478">
        <w:t xml:space="preserve"> of the value of such a proposed study, citing that such studies already exist</w:t>
      </w:r>
      <w:r>
        <w:t>ed.  W</w:t>
      </w:r>
      <w:r w:rsidRPr="00F35478">
        <w:t xml:space="preserve">hile the existing studies </w:t>
      </w:r>
      <w:r>
        <w:t>were</w:t>
      </w:r>
      <w:r w:rsidRPr="00F35478">
        <w:t xml:space="preserve"> indeed ce</w:t>
      </w:r>
      <w:r>
        <w:t>rtainly informative and useful,</w:t>
      </w:r>
      <w:r w:rsidRPr="00F35478">
        <w:t xml:space="preserve"> they </w:t>
      </w:r>
      <w:r>
        <w:t>fell</w:t>
      </w:r>
      <w:r w:rsidRPr="00F35478">
        <w:t xml:space="preserve"> short of providing quantitative and qualitative comparative data regarding the practical application and implementation of disclosure a</w:t>
      </w:r>
      <w:r>
        <w:t xml:space="preserve">nd its implications and </w:t>
      </w:r>
      <w:r>
        <w:lastRenderedPageBreak/>
        <w:t>rather t</w:t>
      </w:r>
      <w:r w:rsidRPr="00F35478">
        <w:t>end</w:t>
      </w:r>
      <w:r>
        <w:t>ed</w:t>
      </w:r>
      <w:r w:rsidRPr="00F35478">
        <w:t xml:space="preserve"> to focus mostly on the features of legislation.  </w:t>
      </w:r>
      <w:r>
        <w:t>That sought</w:t>
      </w:r>
      <w:r w:rsidRPr="00F35478">
        <w:t xml:space="preserve"> to enrich </w:t>
      </w:r>
      <w:r>
        <w:t>the</w:t>
      </w:r>
      <w:r w:rsidRPr="00F35478">
        <w:t xml:space="preserve"> discussions with information on concrete nationa</w:t>
      </w:r>
      <w:r>
        <w:t xml:space="preserve">l experiences of </w:t>
      </w:r>
      <w:r w:rsidRPr="00F35478">
        <w:t xml:space="preserve">those Member States implementing disclosure </w:t>
      </w:r>
      <w:r>
        <w:t xml:space="preserve">requirement. </w:t>
      </w:r>
      <w:r w:rsidR="003E36F4">
        <w:t xml:space="preserve"> </w:t>
      </w:r>
      <w:r>
        <w:t>W</w:t>
      </w:r>
      <w:r w:rsidRPr="00F35478">
        <w:t xml:space="preserve">ith a view to generating more support for the proposed study, it remained available to discuss </w:t>
      </w:r>
      <w:r>
        <w:t>the</w:t>
      </w:r>
      <w:r w:rsidRPr="00F35478">
        <w:t xml:space="preserve"> proposal with other Member States and the Indigenous Caucus.  </w:t>
      </w:r>
    </w:p>
    <w:p w:rsidR="003E36F4" w:rsidRDefault="003E36F4" w:rsidP="003E36F4">
      <w:pPr>
        <w:pStyle w:val="ListParagraph"/>
        <w:ind w:left="0"/>
      </w:pPr>
    </w:p>
    <w:p w:rsidR="003E36F4" w:rsidRDefault="00A25504" w:rsidP="003E36F4">
      <w:pPr>
        <w:pStyle w:val="ListParagraph"/>
        <w:numPr>
          <w:ilvl w:val="0"/>
          <w:numId w:val="4"/>
        </w:numPr>
        <w:ind w:left="0" w:firstLine="0"/>
      </w:pPr>
      <w:r w:rsidRPr="00F35478">
        <w:t xml:space="preserve">The Delegation of the USA supported the </w:t>
      </w:r>
      <w:r w:rsidR="00D74D74">
        <w:t>statement</w:t>
      </w:r>
      <w:r w:rsidRPr="00F35478">
        <w:t xml:space="preserve"> made by the Delegation of the Canada</w:t>
      </w:r>
      <w:r>
        <w:t xml:space="preserve">. </w:t>
      </w:r>
      <w:r w:rsidR="003E36F4">
        <w:t xml:space="preserve"> </w:t>
      </w:r>
      <w:r w:rsidRPr="00F35478">
        <w:t>I</w:t>
      </w:r>
      <w:r>
        <w:t>t recalled</w:t>
      </w:r>
      <w:r w:rsidRPr="00F35478">
        <w:t xml:space="preserve"> th</w:t>
      </w:r>
      <w:r w:rsidR="00D74D74">
        <w:t>e 2018-</w:t>
      </w:r>
      <w:r>
        <w:t xml:space="preserve">2019 </w:t>
      </w:r>
      <w:proofErr w:type="gramStart"/>
      <w:r>
        <w:t>mandate</w:t>
      </w:r>
      <w:proofErr w:type="gramEnd"/>
      <w:r>
        <w:t xml:space="preserve"> of the IGC and its reference to studies. </w:t>
      </w:r>
      <w:r w:rsidR="003E36F4">
        <w:t xml:space="preserve"> </w:t>
      </w:r>
      <w:r>
        <w:t>The IGC had</w:t>
      </w:r>
      <w:r w:rsidRPr="00F35478">
        <w:t xml:space="preserve"> had constructive </w:t>
      </w:r>
      <w:r w:rsidR="003E36F4">
        <w:t>discussions about national laws</w:t>
      </w:r>
      <w:r w:rsidRPr="00F35478">
        <w:t xml:space="preserve"> and </w:t>
      </w:r>
      <w:r w:rsidR="003E36F4">
        <w:t>about how</w:t>
      </w:r>
      <w:r w:rsidRPr="00F35478">
        <w:t xml:space="preserve"> disclosure requirements and ABS systems function</w:t>
      </w:r>
      <w:r>
        <w:t>ed</w:t>
      </w:r>
      <w:r w:rsidRPr="00F35478">
        <w:t>.  Those discussions ha</w:t>
      </w:r>
      <w:r>
        <w:t>d</w:t>
      </w:r>
      <w:r w:rsidRPr="00F35478">
        <w:t xml:space="preserve"> helped inform </w:t>
      </w:r>
      <w:r>
        <w:t>the</w:t>
      </w:r>
      <w:r w:rsidR="00931291">
        <w:t xml:space="preserve"> text-</w:t>
      </w:r>
      <w:r w:rsidRPr="00F35478">
        <w:t xml:space="preserve">based </w:t>
      </w:r>
      <w:r>
        <w:t>negotiations</w:t>
      </w:r>
      <w:r w:rsidR="003E36F4">
        <w:t>.  The q</w:t>
      </w:r>
      <w:r w:rsidRPr="00F35478">
        <w:t xml:space="preserve">uestions in the </w:t>
      </w:r>
      <w:proofErr w:type="gramStart"/>
      <w:r w:rsidRPr="00F35478">
        <w:t>study explore</w:t>
      </w:r>
      <w:r>
        <w:t>d</w:t>
      </w:r>
      <w:proofErr w:type="gramEnd"/>
      <w:r w:rsidRPr="00F35478">
        <w:t xml:space="preserve"> issues such as the impact that nati</w:t>
      </w:r>
      <w:r>
        <w:t>onal disclosure requirements had</w:t>
      </w:r>
      <w:r w:rsidRPr="00F35478">
        <w:t xml:space="preserve"> had in securing complian</w:t>
      </w:r>
      <w:r>
        <w:t>ce with ABS</w:t>
      </w:r>
      <w:r w:rsidRPr="00F35478">
        <w:t xml:space="preserve"> systems and the penalties associated with non</w:t>
      </w:r>
      <w:r w:rsidR="00931291">
        <w:t>-</w:t>
      </w:r>
      <w:r w:rsidRPr="00F35478">
        <w:t>compli</w:t>
      </w:r>
      <w:r w:rsidR="003E36F4">
        <w:t>ance.</w:t>
      </w:r>
      <w:r w:rsidRPr="00F35478">
        <w:t xml:space="preserve">  </w:t>
      </w:r>
      <w:r>
        <w:t>The</w:t>
      </w:r>
      <w:r w:rsidRPr="00F35478">
        <w:t xml:space="preserve"> study </w:t>
      </w:r>
      <w:proofErr w:type="gramStart"/>
      <w:r>
        <w:t>was</w:t>
      </w:r>
      <w:r w:rsidRPr="00F35478">
        <w:t xml:space="preserve"> intended</w:t>
      </w:r>
      <w:proofErr w:type="gramEnd"/>
      <w:r w:rsidRPr="00F35478">
        <w:t xml:space="preserve"> to generate important information to support </w:t>
      </w:r>
      <w:r>
        <w:t>the IGC’s</w:t>
      </w:r>
      <w:r w:rsidRPr="00F35478">
        <w:t xml:space="preserve"> work.  It </w:t>
      </w:r>
      <w:proofErr w:type="gramStart"/>
      <w:r>
        <w:t>was</w:t>
      </w:r>
      <w:r w:rsidRPr="00F35478">
        <w:t xml:space="preserve"> not intended</w:t>
      </w:r>
      <w:proofErr w:type="gramEnd"/>
      <w:r w:rsidRPr="00F35478">
        <w:t xml:space="preserve"> to slow down </w:t>
      </w:r>
      <w:r>
        <w:t>its</w:t>
      </w:r>
      <w:r w:rsidRPr="00F35478">
        <w:t xml:space="preserve"> work.</w:t>
      </w:r>
      <w:r w:rsidR="003E36F4">
        <w:t xml:space="preserve"> </w:t>
      </w:r>
      <w:r w:rsidRPr="00F35478">
        <w:t xml:space="preserve"> </w:t>
      </w:r>
      <w:r>
        <w:t>It</w:t>
      </w:r>
      <w:r w:rsidRPr="00F35478">
        <w:t xml:space="preserve"> invite</w:t>
      </w:r>
      <w:r>
        <w:t>d</w:t>
      </w:r>
      <w:r w:rsidRPr="00F35478">
        <w:t xml:space="preserve"> other delegations to express their support and other docume</w:t>
      </w:r>
      <w:r w:rsidR="00931291">
        <w:t>nts or questions that people might</w:t>
      </w:r>
      <w:r w:rsidRPr="00F35478">
        <w:t xml:space="preserve"> have on the study.  </w:t>
      </w:r>
    </w:p>
    <w:p w:rsidR="003E36F4" w:rsidRDefault="003E36F4" w:rsidP="003E36F4"/>
    <w:p w:rsidR="003E36F4" w:rsidRDefault="00A25504" w:rsidP="003E36F4">
      <w:pPr>
        <w:pStyle w:val="ListParagraph"/>
        <w:numPr>
          <w:ilvl w:val="0"/>
          <w:numId w:val="4"/>
        </w:numPr>
        <w:ind w:left="0" w:firstLine="0"/>
      </w:pPr>
      <w:r w:rsidRPr="00F35478">
        <w:t xml:space="preserve">The Delegation of Japan thanked the Delegation of Canada for the explanation.  It supported </w:t>
      </w:r>
      <w:r w:rsidR="00C66C7B">
        <w:t>d</w:t>
      </w:r>
      <w:r w:rsidRPr="00F35478">
        <w:t>ocument WIPO/GRTKF/IC/35/9.  Many Member States had recognize</w:t>
      </w:r>
      <w:r>
        <w:t>d the importance of an evidence-</w:t>
      </w:r>
      <w:r w:rsidRPr="00F35478">
        <w:t xml:space="preserve">based approach.  The proposed study was an effective and productive way to </w:t>
      </w:r>
      <w:r>
        <w:t>foster</w:t>
      </w:r>
      <w:r w:rsidRPr="00F35478">
        <w:t xml:space="preserve"> a common understanding on core issues on </w:t>
      </w:r>
      <w:r>
        <w:t>GRs</w:t>
      </w:r>
      <w:r w:rsidR="00C66C7B">
        <w:t xml:space="preserve"> without delaying text</w:t>
      </w:r>
      <w:r w:rsidR="0035357C">
        <w:noBreakHyphen/>
      </w:r>
      <w:r w:rsidRPr="00F35478">
        <w:t>based negotiations.</w:t>
      </w:r>
    </w:p>
    <w:p w:rsidR="003E36F4" w:rsidRDefault="003E36F4" w:rsidP="003E36F4"/>
    <w:p w:rsidR="003E36F4" w:rsidRDefault="00A25504" w:rsidP="003E36F4">
      <w:pPr>
        <w:pStyle w:val="ListParagraph"/>
        <w:numPr>
          <w:ilvl w:val="0"/>
          <w:numId w:val="4"/>
        </w:numPr>
        <w:ind w:left="0" w:firstLine="0"/>
      </w:pPr>
      <w:r w:rsidRPr="00F35478">
        <w:t>The Delegation of the Russian Federation</w:t>
      </w:r>
      <w:r>
        <w:t xml:space="preserve"> </w:t>
      </w:r>
      <w:r w:rsidRPr="00F35478">
        <w:t>support</w:t>
      </w:r>
      <w:r>
        <w:t>ed</w:t>
      </w:r>
      <w:r w:rsidRPr="00F35478">
        <w:t xml:space="preserve"> the concerns about disclosure of sources of GRs and the interest in further looking into </w:t>
      </w:r>
      <w:r>
        <w:t>that issue.  I</w:t>
      </w:r>
      <w:r w:rsidRPr="00F35478">
        <w:t>n determining the m</w:t>
      </w:r>
      <w:r>
        <w:t>echanisms for the disclosure, it</w:t>
      </w:r>
      <w:r w:rsidRPr="00F35478">
        <w:t xml:space="preserve"> note</w:t>
      </w:r>
      <w:r>
        <w:t>d</w:t>
      </w:r>
      <w:r w:rsidRPr="00F35478">
        <w:t xml:space="preserve"> that the questions set forth in </w:t>
      </w:r>
      <w:r>
        <w:t>the</w:t>
      </w:r>
      <w:r w:rsidRPr="00F35478">
        <w:t xml:space="preserve"> document </w:t>
      </w:r>
      <w:r>
        <w:t>were</w:t>
      </w:r>
      <w:r w:rsidRPr="00F35478">
        <w:t xml:space="preserve"> aimed at patent </w:t>
      </w:r>
      <w:proofErr w:type="gramStart"/>
      <w:r w:rsidRPr="00F35478">
        <w:t>offices which</w:t>
      </w:r>
      <w:proofErr w:type="gramEnd"/>
      <w:r w:rsidRPr="00F35478">
        <w:t xml:space="preserve"> already practice</w:t>
      </w:r>
      <w:r>
        <w:t>d</w:t>
      </w:r>
      <w:r w:rsidRPr="00F35478">
        <w:t xml:space="preserve"> the procedure </w:t>
      </w:r>
      <w:r>
        <w:t>of</w:t>
      </w:r>
      <w:r w:rsidRPr="00F35478">
        <w:t xml:space="preserve"> disclosure</w:t>
      </w:r>
      <w:r w:rsidR="003E36F4">
        <w:t xml:space="preserve">.  It </w:t>
      </w:r>
      <w:r w:rsidR="00C66C7B">
        <w:t>believe</w:t>
      </w:r>
      <w:r>
        <w:t>d</w:t>
      </w:r>
      <w:r w:rsidRPr="00F35478">
        <w:t xml:space="preserve"> that </w:t>
      </w:r>
      <w:r>
        <w:t>the</w:t>
      </w:r>
      <w:r w:rsidRPr="00F35478">
        <w:t xml:space="preserve"> study should not detract at all from the work of the </w:t>
      </w:r>
      <w:r>
        <w:t>IGC</w:t>
      </w:r>
      <w:r w:rsidRPr="00F35478">
        <w:t>.</w:t>
      </w:r>
    </w:p>
    <w:p w:rsidR="003E36F4" w:rsidRDefault="003E36F4" w:rsidP="003E36F4"/>
    <w:p w:rsidR="005E215B" w:rsidRDefault="00A25504" w:rsidP="005E215B">
      <w:pPr>
        <w:pStyle w:val="ListParagraph"/>
        <w:numPr>
          <w:ilvl w:val="0"/>
          <w:numId w:val="4"/>
        </w:numPr>
        <w:ind w:left="0" w:firstLine="0"/>
      </w:pPr>
      <w:r w:rsidRPr="00F35478">
        <w:t>The Dele</w:t>
      </w:r>
      <w:r w:rsidR="00570BA6">
        <w:t>gation of the Republic of Korea</w:t>
      </w:r>
      <w:r w:rsidRPr="00F35478">
        <w:t xml:space="preserve"> supported </w:t>
      </w:r>
      <w:r w:rsidR="00570BA6">
        <w:t>d</w:t>
      </w:r>
      <w:r>
        <w:t>ocument WIPO/GRTKF/IC/35/9</w:t>
      </w:r>
      <w:r w:rsidRPr="00F35478">
        <w:t xml:space="preserve">. </w:t>
      </w:r>
      <w:r w:rsidR="003E36F4">
        <w:t xml:space="preserve"> </w:t>
      </w:r>
      <w:r>
        <w:t>C</w:t>
      </w:r>
      <w:r w:rsidRPr="00F35478">
        <w:t xml:space="preserve">urrently, </w:t>
      </w:r>
      <w:r>
        <w:t xml:space="preserve">it did </w:t>
      </w:r>
      <w:r w:rsidRPr="00F35478">
        <w:t xml:space="preserve">not fully comprehend the impact of disclosure requirements in the patent system.  The proposed study </w:t>
      </w:r>
      <w:r w:rsidR="00570BA6">
        <w:t>would provide fact and evidence-</w:t>
      </w:r>
      <w:r w:rsidRPr="00F35478">
        <w:t xml:space="preserve">based information on current national experiences. </w:t>
      </w:r>
      <w:r w:rsidR="003E36F4">
        <w:t xml:space="preserve"> </w:t>
      </w:r>
      <w:r w:rsidRPr="003A7E25">
        <w:t xml:space="preserve">Through the study, one could hear diverse opinions or experiences not only from GRs providers but also from patent examiners and patent users, who </w:t>
      </w:r>
      <w:proofErr w:type="gramStart"/>
      <w:r w:rsidRPr="003A7E25">
        <w:t>would be directly influenced</w:t>
      </w:r>
      <w:proofErr w:type="gramEnd"/>
      <w:r w:rsidRPr="003A7E25">
        <w:t xml:space="preserve"> by the introduction of a disclosure requirement.  The study would help reflect the views from various stakeholders in a balanced manner and contribute to assessing the possible impact of a disclosure requirement in the patent system, and better understanding </w:t>
      </w:r>
      <w:r>
        <w:t xml:space="preserve">of </w:t>
      </w:r>
      <w:r w:rsidRPr="003A7E25">
        <w:t>core issues in the IGC.</w:t>
      </w:r>
    </w:p>
    <w:p w:rsidR="005E215B" w:rsidRDefault="005E215B" w:rsidP="005E215B"/>
    <w:p w:rsidR="00E14CB6" w:rsidRDefault="005E215B" w:rsidP="00E14CB6">
      <w:pPr>
        <w:pStyle w:val="ListParagraph"/>
        <w:numPr>
          <w:ilvl w:val="0"/>
          <w:numId w:val="4"/>
        </w:numPr>
        <w:ind w:left="0" w:firstLine="0"/>
      </w:pPr>
      <w:r w:rsidRPr="00F35478">
        <w:t xml:space="preserve">The Delegation of Brazil </w:t>
      </w:r>
      <w:r>
        <w:t>said</w:t>
      </w:r>
      <w:r w:rsidRPr="00F35478">
        <w:t xml:space="preserve"> that the WIPO Secretariat ha</w:t>
      </w:r>
      <w:r>
        <w:t>d</w:t>
      </w:r>
      <w:r w:rsidRPr="00F35478">
        <w:t xml:space="preserve"> produced various studies over the past 18 years</w:t>
      </w:r>
      <w:r>
        <w:t xml:space="preserve">.  It was </w:t>
      </w:r>
      <w:r w:rsidRPr="00F35478">
        <w:t>concern</w:t>
      </w:r>
      <w:r>
        <w:t>ed</w:t>
      </w:r>
      <w:r w:rsidRPr="00F35478">
        <w:t xml:space="preserve"> with </w:t>
      </w:r>
      <w:r>
        <w:t>the</w:t>
      </w:r>
      <w:r w:rsidRPr="00F35478">
        <w:t xml:space="preserve"> timing</w:t>
      </w:r>
      <w:r>
        <w:t xml:space="preserve"> of the study, as it might delay the text</w:t>
      </w:r>
      <w:r w:rsidR="0035357C">
        <w:noBreakHyphen/>
      </w:r>
      <w:r w:rsidRPr="00F35478">
        <w:t>based discussion</w:t>
      </w:r>
      <w:r>
        <w:t>s on the disclosure requirement</w:t>
      </w:r>
      <w:r w:rsidRPr="00F35478">
        <w:t xml:space="preserve">.  </w:t>
      </w:r>
      <w:r>
        <w:t>It</w:t>
      </w:r>
      <w:r w:rsidRPr="00F35478">
        <w:t xml:space="preserve"> prefer</w:t>
      </w:r>
      <w:r>
        <w:t>red</w:t>
      </w:r>
      <w:r w:rsidRPr="00F35478">
        <w:t xml:space="preserve"> to look at </w:t>
      </w:r>
      <w:r>
        <w:t>that</w:t>
      </w:r>
      <w:r w:rsidRPr="00F35478">
        <w:t xml:space="preserve"> under a positive light</w:t>
      </w:r>
      <w:r>
        <w:t>.  That</w:t>
      </w:r>
      <w:r w:rsidRPr="00F35478">
        <w:t xml:space="preserve"> </w:t>
      </w:r>
      <w:proofErr w:type="gramStart"/>
      <w:r w:rsidRPr="00F35478">
        <w:t>was confirmed</w:t>
      </w:r>
      <w:proofErr w:type="gramEnd"/>
      <w:r w:rsidRPr="00F35478">
        <w:t xml:space="preserve"> by the many delegations </w:t>
      </w:r>
      <w:r>
        <w:t>that had</w:t>
      </w:r>
      <w:r w:rsidRPr="00F35478">
        <w:t xml:space="preserve"> </w:t>
      </w:r>
      <w:r>
        <w:t>spoken</w:t>
      </w:r>
      <w:r w:rsidRPr="00F35478">
        <w:t xml:space="preserve">.  </w:t>
      </w:r>
      <w:proofErr w:type="gramStart"/>
      <w:r w:rsidRPr="00F35478">
        <w:t xml:space="preserve">If that </w:t>
      </w:r>
      <w:r>
        <w:t>was</w:t>
      </w:r>
      <w:r w:rsidRPr="00F35478">
        <w:t xml:space="preserve"> indeed t</w:t>
      </w:r>
      <w:r w:rsidR="00AC10F1">
        <w:t>he case, it referred to d</w:t>
      </w:r>
      <w:r w:rsidRPr="00F35478">
        <w:t>ocuments WIPO/GRTKF/IC/35/5 and WIPO/GRTKF/IC</w:t>
      </w:r>
      <w:r>
        <w:t>/</w:t>
      </w:r>
      <w:r w:rsidRPr="00F35478">
        <w:t>35/6, which compile</w:t>
      </w:r>
      <w:r>
        <w:t>d</w:t>
      </w:r>
      <w:r w:rsidRPr="00F35478">
        <w:t xml:space="preserve"> materials on databases </w:t>
      </w:r>
      <w:r>
        <w:t xml:space="preserve">and disclosure regimes and to the 2017 WIPO Study on </w:t>
      </w:r>
      <w:r w:rsidRPr="00F35478">
        <w:t>Key</w:t>
      </w:r>
      <w:r>
        <w:t xml:space="preserve"> Questions o</w:t>
      </w:r>
      <w:r w:rsidRPr="00F35478">
        <w:t xml:space="preserve">n </w:t>
      </w:r>
      <w:r>
        <w:t>Patent Disclosure Requirements for Genetic Resources a</w:t>
      </w:r>
      <w:r w:rsidRPr="00F35478">
        <w:t>nd Traditional Knowledge</w:t>
      </w:r>
      <w:r>
        <w:t xml:space="preserve">, which </w:t>
      </w:r>
      <w:r w:rsidRPr="00F35478">
        <w:t xml:space="preserve">incorporated the latest practical and empirical information provided by Member States and </w:t>
      </w:r>
      <w:r>
        <w:t>other</w:t>
      </w:r>
      <w:r w:rsidRPr="00F35478">
        <w:t xml:space="preserve"> stakeholders on key legal and operational requirements for patent</w:t>
      </w:r>
      <w:r>
        <w:t xml:space="preserve"> disclosure requirements for</w:t>
      </w:r>
      <w:r w:rsidRPr="00F35478">
        <w:t xml:space="preserve"> GR</w:t>
      </w:r>
      <w:r>
        <w:t>s</w:t>
      </w:r>
      <w:r w:rsidRPr="00F35478">
        <w:t xml:space="preserve"> and TK.</w:t>
      </w:r>
      <w:proofErr w:type="gramEnd"/>
      <w:r w:rsidRPr="00F35478">
        <w:t xml:space="preserve">  Those three documents answer</w:t>
      </w:r>
      <w:r>
        <w:t>ed</w:t>
      </w:r>
      <w:r w:rsidRPr="00F35478">
        <w:t xml:space="preserve"> many, if not all</w:t>
      </w:r>
      <w:r>
        <w:t>,</w:t>
      </w:r>
      <w:r w:rsidRPr="00F35478">
        <w:t xml:space="preserve"> of the questions contained in </w:t>
      </w:r>
      <w:r w:rsidR="00AC10F1">
        <w:t>d</w:t>
      </w:r>
      <w:r w:rsidRPr="00F35478">
        <w:t>ocument WIPO/GRTKF/IC/35/9.</w:t>
      </w:r>
    </w:p>
    <w:p w:rsidR="00E14CB6" w:rsidRDefault="00E14CB6" w:rsidP="00E14CB6"/>
    <w:p w:rsidR="00E14CB6" w:rsidRDefault="00E14CB6" w:rsidP="00E14CB6">
      <w:pPr>
        <w:pStyle w:val="ListParagraph"/>
        <w:numPr>
          <w:ilvl w:val="0"/>
          <w:numId w:val="4"/>
        </w:numPr>
        <w:ind w:left="0" w:firstLine="0"/>
      </w:pPr>
      <w:r w:rsidRPr="00F35478">
        <w:t>The Delegation of Indonesi</w:t>
      </w:r>
      <w:r w:rsidR="00220AC3">
        <w:t>a appreciated</w:t>
      </w:r>
      <w:r w:rsidRPr="00F35478">
        <w:t xml:space="preserve"> the proposal and </w:t>
      </w:r>
      <w:r>
        <w:t>supported the statement made by the Delegation of</w:t>
      </w:r>
      <w:r w:rsidRPr="00F35478">
        <w:t xml:space="preserve"> Brazil.  </w:t>
      </w:r>
      <w:r>
        <w:t>A</w:t>
      </w:r>
      <w:r w:rsidRPr="00F35478">
        <w:t>ll the q</w:t>
      </w:r>
      <w:r w:rsidR="00220AC3">
        <w:t>uestions listed in the proposal</w:t>
      </w:r>
      <w:r w:rsidRPr="00F35478">
        <w:t xml:space="preserve"> </w:t>
      </w:r>
      <w:r>
        <w:t>were</w:t>
      </w:r>
      <w:r w:rsidRPr="00F35478">
        <w:t xml:space="preserve"> somewhat </w:t>
      </w:r>
      <w:r>
        <w:t xml:space="preserve">ill timed, as the IGC could </w:t>
      </w:r>
      <w:r w:rsidRPr="00F35478">
        <w:t xml:space="preserve">not agree on an international framework with regard to </w:t>
      </w:r>
      <w:r>
        <w:t xml:space="preserve">the </w:t>
      </w:r>
      <w:r w:rsidRPr="00F35478">
        <w:t xml:space="preserve">disclosure requirement.  </w:t>
      </w:r>
      <w:r>
        <w:t>More than 30 countries had</w:t>
      </w:r>
      <w:r w:rsidRPr="00F35478">
        <w:t xml:space="preserve"> already </w:t>
      </w:r>
      <w:r>
        <w:t xml:space="preserve">applied disclosure requirements.  </w:t>
      </w:r>
      <w:proofErr w:type="gramStart"/>
      <w:r>
        <w:t>It was not really the purpose of the IGC to try</w:t>
      </w:r>
      <w:r w:rsidRPr="00F35478">
        <w:t xml:space="preserve"> to make sure what kind of impact that </w:t>
      </w:r>
      <w:r>
        <w:t>would</w:t>
      </w:r>
      <w:r w:rsidRPr="00F35478">
        <w:t xml:space="preserve"> have </w:t>
      </w:r>
      <w:r>
        <w:t>on</w:t>
      </w:r>
      <w:r w:rsidRPr="00F35478">
        <w:t xml:space="preserve"> the patent </w:t>
      </w:r>
      <w:r w:rsidRPr="00F35478">
        <w:lastRenderedPageBreak/>
        <w:t>system.</w:t>
      </w:r>
      <w:proofErr w:type="gramEnd"/>
      <w:r w:rsidRPr="00F35478">
        <w:t xml:space="preserve"> </w:t>
      </w:r>
      <w:r>
        <w:t xml:space="preserve"> In order to </w:t>
      </w:r>
      <w:r w:rsidRPr="00F35478">
        <w:t xml:space="preserve">be supportive </w:t>
      </w:r>
      <w:r>
        <w:t>of what the patent offices had</w:t>
      </w:r>
      <w:r w:rsidRPr="00F35478">
        <w:t xml:space="preserve"> to do, </w:t>
      </w:r>
      <w:r>
        <w:t xml:space="preserve">the IGC had </w:t>
      </w:r>
      <w:r w:rsidRPr="00F35478">
        <w:t xml:space="preserve">to speed up </w:t>
      </w:r>
      <w:r>
        <w:t>its</w:t>
      </w:r>
      <w:r w:rsidRPr="00F35478">
        <w:t xml:space="preserve"> work to make sure </w:t>
      </w:r>
      <w:r>
        <w:t>to</w:t>
      </w:r>
      <w:r w:rsidRPr="00F35478">
        <w:t xml:space="preserve"> agree on an international framework with regard to </w:t>
      </w:r>
      <w:r>
        <w:t>GRs</w:t>
      </w:r>
      <w:r w:rsidRPr="00F35478">
        <w:t xml:space="preserve"> so that everything </w:t>
      </w:r>
      <w:r>
        <w:t>would</w:t>
      </w:r>
      <w:r w:rsidRPr="00F35478">
        <w:t xml:space="preserve"> be in mutual support of each other. </w:t>
      </w:r>
      <w:r>
        <w:t xml:space="preserve"> T</w:t>
      </w:r>
      <w:r w:rsidRPr="00F35478">
        <w:t>rying to dec</w:t>
      </w:r>
      <w:r>
        <w:t xml:space="preserve">ide the impact without first having an </w:t>
      </w:r>
      <w:r w:rsidRPr="00F35478">
        <w:t>international agreem</w:t>
      </w:r>
      <w:r>
        <w:t>ent was ill timed and not appropriate</w:t>
      </w:r>
      <w:r w:rsidRPr="00F35478">
        <w:t xml:space="preserve">.  </w:t>
      </w:r>
    </w:p>
    <w:p w:rsidR="00E14CB6" w:rsidRDefault="00E14CB6" w:rsidP="00E14CB6"/>
    <w:p w:rsidR="00FD4432" w:rsidRDefault="00E14CB6" w:rsidP="00FD4432">
      <w:pPr>
        <w:pStyle w:val="ListParagraph"/>
        <w:numPr>
          <w:ilvl w:val="0"/>
          <w:numId w:val="4"/>
        </w:numPr>
        <w:ind w:left="0" w:firstLine="0"/>
      </w:pPr>
      <w:r w:rsidRPr="00F35478">
        <w:t>The Delegation of Colombia welcomed</w:t>
      </w:r>
      <w:r w:rsidR="00796F48">
        <w:t xml:space="preserve"> the proposal</w:t>
      </w:r>
      <w:r>
        <w:t>,</w:t>
      </w:r>
      <w:r w:rsidRPr="00F35478">
        <w:t xml:space="preserve"> which allowed looking at all of the various delegatio</w:t>
      </w:r>
      <w:r>
        <w:t xml:space="preserve">ns’ </w:t>
      </w:r>
      <w:r w:rsidRPr="00F35478">
        <w:t xml:space="preserve">perspectives.  </w:t>
      </w:r>
      <w:r>
        <w:t>It could</w:t>
      </w:r>
      <w:r w:rsidRPr="00F35478">
        <w:t xml:space="preserve"> identify the interest of th</w:t>
      </w:r>
      <w:r>
        <w:t>o</w:t>
      </w:r>
      <w:r w:rsidRPr="00F35478">
        <w:t xml:space="preserve">se delegations with regard to contributing to the protection of </w:t>
      </w:r>
      <w:r>
        <w:t>GRs</w:t>
      </w:r>
      <w:r w:rsidRPr="00F35478">
        <w:t xml:space="preserve"> and </w:t>
      </w:r>
      <w:r>
        <w:t>TK</w:t>
      </w:r>
      <w:r w:rsidRPr="00F35478">
        <w:t xml:space="preserve">. </w:t>
      </w:r>
      <w:r>
        <w:t xml:space="preserve"> Based on the same principles,</w:t>
      </w:r>
      <w:r w:rsidRPr="00F35478">
        <w:t xml:space="preserve"> </w:t>
      </w:r>
      <w:r>
        <w:t xml:space="preserve">it </w:t>
      </w:r>
      <w:r w:rsidRPr="00F35478">
        <w:t>appeal</w:t>
      </w:r>
      <w:r>
        <w:t>ed</w:t>
      </w:r>
      <w:r w:rsidRPr="00F35478">
        <w:t xml:space="preserve"> for studies in the future to assist in supporting a binding instrument</w:t>
      </w:r>
      <w:r>
        <w:t>.  A</w:t>
      </w:r>
      <w:r w:rsidRPr="00F35478">
        <w:t>s mentioned by the Delegat</w:t>
      </w:r>
      <w:r>
        <w:t>ion</w:t>
      </w:r>
      <w:r w:rsidRPr="00F35478">
        <w:t xml:space="preserve"> of Brazil, future studies </w:t>
      </w:r>
      <w:r>
        <w:t xml:space="preserve">should </w:t>
      </w:r>
      <w:r w:rsidRPr="00F35478">
        <w:t>not lead to a repet</w:t>
      </w:r>
      <w:r>
        <w:t>ition of what already existed</w:t>
      </w:r>
      <w:r w:rsidRPr="00F35478">
        <w:t xml:space="preserve"> </w:t>
      </w:r>
      <w:r>
        <w:t>at</w:t>
      </w:r>
      <w:r w:rsidRPr="00F35478">
        <w:t xml:space="preserve"> WIPO.  </w:t>
      </w:r>
    </w:p>
    <w:p w:rsidR="00FD4432" w:rsidRDefault="00FD4432" w:rsidP="00EE2495"/>
    <w:p w:rsidR="00EE2495" w:rsidRDefault="00FD4432" w:rsidP="00EE2495">
      <w:pPr>
        <w:pStyle w:val="ListParagraph"/>
        <w:numPr>
          <w:ilvl w:val="0"/>
          <w:numId w:val="4"/>
        </w:numPr>
        <w:ind w:left="0" w:firstLine="0"/>
      </w:pPr>
      <w:r w:rsidRPr="00F35478">
        <w:t xml:space="preserve">The Chair </w:t>
      </w:r>
      <w:r>
        <w:t>closed the discussion</w:t>
      </w:r>
      <w:r w:rsidR="00F17274">
        <w:t>s</w:t>
      </w:r>
      <w:r>
        <w:t xml:space="preserve"> on th</w:t>
      </w:r>
      <w:r w:rsidRPr="00F35478">
        <w:t>e three proposals</w:t>
      </w:r>
      <w:r w:rsidR="00EE2495">
        <w:t>.</w:t>
      </w:r>
    </w:p>
    <w:p w:rsidR="00EE2495" w:rsidRPr="00EE2495" w:rsidRDefault="00EE2495" w:rsidP="00EE2495">
      <w:pPr>
        <w:rPr>
          <w:rFonts w:ascii="Times New Roman" w:eastAsia="Times New Roman" w:hAnsi="Times New Roman" w:cs="Times New Roman"/>
          <w:sz w:val="24"/>
        </w:rPr>
      </w:pPr>
    </w:p>
    <w:p w:rsidR="00B5341F" w:rsidRDefault="00EE2495" w:rsidP="00B5341F">
      <w:pPr>
        <w:pStyle w:val="ListParagraph"/>
        <w:numPr>
          <w:ilvl w:val="0"/>
          <w:numId w:val="4"/>
        </w:numPr>
        <w:ind w:left="0" w:firstLine="0"/>
      </w:pPr>
      <w:r w:rsidRPr="00EE2495">
        <w:rPr>
          <w:rFonts w:eastAsia="Times New Roman"/>
          <w:szCs w:val="22"/>
        </w:rPr>
        <w:t xml:space="preserve">[Note from the Secretariat: </w:t>
      </w:r>
      <w:r>
        <w:rPr>
          <w:rFonts w:eastAsia="Times New Roman"/>
          <w:szCs w:val="22"/>
        </w:rPr>
        <w:t xml:space="preserve"> </w:t>
      </w:r>
      <w:r w:rsidRPr="00EE2495">
        <w:rPr>
          <w:rFonts w:eastAsia="Times New Roman"/>
          <w:szCs w:val="22"/>
        </w:rPr>
        <w:t xml:space="preserve">this part of the session took place after the distribution of Rev.2 on </w:t>
      </w:r>
      <w:r>
        <w:rPr>
          <w:rFonts w:eastAsia="Times New Roman"/>
          <w:szCs w:val="22"/>
        </w:rPr>
        <w:t>March 23, 2018</w:t>
      </w:r>
      <w:r w:rsidRPr="00EE2495">
        <w:rPr>
          <w:rFonts w:eastAsia="Times New Roman"/>
          <w:szCs w:val="22"/>
        </w:rPr>
        <w:t>.]</w:t>
      </w:r>
      <w:r>
        <w:rPr>
          <w:rFonts w:eastAsia="Times New Roman"/>
          <w:szCs w:val="22"/>
        </w:rPr>
        <w:t xml:space="preserve"> </w:t>
      </w:r>
      <w:r w:rsidRPr="00EE2495">
        <w:rPr>
          <w:rFonts w:eastAsia="Times New Roman"/>
          <w:szCs w:val="22"/>
        </w:rPr>
        <w:t xml:space="preserve"> Th</w:t>
      </w:r>
      <w:r>
        <w:rPr>
          <w:rFonts w:eastAsia="Times New Roman"/>
          <w:szCs w:val="22"/>
        </w:rPr>
        <w:t>e Chair invited the facilitator and the Friend of the Chair</w:t>
      </w:r>
      <w:r w:rsidRPr="00EE2495">
        <w:rPr>
          <w:rFonts w:eastAsia="Times New Roman"/>
          <w:szCs w:val="22"/>
        </w:rPr>
        <w:t xml:space="preserve"> to introduce Rev. 2 and explain the content and rationale underlining the changes made.</w:t>
      </w:r>
    </w:p>
    <w:p w:rsidR="00B5341F" w:rsidRDefault="00B5341F" w:rsidP="00B5341F"/>
    <w:p w:rsidR="004E5B91" w:rsidRDefault="00751BB1" w:rsidP="004E5B91">
      <w:pPr>
        <w:pStyle w:val="ListParagraph"/>
        <w:numPr>
          <w:ilvl w:val="0"/>
          <w:numId w:val="4"/>
        </w:numPr>
        <w:ind w:left="0" w:firstLine="0"/>
      </w:pPr>
      <w:r w:rsidRPr="00AB2324">
        <w:t>Mr.</w:t>
      </w:r>
      <w:r w:rsidR="00B5341F" w:rsidRPr="00AB2324">
        <w:t xml:space="preserve"> Kuruk</w:t>
      </w:r>
      <w:r w:rsidRPr="00AB2324">
        <w:t>, speaking as the faci</w:t>
      </w:r>
      <w:r w:rsidR="00AB2324" w:rsidRPr="00AB2324">
        <w:t>li</w:t>
      </w:r>
      <w:r w:rsidRPr="00AB2324">
        <w:t>tator,</w:t>
      </w:r>
      <w:r w:rsidR="00B5341F" w:rsidRPr="00AB2324">
        <w:t xml:space="preserve"> said that their goal in preparing Rev</w:t>
      </w:r>
      <w:r w:rsidRPr="00AB2324">
        <w:t>.</w:t>
      </w:r>
      <w:r w:rsidR="00B5341F" w:rsidRPr="00AB2324">
        <w:t xml:space="preserve"> 2 had been to develop a document that narrowed gaps, removed duplications and ensured that the integrity of Member States’ inventions </w:t>
      </w:r>
      <w:proofErr w:type="gramStart"/>
      <w:r w:rsidR="00B5341F" w:rsidRPr="00AB2324">
        <w:t>was maintained</w:t>
      </w:r>
      <w:proofErr w:type="gramEnd"/>
      <w:r w:rsidR="00B5341F" w:rsidRPr="00AB2324">
        <w:t>.  They had attempted to ensure clarity and to present the proposals in a holistic manner.  Rev</w:t>
      </w:r>
      <w:r w:rsidR="00AB2324" w:rsidRPr="00AB2324">
        <w:t>.</w:t>
      </w:r>
      <w:r w:rsidR="00B5341F" w:rsidRPr="00AB2324">
        <w:t xml:space="preserve"> 2 had 13 articles.  The List of Terms was a stand-alone article (Article 1) and a provision within an article in the original document </w:t>
      </w:r>
      <w:proofErr w:type="gramStart"/>
      <w:r w:rsidR="00B5341F" w:rsidRPr="00AB2324">
        <w:t>had been re</w:t>
      </w:r>
      <w:r w:rsidR="00AB2324" w:rsidRPr="00AB2324">
        <w:t>-</w:t>
      </w:r>
      <w:r w:rsidR="00B5341F" w:rsidRPr="00AB2324">
        <w:t>drafted</w:t>
      </w:r>
      <w:proofErr w:type="gramEnd"/>
      <w:r w:rsidR="00B5341F" w:rsidRPr="00AB2324">
        <w:t xml:space="preserve"> as a separate article. </w:t>
      </w:r>
      <w:r w:rsidR="00443F2B" w:rsidRPr="00AB2324">
        <w:t xml:space="preserve"> </w:t>
      </w:r>
      <w:r w:rsidR="00B5341F" w:rsidRPr="00AB2324">
        <w:t>They had also introduced an alternative preamble.</w:t>
      </w:r>
      <w:r w:rsidR="00443F2B" w:rsidRPr="00AB2324">
        <w:t xml:space="preserve"> </w:t>
      </w:r>
      <w:r w:rsidR="00B5341F" w:rsidRPr="00AB2324">
        <w:t xml:space="preserve"> Regarding the document’s structure, it had four main parts.  Part I focus</w:t>
      </w:r>
      <w:r w:rsidR="00443F2B" w:rsidRPr="00AB2324">
        <w:t>ed</w:t>
      </w:r>
      <w:r w:rsidR="00B5341F" w:rsidRPr="00AB2324">
        <w:t xml:space="preserve"> on articles that were relevant to mandatory disclosure</w:t>
      </w:r>
      <w:r w:rsidR="00443F2B" w:rsidRPr="00AB2324">
        <w:t xml:space="preserve">. </w:t>
      </w:r>
      <w:r w:rsidR="00B5341F" w:rsidRPr="00AB2324">
        <w:t xml:space="preserve"> Part II centered on alternatives to mandatory disclosure. </w:t>
      </w:r>
      <w:r w:rsidR="00443F2B" w:rsidRPr="00AB2324">
        <w:t xml:space="preserve"> </w:t>
      </w:r>
      <w:r w:rsidR="00B5341F" w:rsidRPr="00AB2324">
        <w:t xml:space="preserve">Complementary measures formed Part III. </w:t>
      </w:r>
      <w:r w:rsidR="00443F2B" w:rsidRPr="00AB2324">
        <w:t xml:space="preserve"> </w:t>
      </w:r>
      <w:r w:rsidR="00B5341F" w:rsidRPr="00AB2324">
        <w:t>Part IV was</w:t>
      </w:r>
      <w:r w:rsidR="00B5341F" w:rsidRPr="00F35478">
        <w:t xml:space="preserve"> about the final provisions dealing with matters that </w:t>
      </w:r>
      <w:r w:rsidR="00B5341F">
        <w:t>were</w:t>
      </w:r>
      <w:r w:rsidR="00B5341F" w:rsidRPr="00F35478">
        <w:t xml:space="preserve"> routine in instruments.  </w:t>
      </w:r>
      <w:r w:rsidR="00B5341F">
        <w:t>The</w:t>
      </w:r>
      <w:r w:rsidR="00B5341F" w:rsidRPr="00F35478">
        <w:t xml:space="preserve"> preamble</w:t>
      </w:r>
      <w:r w:rsidR="00443F2B">
        <w:t xml:space="preserve"> had two alternatives:</w:t>
      </w:r>
      <w:r w:rsidR="00B5341F">
        <w:t xml:space="preserve"> </w:t>
      </w:r>
      <w:r w:rsidR="00AB2324">
        <w:t xml:space="preserve"> the original from d</w:t>
      </w:r>
      <w:r w:rsidR="00B5341F">
        <w:t>ocument WIPO/GRTKF/IC/35/4 and an alternative prepa</w:t>
      </w:r>
      <w:r w:rsidR="00AB2324">
        <w:t>red by the facilitator and the Friend of the Chair</w:t>
      </w:r>
      <w:r w:rsidR="00B5341F">
        <w:t>, which had no status</w:t>
      </w:r>
      <w:r w:rsidR="00B5341F" w:rsidRPr="00F35478">
        <w:t xml:space="preserve">.  It </w:t>
      </w:r>
      <w:proofErr w:type="gramStart"/>
      <w:r w:rsidR="00B5341F" w:rsidRPr="00F35478">
        <w:t>was followed</w:t>
      </w:r>
      <w:proofErr w:type="gramEnd"/>
      <w:r w:rsidR="00B5341F" w:rsidRPr="00F35478">
        <w:t xml:space="preserve"> by what used to be</w:t>
      </w:r>
      <w:r w:rsidR="00B5341F">
        <w:t xml:space="preserve"> the L</w:t>
      </w:r>
      <w:r w:rsidR="00B5341F" w:rsidRPr="00F35478">
        <w:t>i</w:t>
      </w:r>
      <w:r w:rsidR="00B5341F">
        <w:t>st of T</w:t>
      </w:r>
      <w:r w:rsidR="00B5341F" w:rsidRPr="00F35478">
        <w:t>erms, now Article 1</w:t>
      </w:r>
      <w:r w:rsidR="00B5341F">
        <w:t xml:space="preserve"> “</w:t>
      </w:r>
      <w:r w:rsidR="00B5341F" w:rsidRPr="00F35478">
        <w:t>Definitions</w:t>
      </w:r>
      <w:r w:rsidR="00B5341F">
        <w:t>”</w:t>
      </w:r>
      <w:r w:rsidR="00B5341F" w:rsidRPr="00F35478">
        <w:t>.</w:t>
      </w:r>
      <w:r w:rsidR="00443F2B">
        <w:t xml:space="preserve"> </w:t>
      </w:r>
      <w:r w:rsidR="00B5341F" w:rsidRPr="00F35478">
        <w:t xml:space="preserve"> </w:t>
      </w:r>
      <w:r w:rsidR="00B5341F">
        <w:t xml:space="preserve">In Part I, </w:t>
      </w:r>
      <w:r w:rsidR="00B5341F" w:rsidRPr="00F35478">
        <w:t>Article 2</w:t>
      </w:r>
      <w:r w:rsidR="00B5341F">
        <w:t xml:space="preserve"> was </w:t>
      </w:r>
      <w:r w:rsidR="00443F2B">
        <w:t xml:space="preserve">on </w:t>
      </w:r>
      <w:r w:rsidR="00B5341F" w:rsidRPr="00F35478">
        <w:t xml:space="preserve">objectives, </w:t>
      </w:r>
      <w:r w:rsidR="00B5341F">
        <w:t xml:space="preserve">Article 3 on the </w:t>
      </w:r>
      <w:r w:rsidR="00B5341F" w:rsidRPr="00F35478">
        <w:t>subject matter of</w:t>
      </w:r>
      <w:r w:rsidR="00B5341F">
        <w:t xml:space="preserve"> the</w:t>
      </w:r>
      <w:r w:rsidR="00B5341F" w:rsidRPr="00F35478">
        <w:t xml:space="preserve"> instrument</w:t>
      </w:r>
      <w:r w:rsidR="00B5341F">
        <w:t xml:space="preserve">, </w:t>
      </w:r>
      <w:r w:rsidR="00B5341F" w:rsidRPr="00F35478">
        <w:t>Article 4</w:t>
      </w:r>
      <w:r w:rsidR="00B5341F">
        <w:t xml:space="preserve"> on the</w:t>
      </w:r>
      <w:r w:rsidR="00B5341F" w:rsidRPr="00F35478">
        <w:t xml:space="preserve"> disclosure </w:t>
      </w:r>
      <w:r w:rsidR="00B5341F">
        <w:t>requirement, Article 5 on</w:t>
      </w:r>
      <w:r w:rsidR="00B5341F" w:rsidRPr="00F35478">
        <w:t xml:space="preserve"> exception</w:t>
      </w:r>
      <w:r w:rsidR="00B5341F">
        <w:t>s and limitations and Article 6 on</w:t>
      </w:r>
      <w:r w:rsidR="00B5341F" w:rsidRPr="00F35478">
        <w:t xml:space="preserve"> sanctions and remedies.  </w:t>
      </w:r>
      <w:r w:rsidR="00B5341F">
        <w:t>Part II provided</w:t>
      </w:r>
      <w:r w:rsidR="00B5341F" w:rsidRPr="00F35478">
        <w:t xml:space="preserve"> alternatives to </w:t>
      </w:r>
      <w:r w:rsidR="00B5341F">
        <w:t>A</w:t>
      </w:r>
      <w:r w:rsidR="00B5341F" w:rsidRPr="00F35478">
        <w:t xml:space="preserve">rticles 2 </w:t>
      </w:r>
      <w:r w:rsidR="00B5341F">
        <w:t xml:space="preserve">to 6, i.e., </w:t>
      </w:r>
      <w:r w:rsidR="00B5341F" w:rsidRPr="00F35478">
        <w:t>to</w:t>
      </w:r>
      <w:r w:rsidR="00B5341F">
        <w:t xml:space="preserve"> the</w:t>
      </w:r>
      <w:r w:rsidR="00B5341F" w:rsidRPr="00F35478">
        <w:t xml:space="preserve"> mandatory</w:t>
      </w:r>
      <w:r w:rsidR="00B5341F">
        <w:t xml:space="preserve"> disclosure</w:t>
      </w:r>
      <w:r w:rsidR="00B5341F" w:rsidRPr="00F35478">
        <w:t xml:space="preserve"> requirement.</w:t>
      </w:r>
      <w:r w:rsidR="00443F2B">
        <w:t xml:space="preserve"> </w:t>
      </w:r>
      <w:r w:rsidR="00B5341F" w:rsidRPr="00F35478">
        <w:t xml:space="preserve"> </w:t>
      </w:r>
      <w:r w:rsidR="00443F2B">
        <w:t>Under</w:t>
      </w:r>
      <w:r w:rsidR="00B5341F">
        <w:t xml:space="preserve"> the comple</w:t>
      </w:r>
      <w:r w:rsidR="00B5341F" w:rsidRPr="00F35478">
        <w:t xml:space="preserve">mentary measures, </w:t>
      </w:r>
      <w:r w:rsidR="00B5341F">
        <w:t xml:space="preserve">Article 7 was on due diligence </w:t>
      </w:r>
      <w:r w:rsidR="00B5341F" w:rsidRPr="00F35478">
        <w:t xml:space="preserve">and Article 8 on the prevention of </w:t>
      </w:r>
      <w:r w:rsidR="00B5341F">
        <w:t xml:space="preserve">the </w:t>
      </w:r>
      <w:r w:rsidR="00B5341F" w:rsidRPr="00F35478">
        <w:t>erroneous grant of patents and voluntary code</w:t>
      </w:r>
      <w:r w:rsidR="00B5341F">
        <w:t>s</w:t>
      </w:r>
      <w:r w:rsidR="00B5341F" w:rsidRPr="00F35478">
        <w:t xml:space="preserve"> of conduct. </w:t>
      </w:r>
      <w:r w:rsidR="00443F2B">
        <w:t xml:space="preserve"> </w:t>
      </w:r>
      <w:r w:rsidR="00B5341F" w:rsidRPr="00F35478">
        <w:t xml:space="preserve">In terms of the final provisions, Article 9, which </w:t>
      </w:r>
      <w:proofErr w:type="gramStart"/>
      <w:r w:rsidR="00B5341F">
        <w:t>had been</w:t>
      </w:r>
      <w:r w:rsidR="00B5341F" w:rsidRPr="00F35478">
        <w:t xml:space="preserve"> formerly found</w:t>
      </w:r>
      <w:proofErr w:type="gramEnd"/>
      <w:r w:rsidR="00B5341F" w:rsidRPr="00F35478">
        <w:t xml:space="preserve"> in an earlier provision, </w:t>
      </w:r>
      <w:r w:rsidR="00B5341F">
        <w:t xml:space="preserve">was on </w:t>
      </w:r>
      <w:r w:rsidR="00B5341F" w:rsidRPr="00F35478">
        <w:t>preventive measures for protection</w:t>
      </w:r>
      <w:r w:rsidR="00AB2324">
        <w:t xml:space="preserve">. </w:t>
      </w:r>
      <w:r w:rsidR="00B5341F">
        <w:t xml:space="preserve"> </w:t>
      </w:r>
      <w:r w:rsidR="00AB2324">
        <w:t xml:space="preserve">He then presented the main changes to the text. </w:t>
      </w:r>
      <w:r w:rsidR="00B5341F" w:rsidRPr="00F35478">
        <w:t xml:space="preserve"> </w:t>
      </w:r>
      <w:r w:rsidR="00B5341F">
        <w:t>Article 1 on definitions had been separated into two</w:t>
      </w:r>
      <w:r w:rsidR="00443F2B">
        <w:t xml:space="preserve"> parts</w:t>
      </w:r>
      <w:r w:rsidR="00B5341F">
        <w:t>, where the first part included terms us</w:t>
      </w:r>
      <w:r w:rsidR="00443F2B">
        <w:t>ed in the operative articles</w:t>
      </w:r>
      <w:r w:rsidR="00B5341F">
        <w:t xml:space="preserve"> and the second part included other terms that were useful </w:t>
      </w:r>
      <w:r w:rsidR="00443F2B">
        <w:t>in understanding the instrument</w:t>
      </w:r>
      <w:r w:rsidR="00B5341F">
        <w:t xml:space="preserve"> but did not appear in the operative articles. </w:t>
      </w:r>
      <w:r w:rsidR="00443F2B">
        <w:t xml:space="preserve"> </w:t>
      </w:r>
      <w:r w:rsidR="00B5341F">
        <w:t>In the definition of TK, they had made a significant change by replacing O</w:t>
      </w:r>
      <w:r w:rsidR="00B5341F" w:rsidRPr="00F35478">
        <w:t>ption</w:t>
      </w:r>
      <w:r w:rsidR="00B5341F">
        <w:t>s</w:t>
      </w:r>
      <w:r w:rsidR="00B5341F" w:rsidRPr="00F35478">
        <w:t xml:space="preserve"> </w:t>
      </w:r>
      <w:r w:rsidR="00B5341F">
        <w:t>1</w:t>
      </w:r>
      <w:r w:rsidR="00B5341F" w:rsidRPr="00F35478">
        <w:t xml:space="preserve"> and </w:t>
      </w:r>
      <w:r w:rsidR="00B5341F">
        <w:t>2</w:t>
      </w:r>
      <w:r w:rsidR="00B5341F" w:rsidRPr="00F35478">
        <w:t xml:space="preserve"> </w:t>
      </w:r>
      <w:r w:rsidR="00B5341F">
        <w:t xml:space="preserve">with ALT 1 and ALT 2. </w:t>
      </w:r>
      <w:r w:rsidR="00443F2B">
        <w:t xml:space="preserve"> </w:t>
      </w:r>
      <w:r w:rsidR="00B5341F" w:rsidRPr="00F35478">
        <w:t xml:space="preserve">As to Article 4 on the disclosure requirement, </w:t>
      </w:r>
      <w:r w:rsidR="00443F2B">
        <w:t xml:space="preserve">Article </w:t>
      </w:r>
      <w:r w:rsidR="00B5341F">
        <w:t>4.</w:t>
      </w:r>
      <w:r w:rsidR="00B5341F" w:rsidRPr="00F35478">
        <w:t>2</w:t>
      </w:r>
      <w:r w:rsidR="00B5341F">
        <w:t xml:space="preserve"> isolated the requirement </w:t>
      </w:r>
      <w:proofErr w:type="gramStart"/>
      <w:r w:rsidR="00B5341F">
        <w:t>with regards to</w:t>
      </w:r>
      <w:proofErr w:type="gramEnd"/>
      <w:r w:rsidR="00B5341F" w:rsidRPr="00F35478">
        <w:t xml:space="preserve"> </w:t>
      </w:r>
      <w:r w:rsidR="00B5341F">
        <w:t>PIC</w:t>
      </w:r>
      <w:r w:rsidR="00443F2B">
        <w:t xml:space="preserve"> and ABS requirements and</w:t>
      </w:r>
      <w:r w:rsidR="00B5341F" w:rsidRPr="00F35478">
        <w:t xml:space="preserve"> would allow Member States to provide for such information pursuant to national law.</w:t>
      </w:r>
      <w:r w:rsidR="00B5341F">
        <w:t xml:space="preserve"> </w:t>
      </w:r>
      <w:r w:rsidR="00443F2B">
        <w:t xml:space="preserve"> ALT</w:t>
      </w:r>
      <w:r w:rsidR="00B5341F" w:rsidRPr="00F35478">
        <w:t xml:space="preserve"> 4.2 </w:t>
      </w:r>
      <w:r w:rsidR="00443F2B">
        <w:t>was there</w:t>
      </w:r>
      <w:r w:rsidR="00B5341F">
        <w:t xml:space="preserve"> to </w:t>
      </w:r>
      <w:r w:rsidR="00443F2B">
        <w:t>accommodate the Members S</w:t>
      </w:r>
      <w:r w:rsidR="00B5341F">
        <w:t xml:space="preserve">tates who did not want to see </w:t>
      </w:r>
      <w:r w:rsidR="00B5341F" w:rsidRPr="00F35478">
        <w:t xml:space="preserve">ABS and PIC requirements as part of the disclosure requirement.  </w:t>
      </w:r>
      <w:r w:rsidR="00443F2B">
        <w:t xml:space="preserve">In Article </w:t>
      </w:r>
      <w:r w:rsidR="00B5341F">
        <w:t>4.4</w:t>
      </w:r>
      <w:r w:rsidR="00443F2B">
        <w:t>,</w:t>
      </w:r>
      <w:r w:rsidR="00B5341F">
        <w:t xml:space="preserve"> t</w:t>
      </w:r>
      <w:r w:rsidR="00443F2B">
        <w:t>here wa</w:t>
      </w:r>
      <w:r w:rsidR="00B5341F" w:rsidRPr="00F35478">
        <w:t xml:space="preserve">s an obligation to make the disclosed </w:t>
      </w:r>
      <w:r w:rsidR="00443F2B">
        <w:t xml:space="preserve">information </w:t>
      </w:r>
      <w:r w:rsidR="00B5341F" w:rsidRPr="00F35478">
        <w:t>pub</w:t>
      </w:r>
      <w:r w:rsidR="00443F2B">
        <w:t>licly available except where it wa</w:t>
      </w:r>
      <w:r w:rsidR="00B5341F" w:rsidRPr="00F35478">
        <w:t xml:space="preserve">s confidential.  </w:t>
      </w:r>
      <w:r w:rsidR="00443F2B">
        <w:t>T</w:t>
      </w:r>
      <w:r w:rsidR="00B5341F" w:rsidRPr="00F35478">
        <w:t>hat was to accommodate the request that the references to privacy, business secrets</w:t>
      </w:r>
      <w:r w:rsidR="00443F2B">
        <w:t xml:space="preserve">, etc. </w:t>
      </w:r>
      <w:r w:rsidR="00B5341F">
        <w:t>were</w:t>
      </w:r>
      <w:r w:rsidR="00443F2B">
        <w:t xml:space="preserve"> all part</w:t>
      </w:r>
      <w:r w:rsidR="00B5341F" w:rsidRPr="00F35478">
        <w:t xml:space="preserve"> of confidential information.  The previous</w:t>
      </w:r>
      <w:r w:rsidR="00443F2B">
        <w:t xml:space="preserve"> Article 3.5 </w:t>
      </w:r>
      <w:proofErr w:type="gramStart"/>
      <w:r w:rsidR="00B5341F">
        <w:t>had</w:t>
      </w:r>
      <w:r w:rsidR="00B5341F" w:rsidRPr="00F35478">
        <w:t xml:space="preserve"> been moved</w:t>
      </w:r>
      <w:proofErr w:type="gramEnd"/>
      <w:r w:rsidR="00B5341F" w:rsidRPr="00F35478">
        <w:t xml:space="preserve"> to new Article 9.  </w:t>
      </w:r>
      <w:r w:rsidR="00B5341F">
        <w:t>In A</w:t>
      </w:r>
      <w:r w:rsidR="00B5341F" w:rsidRPr="00F35478">
        <w:t>rticle </w:t>
      </w:r>
      <w:r w:rsidR="00443F2B">
        <w:t xml:space="preserve">5 on exceptions and limitations, </w:t>
      </w:r>
      <w:r w:rsidR="00B5341F" w:rsidRPr="00F35478">
        <w:t xml:space="preserve">the major change </w:t>
      </w:r>
      <w:r w:rsidR="00B5341F">
        <w:t>was</w:t>
      </w:r>
      <w:r w:rsidR="00443F2B">
        <w:t xml:space="preserve"> the addition of the</w:t>
      </w:r>
      <w:r w:rsidR="00B5341F" w:rsidRPr="00F35478">
        <w:t xml:space="preserve"> phrase </w:t>
      </w:r>
      <w:r w:rsidR="00B5341F">
        <w:t>“</w:t>
      </w:r>
      <w:r w:rsidR="00B5341F" w:rsidRPr="00F35478">
        <w:t>mutual supportiveness with other instruments</w:t>
      </w:r>
      <w:r w:rsidR="00B5341F">
        <w:t>”</w:t>
      </w:r>
      <w:r w:rsidR="00B5341F" w:rsidRPr="00F35478">
        <w:t xml:space="preserve"> and the introduction of </w:t>
      </w:r>
      <w:r w:rsidR="00443F2B">
        <w:t>a new sub-</w:t>
      </w:r>
      <w:r w:rsidR="00B5341F">
        <w:t xml:space="preserve">paragraph as </w:t>
      </w:r>
      <w:r w:rsidR="00443F2B">
        <w:t xml:space="preserve">part of </w:t>
      </w:r>
      <w:r w:rsidR="00EE03D1">
        <w:t>paragraph 1.</w:t>
      </w:r>
      <w:r w:rsidR="00B5341F" w:rsidRPr="00F35478">
        <w:t xml:space="preserve">  </w:t>
      </w:r>
    </w:p>
    <w:p w:rsidR="004E5B91" w:rsidRDefault="004E5B91" w:rsidP="004E5B91">
      <w:pPr>
        <w:pStyle w:val="ListParagraph"/>
        <w:ind w:left="0"/>
      </w:pPr>
    </w:p>
    <w:p w:rsidR="0071714D" w:rsidRDefault="00BB149A" w:rsidP="0071714D">
      <w:pPr>
        <w:pStyle w:val="ListParagraph"/>
        <w:numPr>
          <w:ilvl w:val="0"/>
          <w:numId w:val="4"/>
        </w:numPr>
        <w:ind w:left="0" w:firstLine="0"/>
      </w:pPr>
      <w:r>
        <w:t>Ms.</w:t>
      </w:r>
      <w:r w:rsidR="004E5B91" w:rsidRPr="00F35478">
        <w:t xml:space="preserve"> Bagley</w:t>
      </w:r>
      <w:r>
        <w:t>, speaking as the Friend of the Chair,</w:t>
      </w:r>
      <w:r w:rsidR="004E5B91" w:rsidRPr="00F35478">
        <w:t xml:space="preserve"> emphasized that in attempting to maintain the integrity of positions, </w:t>
      </w:r>
      <w:r w:rsidR="004E5B91">
        <w:t>they had</w:t>
      </w:r>
      <w:r w:rsidR="004E5B91" w:rsidRPr="00F35478">
        <w:t xml:space="preserve"> tried to minimize bracket</w:t>
      </w:r>
      <w:r w:rsidR="004E5B91">
        <w:t xml:space="preserve">ing where it seemed </w:t>
      </w:r>
      <w:proofErr w:type="gramStart"/>
      <w:r w:rsidR="004E5B91">
        <w:t xml:space="preserve">to </w:t>
      </w:r>
      <w:r w:rsidR="004E5B91" w:rsidRPr="00F35478">
        <w:t>acc</w:t>
      </w:r>
      <w:r>
        <w:t>urately reflect</w:t>
      </w:r>
      <w:proofErr w:type="gramEnd"/>
      <w:r>
        <w:t xml:space="preserve"> a Member States’</w:t>
      </w:r>
      <w:r w:rsidR="004E5B91" w:rsidRPr="00F35478">
        <w:t xml:space="preserve"> position in the text. </w:t>
      </w:r>
      <w:r w:rsidR="004E5B91">
        <w:t xml:space="preserve"> The</w:t>
      </w:r>
      <w:r w:rsidR="004E5B91" w:rsidRPr="00F35478">
        <w:t xml:space="preserve"> structure of Article 6 on sanctions </w:t>
      </w:r>
      <w:r w:rsidR="004E5B91" w:rsidRPr="00F35478">
        <w:lastRenderedPageBreak/>
        <w:t>and remedies</w:t>
      </w:r>
      <w:r w:rsidR="004E5B91">
        <w:t xml:space="preserve"> </w:t>
      </w:r>
      <w:proofErr w:type="gramStart"/>
      <w:r w:rsidR="004E5B91">
        <w:t>had been</w:t>
      </w:r>
      <w:r w:rsidR="004E5B91" w:rsidRPr="00F35478">
        <w:t xml:space="preserve"> changed</w:t>
      </w:r>
      <w:proofErr w:type="gramEnd"/>
      <w:r w:rsidR="004E5B91">
        <w:t xml:space="preserve">, </w:t>
      </w:r>
      <w:r w:rsidR="004E5B91" w:rsidRPr="00F35478">
        <w:t>based largely on Member States</w:t>
      </w:r>
      <w:r w:rsidR="004E5B91">
        <w:t>’</w:t>
      </w:r>
      <w:r w:rsidR="004E5B91" w:rsidRPr="00F35478">
        <w:t xml:space="preserve"> comments </w:t>
      </w:r>
      <w:r w:rsidR="004E5B91">
        <w:t>in</w:t>
      </w:r>
      <w:r w:rsidR="004E5B91" w:rsidRPr="00F35478">
        <w:t xml:space="preserve"> informals.  </w:t>
      </w:r>
      <w:r w:rsidR="004E5B91">
        <w:t xml:space="preserve">Paragraph </w:t>
      </w:r>
      <w:r w:rsidR="004E5B91" w:rsidRPr="00F35478">
        <w:t xml:space="preserve">6.1 </w:t>
      </w:r>
      <w:r w:rsidR="004E5B91">
        <w:t>was</w:t>
      </w:r>
      <w:r w:rsidR="004E5B91" w:rsidRPr="00F35478">
        <w:t xml:space="preserve"> the base provision that </w:t>
      </w:r>
      <w:r w:rsidR="004E5B91">
        <w:t>was</w:t>
      </w:r>
      <w:r w:rsidR="004E5B91" w:rsidRPr="00F35478">
        <w:t xml:space="preserve"> essentially the first line of the chapeau </w:t>
      </w:r>
      <w:r w:rsidR="004E5B91">
        <w:t>in</w:t>
      </w:r>
      <w:r w:rsidR="004E5B91" w:rsidRPr="00F35478">
        <w:t xml:space="preserve"> the prior </w:t>
      </w:r>
      <w:r w:rsidR="004E5B91">
        <w:t>article in the original document</w:t>
      </w:r>
      <w:r w:rsidR="004E5B91" w:rsidRPr="00F35478">
        <w:t xml:space="preserve">.  It </w:t>
      </w:r>
      <w:r w:rsidR="004E5B91">
        <w:t>was</w:t>
      </w:r>
      <w:r w:rsidR="004E5B91" w:rsidRPr="00F35478">
        <w:t xml:space="preserve"> a broad provision that </w:t>
      </w:r>
      <w:r w:rsidR="004E5B91">
        <w:t>left</w:t>
      </w:r>
      <w:r w:rsidR="004E5B91" w:rsidRPr="00F35478">
        <w:t xml:space="preserve"> the question of sanctions to national law.  It </w:t>
      </w:r>
      <w:r w:rsidR="004E5B91">
        <w:t>did</w:t>
      </w:r>
      <w:r w:rsidR="004E5B91" w:rsidRPr="00F35478">
        <w:t xml:space="preserve"> not limit revocation as a possible sanction.</w:t>
      </w:r>
      <w:r w:rsidR="004E5B91">
        <w:t xml:space="preserve">  Paragraph 6.2 indicated</w:t>
      </w:r>
      <w:r w:rsidR="004E5B91" w:rsidRPr="00F35478">
        <w:t xml:space="preserve"> that such measures </w:t>
      </w:r>
      <w:r w:rsidR="004E5B91">
        <w:t>might</w:t>
      </w:r>
      <w:r w:rsidR="004E5B91" w:rsidRPr="00F35478">
        <w:t xml:space="preserve"> include pre</w:t>
      </w:r>
      <w:r w:rsidR="004E5B91">
        <w:t>-</w:t>
      </w:r>
      <w:r>
        <w:t>grant</w:t>
      </w:r>
      <w:r w:rsidR="004E5B91">
        <w:t xml:space="preserve"> and/or post-</w:t>
      </w:r>
      <w:r w:rsidR="004E5B91" w:rsidRPr="00F35478">
        <w:t xml:space="preserve">grant measures and the </w:t>
      </w:r>
      <w:r w:rsidR="004E5B91">
        <w:t>ALT</w:t>
      </w:r>
      <w:r w:rsidR="004E5B91" w:rsidRPr="00F35478">
        <w:t xml:space="preserve"> to </w:t>
      </w:r>
      <w:r w:rsidR="004E5B91">
        <w:t xml:space="preserve">paragraph </w:t>
      </w:r>
      <w:r w:rsidR="004E5B91" w:rsidRPr="00F35478">
        <w:t>6.2 provide</w:t>
      </w:r>
      <w:r w:rsidR="004E5B91">
        <w:t>d</w:t>
      </w:r>
      <w:r w:rsidR="004E5B91" w:rsidRPr="00F35478">
        <w:t xml:space="preserve"> an indicative list of such measures</w:t>
      </w:r>
      <w:r w:rsidR="004E5B91">
        <w:t>,</w:t>
      </w:r>
      <w:r w:rsidR="004E5B91" w:rsidRPr="00F35478">
        <w:t xml:space="preserve"> as found in the main</w:t>
      </w:r>
      <w:r w:rsidR="004E5B91">
        <w:t xml:space="preserve"> sanctions provisions of the original </w:t>
      </w:r>
      <w:r w:rsidR="004E5B91" w:rsidRPr="00F35478">
        <w:t xml:space="preserve">document with the addition </w:t>
      </w:r>
      <w:r w:rsidR="004E5B91">
        <w:t>of</w:t>
      </w:r>
      <w:r w:rsidR="004E5B91" w:rsidRPr="00F35478">
        <w:t xml:space="preserve"> </w:t>
      </w:r>
      <w:r w:rsidR="004E5B91">
        <w:t xml:space="preserve">paragraph </w:t>
      </w:r>
      <w:r w:rsidR="004E5B91" w:rsidRPr="00F35478">
        <w:t>6.2</w:t>
      </w:r>
      <w:r w:rsidR="004E5B91">
        <w:t>(</w:t>
      </w:r>
      <w:r w:rsidR="004E5B91" w:rsidRPr="00F35478">
        <w:t>a</w:t>
      </w:r>
      <w:r w:rsidR="004E5B91">
        <w:t>) (</w:t>
      </w:r>
      <w:r w:rsidR="004E5B91" w:rsidRPr="00F35478">
        <w:t>iv</w:t>
      </w:r>
      <w:r w:rsidR="004E5B91">
        <w:t>)</w:t>
      </w:r>
      <w:r w:rsidR="004E5B91" w:rsidRPr="00F35478">
        <w:t> as</w:t>
      </w:r>
      <w:r w:rsidR="004E5B91">
        <w:t xml:space="preserve"> per</w:t>
      </w:r>
      <w:r w:rsidR="004E5B91" w:rsidRPr="00F35478">
        <w:t xml:space="preserve"> a Member State</w:t>
      </w:r>
      <w:r w:rsidR="004E5B91">
        <w:t xml:space="preserve"> request</w:t>
      </w:r>
      <w:r w:rsidR="004E5B91" w:rsidRPr="00F35478">
        <w:t>.</w:t>
      </w:r>
      <w:r w:rsidR="004E5B91">
        <w:t xml:space="preserve">  She</w:t>
      </w:r>
      <w:r w:rsidR="004E5B91" w:rsidRPr="00F35478">
        <w:t xml:space="preserve"> hoped that paragraph 6.2 </w:t>
      </w:r>
      <w:r w:rsidR="004E5B91">
        <w:t>was</w:t>
      </w:r>
      <w:r w:rsidR="004E5B91" w:rsidRPr="00F35478">
        <w:t xml:space="preserve"> sufficient and </w:t>
      </w:r>
      <w:r w:rsidR="004E5B91">
        <w:t xml:space="preserve">said </w:t>
      </w:r>
      <w:r w:rsidR="004E5B91" w:rsidRPr="00F35478">
        <w:t xml:space="preserve">that articulating possible measures as in the alternative </w:t>
      </w:r>
      <w:r w:rsidR="004E5B91">
        <w:t>was un</w:t>
      </w:r>
      <w:r w:rsidR="004E5B91" w:rsidRPr="00F35478">
        <w:t xml:space="preserve">necessary and suboptimal in </w:t>
      </w:r>
      <w:r w:rsidR="004E5B91">
        <w:t>a</w:t>
      </w:r>
      <w:r w:rsidR="004E5B91" w:rsidRPr="00F35478">
        <w:t xml:space="preserve"> framework agreement.</w:t>
      </w:r>
      <w:r w:rsidR="004E5B91">
        <w:t xml:space="preserve">  Paragraph </w:t>
      </w:r>
      <w:r w:rsidR="004E5B91" w:rsidRPr="00F35478">
        <w:t xml:space="preserve">6.3 </w:t>
      </w:r>
      <w:proofErr w:type="gramStart"/>
      <w:r w:rsidR="004E5B91">
        <w:t>was</w:t>
      </w:r>
      <w:r w:rsidR="004E5B91" w:rsidRPr="00F35478">
        <w:t xml:space="preserve"> designed</w:t>
      </w:r>
      <w:proofErr w:type="gramEnd"/>
      <w:r w:rsidR="004E5B91" w:rsidRPr="00F35478">
        <w:t xml:space="preserve"> to reflect the approach of</w:t>
      </w:r>
      <w:r w:rsidR="004E5B91">
        <w:t xml:space="preserve"> some countries that had</w:t>
      </w:r>
      <w:r w:rsidR="004E5B91" w:rsidRPr="00F35478">
        <w:t xml:space="preserve"> revocation as an option, </w:t>
      </w:r>
      <w:r w:rsidR="004E5B91">
        <w:t xml:space="preserve">but were </w:t>
      </w:r>
      <w:r w:rsidR="004E5B91" w:rsidRPr="00F35478">
        <w:t>rarely if ever using it and treating it as</w:t>
      </w:r>
      <w:r w:rsidR="004E5B91">
        <w:t xml:space="preserve"> a sanction of last resort.  That</w:t>
      </w:r>
      <w:r w:rsidR="004E5B91" w:rsidRPr="00F35478">
        <w:t xml:space="preserve"> provision allow</w:t>
      </w:r>
      <w:r w:rsidR="004E5B91">
        <w:t>ed</w:t>
      </w:r>
      <w:r w:rsidR="004E5B91" w:rsidRPr="00F35478">
        <w:t xml:space="preserve"> for revocation of the sanction but only for willful or deliberate instances of refusal to comply and only after the patent </w:t>
      </w:r>
      <w:r w:rsidR="004E5B91">
        <w:t xml:space="preserve">holder </w:t>
      </w:r>
      <w:proofErr w:type="gramStart"/>
      <w:r w:rsidR="004E5B91">
        <w:t xml:space="preserve">had </w:t>
      </w:r>
      <w:r w:rsidR="004E5B91" w:rsidRPr="00F35478">
        <w:t>been offered</w:t>
      </w:r>
      <w:proofErr w:type="gramEnd"/>
      <w:r w:rsidR="004E5B91" w:rsidRPr="00F35478">
        <w:t xml:space="preserve"> the opportunity to meet a mutually satisfactory resolution with the parties under nationa</w:t>
      </w:r>
      <w:r w:rsidR="004E5B91">
        <w:t>l law and such negotiations had</w:t>
      </w:r>
      <w:r w:rsidR="004E5B91" w:rsidRPr="00F35478">
        <w:t xml:space="preserve"> failed.</w:t>
      </w:r>
      <w:r w:rsidR="004E5B91">
        <w:t xml:space="preserve">  </w:t>
      </w:r>
      <w:r w:rsidR="004E5B91" w:rsidRPr="00F35478">
        <w:t xml:space="preserve">The alternative to </w:t>
      </w:r>
      <w:r w:rsidR="004E5B91">
        <w:t>paragraph 6.3 reflected</w:t>
      </w:r>
      <w:r w:rsidR="004E5B91" w:rsidRPr="00F35478">
        <w:t xml:space="preserve"> the positions of countries that </w:t>
      </w:r>
      <w:r w:rsidR="004E5B91">
        <w:t>did not</w:t>
      </w:r>
      <w:r w:rsidR="004E5B91" w:rsidRPr="00F35478">
        <w:t xml:space="preserve"> want revocation to be an option in </w:t>
      </w:r>
      <w:r w:rsidR="004E5B91">
        <w:t>the</w:t>
      </w:r>
      <w:r w:rsidR="004E5B91" w:rsidRPr="00F35478">
        <w:t xml:space="preserve"> agreement, due to legal certainty concerns.  Under </w:t>
      </w:r>
      <w:r w:rsidR="004E5B91">
        <w:t>that</w:t>
      </w:r>
      <w:r w:rsidR="004E5B91" w:rsidRPr="00F35478">
        <w:t xml:space="preserve"> ag</w:t>
      </w:r>
      <w:r w:rsidR="004E5B91">
        <w:t>reement, it should have a floor,</w:t>
      </w:r>
      <w:r w:rsidR="004E5B91" w:rsidRPr="00F35478">
        <w:t xml:space="preserve"> </w:t>
      </w:r>
      <w:r w:rsidR="004E5B91">
        <w:t>“</w:t>
      </w:r>
      <w:r w:rsidR="004E5B91" w:rsidRPr="00F35478">
        <w:t>mandatory disc</w:t>
      </w:r>
      <w:r w:rsidR="004E5B91">
        <w:t>losure,” as well as a ceiling, “no</w:t>
      </w:r>
      <w:r w:rsidR="004E5B91" w:rsidRPr="00F35478">
        <w:t xml:space="preserve"> revocation</w:t>
      </w:r>
      <w:r w:rsidR="004E5B91">
        <w:t>,”</w:t>
      </w:r>
      <w:r w:rsidR="004E5B91" w:rsidRPr="00F35478">
        <w:t xml:space="preserve"> to enhance legal certainty for applicants.  It </w:t>
      </w:r>
      <w:r w:rsidR="004E5B91">
        <w:t>might</w:t>
      </w:r>
      <w:r w:rsidR="004E5B91" w:rsidRPr="00F35478">
        <w:t xml:space="preserve"> be helpful for Member States to include a floor for sanctions and remedies, such as a minimum sanction</w:t>
      </w:r>
      <w:r w:rsidR="004E5B91">
        <w:t>,</w:t>
      </w:r>
      <w:r w:rsidR="004E5B91" w:rsidRPr="00F35478">
        <w:t xml:space="preserve"> and a ceiling to achieve a middle ground in the text.</w:t>
      </w:r>
      <w:r w:rsidR="004E5B91">
        <w:t xml:space="preserve">  </w:t>
      </w:r>
      <w:proofErr w:type="gramStart"/>
      <w:r w:rsidR="004E5B91" w:rsidRPr="00F35478">
        <w:t>Finally</w:t>
      </w:r>
      <w:proofErr w:type="gramEnd"/>
      <w:r w:rsidR="004E5B91" w:rsidRPr="00F35478">
        <w:t xml:space="preserve"> a new paragraph 6.4 ha</w:t>
      </w:r>
      <w:r w:rsidR="004E5B91">
        <w:t>d</w:t>
      </w:r>
      <w:r w:rsidR="004E5B91" w:rsidRPr="00F35478">
        <w:t xml:space="preserve"> been </w:t>
      </w:r>
      <w:r w:rsidR="004E5B91">
        <w:t>added</w:t>
      </w:r>
      <w:r w:rsidR="004E5B91" w:rsidRPr="00F35478">
        <w:t xml:space="preserve"> that </w:t>
      </w:r>
      <w:r w:rsidR="004E5B91">
        <w:t xml:space="preserve">gave </w:t>
      </w:r>
      <w:r w:rsidR="004E5B91" w:rsidRPr="00F35478">
        <w:t>dispute resolution</w:t>
      </w:r>
      <w:r w:rsidR="004E5B91">
        <w:t>,</w:t>
      </w:r>
      <w:r w:rsidR="004E5B91" w:rsidRPr="00F35478">
        <w:t xml:space="preserve"> which was previousl</w:t>
      </w:r>
      <w:r w:rsidR="004E5B91">
        <w:t>y in the chapeau,</w:t>
      </w:r>
      <w:r w:rsidR="004E5B91" w:rsidRPr="00F35478">
        <w:t xml:space="preserve"> its own paragraph.  </w:t>
      </w:r>
      <w:r w:rsidR="004E5B91">
        <w:t>Al</w:t>
      </w:r>
      <w:r w:rsidR="004E5B91" w:rsidRPr="00F35478">
        <w:t>ternati</w:t>
      </w:r>
      <w:r w:rsidR="004E5B91">
        <w:t xml:space="preserve">ve to Articles 2 through </w:t>
      </w:r>
      <w:proofErr w:type="gramStart"/>
      <w:r w:rsidR="004E5B91">
        <w:t>6</w:t>
      </w:r>
      <w:proofErr w:type="gramEnd"/>
      <w:r w:rsidR="004E5B91">
        <w:t xml:space="preserve"> did</w:t>
      </w:r>
      <w:r w:rsidR="004E5B91" w:rsidRPr="00F35478">
        <w:t xml:space="preserve"> not involve a new disclosure requirement and</w:t>
      </w:r>
      <w:r w:rsidR="004E5B91">
        <w:t xml:space="preserve"> were entitled “D</w:t>
      </w:r>
      <w:r w:rsidR="004E5B91" w:rsidRPr="00F35478">
        <w:t xml:space="preserve">efensive </w:t>
      </w:r>
      <w:r w:rsidR="004E5B91">
        <w:t>M</w:t>
      </w:r>
      <w:r w:rsidR="004E5B91" w:rsidRPr="00F35478">
        <w:t>easures</w:t>
      </w:r>
      <w:r w:rsidR="004E5B91">
        <w:t>.”  In</w:t>
      </w:r>
      <w:r w:rsidR="004E5B91" w:rsidRPr="00F35478">
        <w:t xml:space="preserve"> the alternative to Article 2, there </w:t>
      </w:r>
      <w:r w:rsidR="004E5B91">
        <w:t>were</w:t>
      </w:r>
      <w:r w:rsidR="004E5B91" w:rsidRPr="00F35478">
        <w:t xml:space="preserve"> two similar alternative obj</w:t>
      </w:r>
      <w:r w:rsidR="004E5B91">
        <w:t>ectives</w:t>
      </w:r>
      <w:r w:rsidR="004E5B91" w:rsidRPr="00F35478">
        <w:t xml:space="preserve">.  </w:t>
      </w:r>
      <w:r w:rsidR="004E5B91">
        <w:t>T</w:t>
      </w:r>
      <w:r w:rsidR="004E5B91" w:rsidRPr="00F35478">
        <w:t xml:space="preserve">he first was present in </w:t>
      </w:r>
      <w:r w:rsidR="004E5B91">
        <w:t xml:space="preserve">the original </w:t>
      </w:r>
      <w:r>
        <w:t>d</w:t>
      </w:r>
      <w:r w:rsidR="004E5B91">
        <w:t xml:space="preserve">ocument and </w:t>
      </w:r>
      <w:proofErr w:type="gramStart"/>
      <w:r w:rsidR="004E5B91">
        <w:t>t</w:t>
      </w:r>
      <w:r w:rsidR="004E5B91" w:rsidRPr="00F35478">
        <w:t xml:space="preserve">he second </w:t>
      </w:r>
      <w:r w:rsidR="004E5B91">
        <w:t>had been</w:t>
      </w:r>
      <w:r w:rsidR="004E5B91" w:rsidRPr="00F35478">
        <w:t xml:space="preserve"> added by a Member States in</w:t>
      </w:r>
      <w:proofErr w:type="gramEnd"/>
      <w:r w:rsidR="004E5B91" w:rsidRPr="00F35478">
        <w:t xml:space="preserve"> plenary.</w:t>
      </w:r>
      <w:r>
        <w:t xml:space="preserve"> </w:t>
      </w:r>
      <w:r w:rsidR="004E5B91" w:rsidRPr="00F35478">
        <w:t xml:space="preserve"> The alternative for Article 3 on subject matter </w:t>
      </w:r>
      <w:r w:rsidR="004E5B91">
        <w:t>was</w:t>
      </w:r>
      <w:r w:rsidR="004E5B91" w:rsidRPr="00F35478">
        <w:t xml:space="preserve"> the alternative from the </w:t>
      </w:r>
      <w:r w:rsidR="004E5B91">
        <w:t xml:space="preserve">original </w:t>
      </w:r>
      <w:r w:rsidR="004E5B91" w:rsidRPr="00F35478">
        <w:t>docume</w:t>
      </w:r>
      <w:r w:rsidR="004E5B91">
        <w:t>nt</w:t>
      </w:r>
      <w:r w:rsidR="004E5B91" w:rsidRPr="00F35478">
        <w:t xml:space="preserve">.  </w:t>
      </w:r>
      <w:r w:rsidR="004E5B91">
        <w:t>Alternative</w:t>
      </w:r>
      <w:r w:rsidR="004E5B91" w:rsidRPr="00F35478">
        <w:t xml:space="preserve"> Article 4, </w:t>
      </w:r>
      <w:r w:rsidR="004E5B91">
        <w:t>entitled</w:t>
      </w:r>
      <w:r w:rsidR="004E5B91" w:rsidRPr="00F35478">
        <w:t xml:space="preserve"> </w:t>
      </w:r>
      <w:r w:rsidR="004E5B91">
        <w:t>“D</w:t>
      </w:r>
      <w:r w:rsidR="004E5B91" w:rsidRPr="00F35478">
        <w:t>isclosure,</w:t>
      </w:r>
      <w:r w:rsidR="004E5B91">
        <w:t>”</w:t>
      </w:r>
      <w:r w:rsidR="004E5B91" w:rsidRPr="00F35478">
        <w:t xml:space="preserve"> </w:t>
      </w:r>
      <w:r w:rsidR="004E5B91">
        <w:t>was</w:t>
      </w:r>
      <w:r w:rsidR="004E5B91" w:rsidRPr="00F35478">
        <w:t xml:space="preserve"> the same basic provision as in </w:t>
      </w:r>
      <w:r w:rsidR="004E5B91">
        <w:t>the original document</w:t>
      </w:r>
      <w:r w:rsidR="004E5B91" w:rsidRPr="00F35478">
        <w:t>.  However, a Member State</w:t>
      </w:r>
      <w:r w:rsidR="004E5B91">
        <w:t xml:space="preserve"> had</w:t>
      </w:r>
      <w:r w:rsidR="004E5B91" w:rsidRPr="00F35478">
        <w:t xml:space="preserve"> made an intervention to have paragraphs 4.2 through 4.4 and 4.6 in alternative Article 4 moved to the mandatory disclosure requirements section.  However, paragraphs 4.2 to 4.4 appear</w:t>
      </w:r>
      <w:r w:rsidR="004E5B91">
        <w:t>ed</w:t>
      </w:r>
      <w:r w:rsidR="004E5B91" w:rsidRPr="00F35478">
        <w:t xml:space="preserve"> to </w:t>
      </w:r>
      <w:r>
        <w:t>relate to voluntary or contract-</w:t>
      </w:r>
      <w:r w:rsidR="004E5B91" w:rsidRPr="00F35478">
        <w:t xml:space="preserve">based disclosure, not a new mandatory disclosure requirement and so </w:t>
      </w:r>
      <w:r w:rsidR="004E5B91">
        <w:t>they had</w:t>
      </w:r>
      <w:r w:rsidR="004E5B91" w:rsidRPr="00F35478">
        <w:t xml:space="preserve"> retained </w:t>
      </w:r>
      <w:r w:rsidR="004E5B91">
        <w:t xml:space="preserve">it </w:t>
      </w:r>
      <w:r w:rsidR="004E5B91" w:rsidRPr="00F35478">
        <w:t xml:space="preserve">in </w:t>
      </w:r>
      <w:r w:rsidR="004E5B91">
        <w:t>that</w:t>
      </w:r>
      <w:r w:rsidR="004E5B91" w:rsidRPr="00F35478">
        <w:t xml:space="preserve"> section.</w:t>
      </w:r>
      <w:r w:rsidR="004E5B91">
        <w:t xml:space="preserve">  Paragraph </w:t>
      </w:r>
      <w:r w:rsidR="004E5B91" w:rsidRPr="00F35478">
        <w:t xml:space="preserve">4.6 </w:t>
      </w:r>
      <w:r w:rsidR="004E5B91">
        <w:t>was</w:t>
      </w:r>
      <w:r w:rsidR="004E5B91" w:rsidRPr="00F35478">
        <w:t xml:space="preserve"> a broad provision that require</w:t>
      </w:r>
      <w:r w:rsidR="004E5B91">
        <w:t>d</w:t>
      </w:r>
      <w:r w:rsidR="004E5B91" w:rsidRPr="00F35478">
        <w:t xml:space="preserve"> patent offices to extend the terms of patents that ha</w:t>
      </w:r>
      <w:r w:rsidR="004E5B91">
        <w:t>d</w:t>
      </w:r>
      <w:r w:rsidR="004E5B91" w:rsidRPr="00F35478">
        <w:t xml:space="preserve"> lost patent term</w:t>
      </w:r>
      <w:r w:rsidR="004E5B91">
        <w:t>s</w:t>
      </w:r>
      <w:r w:rsidR="004E5B91" w:rsidRPr="00F35478">
        <w:t xml:space="preserve"> due to any kind of patent office delay.  As such, being a broad provision that </w:t>
      </w:r>
      <w:proofErr w:type="gramStart"/>
      <w:r w:rsidR="004E5B91">
        <w:t>did</w:t>
      </w:r>
      <w:r w:rsidR="004E5B91" w:rsidRPr="00F35478">
        <w:t xml:space="preserve"> not clearly and directly relate</w:t>
      </w:r>
      <w:proofErr w:type="gramEnd"/>
      <w:r w:rsidR="004E5B91" w:rsidRPr="00F35478">
        <w:t xml:space="preserve"> to a mandatory disclosure requirement, it was better to fit </w:t>
      </w:r>
      <w:r w:rsidR="004E5B91">
        <w:t xml:space="preserve">it </w:t>
      </w:r>
      <w:r w:rsidR="004E5B91" w:rsidRPr="00F35478">
        <w:t xml:space="preserve">in </w:t>
      </w:r>
      <w:r w:rsidR="004E5B91">
        <w:t>that</w:t>
      </w:r>
      <w:r w:rsidR="004E5B91" w:rsidRPr="00F35478">
        <w:t xml:space="preserve"> section of the text.  There</w:t>
      </w:r>
      <w:r w:rsidR="004E5B91">
        <w:t xml:space="preserve"> were no alternatives to A</w:t>
      </w:r>
      <w:r w:rsidR="004E5B91" w:rsidRPr="00F35478">
        <w:t xml:space="preserve">rticles 5 or </w:t>
      </w:r>
      <w:proofErr w:type="gramStart"/>
      <w:r w:rsidR="004E5B91" w:rsidRPr="00F35478">
        <w:t>6</w:t>
      </w:r>
      <w:proofErr w:type="gramEnd"/>
      <w:r w:rsidR="004E5B91" w:rsidRPr="00F35478">
        <w:t xml:space="preserve">, because no mandatory disclosure </w:t>
      </w:r>
      <w:r w:rsidR="004E5B91">
        <w:t>was</w:t>
      </w:r>
      <w:r w:rsidR="004E5B91" w:rsidRPr="00F35478">
        <w:t xml:space="preserve"> required under </w:t>
      </w:r>
      <w:r w:rsidR="004E5B91">
        <w:t>those</w:t>
      </w:r>
      <w:r w:rsidR="004E5B91" w:rsidRPr="00F35478">
        <w:t xml:space="preserve">. </w:t>
      </w:r>
      <w:r w:rsidR="004E5B91">
        <w:t xml:space="preserve"> </w:t>
      </w:r>
      <w:r w:rsidR="004E5B91" w:rsidRPr="00F35478">
        <w:t xml:space="preserve">Paragraph 8.5 </w:t>
      </w:r>
      <w:proofErr w:type="gramStart"/>
      <w:r w:rsidR="004E5B91">
        <w:t>had been</w:t>
      </w:r>
      <w:r w:rsidR="004E5B91" w:rsidRPr="00F35478">
        <w:t xml:space="preserve"> added by a Member State and relate</w:t>
      </w:r>
      <w:r w:rsidR="004E5B91">
        <w:t>d to the envisioned WIPO P</w:t>
      </w:r>
      <w:r w:rsidR="004E5B91" w:rsidRPr="00F35478">
        <w:t>ortal</w:t>
      </w:r>
      <w:proofErr w:type="gramEnd"/>
      <w:r w:rsidR="004E5B91" w:rsidRPr="00F35478">
        <w:t xml:space="preserve">. </w:t>
      </w:r>
      <w:r w:rsidR="004E5B91">
        <w:t xml:space="preserve"> </w:t>
      </w:r>
      <w:r w:rsidR="004E5B91" w:rsidRPr="00F35478">
        <w:t>The</w:t>
      </w:r>
      <w:r w:rsidR="004E5B91">
        <w:t xml:space="preserve">re were </w:t>
      </w:r>
      <w:r w:rsidR="004E5B91" w:rsidRPr="00F35478">
        <w:t>a minimum number of changes</w:t>
      </w:r>
      <w:r w:rsidR="004E5B91">
        <w:t xml:space="preserve"> in the final provisions,</w:t>
      </w:r>
      <w:r w:rsidR="004E5B91" w:rsidRPr="00F35478">
        <w:t xml:space="preserve"> other than the numbering of the articles. </w:t>
      </w:r>
      <w:r w:rsidR="004E5B91">
        <w:t xml:space="preserve"> </w:t>
      </w:r>
      <w:r w:rsidR="004E5B91" w:rsidRPr="00F35478">
        <w:t xml:space="preserve">Article 9 </w:t>
      </w:r>
      <w:proofErr w:type="gramStart"/>
      <w:r w:rsidR="004E5B91" w:rsidRPr="00F35478">
        <w:t>was now titled</w:t>
      </w:r>
      <w:proofErr w:type="gramEnd"/>
      <w:r w:rsidR="004E5B91" w:rsidRPr="00F35478">
        <w:t xml:space="preserve"> </w:t>
      </w:r>
      <w:r w:rsidR="004E5B91">
        <w:t>“Preventive Measures for P</w:t>
      </w:r>
      <w:r w:rsidR="004E5B91" w:rsidRPr="00F35478">
        <w:t>rotection</w:t>
      </w:r>
      <w:r w:rsidR="004E5B91">
        <w:t>”</w:t>
      </w:r>
      <w:r w:rsidR="004E5B91" w:rsidRPr="00F35478">
        <w:t xml:space="preserve"> </w:t>
      </w:r>
      <w:r w:rsidR="004E5B91">
        <w:t>and was pri</w:t>
      </w:r>
      <w:r w:rsidR="004E5B91" w:rsidRPr="00F35478">
        <w:t xml:space="preserve">or Article 3.5.  </w:t>
      </w:r>
      <w:r w:rsidR="004E5B91">
        <w:t xml:space="preserve">She reiterated that their goal had been </w:t>
      </w:r>
      <w:r w:rsidR="004E5B91" w:rsidRPr="00F35478">
        <w:t>to streamline</w:t>
      </w:r>
      <w:r w:rsidR="004E5B91">
        <w:t xml:space="preserve"> the</w:t>
      </w:r>
      <w:r w:rsidR="004E5B91" w:rsidRPr="00F35478">
        <w:t xml:space="preserve"> text in hopes of further narrowing the gaps and maintaining the integrity of positions.  She apologized in advance for any errors and looked forward to receiving corrections and comments.  </w:t>
      </w:r>
    </w:p>
    <w:p w:rsidR="0071714D" w:rsidRDefault="0071714D" w:rsidP="0071714D">
      <w:pPr>
        <w:pStyle w:val="ListParagraph"/>
        <w:ind w:left="0"/>
      </w:pPr>
    </w:p>
    <w:p w:rsidR="0071714D" w:rsidRPr="0071714D" w:rsidRDefault="0071714D" w:rsidP="00B4705D">
      <w:pPr>
        <w:pStyle w:val="ListParagraph"/>
        <w:numPr>
          <w:ilvl w:val="0"/>
          <w:numId w:val="4"/>
        </w:numPr>
        <w:ind w:left="0" w:firstLine="0"/>
      </w:pPr>
      <w:r w:rsidRPr="0071714D">
        <w:rPr>
          <w:rFonts w:cs="Courier New"/>
        </w:rPr>
        <w:t xml:space="preserve">The Chair opened the floor for comments on the revised document, starting with general statements and then specific statements and finally discussions on omissions and errors. </w:t>
      </w:r>
    </w:p>
    <w:p w:rsidR="0071714D" w:rsidRDefault="0071714D" w:rsidP="0071714D"/>
    <w:p w:rsidR="00DB7BAC" w:rsidRPr="00DB7BAC" w:rsidRDefault="0071714D" w:rsidP="00DB7BAC">
      <w:pPr>
        <w:pStyle w:val="ListParagraph"/>
        <w:numPr>
          <w:ilvl w:val="0"/>
          <w:numId w:val="4"/>
        </w:numPr>
        <w:ind w:left="0" w:firstLine="0"/>
      </w:pPr>
      <w:r w:rsidRPr="004A6A08">
        <w:t>[Note from the Secretariat: all s</w:t>
      </w:r>
      <w:r w:rsidR="00BB149A">
        <w:t>peakers thanked the f</w:t>
      </w:r>
      <w:r>
        <w:t xml:space="preserve">acilitator, </w:t>
      </w:r>
      <w:r w:rsidR="00BB149A">
        <w:t xml:space="preserve">the </w:t>
      </w:r>
      <w:r w:rsidRPr="004A6A08">
        <w:t xml:space="preserve">Friend of the Chair </w:t>
      </w:r>
      <w:r>
        <w:t xml:space="preserve">and members of the contact groups </w:t>
      </w:r>
      <w:r w:rsidRPr="004A6A08">
        <w:t>for their work.]</w:t>
      </w:r>
      <w:r w:rsidR="00DB7BAC">
        <w:t xml:space="preserve">  </w:t>
      </w:r>
      <w:r w:rsidR="00DB7BAC" w:rsidRPr="00DB7BAC">
        <w:rPr>
          <w:rFonts w:cs="Courier New"/>
        </w:rPr>
        <w:t xml:space="preserve">The Delegation of Indonesia, speaking on behalf of the LMCs, said </w:t>
      </w:r>
      <w:r w:rsidR="00BB149A">
        <w:rPr>
          <w:rFonts w:cs="Courier New"/>
        </w:rPr>
        <w:t xml:space="preserve">that </w:t>
      </w:r>
      <w:r w:rsidR="00DB7BAC" w:rsidRPr="00DB7BAC">
        <w:rPr>
          <w:rFonts w:cs="Courier New"/>
        </w:rPr>
        <w:t>it was not an easy task to come up with Rev</w:t>
      </w:r>
      <w:r w:rsidR="00BB149A">
        <w:rPr>
          <w:rFonts w:cs="Courier New"/>
        </w:rPr>
        <w:t>.</w:t>
      </w:r>
      <w:r w:rsidR="00DB7BAC" w:rsidRPr="00DB7BAC">
        <w:rPr>
          <w:rFonts w:cs="Courier New"/>
        </w:rPr>
        <w:t xml:space="preserve"> 2 while still reflecting all the positions delivered in the discussions.  In general, Rev</w:t>
      </w:r>
      <w:r w:rsidR="00BB149A">
        <w:rPr>
          <w:rFonts w:cs="Courier New"/>
        </w:rPr>
        <w:t>.</w:t>
      </w:r>
      <w:r w:rsidR="00DB7BAC" w:rsidRPr="00DB7BAC">
        <w:rPr>
          <w:rFonts w:cs="Courier New"/>
        </w:rPr>
        <w:t xml:space="preserve"> 2 could serve as a basis for further discussion.  It would not go into details on the text itself because LMCs members might want to ask for clarifications and indicate their preferences.</w:t>
      </w:r>
      <w:r w:rsidR="00DB7BAC">
        <w:rPr>
          <w:rFonts w:cs="Courier New"/>
        </w:rPr>
        <w:t xml:space="preserve"> </w:t>
      </w:r>
      <w:r w:rsidR="00DB7BAC" w:rsidRPr="00DB7BAC">
        <w:rPr>
          <w:rFonts w:cs="Courier New"/>
        </w:rPr>
        <w:t xml:space="preserve"> It would be very good to work on the alternative preamble to make sure that the text would have a simple, straightforward preamble.  </w:t>
      </w:r>
      <w:r w:rsidR="00BB149A">
        <w:rPr>
          <w:rFonts w:cs="Courier New"/>
        </w:rPr>
        <w:t>F</w:t>
      </w:r>
      <w:r w:rsidR="00DB7BAC" w:rsidRPr="00DB7BAC">
        <w:rPr>
          <w:rFonts w:cs="Courier New"/>
        </w:rPr>
        <w:t xml:space="preserve">or consistency, “derivatives” was </w:t>
      </w:r>
      <w:r w:rsidR="00DB7BAC">
        <w:rPr>
          <w:rFonts w:cs="Courier New"/>
        </w:rPr>
        <w:t>part of</w:t>
      </w:r>
      <w:r w:rsidR="00BB149A">
        <w:rPr>
          <w:rFonts w:cs="Courier New"/>
        </w:rPr>
        <w:t xml:space="preserve"> “Other Terms</w:t>
      </w:r>
      <w:r w:rsidR="00DB7BAC" w:rsidRPr="00DB7BAC">
        <w:rPr>
          <w:rFonts w:cs="Courier New"/>
        </w:rPr>
        <w:t>”</w:t>
      </w:r>
      <w:r w:rsidR="00BB149A">
        <w:rPr>
          <w:rFonts w:cs="Courier New"/>
        </w:rPr>
        <w:t>,</w:t>
      </w:r>
      <w:r w:rsidR="00DB7BAC" w:rsidRPr="00DB7BAC">
        <w:rPr>
          <w:rFonts w:cs="Courier New"/>
        </w:rPr>
        <w:t xml:space="preserve"> </w:t>
      </w:r>
      <w:r w:rsidR="00DB7BAC">
        <w:rPr>
          <w:rFonts w:cs="Courier New"/>
        </w:rPr>
        <w:t xml:space="preserve">but it </w:t>
      </w:r>
      <w:proofErr w:type="gramStart"/>
      <w:r w:rsidR="00DB7BAC" w:rsidRPr="00DB7BAC">
        <w:rPr>
          <w:rFonts w:cs="Courier New"/>
        </w:rPr>
        <w:t>was actually used</w:t>
      </w:r>
      <w:proofErr w:type="gramEnd"/>
      <w:r w:rsidR="00DB7BAC" w:rsidRPr="00DB7BAC">
        <w:rPr>
          <w:rFonts w:cs="Courier New"/>
        </w:rPr>
        <w:t xml:space="preserve"> in the operative articles because it was inside the definition of GRs.</w:t>
      </w:r>
      <w:r w:rsidR="00DB7BAC">
        <w:rPr>
          <w:rFonts w:cs="Courier New"/>
        </w:rPr>
        <w:t xml:space="preserve"> </w:t>
      </w:r>
      <w:r w:rsidR="00DB7BAC" w:rsidRPr="00DB7BAC">
        <w:rPr>
          <w:rFonts w:cs="Courier New"/>
        </w:rPr>
        <w:t xml:space="preserve"> </w:t>
      </w:r>
      <w:r w:rsidR="00BB149A">
        <w:rPr>
          <w:rFonts w:cs="Courier New"/>
        </w:rPr>
        <w:t>I</w:t>
      </w:r>
      <w:r w:rsidR="00DB7BAC">
        <w:rPr>
          <w:rFonts w:cs="Courier New"/>
        </w:rPr>
        <w:t xml:space="preserve">n </w:t>
      </w:r>
      <w:r w:rsidR="00DB7BAC" w:rsidRPr="00DB7BAC">
        <w:rPr>
          <w:rFonts w:cs="Courier New"/>
        </w:rPr>
        <w:t>paragraphs 4.1 and 4.2, references to “Member State”</w:t>
      </w:r>
      <w:r w:rsidR="00BB149A">
        <w:rPr>
          <w:rFonts w:cs="Courier New"/>
        </w:rPr>
        <w:t xml:space="preserve"> should be together with “Party</w:t>
      </w:r>
      <w:r w:rsidR="00DB7BAC" w:rsidRPr="00DB7BAC">
        <w:rPr>
          <w:rFonts w:cs="Courier New"/>
        </w:rPr>
        <w:t>”</w:t>
      </w:r>
      <w:r w:rsidR="00BB149A">
        <w:rPr>
          <w:rFonts w:cs="Courier New"/>
        </w:rPr>
        <w:t>,</w:t>
      </w:r>
      <w:r w:rsidR="00DB7BAC" w:rsidRPr="00DB7BAC">
        <w:rPr>
          <w:rFonts w:cs="Courier New"/>
        </w:rPr>
        <w:t xml:space="preserve"> as a matter of consistency. </w:t>
      </w:r>
      <w:r w:rsidR="00DB7BAC">
        <w:rPr>
          <w:rFonts w:cs="Courier New"/>
        </w:rPr>
        <w:t xml:space="preserve"> </w:t>
      </w:r>
      <w:r w:rsidR="00DB7BAC" w:rsidRPr="00DB7BAC">
        <w:rPr>
          <w:rFonts w:cs="Courier New"/>
        </w:rPr>
        <w:t xml:space="preserve">On </w:t>
      </w:r>
      <w:r w:rsidR="00DB7BAC" w:rsidRPr="00DB7BAC">
        <w:rPr>
          <w:rFonts w:cs="Courier New"/>
        </w:rPr>
        <w:lastRenderedPageBreak/>
        <w:t>exceptions</w:t>
      </w:r>
      <w:r w:rsidR="00DB7BAC">
        <w:rPr>
          <w:rFonts w:cs="Courier New"/>
        </w:rPr>
        <w:t xml:space="preserve"> and</w:t>
      </w:r>
      <w:r w:rsidR="00DB7BAC" w:rsidRPr="00DB7BAC">
        <w:rPr>
          <w:rFonts w:cs="Courier New"/>
        </w:rPr>
        <w:t xml:space="preserve"> limitations, </w:t>
      </w:r>
      <w:r w:rsidR="00DB7BAC">
        <w:rPr>
          <w:rFonts w:cs="Courier New"/>
        </w:rPr>
        <w:t>the</w:t>
      </w:r>
      <w:r w:rsidR="00DB7BAC" w:rsidRPr="00DB7BAC">
        <w:rPr>
          <w:rFonts w:cs="Courier New"/>
        </w:rPr>
        <w:t xml:space="preserve"> original text looked simple and straightforward</w:t>
      </w:r>
      <w:r w:rsidR="00DB7BAC">
        <w:rPr>
          <w:rFonts w:cs="Courier New"/>
        </w:rPr>
        <w:t>, but i</w:t>
      </w:r>
      <w:r w:rsidR="00DB7BAC" w:rsidRPr="00DB7BAC">
        <w:rPr>
          <w:rFonts w:cs="Courier New"/>
        </w:rPr>
        <w:t>t had concerns with the alternative, however, and further work need</w:t>
      </w:r>
      <w:r w:rsidR="00DB7BAC">
        <w:rPr>
          <w:rFonts w:cs="Courier New"/>
        </w:rPr>
        <w:t>ed</w:t>
      </w:r>
      <w:r w:rsidR="00DB7BAC" w:rsidRPr="00DB7BAC">
        <w:rPr>
          <w:rFonts w:cs="Courier New"/>
        </w:rPr>
        <w:t xml:space="preserve"> to </w:t>
      </w:r>
      <w:proofErr w:type="gramStart"/>
      <w:r w:rsidR="00DB7BAC" w:rsidRPr="00DB7BAC">
        <w:rPr>
          <w:rFonts w:cs="Courier New"/>
        </w:rPr>
        <w:t>be done</w:t>
      </w:r>
      <w:proofErr w:type="gramEnd"/>
      <w:r w:rsidR="00DB7BAC" w:rsidRPr="00DB7BAC">
        <w:rPr>
          <w:rFonts w:cs="Courier New"/>
        </w:rPr>
        <w:t xml:space="preserve"> on that.   </w:t>
      </w:r>
    </w:p>
    <w:p w:rsidR="00DB7BAC" w:rsidRPr="00DB7BAC" w:rsidRDefault="00DB7BAC" w:rsidP="00DB7BAC">
      <w:pPr>
        <w:pStyle w:val="ListParagraph"/>
        <w:ind w:left="0"/>
      </w:pPr>
    </w:p>
    <w:p w:rsidR="00AE385F" w:rsidRPr="00AE385F" w:rsidRDefault="00DB7BAC" w:rsidP="00AE385F">
      <w:pPr>
        <w:pStyle w:val="ListParagraph"/>
        <w:numPr>
          <w:ilvl w:val="0"/>
          <w:numId w:val="4"/>
        </w:numPr>
        <w:ind w:left="0" w:firstLine="0"/>
      </w:pPr>
      <w:r w:rsidRPr="00DB7BAC">
        <w:rPr>
          <w:rFonts w:cs="Courier New"/>
        </w:rPr>
        <w:t>The Delegation of Indonesia,</w:t>
      </w:r>
      <w:r w:rsidR="00BB149A">
        <w:rPr>
          <w:rFonts w:cs="Courier New"/>
        </w:rPr>
        <w:t xml:space="preserve"> speaking on behalf of the Asia-</w:t>
      </w:r>
      <w:r w:rsidRPr="00DB7BAC">
        <w:rPr>
          <w:rFonts w:cs="Courier New"/>
        </w:rPr>
        <w:t>Pacific Group, said that Rev</w:t>
      </w:r>
      <w:r w:rsidR="00BB149A">
        <w:rPr>
          <w:rFonts w:cs="Courier New"/>
        </w:rPr>
        <w:t>.</w:t>
      </w:r>
      <w:r w:rsidR="0035357C">
        <w:rPr>
          <w:rFonts w:cs="Courier New"/>
        </w:rPr>
        <w:t> </w:t>
      </w:r>
      <w:r w:rsidRPr="00DB7BAC">
        <w:rPr>
          <w:rFonts w:cs="Courier New"/>
        </w:rPr>
        <w:t>2 could serve as a basis for further discussion.</w:t>
      </w:r>
    </w:p>
    <w:p w:rsidR="00AE385F" w:rsidRPr="00AE385F" w:rsidRDefault="00AE385F" w:rsidP="00AE385F">
      <w:pPr>
        <w:rPr>
          <w:rFonts w:cs="Courier New"/>
        </w:rPr>
      </w:pPr>
    </w:p>
    <w:p w:rsidR="00600E2B" w:rsidRPr="00600E2B" w:rsidRDefault="00AE385F" w:rsidP="00600E2B">
      <w:pPr>
        <w:pStyle w:val="ListParagraph"/>
        <w:numPr>
          <w:ilvl w:val="0"/>
          <w:numId w:val="4"/>
        </w:numPr>
        <w:ind w:left="0" w:firstLine="0"/>
      </w:pPr>
      <w:r w:rsidRPr="00AE385F">
        <w:rPr>
          <w:rFonts w:cs="Courier New"/>
        </w:rPr>
        <w:t>The Delegation of the EU, speaking on behalf of the EU and its Member States, said that Rev</w:t>
      </w:r>
      <w:r w:rsidR="00A63B6D">
        <w:rPr>
          <w:rFonts w:cs="Courier New"/>
        </w:rPr>
        <w:t>.</w:t>
      </w:r>
      <w:r w:rsidRPr="00AE385F">
        <w:rPr>
          <w:rFonts w:cs="Courier New"/>
        </w:rPr>
        <w:t xml:space="preserve"> 2 constituted a basis for further work at IGC 36.  </w:t>
      </w:r>
      <w:proofErr w:type="gramStart"/>
      <w:r w:rsidRPr="00AE385F">
        <w:rPr>
          <w:rFonts w:cs="Courier New"/>
        </w:rPr>
        <w:t>IGC 35 had not provided sufficient time for all issues to be discussed exhaustively and there had been no opportunity to discuss some issues at all in the right format to allow its com</w:t>
      </w:r>
      <w:r w:rsidR="00BC036E">
        <w:rPr>
          <w:rFonts w:cs="Courier New"/>
        </w:rPr>
        <w:t>ments to be taken on board, for example,</w:t>
      </w:r>
      <w:r w:rsidRPr="00AE385F">
        <w:rPr>
          <w:rFonts w:cs="Courier New"/>
        </w:rPr>
        <w:t xml:space="preserve"> on the question of subject matter, for which it would have liked more time and latitude to explore its position.</w:t>
      </w:r>
      <w:proofErr w:type="gramEnd"/>
      <w:r w:rsidRPr="00AE385F">
        <w:rPr>
          <w:rFonts w:cs="Courier New"/>
        </w:rPr>
        <w:t xml:space="preserve">  It had some substantive comments and expected those points to </w:t>
      </w:r>
      <w:proofErr w:type="gramStart"/>
      <w:r w:rsidRPr="00AE385F">
        <w:rPr>
          <w:rFonts w:cs="Courier New"/>
        </w:rPr>
        <w:t>be taken up</w:t>
      </w:r>
      <w:proofErr w:type="gramEnd"/>
      <w:r w:rsidRPr="00AE385F">
        <w:rPr>
          <w:rFonts w:cs="Courier New"/>
        </w:rPr>
        <w:t xml:space="preserve"> into Rev</w:t>
      </w:r>
      <w:r w:rsidR="00BC036E">
        <w:rPr>
          <w:rFonts w:cs="Courier New"/>
        </w:rPr>
        <w:t>.</w:t>
      </w:r>
      <w:r w:rsidR="0035357C">
        <w:rPr>
          <w:rFonts w:cs="Courier New"/>
        </w:rPr>
        <w:t> </w:t>
      </w:r>
      <w:r w:rsidRPr="00AE385F">
        <w:rPr>
          <w:rFonts w:cs="Courier New"/>
        </w:rPr>
        <w:t xml:space="preserve">1 at IGC 36 in due course. </w:t>
      </w:r>
      <w:r>
        <w:rPr>
          <w:rFonts w:cs="Courier New"/>
        </w:rPr>
        <w:t xml:space="preserve"> </w:t>
      </w:r>
      <w:r w:rsidRPr="00AE385F">
        <w:rPr>
          <w:rFonts w:cs="Courier New"/>
        </w:rPr>
        <w:t>It wished to provide comments on subject matter, as it had not had the opportun</w:t>
      </w:r>
      <w:r w:rsidR="00BC036E">
        <w:rPr>
          <w:rFonts w:cs="Courier New"/>
        </w:rPr>
        <w:t xml:space="preserve">ity to do so either in plenary </w:t>
      </w:r>
      <w:r w:rsidRPr="00AE385F">
        <w:rPr>
          <w:rFonts w:cs="Courier New"/>
        </w:rPr>
        <w:t>or in informals.  Regarding Article 3, there previously was an alternative text</w:t>
      </w:r>
      <w:r>
        <w:rPr>
          <w:rFonts w:cs="Courier New"/>
        </w:rPr>
        <w:t>, which</w:t>
      </w:r>
      <w:r w:rsidRPr="00AE385F">
        <w:rPr>
          <w:rFonts w:cs="Courier New"/>
        </w:rPr>
        <w:t xml:space="preserve"> had been moved to </w:t>
      </w:r>
      <w:r w:rsidR="00BC036E">
        <w:rPr>
          <w:rFonts w:cs="Courier New"/>
        </w:rPr>
        <w:t>the second part of the document</w:t>
      </w:r>
      <w:r w:rsidRPr="00AE385F">
        <w:rPr>
          <w:rFonts w:cs="Courier New"/>
        </w:rPr>
        <w:t xml:space="preserve"> in the alternatives to Articles 2 to </w:t>
      </w:r>
      <w:proofErr w:type="gramStart"/>
      <w:r w:rsidRPr="00AE385F">
        <w:rPr>
          <w:rFonts w:cs="Courier New"/>
        </w:rPr>
        <w:t>6</w:t>
      </w:r>
      <w:proofErr w:type="gramEnd"/>
      <w:r w:rsidR="00BC036E">
        <w:rPr>
          <w:rFonts w:cs="Courier New"/>
        </w:rPr>
        <w:t>,</w:t>
      </w:r>
      <w:r w:rsidRPr="00AE385F">
        <w:rPr>
          <w:rFonts w:cs="Courier New"/>
        </w:rPr>
        <w:t xml:space="preserve"> because it was probably perceived that that text did not relate to the disclosure option, but to the alterna</w:t>
      </w:r>
      <w:r w:rsidR="00BC036E">
        <w:rPr>
          <w:rFonts w:cs="Courier New"/>
        </w:rPr>
        <w:t>tive approach of “no disclosure</w:t>
      </w:r>
      <w:r w:rsidRPr="00AE385F">
        <w:rPr>
          <w:rFonts w:cs="Courier New"/>
        </w:rPr>
        <w:t>”</w:t>
      </w:r>
      <w:r w:rsidR="00BC036E">
        <w:rPr>
          <w:rFonts w:cs="Courier New"/>
        </w:rPr>
        <w:t>.</w:t>
      </w:r>
      <w:r w:rsidRPr="00AE385F">
        <w:rPr>
          <w:rFonts w:cs="Courier New"/>
        </w:rPr>
        <w:t xml:space="preserve"> </w:t>
      </w:r>
      <w:r>
        <w:rPr>
          <w:rFonts w:cs="Courier New"/>
        </w:rPr>
        <w:t xml:space="preserve"> </w:t>
      </w:r>
      <w:r w:rsidRPr="00AE385F">
        <w:rPr>
          <w:rFonts w:cs="Courier New"/>
        </w:rPr>
        <w:t xml:space="preserve">That interpretation was problematic, and it did not share that assessment. </w:t>
      </w:r>
      <w:r>
        <w:rPr>
          <w:rFonts w:cs="Courier New"/>
        </w:rPr>
        <w:t xml:space="preserve"> </w:t>
      </w:r>
      <w:r w:rsidRPr="00AE385F">
        <w:rPr>
          <w:rFonts w:cs="Courier New"/>
        </w:rPr>
        <w:t>That alternative option should remain in the first part of the document, under Article 3 ALT.  As to the preamble, it support</w:t>
      </w:r>
      <w:r w:rsidR="00600E2B">
        <w:rPr>
          <w:rFonts w:cs="Courier New"/>
        </w:rPr>
        <w:t>ed</w:t>
      </w:r>
      <w:r w:rsidRPr="00AE385F">
        <w:rPr>
          <w:rFonts w:cs="Courier New"/>
        </w:rPr>
        <w:t xml:space="preserve"> the idea of a more streamlined, shortened</w:t>
      </w:r>
      <w:r w:rsidR="00600E2B">
        <w:rPr>
          <w:rFonts w:cs="Courier New"/>
        </w:rPr>
        <w:t xml:space="preserve">, condensed, and coherent preamble, </w:t>
      </w:r>
      <w:r w:rsidRPr="00AE385F">
        <w:rPr>
          <w:rFonts w:cs="Courier New"/>
        </w:rPr>
        <w:t>as in the alternative preamble.  It would be happy to make more substantive</w:t>
      </w:r>
      <w:r w:rsidR="00600E2B">
        <w:rPr>
          <w:rFonts w:cs="Courier New"/>
        </w:rPr>
        <w:t xml:space="preserve"> and detailed comments later on</w:t>
      </w:r>
      <w:r w:rsidRPr="00AE385F">
        <w:rPr>
          <w:rFonts w:cs="Courier New"/>
        </w:rPr>
        <w:t xml:space="preserve">.  As to Article 1, it preferred ALT 1 in the definition of “invention directly based on”.  It preferred “invention” and not “subject matter” in the alternative.  There were </w:t>
      </w:r>
      <w:r w:rsidR="00BC036E">
        <w:rPr>
          <w:rFonts w:cs="Courier New"/>
        </w:rPr>
        <w:t>two definitions in “Other Terms</w:t>
      </w:r>
      <w:r w:rsidRPr="00AE385F">
        <w:rPr>
          <w:rFonts w:cs="Courier New"/>
        </w:rPr>
        <w:t>”</w:t>
      </w:r>
      <w:r w:rsidR="00BC036E">
        <w:rPr>
          <w:rFonts w:cs="Courier New"/>
        </w:rPr>
        <w:t>,</w:t>
      </w:r>
      <w:r w:rsidRPr="00AE385F">
        <w:rPr>
          <w:rFonts w:cs="Courier New"/>
        </w:rPr>
        <w:t xml:space="preserve"> namely “p</w:t>
      </w:r>
      <w:r w:rsidR="00BC036E">
        <w:rPr>
          <w:rFonts w:cs="Courier New"/>
        </w:rPr>
        <w:t>hysical access” and “conditions</w:t>
      </w:r>
      <w:r w:rsidRPr="00AE385F">
        <w:rPr>
          <w:rFonts w:cs="Courier New"/>
        </w:rPr>
        <w:t>”</w:t>
      </w:r>
      <w:r w:rsidR="00BC036E">
        <w:rPr>
          <w:rFonts w:cs="Courier New"/>
        </w:rPr>
        <w:t>,</w:t>
      </w:r>
      <w:r w:rsidRPr="00AE385F">
        <w:rPr>
          <w:rFonts w:cs="Courier New"/>
        </w:rPr>
        <w:t xml:space="preserve"> which were closely related to the understanding of definitions in the operative parts because “physical access” was closely linked to the definition of “invention directly based on” and “conditions” were related to defini</w:t>
      </w:r>
      <w:r w:rsidR="00BC036E">
        <w:rPr>
          <w:rFonts w:cs="Courier New"/>
        </w:rPr>
        <w:t>tion of “country of origin</w:t>
      </w:r>
      <w:r w:rsidRPr="00AE385F">
        <w:rPr>
          <w:rFonts w:cs="Courier New"/>
        </w:rPr>
        <w:t>”</w:t>
      </w:r>
      <w:r w:rsidR="00BC036E">
        <w:rPr>
          <w:rFonts w:cs="Courier New"/>
        </w:rPr>
        <w:t>.</w:t>
      </w:r>
      <w:r w:rsidRPr="00AE385F">
        <w:rPr>
          <w:rFonts w:cs="Courier New"/>
        </w:rPr>
        <w:t xml:space="preserve">  It preferred those definitions to </w:t>
      </w:r>
      <w:proofErr w:type="gramStart"/>
      <w:r w:rsidR="00600E2B">
        <w:rPr>
          <w:rFonts w:cs="Courier New"/>
        </w:rPr>
        <w:t>be considered</w:t>
      </w:r>
      <w:proofErr w:type="gramEnd"/>
      <w:r w:rsidRPr="00AE385F">
        <w:rPr>
          <w:rFonts w:cs="Courier New"/>
        </w:rPr>
        <w:t xml:space="preserve"> relevant for the operative parts of the text. </w:t>
      </w:r>
      <w:r w:rsidR="00600E2B">
        <w:rPr>
          <w:rFonts w:cs="Courier New"/>
        </w:rPr>
        <w:t xml:space="preserve"> </w:t>
      </w:r>
      <w:r w:rsidR="00BC036E">
        <w:rPr>
          <w:rFonts w:cs="Courier New"/>
        </w:rPr>
        <w:t>Regarding</w:t>
      </w:r>
      <w:r w:rsidRPr="00AE385F">
        <w:rPr>
          <w:rFonts w:cs="Courier New"/>
        </w:rPr>
        <w:t xml:space="preserve"> Article 4, it was very pleased to support ALT paragraph 4.2 because it had requested that its position, as expressed in the informals, </w:t>
      </w:r>
      <w:proofErr w:type="gramStart"/>
      <w:r w:rsidRPr="00AE385F">
        <w:rPr>
          <w:rFonts w:cs="Courier New"/>
        </w:rPr>
        <w:t>should be more accurately reflected</w:t>
      </w:r>
      <w:proofErr w:type="gramEnd"/>
      <w:r w:rsidRPr="00AE385F">
        <w:rPr>
          <w:rFonts w:cs="Courier New"/>
        </w:rPr>
        <w:t xml:space="preserve"> in the text. </w:t>
      </w:r>
      <w:r w:rsidR="00600E2B">
        <w:rPr>
          <w:rFonts w:cs="Courier New"/>
        </w:rPr>
        <w:t xml:space="preserve"> </w:t>
      </w:r>
      <w:r w:rsidRPr="00AE385F">
        <w:rPr>
          <w:rFonts w:cs="Courier New"/>
        </w:rPr>
        <w:t>In paragraph 4.5</w:t>
      </w:r>
      <w:r w:rsidR="00BC036E">
        <w:rPr>
          <w:rFonts w:cs="Courier New"/>
        </w:rPr>
        <w:t>, its position had not changed and</w:t>
      </w:r>
      <w:r w:rsidRPr="00AE385F">
        <w:rPr>
          <w:rFonts w:cs="Courier New"/>
        </w:rPr>
        <w:t xml:space="preserve"> it preferred the bracketed parts. </w:t>
      </w:r>
      <w:r w:rsidR="00600E2B">
        <w:rPr>
          <w:rFonts w:cs="Courier New"/>
        </w:rPr>
        <w:t xml:space="preserve"> </w:t>
      </w:r>
      <w:r w:rsidRPr="00AE385F">
        <w:rPr>
          <w:rFonts w:cs="Courier New"/>
        </w:rPr>
        <w:t xml:space="preserve">It could support paragraph 4.3 as well. </w:t>
      </w:r>
      <w:r w:rsidR="00600E2B">
        <w:rPr>
          <w:rFonts w:cs="Courier New"/>
        </w:rPr>
        <w:t xml:space="preserve"> </w:t>
      </w:r>
      <w:r w:rsidRPr="00AE385F">
        <w:rPr>
          <w:rFonts w:cs="Courier New"/>
        </w:rPr>
        <w:t xml:space="preserve">As regards paragraph 4.4, the paragraph that appeared right above </w:t>
      </w:r>
      <w:proofErr w:type="gramStart"/>
      <w:r w:rsidRPr="00AE385F">
        <w:rPr>
          <w:rFonts w:cs="Courier New"/>
        </w:rPr>
        <w:t>had been delete</w:t>
      </w:r>
      <w:r w:rsidR="00BC036E">
        <w:rPr>
          <w:rFonts w:cs="Courier New"/>
        </w:rPr>
        <w:t>d</w:t>
      </w:r>
      <w:proofErr w:type="gramEnd"/>
      <w:r w:rsidR="00BC036E">
        <w:rPr>
          <w:rFonts w:cs="Courier New"/>
        </w:rPr>
        <w:t xml:space="preserve"> because, as explained by the facilitator and the Friend of the Chair</w:t>
      </w:r>
      <w:r w:rsidRPr="00AE385F">
        <w:rPr>
          <w:rFonts w:cs="Courier New"/>
        </w:rPr>
        <w:t>, paragraph 4.4 was perhaps a more flexible, more open formulation relating to how the received information should be handle</w:t>
      </w:r>
      <w:r w:rsidR="00600E2B">
        <w:rPr>
          <w:rFonts w:cs="Courier New"/>
        </w:rPr>
        <w:t xml:space="preserve">d by the IP or patent office.  </w:t>
      </w:r>
      <w:r w:rsidRPr="00AE385F">
        <w:rPr>
          <w:rFonts w:cs="Courier New"/>
        </w:rPr>
        <w:t xml:space="preserve">It welcomed that Article 3.5 </w:t>
      </w:r>
      <w:proofErr w:type="gramStart"/>
      <w:r w:rsidRPr="00AE385F">
        <w:rPr>
          <w:rFonts w:cs="Courier New"/>
        </w:rPr>
        <w:t>had been deleted</w:t>
      </w:r>
      <w:proofErr w:type="gramEnd"/>
      <w:r w:rsidRPr="00AE385F">
        <w:rPr>
          <w:rFonts w:cs="Courier New"/>
        </w:rPr>
        <w:t xml:space="preserve"> from the text.  It supported that idea very much.  As regards exceptions and limitations, it preferred ALT paragraph 5.1.</w:t>
      </w:r>
      <w:r w:rsidR="00BC036E">
        <w:rPr>
          <w:rFonts w:cs="Courier New"/>
        </w:rPr>
        <w:t xml:space="preserve"> </w:t>
      </w:r>
      <w:r w:rsidRPr="00AE385F">
        <w:rPr>
          <w:rFonts w:cs="Courier New"/>
        </w:rPr>
        <w:t xml:space="preserve"> On sanctions and remedies, it had some difficulty following what had </w:t>
      </w:r>
      <w:r w:rsidR="00BC036E" w:rsidRPr="00AE385F">
        <w:rPr>
          <w:rFonts w:cs="Courier New"/>
        </w:rPr>
        <w:t>exa</w:t>
      </w:r>
      <w:r w:rsidR="00BC036E">
        <w:rPr>
          <w:rFonts w:cs="Courier New"/>
        </w:rPr>
        <w:t>ctly</w:t>
      </w:r>
      <w:r w:rsidR="00BC036E" w:rsidRPr="00AE385F">
        <w:rPr>
          <w:rFonts w:cs="Courier New"/>
        </w:rPr>
        <w:t xml:space="preserve"> </w:t>
      </w:r>
      <w:r w:rsidRPr="00AE385F">
        <w:rPr>
          <w:rFonts w:cs="Courier New"/>
        </w:rPr>
        <w:t>happened</w:t>
      </w:r>
      <w:r w:rsidR="00600E2B">
        <w:rPr>
          <w:rFonts w:cs="Courier New"/>
        </w:rPr>
        <w:t xml:space="preserve">: </w:t>
      </w:r>
      <w:r w:rsidR="00BC036E">
        <w:rPr>
          <w:rFonts w:cs="Courier New"/>
        </w:rPr>
        <w:t xml:space="preserve"> </w:t>
      </w:r>
      <w:r w:rsidRPr="00AE385F">
        <w:rPr>
          <w:rFonts w:cs="Courier New"/>
        </w:rPr>
        <w:t xml:space="preserve">there should be an alternative capturing “no revocation” and “no list.” </w:t>
      </w:r>
      <w:r w:rsidR="00600E2B">
        <w:rPr>
          <w:rFonts w:cs="Courier New"/>
        </w:rPr>
        <w:t xml:space="preserve"> </w:t>
      </w:r>
    </w:p>
    <w:p w:rsidR="00600E2B" w:rsidRPr="00600E2B" w:rsidRDefault="00600E2B" w:rsidP="00600E2B">
      <w:pPr>
        <w:pStyle w:val="ListParagraph"/>
        <w:ind w:left="0"/>
      </w:pPr>
    </w:p>
    <w:p w:rsidR="00CC0F78" w:rsidRPr="00CC0F78" w:rsidRDefault="00AE385F" w:rsidP="00CC0F78">
      <w:pPr>
        <w:pStyle w:val="ListParagraph"/>
        <w:numPr>
          <w:ilvl w:val="0"/>
          <w:numId w:val="4"/>
        </w:numPr>
        <w:ind w:left="0" w:firstLine="0"/>
      </w:pPr>
      <w:r w:rsidRPr="00600E2B">
        <w:rPr>
          <w:rFonts w:cs="Courier New"/>
        </w:rPr>
        <w:t>The Delegation of Morocco, speaking on behalf of the African Group, said that Rev</w:t>
      </w:r>
      <w:r w:rsidR="00B754F0">
        <w:rPr>
          <w:rFonts w:cs="Courier New"/>
        </w:rPr>
        <w:t>.</w:t>
      </w:r>
      <w:r w:rsidRPr="00600E2B">
        <w:rPr>
          <w:rFonts w:cs="Courier New"/>
        </w:rPr>
        <w:t xml:space="preserve"> 2 could be a good basis on which to evolve and make progress towards the next negotiations, given that it included all of the initial texts. </w:t>
      </w:r>
      <w:r w:rsidR="00600E2B">
        <w:rPr>
          <w:rFonts w:cs="Courier New"/>
        </w:rPr>
        <w:t xml:space="preserve"> </w:t>
      </w:r>
      <w:r w:rsidRPr="00600E2B">
        <w:rPr>
          <w:rFonts w:cs="Courier New"/>
        </w:rPr>
        <w:t>It would be able to present its opinions at the opportune time concerning major legal issues.</w:t>
      </w:r>
    </w:p>
    <w:p w:rsidR="00CC0F78" w:rsidRPr="00CC0F78" w:rsidRDefault="00CC0F78" w:rsidP="00CC0F78">
      <w:pPr>
        <w:rPr>
          <w:rFonts w:cs="Courier New"/>
        </w:rPr>
      </w:pPr>
    </w:p>
    <w:p w:rsidR="00CC0F78" w:rsidRPr="00CC0F78" w:rsidRDefault="00CC0F78" w:rsidP="00CC0F78">
      <w:pPr>
        <w:pStyle w:val="ListParagraph"/>
        <w:numPr>
          <w:ilvl w:val="0"/>
          <w:numId w:val="4"/>
        </w:numPr>
        <w:ind w:left="0" w:firstLine="0"/>
      </w:pPr>
      <w:r w:rsidRPr="00CC0F78">
        <w:rPr>
          <w:rFonts w:cs="Courier New"/>
        </w:rPr>
        <w:t xml:space="preserve">The Delegation of Ecuador, speaking on behalf of GRULAC, said </w:t>
      </w:r>
      <w:r w:rsidR="00B754F0">
        <w:rPr>
          <w:rFonts w:cs="Courier New"/>
        </w:rPr>
        <w:t xml:space="preserve">that </w:t>
      </w:r>
      <w:r w:rsidRPr="00CC0F78">
        <w:rPr>
          <w:rFonts w:cs="Courier New"/>
        </w:rPr>
        <w:t>Rev</w:t>
      </w:r>
      <w:r w:rsidR="00B754F0">
        <w:rPr>
          <w:rFonts w:cs="Courier New"/>
        </w:rPr>
        <w:t>.</w:t>
      </w:r>
      <w:r w:rsidRPr="00CC0F78">
        <w:rPr>
          <w:rFonts w:cs="Courier New"/>
        </w:rPr>
        <w:t xml:space="preserve"> 2 took into account the concerns of the different groups and was a good basis to continue the future discussions concerning specific topics. </w:t>
      </w:r>
      <w:r>
        <w:rPr>
          <w:rFonts w:cs="Courier New"/>
        </w:rPr>
        <w:t xml:space="preserve"> </w:t>
      </w:r>
      <w:r w:rsidRPr="00CC0F78">
        <w:rPr>
          <w:rFonts w:cs="Courier New"/>
        </w:rPr>
        <w:t xml:space="preserve">The term “derivative” should not be included in the definitions but </w:t>
      </w:r>
      <w:proofErr w:type="gramStart"/>
      <w:r w:rsidRPr="00CC0F78">
        <w:rPr>
          <w:rFonts w:cs="Courier New"/>
        </w:rPr>
        <w:t>should be used</w:t>
      </w:r>
      <w:proofErr w:type="gramEnd"/>
      <w:r w:rsidRPr="00CC0F78">
        <w:rPr>
          <w:rFonts w:cs="Courier New"/>
        </w:rPr>
        <w:t xml:space="preserve"> within the operational text. </w:t>
      </w:r>
      <w:r>
        <w:rPr>
          <w:rFonts w:cs="Courier New"/>
        </w:rPr>
        <w:t xml:space="preserve"> </w:t>
      </w:r>
      <w:r w:rsidRPr="00CC0F78">
        <w:rPr>
          <w:rFonts w:cs="Courier New"/>
        </w:rPr>
        <w:t>It wished to make efforts on the discussions on origin and source.</w:t>
      </w:r>
    </w:p>
    <w:p w:rsidR="00CC0F78" w:rsidRPr="00CC0F78" w:rsidRDefault="00CC0F78" w:rsidP="00CC0F78">
      <w:pPr>
        <w:rPr>
          <w:rFonts w:cs="Courier New"/>
        </w:rPr>
      </w:pPr>
    </w:p>
    <w:p w:rsidR="000B72B5" w:rsidRPr="000B72B5" w:rsidRDefault="00CC0F78" w:rsidP="000B72B5">
      <w:pPr>
        <w:pStyle w:val="ListParagraph"/>
        <w:numPr>
          <w:ilvl w:val="0"/>
          <w:numId w:val="4"/>
        </w:numPr>
        <w:ind w:left="0" w:firstLine="0"/>
      </w:pPr>
      <w:r w:rsidRPr="00CC0F78">
        <w:rPr>
          <w:rFonts w:cs="Courier New"/>
        </w:rPr>
        <w:t xml:space="preserve">The Delegation of Lithuania, speaking on behalf of </w:t>
      </w:r>
      <w:r w:rsidR="00B754F0">
        <w:rPr>
          <w:rFonts w:cs="Courier New"/>
        </w:rPr>
        <w:t xml:space="preserve">the </w:t>
      </w:r>
      <w:r w:rsidRPr="00CC0F78">
        <w:rPr>
          <w:rFonts w:cs="Courier New"/>
        </w:rPr>
        <w:t>CEBS</w:t>
      </w:r>
      <w:r w:rsidR="00B754F0">
        <w:rPr>
          <w:rFonts w:cs="Courier New"/>
        </w:rPr>
        <w:t xml:space="preserve"> Group</w:t>
      </w:r>
      <w:r w:rsidRPr="00CC0F78">
        <w:rPr>
          <w:rFonts w:cs="Courier New"/>
        </w:rPr>
        <w:t>, agreed to have Rev</w:t>
      </w:r>
      <w:r w:rsidR="00B754F0">
        <w:rPr>
          <w:rFonts w:cs="Courier New"/>
        </w:rPr>
        <w:t>.</w:t>
      </w:r>
      <w:r w:rsidR="008D5BE9">
        <w:rPr>
          <w:rFonts w:cs="Courier New"/>
        </w:rPr>
        <w:t> </w:t>
      </w:r>
      <w:r w:rsidRPr="00CC0F78">
        <w:rPr>
          <w:rFonts w:cs="Courier New"/>
        </w:rPr>
        <w:t xml:space="preserve">2 as a basis for the next IGC, however, mistakes and omissions </w:t>
      </w:r>
      <w:proofErr w:type="gramStart"/>
      <w:r w:rsidRPr="00CC0F78">
        <w:rPr>
          <w:rFonts w:cs="Courier New"/>
        </w:rPr>
        <w:t>should be eliminated</w:t>
      </w:r>
      <w:proofErr w:type="gramEnd"/>
      <w:r w:rsidRPr="00CC0F78">
        <w:rPr>
          <w:rFonts w:cs="Courier New"/>
        </w:rPr>
        <w:t xml:space="preserve"> beforehand. </w:t>
      </w:r>
      <w:r>
        <w:rPr>
          <w:rFonts w:cs="Courier New"/>
        </w:rPr>
        <w:t xml:space="preserve"> </w:t>
      </w:r>
      <w:r w:rsidRPr="00CC0F78">
        <w:rPr>
          <w:rFonts w:cs="Courier New"/>
        </w:rPr>
        <w:t>The main lines of its position remain unchanged:</w:t>
      </w:r>
      <w:r w:rsidR="00B754F0">
        <w:rPr>
          <w:rFonts w:cs="Courier New"/>
        </w:rPr>
        <w:t xml:space="preserve"> </w:t>
      </w:r>
      <w:r w:rsidRPr="00CC0F78">
        <w:rPr>
          <w:rFonts w:cs="Courier New"/>
        </w:rPr>
        <w:t xml:space="preserve"> the subject matter of the instrument had to </w:t>
      </w:r>
      <w:proofErr w:type="gramStart"/>
      <w:r w:rsidRPr="00CC0F78">
        <w:rPr>
          <w:rFonts w:cs="Courier New"/>
        </w:rPr>
        <w:t>be focused</w:t>
      </w:r>
      <w:proofErr w:type="gramEnd"/>
      <w:r w:rsidRPr="00CC0F78">
        <w:rPr>
          <w:rFonts w:cs="Courier New"/>
        </w:rPr>
        <w:t xml:space="preserve"> on the patent system but not on GRs </w:t>
      </w:r>
      <w:r w:rsidRPr="00CC0F78">
        <w:rPr>
          <w:rFonts w:cs="Courier New"/>
          <w:i/>
        </w:rPr>
        <w:t>per se</w:t>
      </w:r>
      <w:r w:rsidRPr="00CC0F78">
        <w:rPr>
          <w:rFonts w:cs="Courier New"/>
        </w:rPr>
        <w:t xml:space="preserve">. </w:t>
      </w:r>
      <w:r>
        <w:rPr>
          <w:rFonts w:cs="Courier New"/>
        </w:rPr>
        <w:t xml:space="preserve"> </w:t>
      </w:r>
      <w:r w:rsidRPr="00CC0F78">
        <w:rPr>
          <w:rFonts w:cs="Courier New"/>
        </w:rPr>
        <w:t>The trigger of disclosure should be based on the concept of inventions that were “directly based on” GRs</w:t>
      </w:r>
      <w:r>
        <w:rPr>
          <w:rFonts w:cs="Courier New"/>
        </w:rPr>
        <w:t xml:space="preserve">.  </w:t>
      </w:r>
      <w:r>
        <w:rPr>
          <w:rFonts w:cs="Courier New"/>
        </w:rPr>
        <w:lastRenderedPageBreak/>
        <w:t>S</w:t>
      </w:r>
      <w:r w:rsidRPr="00CC0F78">
        <w:rPr>
          <w:rFonts w:cs="Courier New"/>
        </w:rPr>
        <w:t xml:space="preserve">anctions should not encompass an option for patent revocation. </w:t>
      </w:r>
      <w:r>
        <w:rPr>
          <w:rFonts w:cs="Courier New"/>
        </w:rPr>
        <w:t xml:space="preserve"> </w:t>
      </w:r>
      <w:r w:rsidRPr="00CC0F78">
        <w:rPr>
          <w:rFonts w:cs="Courier New"/>
        </w:rPr>
        <w:t xml:space="preserve">It did not support the inclusion of derivatives into the definition of GRs. </w:t>
      </w:r>
      <w:r>
        <w:rPr>
          <w:rFonts w:cs="Courier New"/>
        </w:rPr>
        <w:t xml:space="preserve"> </w:t>
      </w:r>
      <w:r w:rsidRPr="00CC0F78">
        <w:rPr>
          <w:rFonts w:cs="Courier New"/>
        </w:rPr>
        <w:t xml:space="preserve">The provision containing substantive patent </w:t>
      </w:r>
      <w:proofErr w:type="gramStart"/>
      <w:r w:rsidRPr="00CC0F78">
        <w:rPr>
          <w:rFonts w:cs="Courier New"/>
        </w:rPr>
        <w:t>law still</w:t>
      </w:r>
      <w:proofErr w:type="gramEnd"/>
      <w:r w:rsidRPr="00CC0F78">
        <w:rPr>
          <w:rFonts w:cs="Courier New"/>
        </w:rPr>
        <w:t xml:space="preserve"> remained in the text, in Article 9, and it had difficulties with its inclusion.  It would thoroughly consider the text in capitals and looked forward to dis</w:t>
      </w:r>
      <w:r w:rsidR="008D5BE9">
        <w:rPr>
          <w:rFonts w:cs="Courier New"/>
        </w:rPr>
        <w:t>cussing it in detail at IGC 36.</w:t>
      </w:r>
    </w:p>
    <w:p w:rsidR="000B72B5" w:rsidRPr="000B72B5" w:rsidRDefault="000B72B5" w:rsidP="000B72B5">
      <w:pPr>
        <w:rPr>
          <w:rFonts w:cs="Courier New"/>
        </w:rPr>
      </w:pPr>
    </w:p>
    <w:p w:rsidR="0039613E" w:rsidRPr="0039613E" w:rsidRDefault="000B72B5" w:rsidP="0039613E">
      <w:pPr>
        <w:pStyle w:val="ListParagraph"/>
        <w:numPr>
          <w:ilvl w:val="0"/>
          <w:numId w:val="4"/>
        </w:numPr>
        <w:ind w:left="0" w:firstLine="0"/>
      </w:pPr>
      <w:r w:rsidRPr="00DA6853">
        <w:rPr>
          <w:rFonts w:cs="Courier New"/>
        </w:rPr>
        <w:t xml:space="preserve">The Delegation of Switzerland </w:t>
      </w:r>
      <w:r w:rsidR="00DA6853" w:rsidRPr="00DA6853">
        <w:rPr>
          <w:rFonts w:cs="Courier New"/>
        </w:rPr>
        <w:t>appreciated the efforts of the facilitator and the Friend of the Chair</w:t>
      </w:r>
      <w:r w:rsidRPr="00DA6853">
        <w:rPr>
          <w:rFonts w:cs="Courier New"/>
        </w:rPr>
        <w:t xml:space="preserve"> to bring more clarity in Article 1 around the terms currently used in the operative provisions and other terms, which might be relevant in the context of the instrument.  At the same time, it was increasingly concerned with the section.  </w:t>
      </w:r>
      <w:r w:rsidR="00DA6853" w:rsidRPr="00DA6853">
        <w:rPr>
          <w:rFonts w:cs="Courier New"/>
        </w:rPr>
        <w:t>I</w:t>
      </w:r>
      <w:r w:rsidRPr="00DA6853">
        <w:rPr>
          <w:rFonts w:cs="Courier New"/>
        </w:rPr>
        <w:t xml:space="preserve">t was not clear for which terms the definition might be useful.  Definitions usually had far-reaching implications and </w:t>
      </w:r>
      <w:r w:rsidR="00DA6853" w:rsidRPr="00DA6853">
        <w:rPr>
          <w:rFonts w:cs="Courier New"/>
        </w:rPr>
        <w:t>they</w:t>
      </w:r>
      <w:r w:rsidRPr="00DA6853">
        <w:rPr>
          <w:rFonts w:cs="Courier New"/>
        </w:rPr>
        <w:t xml:space="preserve"> should only </w:t>
      </w:r>
      <w:r w:rsidR="00DA6853" w:rsidRPr="00DA6853">
        <w:rPr>
          <w:rFonts w:cs="Courier New"/>
        </w:rPr>
        <w:t xml:space="preserve">be </w:t>
      </w:r>
      <w:r w:rsidR="007F6CCA" w:rsidRPr="00DA6853">
        <w:rPr>
          <w:rFonts w:cs="Courier New"/>
        </w:rPr>
        <w:t>decided</w:t>
      </w:r>
      <w:r w:rsidRPr="00DA6853">
        <w:rPr>
          <w:rFonts w:cs="Courier New"/>
        </w:rPr>
        <w:t xml:space="preserve"> on once further progress on operative provisions </w:t>
      </w:r>
      <w:proofErr w:type="gramStart"/>
      <w:r w:rsidRPr="00DA6853">
        <w:rPr>
          <w:rFonts w:cs="Courier New"/>
        </w:rPr>
        <w:t>had been made</w:t>
      </w:r>
      <w:proofErr w:type="gramEnd"/>
      <w:r w:rsidRPr="00DA6853">
        <w:rPr>
          <w:rFonts w:cs="Courier New"/>
        </w:rPr>
        <w:t xml:space="preserve">.  Otherwise, one could run the risk of defining terms, which </w:t>
      </w:r>
      <w:proofErr w:type="gramStart"/>
      <w:r w:rsidRPr="00DA6853">
        <w:rPr>
          <w:rFonts w:cs="Courier New"/>
        </w:rPr>
        <w:t>were not used</w:t>
      </w:r>
      <w:proofErr w:type="gramEnd"/>
      <w:r w:rsidRPr="00DA6853">
        <w:rPr>
          <w:rFonts w:cs="Courier New"/>
        </w:rPr>
        <w:t xml:space="preserve"> in the finally adopted international instrument, as was the case, for instance, of the Nagoya Protocol.  It was not in a position to support any changes to existing</w:t>
      </w:r>
      <w:r w:rsidRPr="000B72B5">
        <w:rPr>
          <w:rFonts w:cs="Courier New"/>
        </w:rPr>
        <w:t xml:space="preserve"> definitions of other international agreements to which it was a party.  That would not only add legal uncertainty in the international leg</w:t>
      </w:r>
      <w:r w:rsidR="00DA6853">
        <w:rPr>
          <w:rFonts w:cs="Courier New"/>
        </w:rPr>
        <w:t xml:space="preserve">al system related to GRs and TK associated with </w:t>
      </w:r>
      <w:r w:rsidRPr="000B72B5">
        <w:rPr>
          <w:rFonts w:cs="Courier New"/>
        </w:rPr>
        <w:t xml:space="preserve">GRs but it would also strongly interfere </w:t>
      </w:r>
      <w:r w:rsidR="0039613E">
        <w:rPr>
          <w:rFonts w:cs="Courier New"/>
        </w:rPr>
        <w:t xml:space="preserve">with national regulations </w:t>
      </w:r>
      <w:r w:rsidRPr="000B72B5">
        <w:rPr>
          <w:rFonts w:cs="Courier New"/>
        </w:rPr>
        <w:t xml:space="preserve">in place in Switzerland and in other countries </w:t>
      </w:r>
      <w:r w:rsidR="0039613E">
        <w:rPr>
          <w:rFonts w:cs="Courier New"/>
        </w:rPr>
        <w:t xml:space="preserve">that were </w:t>
      </w:r>
      <w:r w:rsidRPr="000B72B5">
        <w:rPr>
          <w:rFonts w:cs="Courier New"/>
        </w:rPr>
        <w:t xml:space="preserve">consistent with international agreements. </w:t>
      </w:r>
      <w:r w:rsidR="00DA6853">
        <w:rPr>
          <w:rFonts w:cs="Courier New"/>
        </w:rPr>
        <w:t xml:space="preserve"> </w:t>
      </w:r>
      <w:r w:rsidR="0039613E">
        <w:rPr>
          <w:rFonts w:cs="Courier New"/>
        </w:rPr>
        <w:t>I</w:t>
      </w:r>
      <w:r w:rsidRPr="000B72B5">
        <w:rPr>
          <w:rFonts w:cs="Courier New"/>
        </w:rPr>
        <w:t>t requested</w:t>
      </w:r>
      <w:r w:rsidR="0039613E">
        <w:rPr>
          <w:rFonts w:cs="Courier New"/>
        </w:rPr>
        <w:t xml:space="preserve">, </w:t>
      </w:r>
      <w:r w:rsidRPr="000B72B5">
        <w:rPr>
          <w:rFonts w:cs="Courier New"/>
        </w:rPr>
        <w:t>in the future work of the IGC</w:t>
      </w:r>
      <w:r w:rsidR="0039613E">
        <w:rPr>
          <w:rFonts w:cs="Courier New"/>
        </w:rPr>
        <w:t>,</w:t>
      </w:r>
      <w:r w:rsidRPr="000B72B5">
        <w:rPr>
          <w:rFonts w:cs="Courier New"/>
        </w:rPr>
        <w:t xml:space="preserve"> that definitions exis</w:t>
      </w:r>
      <w:r w:rsidR="0039613E">
        <w:rPr>
          <w:rFonts w:cs="Courier New"/>
        </w:rPr>
        <w:t>ting</w:t>
      </w:r>
      <w:r w:rsidRPr="000B72B5">
        <w:rPr>
          <w:rFonts w:cs="Courier New"/>
        </w:rPr>
        <w:t xml:space="preserve"> in other agreements </w:t>
      </w:r>
      <w:proofErr w:type="gramStart"/>
      <w:r w:rsidRPr="000B72B5">
        <w:rPr>
          <w:rFonts w:cs="Courier New"/>
        </w:rPr>
        <w:t>be reintroduced</w:t>
      </w:r>
      <w:proofErr w:type="gramEnd"/>
      <w:r w:rsidRPr="000B72B5">
        <w:rPr>
          <w:rFonts w:cs="Courier New"/>
        </w:rPr>
        <w:t xml:space="preserve"> into the IGC document exactly as </w:t>
      </w:r>
      <w:r w:rsidR="00DA6853">
        <w:rPr>
          <w:rFonts w:cs="Courier New"/>
        </w:rPr>
        <w:t>wa</w:t>
      </w:r>
      <w:r w:rsidR="0039613E">
        <w:rPr>
          <w:rFonts w:cs="Courier New"/>
        </w:rPr>
        <w:t>s,</w:t>
      </w:r>
      <w:r w:rsidRPr="000B72B5">
        <w:rPr>
          <w:rFonts w:cs="Courier New"/>
        </w:rPr>
        <w:t xml:space="preserve"> as standalone options. </w:t>
      </w:r>
      <w:r w:rsidR="0039613E">
        <w:rPr>
          <w:rFonts w:cs="Courier New"/>
        </w:rPr>
        <w:t xml:space="preserve"> </w:t>
      </w:r>
      <w:r w:rsidRPr="000B72B5">
        <w:rPr>
          <w:rFonts w:cs="Courier New"/>
        </w:rPr>
        <w:t>Moreover, in order to avoid confusion, it requested</w:t>
      </w:r>
      <w:r w:rsidR="0039613E">
        <w:rPr>
          <w:rFonts w:cs="Courier New"/>
        </w:rPr>
        <w:t xml:space="preserve"> </w:t>
      </w:r>
      <w:proofErr w:type="gramStart"/>
      <w:r w:rsidR="0039613E">
        <w:rPr>
          <w:rFonts w:cs="Courier New"/>
        </w:rPr>
        <w:t>to clearly mark</w:t>
      </w:r>
      <w:proofErr w:type="gramEnd"/>
      <w:r w:rsidR="0039613E">
        <w:rPr>
          <w:rFonts w:cs="Courier New"/>
        </w:rPr>
        <w:t xml:space="preserve"> all the</w:t>
      </w:r>
      <w:r w:rsidRPr="000B72B5">
        <w:rPr>
          <w:rFonts w:cs="Courier New"/>
        </w:rPr>
        <w:t xml:space="preserve"> definitions</w:t>
      </w:r>
      <w:r w:rsidR="0039613E">
        <w:rPr>
          <w:rFonts w:cs="Courier New"/>
        </w:rPr>
        <w:t xml:space="preserve"> </w:t>
      </w:r>
      <w:r w:rsidRPr="000B72B5">
        <w:rPr>
          <w:rFonts w:cs="Courier New"/>
        </w:rPr>
        <w:t>currently used in other international agreements</w:t>
      </w:r>
      <w:r w:rsidR="0039613E">
        <w:rPr>
          <w:rFonts w:cs="Courier New"/>
        </w:rPr>
        <w:t xml:space="preserve"> </w:t>
      </w:r>
      <w:r w:rsidRPr="000B72B5">
        <w:rPr>
          <w:rFonts w:cs="Courier New"/>
        </w:rPr>
        <w:t xml:space="preserve">by referring to those agreements. </w:t>
      </w:r>
      <w:r w:rsidR="0039613E">
        <w:rPr>
          <w:rFonts w:cs="Courier New"/>
        </w:rPr>
        <w:t xml:space="preserve"> </w:t>
      </w:r>
      <w:r w:rsidR="00DA6853">
        <w:rPr>
          <w:rFonts w:cs="Courier New"/>
        </w:rPr>
        <w:t>Regarding</w:t>
      </w:r>
      <w:r w:rsidRPr="000B72B5">
        <w:rPr>
          <w:rFonts w:cs="Courier New"/>
        </w:rPr>
        <w:t xml:space="preserve"> the mandatory disclosure requirement in Part I, it recognized some improvements, yet further work was needed to draft a system that was</w:t>
      </w:r>
      <w:r w:rsidR="0039613E">
        <w:rPr>
          <w:rFonts w:cs="Courier New"/>
        </w:rPr>
        <w:t xml:space="preserve"> workable in practice, provided</w:t>
      </w:r>
      <w:r w:rsidRPr="000B72B5">
        <w:rPr>
          <w:rFonts w:cs="Courier New"/>
        </w:rPr>
        <w:t xml:space="preserve"> benefits for</w:t>
      </w:r>
      <w:r w:rsidR="0039613E">
        <w:rPr>
          <w:rFonts w:cs="Courier New"/>
        </w:rPr>
        <w:t xml:space="preserve"> all parties, </w:t>
      </w:r>
      <w:r w:rsidRPr="000B72B5">
        <w:rPr>
          <w:rFonts w:cs="Courier New"/>
        </w:rPr>
        <w:t xml:space="preserve">ensured legal certainty in the patent system and supported innovations on GRs. </w:t>
      </w:r>
      <w:r w:rsidR="0039613E">
        <w:rPr>
          <w:rFonts w:cs="Courier New"/>
        </w:rPr>
        <w:t xml:space="preserve"> </w:t>
      </w:r>
      <w:r w:rsidRPr="000B72B5">
        <w:rPr>
          <w:rFonts w:cs="Courier New"/>
        </w:rPr>
        <w:t xml:space="preserve">In Part II, some of the paragraphs were not in brackets, yet they should all be in brackets. </w:t>
      </w:r>
      <w:r w:rsidR="0039613E">
        <w:rPr>
          <w:rFonts w:cs="Courier New"/>
        </w:rPr>
        <w:t xml:space="preserve"> In</w:t>
      </w:r>
      <w:r w:rsidRPr="000B72B5">
        <w:rPr>
          <w:rFonts w:cs="Courier New"/>
        </w:rPr>
        <w:t xml:space="preserve"> paragraph 4.5</w:t>
      </w:r>
      <w:r w:rsidR="0039613E">
        <w:rPr>
          <w:rFonts w:cs="Courier New"/>
        </w:rPr>
        <w:t>,</w:t>
      </w:r>
      <w:r w:rsidRPr="000B72B5">
        <w:rPr>
          <w:rFonts w:cs="Courier New"/>
        </w:rPr>
        <w:t xml:space="preserve"> there should be brack</w:t>
      </w:r>
      <w:r w:rsidR="00DA6853">
        <w:rPr>
          <w:rFonts w:cs="Courier New"/>
        </w:rPr>
        <w:t>ets around “geographic location</w:t>
      </w:r>
      <w:r w:rsidRPr="000B72B5">
        <w:rPr>
          <w:rFonts w:cs="Courier New"/>
        </w:rPr>
        <w:t>”</w:t>
      </w:r>
      <w:r w:rsidR="00DA6853">
        <w:rPr>
          <w:rFonts w:cs="Courier New"/>
        </w:rPr>
        <w:t>.</w:t>
      </w:r>
      <w:r w:rsidRPr="000B72B5">
        <w:rPr>
          <w:rFonts w:cs="Courier New"/>
        </w:rPr>
        <w:t xml:space="preserve">  It requested look</w:t>
      </w:r>
      <w:r w:rsidR="0039613E">
        <w:rPr>
          <w:rFonts w:cs="Courier New"/>
        </w:rPr>
        <w:t>ing</w:t>
      </w:r>
      <w:r w:rsidRPr="000B72B5">
        <w:rPr>
          <w:rFonts w:cs="Courier New"/>
        </w:rPr>
        <w:t xml:space="preserve"> at those terms</w:t>
      </w:r>
      <w:r w:rsidR="0039613E">
        <w:rPr>
          <w:rFonts w:cs="Courier New"/>
        </w:rPr>
        <w:t xml:space="preserve"> in</w:t>
      </w:r>
      <w:r w:rsidR="0039613E" w:rsidRPr="000B72B5">
        <w:rPr>
          <w:rFonts w:cs="Courier New"/>
        </w:rPr>
        <w:t xml:space="preserve"> the future</w:t>
      </w:r>
      <w:r w:rsidR="0039613E">
        <w:rPr>
          <w:rFonts w:cs="Courier New"/>
        </w:rPr>
        <w:t>.</w:t>
      </w:r>
    </w:p>
    <w:p w:rsidR="0039613E" w:rsidRPr="0039613E" w:rsidRDefault="0039613E" w:rsidP="0039613E">
      <w:pPr>
        <w:pStyle w:val="ListParagraph"/>
        <w:ind w:left="0"/>
      </w:pPr>
    </w:p>
    <w:p w:rsidR="003B03A8" w:rsidRPr="003B03A8" w:rsidRDefault="000B72B5" w:rsidP="003B03A8">
      <w:pPr>
        <w:pStyle w:val="ListParagraph"/>
        <w:numPr>
          <w:ilvl w:val="0"/>
          <w:numId w:val="4"/>
        </w:numPr>
        <w:ind w:left="0" w:firstLine="0"/>
      </w:pPr>
      <w:r w:rsidRPr="0039613E">
        <w:rPr>
          <w:rFonts w:cs="Courier New"/>
        </w:rPr>
        <w:t>The Chair said the use of brackets in the text was confusing and he, together with the Secretariat, would look into ways of dealing with brackets in future documents.</w:t>
      </w:r>
    </w:p>
    <w:p w:rsidR="003B03A8" w:rsidRPr="003B03A8" w:rsidRDefault="003B03A8" w:rsidP="003B03A8">
      <w:pPr>
        <w:rPr>
          <w:rFonts w:cs="Courier New"/>
        </w:rPr>
      </w:pPr>
    </w:p>
    <w:p w:rsidR="003B03A8" w:rsidRPr="003B03A8" w:rsidRDefault="003B03A8" w:rsidP="003B03A8">
      <w:pPr>
        <w:pStyle w:val="ListParagraph"/>
        <w:numPr>
          <w:ilvl w:val="0"/>
          <w:numId w:val="4"/>
        </w:numPr>
        <w:ind w:left="0" w:firstLine="0"/>
      </w:pPr>
      <w:r w:rsidRPr="003B03A8">
        <w:rPr>
          <w:rFonts w:cs="Courier New"/>
        </w:rPr>
        <w:t xml:space="preserve">The representative of International Law Association supported the statement </w:t>
      </w:r>
      <w:r w:rsidR="006935F6">
        <w:rPr>
          <w:rFonts w:cs="Courier New"/>
        </w:rPr>
        <w:t xml:space="preserve">made </w:t>
      </w:r>
      <w:r w:rsidRPr="003B03A8">
        <w:rPr>
          <w:rFonts w:cs="Courier New"/>
        </w:rPr>
        <w:t>by the Delegation of Switzerland in terms of adopting di</w:t>
      </w:r>
      <w:r>
        <w:rPr>
          <w:rFonts w:cs="Courier New"/>
        </w:rPr>
        <w:t>fferent definitions for terms</w:t>
      </w:r>
      <w:r w:rsidRPr="003B03A8">
        <w:rPr>
          <w:rFonts w:cs="Courier New"/>
        </w:rPr>
        <w:t>.  For example, the alternative definition of “genetic material”</w:t>
      </w:r>
      <w:r w:rsidR="006935F6">
        <w:rPr>
          <w:rFonts w:cs="Courier New"/>
        </w:rPr>
        <w:t>,</w:t>
      </w:r>
      <w:r w:rsidRPr="003B03A8">
        <w:rPr>
          <w:rFonts w:cs="Courier New"/>
        </w:rPr>
        <w:t xml:space="preserve"> due to new understandings of biology, would exclude fungal genetic material from being contained within the scope of the instrument, which was not the intention, seeing that it was not plant, animal, or microbial.  He was not sure that was a wise decision.  On the</w:t>
      </w:r>
      <w:r w:rsidR="006935F6">
        <w:rPr>
          <w:rFonts w:cs="Courier New"/>
        </w:rPr>
        <w:t xml:space="preserve"> definition of “physical access</w:t>
      </w:r>
      <w:r w:rsidRPr="003B03A8">
        <w:rPr>
          <w:rFonts w:cs="Courier New"/>
        </w:rPr>
        <w:t>”</w:t>
      </w:r>
      <w:r w:rsidR="006935F6">
        <w:rPr>
          <w:rFonts w:cs="Courier New"/>
        </w:rPr>
        <w:t>,</w:t>
      </w:r>
      <w:r w:rsidRPr="003B03A8">
        <w:rPr>
          <w:rFonts w:cs="Courier New"/>
        </w:rPr>
        <w:t xml:space="preserve"> he said </w:t>
      </w:r>
      <w:r w:rsidR="006935F6">
        <w:rPr>
          <w:rFonts w:cs="Courier New"/>
        </w:rPr>
        <w:t xml:space="preserve">that </w:t>
      </w:r>
      <w:r w:rsidRPr="003B03A8">
        <w:rPr>
          <w:rFonts w:cs="Courier New"/>
        </w:rPr>
        <w:t xml:space="preserve">there had been </w:t>
      </w:r>
      <w:proofErr w:type="gramStart"/>
      <w:r w:rsidRPr="003B03A8">
        <w:rPr>
          <w:rFonts w:cs="Courier New"/>
        </w:rPr>
        <w:t>a lot of</w:t>
      </w:r>
      <w:proofErr w:type="gramEnd"/>
      <w:r w:rsidRPr="003B03A8">
        <w:rPr>
          <w:rFonts w:cs="Courier New"/>
        </w:rPr>
        <w:t xml:space="preserve"> technical developments in terms of access to GRs.  He referred to the report of the </w:t>
      </w:r>
      <w:r w:rsidRPr="006935F6">
        <w:rPr>
          <w:rFonts w:cs="Courier New"/>
          <w:i/>
        </w:rPr>
        <w:t>Ad Hoc</w:t>
      </w:r>
      <w:r w:rsidRPr="003B03A8">
        <w:rPr>
          <w:rFonts w:cs="Courier New"/>
        </w:rPr>
        <w:t xml:space="preserve"> Technical Expert Group on Digital Sequence Information on Genetic Resources, released on February 20, 2018, which discussed non</w:t>
      </w:r>
      <w:r w:rsidRPr="003B03A8">
        <w:rPr>
          <w:rFonts w:cs="Monaco"/>
        </w:rPr>
        <w:t>-</w:t>
      </w:r>
      <w:r w:rsidRPr="003B03A8">
        <w:rPr>
          <w:rFonts w:cs="Courier New"/>
        </w:rPr>
        <w:t xml:space="preserve">physical access to GRs and </w:t>
      </w:r>
      <w:r>
        <w:rPr>
          <w:rFonts w:cs="Courier New"/>
        </w:rPr>
        <w:t xml:space="preserve">showed </w:t>
      </w:r>
      <w:r w:rsidRPr="003B03A8">
        <w:rPr>
          <w:rFonts w:cs="Courier New"/>
        </w:rPr>
        <w:t>how in reality and in practice that was more or less overtaking physical access as a way to create inventions based on GRs.</w:t>
      </w:r>
    </w:p>
    <w:p w:rsidR="003B03A8" w:rsidRPr="003B03A8" w:rsidRDefault="003B03A8" w:rsidP="003B03A8">
      <w:pPr>
        <w:rPr>
          <w:rFonts w:cs="Courier New"/>
        </w:rPr>
      </w:pPr>
    </w:p>
    <w:p w:rsidR="00812A4C" w:rsidRPr="00812A4C" w:rsidRDefault="003B03A8" w:rsidP="00812A4C">
      <w:pPr>
        <w:pStyle w:val="ListParagraph"/>
        <w:numPr>
          <w:ilvl w:val="0"/>
          <w:numId w:val="4"/>
        </w:numPr>
        <w:ind w:left="0" w:firstLine="0"/>
      </w:pPr>
      <w:r w:rsidRPr="003B03A8">
        <w:rPr>
          <w:rFonts w:cs="Courier New"/>
        </w:rPr>
        <w:t xml:space="preserve">The Delegation of El Salvador supported the statement </w:t>
      </w:r>
      <w:r w:rsidR="00512F48">
        <w:rPr>
          <w:rFonts w:cs="Courier New"/>
        </w:rPr>
        <w:t xml:space="preserve">made </w:t>
      </w:r>
      <w:r w:rsidRPr="003B03A8">
        <w:rPr>
          <w:rFonts w:cs="Courier New"/>
        </w:rPr>
        <w:t>by the Delegation of Ecuador</w:t>
      </w:r>
      <w:r w:rsidR="00512F48">
        <w:rPr>
          <w:rFonts w:cs="Courier New"/>
        </w:rPr>
        <w:t>,</w:t>
      </w:r>
      <w:r w:rsidRPr="003B03A8">
        <w:rPr>
          <w:rFonts w:cs="Courier New"/>
        </w:rPr>
        <w:t xml:space="preserve"> on behalf of GRULAC. </w:t>
      </w:r>
      <w:r>
        <w:rPr>
          <w:rFonts w:cs="Courier New"/>
        </w:rPr>
        <w:t xml:space="preserve"> In</w:t>
      </w:r>
      <w:r w:rsidRPr="003B03A8">
        <w:rPr>
          <w:rFonts w:cs="Courier New"/>
        </w:rPr>
        <w:t xml:space="preserve"> Article 1, </w:t>
      </w:r>
      <w:r>
        <w:rPr>
          <w:rFonts w:cs="Courier New"/>
        </w:rPr>
        <w:t xml:space="preserve">it requested bracketing the </w:t>
      </w:r>
      <w:r w:rsidRPr="003B03A8">
        <w:rPr>
          <w:rFonts w:cs="Courier New"/>
        </w:rPr>
        <w:t xml:space="preserve">new alternative </w:t>
      </w:r>
      <w:r>
        <w:rPr>
          <w:rFonts w:cs="Courier New"/>
        </w:rPr>
        <w:t>definition of</w:t>
      </w:r>
      <w:r w:rsidR="00512F48">
        <w:rPr>
          <w:rFonts w:cs="Courier New"/>
        </w:rPr>
        <w:t xml:space="preserve"> TK associated with </w:t>
      </w:r>
      <w:r w:rsidRPr="003B03A8">
        <w:rPr>
          <w:rFonts w:cs="Courier New"/>
        </w:rPr>
        <w:t>GRs.</w:t>
      </w:r>
      <w:r>
        <w:rPr>
          <w:rFonts w:cs="Courier New"/>
        </w:rPr>
        <w:t xml:space="preserve"> </w:t>
      </w:r>
      <w:r w:rsidRPr="003B03A8">
        <w:rPr>
          <w:rFonts w:cs="Courier New"/>
        </w:rPr>
        <w:t xml:space="preserve"> In ALT 3</w:t>
      </w:r>
      <w:r w:rsidR="00512F48">
        <w:rPr>
          <w:rFonts w:cs="Courier New"/>
        </w:rPr>
        <w:t>,</w:t>
      </w:r>
      <w:r w:rsidRPr="003B03A8">
        <w:rPr>
          <w:rFonts w:cs="Courier New"/>
        </w:rPr>
        <w:t xml:space="preserve"> </w:t>
      </w:r>
      <w:r>
        <w:rPr>
          <w:rFonts w:cs="Courier New"/>
        </w:rPr>
        <w:t>i</w:t>
      </w:r>
      <w:r w:rsidRPr="003B03A8">
        <w:rPr>
          <w:rFonts w:cs="Courier New"/>
        </w:rPr>
        <w:t xml:space="preserve">t asked to have an introduction bracket before </w:t>
      </w:r>
      <w:r w:rsidRPr="003B03A8">
        <w:rPr>
          <w:rFonts w:cs="Monaco"/>
        </w:rPr>
        <w:t>“</w:t>
      </w:r>
      <w:r w:rsidRPr="003B03A8">
        <w:rPr>
          <w:rFonts w:cs="Courier New"/>
        </w:rPr>
        <w:t>from generation to generation”</w:t>
      </w:r>
      <w:r w:rsidR="00512F48">
        <w:rPr>
          <w:rFonts w:cs="Courier New"/>
        </w:rPr>
        <w:t>,</w:t>
      </w:r>
      <w:r w:rsidRPr="003B03A8">
        <w:rPr>
          <w:rFonts w:cs="Courier New"/>
        </w:rPr>
        <w:t xml:space="preserve"> independently of its preference for </w:t>
      </w:r>
      <w:r>
        <w:rPr>
          <w:rFonts w:cs="Courier New"/>
        </w:rPr>
        <w:t xml:space="preserve">any </w:t>
      </w:r>
      <w:r w:rsidRPr="003B03A8">
        <w:rPr>
          <w:rFonts w:cs="Courier New"/>
        </w:rPr>
        <w:t xml:space="preserve">alternative.  </w:t>
      </w:r>
    </w:p>
    <w:p w:rsidR="00812A4C" w:rsidRPr="00812A4C" w:rsidRDefault="00812A4C" w:rsidP="00812A4C">
      <w:pPr>
        <w:rPr>
          <w:rFonts w:cs="Courier New"/>
        </w:rPr>
      </w:pPr>
    </w:p>
    <w:p w:rsidR="005E0A30" w:rsidRPr="005E0A30" w:rsidRDefault="00812A4C" w:rsidP="00812A4C">
      <w:pPr>
        <w:pStyle w:val="ListParagraph"/>
        <w:numPr>
          <w:ilvl w:val="0"/>
          <w:numId w:val="4"/>
        </w:numPr>
        <w:ind w:left="0" w:firstLine="0"/>
      </w:pPr>
      <w:proofErr w:type="gramStart"/>
      <w:r w:rsidRPr="00812A4C">
        <w:rPr>
          <w:rFonts w:cs="Courier New"/>
        </w:rPr>
        <w:t xml:space="preserve">The Delegation of Japan said </w:t>
      </w:r>
      <w:r w:rsidR="004277CF">
        <w:rPr>
          <w:rFonts w:cs="Courier New"/>
        </w:rPr>
        <w:t xml:space="preserve">that </w:t>
      </w:r>
      <w:r w:rsidRPr="00812A4C">
        <w:rPr>
          <w:rFonts w:cs="Courier New"/>
        </w:rPr>
        <w:t>the newly introduced title of Part II “Defensive Measures” failed to appropriately reflect the essential concept of the section, which was that no disclosure requirements could be imposed upon patent applicants or patentees fo</w:t>
      </w:r>
      <w:r w:rsidR="002E642F">
        <w:rPr>
          <w:rFonts w:cs="Courier New"/>
        </w:rPr>
        <w:t xml:space="preserve">r patents related to GRs and TK associated with </w:t>
      </w:r>
      <w:r w:rsidRPr="00812A4C">
        <w:rPr>
          <w:rFonts w:cs="Courier New"/>
        </w:rPr>
        <w:t>GRs, for reasons other than those related to novelty, inventive step, industrial applicability or enablement.</w:t>
      </w:r>
      <w:proofErr w:type="gramEnd"/>
      <w:r w:rsidRPr="00812A4C">
        <w:rPr>
          <w:rFonts w:cs="Courier New"/>
        </w:rPr>
        <w:t xml:space="preserve">  It requested that </w:t>
      </w:r>
      <w:r>
        <w:rPr>
          <w:rFonts w:cs="Courier New"/>
        </w:rPr>
        <w:t>the</w:t>
      </w:r>
      <w:r w:rsidRPr="00812A4C">
        <w:rPr>
          <w:rFonts w:cs="Courier New"/>
        </w:rPr>
        <w:t xml:space="preserve"> title </w:t>
      </w:r>
      <w:proofErr w:type="gramStart"/>
      <w:r w:rsidRPr="00812A4C">
        <w:rPr>
          <w:rFonts w:cs="Courier New"/>
        </w:rPr>
        <w:t>be bracketed</w:t>
      </w:r>
      <w:proofErr w:type="gramEnd"/>
      <w:r w:rsidRPr="00812A4C">
        <w:rPr>
          <w:rFonts w:cs="Courier New"/>
        </w:rPr>
        <w:t xml:space="preserve"> and the original title,</w:t>
      </w:r>
      <w:r w:rsidR="002E642F">
        <w:rPr>
          <w:rFonts w:cs="Courier New"/>
        </w:rPr>
        <w:t xml:space="preserve"> “No New Disclosure Requirement</w:t>
      </w:r>
      <w:r w:rsidRPr="00812A4C">
        <w:rPr>
          <w:rFonts w:cs="Courier New"/>
        </w:rPr>
        <w:t>”</w:t>
      </w:r>
      <w:r w:rsidR="002E642F">
        <w:rPr>
          <w:rFonts w:cs="Courier New"/>
        </w:rPr>
        <w:t>,</w:t>
      </w:r>
      <w:r w:rsidRPr="00812A4C">
        <w:rPr>
          <w:rFonts w:cs="Courier New"/>
        </w:rPr>
        <w:t xml:space="preserve"> be revived. </w:t>
      </w:r>
      <w:r>
        <w:rPr>
          <w:rFonts w:cs="Courier New"/>
        </w:rPr>
        <w:t xml:space="preserve"> </w:t>
      </w:r>
      <w:r w:rsidRPr="00812A4C">
        <w:rPr>
          <w:rFonts w:cs="Courier New"/>
        </w:rPr>
        <w:t xml:space="preserve">It also requested that the title of Part III “Complementary Measures” </w:t>
      </w:r>
      <w:proofErr w:type="gramStart"/>
      <w:r w:rsidRPr="00812A4C">
        <w:rPr>
          <w:rFonts w:cs="Courier New"/>
        </w:rPr>
        <w:t>be bracketed</w:t>
      </w:r>
      <w:proofErr w:type="gramEnd"/>
      <w:r w:rsidRPr="00812A4C">
        <w:rPr>
          <w:rFonts w:cs="Courier New"/>
        </w:rPr>
        <w:t xml:space="preserve"> and the original title “Defensive Measures” be kept. </w:t>
      </w:r>
      <w:r>
        <w:rPr>
          <w:rFonts w:cs="Courier New"/>
        </w:rPr>
        <w:t xml:space="preserve"> </w:t>
      </w:r>
      <w:r w:rsidRPr="00812A4C">
        <w:rPr>
          <w:rFonts w:cs="Courier New"/>
        </w:rPr>
        <w:t xml:space="preserve">Those measures were not complementary but essential and effective.  It did not support </w:t>
      </w:r>
      <w:r w:rsidRPr="00812A4C">
        <w:rPr>
          <w:rFonts w:cs="Courier New"/>
        </w:rPr>
        <w:lastRenderedPageBreak/>
        <w:t xml:space="preserve">the concept intended to prevent patenting any life form, </w:t>
      </w:r>
      <w:r>
        <w:rPr>
          <w:rFonts w:cs="Courier New"/>
        </w:rPr>
        <w:t xml:space="preserve">as </w:t>
      </w:r>
      <w:r w:rsidRPr="00812A4C">
        <w:rPr>
          <w:rFonts w:cs="Courier New"/>
        </w:rPr>
        <w:t xml:space="preserve">indicated in Article 9, as well as the related paragraphs of the preamble.  Article 9 and the related paragraphs of the preamble, which were intended to make GRs ineligible for patents without any exception, were not appropriate, because the patent system served as an essential incentive for developing biological and medical technology. </w:t>
      </w:r>
    </w:p>
    <w:p w:rsidR="005E0A30" w:rsidRPr="005E0A30" w:rsidRDefault="005E0A30" w:rsidP="005E0A30">
      <w:pPr>
        <w:pStyle w:val="ListParagraph"/>
        <w:ind w:left="0"/>
      </w:pPr>
    </w:p>
    <w:p w:rsidR="00297CF6" w:rsidRPr="009537C2" w:rsidRDefault="005E0A30" w:rsidP="00434F65">
      <w:pPr>
        <w:pStyle w:val="ListParagraph"/>
        <w:numPr>
          <w:ilvl w:val="0"/>
          <w:numId w:val="4"/>
        </w:numPr>
        <w:ind w:left="0" w:firstLine="0"/>
        <w:rPr>
          <w:rFonts w:cs="Courier New"/>
        </w:rPr>
      </w:pPr>
      <w:r w:rsidRPr="00A51A03">
        <w:rPr>
          <w:rFonts w:cs="Courier New"/>
        </w:rPr>
        <w:t xml:space="preserve">The Delegation of Chile </w:t>
      </w:r>
      <w:r w:rsidR="009537C2" w:rsidRPr="00A51A03">
        <w:rPr>
          <w:rFonts w:cs="Courier New"/>
        </w:rPr>
        <w:t xml:space="preserve">endorsed the statement </w:t>
      </w:r>
      <w:r w:rsidR="00A51A03" w:rsidRPr="00A51A03">
        <w:rPr>
          <w:rFonts w:cs="Courier New"/>
        </w:rPr>
        <w:t xml:space="preserve">made </w:t>
      </w:r>
      <w:r w:rsidR="009537C2" w:rsidRPr="00A51A03">
        <w:rPr>
          <w:rFonts w:cs="Courier New"/>
        </w:rPr>
        <w:t>by the Delegation of Ecuador</w:t>
      </w:r>
      <w:r w:rsidR="00A51A03" w:rsidRPr="00A51A03">
        <w:rPr>
          <w:rFonts w:cs="Courier New"/>
        </w:rPr>
        <w:t>,</w:t>
      </w:r>
      <w:r w:rsidR="009537C2" w:rsidRPr="00A51A03">
        <w:rPr>
          <w:rFonts w:cs="Courier New"/>
        </w:rPr>
        <w:t xml:space="preserve"> on behalf of GRULAC.  </w:t>
      </w:r>
      <w:proofErr w:type="gramStart"/>
      <w:r w:rsidR="009537C2" w:rsidRPr="00A51A03">
        <w:rPr>
          <w:rFonts w:cs="Courier New"/>
        </w:rPr>
        <w:t>Rev</w:t>
      </w:r>
      <w:r w:rsidR="00A51A03" w:rsidRPr="00A51A03">
        <w:rPr>
          <w:rFonts w:cs="Courier New"/>
        </w:rPr>
        <w:t>.</w:t>
      </w:r>
      <w:r w:rsidR="009537C2" w:rsidRPr="00A51A03">
        <w:rPr>
          <w:rFonts w:cs="Courier New"/>
        </w:rPr>
        <w:t xml:space="preserve"> 2 was a good basis for continuing the work at IGC 36, and would facilitate the work of the </w:t>
      </w:r>
      <w:r w:rsidR="009537C2" w:rsidRPr="00A51A03">
        <w:rPr>
          <w:rFonts w:cs="Courier New"/>
          <w:i/>
        </w:rPr>
        <w:t>ad hoc</w:t>
      </w:r>
      <w:r w:rsidR="00A51A03" w:rsidRPr="00A51A03">
        <w:rPr>
          <w:rFonts w:cs="Courier New"/>
        </w:rPr>
        <w:t xml:space="preserve"> expert group</w:t>
      </w:r>
      <w:r w:rsidR="009537C2" w:rsidRPr="00A51A03">
        <w:rPr>
          <w:rFonts w:cs="Courier New"/>
        </w:rPr>
        <w:t>.</w:t>
      </w:r>
      <w:proofErr w:type="gramEnd"/>
      <w:r w:rsidR="009537C2" w:rsidRPr="00A51A03">
        <w:rPr>
          <w:rFonts w:cs="Courier New"/>
        </w:rPr>
        <w:t xml:space="preserve">  It appreciated the inclusion of new texts reflecting the different positions of Member States, such as the alternative text for the preamble, the inclusion of the definitions as Article 1, and the new alternative </w:t>
      </w:r>
      <w:r w:rsidR="00A51A03" w:rsidRPr="00A51A03">
        <w:rPr>
          <w:rFonts w:cs="Courier New"/>
        </w:rPr>
        <w:t>to</w:t>
      </w:r>
      <w:r w:rsidR="009537C2" w:rsidRPr="00A51A03">
        <w:rPr>
          <w:rFonts w:cs="Courier New"/>
        </w:rPr>
        <w:t xml:space="preserve"> paragraph 4.2 in the disclosure requirement.  Nonetheless, the instrument should refer to both genetic and derived resources.  As noted by the Delegation of Indonesia</w:t>
      </w:r>
      <w:r w:rsidR="00A51A03" w:rsidRPr="00A51A03">
        <w:rPr>
          <w:rFonts w:cs="Courier New"/>
        </w:rPr>
        <w:t>, on behalf of the LMCs</w:t>
      </w:r>
      <w:r w:rsidR="009537C2" w:rsidRPr="00A51A03">
        <w:rPr>
          <w:rFonts w:cs="Courier New"/>
        </w:rPr>
        <w:t xml:space="preserve">, it was more appropriate that the definition of that term </w:t>
      </w:r>
      <w:proofErr w:type="gramStart"/>
      <w:r w:rsidR="009537C2" w:rsidRPr="00A51A03">
        <w:rPr>
          <w:rFonts w:cs="Courier New"/>
        </w:rPr>
        <w:t>be considered</w:t>
      </w:r>
      <w:proofErr w:type="gramEnd"/>
      <w:r w:rsidR="009537C2" w:rsidRPr="00A51A03">
        <w:rPr>
          <w:rFonts w:cs="Courier New"/>
        </w:rPr>
        <w:t xml:space="preserve"> within the definitions used in the operative articles.  The patent system </w:t>
      </w:r>
      <w:proofErr w:type="gramStart"/>
      <w:r w:rsidR="009537C2" w:rsidRPr="00A51A03">
        <w:rPr>
          <w:rFonts w:cs="Courier New"/>
        </w:rPr>
        <w:t>was naturally called upon</w:t>
      </w:r>
      <w:proofErr w:type="gramEnd"/>
      <w:r w:rsidR="009537C2" w:rsidRPr="00A51A03">
        <w:rPr>
          <w:rFonts w:cs="Courier New"/>
        </w:rPr>
        <w:t xml:space="preserve"> to collaborate in the protection of GRs, their derivatives and </w:t>
      </w:r>
      <w:r w:rsidR="00A51A03" w:rsidRPr="00A51A03">
        <w:rPr>
          <w:rFonts w:cs="Courier New"/>
        </w:rPr>
        <w:t xml:space="preserve">TK associated with </w:t>
      </w:r>
      <w:r w:rsidR="009537C2" w:rsidRPr="00A51A03">
        <w:rPr>
          <w:rFonts w:cs="Courier New"/>
        </w:rPr>
        <w:t>GRs.  The instrument should establish mandatory disclosure of origin in the patent system, incorporating</w:t>
      </w:r>
      <w:r w:rsidR="009537C2" w:rsidRPr="009537C2">
        <w:rPr>
          <w:rFonts w:cs="Courier New"/>
        </w:rPr>
        <w:t xml:space="preserve"> sufficient flexibility to allow for balanced implementation in those countries that </w:t>
      </w:r>
      <w:r w:rsidR="009537C2">
        <w:rPr>
          <w:rFonts w:cs="Courier New"/>
        </w:rPr>
        <w:t>did</w:t>
      </w:r>
      <w:r w:rsidR="009537C2" w:rsidRPr="009537C2">
        <w:rPr>
          <w:rFonts w:cs="Courier New"/>
        </w:rPr>
        <w:t xml:space="preserve"> not yet have it incorporated in their own systems.</w:t>
      </w:r>
      <w:r w:rsidR="009537C2">
        <w:rPr>
          <w:rFonts w:cs="Courier New"/>
        </w:rPr>
        <w:t xml:space="preserve">  </w:t>
      </w:r>
      <w:r w:rsidR="009537C2" w:rsidRPr="009537C2">
        <w:rPr>
          <w:rFonts w:cs="Courier New"/>
        </w:rPr>
        <w:t xml:space="preserve">It was important </w:t>
      </w:r>
      <w:r w:rsidR="009537C2">
        <w:rPr>
          <w:rFonts w:cs="Courier New"/>
        </w:rPr>
        <w:t>to</w:t>
      </w:r>
      <w:r w:rsidR="009537C2" w:rsidRPr="009537C2">
        <w:rPr>
          <w:rFonts w:cs="Courier New"/>
        </w:rPr>
        <w:t xml:space="preserve"> reconcile positions on the trigger that </w:t>
      </w:r>
      <w:r w:rsidR="009537C2">
        <w:rPr>
          <w:rFonts w:cs="Courier New"/>
        </w:rPr>
        <w:t>would</w:t>
      </w:r>
      <w:r w:rsidR="009537C2" w:rsidRPr="009537C2">
        <w:rPr>
          <w:rFonts w:cs="Courier New"/>
        </w:rPr>
        <w:t xml:space="preserve"> activate the disclosure requirement and therefore recognize the need </w:t>
      </w:r>
      <w:proofErr w:type="gramStart"/>
      <w:r w:rsidR="009537C2" w:rsidRPr="009537C2">
        <w:rPr>
          <w:rFonts w:cs="Courier New"/>
        </w:rPr>
        <w:t>to further discuss</w:t>
      </w:r>
      <w:proofErr w:type="gramEnd"/>
      <w:r w:rsidR="009537C2" w:rsidRPr="009537C2">
        <w:rPr>
          <w:rFonts w:cs="Courier New"/>
        </w:rPr>
        <w:t xml:space="preserve"> the concepts of “utilization of the genetic resource” and “invention directly based on genetic resources”.  Although </w:t>
      </w:r>
      <w:r w:rsidR="009537C2">
        <w:rPr>
          <w:rFonts w:cs="Courier New"/>
        </w:rPr>
        <w:t>it preferred</w:t>
      </w:r>
      <w:r w:rsidR="009537C2" w:rsidRPr="009537C2">
        <w:rPr>
          <w:rFonts w:cs="Courier New"/>
        </w:rPr>
        <w:t xml:space="preserve"> </w:t>
      </w:r>
      <w:proofErr w:type="gramStart"/>
      <w:r w:rsidR="009537C2" w:rsidRPr="009537C2">
        <w:rPr>
          <w:rFonts w:cs="Courier New"/>
        </w:rPr>
        <w:t xml:space="preserve">more familiar concepts such as the use of </w:t>
      </w:r>
      <w:r w:rsidR="009537C2">
        <w:rPr>
          <w:rFonts w:cs="Courier New"/>
        </w:rPr>
        <w:t>GRs</w:t>
      </w:r>
      <w:r w:rsidR="009537C2" w:rsidRPr="009537C2">
        <w:rPr>
          <w:rFonts w:cs="Courier New"/>
        </w:rPr>
        <w:t>,</w:t>
      </w:r>
      <w:proofErr w:type="gramEnd"/>
      <w:r w:rsidR="009537C2" w:rsidRPr="009537C2">
        <w:rPr>
          <w:rFonts w:cs="Courier New"/>
        </w:rPr>
        <w:t xml:space="preserve"> it </w:t>
      </w:r>
      <w:r w:rsidR="009537C2">
        <w:rPr>
          <w:rFonts w:cs="Courier New"/>
        </w:rPr>
        <w:t>would</w:t>
      </w:r>
      <w:r w:rsidR="009537C2" w:rsidRPr="009537C2">
        <w:rPr>
          <w:rFonts w:cs="Courier New"/>
        </w:rPr>
        <w:t xml:space="preserve"> be possible to reach consensus </w:t>
      </w:r>
      <w:r w:rsidR="008D5BE9">
        <w:rPr>
          <w:rFonts w:cs="Courier New"/>
        </w:rPr>
        <w:t>at IGC </w:t>
      </w:r>
      <w:r w:rsidR="009537C2">
        <w:rPr>
          <w:rFonts w:cs="Courier New"/>
        </w:rPr>
        <w:t xml:space="preserve">36 </w:t>
      </w:r>
      <w:r w:rsidR="009537C2" w:rsidRPr="009537C2">
        <w:rPr>
          <w:rFonts w:cs="Courier New"/>
        </w:rPr>
        <w:t xml:space="preserve">on the language to be used as long as there </w:t>
      </w:r>
      <w:r w:rsidR="009537C2">
        <w:rPr>
          <w:rFonts w:cs="Courier New"/>
        </w:rPr>
        <w:t>was</w:t>
      </w:r>
      <w:r w:rsidR="009537C2" w:rsidRPr="009537C2">
        <w:rPr>
          <w:rFonts w:cs="Courier New"/>
        </w:rPr>
        <w:t xml:space="preserve"> a more dynamic exchange of ideas and explanations around it.</w:t>
      </w:r>
    </w:p>
    <w:p w:rsidR="00297CF6" w:rsidRPr="00297CF6" w:rsidRDefault="00297CF6" w:rsidP="00297CF6">
      <w:pPr>
        <w:rPr>
          <w:rFonts w:cs="Courier New"/>
        </w:rPr>
      </w:pPr>
    </w:p>
    <w:p w:rsidR="00FD12C2" w:rsidRPr="00FD12C2" w:rsidRDefault="00297CF6" w:rsidP="00FD12C2">
      <w:pPr>
        <w:pStyle w:val="ListParagraph"/>
        <w:numPr>
          <w:ilvl w:val="0"/>
          <w:numId w:val="4"/>
        </w:numPr>
        <w:ind w:left="0" w:firstLine="0"/>
      </w:pPr>
      <w:r w:rsidRPr="00297CF6">
        <w:rPr>
          <w:rFonts w:cs="Courier New"/>
        </w:rPr>
        <w:t xml:space="preserve">The Delegation of China said that there was still a lot of work to </w:t>
      </w:r>
      <w:proofErr w:type="gramStart"/>
      <w:r w:rsidRPr="00297CF6">
        <w:rPr>
          <w:rFonts w:cs="Courier New"/>
        </w:rPr>
        <w:t>be carried out</w:t>
      </w:r>
      <w:proofErr w:type="gramEnd"/>
      <w:r w:rsidRPr="00297CF6">
        <w:rPr>
          <w:rFonts w:cs="Courier New"/>
        </w:rPr>
        <w:t xml:space="preserve"> on the document.  Rev</w:t>
      </w:r>
      <w:r w:rsidR="000E550F">
        <w:rPr>
          <w:rFonts w:cs="Courier New"/>
        </w:rPr>
        <w:t>.</w:t>
      </w:r>
      <w:r w:rsidRPr="00297CF6">
        <w:rPr>
          <w:rFonts w:cs="Courier New"/>
        </w:rPr>
        <w:t xml:space="preserve"> 2 could comprehensively reflect all positions and could be the basis for future work. </w:t>
      </w:r>
      <w:r w:rsidR="00FD12C2">
        <w:rPr>
          <w:rFonts w:cs="Courier New"/>
        </w:rPr>
        <w:t xml:space="preserve"> </w:t>
      </w:r>
      <w:r w:rsidRPr="00297CF6">
        <w:rPr>
          <w:rFonts w:cs="Courier New"/>
        </w:rPr>
        <w:t xml:space="preserve">Regarding mandatory disclosure, it </w:t>
      </w:r>
      <w:r w:rsidR="00FD12C2">
        <w:rPr>
          <w:rFonts w:cs="Courier New"/>
        </w:rPr>
        <w:t>preferred</w:t>
      </w:r>
      <w:r w:rsidRPr="00297CF6">
        <w:rPr>
          <w:rFonts w:cs="Courier New"/>
        </w:rPr>
        <w:t xml:space="preserve"> the original text on exceptions and limitations.  Regarding sanctions and remedies, it hoped that there would be clear regulations. </w:t>
      </w:r>
      <w:r w:rsidR="00FD12C2">
        <w:rPr>
          <w:rFonts w:cs="Courier New"/>
        </w:rPr>
        <w:t xml:space="preserve"> </w:t>
      </w:r>
      <w:r w:rsidRPr="00297CF6">
        <w:rPr>
          <w:rFonts w:cs="Courier New"/>
        </w:rPr>
        <w:t>As to databases, it was very important</w:t>
      </w:r>
      <w:r w:rsidR="000E550F">
        <w:rPr>
          <w:rFonts w:cs="Courier New"/>
        </w:rPr>
        <w:t>,</w:t>
      </w:r>
      <w:r w:rsidRPr="00297CF6">
        <w:rPr>
          <w:rFonts w:cs="Courier New"/>
        </w:rPr>
        <w:t xml:space="preserve"> but it should be only one of the tools.  It had more detailed comments and needed to further study the document before it could submit its opinion.</w:t>
      </w:r>
    </w:p>
    <w:p w:rsidR="00FD12C2" w:rsidRPr="00FD12C2" w:rsidRDefault="00FD12C2" w:rsidP="00FD12C2">
      <w:pPr>
        <w:rPr>
          <w:rFonts w:cs="Courier New"/>
        </w:rPr>
      </w:pPr>
    </w:p>
    <w:p w:rsidR="00FD12C2" w:rsidRPr="007615F9" w:rsidRDefault="00297CF6" w:rsidP="00FD12C2">
      <w:pPr>
        <w:pStyle w:val="ListParagraph"/>
        <w:numPr>
          <w:ilvl w:val="0"/>
          <w:numId w:val="4"/>
        </w:numPr>
        <w:ind w:left="0" w:firstLine="0"/>
      </w:pPr>
      <w:r w:rsidRPr="007615F9">
        <w:rPr>
          <w:rFonts w:cs="Courier New"/>
        </w:rPr>
        <w:t>The Delegation of Republic of Korea agreed with</w:t>
      </w:r>
      <w:r w:rsidR="00674C44" w:rsidRPr="007615F9">
        <w:rPr>
          <w:rFonts w:cs="Courier New"/>
        </w:rPr>
        <w:t xml:space="preserve"> the comments made by</w:t>
      </w:r>
      <w:r w:rsidRPr="007615F9">
        <w:rPr>
          <w:rFonts w:cs="Courier New"/>
        </w:rPr>
        <w:t xml:space="preserve"> the Delegation of Switzerland </w:t>
      </w:r>
      <w:r w:rsidR="00FD12C2" w:rsidRPr="007615F9">
        <w:rPr>
          <w:rFonts w:cs="Courier New"/>
        </w:rPr>
        <w:t>on</w:t>
      </w:r>
      <w:r w:rsidRPr="007615F9">
        <w:rPr>
          <w:rFonts w:cs="Courier New"/>
        </w:rPr>
        <w:t xml:space="preserve"> Article 1.  The definitions needed to be consistent with those used in other international instruments.  Some of the definitions contained a lot more than the definitions in other international instruments.  It was not in a position to support Article 9, which was in conflict with its patent system.  With regard</w:t>
      </w:r>
      <w:r w:rsidR="007615F9" w:rsidRPr="007615F9">
        <w:rPr>
          <w:rFonts w:cs="Courier New"/>
        </w:rPr>
        <w:t xml:space="preserve"> to the titles used in Part II </w:t>
      </w:r>
      <w:r w:rsidRPr="007615F9">
        <w:rPr>
          <w:rFonts w:cs="Courier New"/>
        </w:rPr>
        <w:t>and in Part III, it supported the</w:t>
      </w:r>
      <w:r w:rsidR="007615F9" w:rsidRPr="007615F9">
        <w:rPr>
          <w:rFonts w:cs="Courier New"/>
        </w:rPr>
        <w:t xml:space="preserve"> comments made by the</w:t>
      </w:r>
      <w:r w:rsidRPr="007615F9">
        <w:rPr>
          <w:rFonts w:cs="Courier New"/>
        </w:rPr>
        <w:t xml:space="preserve"> Delegation of Japan.</w:t>
      </w:r>
    </w:p>
    <w:p w:rsidR="00FD12C2" w:rsidRPr="007615F9" w:rsidRDefault="00FD12C2" w:rsidP="00FD12C2">
      <w:pPr>
        <w:rPr>
          <w:rFonts w:cs="Courier New"/>
        </w:rPr>
      </w:pPr>
    </w:p>
    <w:p w:rsidR="00FD12C2" w:rsidRPr="007615F9" w:rsidRDefault="00297CF6" w:rsidP="00FD12C2">
      <w:pPr>
        <w:pStyle w:val="ListParagraph"/>
        <w:numPr>
          <w:ilvl w:val="0"/>
          <w:numId w:val="4"/>
        </w:numPr>
        <w:ind w:left="0" w:firstLine="0"/>
      </w:pPr>
      <w:r w:rsidRPr="007615F9">
        <w:rPr>
          <w:rFonts w:cs="Courier New"/>
        </w:rPr>
        <w:t xml:space="preserve">The Delegation of the USA recognized the comments </w:t>
      </w:r>
      <w:r w:rsidR="007615F9" w:rsidRPr="007615F9">
        <w:rPr>
          <w:rFonts w:cs="Courier New"/>
        </w:rPr>
        <w:t>on</w:t>
      </w:r>
      <w:r w:rsidRPr="007615F9">
        <w:rPr>
          <w:rFonts w:cs="Courier New"/>
        </w:rPr>
        <w:t xml:space="preserve"> the necessity of using brackets and their utility.  It had noted in plenary specific concerns about Article 2(a) and (b) on objectives that </w:t>
      </w:r>
      <w:proofErr w:type="gramStart"/>
      <w:r w:rsidRPr="007615F9">
        <w:rPr>
          <w:rFonts w:cs="Courier New"/>
        </w:rPr>
        <w:t>were not reflected</w:t>
      </w:r>
      <w:proofErr w:type="gramEnd"/>
      <w:r w:rsidRPr="007615F9">
        <w:rPr>
          <w:rFonts w:cs="Courier New"/>
        </w:rPr>
        <w:t xml:space="preserve"> in Rev</w:t>
      </w:r>
      <w:r w:rsidR="007615F9" w:rsidRPr="007615F9">
        <w:rPr>
          <w:rFonts w:cs="Courier New"/>
        </w:rPr>
        <w:t>.</w:t>
      </w:r>
      <w:r w:rsidRPr="007615F9">
        <w:rPr>
          <w:rFonts w:cs="Courier New"/>
        </w:rPr>
        <w:t xml:space="preserve"> 2.  It asked that the </w:t>
      </w:r>
      <w:r w:rsidR="008D5BE9">
        <w:rPr>
          <w:rFonts w:cs="Courier New"/>
        </w:rPr>
        <w:t>IGC continue to follow the WIPO </w:t>
      </w:r>
      <w:r w:rsidRPr="007615F9">
        <w:rPr>
          <w:rFonts w:cs="Courier New"/>
        </w:rPr>
        <w:t>procedure.</w:t>
      </w:r>
      <w:r w:rsidR="00FD12C2" w:rsidRPr="007615F9">
        <w:rPr>
          <w:rFonts w:cs="Courier New"/>
        </w:rPr>
        <w:t xml:space="preserve"> </w:t>
      </w:r>
      <w:r w:rsidRPr="007615F9">
        <w:rPr>
          <w:rFonts w:cs="Courier New"/>
        </w:rPr>
        <w:t xml:space="preserve"> It had not had the opportunity to consider and comment on the alternative preamble and other language contained in Rev</w:t>
      </w:r>
      <w:r w:rsidR="007615F9" w:rsidRPr="007615F9">
        <w:rPr>
          <w:rFonts w:cs="Courier New"/>
        </w:rPr>
        <w:t>.</w:t>
      </w:r>
      <w:r w:rsidRPr="007615F9">
        <w:rPr>
          <w:rFonts w:cs="Courier New"/>
        </w:rPr>
        <w:t xml:space="preserve"> 2.</w:t>
      </w:r>
    </w:p>
    <w:p w:rsidR="00FD12C2" w:rsidRPr="00FD12C2" w:rsidRDefault="00FD12C2" w:rsidP="00FD12C2">
      <w:pPr>
        <w:rPr>
          <w:rFonts w:cs="Courier New"/>
        </w:rPr>
      </w:pPr>
    </w:p>
    <w:p w:rsidR="00FD12C2" w:rsidRPr="00FD12C2" w:rsidRDefault="00297CF6" w:rsidP="00FD12C2">
      <w:pPr>
        <w:pStyle w:val="ListParagraph"/>
        <w:numPr>
          <w:ilvl w:val="0"/>
          <w:numId w:val="4"/>
        </w:numPr>
        <w:ind w:left="0" w:firstLine="0"/>
      </w:pPr>
      <w:r w:rsidRPr="00FD12C2">
        <w:rPr>
          <w:rFonts w:cs="Courier New"/>
        </w:rPr>
        <w:t xml:space="preserve">The Delegation of Ecuador supported the inclusion of Article 9 as proposed by the Delegation of </w:t>
      </w:r>
      <w:r w:rsidR="006E31C3">
        <w:t xml:space="preserve">the Plurinational State of </w:t>
      </w:r>
      <w:r w:rsidRPr="00FD12C2">
        <w:rPr>
          <w:rFonts w:cs="Courier New"/>
        </w:rPr>
        <w:t xml:space="preserve">Bolivia. </w:t>
      </w:r>
      <w:r w:rsidR="007615F9">
        <w:rPr>
          <w:rFonts w:cs="Courier New"/>
        </w:rPr>
        <w:t xml:space="preserve"> </w:t>
      </w:r>
      <w:r w:rsidRPr="00FD12C2">
        <w:rPr>
          <w:rFonts w:cs="Courier New"/>
        </w:rPr>
        <w:t>It reflected one of</w:t>
      </w:r>
      <w:r w:rsidR="008D5BE9">
        <w:rPr>
          <w:rFonts w:cs="Courier New"/>
        </w:rPr>
        <w:t xml:space="preserve"> the basic principles of the IP </w:t>
      </w:r>
      <w:r w:rsidRPr="00FD12C2">
        <w:rPr>
          <w:rFonts w:cs="Courier New"/>
        </w:rPr>
        <w:t>system, the non</w:t>
      </w:r>
      <w:r w:rsidR="006E31C3">
        <w:rPr>
          <w:rFonts w:hAnsi="Monaco" w:cs="Monaco"/>
        </w:rPr>
        <w:t>-</w:t>
      </w:r>
      <w:r w:rsidRPr="00FD12C2">
        <w:rPr>
          <w:rFonts w:cs="Courier New"/>
        </w:rPr>
        <w:t xml:space="preserve">patentability principle, and </w:t>
      </w:r>
      <w:proofErr w:type="gramStart"/>
      <w:r w:rsidRPr="00FD12C2">
        <w:rPr>
          <w:rFonts w:cs="Courier New"/>
        </w:rPr>
        <w:t>it also</w:t>
      </w:r>
      <w:proofErr w:type="gramEnd"/>
      <w:r w:rsidRPr="00FD12C2">
        <w:rPr>
          <w:rFonts w:cs="Courier New"/>
        </w:rPr>
        <w:t xml:space="preserve"> formed part of the norms existing in many countries such as Ecuador.  It wished to discuss Article 9 in future negotiations.</w:t>
      </w:r>
    </w:p>
    <w:p w:rsidR="00FD12C2" w:rsidRPr="00FD12C2" w:rsidRDefault="00FD12C2" w:rsidP="00FD12C2">
      <w:pPr>
        <w:rPr>
          <w:rFonts w:cs="Courier New"/>
        </w:rPr>
      </w:pPr>
    </w:p>
    <w:p w:rsidR="00642665" w:rsidRPr="00642665" w:rsidRDefault="00297CF6" w:rsidP="00642665">
      <w:pPr>
        <w:pStyle w:val="ListParagraph"/>
        <w:numPr>
          <w:ilvl w:val="0"/>
          <w:numId w:val="4"/>
        </w:numPr>
        <w:ind w:left="0" w:firstLine="0"/>
      </w:pPr>
      <w:r w:rsidRPr="00FD12C2">
        <w:rPr>
          <w:rFonts w:cs="Courier New"/>
        </w:rPr>
        <w:t xml:space="preserve">The Delegation of Indonesia supported the statements </w:t>
      </w:r>
      <w:r w:rsidR="00CD191C">
        <w:rPr>
          <w:rFonts w:cs="Courier New"/>
        </w:rPr>
        <w:t xml:space="preserve">made </w:t>
      </w:r>
      <w:r w:rsidRPr="00FD12C2">
        <w:rPr>
          <w:rFonts w:cs="Courier New"/>
        </w:rPr>
        <w:t>by</w:t>
      </w:r>
      <w:r w:rsidR="00FD12C2">
        <w:rPr>
          <w:rFonts w:cs="Courier New"/>
        </w:rPr>
        <w:t xml:space="preserve"> the Delegation of Indonesia</w:t>
      </w:r>
      <w:r w:rsidR="00CD191C">
        <w:rPr>
          <w:rFonts w:cs="Courier New"/>
        </w:rPr>
        <w:t>,</w:t>
      </w:r>
      <w:r w:rsidR="00FD12C2">
        <w:rPr>
          <w:rFonts w:cs="Courier New"/>
        </w:rPr>
        <w:t xml:space="preserve"> on behalf of</w:t>
      </w:r>
      <w:r w:rsidR="00CD191C">
        <w:rPr>
          <w:rFonts w:cs="Courier New"/>
        </w:rPr>
        <w:t xml:space="preserve"> the LMCs and the Asia-</w:t>
      </w:r>
      <w:r w:rsidRPr="00FD12C2">
        <w:rPr>
          <w:rFonts w:cs="Courier New"/>
        </w:rPr>
        <w:t>Pacific Group</w:t>
      </w:r>
      <w:r w:rsidR="00CD191C">
        <w:rPr>
          <w:rFonts w:cs="Courier New"/>
        </w:rPr>
        <w:t>,</w:t>
      </w:r>
      <w:r w:rsidRPr="00FD12C2">
        <w:rPr>
          <w:rFonts w:cs="Courier New"/>
        </w:rPr>
        <w:t xml:space="preserve"> according to which the discussions </w:t>
      </w:r>
      <w:proofErr w:type="gramStart"/>
      <w:r w:rsidRPr="00FD12C2">
        <w:rPr>
          <w:rFonts w:cs="Courier New"/>
        </w:rPr>
        <w:t>could be based</w:t>
      </w:r>
      <w:proofErr w:type="gramEnd"/>
      <w:r w:rsidRPr="00FD12C2">
        <w:rPr>
          <w:rFonts w:cs="Courier New"/>
        </w:rPr>
        <w:t xml:space="preserve"> on Rev</w:t>
      </w:r>
      <w:r w:rsidR="00CD191C">
        <w:rPr>
          <w:rFonts w:cs="Courier New"/>
        </w:rPr>
        <w:t>.</w:t>
      </w:r>
      <w:r w:rsidRPr="00FD12C2">
        <w:rPr>
          <w:rFonts w:cs="Courier New"/>
        </w:rPr>
        <w:t xml:space="preserve"> 2.  It welcomed and preferred the altern</w:t>
      </w:r>
      <w:r w:rsidR="00CD191C">
        <w:rPr>
          <w:rFonts w:cs="Courier New"/>
        </w:rPr>
        <w:t>ative preamble proposed by the f</w:t>
      </w:r>
      <w:r w:rsidRPr="00FD12C2">
        <w:rPr>
          <w:rFonts w:cs="Courier New"/>
        </w:rPr>
        <w:t>acilitator</w:t>
      </w:r>
      <w:r w:rsidR="00CD191C">
        <w:rPr>
          <w:rFonts w:cs="Courier New"/>
        </w:rPr>
        <w:t xml:space="preserve"> and the Friend of the Chair</w:t>
      </w:r>
      <w:r w:rsidRPr="00FD12C2">
        <w:rPr>
          <w:rFonts w:cs="Courier New"/>
        </w:rPr>
        <w:t xml:space="preserve">.  In </w:t>
      </w:r>
      <w:proofErr w:type="gramStart"/>
      <w:r w:rsidRPr="00FD12C2">
        <w:rPr>
          <w:rFonts w:cs="Courier New"/>
        </w:rPr>
        <w:t>paragraph</w:t>
      </w:r>
      <w:proofErr w:type="gramEnd"/>
      <w:r w:rsidRPr="00FD12C2">
        <w:rPr>
          <w:rFonts w:cs="Courier New"/>
        </w:rPr>
        <w:t xml:space="preserve"> 9 of the preamble, the language about the stability and predictability of granted patents would prejudice the outcome </w:t>
      </w:r>
      <w:r w:rsidRPr="00FD12C2">
        <w:rPr>
          <w:rFonts w:cs="Courier New"/>
        </w:rPr>
        <w:lastRenderedPageBreak/>
        <w:t xml:space="preserve">and subject matter of the document.  That language </w:t>
      </w:r>
      <w:proofErr w:type="gramStart"/>
      <w:r w:rsidRPr="00FD12C2">
        <w:rPr>
          <w:rFonts w:cs="Courier New"/>
        </w:rPr>
        <w:t>should be bracketed</w:t>
      </w:r>
      <w:proofErr w:type="gramEnd"/>
      <w:r w:rsidRPr="00FD12C2">
        <w:rPr>
          <w:rFonts w:cs="Courier New"/>
        </w:rPr>
        <w:t xml:space="preserve">. </w:t>
      </w:r>
      <w:r w:rsidR="00FD12C2">
        <w:rPr>
          <w:rFonts w:cs="Courier New"/>
        </w:rPr>
        <w:t xml:space="preserve"> </w:t>
      </w:r>
      <w:r w:rsidRPr="00FD12C2">
        <w:rPr>
          <w:rFonts w:cs="Courier New"/>
        </w:rPr>
        <w:t>Regarding the definitions, it shared the position of the LMCs that the “derivative” definition should be under the term used in the operative articles.  With regard to derivatives, it und</w:t>
      </w:r>
      <w:r w:rsidR="00CD191C">
        <w:rPr>
          <w:rFonts w:cs="Courier New"/>
        </w:rPr>
        <w:t>erstood the explanation by the f</w:t>
      </w:r>
      <w:r w:rsidRPr="00FD12C2">
        <w:rPr>
          <w:rFonts w:cs="Courier New"/>
        </w:rPr>
        <w:t xml:space="preserve">acilitator and could go along with that idea, but there was no guarantee that Member States would agree on the definition of GRs. </w:t>
      </w:r>
      <w:r w:rsidR="00FD12C2">
        <w:rPr>
          <w:rFonts w:cs="Courier New"/>
        </w:rPr>
        <w:t xml:space="preserve"> </w:t>
      </w:r>
      <w:r w:rsidR="00CD191C">
        <w:rPr>
          <w:rFonts w:cs="Courier New"/>
        </w:rPr>
        <w:t>Regarding</w:t>
      </w:r>
      <w:r w:rsidRPr="00FD12C2">
        <w:rPr>
          <w:rFonts w:cs="Courier New"/>
        </w:rPr>
        <w:t xml:space="preserve"> Article 2(c), it was a defensive measure and it should be complementary. </w:t>
      </w:r>
      <w:r w:rsidR="00FD12C2">
        <w:rPr>
          <w:rFonts w:cs="Courier New"/>
        </w:rPr>
        <w:t xml:space="preserve"> </w:t>
      </w:r>
      <w:r w:rsidRPr="00FD12C2">
        <w:rPr>
          <w:rFonts w:cs="Courier New"/>
        </w:rPr>
        <w:t>Moreover, the word “ensuring” would put a burden on IP offices.  It wished to discuss further that provision.  With regard to Article 5, ALT paragraph</w:t>
      </w:r>
      <w:r w:rsidR="00FD12C2">
        <w:rPr>
          <w:rFonts w:cs="Courier New"/>
        </w:rPr>
        <w:t xml:space="preserve"> 5.1,</w:t>
      </w:r>
      <w:r w:rsidRPr="00FD12C2">
        <w:rPr>
          <w:rFonts w:cs="Courier New"/>
        </w:rPr>
        <w:t xml:space="preserve"> for the sake of consistency with the other paragraphs (a) to (f), paragraph (g) </w:t>
      </w:r>
      <w:proofErr w:type="gramStart"/>
      <w:r w:rsidRPr="00FD12C2">
        <w:rPr>
          <w:rFonts w:cs="Courier New"/>
        </w:rPr>
        <w:t>should also be put</w:t>
      </w:r>
      <w:proofErr w:type="gramEnd"/>
      <w:r w:rsidRPr="00FD12C2">
        <w:rPr>
          <w:rFonts w:cs="Courier New"/>
        </w:rPr>
        <w:t xml:space="preserve"> in brackets.  It supported Article 6, paragraphs 6.1 and 6.2.  With regard to alternative 6.2(a</w:t>
      </w:r>
      <w:proofErr w:type="gramStart"/>
      <w:r w:rsidRPr="00FD12C2">
        <w:rPr>
          <w:rFonts w:cs="Courier New"/>
        </w:rPr>
        <w:t>)(</w:t>
      </w:r>
      <w:proofErr w:type="gramEnd"/>
      <w:r w:rsidRPr="00FD12C2">
        <w:rPr>
          <w:rFonts w:cs="Courier New"/>
        </w:rPr>
        <w:t xml:space="preserve">iv), there was an addition providing an opportunity for IP/patent applicants to supplement the IP, and that was not actually part of sanction or remedies, so another place </w:t>
      </w:r>
      <w:r w:rsidR="00CD191C" w:rsidRPr="00FD12C2">
        <w:rPr>
          <w:rFonts w:cs="Courier New"/>
        </w:rPr>
        <w:t>should</w:t>
      </w:r>
      <w:r w:rsidR="00CD191C">
        <w:rPr>
          <w:rFonts w:cs="Courier New"/>
        </w:rPr>
        <w:t xml:space="preserve"> be found</w:t>
      </w:r>
      <w:r w:rsidR="00CD191C" w:rsidRPr="00FD12C2">
        <w:rPr>
          <w:rFonts w:cs="Courier New"/>
        </w:rPr>
        <w:t xml:space="preserve"> </w:t>
      </w:r>
      <w:r w:rsidRPr="00FD12C2">
        <w:rPr>
          <w:rFonts w:cs="Courier New"/>
        </w:rPr>
        <w:t>for that provision, perhaps under Article 8.  With regard to paragraph 6.3, it under</w:t>
      </w:r>
      <w:r w:rsidR="00CD191C">
        <w:rPr>
          <w:rFonts w:cs="Courier New"/>
        </w:rPr>
        <w:t>stood that the reason that the f</w:t>
      </w:r>
      <w:r w:rsidRPr="00FD12C2">
        <w:rPr>
          <w:rFonts w:cs="Courier New"/>
        </w:rPr>
        <w:t>acilitator</w:t>
      </w:r>
      <w:r w:rsidR="00CD191C">
        <w:rPr>
          <w:rFonts w:cs="Courier New"/>
        </w:rPr>
        <w:t xml:space="preserve"> and the Friend of the Chair</w:t>
      </w:r>
      <w:r w:rsidRPr="00FD12C2">
        <w:rPr>
          <w:rFonts w:cs="Courier New"/>
        </w:rPr>
        <w:t xml:space="preserve"> had put it was because Member States were reluctant to include revocation, but paragraph 6.3 was too descriptive, especially as compared to other measures. </w:t>
      </w:r>
    </w:p>
    <w:p w:rsidR="00642665" w:rsidRPr="00642665" w:rsidRDefault="00642665" w:rsidP="00642665">
      <w:pPr>
        <w:pStyle w:val="ListParagraph"/>
        <w:ind w:left="0"/>
      </w:pPr>
    </w:p>
    <w:p w:rsidR="00642665" w:rsidRPr="00642665" w:rsidRDefault="00642665" w:rsidP="00642665">
      <w:pPr>
        <w:pStyle w:val="ListParagraph"/>
        <w:numPr>
          <w:ilvl w:val="0"/>
          <w:numId w:val="4"/>
        </w:numPr>
        <w:ind w:left="0" w:firstLine="0"/>
      </w:pPr>
      <w:r w:rsidRPr="00642665">
        <w:rPr>
          <w:rFonts w:cs="Courier New"/>
        </w:rPr>
        <w:t>The Delegation of Canada said that there was a proposal to remove the brac</w:t>
      </w:r>
      <w:r w:rsidR="00CD191C">
        <w:rPr>
          <w:rFonts w:cs="Courier New"/>
        </w:rPr>
        <w:t>kets around the term “mandatory</w:t>
      </w:r>
      <w:r w:rsidRPr="00642665">
        <w:rPr>
          <w:rFonts w:cs="Courier New"/>
        </w:rPr>
        <w:t>”</w:t>
      </w:r>
      <w:r w:rsidR="00CD191C">
        <w:rPr>
          <w:rFonts w:cs="Courier New"/>
        </w:rPr>
        <w:t>.</w:t>
      </w:r>
      <w:r w:rsidRPr="00642665">
        <w:rPr>
          <w:rFonts w:cs="Courier New"/>
        </w:rPr>
        <w:t xml:space="preserve">  That </w:t>
      </w:r>
      <w:proofErr w:type="gramStart"/>
      <w:r w:rsidRPr="00642665">
        <w:rPr>
          <w:rFonts w:cs="Courier New"/>
        </w:rPr>
        <w:t>had not been discussed</w:t>
      </w:r>
      <w:proofErr w:type="gramEnd"/>
      <w:r w:rsidRPr="00642665">
        <w:rPr>
          <w:rFonts w:cs="Courier New"/>
        </w:rPr>
        <w:t xml:space="preserve"> in plenary and, with respect, it was an error.  While it understood that some Member States advocated for the text, the removal of the brackets created a problem, excluding the opportunity of voluntary disclosure as an outcome. </w:t>
      </w:r>
      <w:r>
        <w:rPr>
          <w:rFonts w:cs="Courier New"/>
        </w:rPr>
        <w:t xml:space="preserve"> </w:t>
      </w:r>
      <w:r w:rsidRPr="00642665">
        <w:rPr>
          <w:rFonts w:cs="Courier New"/>
        </w:rPr>
        <w:t xml:space="preserve">Voluntary disclosure should remain an option </w:t>
      </w:r>
      <w:proofErr w:type="gramStart"/>
      <w:r w:rsidRPr="00642665">
        <w:rPr>
          <w:rFonts w:cs="Courier New"/>
        </w:rPr>
        <w:t>so as to</w:t>
      </w:r>
      <w:proofErr w:type="gramEnd"/>
      <w:r w:rsidRPr="00642665">
        <w:rPr>
          <w:rFonts w:cs="Courier New"/>
        </w:rPr>
        <w:t xml:space="preserve"> enable consideration of the full range of policy options and to avoid creating mutually exclusive black-and-white options with no room for mutual landing zones.  ALT Article 4 was not about voluntary disclosure </w:t>
      </w:r>
      <w:r>
        <w:rPr>
          <w:rFonts w:cs="Courier New"/>
        </w:rPr>
        <w:t xml:space="preserve">and </w:t>
      </w:r>
      <w:proofErr w:type="gramStart"/>
      <w:r w:rsidRPr="00642665">
        <w:rPr>
          <w:rFonts w:cs="Courier New"/>
        </w:rPr>
        <w:t>was seen</w:t>
      </w:r>
      <w:proofErr w:type="gramEnd"/>
      <w:r w:rsidRPr="00642665">
        <w:rPr>
          <w:rFonts w:cs="Courier New"/>
        </w:rPr>
        <w:t xml:space="preserve"> as the counterpart of the mandatory disclosure provisi</w:t>
      </w:r>
      <w:r w:rsidR="00CD191C">
        <w:rPr>
          <w:rFonts w:cs="Courier New"/>
        </w:rPr>
        <w:t>ons found in Article 4</w:t>
      </w:r>
      <w:r>
        <w:rPr>
          <w:rFonts w:cs="Courier New"/>
        </w:rPr>
        <w:t>.</w:t>
      </w:r>
      <w:r w:rsidRPr="00642665">
        <w:rPr>
          <w:rFonts w:cs="Courier New"/>
        </w:rPr>
        <w:t xml:space="preserve"> </w:t>
      </w:r>
      <w:r>
        <w:rPr>
          <w:rFonts w:cs="Courier New"/>
        </w:rPr>
        <w:t xml:space="preserve"> </w:t>
      </w:r>
      <w:r w:rsidRPr="00642665">
        <w:rPr>
          <w:rFonts w:cs="Courier New"/>
        </w:rPr>
        <w:t>It fully contemplate</w:t>
      </w:r>
      <w:r>
        <w:rPr>
          <w:rFonts w:cs="Courier New"/>
        </w:rPr>
        <w:t>d</w:t>
      </w:r>
      <w:r w:rsidRPr="00642665">
        <w:rPr>
          <w:rFonts w:cs="Courier New"/>
        </w:rPr>
        <w:t xml:space="preserve"> that possibility with a view to allowing</w:t>
      </w:r>
      <w:r>
        <w:rPr>
          <w:rFonts w:cs="Courier New"/>
        </w:rPr>
        <w:t xml:space="preserve"> all</w:t>
      </w:r>
      <w:r w:rsidRPr="00642665">
        <w:rPr>
          <w:rFonts w:cs="Courier New"/>
        </w:rPr>
        <w:t xml:space="preserve"> options, including voluntary disclosure</w:t>
      </w:r>
      <w:r>
        <w:rPr>
          <w:rFonts w:cs="Courier New"/>
        </w:rPr>
        <w:t>,</w:t>
      </w:r>
      <w:r w:rsidRPr="00642665">
        <w:rPr>
          <w:rFonts w:cs="Courier New"/>
        </w:rPr>
        <w:t xml:space="preserve"> to remain on the table. </w:t>
      </w:r>
      <w:r>
        <w:rPr>
          <w:rFonts w:cs="Courier New"/>
        </w:rPr>
        <w:t xml:space="preserve"> </w:t>
      </w:r>
      <w:r w:rsidRPr="00642665">
        <w:rPr>
          <w:rFonts w:cs="Courier New"/>
        </w:rPr>
        <w:t>To avoid causing false issue</w:t>
      </w:r>
      <w:r w:rsidR="00CD191C">
        <w:rPr>
          <w:rFonts w:cs="Courier New"/>
        </w:rPr>
        <w:t>s, it requested square brackets</w:t>
      </w:r>
      <w:r w:rsidRPr="00642665">
        <w:rPr>
          <w:rFonts w:cs="Courier New"/>
        </w:rPr>
        <w:t xml:space="preserve">. </w:t>
      </w:r>
      <w:r>
        <w:rPr>
          <w:rFonts w:cs="Courier New"/>
        </w:rPr>
        <w:t xml:space="preserve"> </w:t>
      </w:r>
      <w:r w:rsidRPr="00642665">
        <w:rPr>
          <w:rFonts w:cs="Courier New"/>
        </w:rPr>
        <w:t xml:space="preserve">IGC 35 had not discussed voluntary disclosure and </w:t>
      </w:r>
      <w:r>
        <w:rPr>
          <w:rFonts w:cs="Courier New"/>
        </w:rPr>
        <w:t xml:space="preserve">new </w:t>
      </w:r>
      <w:r w:rsidRPr="00642665">
        <w:rPr>
          <w:rFonts w:cs="Courier New"/>
        </w:rPr>
        <w:t xml:space="preserve">wording </w:t>
      </w:r>
      <w:proofErr w:type="gramStart"/>
      <w:r w:rsidRPr="00642665">
        <w:rPr>
          <w:rFonts w:cs="Courier New"/>
        </w:rPr>
        <w:t>was needed</w:t>
      </w:r>
      <w:proofErr w:type="gramEnd"/>
      <w:r w:rsidRPr="00642665">
        <w:rPr>
          <w:rFonts w:cs="Courier New"/>
        </w:rPr>
        <w:t xml:space="preserve"> to better reflect that option in the text. </w:t>
      </w:r>
      <w:r>
        <w:rPr>
          <w:rFonts w:cs="Courier New"/>
        </w:rPr>
        <w:t xml:space="preserve"> </w:t>
      </w:r>
      <w:r w:rsidRPr="00642665">
        <w:rPr>
          <w:rFonts w:cs="Courier New"/>
        </w:rPr>
        <w:t xml:space="preserve">That </w:t>
      </w:r>
      <w:proofErr w:type="gramStart"/>
      <w:r>
        <w:rPr>
          <w:rFonts w:cs="Courier New"/>
        </w:rPr>
        <w:t>could be done</w:t>
      </w:r>
      <w:proofErr w:type="gramEnd"/>
      <w:r w:rsidRPr="00642665">
        <w:rPr>
          <w:rFonts w:cs="Courier New"/>
        </w:rPr>
        <w:t xml:space="preserve"> at IGC 36.  It </w:t>
      </w:r>
      <w:r>
        <w:rPr>
          <w:rFonts w:cs="Courier New"/>
        </w:rPr>
        <w:t xml:space="preserve">did not want </w:t>
      </w:r>
      <w:r w:rsidRPr="00642665">
        <w:rPr>
          <w:rFonts w:cs="Courier New"/>
        </w:rPr>
        <w:t xml:space="preserve">voluntary disclosure </w:t>
      </w:r>
      <w:r>
        <w:rPr>
          <w:rFonts w:cs="Courier New"/>
        </w:rPr>
        <w:t>to</w:t>
      </w:r>
      <w:r w:rsidRPr="00642665">
        <w:rPr>
          <w:rFonts w:cs="Courier New"/>
        </w:rPr>
        <w:t xml:space="preserve"> disappear as an option.</w:t>
      </w:r>
      <w:r>
        <w:rPr>
          <w:rFonts w:cs="Courier New"/>
        </w:rPr>
        <w:t xml:space="preserve">  W</w:t>
      </w:r>
      <w:r w:rsidRPr="00642665">
        <w:rPr>
          <w:rFonts w:cs="Courier New"/>
        </w:rPr>
        <w:t>ithout prejudice to its positions, Rev</w:t>
      </w:r>
      <w:r w:rsidR="00CD191C">
        <w:rPr>
          <w:rFonts w:cs="Courier New"/>
        </w:rPr>
        <w:t>.</w:t>
      </w:r>
      <w:r w:rsidRPr="00642665">
        <w:rPr>
          <w:rFonts w:cs="Courier New"/>
        </w:rPr>
        <w:t xml:space="preserve"> 2 was a useful basis for further discussions.</w:t>
      </w:r>
    </w:p>
    <w:p w:rsidR="00642665" w:rsidRPr="00642665" w:rsidRDefault="00642665" w:rsidP="00642665">
      <w:pPr>
        <w:pStyle w:val="ListParagraph"/>
        <w:ind w:left="0"/>
      </w:pPr>
    </w:p>
    <w:p w:rsidR="00CC5E02" w:rsidRPr="00CC5E02" w:rsidRDefault="00642665" w:rsidP="00CC5E02">
      <w:pPr>
        <w:pStyle w:val="ListParagraph"/>
        <w:numPr>
          <w:ilvl w:val="0"/>
          <w:numId w:val="4"/>
        </w:numPr>
        <w:ind w:left="0" w:firstLine="0"/>
      </w:pPr>
      <w:r w:rsidRPr="00642665">
        <w:rPr>
          <w:rFonts w:cs="Courier New"/>
        </w:rPr>
        <w:t>The Delegation of Mexico said it could continue to work on Rev</w:t>
      </w:r>
      <w:r w:rsidR="00CD191C">
        <w:rPr>
          <w:rFonts w:cs="Courier New"/>
        </w:rPr>
        <w:t>.</w:t>
      </w:r>
      <w:r w:rsidRPr="00642665">
        <w:rPr>
          <w:rFonts w:cs="Courier New"/>
        </w:rPr>
        <w:t xml:space="preserve"> 2 at IGC 36.</w:t>
      </w:r>
    </w:p>
    <w:p w:rsidR="00CC5E02" w:rsidRPr="00CC5E02" w:rsidRDefault="00CC5E02" w:rsidP="00CC5E02">
      <w:pPr>
        <w:rPr>
          <w:rFonts w:cs="Courier New"/>
        </w:rPr>
      </w:pPr>
    </w:p>
    <w:p w:rsidR="00145408" w:rsidRPr="00145408" w:rsidRDefault="00CC5E02" w:rsidP="00145408">
      <w:pPr>
        <w:pStyle w:val="ListParagraph"/>
        <w:numPr>
          <w:ilvl w:val="0"/>
          <w:numId w:val="4"/>
        </w:numPr>
        <w:ind w:left="0" w:firstLine="0"/>
      </w:pPr>
      <w:r w:rsidRPr="00CC5E02">
        <w:rPr>
          <w:rFonts w:cs="Courier New"/>
        </w:rPr>
        <w:t xml:space="preserve">The Delegation of Brazil said that the definition of “derivatives” should be under the scope of the treaty and therefore it could not feature under “other terms” and </w:t>
      </w:r>
      <w:proofErr w:type="gramStart"/>
      <w:r w:rsidRPr="00CC5E02">
        <w:rPr>
          <w:rFonts w:cs="Courier New"/>
        </w:rPr>
        <w:t>should be moved</w:t>
      </w:r>
      <w:proofErr w:type="gramEnd"/>
      <w:r w:rsidRPr="00CC5E02">
        <w:rPr>
          <w:rFonts w:cs="Courier New"/>
        </w:rPr>
        <w:t xml:space="preserve"> to the operative part.  It noted that the definition was contained in the definition of GRs</w:t>
      </w:r>
      <w:r>
        <w:rPr>
          <w:rFonts w:cs="Courier New"/>
        </w:rPr>
        <w:t>.  M</w:t>
      </w:r>
      <w:r w:rsidRPr="00CC5E02">
        <w:rPr>
          <w:rFonts w:cs="Courier New"/>
        </w:rPr>
        <w:t xml:space="preserve">ore discussions </w:t>
      </w:r>
      <w:proofErr w:type="gramStart"/>
      <w:r w:rsidRPr="00CC5E02">
        <w:rPr>
          <w:rFonts w:cs="Courier New"/>
        </w:rPr>
        <w:t>were needed</w:t>
      </w:r>
      <w:proofErr w:type="gramEnd"/>
      <w:r w:rsidRPr="00CC5E02">
        <w:rPr>
          <w:rFonts w:cs="Courier New"/>
        </w:rPr>
        <w:t xml:space="preserve"> at IGC 36 as to the proper place of the derivatives.  Derivatives </w:t>
      </w:r>
      <w:proofErr w:type="gramStart"/>
      <w:r w:rsidRPr="00CC5E02">
        <w:rPr>
          <w:rFonts w:cs="Courier New"/>
        </w:rPr>
        <w:t>were also mentioned</w:t>
      </w:r>
      <w:proofErr w:type="gramEnd"/>
      <w:r w:rsidRPr="00CC5E02">
        <w:rPr>
          <w:rFonts w:cs="Courier New"/>
        </w:rPr>
        <w:t xml:space="preserve"> in ALT Article 5.1(b) and therefore there were many </w:t>
      </w:r>
      <w:r w:rsidR="00891EF0">
        <w:rPr>
          <w:rFonts w:cs="Courier New"/>
        </w:rPr>
        <w:t>references to</w:t>
      </w:r>
      <w:r w:rsidRPr="00CC5E02">
        <w:rPr>
          <w:rFonts w:cs="Courier New"/>
        </w:rPr>
        <w:t xml:space="preserve"> that </w:t>
      </w:r>
      <w:r w:rsidR="00891EF0">
        <w:rPr>
          <w:rFonts w:cs="Courier New"/>
        </w:rPr>
        <w:t>concept</w:t>
      </w:r>
      <w:r w:rsidRPr="00CC5E02">
        <w:rPr>
          <w:rFonts w:cs="Courier New"/>
        </w:rPr>
        <w:t>.  Regarding Article 3, it supported the statement</w:t>
      </w:r>
      <w:r w:rsidR="00891EF0">
        <w:rPr>
          <w:rFonts w:cs="Courier New"/>
        </w:rPr>
        <w:t xml:space="preserve"> made</w:t>
      </w:r>
      <w:r w:rsidRPr="00CC5E02">
        <w:rPr>
          <w:rFonts w:cs="Courier New"/>
        </w:rPr>
        <w:t xml:space="preserve"> by the Delegation of Ecuador</w:t>
      </w:r>
      <w:r w:rsidR="00891EF0">
        <w:rPr>
          <w:rFonts w:cs="Courier New"/>
        </w:rPr>
        <w:t>,</w:t>
      </w:r>
      <w:r w:rsidRPr="00CC5E02">
        <w:rPr>
          <w:rFonts w:cs="Courier New"/>
        </w:rPr>
        <w:t xml:space="preserve"> on behalf of GRULAC</w:t>
      </w:r>
      <w:r w:rsidR="00891EF0">
        <w:rPr>
          <w:rFonts w:cs="Courier New"/>
        </w:rPr>
        <w:t>,</w:t>
      </w:r>
      <w:r w:rsidRPr="00CC5E02">
        <w:rPr>
          <w:rFonts w:cs="Courier New"/>
        </w:rPr>
        <w:t xml:space="preserve"> that “utilization of” </w:t>
      </w:r>
      <w:proofErr w:type="gramStart"/>
      <w:r w:rsidR="00891EF0" w:rsidRPr="00CC5E02">
        <w:rPr>
          <w:rFonts w:cs="Courier New"/>
        </w:rPr>
        <w:t xml:space="preserve">should </w:t>
      </w:r>
      <w:r w:rsidR="00891EF0">
        <w:rPr>
          <w:rFonts w:cs="Courier New"/>
        </w:rPr>
        <w:t xml:space="preserve">be </w:t>
      </w:r>
      <w:r w:rsidR="00891EF0" w:rsidRPr="00CC5E02">
        <w:rPr>
          <w:rFonts w:cs="Courier New"/>
        </w:rPr>
        <w:t>add</w:t>
      </w:r>
      <w:r w:rsidR="00891EF0">
        <w:rPr>
          <w:rFonts w:cs="Courier New"/>
        </w:rPr>
        <w:t>ed</w:t>
      </w:r>
      <w:proofErr w:type="gramEnd"/>
      <w:r w:rsidR="00891EF0" w:rsidRPr="00CC5E02">
        <w:rPr>
          <w:rFonts w:cs="Courier New"/>
        </w:rPr>
        <w:t xml:space="preserve"> </w:t>
      </w:r>
      <w:r w:rsidRPr="00CC5E02">
        <w:rPr>
          <w:rFonts w:cs="Courier New"/>
        </w:rPr>
        <w:t xml:space="preserve">before GRs. </w:t>
      </w:r>
      <w:r>
        <w:rPr>
          <w:rFonts w:cs="Courier New"/>
        </w:rPr>
        <w:t xml:space="preserve"> </w:t>
      </w:r>
      <w:r w:rsidRPr="00CC5E02">
        <w:rPr>
          <w:rFonts w:cs="Courier New"/>
        </w:rPr>
        <w:t>Article 4 should include “</w:t>
      </w:r>
      <w:r>
        <w:rPr>
          <w:rFonts w:cs="Courier New"/>
        </w:rPr>
        <w:t>P</w:t>
      </w:r>
      <w:r w:rsidR="00891EF0">
        <w:rPr>
          <w:rFonts w:cs="Courier New"/>
        </w:rPr>
        <w:t>arty” after “Member States</w:t>
      </w:r>
      <w:r w:rsidRPr="00CC5E02">
        <w:rPr>
          <w:rFonts w:cs="Courier New"/>
        </w:rPr>
        <w:t>”</w:t>
      </w:r>
      <w:r w:rsidR="00891EF0">
        <w:rPr>
          <w:rFonts w:cs="Courier New"/>
        </w:rPr>
        <w:t>,</w:t>
      </w:r>
      <w:r w:rsidRPr="00CC5E02">
        <w:rPr>
          <w:rFonts w:cs="Courier New"/>
        </w:rPr>
        <w:t xml:space="preserve"> both in paragraphs 4.1 and 4.2, as suggested by the Delegation of Switzerland in informals</w:t>
      </w:r>
      <w:proofErr w:type="gramStart"/>
      <w:r w:rsidRPr="00CC5E02">
        <w:rPr>
          <w:rFonts w:cs="Courier New"/>
        </w:rPr>
        <w:t>;</w:t>
      </w:r>
      <w:r w:rsidR="00891EF0">
        <w:rPr>
          <w:rFonts w:cs="Courier New"/>
        </w:rPr>
        <w:t xml:space="preserve"> </w:t>
      </w:r>
      <w:r w:rsidRPr="00CC5E02">
        <w:rPr>
          <w:rFonts w:cs="Courier New"/>
        </w:rPr>
        <w:t xml:space="preserve"> maybe</w:t>
      </w:r>
      <w:proofErr w:type="gramEnd"/>
      <w:r w:rsidRPr="00CC5E02">
        <w:rPr>
          <w:rFonts w:cs="Courier New"/>
        </w:rPr>
        <w:t xml:space="preserve"> it was an accidental omission.  It preferre</w:t>
      </w:r>
      <w:r w:rsidR="00891EF0">
        <w:rPr>
          <w:rFonts w:cs="Courier New"/>
        </w:rPr>
        <w:t>d the first proposal of</w:t>
      </w:r>
      <w:r w:rsidRPr="00CC5E02">
        <w:rPr>
          <w:rFonts w:cs="Courier New"/>
        </w:rPr>
        <w:t xml:space="preserve"> paragraph 4.2</w:t>
      </w:r>
      <w:r>
        <w:rPr>
          <w:rFonts w:cs="Courier New"/>
        </w:rPr>
        <w:t>,</w:t>
      </w:r>
      <w:r w:rsidRPr="00CC5E02">
        <w:rPr>
          <w:rFonts w:cs="Courier New"/>
        </w:rPr>
        <w:t xml:space="preserve"> as there was a need for flexibility for those countries that wished to require ABS and PIC.  In paragraph 4.3</w:t>
      </w:r>
      <w:r w:rsidR="00891EF0">
        <w:rPr>
          <w:rFonts w:cs="Courier New"/>
        </w:rPr>
        <w:t>,</w:t>
      </w:r>
      <w:r w:rsidRPr="00CC5E02">
        <w:rPr>
          <w:rFonts w:cs="Courier New"/>
        </w:rPr>
        <w:t xml:space="preserve"> it preferred to use the term “should” to </w:t>
      </w:r>
      <w:proofErr w:type="gramStart"/>
      <w:r w:rsidRPr="00CC5E02">
        <w:rPr>
          <w:rFonts w:cs="Courier New"/>
        </w:rPr>
        <w:t>read</w:t>
      </w:r>
      <w:proofErr w:type="gramEnd"/>
      <w:r w:rsidRPr="00CC5E02">
        <w:rPr>
          <w:rFonts w:cs="Courier New"/>
        </w:rPr>
        <w:t xml:space="preserve"> “the disclosure requirement</w:t>
      </w:r>
      <w:r w:rsidR="00336E61">
        <w:rPr>
          <w:rFonts w:cs="Courier New"/>
        </w:rPr>
        <w:t xml:space="preserve"> should not place an obligation</w:t>
      </w:r>
      <w:r w:rsidRPr="00CC5E02">
        <w:rPr>
          <w:rFonts w:cs="Courier New"/>
        </w:rPr>
        <w:t>”</w:t>
      </w:r>
      <w:r w:rsidR="00336E61">
        <w:rPr>
          <w:rFonts w:cs="Courier New"/>
        </w:rPr>
        <w:t>,</w:t>
      </w:r>
      <w:r w:rsidRPr="00CC5E02">
        <w:rPr>
          <w:rFonts w:cs="Courier New"/>
        </w:rPr>
        <w:t xml:space="preserve"> because Member States wanted to have the possibility to use their patent office to do that.  It was not the case of Brazil, but the international instrument should have that flexibility.  In Article 5, it preferred the first option on exception and limitations. </w:t>
      </w:r>
      <w:r>
        <w:rPr>
          <w:rFonts w:cs="Courier New"/>
        </w:rPr>
        <w:t xml:space="preserve"> </w:t>
      </w:r>
      <w:r w:rsidRPr="00CC5E02">
        <w:rPr>
          <w:rFonts w:cs="Courier New"/>
        </w:rPr>
        <w:t xml:space="preserve">The alternative had no relation with exceptions and limitations and it </w:t>
      </w:r>
      <w:proofErr w:type="gramStart"/>
      <w:r w:rsidRPr="00CC5E02">
        <w:rPr>
          <w:rFonts w:cs="Courier New"/>
        </w:rPr>
        <w:t>should be moved</w:t>
      </w:r>
      <w:proofErr w:type="gramEnd"/>
      <w:r w:rsidRPr="00CC5E02">
        <w:rPr>
          <w:rFonts w:cs="Courier New"/>
        </w:rPr>
        <w:t xml:space="preserve"> to Part II as an alternative, as previously requested.</w:t>
      </w:r>
      <w:r>
        <w:rPr>
          <w:rFonts w:cs="Courier New"/>
        </w:rPr>
        <w:t xml:space="preserve"> </w:t>
      </w:r>
      <w:r w:rsidRPr="00CC5E02">
        <w:rPr>
          <w:rFonts w:cs="Courier New"/>
        </w:rPr>
        <w:t xml:space="preserve"> It asked to bracket </w:t>
      </w:r>
      <w:r w:rsidR="00336E61">
        <w:rPr>
          <w:rFonts w:cs="Courier New"/>
        </w:rPr>
        <w:t>paragraph 5.1</w:t>
      </w:r>
      <w:r w:rsidRPr="00CC5E02">
        <w:rPr>
          <w:rFonts w:cs="Courier New"/>
        </w:rPr>
        <w:t xml:space="preserve">(g), which was a new proposal that demanded further analysis.  It wished to comment on a possible inconsistency between </w:t>
      </w:r>
      <w:r w:rsidR="00336E61">
        <w:rPr>
          <w:rFonts w:cs="Courier New"/>
        </w:rPr>
        <w:t>paragraph 5.1</w:t>
      </w:r>
      <w:r w:rsidRPr="00CC5E02">
        <w:rPr>
          <w:rFonts w:cs="Courier New"/>
        </w:rPr>
        <w:t xml:space="preserve">(f) and paragraph 5.2.  It suggested that Article 5.2 </w:t>
      </w:r>
      <w:proofErr w:type="gramStart"/>
      <w:r w:rsidRPr="00CC5E02">
        <w:rPr>
          <w:rFonts w:cs="Courier New"/>
        </w:rPr>
        <w:t>be moved</w:t>
      </w:r>
      <w:proofErr w:type="gramEnd"/>
      <w:r w:rsidRPr="00CC5E02">
        <w:rPr>
          <w:rFonts w:cs="Courier New"/>
        </w:rPr>
        <w:t xml:space="preserve"> to the final provisions of the instrument.  Turning to Article 6, the list of the pre-</w:t>
      </w:r>
      <w:r w:rsidR="00336E61">
        <w:rPr>
          <w:rFonts w:cs="Courier New"/>
        </w:rPr>
        <w:t>grant</w:t>
      </w:r>
      <w:r w:rsidRPr="00CC5E02">
        <w:rPr>
          <w:rFonts w:cs="Courier New"/>
        </w:rPr>
        <w:t xml:space="preserve"> and post-grant sanctions </w:t>
      </w:r>
      <w:proofErr w:type="gramStart"/>
      <w:r w:rsidRPr="00CC5E02">
        <w:rPr>
          <w:rFonts w:cs="Courier New"/>
        </w:rPr>
        <w:t>should be preserved</w:t>
      </w:r>
      <w:proofErr w:type="gramEnd"/>
      <w:r w:rsidRPr="00CC5E02">
        <w:rPr>
          <w:rFonts w:cs="Courier New"/>
        </w:rPr>
        <w:t xml:space="preserve"> and paragraph 6.3 should preserve the possibility of revocation.</w:t>
      </w:r>
      <w:r>
        <w:rPr>
          <w:rFonts w:cs="Courier New"/>
        </w:rPr>
        <w:t xml:space="preserve"> </w:t>
      </w:r>
      <w:r w:rsidRPr="00CC5E02">
        <w:rPr>
          <w:rFonts w:cs="Courier New"/>
        </w:rPr>
        <w:t xml:space="preserve"> It preferred the first option, which did not oblige those that did not have it in their legislation to have it while allowing for those countries that had it to maintain it.  It offered an opportunity for the applicant to reach mutually satisfactory resolutions and that was the good </w:t>
      </w:r>
      <w:r w:rsidRPr="00CC5E02">
        <w:rPr>
          <w:rFonts w:cs="Courier New"/>
        </w:rPr>
        <w:lastRenderedPageBreak/>
        <w:t xml:space="preserve">faith existence of the provision.  On the title of Part III, it wanted to maintain </w:t>
      </w:r>
      <w:r>
        <w:rPr>
          <w:rFonts w:cs="Courier New"/>
        </w:rPr>
        <w:t>“</w:t>
      </w:r>
      <w:r w:rsidR="008B0227">
        <w:rPr>
          <w:rFonts w:cs="Courier New"/>
        </w:rPr>
        <w:t>complementary measures</w:t>
      </w:r>
      <w:r>
        <w:rPr>
          <w:rFonts w:cs="Courier New"/>
        </w:rPr>
        <w:t>”</w:t>
      </w:r>
      <w:r w:rsidR="008B0227">
        <w:rPr>
          <w:rFonts w:cs="Courier New"/>
        </w:rPr>
        <w:t>.</w:t>
      </w:r>
      <w:r w:rsidRPr="00CC5E02">
        <w:rPr>
          <w:rFonts w:cs="Courier New"/>
        </w:rPr>
        <w:t xml:space="preserve">  It had very clearly pointed to databases’ substantive and practical limitations as a way of protecting GRs.  </w:t>
      </w:r>
      <w:proofErr w:type="gramStart"/>
      <w:r w:rsidRPr="00CC5E02">
        <w:rPr>
          <w:rFonts w:cs="Courier New"/>
        </w:rPr>
        <w:t>In general terms, it was happy with Rev</w:t>
      </w:r>
      <w:r w:rsidR="008B0227">
        <w:rPr>
          <w:rFonts w:cs="Courier New"/>
        </w:rPr>
        <w:t>.</w:t>
      </w:r>
      <w:r w:rsidRPr="00CC5E02">
        <w:rPr>
          <w:rFonts w:cs="Courier New"/>
        </w:rPr>
        <w:t xml:space="preserve"> 2 and looked forward to discussing it at IGC 36.</w:t>
      </w:r>
      <w:proofErr w:type="gramEnd"/>
    </w:p>
    <w:p w:rsidR="00145408" w:rsidRPr="00145408" w:rsidRDefault="00145408" w:rsidP="00145408">
      <w:pPr>
        <w:pStyle w:val="ListParagraph"/>
        <w:ind w:left="0"/>
      </w:pPr>
    </w:p>
    <w:p w:rsidR="00145408" w:rsidRPr="00145408" w:rsidRDefault="009922CE" w:rsidP="00145408">
      <w:pPr>
        <w:pStyle w:val="ListParagraph"/>
        <w:numPr>
          <w:ilvl w:val="0"/>
          <w:numId w:val="4"/>
        </w:numPr>
        <w:ind w:left="0" w:firstLine="0"/>
      </w:pPr>
      <w:r w:rsidRPr="00145408">
        <w:rPr>
          <w:rFonts w:cs="Courier New"/>
        </w:rPr>
        <w:t xml:space="preserve">The Delegation of Nigeria </w:t>
      </w:r>
      <w:r w:rsidR="00EB7ED2">
        <w:rPr>
          <w:rFonts w:cs="Courier New"/>
        </w:rPr>
        <w:t>supported</w:t>
      </w:r>
      <w:r w:rsidRPr="00145408">
        <w:rPr>
          <w:rFonts w:cs="Courier New"/>
        </w:rPr>
        <w:t xml:space="preserve"> the statement made by the Delegation of Morocco</w:t>
      </w:r>
      <w:r w:rsidR="00EB7ED2">
        <w:rPr>
          <w:rFonts w:cs="Courier New"/>
        </w:rPr>
        <w:t>,</w:t>
      </w:r>
      <w:r w:rsidRPr="00145408">
        <w:rPr>
          <w:rFonts w:cs="Courier New"/>
        </w:rPr>
        <w:t xml:space="preserve"> on behalf of the African Group</w:t>
      </w:r>
      <w:r w:rsidR="00EB7ED2">
        <w:rPr>
          <w:rFonts w:cs="Courier New"/>
        </w:rPr>
        <w:t>, on</w:t>
      </w:r>
      <w:r w:rsidRPr="00145408">
        <w:rPr>
          <w:rFonts w:cs="Courier New"/>
        </w:rPr>
        <w:t xml:space="preserve"> the fact that Rev</w:t>
      </w:r>
      <w:r w:rsidR="00EB7ED2">
        <w:rPr>
          <w:rFonts w:cs="Courier New"/>
        </w:rPr>
        <w:t>.</w:t>
      </w:r>
      <w:r w:rsidRPr="00145408">
        <w:rPr>
          <w:rFonts w:cs="Courier New"/>
        </w:rPr>
        <w:t xml:space="preserve"> 2 </w:t>
      </w:r>
      <w:proofErr w:type="gramStart"/>
      <w:r w:rsidRPr="00145408">
        <w:rPr>
          <w:rFonts w:cs="Courier New"/>
        </w:rPr>
        <w:t>could be used</w:t>
      </w:r>
      <w:proofErr w:type="gramEnd"/>
      <w:r w:rsidRPr="00145408">
        <w:rPr>
          <w:rFonts w:cs="Courier New"/>
        </w:rPr>
        <w:t xml:space="preserve"> to make progress.  </w:t>
      </w:r>
      <w:r w:rsidR="00EB7ED2">
        <w:rPr>
          <w:rFonts w:cs="Courier New"/>
        </w:rPr>
        <w:t>It</w:t>
      </w:r>
      <w:r w:rsidRPr="00145408">
        <w:rPr>
          <w:rFonts w:cs="Courier New"/>
        </w:rPr>
        <w:t xml:space="preserve"> suggested that</w:t>
      </w:r>
      <w:r w:rsidR="00145408">
        <w:rPr>
          <w:rFonts w:cs="Courier New"/>
        </w:rPr>
        <w:t>,</w:t>
      </w:r>
      <w:r w:rsidRPr="00145408">
        <w:rPr>
          <w:rFonts w:cs="Courier New"/>
        </w:rPr>
        <w:t xml:space="preserve"> in the definition of “country of origin” and its alternative</w:t>
      </w:r>
      <w:r w:rsidR="00EB7ED2">
        <w:rPr>
          <w:rFonts w:cs="Courier New"/>
        </w:rPr>
        <w:t>,</w:t>
      </w:r>
      <w:r w:rsidRPr="00145408">
        <w:rPr>
          <w:rFonts w:cs="Courier New"/>
        </w:rPr>
        <w:t xml:space="preserve"> </w:t>
      </w:r>
      <w:r w:rsidR="00145408">
        <w:rPr>
          <w:rFonts w:cs="Courier New"/>
        </w:rPr>
        <w:t xml:space="preserve">the phrase </w:t>
      </w:r>
      <w:r w:rsidRPr="00145408">
        <w:rPr>
          <w:rFonts w:cs="Courier New"/>
        </w:rPr>
        <w:t>“and still possesses those genetic resources” be in brackets.  Th</w:t>
      </w:r>
      <w:r w:rsidR="00EB7ED2">
        <w:rPr>
          <w:rFonts w:cs="Courier New"/>
        </w:rPr>
        <w:t xml:space="preserve">e document was about </w:t>
      </w:r>
      <w:proofErr w:type="gramStart"/>
      <w:r w:rsidR="00EB7ED2">
        <w:rPr>
          <w:rFonts w:cs="Courier New"/>
        </w:rPr>
        <w:t xml:space="preserve">GRs and TK </w:t>
      </w:r>
      <w:r w:rsidR="00ED553E">
        <w:rPr>
          <w:rFonts w:cs="Courier New"/>
        </w:rPr>
        <w:t>associated</w:t>
      </w:r>
      <w:r w:rsidR="00EB7ED2">
        <w:rPr>
          <w:rFonts w:cs="Courier New"/>
        </w:rPr>
        <w:t xml:space="preserve"> with </w:t>
      </w:r>
      <w:r w:rsidRPr="00145408">
        <w:rPr>
          <w:rFonts w:cs="Courier New"/>
        </w:rPr>
        <w:t>GRs for purposes of IP as a trigg</w:t>
      </w:r>
      <w:r w:rsidR="00EB7ED2">
        <w:rPr>
          <w:rFonts w:cs="Courier New"/>
        </w:rPr>
        <w:t>er for disclosure of GRs</w:t>
      </w:r>
      <w:proofErr w:type="gramEnd"/>
      <w:r w:rsidR="00EB7ED2">
        <w:rPr>
          <w:rFonts w:cs="Courier New"/>
        </w:rPr>
        <w:t xml:space="preserve"> and TK associated </w:t>
      </w:r>
      <w:r w:rsidRPr="00145408">
        <w:rPr>
          <w:rFonts w:cs="Courier New"/>
        </w:rPr>
        <w:t xml:space="preserve">GRs. </w:t>
      </w:r>
      <w:r w:rsidR="00145408">
        <w:rPr>
          <w:rFonts w:cs="Courier New"/>
        </w:rPr>
        <w:t xml:space="preserve"> </w:t>
      </w:r>
      <w:r w:rsidRPr="00145408">
        <w:rPr>
          <w:rFonts w:cs="Courier New"/>
        </w:rPr>
        <w:t xml:space="preserve">Recognizing that there was a need for synergy with other international instruments, one needed to avoid reinventing the wheel. </w:t>
      </w:r>
      <w:r w:rsidR="00145408">
        <w:rPr>
          <w:rFonts w:cs="Courier New"/>
        </w:rPr>
        <w:t xml:space="preserve"> </w:t>
      </w:r>
      <w:proofErr w:type="gramStart"/>
      <w:r w:rsidRPr="00145408">
        <w:rPr>
          <w:rFonts w:cs="Courier New"/>
        </w:rPr>
        <w:t>There was no other instrument that had direct bearing on G</w:t>
      </w:r>
      <w:r w:rsidR="00EB7ED2">
        <w:rPr>
          <w:rFonts w:cs="Courier New"/>
        </w:rPr>
        <w:t>Rs</w:t>
      </w:r>
      <w:proofErr w:type="gramEnd"/>
      <w:r w:rsidR="00EB7ED2">
        <w:rPr>
          <w:rFonts w:cs="Courier New"/>
        </w:rPr>
        <w:t xml:space="preserve"> and TK associated with </w:t>
      </w:r>
      <w:r w:rsidRPr="00145408">
        <w:rPr>
          <w:rFonts w:cs="Courier New"/>
        </w:rPr>
        <w:t xml:space="preserve">GRs in the context of IP, especially the patent regime.  The </w:t>
      </w:r>
      <w:r w:rsidR="00EB7ED2">
        <w:rPr>
          <w:rFonts w:cs="Courier New"/>
        </w:rPr>
        <w:t>ITPGR</w:t>
      </w:r>
      <w:r w:rsidRPr="00145408">
        <w:rPr>
          <w:rFonts w:cs="Courier New"/>
        </w:rPr>
        <w:t xml:space="preserve"> related to food and agriculture, the CBD was</w:t>
      </w:r>
      <w:r w:rsidR="00145408">
        <w:rPr>
          <w:rFonts w:cs="Courier New"/>
        </w:rPr>
        <w:t xml:space="preserve"> in the context of conservation</w:t>
      </w:r>
      <w:r w:rsidR="00EB7ED2">
        <w:rPr>
          <w:rFonts w:cs="Courier New"/>
        </w:rPr>
        <w:t>,</w:t>
      </w:r>
      <w:r w:rsidRPr="00145408">
        <w:rPr>
          <w:rFonts w:cs="Courier New"/>
        </w:rPr>
        <w:t xml:space="preserve"> and the Nagoya Protocol was about ABS.  The IGC had to be creative in drafting a unique instrument, while not deviating from the norms of other international instruments.  So</w:t>
      </w:r>
      <w:r w:rsidR="00EB7ED2">
        <w:rPr>
          <w:rFonts w:cs="Courier New"/>
        </w:rPr>
        <w:t>me of the definitions that the facilitator and the Friend of the Chair</w:t>
      </w:r>
      <w:r w:rsidRPr="00145408">
        <w:rPr>
          <w:rFonts w:cs="Courier New"/>
        </w:rPr>
        <w:t xml:space="preserve"> had put in this text were very creative and responsive to the context of negotiation. </w:t>
      </w:r>
      <w:r w:rsidR="00145408">
        <w:rPr>
          <w:rFonts w:cs="Courier New"/>
        </w:rPr>
        <w:t xml:space="preserve"> </w:t>
      </w:r>
      <w:r w:rsidRPr="00145408">
        <w:rPr>
          <w:rFonts w:cs="Courier New"/>
        </w:rPr>
        <w:t xml:space="preserve">Some of the references to existing international documents required recognizing that some of those instruments </w:t>
      </w:r>
      <w:proofErr w:type="gramStart"/>
      <w:r w:rsidRPr="00145408">
        <w:rPr>
          <w:rFonts w:cs="Courier New"/>
        </w:rPr>
        <w:t>had been made</w:t>
      </w:r>
      <w:proofErr w:type="gramEnd"/>
      <w:r w:rsidRPr="00145408">
        <w:rPr>
          <w:rFonts w:cs="Courier New"/>
        </w:rPr>
        <w:t xml:space="preserve"> in the context of a different technological reality.  It noted the intervention by the representative of International Law Association to the effect that genetic sequencing and information constituted the basis of contact with GRs as opposed to physical contact. </w:t>
      </w:r>
      <w:r w:rsidR="00145408">
        <w:rPr>
          <w:rFonts w:cs="Courier New"/>
        </w:rPr>
        <w:t xml:space="preserve"> </w:t>
      </w:r>
      <w:r w:rsidRPr="00145408">
        <w:rPr>
          <w:rFonts w:cs="Courier New"/>
        </w:rPr>
        <w:t xml:space="preserve">That </w:t>
      </w:r>
      <w:proofErr w:type="gramStart"/>
      <w:r w:rsidRPr="00145408">
        <w:rPr>
          <w:rFonts w:cs="Courier New"/>
        </w:rPr>
        <w:t>had been reflected</w:t>
      </w:r>
      <w:proofErr w:type="gramEnd"/>
      <w:r w:rsidRPr="00145408">
        <w:rPr>
          <w:rFonts w:cs="Courier New"/>
        </w:rPr>
        <w:t xml:space="preserve"> in the attem</w:t>
      </w:r>
      <w:r w:rsidR="00EB7ED2">
        <w:rPr>
          <w:rFonts w:cs="Courier New"/>
        </w:rPr>
        <w:t>pt to define “directly based on</w:t>
      </w:r>
      <w:r w:rsidRPr="00145408">
        <w:rPr>
          <w:rFonts w:cs="Courier New"/>
        </w:rPr>
        <w:t>”</w:t>
      </w:r>
      <w:r w:rsidR="00EB7ED2">
        <w:rPr>
          <w:rFonts w:cs="Courier New"/>
        </w:rPr>
        <w:t>.</w:t>
      </w:r>
      <w:r w:rsidRPr="00145408">
        <w:rPr>
          <w:rFonts w:cs="Courier New"/>
        </w:rPr>
        <w:t xml:space="preserve">  The IGC had to discuss how to define “TK,” “utilization” and “directly based on” in relation to the trigger.  </w:t>
      </w:r>
    </w:p>
    <w:p w:rsidR="00145408" w:rsidRPr="00145408" w:rsidRDefault="00145408" w:rsidP="00145408">
      <w:pPr>
        <w:pStyle w:val="ListParagraph"/>
        <w:ind w:left="0"/>
      </w:pPr>
    </w:p>
    <w:p w:rsidR="00145408" w:rsidRDefault="009922CE" w:rsidP="00145408">
      <w:pPr>
        <w:pStyle w:val="ListParagraph"/>
        <w:numPr>
          <w:ilvl w:val="0"/>
          <w:numId w:val="4"/>
        </w:numPr>
        <w:ind w:left="0" w:firstLine="0"/>
      </w:pPr>
      <w:r w:rsidRPr="00145408">
        <w:rPr>
          <w:rFonts w:cs="Courier New"/>
        </w:rPr>
        <w:t>The Delegation of India considered Rev</w:t>
      </w:r>
      <w:r w:rsidR="00EB7ED2">
        <w:rPr>
          <w:rFonts w:cs="Courier New"/>
        </w:rPr>
        <w:t>.</w:t>
      </w:r>
      <w:r w:rsidRPr="00145408">
        <w:rPr>
          <w:rFonts w:cs="Courier New"/>
        </w:rPr>
        <w:t xml:space="preserve"> 2 as a starting point for IGC 36.  It </w:t>
      </w:r>
      <w:r w:rsidR="00145408">
        <w:rPr>
          <w:rFonts w:cs="Courier New"/>
        </w:rPr>
        <w:t>understood</w:t>
      </w:r>
      <w:r w:rsidRPr="00145408">
        <w:rPr>
          <w:rFonts w:cs="Courier New"/>
        </w:rPr>
        <w:t xml:space="preserve"> that the entire document was in brackets.</w:t>
      </w:r>
      <w:r w:rsidR="00145408">
        <w:rPr>
          <w:rFonts w:cs="Courier New"/>
        </w:rPr>
        <w:t xml:space="preserve"> </w:t>
      </w:r>
      <w:r w:rsidRPr="00145408">
        <w:rPr>
          <w:rFonts w:cs="Courier New"/>
        </w:rPr>
        <w:t xml:space="preserve"> Its concerns were at different levels. </w:t>
      </w:r>
      <w:r w:rsidR="00145408">
        <w:rPr>
          <w:rFonts w:cs="Courier New"/>
        </w:rPr>
        <w:t xml:space="preserve"> </w:t>
      </w:r>
      <w:r w:rsidRPr="00145408">
        <w:rPr>
          <w:rFonts w:cs="Courier New"/>
        </w:rPr>
        <w:t>On some issues, it had less concerns, but on the majority of issues, it had serious to very serious concerns</w:t>
      </w:r>
      <w:r w:rsidR="00145408">
        <w:rPr>
          <w:rFonts w:cs="Courier New"/>
        </w:rPr>
        <w:t>,</w:t>
      </w:r>
      <w:r w:rsidRPr="00145408">
        <w:rPr>
          <w:rFonts w:cs="Courier New"/>
        </w:rPr>
        <w:t xml:space="preserve"> because Rev</w:t>
      </w:r>
      <w:r w:rsidR="00D152E9">
        <w:rPr>
          <w:rFonts w:cs="Courier New"/>
        </w:rPr>
        <w:t>.</w:t>
      </w:r>
      <w:r w:rsidRPr="00145408">
        <w:rPr>
          <w:rFonts w:cs="Courier New"/>
        </w:rPr>
        <w:t xml:space="preserve"> 2 was a mix of two approaches</w:t>
      </w:r>
      <w:r w:rsidR="00145408">
        <w:rPr>
          <w:rFonts w:cs="Courier New"/>
        </w:rPr>
        <w:t xml:space="preserve">.  </w:t>
      </w:r>
      <w:r w:rsidRPr="00145408">
        <w:rPr>
          <w:rFonts w:cs="Courier New"/>
        </w:rPr>
        <w:t>It would provide detailed comments at IGC 36.</w:t>
      </w:r>
    </w:p>
    <w:p w:rsidR="00145408" w:rsidRPr="00145408" w:rsidRDefault="00145408" w:rsidP="00145408">
      <w:pPr>
        <w:rPr>
          <w:rFonts w:cs="Courier New"/>
        </w:rPr>
      </w:pPr>
    </w:p>
    <w:p w:rsidR="00145408" w:rsidRPr="00145408" w:rsidRDefault="00145408" w:rsidP="00145408">
      <w:pPr>
        <w:pStyle w:val="ListParagraph"/>
        <w:numPr>
          <w:ilvl w:val="0"/>
          <w:numId w:val="4"/>
        </w:numPr>
        <w:ind w:left="0" w:firstLine="0"/>
      </w:pPr>
      <w:r w:rsidRPr="00145408">
        <w:rPr>
          <w:rFonts w:cs="Courier New"/>
        </w:rPr>
        <w:t xml:space="preserve">The Delegation of </w:t>
      </w:r>
      <w:r w:rsidR="006E31C3">
        <w:t xml:space="preserve">the Plurinational State of </w:t>
      </w:r>
      <w:r w:rsidRPr="00145408">
        <w:rPr>
          <w:rFonts w:cs="Courier New"/>
        </w:rPr>
        <w:t xml:space="preserve">Bolivia aligned itself with the statement </w:t>
      </w:r>
      <w:r w:rsidR="00D152E9">
        <w:rPr>
          <w:rFonts w:cs="Courier New"/>
        </w:rPr>
        <w:t>made by</w:t>
      </w:r>
      <w:r w:rsidRPr="00145408">
        <w:rPr>
          <w:rFonts w:cs="Courier New"/>
        </w:rPr>
        <w:t xml:space="preserve"> the Delegation of Ecuador</w:t>
      </w:r>
      <w:r w:rsidR="00D152E9">
        <w:rPr>
          <w:rFonts w:cs="Courier New"/>
        </w:rPr>
        <w:t>,</w:t>
      </w:r>
      <w:r w:rsidRPr="00145408">
        <w:rPr>
          <w:rFonts w:cs="Courier New"/>
        </w:rPr>
        <w:t xml:space="preserve"> on behalf of GRULAC</w:t>
      </w:r>
      <w:r>
        <w:rPr>
          <w:rFonts w:cs="Courier New"/>
        </w:rPr>
        <w:t>.  It</w:t>
      </w:r>
      <w:r w:rsidRPr="00145408">
        <w:rPr>
          <w:rFonts w:cs="Courier New"/>
        </w:rPr>
        <w:t xml:space="preserve"> could go along with Rev</w:t>
      </w:r>
      <w:r w:rsidR="00D152E9">
        <w:rPr>
          <w:rFonts w:cs="Courier New"/>
        </w:rPr>
        <w:t>.</w:t>
      </w:r>
      <w:r w:rsidRPr="00145408">
        <w:rPr>
          <w:rFonts w:cs="Courier New"/>
        </w:rPr>
        <w:t xml:space="preserve"> 2, which was a good basis for the work of the IGC.  Regarding the disclosure of source, it </w:t>
      </w:r>
      <w:proofErr w:type="gramStart"/>
      <w:r w:rsidRPr="00145408">
        <w:rPr>
          <w:rFonts w:cs="Courier New"/>
        </w:rPr>
        <w:t>should be also disclosed and used for utilization</w:t>
      </w:r>
      <w:proofErr w:type="gramEnd"/>
      <w:r w:rsidRPr="00145408">
        <w:rPr>
          <w:rFonts w:cs="Courier New"/>
        </w:rPr>
        <w:t xml:space="preserve">. </w:t>
      </w:r>
      <w:r>
        <w:rPr>
          <w:rFonts w:cs="Courier New"/>
        </w:rPr>
        <w:t xml:space="preserve"> </w:t>
      </w:r>
      <w:r w:rsidRPr="00145408">
        <w:rPr>
          <w:rFonts w:cs="Courier New"/>
        </w:rPr>
        <w:t xml:space="preserve">It preferred the option </w:t>
      </w:r>
      <w:proofErr w:type="gramStart"/>
      <w:r w:rsidRPr="00145408">
        <w:rPr>
          <w:rFonts w:cs="Courier New"/>
        </w:rPr>
        <w:t>over</w:t>
      </w:r>
      <w:proofErr w:type="gramEnd"/>
      <w:r w:rsidRPr="00145408">
        <w:rPr>
          <w:rFonts w:cs="Courier New"/>
        </w:rPr>
        <w:t xml:space="preserve"> the alternative. </w:t>
      </w:r>
      <w:r>
        <w:rPr>
          <w:rFonts w:cs="Courier New"/>
        </w:rPr>
        <w:t xml:space="preserve"> </w:t>
      </w:r>
      <w:r w:rsidRPr="00145408">
        <w:rPr>
          <w:rFonts w:cs="Courier New"/>
        </w:rPr>
        <w:t>Regarding the final provisions, it could support the new wording.</w:t>
      </w:r>
      <w:r>
        <w:rPr>
          <w:rFonts w:cs="Courier New"/>
        </w:rPr>
        <w:t xml:space="preserve"> </w:t>
      </w:r>
      <w:r w:rsidRPr="00145408">
        <w:rPr>
          <w:rFonts w:cs="Courier New"/>
        </w:rPr>
        <w:t xml:space="preserve"> The heading of Article 9 should read “measures for protection” because that better reflected the terms of the paragraph. </w:t>
      </w:r>
      <w:r>
        <w:rPr>
          <w:rFonts w:cs="Courier New"/>
        </w:rPr>
        <w:t xml:space="preserve"> </w:t>
      </w:r>
      <w:r w:rsidRPr="00145408">
        <w:rPr>
          <w:rFonts w:cs="Courier New"/>
        </w:rPr>
        <w:t xml:space="preserve">However, discovery </w:t>
      </w:r>
      <w:proofErr w:type="gramStart"/>
      <w:r w:rsidRPr="00145408">
        <w:rPr>
          <w:rFonts w:cs="Courier New"/>
        </w:rPr>
        <w:t>should not be patented</w:t>
      </w:r>
      <w:proofErr w:type="gramEnd"/>
      <w:r w:rsidRPr="00145408">
        <w:rPr>
          <w:rFonts w:cs="Courier New"/>
        </w:rPr>
        <w:t>.  The idea was to protect GRs from misuse or misappropriation.</w:t>
      </w:r>
    </w:p>
    <w:p w:rsidR="00145408" w:rsidRPr="00145408" w:rsidRDefault="00145408" w:rsidP="00145408">
      <w:pPr>
        <w:rPr>
          <w:rFonts w:cs="Courier New"/>
        </w:rPr>
      </w:pPr>
    </w:p>
    <w:p w:rsidR="00BF54D7" w:rsidRPr="00BF54D7" w:rsidRDefault="00145408" w:rsidP="00BF54D7">
      <w:pPr>
        <w:pStyle w:val="ListParagraph"/>
        <w:numPr>
          <w:ilvl w:val="0"/>
          <w:numId w:val="4"/>
        </w:numPr>
        <w:ind w:left="0" w:firstLine="0"/>
      </w:pPr>
      <w:r w:rsidRPr="00145408">
        <w:rPr>
          <w:rFonts w:cs="Courier New"/>
        </w:rPr>
        <w:t>The Delegation of Venezuela associated itself with</w:t>
      </w:r>
      <w:r w:rsidR="004729DF">
        <w:rPr>
          <w:rFonts w:cs="Courier New"/>
        </w:rPr>
        <w:t xml:space="preserve"> the statement made by</w:t>
      </w:r>
      <w:r w:rsidRPr="00145408">
        <w:rPr>
          <w:rFonts w:cs="Courier New"/>
        </w:rPr>
        <w:t xml:space="preserve"> the Delegation of Ecuador</w:t>
      </w:r>
      <w:r w:rsidR="004729DF">
        <w:rPr>
          <w:rFonts w:cs="Courier New"/>
        </w:rPr>
        <w:t>,</w:t>
      </w:r>
      <w:r w:rsidRPr="00145408">
        <w:rPr>
          <w:rFonts w:cs="Courier New"/>
        </w:rPr>
        <w:t xml:space="preserve"> on behalf of GRULAC</w:t>
      </w:r>
      <w:r w:rsidR="004729DF">
        <w:rPr>
          <w:rFonts w:cs="Courier New"/>
        </w:rPr>
        <w:t>,</w:t>
      </w:r>
      <w:r w:rsidRPr="00145408">
        <w:rPr>
          <w:rFonts w:cs="Courier New"/>
        </w:rPr>
        <w:t xml:space="preserve"> and considered that Rev</w:t>
      </w:r>
      <w:r w:rsidR="004729DF">
        <w:rPr>
          <w:rFonts w:cs="Courier New"/>
        </w:rPr>
        <w:t>.</w:t>
      </w:r>
      <w:r w:rsidRPr="00145408">
        <w:rPr>
          <w:rFonts w:cs="Courier New"/>
        </w:rPr>
        <w:t xml:space="preserve"> 2 </w:t>
      </w:r>
      <w:r w:rsidR="004729DF">
        <w:rPr>
          <w:rFonts w:cs="Courier New"/>
        </w:rPr>
        <w:t>be</w:t>
      </w:r>
      <w:r w:rsidRPr="00145408">
        <w:rPr>
          <w:rFonts w:cs="Courier New"/>
        </w:rPr>
        <w:t xml:space="preserve"> a good basis for continuing the IGC’s work. </w:t>
      </w:r>
      <w:r>
        <w:rPr>
          <w:rFonts w:cs="Courier New"/>
        </w:rPr>
        <w:t xml:space="preserve"> </w:t>
      </w:r>
      <w:r w:rsidRPr="00145408">
        <w:rPr>
          <w:rFonts w:cs="Courier New"/>
        </w:rPr>
        <w:t xml:space="preserve">It reserved its right to come back and make comments on it at IGC 36 after having looked at it closely.  It attached importance to Article 9 because that corresponded to its national legislation.  </w:t>
      </w:r>
      <w:r>
        <w:rPr>
          <w:rFonts w:cs="Courier New"/>
        </w:rPr>
        <w:t>I</w:t>
      </w:r>
      <w:r w:rsidRPr="00145408">
        <w:rPr>
          <w:rFonts w:cs="Courier New"/>
        </w:rPr>
        <w:t>t associated itself with those who had said that there was a need to include the term “derivatives” in the operative part of the text.</w:t>
      </w:r>
    </w:p>
    <w:p w:rsidR="00BF54D7" w:rsidRPr="00BF54D7" w:rsidRDefault="00BF54D7" w:rsidP="00BF54D7">
      <w:pPr>
        <w:rPr>
          <w:rFonts w:cs="Courier New"/>
        </w:rPr>
      </w:pPr>
    </w:p>
    <w:p w:rsidR="00D54ABD" w:rsidRPr="00D54ABD" w:rsidRDefault="00BF54D7" w:rsidP="00D54ABD">
      <w:pPr>
        <w:pStyle w:val="ListParagraph"/>
        <w:numPr>
          <w:ilvl w:val="0"/>
          <w:numId w:val="4"/>
        </w:numPr>
        <w:ind w:left="0" w:firstLine="0"/>
      </w:pPr>
      <w:r w:rsidRPr="00BF54D7">
        <w:rPr>
          <w:rFonts w:cs="Courier New"/>
        </w:rPr>
        <w:t xml:space="preserve">The Delegation of the Islamic Republic of Iran aligned itself with the </w:t>
      </w:r>
      <w:r w:rsidR="004729DF">
        <w:rPr>
          <w:rFonts w:cs="Courier New"/>
        </w:rPr>
        <w:t>statement</w:t>
      </w:r>
      <w:r w:rsidRPr="00BF54D7">
        <w:rPr>
          <w:rFonts w:cs="Courier New"/>
        </w:rPr>
        <w:t>s expressed by the Delegation of Indonesia</w:t>
      </w:r>
      <w:r w:rsidR="004729DF">
        <w:rPr>
          <w:rFonts w:cs="Courier New"/>
        </w:rPr>
        <w:t>,</w:t>
      </w:r>
      <w:r w:rsidRPr="00BF54D7">
        <w:rPr>
          <w:rFonts w:cs="Courier New"/>
        </w:rPr>
        <w:t xml:space="preserve"> on behalf of the LMCs</w:t>
      </w:r>
      <w:r w:rsidR="004729DF">
        <w:rPr>
          <w:rFonts w:cs="Courier New"/>
        </w:rPr>
        <w:t>,</w:t>
      </w:r>
      <w:r w:rsidRPr="00BF54D7">
        <w:rPr>
          <w:rFonts w:cs="Courier New"/>
        </w:rPr>
        <w:t xml:space="preserve"> and </w:t>
      </w:r>
      <w:r w:rsidR="004729DF">
        <w:rPr>
          <w:rFonts w:cs="Courier New"/>
        </w:rPr>
        <w:t xml:space="preserve">the delegations of </w:t>
      </w:r>
      <w:r w:rsidRPr="00BF54D7">
        <w:rPr>
          <w:rFonts w:cs="Courier New"/>
        </w:rPr>
        <w:t>other LMC</w:t>
      </w:r>
      <w:r w:rsidR="004729DF">
        <w:rPr>
          <w:rFonts w:cs="Courier New"/>
        </w:rPr>
        <w:t>s</w:t>
      </w:r>
      <w:r w:rsidRPr="00BF54D7">
        <w:rPr>
          <w:rFonts w:cs="Courier New"/>
        </w:rPr>
        <w:t>, according to which Rev</w:t>
      </w:r>
      <w:r w:rsidR="004729DF">
        <w:rPr>
          <w:rFonts w:cs="Courier New"/>
        </w:rPr>
        <w:t>.</w:t>
      </w:r>
      <w:r w:rsidRPr="00BF54D7">
        <w:rPr>
          <w:rFonts w:cs="Courier New"/>
        </w:rPr>
        <w:t xml:space="preserve"> 2 was a considerable step forward</w:t>
      </w:r>
      <w:r>
        <w:rPr>
          <w:rFonts w:cs="Courier New"/>
        </w:rPr>
        <w:t xml:space="preserve"> in the work of the IGC</w:t>
      </w:r>
      <w:r w:rsidRPr="00BF54D7">
        <w:rPr>
          <w:rFonts w:cs="Courier New"/>
        </w:rPr>
        <w:t xml:space="preserve">.  With regard to the preamble, </w:t>
      </w:r>
      <w:r>
        <w:rPr>
          <w:rFonts w:cs="Courier New"/>
        </w:rPr>
        <w:t xml:space="preserve">it should establish </w:t>
      </w:r>
      <w:r w:rsidRPr="00BF54D7">
        <w:rPr>
          <w:rFonts w:cs="Courier New"/>
        </w:rPr>
        <w:t>equal interrelations with other existing instruments</w:t>
      </w:r>
      <w:r>
        <w:rPr>
          <w:rFonts w:cs="Courier New"/>
        </w:rPr>
        <w:t>, such as IP-</w:t>
      </w:r>
      <w:r w:rsidRPr="00BF54D7">
        <w:rPr>
          <w:rFonts w:cs="Courier New"/>
        </w:rPr>
        <w:t>related instr</w:t>
      </w:r>
      <w:r>
        <w:rPr>
          <w:rFonts w:cs="Courier New"/>
        </w:rPr>
        <w:t xml:space="preserve">uments </w:t>
      </w:r>
      <w:r w:rsidRPr="00BF54D7">
        <w:rPr>
          <w:rFonts w:cs="Courier New"/>
        </w:rPr>
        <w:t>and GRs-related instruments</w:t>
      </w:r>
      <w:r w:rsidRPr="00073285">
        <w:rPr>
          <w:rFonts w:cs="Courier New"/>
        </w:rPr>
        <w:t xml:space="preserve">.  The CBD was not sufficient, because it was just about the bilateral approach to GRs, while the IGC was dealing with a multilateral approach, which was getting more attention with regard to the use of GRs.  The preamble also had to establish more clearly that providing a clear IP system would shed light on the environment surrounding the use of GRs and promote the use of GRs for the better livelihood </w:t>
      </w:r>
      <w:proofErr w:type="gramStart"/>
      <w:r w:rsidRPr="00073285">
        <w:rPr>
          <w:rFonts w:cs="Courier New"/>
        </w:rPr>
        <w:t xml:space="preserve">of </w:t>
      </w:r>
      <w:r w:rsidRPr="00073285">
        <w:rPr>
          <w:rFonts w:cs="Courier New"/>
        </w:rPr>
        <w:lastRenderedPageBreak/>
        <w:t>mankin</w:t>
      </w:r>
      <w:r w:rsidR="00073285" w:rsidRPr="00073285">
        <w:rPr>
          <w:rFonts w:cs="Courier New"/>
        </w:rPr>
        <w:t>d</w:t>
      </w:r>
      <w:proofErr w:type="gramEnd"/>
      <w:r w:rsidR="00073285" w:rsidRPr="00073285">
        <w:rPr>
          <w:rFonts w:cs="Courier New"/>
        </w:rPr>
        <w:t xml:space="preserve"> in all countries</w:t>
      </w:r>
      <w:r w:rsidRPr="00073285">
        <w:rPr>
          <w:rFonts w:cs="Courier New"/>
        </w:rPr>
        <w:t>.  As to definitions, there was no need to differentiate the terms of the operative articles and other terms.  All of them were equally important for the document and it was better not to create a hierarchy among them.  With regard to dispute settlement, there was a difference of views on sanctions and remedies and specifically concerning the revocation of rights.  That was not only still a matter of dispute, but some also contended that revocation, as a sanction, should be the last resort in preventing the</w:t>
      </w:r>
      <w:r w:rsidRPr="00BF54D7">
        <w:rPr>
          <w:rFonts w:cs="Courier New"/>
        </w:rPr>
        <w:t xml:space="preserve"> grant of erroneous patent</w:t>
      </w:r>
      <w:r>
        <w:rPr>
          <w:rFonts w:cs="Courier New"/>
        </w:rPr>
        <w:t>s</w:t>
      </w:r>
      <w:r w:rsidRPr="00BF54D7">
        <w:rPr>
          <w:rFonts w:cs="Courier New"/>
        </w:rPr>
        <w:t xml:space="preserve">.  Instead of a focus on punitive measures, there should be more focus on preventive measures. </w:t>
      </w:r>
      <w:r>
        <w:rPr>
          <w:rFonts w:cs="Courier New"/>
        </w:rPr>
        <w:t xml:space="preserve"> It would </w:t>
      </w:r>
      <w:r w:rsidRPr="00BF54D7">
        <w:rPr>
          <w:rFonts w:cs="Courier New"/>
        </w:rPr>
        <w:t>be timely to have dispute settlement measure</w:t>
      </w:r>
      <w:r>
        <w:rPr>
          <w:rFonts w:cs="Courier New"/>
        </w:rPr>
        <w:t>s</w:t>
      </w:r>
      <w:r w:rsidRPr="00BF54D7">
        <w:rPr>
          <w:rFonts w:cs="Courier New"/>
        </w:rPr>
        <w:t xml:space="preserve"> in pre- and post-grant stages, rather than revocation </w:t>
      </w:r>
      <w:r>
        <w:rPr>
          <w:rFonts w:cs="Courier New"/>
        </w:rPr>
        <w:t>as a</w:t>
      </w:r>
      <w:r w:rsidRPr="00BF54D7">
        <w:rPr>
          <w:rFonts w:cs="Courier New"/>
        </w:rPr>
        <w:t xml:space="preserve"> last resort</w:t>
      </w:r>
      <w:r>
        <w:rPr>
          <w:rFonts w:cs="Courier New"/>
        </w:rPr>
        <w:t>.  T</w:t>
      </w:r>
      <w:r w:rsidRPr="00BF54D7">
        <w:rPr>
          <w:rFonts w:cs="Courier New"/>
        </w:rPr>
        <w:t>here needed to be a strong, comprehensive dispu</w:t>
      </w:r>
      <w:r>
        <w:rPr>
          <w:rFonts w:cs="Courier New"/>
        </w:rPr>
        <w:t>te settlement mechanism instead, n</w:t>
      </w:r>
      <w:r w:rsidRPr="00BF54D7">
        <w:rPr>
          <w:rFonts w:cs="Courier New"/>
        </w:rPr>
        <w:t>ot as an alternative, but as a priority</w:t>
      </w:r>
      <w:r>
        <w:rPr>
          <w:rFonts w:cs="Courier New"/>
        </w:rPr>
        <w:t>.  R</w:t>
      </w:r>
      <w:r w:rsidRPr="00BF54D7">
        <w:rPr>
          <w:rFonts w:cs="Courier New"/>
        </w:rPr>
        <w:t xml:space="preserve">evocation or punitive measures could be the last resort. </w:t>
      </w:r>
      <w:r>
        <w:rPr>
          <w:rFonts w:cs="Courier New"/>
        </w:rPr>
        <w:t xml:space="preserve"> </w:t>
      </w:r>
      <w:r w:rsidRPr="00BF54D7">
        <w:rPr>
          <w:rFonts w:cs="Courier New"/>
        </w:rPr>
        <w:t xml:space="preserve">It was very costly and very difficult for a developing country to challenge a patent in developed countries. </w:t>
      </w:r>
      <w:r>
        <w:rPr>
          <w:rFonts w:cs="Courier New"/>
        </w:rPr>
        <w:t xml:space="preserve"> </w:t>
      </w:r>
      <w:r w:rsidRPr="00BF54D7">
        <w:rPr>
          <w:rFonts w:cs="Courier New"/>
        </w:rPr>
        <w:t xml:space="preserve">It would be a good idea to pay equal attention to the development of a workable dispute settlement mechanism in the future of the work of the IGC. </w:t>
      </w:r>
      <w:r>
        <w:rPr>
          <w:rFonts w:cs="Courier New"/>
        </w:rPr>
        <w:t xml:space="preserve"> </w:t>
      </w:r>
      <w:r w:rsidRPr="00BF54D7">
        <w:rPr>
          <w:rFonts w:cs="Courier New"/>
        </w:rPr>
        <w:t xml:space="preserve">With regard to Article 9, it was a basic principle of IP that GRs, as they </w:t>
      </w:r>
      <w:proofErr w:type="gramStart"/>
      <w:r w:rsidRPr="00BF54D7">
        <w:rPr>
          <w:rFonts w:cs="Courier New"/>
        </w:rPr>
        <w:t xml:space="preserve">were </w:t>
      </w:r>
      <w:r>
        <w:rPr>
          <w:rFonts w:cs="Courier New"/>
        </w:rPr>
        <w:t>found</w:t>
      </w:r>
      <w:proofErr w:type="gramEnd"/>
      <w:r>
        <w:rPr>
          <w:rFonts w:cs="Courier New"/>
        </w:rPr>
        <w:t xml:space="preserve"> </w:t>
      </w:r>
      <w:r w:rsidRPr="00BF54D7">
        <w:rPr>
          <w:rFonts w:cs="Courier New"/>
        </w:rPr>
        <w:t xml:space="preserve">in nature, could not be patented or subject of an IP right. </w:t>
      </w:r>
      <w:r>
        <w:rPr>
          <w:rFonts w:cs="Courier New"/>
        </w:rPr>
        <w:t xml:space="preserve"> </w:t>
      </w:r>
    </w:p>
    <w:p w:rsidR="00D54ABD" w:rsidRPr="00D54ABD" w:rsidRDefault="00D54ABD" w:rsidP="00D54ABD">
      <w:pPr>
        <w:pStyle w:val="ListParagraph"/>
        <w:ind w:left="0"/>
      </w:pPr>
    </w:p>
    <w:p w:rsidR="00D54ABD" w:rsidRPr="00D54ABD" w:rsidRDefault="00D54ABD" w:rsidP="00D54ABD">
      <w:pPr>
        <w:pStyle w:val="ListParagraph"/>
        <w:numPr>
          <w:ilvl w:val="0"/>
          <w:numId w:val="4"/>
        </w:numPr>
        <w:ind w:left="0" w:firstLine="0"/>
      </w:pPr>
      <w:r w:rsidRPr="00D54ABD">
        <w:rPr>
          <w:rFonts w:cs="Courier New"/>
        </w:rPr>
        <w:t>The Delegation of South Africa align</w:t>
      </w:r>
      <w:r w:rsidR="001C554F">
        <w:rPr>
          <w:rFonts w:cs="Courier New"/>
        </w:rPr>
        <w:t>ed itself with the statement made by</w:t>
      </w:r>
      <w:r w:rsidRPr="00D54ABD">
        <w:rPr>
          <w:rFonts w:cs="Courier New"/>
        </w:rPr>
        <w:t xml:space="preserve"> the Delegat</w:t>
      </w:r>
      <w:r w:rsidR="001C554F">
        <w:rPr>
          <w:rFonts w:cs="Courier New"/>
        </w:rPr>
        <w:t>ion</w:t>
      </w:r>
      <w:r w:rsidRPr="00D54ABD">
        <w:rPr>
          <w:rFonts w:cs="Courier New"/>
        </w:rPr>
        <w:t xml:space="preserve"> of Morocco</w:t>
      </w:r>
      <w:r w:rsidR="001C554F">
        <w:rPr>
          <w:rFonts w:cs="Courier New"/>
        </w:rPr>
        <w:t>,</w:t>
      </w:r>
      <w:r w:rsidRPr="00D54ABD">
        <w:rPr>
          <w:rFonts w:cs="Courier New"/>
        </w:rPr>
        <w:t xml:space="preserve"> on behalf of the African Group</w:t>
      </w:r>
      <w:r w:rsidR="001C554F">
        <w:rPr>
          <w:rFonts w:cs="Courier New"/>
        </w:rPr>
        <w:t>,</w:t>
      </w:r>
      <w:r w:rsidRPr="00D54ABD">
        <w:rPr>
          <w:rFonts w:cs="Courier New"/>
        </w:rPr>
        <w:t xml:space="preserve"> and</w:t>
      </w:r>
      <w:r w:rsidR="001C554F">
        <w:rPr>
          <w:rFonts w:cs="Courier New"/>
        </w:rPr>
        <w:t xml:space="preserve"> the statement made by the Delegation</w:t>
      </w:r>
      <w:r w:rsidRPr="00D54ABD">
        <w:rPr>
          <w:rFonts w:cs="Courier New"/>
        </w:rPr>
        <w:t xml:space="preserve"> of Indonesia</w:t>
      </w:r>
      <w:r w:rsidR="001C554F">
        <w:rPr>
          <w:rFonts w:cs="Courier New"/>
        </w:rPr>
        <w:t>,</w:t>
      </w:r>
      <w:r w:rsidRPr="00D54ABD">
        <w:rPr>
          <w:rFonts w:cs="Courier New"/>
        </w:rPr>
        <w:t xml:space="preserve"> on behalf of the LMCs.  It did not want to give a shopping list of things</w:t>
      </w:r>
      <w:r>
        <w:rPr>
          <w:rFonts w:cs="Courier New"/>
        </w:rPr>
        <w:t xml:space="preserve"> that</w:t>
      </w:r>
      <w:r w:rsidRPr="00D54ABD">
        <w:rPr>
          <w:rFonts w:cs="Courier New"/>
        </w:rPr>
        <w:t xml:space="preserve"> it found to be wrong.  The IGC needed to look forward and look at possibilities of using those particular documents as a basis </w:t>
      </w:r>
      <w:r>
        <w:rPr>
          <w:rFonts w:cs="Courier New"/>
        </w:rPr>
        <w:t>for</w:t>
      </w:r>
      <w:r w:rsidRPr="00D54ABD">
        <w:rPr>
          <w:rFonts w:cs="Courier New"/>
        </w:rPr>
        <w:t xml:space="preserve"> finding creative solutions.</w:t>
      </w:r>
      <w:r>
        <w:rPr>
          <w:rFonts w:cs="Courier New"/>
        </w:rPr>
        <w:t xml:space="preserve"> </w:t>
      </w:r>
      <w:r w:rsidRPr="00D54ABD">
        <w:rPr>
          <w:rFonts w:cs="Courier New"/>
        </w:rPr>
        <w:t xml:space="preserve"> The </w:t>
      </w:r>
      <w:r w:rsidRPr="00D54ABD">
        <w:rPr>
          <w:rFonts w:cs="Courier New"/>
          <w:i/>
        </w:rPr>
        <w:t>ad hoc</w:t>
      </w:r>
      <w:r w:rsidRPr="00D54ABD">
        <w:rPr>
          <w:rFonts w:cs="Courier New"/>
        </w:rPr>
        <w:t xml:space="preserve"> expert group could consider the list of issues.  It asked to focus </w:t>
      </w:r>
      <w:proofErr w:type="gramStart"/>
      <w:r w:rsidRPr="00D54ABD">
        <w:rPr>
          <w:rFonts w:cs="Courier New"/>
        </w:rPr>
        <w:t>on more positive steps for the work ahead</w:t>
      </w:r>
      <w:proofErr w:type="gramEnd"/>
      <w:r w:rsidRPr="00D54ABD">
        <w:rPr>
          <w:rFonts w:cs="Courier New"/>
        </w:rPr>
        <w:t>.</w:t>
      </w:r>
    </w:p>
    <w:p w:rsidR="00D54ABD" w:rsidRPr="00D54ABD" w:rsidRDefault="00D54ABD" w:rsidP="00D54ABD">
      <w:pPr>
        <w:rPr>
          <w:rFonts w:cs="Courier New"/>
        </w:rPr>
      </w:pPr>
    </w:p>
    <w:p w:rsidR="001172E9" w:rsidRPr="001172E9" w:rsidRDefault="00D54ABD" w:rsidP="001172E9">
      <w:pPr>
        <w:pStyle w:val="ListParagraph"/>
        <w:numPr>
          <w:ilvl w:val="0"/>
          <w:numId w:val="4"/>
        </w:numPr>
        <w:ind w:left="0" w:firstLine="0"/>
      </w:pPr>
      <w:r w:rsidRPr="00D54ABD">
        <w:rPr>
          <w:rFonts w:cs="Courier New"/>
        </w:rPr>
        <w:t xml:space="preserve">The Delegation of Egypt said that </w:t>
      </w:r>
      <w:r w:rsidR="001C554F">
        <w:rPr>
          <w:rFonts w:cs="Courier New"/>
        </w:rPr>
        <w:t>Rev. 2</w:t>
      </w:r>
      <w:r w:rsidRPr="00D54ABD">
        <w:rPr>
          <w:rFonts w:cs="Courier New"/>
        </w:rPr>
        <w:t xml:space="preserve"> was a good basis for future work.  </w:t>
      </w:r>
      <w:r w:rsidR="001C554F">
        <w:rPr>
          <w:rFonts w:cs="Courier New"/>
        </w:rPr>
        <w:t xml:space="preserve">The </w:t>
      </w:r>
      <w:r w:rsidR="008D5BE9">
        <w:rPr>
          <w:rFonts w:cs="Courier New"/>
        </w:rPr>
        <w:t>IGC </w:t>
      </w:r>
      <w:r w:rsidRPr="00D54ABD">
        <w:rPr>
          <w:rFonts w:cs="Courier New"/>
        </w:rPr>
        <w:t xml:space="preserve">members were not </w:t>
      </w:r>
      <w:r>
        <w:rPr>
          <w:rFonts w:cs="Courier New"/>
        </w:rPr>
        <w:t>competing</w:t>
      </w:r>
      <w:r w:rsidRPr="00D54ABD">
        <w:rPr>
          <w:rFonts w:cs="Courier New"/>
        </w:rPr>
        <w:t xml:space="preserve"> but a team </w:t>
      </w:r>
      <w:r>
        <w:rPr>
          <w:rFonts w:cs="Courier New"/>
        </w:rPr>
        <w:t xml:space="preserve">working </w:t>
      </w:r>
      <w:r w:rsidRPr="00D54ABD">
        <w:rPr>
          <w:rFonts w:cs="Courier New"/>
        </w:rPr>
        <w:t>with a team spirit.</w:t>
      </w:r>
      <w:r>
        <w:rPr>
          <w:rFonts w:cs="Courier New"/>
        </w:rPr>
        <w:t xml:space="preserve"> </w:t>
      </w:r>
      <w:r w:rsidRPr="00D54ABD">
        <w:rPr>
          <w:rFonts w:cs="Courier New"/>
        </w:rPr>
        <w:t xml:space="preserve"> It felt a lot of compassion for the experts because the work that lied ahead of them would be full of pitfalls.  It </w:t>
      </w:r>
      <w:proofErr w:type="gramStart"/>
      <w:r w:rsidRPr="00D54ABD">
        <w:rPr>
          <w:rFonts w:cs="Courier New"/>
        </w:rPr>
        <w:t>had great expectations</w:t>
      </w:r>
      <w:proofErr w:type="gramEnd"/>
      <w:r w:rsidRPr="00D54ABD">
        <w:rPr>
          <w:rFonts w:cs="Courier New"/>
        </w:rPr>
        <w:t xml:space="preserve"> for them.  The terms “misappropriation” and “derivatives” </w:t>
      </w:r>
      <w:proofErr w:type="gramStart"/>
      <w:r w:rsidRPr="00D54ABD">
        <w:rPr>
          <w:rFonts w:cs="Courier New"/>
        </w:rPr>
        <w:t>should be defined</w:t>
      </w:r>
      <w:proofErr w:type="gramEnd"/>
      <w:r w:rsidRPr="00D54ABD">
        <w:rPr>
          <w:rFonts w:cs="Courier New"/>
        </w:rPr>
        <w:t xml:space="preserve"> </w:t>
      </w:r>
      <w:r>
        <w:rPr>
          <w:rFonts w:cs="Courier New"/>
        </w:rPr>
        <w:t>in relation to</w:t>
      </w:r>
      <w:r w:rsidRPr="00D54ABD">
        <w:rPr>
          <w:rFonts w:cs="Courier New"/>
        </w:rPr>
        <w:t xml:space="preserve"> the operative part of the document, particularly the objectives</w:t>
      </w:r>
      <w:r w:rsidR="001C554F">
        <w:rPr>
          <w:rFonts w:cs="Courier New"/>
        </w:rPr>
        <w:t xml:space="preserve"> and the disclosure requirement</w:t>
      </w:r>
      <w:r w:rsidRPr="00D54ABD">
        <w:rPr>
          <w:rFonts w:cs="Courier New"/>
        </w:rPr>
        <w:t xml:space="preserve">. </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Delegation of Thailand </w:t>
      </w:r>
      <w:r w:rsidR="001C554F">
        <w:rPr>
          <w:rFonts w:cs="Courier New"/>
        </w:rPr>
        <w:t>supported</w:t>
      </w:r>
      <w:r w:rsidRPr="001172E9">
        <w:rPr>
          <w:rFonts w:cs="Courier New"/>
        </w:rPr>
        <w:t xml:space="preserve"> the statements made by the Delegation of Indonesia</w:t>
      </w:r>
      <w:r w:rsidR="001C554F">
        <w:rPr>
          <w:rFonts w:cs="Courier New"/>
        </w:rPr>
        <w:t>,</w:t>
      </w:r>
      <w:r w:rsidRPr="001172E9">
        <w:rPr>
          <w:rFonts w:cs="Courier New"/>
        </w:rPr>
        <w:t xml:space="preserve"> on </w:t>
      </w:r>
      <w:r w:rsidR="005438B7">
        <w:rPr>
          <w:rFonts w:cs="Courier New"/>
        </w:rPr>
        <w:t>behalf of the LMCs and the Asia</w:t>
      </w:r>
      <w:r w:rsidR="005438B7">
        <w:rPr>
          <w:rFonts w:cs="Courier New"/>
        </w:rPr>
        <w:noBreakHyphen/>
      </w:r>
      <w:r w:rsidRPr="001172E9">
        <w:rPr>
          <w:rFonts w:cs="Courier New"/>
        </w:rPr>
        <w:t xml:space="preserve">Pacific Group. </w:t>
      </w:r>
      <w:r>
        <w:rPr>
          <w:rFonts w:cs="Courier New"/>
        </w:rPr>
        <w:t xml:space="preserve"> </w:t>
      </w:r>
      <w:r w:rsidRPr="001172E9">
        <w:rPr>
          <w:rFonts w:cs="Courier New"/>
        </w:rPr>
        <w:t>Rev</w:t>
      </w:r>
      <w:r w:rsidR="001C554F">
        <w:rPr>
          <w:rFonts w:cs="Courier New"/>
        </w:rPr>
        <w:t>.</w:t>
      </w:r>
      <w:r w:rsidRPr="001172E9">
        <w:rPr>
          <w:rFonts w:cs="Courier New"/>
        </w:rPr>
        <w:t xml:space="preserve"> 2 was a reflection of joint efforts in trying to narrow the gaps and could serve as a good basi</w:t>
      </w:r>
      <w:r w:rsidR="008D5BE9">
        <w:rPr>
          <w:rFonts w:cs="Courier New"/>
        </w:rPr>
        <w:t>s for further discussion at IGC </w:t>
      </w:r>
      <w:r w:rsidRPr="001172E9">
        <w:rPr>
          <w:rFonts w:cs="Courier New"/>
        </w:rPr>
        <w:t xml:space="preserve">36.  </w:t>
      </w:r>
      <w:r>
        <w:rPr>
          <w:rFonts w:cs="Courier New"/>
        </w:rPr>
        <w:t>Still, i</w:t>
      </w:r>
      <w:r w:rsidRPr="001172E9">
        <w:rPr>
          <w:rFonts w:cs="Courier New"/>
        </w:rPr>
        <w:t>t had some concerns over the draft.</w:t>
      </w:r>
      <w:r>
        <w:rPr>
          <w:rFonts w:cs="Courier New"/>
        </w:rPr>
        <w:t xml:space="preserve"> </w:t>
      </w:r>
      <w:r w:rsidRPr="001172E9">
        <w:rPr>
          <w:rFonts w:cs="Courier New"/>
        </w:rPr>
        <w:t xml:space="preserve"> For example, the definitions of “derivatives” and “misappropriation” </w:t>
      </w:r>
      <w:proofErr w:type="gramStart"/>
      <w:r w:rsidRPr="001172E9">
        <w:rPr>
          <w:rFonts w:cs="Courier New"/>
        </w:rPr>
        <w:t>should be placed</w:t>
      </w:r>
      <w:proofErr w:type="gramEnd"/>
      <w:r w:rsidRPr="001172E9">
        <w:rPr>
          <w:rFonts w:cs="Courier New"/>
        </w:rPr>
        <w:t xml:space="preserve"> under the terms used in the operative articles.  It reserved the right to make further comments at IGC 36. </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The Delegation of Gabon aligned itself with the position expressed by the Delegation of Morocco</w:t>
      </w:r>
      <w:r w:rsidR="003B5F52">
        <w:rPr>
          <w:rFonts w:cs="Courier New"/>
        </w:rPr>
        <w:t>,</w:t>
      </w:r>
      <w:r w:rsidRPr="001172E9">
        <w:rPr>
          <w:rFonts w:cs="Courier New"/>
        </w:rPr>
        <w:t xml:space="preserve"> on behalf of the African Group. </w:t>
      </w:r>
      <w:r>
        <w:rPr>
          <w:rFonts w:cs="Courier New"/>
        </w:rPr>
        <w:t xml:space="preserve"> </w:t>
      </w:r>
      <w:r w:rsidRPr="001172E9">
        <w:rPr>
          <w:rFonts w:cs="Courier New"/>
        </w:rPr>
        <w:t>Rev 2 could be a good basis for future work.</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Delegation of Malaysia aligned itself with the Delegation of Indonesia on behalf of the LMCs. </w:t>
      </w:r>
      <w:r>
        <w:rPr>
          <w:rFonts w:cs="Courier New"/>
        </w:rPr>
        <w:t xml:space="preserve"> </w:t>
      </w:r>
      <w:r w:rsidRPr="001172E9">
        <w:rPr>
          <w:rFonts w:cs="Courier New"/>
        </w:rPr>
        <w:t>Rev</w:t>
      </w:r>
      <w:r w:rsidR="00A06403">
        <w:rPr>
          <w:rFonts w:cs="Courier New"/>
        </w:rPr>
        <w:t>.</w:t>
      </w:r>
      <w:r w:rsidRPr="001172E9">
        <w:rPr>
          <w:rFonts w:cs="Courier New"/>
        </w:rPr>
        <w:t xml:space="preserve"> 2 would provide a useful basis for further discussions.  It supported the inclusion of “derivatives” and “misappropriation” in the operating articles. </w:t>
      </w:r>
      <w:r>
        <w:rPr>
          <w:rFonts w:cs="Courier New"/>
        </w:rPr>
        <w:t xml:space="preserve"> I</w:t>
      </w:r>
      <w:r w:rsidRPr="001172E9">
        <w:rPr>
          <w:rFonts w:cs="Courier New"/>
        </w:rPr>
        <w:t xml:space="preserve">n Article 3 on subject matter, it wished to include “utilization” as well. </w:t>
      </w:r>
      <w:r>
        <w:rPr>
          <w:rFonts w:cs="Courier New"/>
        </w:rPr>
        <w:t xml:space="preserve"> </w:t>
      </w:r>
      <w:r w:rsidRPr="001172E9">
        <w:rPr>
          <w:rFonts w:cs="Courier New"/>
        </w:rPr>
        <w:t>It looked forward to engaging further at the next IGC.</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Delegation of Sri Lanka was opposed to </w:t>
      </w:r>
      <w:r>
        <w:rPr>
          <w:rFonts w:cs="Courier New"/>
        </w:rPr>
        <w:t>having</w:t>
      </w:r>
      <w:r w:rsidRPr="001172E9">
        <w:rPr>
          <w:rFonts w:cs="Courier New"/>
        </w:rPr>
        <w:t xml:space="preserve"> separate sections for the definitions in Article 1.</w:t>
      </w:r>
      <w:r>
        <w:rPr>
          <w:rFonts w:cs="Courier New"/>
        </w:rPr>
        <w:t xml:space="preserve"> </w:t>
      </w:r>
      <w:r w:rsidRPr="001172E9">
        <w:rPr>
          <w:rFonts w:cs="Courier New"/>
        </w:rPr>
        <w:t xml:space="preserve"> It was not happy about deleting the word “derivatives” from the text and having it included into the alternative definition of GRs.  </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The Delegation of China said</w:t>
      </w:r>
      <w:r>
        <w:rPr>
          <w:rFonts w:cs="Courier New"/>
        </w:rPr>
        <w:t xml:space="preserve"> that i</w:t>
      </w:r>
      <w:r w:rsidR="003B5F52">
        <w:rPr>
          <w:rFonts w:cs="Courier New"/>
        </w:rPr>
        <w:t xml:space="preserve">n the definition part, TK associated with </w:t>
      </w:r>
      <w:r w:rsidRPr="001172E9">
        <w:rPr>
          <w:rFonts w:cs="Courier New"/>
        </w:rPr>
        <w:t>GRs, A</w:t>
      </w:r>
      <w:r w:rsidR="003B5F52">
        <w:rPr>
          <w:rFonts w:cs="Courier New"/>
        </w:rPr>
        <w:t>LT 2, the first square brackets</w:t>
      </w:r>
      <w:r w:rsidRPr="001172E9">
        <w:rPr>
          <w:rFonts w:cs="Courier New"/>
        </w:rPr>
        <w:t xml:space="preserve"> “rightful holders including” could also include countries as holders, as had been reflected in the preamble.  </w:t>
      </w:r>
      <w:r w:rsidR="003B5F52">
        <w:rPr>
          <w:rFonts w:cs="Courier New"/>
        </w:rPr>
        <w:t>R</w:t>
      </w:r>
      <w:r w:rsidRPr="001172E9">
        <w:rPr>
          <w:rFonts w:cs="Courier New"/>
        </w:rPr>
        <w:t>egarding the subject matter, it suggested to add square brackets.</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Chair closed item 7. </w:t>
      </w:r>
    </w:p>
    <w:p w:rsidR="00D54ABD" w:rsidRPr="00D54ABD" w:rsidRDefault="00D54ABD" w:rsidP="001172E9"/>
    <w:p w:rsidR="003C4338" w:rsidRPr="00920D43" w:rsidRDefault="003C4338" w:rsidP="0002735E">
      <w:pPr>
        <w:pStyle w:val="ListParagraph"/>
        <w:ind w:left="0"/>
        <w:rPr>
          <w:szCs w:val="22"/>
        </w:rPr>
      </w:pPr>
    </w:p>
    <w:p w:rsidR="003C6EF6" w:rsidRPr="00920D43" w:rsidRDefault="00581F26" w:rsidP="00920D43">
      <w:pPr>
        <w:pStyle w:val="ListParagraph"/>
        <w:ind w:left="5533"/>
        <w:rPr>
          <w:i/>
          <w:szCs w:val="22"/>
        </w:rPr>
      </w:pPr>
      <w:r>
        <w:rPr>
          <w:i/>
          <w:szCs w:val="22"/>
        </w:rPr>
        <w:t>Decision on Agenda Item 7</w:t>
      </w:r>
      <w:r w:rsidR="00920D43" w:rsidRPr="00920D43">
        <w:rPr>
          <w:i/>
          <w:szCs w:val="22"/>
        </w:rPr>
        <w:t>:</w:t>
      </w:r>
    </w:p>
    <w:p w:rsidR="003C6EF6" w:rsidRPr="00920D43" w:rsidRDefault="003C6EF6" w:rsidP="0043316B">
      <w:pPr>
        <w:pStyle w:val="ListParagraph"/>
        <w:ind w:left="5533"/>
        <w:rPr>
          <w:i/>
          <w:szCs w:val="22"/>
        </w:rPr>
      </w:pPr>
    </w:p>
    <w:p w:rsidR="0043316B" w:rsidRDefault="0043316B" w:rsidP="0043316B">
      <w:pPr>
        <w:pStyle w:val="ListParagraph"/>
        <w:numPr>
          <w:ilvl w:val="0"/>
          <w:numId w:val="4"/>
        </w:numPr>
        <w:ind w:left="5533" w:firstLine="0"/>
        <w:rPr>
          <w:i/>
          <w:szCs w:val="22"/>
        </w:rPr>
      </w:pPr>
      <w:r w:rsidRPr="0043316B">
        <w:rPr>
          <w:i/>
          <w:szCs w:val="22"/>
        </w:rPr>
        <w:t xml:space="preserve">The Committee developed, </w:t>
      </w:r>
      <w:proofErr w:type="gramStart"/>
      <w:r w:rsidRPr="0043316B">
        <w:rPr>
          <w:i/>
          <w:szCs w:val="22"/>
        </w:rPr>
        <w:t>on the basis of</w:t>
      </w:r>
      <w:proofErr w:type="gramEnd"/>
      <w:r w:rsidRPr="0043316B">
        <w:rPr>
          <w:i/>
          <w:szCs w:val="22"/>
        </w:rPr>
        <w:t xml:space="preserve"> document WIPO/GRTKF/IC/35/4, a further text, “Consolidated Document on Intellectual Property and Genetic Resources Rev. 2”.  The Committee decided that this text, as at the close of this agenda item on March 23, 2018, be transmitted to the Thirty Sixth Session of the Committee, in accordance with the Committee’s mandate for 2018-2019 and the work program for 2018, as contained in document WO/GA/49/21.</w:t>
      </w:r>
    </w:p>
    <w:p w:rsidR="0043316B" w:rsidRPr="0043316B" w:rsidRDefault="0043316B" w:rsidP="0043316B">
      <w:pPr>
        <w:pStyle w:val="ListParagraph"/>
        <w:ind w:left="5533"/>
        <w:rPr>
          <w:i/>
          <w:szCs w:val="22"/>
        </w:rPr>
      </w:pPr>
    </w:p>
    <w:p w:rsidR="00920D43" w:rsidRPr="0043316B" w:rsidRDefault="0043316B" w:rsidP="0043316B">
      <w:pPr>
        <w:pStyle w:val="ListParagraph"/>
        <w:numPr>
          <w:ilvl w:val="0"/>
          <w:numId w:val="4"/>
        </w:numPr>
        <w:ind w:left="5533" w:firstLine="0"/>
        <w:rPr>
          <w:i/>
          <w:szCs w:val="22"/>
        </w:rPr>
      </w:pPr>
      <w:r w:rsidRPr="0043316B">
        <w:rPr>
          <w:i/>
          <w:szCs w:val="22"/>
        </w:rPr>
        <w:t>The Committee took note of and held discussions on documents WIPO/GRTKF/IC/35/5, WIPO/GRTKF/IC/35/6, WIPO/GRTKF/IC/35/7, WIPO/GRTKF/IC/35/8, WIPO/GRTKF/IC/35/9, WIPO/GRTKF/IC/35/INF/7, WIPO/GRTKF/IC/35/INF/8 and WIPO/GRTKF/IC/35/INF/9.</w:t>
      </w:r>
    </w:p>
    <w:p w:rsidR="005579DE" w:rsidRPr="0043316B" w:rsidRDefault="005579DE" w:rsidP="0043316B">
      <w:pPr>
        <w:pStyle w:val="ListParagraph"/>
        <w:ind w:left="5533"/>
        <w:rPr>
          <w:i/>
          <w:szCs w:val="22"/>
        </w:rPr>
      </w:pPr>
    </w:p>
    <w:p w:rsidR="00581F26" w:rsidRPr="009B459C" w:rsidRDefault="00581F26" w:rsidP="00581F26">
      <w:pPr>
        <w:pStyle w:val="Heading1"/>
        <w:spacing w:before="0"/>
      </w:pPr>
      <w:r>
        <w:t xml:space="preserve">AGENDA ITEM 8:  Establishment of an </w:t>
      </w:r>
      <w:r w:rsidRPr="00581F26">
        <w:rPr>
          <w:i/>
        </w:rPr>
        <w:t>ad hoc</w:t>
      </w:r>
      <w:r>
        <w:t xml:space="preserve"> expert group(s)</w:t>
      </w:r>
    </w:p>
    <w:p w:rsidR="00581F26" w:rsidRPr="00243105" w:rsidRDefault="00581F26" w:rsidP="00581F26">
      <w:pPr>
        <w:pStyle w:val="ListParagraph"/>
        <w:ind w:left="0"/>
        <w:rPr>
          <w:bCs/>
        </w:rPr>
      </w:pPr>
    </w:p>
    <w:p w:rsidR="004E7317" w:rsidRDefault="00581F26" w:rsidP="004E7317">
      <w:pPr>
        <w:pStyle w:val="ListParagraph"/>
        <w:numPr>
          <w:ilvl w:val="0"/>
          <w:numId w:val="4"/>
        </w:numPr>
        <w:ind w:left="0" w:firstLine="0"/>
      </w:pPr>
      <w:r>
        <w:t xml:space="preserve"> </w:t>
      </w:r>
      <w:r w:rsidR="00FE2CAE" w:rsidRPr="00F35478">
        <w:t xml:space="preserve">The Chair said </w:t>
      </w:r>
      <w:r w:rsidR="00FE2CAE">
        <w:t xml:space="preserve">that, based on discussions with the Regional Coordinators, he had issued an initial proposal for </w:t>
      </w:r>
      <w:r w:rsidR="00FE2CAE" w:rsidRPr="00F35478">
        <w:t xml:space="preserve">the </w:t>
      </w:r>
      <w:r w:rsidR="00FE2CAE" w:rsidRPr="00FE2CAE">
        <w:rPr>
          <w:i/>
        </w:rPr>
        <w:t>ad hoc</w:t>
      </w:r>
      <w:r w:rsidR="00FE2CAE">
        <w:t xml:space="preserve"> expert</w:t>
      </w:r>
      <w:r w:rsidR="00FE2CAE" w:rsidRPr="00F35478">
        <w:t xml:space="preserve"> group</w:t>
      </w:r>
      <w:r w:rsidR="00FE2CAE">
        <w:t>.  He said his p</w:t>
      </w:r>
      <w:r w:rsidR="00FE2CAE" w:rsidRPr="00F35478">
        <w:t xml:space="preserve">roposal </w:t>
      </w:r>
      <w:proofErr w:type="gramStart"/>
      <w:r w:rsidR="00FE2CAE">
        <w:t>was balanced</w:t>
      </w:r>
      <w:proofErr w:type="gramEnd"/>
      <w:r w:rsidR="00FE2CAE" w:rsidRPr="00F35478">
        <w:t xml:space="preserve"> and </w:t>
      </w:r>
      <w:r w:rsidR="00FE2CAE">
        <w:t>addressed</w:t>
      </w:r>
      <w:r w:rsidR="00FE2CAE" w:rsidRPr="00F35478">
        <w:t xml:space="preserve"> the mandate in terms of ensuring technical expertise to help with </w:t>
      </w:r>
      <w:r w:rsidR="00FE2CAE">
        <w:t>the IGC’s</w:t>
      </w:r>
      <w:r w:rsidR="00FE2CAE" w:rsidRPr="00F35478">
        <w:t xml:space="preserve"> work and support </w:t>
      </w:r>
      <w:r w:rsidR="00FE2CAE">
        <w:t>the evidence</w:t>
      </w:r>
      <w:r w:rsidR="00FE2CAE">
        <w:noBreakHyphen/>
        <w:t>based approach.  The</w:t>
      </w:r>
      <w:r w:rsidR="00FE2CAE" w:rsidRPr="00F35478">
        <w:t xml:space="preserve"> expert group </w:t>
      </w:r>
      <w:r w:rsidR="00FE2CAE">
        <w:t>should</w:t>
      </w:r>
      <w:r w:rsidR="00FE2CAE" w:rsidRPr="00F35478">
        <w:t xml:space="preserve"> look at the material and specific t</w:t>
      </w:r>
      <w:r w:rsidR="00FE2CAE">
        <w:t xml:space="preserve">echnical issues </w:t>
      </w:r>
      <w:r w:rsidR="00FE2CAE" w:rsidRPr="00F35478">
        <w:t xml:space="preserve">and come forward with oral </w:t>
      </w:r>
      <w:r w:rsidR="00FE2CAE">
        <w:t xml:space="preserve">recommendations </w:t>
      </w:r>
      <w:r w:rsidR="00FE2CAE" w:rsidRPr="00F35478">
        <w:t xml:space="preserve">that </w:t>
      </w:r>
      <w:r w:rsidR="00FE2CAE">
        <w:t>the IGC could</w:t>
      </w:r>
      <w:r w:rsidR="00FE2CAE" w:rsidRPr="00F35478">
        <w:t xml:space="preserve"> take on board in relation to the text itself. </w:t>
      </w:r>
      <w:r w:rsidR="00FE2CAE">
        <w:t xml:space="preserve"> The</w:t>
      </w:r>
      <w:r w:rsidR="00FE2CAE" w:rsidRPr="00F35478">
        <w:t xml:space="preserve"> nominations </w:t>
      </w:r>
      <w:r w:rsidR="00FE2CAE">
        <w:t>for</w:t>
      </w:r>
      <w:r w:rsidR="00FE2CAE" w:rsidRPr="00F35478">
        <w:t xml:space="preserve"> the expert group </w:t>
      </w:r>
      <w:r w:rsidR="00FE2CAE">
        <w:t>members would</w:t>
      </w:r>
      <w:r w:rsidR="00FE2CAE" w:rsidRPr="00F35478">
        <w:t xml:space="preserve"> need to </w:t>
      </w:r>
      <w:proofErr w:type="gramStart"/>
      <w:r w:rsidR="00FE2CAE" w:rsidRPr="00F35478">
        <w:t>be</w:t>
      </w:r>
      <w:r w:rsidR="00FE2CAE">
        <w:t xml:space="preserve"> sent</w:t>
      </w:r>
      <w:proofErr w:type="gramEnd"/>
      <w:r w:rsidR="00FE2CAE" w:rsidRPr="00F35478">
        <w:t xml:space="preserve"> in advance </w:t>
      </w:r>
      <w:r w:rsidR="00FE2CAE">
        <w:t xml:space="preserve">to allow them to prepare ahead of the meeting. </w:t>
      </w:r>
      <w:r w:rsidR="00FE2CAE" w:rsidRPr="00F35478">
        <w:t xml:space="preserve"> </w:t>
      </w:r>
      <w:r w:rsidR="00FE2CAE">
        <w:t xml:space="preserve">He, together with the Vice-Chairs, would select a </w:t>
      </w:r>
      <w:r w:rsidR="00FE2CAE" w:rsidRPr="00F35478">
        <w:t>chair or co</w:t>
      </w:r>
      <w:r w:rsidR="00FE2CAE">
        <w:t>-chairs for the meeting</w:t>
      </w:r>
      <w:r w:rsidR="00FE2CAE" w:rsidRPr="00F35478">
        <w:t xml:space="preserve">. </w:t>
      </w:r>
      <w:r w:rsidR="00FE2CAE">
        <w:t xml:space="preserve"> It was</w:t>
      </w:r>
      <w:r w:rsidR="00FE2CAE" w:rsidRPr="00F35478">
        <w:t xml:space="preserve"> difficult to get everyone to agree</w:t>
      </w:r>
      <w:r w:rsidR="00FE2CAE">
        <w:t xml:space="preserve"> on the detailed questions that the group would address</w:t>
      </w:r>
      <w:r w:rsidR="00FE2CAE" w:rsidRPr="00F35478">
        <w:t xml:space="preserve">. </w:t>
      </w:r>
      <w:r w:rsidR="00FE2CAE">
        <w:t xml:space="preserve"> Regional groups sh</w:t>
      </w:r>
      <w:r w:rsidR="00FE2CAE" w:rsidRPr="00F35478">
        <w:t xml:space="preserve">ould present to </w:t>
      </w:r>
      <w:r w:rsidR="00FE2CAE">
        <w:t>the Chair</w:t>
      </w:r>
      <w:r w:rsidR="00FE2CAE" w:rsidRPr="00F35478">
        <w:t xml:space="preserve"> their proposed issues</w:t>
      </w:r>
      <w:r w:rsidR="00FE2CAE">
        <w:t>, and the Chair</w:t>
      </w:r>
      <w:r w:rsidR="00FE2CAE" w:rsidRPr="00F35478">
        <w:t xml:space="preserve"> </w:t>
      </w:r>
      <w:r w:rsidR="00FE2CAE">
        <w:t xml:space="preserve">and </w:t>
      </w:r>
      <w:r w:rsidR="003236B1">
        <w:t xml:space="preserve">the </w:t>
      </w:r>
      <w:r w:rsidR="00FE2CAE">
        <w:t xml:space="preserve">Vice-Chairs </w:t>
      </w:r>
      <w:r w:rsidR="00FE2CAE" w:rsidRPr="00F35478">
        <w:t xml:space="preserve">would consider those </w:t>
      </w:r>
      <w:r w:rsidR="00FE2CAE">
        <w:t>and</w:t>
      </w:r>
      <w:r w:rsidR="00FE2CAE" w:rsidRPr="00F35478">
        <w:t xml:space="preserve"> decide </w:t>
      </w:r>
      <w:r w:rsidR="00FE2CAE">
        <w:t xml:space="preserve">on the final list, in order to avoid lengthy discussions by all members. </w:t>
      </w:r>
      <w:r w:rsidR="00FE2CAE" w:rsidRPr="00F35478">
        <w:t xml:space="preserve"> </w:t>
      </w:r>
      <w:r w:rsidR="00FE2CAE">
        <w:t xml:space="preserve">The final list </w:t>
      </w:r>
      <w:proofErr w:type="gramStart"/>
      <w:r w:rsidR="00FE2CAE">
        <w:t>would be submitted</w:t>
      </w:r>
      <w:proofErr w:type="gramEnd"/>
      <w:r w:rsidR="00FE2CAE">
        <w:t xml:space="preserve"> to the Regional Coordinators for comments before being issued.  </w:t>
      </w:r>
      <w:r w:rsidR="00FE2CAE" w:rsidRPr="00F35478">
        <w:t>He opened the floor for comments.</w:t>
      </w:r>
    </w:p>
    <w:p w:rsidR="004E7317" w:rsidRDefault="004E7317" w:rsidP="004E7317">
      <w:pPr>
        <w:pStyle w:val="ListParagraph"/>
        <w:ind w:left="0"/>
      </w:pPr>
    </w:p>
    <w:p w:rsidR="004E7317" w:rsidRDefault="004E7317" w:rsidP="004E7317">
      <w:pPr>
        <w:pStyle w:val="ListParagraph"/>
        <w:numPr>
          <w:ilvl w:val="0"/>
          <w:numId w:val="4"/>
        </w:numPr>
        <w:ind w:left="0" w:firstLine="0"/>
      </w:pPr>
      <w:r w:rsidRPr="00F35478">
        <w:t>The Delegation of Indonesia,</w:t>
      </w:r>
      <w:r w:rsidR="005438B7">
        <w:t xml:space="preserve"> speaking on behalf of the Asia</w:t>
      </w:r>
      <w:r w:rsidR="005438B7">
        <w:noBreakHyphen/>
      </w:r>
      <w:r w:rsidRPr="00F35478">
        <w:t xml:space="preserve">Pacific </w:t>
      </w:r>
      <w:r>
        <w:t xml:space="preserve">Group, supported the Chair’s proposal, which </w:t>
      </w:r>
      <w:proofErr w:type="gramStart"/>
      <w:r>
        <w:t xml:space="preserve">was </w:t>
      </w:r>
      <w:r w:rsidRPr="00F35478">
        <w:t>balanced</w:t>
      </w:r>
      <w:proofErr w:type="gramEnd"/>
      <w:r w:rsidRPr="00F35478">
        <w:t xml:space="preserve"> and </w:t>
      </w:r>
      <w:r>
        <w:t>took</w:t>
      </w:r>
      <w:r w:rsidRPr="00F35478">
        <w:t xml:space="preserve"> care of different fields and perspective</w:t>
      </w:r>
      <w:r>
        <w:t>s</w:t>
      </w:r>
      <w:r w:rsidRPr="00F35478">
        <w:t xml:space="preserve">. </w:t>
      </w:r>
    </w:p>
    <w:p w:rsidR="004E7317" w:rsidRDefault="004E7317" w:rsidP="004E7317"/>
    <w:p w:rsidR="00DE3511" w:rsidRDefault="004E7317" w:rsidP="00DE3511">
      <w:pPr>
        <w:pStyle w:val="ListParagraph"/>
        <w:numPr>
          <w:ilvl w:val="0"/>
          <w:numId w:val="4"/>
        </w:numPr>
        <w:ind w:left="0" w:firstLine="0"/>
      </w:pPr>
      <w:r w:rsidRPr="00F35478">
        <w:t xml:space="preserve">The Delegation of Ecuador, speaking on behalf of GRULAC, </w:t>
      </w:r>
      <w:r>
        <w:t xml:space="preserve">supported the balanced proposal.  It hoped that the </w:t>
      </w:r>
      <w:r w:rsidRPr="00F35478">
        <w:t xml:space="preserve">exercise </w:t>
      </w:r>
      <w:r>
        <w:t>would</w:t>
      </w:r>
      <w:r w:rsidRPr="00F35478">
        <w:t xml:space="preserve"> provide useful inputs to </w:t>
      </w:r>
      <w:r>
        <w:t xml:space="preserve">the debate, </w:t>
      </w:r>
      <w:r w:rsidRPr="00F35478">
        <w:t xml:space="preserve">assist in reflecting upon fundamental issues, and facilitate the future work of the IGC. </w:t>
      </w:r>
      <w:r>
        <w:t xml:space="preserve"> </w:t>
      </w:r>
    </w:p>
    <w:p w:rsidR="00DE3511" w:rsidRDefault="00DE3511" w:rsidP="00DE3511"/>
    <w:p w:rsidR="00DD1003" w:rsidRDefault="00DE3511" w:rsidP="00DD1003">
      <w:pPr>
        <w:pStyle w:val="ListParagraph"/>
        <w:numPr>
          <w:ilvl w:val="0"/>
          <w:numId w:val="4"/>
        </w:numPr>
        <w:ind w:left="0" w:firstLine="0"/>
      </w:pPr>
      <w:r w:rsidRPr="00F35478">
        <w:lastRenderedPageBreak/>
        <w:t xml:space="preserve">The Delegation of Switzerland, speaking on behalf of Group B, thanked the Chair for his proposal. </w:t>
      </w:r>
      <w:r w:rsidR="00DD1003">
        <w:t xml:space="preserve"> </w:t>
      </w:r>
      <w:r>
        <w:t>T</w:t>
      </w:r>
      <w:r w:rsidRPr="00F35478">
        <w:t xml:space="preserve">he </w:t>
      </w:r>
      <w:r>
        <w:t>IGC</w:t>
      </w:r>
      <w:r w:rsidR="00FC1C80">
        <w:t>’s</w:t>
      </w:r>
      <w:r>
        <w:t xml:space="preserve"> mandate foresaw</w:t>
      </w:r>
      <w:r w:rsidRPr="00F35478">
        <w:t xml:space="preserve"> the possibility to establish</w:t>
      </w:r>
      <w:r>
        <w:t xml:space="preserve"> an</w:t>
      </w:r>
      <w:r w:rsidRPr="00F35478">
        <w:t xml:space="preserve"> </w:t>
      </w:r>
      <w:r w:rsidRPr="00DE3511">
        <w:rPr>
          <w:i/>
        </w:rPr>
        <w:t>ad hoc</w:t>
      </w:r>
      <w:r w:rsidRPr="00F35478">
        <w:t xml:space="preserve"> expert group</w:t>
      </w:r>
      <w:r>
        <w:t>(s)</w:t>
      </w:r>
      <w:r w:rsidRPr="00F35478">
        <w:t>.</w:t>
      </w:r>
      <w:r w:rsidR="00DD1003">
        <w:t xml:space="preserve"> </w:t>
      </w:r>
      <w:r w:rsidRPr="00F35478">
        <w:t xml:space="preserve"> </w:t>
      </w:r>
      <w:r>
        <w:t>It noted that I</w:t>
      </w:r>
      <w:r w:rsidRPr="00F35478">
        <w:t xml:space="preserve">GC 36 </w:t>
      </w:r>
      <w:r>
        <w:t>would take place over six days and that th</w:t>
      </w:r>
      <w:r w:rsidRPr="00F35478">
        <w:t xml:space="preserve">e mandate of the expert group </w:t>
      </w:r>
      <w:r>
        <w:t>would</w:t>
      </w:r>
      <w:r w:rsidRPr="00F35478">
        <w:t xml:space="preserve"> be limited to </w:t>
      </w:r>
      <w:r>
        <w:t>that session</w:t>
      </w:r>
      <w:r w:rsidRPr="00F35478">
        <w:t>.</w:t>
      </w:r>
      <w:r>
        <w:t xml:space="preserve"> </w:t>
      </w:r>
      <w:r w:rsidR="00DD1003">
        <w:t xml:space="preserve"> </w:t>
      </w:r>
      <w:r>
        <w:t>The indicative list of issues</w:t>
      </w:r>
      <w:r w:rsidRPr="00F35478">
        <w:t xml:space="preserve"> should be more focused and balanced.  </w:t>
      </w:r>
      <w:r>
        <w:t>It noted that the</w:t>
      </w:r>
      <w:r w:rsidRPr="00F35478">
        <w:t xml:space="preserve"> regional groups would present their proposals </w:t>
      </w:r>
      <w:r>
        <w:t xml:space="preserve">for </w:t>
      </w:r>
      <w:r w:rsidRPr="00F35478">
        <w:t xml:space="preserve">issues to </w:t>
      </w:r>
      <w:proofErr w:type="gramStart"/>
      <w:r w:rsidRPr="00F35478">
        <w:t>be tackled</w:t>
      </w:r>
      <w:proofErr w:type="gramEnd"/>
      <w:r w:rsidRPr="00F35478">
        <w:t>.</w:t>
      </w:r>
      <w:r w:rsidR="00DD1003">
        <w:t xml:space="preserve"> </w:t>
      </w:r>
      <w:r w:rsidRPr="00F35478">
        <w:t xml:space="preserve"> It supported</w:t>
      </w:r>
      <w:r>
        <w:t xml:space="preserve"> an inclusive process and the</w:t>
      </w:r>
      <w:r w:rsidRPr="00F35478">
        <w:t xml:space="preserve"> inclusion of all key stakeholders</w:t>
      </w:r>
      <w:r>
        <w:t>,</w:t>
      </w:r>
      <w:r w:rsidRPr="00F35478">
        <w:t xml:space="preserve"> including indigenous experts, academia, civil society and industry representatives.  </w:t>
      </w:r>
      <w:r>
        <w:t>T</w:t>
      </w:r>
      <w:r w:rsidRPr="00F35478">
        <w:t>he conclusions of the</w:t>
      </w:r>
      <w:r w:rsidR="00FC1C80">
        <w:t xml:space="preserve"> expert</w:t>
      </w:r>
      <w:r w:rsidRPr="00F35478">
        <w:t xml:space="preserve"> group </w:t>
      </w:r>
      <w:proofErr w:type="gramStart"/>
      <w:r>
        <w:t>would</w:t>
      </w:r>
      <w:r w:rsidRPr="00F35478">
        <w:t xml:space="preserve"> be presented</w:t>
      </w:r>
      <w:proofErr w:type="gramEnd"/>
      <w:r w:rsidRPr="00F35478">
        <w:t xml:space="preserve"> in the plenary of IGC 36 and it </w:t>
      </w:r>
      <w:r>
        <w:t>would</w:t>
      </w:r>
      <w:r w:rsidRPr="00F35478">
        <w:t xml:space="preserve"> be up to Member St</w:t>
      </w:r>
      <w:r>
        <w:t>ates to decide on how to use tho</w:t>
      </w:r>
      <w:r w:rsidRPr="00F35478">
        <w:t>se conclusions.</w:t>
      </w:r>
    </w:p>
    <w:p w:rsidR="00DD1003" w:rsidRDefault="00DD1003" w:rsidP="00DD1003"/>
    <w:p w:rsidR="00DD1003" w:rsidRDefault="00DE3511" w:rsidP="00DD1003">
      <w:pPr>
        <w:pStyle w:val="ListParagraph"/>
        <w:numPr>
          <w:ilvl w:val="0"/>
          <w:numId w:val="4"/>
        </w:numPr>
        <w:ind w:left="0" w:firstLine="0"/>
      </w:pPr>
      <w:r w:rsidRPr="00F35478">
        <w:t>The Delegation of Morocco, speaking on behalf of the African Group, welcome</w:t>
      </w:r>
      <w:r>
        <w:t>d</w:t>
      </w:r>
      <w:r w:rsidRPr="00F35478">
        <w:t xml:space="preserve"> the Chair</w:t>
      </w:r>
      <w:r>
        <w:t>’s proposal, which was</w:t>
      </w:r>
      <w:r w:rsidRPr="00F35478">
        <w:t xml:space="preserve"> a good basis for finding solutions to pending issues.  </w:t>
      </w:r>
      <w:r>
        <w:t>T</w:t>
      </w:r>
      <w:r w:rsidRPr="00F35478">
        <w:t xml:space="preserve">he role of the </w:t>
      </w:r>
      <w:r w:rsidR="008E6F12">
        <w:t xml:space="preserve">expert </w:t>
      </w:r>
      <w:r w:rsidRPr="00F35478">
        <w:t xml:space="preserve">group should be to accelerate the work of the IGC on GRs and </w:t>
      </w:r>
      <w:r>
        <w:t xml:space="preserve">to smooth out the differences, </w:t>
      </w:r>
      <w:r w:rsidRPr="00F35478">
        <w:t>tak</w:t>
      </w:r>
      <w:r>
        <w:t xml:space="preserve">ing </w:t>
      </w:r>
      <w:r w:rsidRPr="00F35478">
        <w:t xml:space="preserve">into account what </w:t>
      </w:r>
      <w:proofErr w:type="gramStart"/>
      <w:r w:rsidRPr="00F35478">
        <w:t>ha</w:t>
      </w:r>
      <w:r>
        <w:t>d</w:t>
      </w:r>
      <w:r w:rsidRPr="00F35478">
        <w:t xml:space="preserve"> been achieved</w:t>
      </w:r>
      <w:proofErr w:type="gramEnd"/>
      <w:r w:rsidRPr="00F35478">
        <w:t xml:space="preserve"> </w:t>
      </w:r>
      <w:r>
        <w:t>thus</w:t>
      </w:r>
      <w:r w:rsidRPr="00F35478">
        <w:t xml:space="preserve"> far.</w:t>
      </w:r>
    </w:p>
    <w:p w:rsidR="00DD1003" w:rsidRDefault="00DD1003" w:rsidP="00DD1003"/>
    <w:p w:rsidR="00DD1003" w:rsidRDefault="00DE3511" w:rsidP="00DD1003">
      <w:pPr>
        <w:pStyle w:val="ListParagraph"/>
        <w:numPr>
          <w:ilvl w:val="0"/>
          <w:numId w:val="4"/>
        </w:numPr>
        <w:ind w:left="0" w:firstLine="0"/>
      </w:pPr>
      <w:r w:rsidRPr="00F35478">
        <w:t xml:space="preserve">The Delegation of Lithuania, speaking on behalf of </w:t>
      </w:r>
      <w:r w:rsidR="008E6F12">
        <w:t xml:space="preserve">the </w:t>
      </w:r>
      <w:r>
        <w:t>CEBS</w:t>
      </w:r>
      <w:r w:rsidR="008E6F12">
        <w:t xml:space="preserve"> Group</w:t>
      </w:r>
      <w:r>
        <w:t>, supported in principle the Chair’s proposal</w:t>
      </w:r>
      <w:r w:rsidRPr="00F35478">
        <w:t>.</w:t>
      </w:r>
      <w:r w:rsidR="00DD1003">
        <w:t xml:space="preserve"> </w:t>
      </w:r>
      <w:r w:rsidRPr="00F35478">
        <w:t xml:space="preserve"> </w:t>
      </w:r>
      <w:r>
        <w:t>It noted that, a</w:t>
      </w:r>
      <w:r w:rsidRPr="00F35478">
        <w:t xml:space="preserve">fter taking stock of </w:t>
      </w:r>
      <w:r w:rsidR="008E6F12">
        <w:t>the</w:t>
      </w:r>
      <w:r w:rsidRPr="00F35478">
        <w:t xml:space="preserve"> discussions on </w:t>
      </w:r>
      <w:r>
        <w:t>GRs</w:t>
      </w:r>
      <w:r w:rsidR="008E6F12">
        <w:t xml:space="preserve"> at IGC 35</w:t>
      </w:r>
      <w:r w:rsidRPr="00F35478">
        <w:t xml:space="preserve">, </w:t>
      </w:r>
      <w:r w:rsidR="008E6F12">
        <w:t>it</w:t>
      </w:r>
      <w:r>
        <w:t xml:space="preserve"> saw</w:t>
      </w:r>
      <w:r w:rsidRPr="00F35478">
        <w:t xml:space="preserve"> </w:t>
      </w:r>
      <w:r w:rsidR="008E6F12">
        <w:t xml:space="preserve">the </w:t>
      </w:r>
      <w:r w:rsidRPr="00F35478">
        <w:t xml:space="preserve">value </w:t>
      </w:r>
      <w:r>
        <w:t>in</w:t>
      </w:r>
      <w:r w:rsidRPr="00F35478">
        <w:t xml:space="preserve"> establish</w:t>
      </w:r>
      <w:r>
        <w:t>ing such a</w:t>
      </w:r>
      <w:r w:rsidR="008E6F12">
        <w:t>n expert</w:t>
      </w:r>
      <w:r>
        <w:t xml:space="preserve"> group, </w:t>
      </w:r>
      <w:r w:rsidRPr="00F35478">
        <w:t xml:space="preserve">thus making use of this possibility provided </w:t>
      </w:r>
      <w:r>
        <w:t>in</w:t>
      </w:r>
      <w:r w:rsidR="008E6F12">
        <w:t xml:space="preserve"> the mandate. </w:t>
      </w:r>
      <w:r w:rsidR="00DD1003">
        <w:t xml:space="preserve"> </w:t>
      </w:r>
      <w:r>
        <w:t>The</w:t>
      </w:r>
      <w:r w:rsidR="008E6F12">
        <w:t xml:space="preserve"> expert</w:t>
      </w:r>
      <w:r>
        <w:t xml:space="preserve"> group had</w:t>
      </w:r>
      <w:r w:rsidRPr="00F35478">
        <w:t xml:space="preserve"> t</w:t>
      </w:r>
      <w:r>
        <w:t>o be</w:t>
      </w:r>
      <w:r w:rsidR="00DD1003">
        <w:t xml:space="preserve"> as inclusive as possible and</w:t>
      </w:r>
      <w:r>
        <w:t xml:space="preserve"> include </w:t>
      </w:r>
      <w:r w:rsidRPr="00F35478">
        <w:t xml:space="preserve">indigenous communities, academia, industry, civil society and all other relevant parties.  </w:t>
      </w:r>
      <w:r>
        <w:t>It</w:t>
      </w:r>
      <w:r w:rsidRPr="00F35478">
        <w:t xml:space="preserve"> support</w:t>
      </w:r>
      <w:r>
        <w:t>ed</w:t>
      </w:r>
      <w:r w:rsidRPr="00F35478">
        <w:t xml:space="preserve"> narrowing the list of issues, in order to have a discussion on topics where experts’ opinion would give </w:t>
      </w:r>
      <w:proofErr w:type="gramStart"/>
      <w:r w:rsidRPr="00F35478">
        <w:t>an added value</w:t>
      </w:r>
      <w:proofErr w:type="gramEnd"/>
      <w:r w:rsidRPr="00F35478">
        <w:t xml:space="preserve"> to the future work of the </w:t>
      </w:r>
      <w:r>
        <w:t>IGC</w:t>
      </w:r>
      <w:r w:rsidRPr="00F35478">
        <w:t xml:space="preserve">. </w:t>
      </w:r>
      <w:r w:rsidR="00DD1003">
        <w:t xml:space="preserve"> </w:t>
      </w:r>
      <w:proofErr w:type="gramStart"/>
      <w:r>
        <w:t>It</w:t>
      </w:r>
      <w:r w:rsidRPr="00F35478">
        <w:t xml:space="preserve"> support</w:t>
      </w:r>
      <w:r>
        <w:t>ed the Chair’s</w:t>
      </w:r>
      <w:r w:rsidRPr="00F35478">
        <w:t xml:space="preserve"> leadership of the process and </w:t>
      </w:r>
      <w:r>
        <w:t>would</w:t>
      </w:r>
      <w:r w:rsidRPr="00F35478">
        <w:t xml:space="preserve"> contribute constructively as needed.</w:t>
      </w:r>
      <w:proofErr w:type="gramEnd"/>
    </w:p>
    <w:p w:rsidR="00DD1003" w:rsidRDefault="00DD1003" w:rsidP="00DD1003"/>
    <w:p w:rsidR="0088633F" w:rsidRDefault="00DE3511" w:rsidP="0088633F">
      <w:pPr>
        <w:pStyle w:val="ListParagraph"/>
        <w:numPr>
          <w:ilvl w:val="0"/>
          <w:numId w:val="4"/>
        </w:numPr>
        <w:ind w:left="0" w:firstLine="0"/>
      </w:pPr>
      <w:r w:rsidRPr="00F35478">
        <w:t>The Delegation of the USA supported the statement by the Delegation of Switzerland</w:t>
      </w:r>
      <w:r w:rsidR="003B4353">
        <w:t>,</w:t>
      </w:r>
      <w:r w:rsidRPr="00F35478">
        <w:t xml:space="preserve"> on behalf of Group B</w:t>
      </w:r>
      <w:r w:rsidR="003B4353">
        <w:t>,</w:t>
      </w:r>
      <w:r w:rsidRPr="00F35478">
        <w:t xml:space="preserve"> and thanked the Chair for his p</w:t>
      </w:r>
      <w:r>
        <w:t>roposal.  Among other things, the expert group</w:t>
      </w:r>
      <w:r w:rsidRPr="00F35478">
        <w:t xml:space="preserve"> </w:t>
      </w:r>
      <w:r>
        <w:t>would</w:t>
      </w:r>
      <w:r w:rsidRPr="00F35478">
        <w:t xml:space="preserve"> benefit from the participation of indigenous experts and industry as well as other external experts. </w:t>
      </w:r>
      <w:r w:rsidR="00DD1003">
        <w:t xml:space="preserve"> </w:t>
      </w:r>
      <w:r>
        <w:t xml:space="preserve">It did </w:t>
      </w:r>
      <w:r w:rsidRPr="00F35478">
        <w:t>not oppos</w:t>
      </w:r>
      <w:r w:rsidR="00DD1003">
        <w:t>e the</w:t>
      </w:r>
      <w:r w:rsidRPr="00F35478">
        <w:t xml:space="preserve"> proposal and note</w:t>
      </w:r>
      <w:r>
        <w:t>d</w:t>
      </w:r>
      <w:r w:rsidRPr="00F35478">
        <w:t xml:space="preserve"> </w:t>
      </w:r>
      <w:r>
        <w:t>the</w:t>
      </w:r>
      <w:r w:rsidRPr="00F35478">
        <w:t xml:space="preserve"> comments concerning the establishment </w:t>
      </w:r>
      <w:r>
        <w:t xml:space="preserve">of </w:t>
      </w:r>
      <w:r w:rsidR="00DD1003">
        <w:t>the</w:t>
      </w:r>
      <w:r w:rsidRPr="00F35478">
        <w:t xml:space="preserve"> </w:t>
      </w:r>
      <w:r w:rsidRPr="00DD1003">
        <w:rPr>
          <w:i/>
        </w:rPr>
        <w:t>ad hoc</w:t>
      </w:r>
      <w:r w:rsidRPr="00F35478">
        <w:t xml:space="preserve"> </w:t>
      </w:r>
      <w:r>
        <w:t xml:space="preserve">expert </w:t>
      </w:r>
      <w:r w:rsidRPr="00F35478">
        <w:t xml:space="preserve">group. </w:t>
      </w:r>
      <w:r w:rsidR="00DD1003">
        <w:t xml:space="preserve"> </w:t>
      </w:r>
      <w:r w:rsidRPr="00F35478">
        <w:t xml:space="preserve">The report of </w:t>
      </w:r>
      <w:r>
        <w:t>the</w:t>
      </w:r>
      <w:r w:rsidRPr="00F35478">
        <w:t xml:space="preserve"> </w:t>
      </w:r>
      <w:r w:rsidR="003B4353">
        <w:t xml:space="preserve">expert </w:t>
      </w:r>
      <w:r w:rsidRPr="00F35478">
        <w:t>group on its work should not result in making recommendations on</w:t>
      </w:r>
      <w:r w:rsidR="003B4353">
        <w:t xml:space="preserve"> the</w:t>
      </w:r>
      <w:r w:rsidRPr="00F35478">
        <w:t xml:space="preserve"> text, as </w:t>
      </w:r>
      <w:r>
        <w:t xml:space="preserve">that </w:t>
      </w:r>
      <w:proofErr w:type="gramStart"/>
      <w:r>
        <w:t>was not envisioned</w:t>
      </w:r>
      <w:proofErr w:type="gramEnd"/>
      <w:r>
        <w:t xml:space="preserve"> in the mandate</w:t>
      </w:r>
      <w:r w:rsidRPr="00F35478">
        <w:t>.</w:t>
      </w:r>
      <w:r>
        <w:t xml:space="preserve"> </w:t>
      </w:r>
      <w:r w:rsidR="00DD1003">
        <w:t xml:space="preserve"> </w:t>
      </w:r>
      <w:r>
        <w:t>The</w:t>
      </w:r>
      <w:r w:rsidRPr="00F35478">
        <w:t xml:space="preserve"> </w:t>
      </w:r>
      <w:r w:rsidR="003B4353">
        <w:t xml:space="preserve">expert </w:t>
      </w:r>
      <w:r w:rsidRPr="00F35478">
        <w:t xml:space="preserve">group should provide its conclusions in plenary and it </w:t>
      </w:r>
      <w:r>
        <w:t>was</w:t>
      </w:r>
      <w:r w:rsidRPr="00F35478">
        <w:t xml:space="preserve"> up to Member States to decide what to do with the conclusions.  In order to help with </w:t>
      </w:r>
      <w:r>
        <w:t>the IGC’s</w:t>
      </w:r>
      <w:r w:rsidRPr="00F35478">
        <w:t xml:space="preserve"> mandate</w:t>
      </w:r>
      <w:r>
        <w:t>, the expert</w:t>
      </w:r>
      <w:r w:rsidRPr="00F35478">
        <w:t xml:space="preserve"> group</w:t>
      </w:r>
      <w:r>
        <w:t>’s</w:t>
      </w:r>
      <w:r w:rsidRPr="00F35478">
        <w:t xml:space="preserve"> work should help structure</w:t>
      </w:r>
      <w:r>
        <w:t xml:space="preserve"> the</w:t>
      </w:r>
      <w:r w:rsidRPr="00F35478">
        <w:t xml:space="preserve"> discussion in a manner that would inform the </w:t>
      </w:r>
      <w:r>
        <w:t>IGC</w:t>
      </w:r>
      <w:r w:rsidR="003B4353">
        <w:t>, based on the experts’</w:t>
      </w:r>
      <w:r w:rsidRPr="00F35478">
        <w:t xml:space="preserve"> national experiences.</w:t>
      </w:r>
      <w:r w:rsidR="00DD1003">
        <w:t xml:space="preserve"> </w:t>
      </w:r>
      <w:r w:rsidRPr="00F35478">
        <w:t xml:space="preserve"> </w:t>
      </w:r>
      <w:r>
        <w:t xml:space="preserve">It emphasized the need to balance and condense the </w:t>
      </w:r>
      <w:r w:rsidRPr="00F35478">
        <w:t xml:space="preserve">indicative list </w:t>
      </w:r>
      <w:r>
        <w:t xml:space="preserve">of issues. </w:t>
      </w:r>
      <w:r w:rsidR="00DD1003">
        <w:t xml:space="preserve"> </w:t>
      </w:r>
      <w:r>
        <w:t>H</w:t>
      </w:r>
      <w:r w:rsidRPr="00F35478">
        <w:t>aving a smaller set of issues ma</w:t>
      </w:r>
      <w:r>
        <w:t>de</w:t>
      </w:r>
      <w:r w:rsidRPr="00F35478">
        <w:t xml:space="preserve"> it easier to complete the work on time.  </w:t>
      </w:r>
    </w:p>
    <w:p w:rsidR="0088633F" w:rsidRDefault="0088633F" w:rsidP="0088633F"/>
    <w:p w:rsidR="0088633F" w:rsidRDefault="0088633F" w:rsidP="0088633F">
      <w:pPr>
        <w:pStyle w:val="ListParagraph"/>
        <w:numPr>
          <w:ilvl w:val="0"/>
          <w:numId w:val="4"/>
        </w:numPr>
        <w:ind w:left="0" w:firstLine="0"/>
      </w:pPr>
      <w:r w:rsidRPr="00F35478">
        <w:t>The representative of Tupaj Amaru supported the proposal.  However, the establishme</w:t>
      </w:r>
      <w:r>
        <w:t xml:space="preserve">nt of </w:t>
      </w:r>
      <w:r w:rsidRPr="0088633F">
        <w:rPr>
          <w:i/>
        </w:rPr>
        <w:t>ad hoc</w:t>
      </w:r>
      <w:r>
        <w:t xml:space="preserve"> expert groups would </w:t>
      </w:r>
      <w:r w:rsidRPr="00F35478">
        <w:t xml:space="preserve">dilute the </w:t>
      </w:r>
      <w:r>
        <w:t xml:space="preserve">IGC’s </w:t>
      </w:r>
      <w:r w:rsidRPr="00F35478">
        <w:t xml:space="preserve">work. </w:t>
      </w:r>
      <w:r>
        <w:t xml:space="preserve"> T</w:t>
      </w:r>
      <w:r w:rsidRPr="00F35478">
        <w:t xml:space="preserve">he adoption of an instrument </w:t>
      </w:r>
      <w:proofErr w:type="gramStart"/>
      <w:r w:rsidRPr="00F35478">
        <w:t>should be discussed</w:t>
      </w:r>
      <w:proofErr w:type="gramEnd"/>
      <w:r w:rsidRPr="00F35478">
        <w:t xml:space="preserve"> in plenary with the participation of all Member States and indigenous people</w:t>
      </w:r>
      <w:r>
        <w:t>s</w:t>
      </w:r>
      <w:r w:rsidRPr="00F35478">
        <w:t xml:space="preserve">. </w:t>
      </w:r>
      <w:r>
        <w:t xml:space="preserve"> I</w:t>
      </w:r>
      <w:r w:rsidRPr="00F35478">
        <w:t xml:space="preserve">ndigenous experts </w:t>
      </w:r>
      <w:r>
        <w:t xml:space="preserve">had to </w:t>
      </w:r>
      <w:r w:rsidRPr="00F35478">
        <w:t>be included</w:t>
      </w:r>
      <w:r>
        <w:t xml:space="preserve"> in those groups, particularly those who had</w:t>
      </w:r>
      <w:r w:rsidRPr="00F35478">
        <w:t xml:space="preserve"> contributed to the work of the </w:t>
      </w:r>
      <w:r>
        <w:t>IGC</w:t>
      </w:r>
      <w:r w:rsidRPr="00F35478">
        <w:t>.</w:t>
      </w:r>
      <w:r>
        <w:t xml:space="preserve">  </w:t>
      </w:r>
    </w:p>
    <w:p w:rsidR="0088633F" w:rsidRDefault="0088633F" w:rsidP="0088633F"/>
    <w:p w:rsidR="0088633F" w:rsidRDefault="0088633F" w:rsidP="0088633F">
      <w:pPr>
        <w:pStyle w:val="ListParagraph"/>
        <w:numPr>
          <w:ilvl w:val="0"/>
          <w:numId w:val="4"/>
        </w:numPr>
        <w:ind w:left="0" w:firstLine="0"/>
      </w:pPr>
      <w:r w:rsidRPr="00F35478">
        <w:t xml:space="preserve">The Delegation of Canada supported </w:t>
      </w:r>
      <w:r w:rsidR="005F046F">
        <w:t xml:space="preserve">the </w:t>
      </w:r>
      <w:r w:rsidRPr="00F35478">
        <w:t xml:space="preserve">statement </w:t>
      </w:r>
      <w:r w:rsidR="005F046F">
        <w:t xml:space="preserve">made </w:t>
      </w:r>
      <w:r>
        <w:t>by</w:t>
      </w:r>
      <w:r w:rsidRPr="00F35478">
        <w:t xml:space="preserve"> </w:t>
      </w:r>
      <w:r>
        <w:t xml:space="preserve">the Delegation of </w:t>
      </w:r>
      <w:r w:rsidRPr="00F35478">
        <w:t>Switzerland</w:t>
      </w:r>
      <w:r w:rsidR="005F046F">
        <w:t>,</w:t>
      </w:r>
      <w:r w:rsidRPr="00F35478">
        <w:t xml:space="preserve"> on behalf of Group B.  It thanked the Chair for preparing the document</w:t>
      </w:r>
      <w:r>
        <w:t>.  Striking the proper balance</w:t>
      </w:r>
      <w:r w:rsidRPr="00F35478">
        <w:t xml:space="preserve"> </w:t>
      </w:r>
      <w:r>
        <w:t>was</w:t>
      </w:r>
      <w:r w:rsidRPr="00F35478">
        <w:t xml:space="preserve"> no</w:t>
      </w:r>
      <w:r w:rsidR="005F046F">
        <w:t>t an</w:t>
      </w:r>
      <w:r w:rsidRPr="00F35478">
        <w:t xml:space="preserve"> easy task. </w:t>
      </w:r>
      <w:r>
        <w:t xml:space="preserve"> It</w:t>
      </w:r>
      <w:r w:rsidRPr="00F35478">
        <w:t xml:space="preserve"> support</w:t>
      </w:r>
      <w:r>
        <w:t>ed</w:t>
      </w:r>
      <w:r w:rsidRPr="00F35478">
        <w:t xml:space="preserve"> in principle the convening of an expert group, which</w:t>
      </w:r>
      <w:r>
        <w:t xml:space="preserve"> could </w:t>
      </w:r>
      <w:r w:rsidR="005F046F">
        <w:t>inform and even advance the IGC’</w:t>
      </w:r>
      <w:r w:rsidRPr="00F35478">
        <w:t xml:space="preserve">s work.  </w:t>
      </w:r>
      <w:r>
        <w:t>It</w:t>
      </w:r>
      <w:r w:rsidRPr="00F35478">
        <w:t xml:space="preserve"> could in</w:t>
      </w:r>
      <w:r>
        <w:t>clude a variety of perspectives:</w:t>
      </w:r>
      <w:r w:rsidRPr="00F35478">
        <w:t xml:space="preserve"> </w:t>
      </w:r>
      <w:r w:rsidR="005F046F">
        <w:t xml:space="preserve"> </w:t>
      </w:r>
      <w:r w:rsidRPr="00F35478">
        <w:t>indigenous people</w:t>
      </w:r>
      <w:r>
        <w:t>s</w:t>
      </w:r>
      <w:r w:rsidRPr="00F35478">
        <w:t xml:space="preserve">, academia, civil society and industry.  </w:t>
      </w:r>
      <w:r>
        <w:t>T</w:t>
      </w:r>
      <w:r w:rsidRPr="00F35478">
        <w:t xml:space="preserve">he expert group would require some guidance for </w:t>
      </w:r>
      <w:r w:rsidR="005F046F">
        <w:t>its</w:t>
      </w:r>
      <w:r w:rsidRPr="00F35478">
        <w:t xml:space="preserve"> work and</w:t>
      </w:r>
      <w:r>
        <w:t xml:space="preserve"> the</w:t>
      </w:r>
      <w:r w:rsidRPr="00F35478">
        <w:t xml:space="preserve"> indicative list </w:t>
      </w:r>
      <w:r>
        <w:t>provided seemed</w:t>
      </w:r>
      <w:r w:rsidRPr="00F35478">
        <w:t xml:space="preserve"> appropriate.  However, the list should be realistic to give the experts sufficient time to have a substantive and substantial discussion. </w:t>
      </w:r>
      <w:r>
        <w:t xml:space="preserve"> A</w:t>
      </w:r>
      <w:r w:rsidRPr="00F35478">
        <w:t xml:space="preserve"> streamlined list could foster that discussion.</w:t>
      </w:r>
      <w:r>
        <w:t xml:space="preserve"> </w:t>
      </w:r>
      <w:r w:rsidRPr="00F35478">
        <w:t xml:space="preserve"> The experts should take a step back from the text to engage in a more bottom up exchange of concrete nat</w:t>
      </w:r>
      <w:r>
        <w:t xml:space="preserve">ional experiences </w:t>
      </w:r>
      <w:r w:rsidRPr="00F35478">
        <w:t xml:space="preserve">relevant to </w:t>
      </w:r>
      <w:r>
        <w:t>the IGC’s</w:t>
      </w:r>
      <w:r w:rsidRPr="00F35478">
        <w:t xml:space="preserve"> work, </w:t>
      </w:r>
      <w:proofErr w:type="gramStart"/>
      <w:r w:rsidRPr="00F35478">
        <w:t>so as to</w:t>
      </w:r>
      <w:proofErr w:type="gramEnd"/>
      <w:r w:rsidRPr="00F35478">
        <w:t xml:space="preserve"> enrich </w:t>
      </w:r>
      <w:r>
        <w:t>its</w:t>
      </w:r>
      <w:r w:rsidRPr="00F35478">
        <w:t xml:space="preserve"> work with new information and perspectives.  </w:t>
      </w:r>
      <w:r>
        <w:t xml:space="preserve">It was </w:t>
      </w:r>
      <w:proofErr w:type="gramStart"/>
      <w:r>
        <w:t>key</w:t>
      </w:r>
      <w:proofErr w:type="gramEnd"/>
      <w:r>
        <w:t xml:space="preserve"> that the</w:t>
      </w:r>
      <w:r w:rsidRPr="00F35478">
        <w:t xml:space="preserve"> expert</w:t>
      </w:r>
      <w:r w:rsidR="005F046F">
        <w:t xml:space="preserve"> group</w:t>
      </w:r>
      <w:r>
        <w:t xml:space="preserve"> </w:t>
      </w:r>
      <w:r w:rsidRPr="00F35478">
        <w:t xml:space="preserve">advance </w:t>
      </w:r>
      <w:r>
        <w:t>the</w:t>
      </w:r>
      <w:r w:rsidRPr="00F35478">
        <w:t xml:space="preserve"> </w:t>
      </w:r>
      <w:r>
        <w:t xml:space="preserve">IGC’s </w:t>
      </w:r>
      <w:r w:rsidRPr="00F35478">
        <w:t xml:space="preserve">work and not replicate </w:t>
      </w:r>
      <w:r>
        <w:t>it</w:t>
      </w:r>
      <w:r w:rsidRPr="00F35478">
        <w:t xml:space="preserve">. </w:t>
      </w:r>
      <w:r>
        <w:t xml:space="preserve"> A</w:t>
      </w:r>
      <w:r w:rsidRPr="00F35478">
        <w:t xml:space="preserve">ny proposals or recommendations </w:t>
      </w:r>
      <w:r>
        <w:t>had to be</w:t>
      </w:r>
      <w:r w:rsidRPr="00F35478">
        <w:t xml:space="preserve"> fully d</w:t>
      </w:r>
      <w:r>
        <w:t>iscussed in plenary prior to and</w:t>
      </w:r>
      <w:r w:rsidRPr="00F35478">
        <w:t xml:space="preserve"> independent </w:t>
      </w:r>
      <w:r>
        <w:lastRenderedPageBreak/>
        <w:t>from</w:t>
      </w:r>
      <w:r w:rsidRPr="00F35478">
        <w:t xml:space="preserve"> any discussion about the working document to avoid any text being automatically included in </w:t>
      </w:r>
      <w:r>
        <w:t>the</w:t>
      </w:r>
      <w:r w:rsidRPr="00F35478">
        <w:t xml:space="preserve"> working doc</w:t>
      </w:r>
      <w:r w:rsidR="005F046F">
        <w:t xml:space="preserve">ument. </w:t>
      </w:r>
    </w:p>
    <w:p w:rsidR="0088633F" w:rsidRDefault="0088633F" w:rsidP="0088633F"/>
    <w:p w:rsidR="0088633F" w:rsidRDefault="0088633F" w:rsidP="0088633F">
      <w:pPr>
        <w:pStyle w:val="ListParagraph"/>
        <w:numPr>
          <w:ilvl w:val="0"/>
          <w:numId w:val="4"/>
        </w:numPr>
        <w:ind w:left="0" w:firstLine="0"/>
      </w:pPr>
      <w:r w:rsidRPr="00F35478">
        <w:t>The Delegation of Egypt express</w:t>
      </w:r>
      <w:r>
        <w:t>ed</w:t>
      </w:r>
      <w:r w:rsidRPr="00F35478">
        <w:t xml:space="preserve"> </w:t>
      </w:r>
      <w:r>
        <w:t>its</w:t>
      </w:r>
      <w:r w:rsidRPr="00F35478">
        <w:t xml:space="preserve"> support</w:t>
      </w:r>
      <w:r>
        <w:t>.  H</w:t>
      </w:r>
      <w:r w:rsidRPr="00F35478">
        <w:t>owever, the indicative list</w:t>
      </w:r>
      <w:r>
        <w:t xml:space="preserve"> of issues </w:t>
      </w:r>
      <w:r w:rsidRPr="00F35478">
        <w:t xml:space="preserve">should include </w:t>
      </w:r>
      <w:r>
        <w:t>Article 1 on the</w:t>
      </w:r>
      <w:r w:rsidRPr="00F35478">
        <w:t xml:space="preserve"> </w:t>
      </w:r>
      <w:r>
        <w:t>objectives</w:t>
      </w:r>
      <w:r w:rsidRPr="00F35478">
        <w:t xml:space="preserve"> of the instrument</w:t>
      </w:r>
      <w:r>
        <w:t xml:space="preserve">, which included </w:t>
      </w:r>
      <w:r w:rsidRPr="00F35478">
        <w:t>the misuse</w:t>
      </w:r>
      <w:r>
        <w:t xml:space="preserve"> and misappropriation</w:t>
      </w:r>
      <w:r w:rsidRPr="00F35478">
        <w:t xml:space="preserve"> of </w:t>
      </w:r>
      <w:r>
        <w:t>GRs</w:t>
      </w:r>
      <w:r w:rsidRPr="00F35478">
        <w:t xml:space="preserve"> </w:t>
      </w:r>
      <w:r>
        <w:t>and TK</w:t>
      </w:r>
      <w:r w:rsidRPr="00F35478">
        <w:t xml:space="preserve">. </w:t>
      </w:r>
      <w:r>
        <w:t xml:space="preserve"> With regard to the</w:t>
      </w:r>
      <w:r w:rsidRPr="00F35478">
        <w:t xml:space="preserve"> choice of three experts representing</w:t>
      </w:r>
      <w:r w:rsidR="000720C2">
        <w:t xml:space="preserve"> academia, civil society</w:t>
      </w:r>
      <w:r w:rsidRPr="00F35478">
        <w:t xml:space="preserve"> and industry, </w:t>
      </w:r>
      <w:r>
        <w:t>it hoped that in future tho</w:t>
      </w:r>
      <w:r w:rsidRPr="00F35478">
        <w:t xml:space="preserve">se choices </w:t>
      </w:r>
      <w:r>
        <w:t>would</w:t>
      </w:r>
      <w:r w:rsidRPr="00F35478">
        <w:t xml:space="preserve"> represent the views of all d</w:t>
      </w:r>
      <w:r>
        <w:t xml:space="preserve">elegations and not only one single view.  </w:t>
      </w:r>
    </w:p>
    <w:p w:rsidR="0088633F" w:rsidRDefault="0088633F" w:rsidP="0088633F"/>
    <w:p w:rsidR="0088633F" w:rsidRDefault="0088633F" w:rsidP="0088633F">
      <w:pPr>
        <w:pStyle w:val="ListParagraph"/>
        <w:numPr>
          <w:ilvl w:val="0"/>
          <w:numId w:val="4"/>
        </w:numPr>
        <w:ind w:left="0" w:firstLine="0"/>
      </w:pPr>
      <w:r w:rsidRPr="00F35478">
        <w:t>The Delegation of Indonesia</w:t>
      </w:r>
      <w:r>
        <w:t xml:space="preserve"> supported </w:t>
      </w:r>
      <w:r w:rsidRPr="00F35478">
        <w:t xml:space="preserve">the </w:t>
      </w:r>
      <w:r>
        <w:t xml:space="preserve">Chair’s </w:t>
      </w:r>
      <w:r w:rsidRPr="00F35478">
        <w:t>proposal</w:t>
      </w:r>
      <w:r>
        <w:t xml:space="preserve">, </w:t>
      </w:r>
      <w:r w:rsidRPr="00F35478">
        <w:t>in line with the position of</w:t>
      </w:r>
      <w:r w:rsidR="005438B7">
        <w:t xml:space="preserve"> the Asia</w:t>
      </w:r>
      <w:r w:rsidR="005438B7">
        <w:noBreakHyphen/>
      </w:r>
      <w:r w:rsidRPr="00F35478">
        <w:t>Pacific G</w:t>
      </w:r>
      <w:r>
        <w:t xml:space="preserve">roup.  Experts could share their </w:t>
      </w:r>
      <w:r w:rsidRPr="00F35478">
        <w:t>national experience, but what the expert</w:t>
      </w:r>
      <w:r>
        <w:t>s could do</w:t>
      </w:r>
      <w:r w:rsidR="000720C2">
        <w:t xml:space="preserve"> should not be restricted</w:t>
      </w:r>
      <w:r w:rsidRPr="00F35478">
        <w:t xml:space="preserve">.  Their mandate </w:t>
      </w:r>
      <w:r>
        <w:t>would</w:t>
      </w:r>
      <w:r w:rsidRPr="00F35478">
        <w:t xml:space="preserve"> </w:t>
      </w:r>
      <w:r>
        <w:t>most likely focus on</w:t>
      </w:r>
      <w:r w:rsidRPr="00F35478">
        <w:t xml:space="preserve"> providing </w:t>
      </w:r>
      <w:proofErr w:type="gramStart"/>
      <w:r w:rsidRPr="00F35478">
        <w:t xml:space="preserve">legal </w:t>
      </w:r>
      <w:r>
        <w:t xml:space="preserve">and </w:t>
      </w:r>
      <w:r w:rsidRPr="00F35478">
        <w:t>policy option</w:t>
      </w:r>
      <w:r>
        <w:t>s</w:t>
      </w:r>
      <w:r w:rsidRPr="00F35478">
        <w:t xml:space="preserve"> and technical analysis</w:t>
      </w:r>
      <w:proofErr w:type="gramEnd"/>
      <w:r w:rsidRPr="00F35478">
        <w:t xml:space="preserve"> </w:t>
      </w:r>
      <w:r>
        <w:t>and not just</w:t>
      </w:r>
      <w:r w:rsidRPr="00F35478">
        <w:t xml:space="preserve"> on national experience</w:t>
      </w:r>
      <w:r>
        <w:t>s</w:t>
      </w:r>
      <w:r w:rsidRPr="00F35478">
        <w:t xml:space="preserve">. </w:t>
      </w:r>
      <w:r>
        <w:t xml:space="preserve"> It </w:t>
      </w:r>
      <w:proofErr w:type="gramStart"/>
      <w:r>
        <w:t>should be ensured</w:t>
      </w:r>
      <w:proofErr w:type="gramEnd"/>
      <w:r>
        <w:t xml:space="preserve"> </w:t>
      </w:r>
      <w:r w:rsidRPr="00F35478">
        <w:t>that all experts be specialists.</w:t>
      </w:r>
    </w:p>
    <w:p w:rsidR="0088633F" w:rsidRDefault="0088633F" w:rsidP="0088633F"/>
    <w:p w:rsidR="0088633F" w:rsidRDefault="0088633F" w:rsidP="0083674D">
      <w:pPr>
        <w:pStyle w:val="ListParagraph"/>
        <w:numPr>
          <w:ilvl w:val="0"/>
          <w:numId w:val="4"/>
        </w:numPr>
        <w:ind w:left="0" w:firstLine="0"/>
      </w:pPr>
      <w:r w:rsidRPr="00F35478">
        <w:t>The Delegation of India welcomed the establishment of an</w:t>
      </w:r>
      <w:r w:rsidRPr="0088633F">
        <w:rPr>
          <w:i/>
        </w:rPr>
        <w:t xml:space="preserve"> ad hoc </w:t>
      </w:r>
      <w:r>
        <w:t xml:space="preserve">expert group.  </w:t>
      </w:r>
    </w:p>
    <w:p w:rsidR="0088633F" w:rsidRDefault="0088633F" w:rsidP="0088633F"/>
    <w:p w:rsidR="00C73B66" w:rsidRDefault="0088633F" w:rsidP="00C73B66">
      <w:pPr>
        <w:pStyle w:val="ListParagraph"/>
        <w:numPr>
          <w:ilvl w:val="0"/>
          <w:numId w:val="4"/>
        </w:numPr>
        <w:ind w:left="0" w:firstLine="0"/>
      </w:pPr>
      <w:r w:rsidRPr="00F35478">
        <w:t xml:space="preserve">The Delegation of Nigeria supported the statement </w:t>
      </w:r>
      <w:r w:rsidR="005B4213">
        <w:t xml:space="preserve">made </w:t>
      </w:r>
      <w:r w:rsidRPr="00F35478">
        <w:t xml:space="preserve">by the </w:t>
      </w:r>
      <w:r>
        <w:t>Delegation of Morocco</w:t>
      </w:r>
      <w:r w:rsidR="005B4213">
        <w:t>,</w:t>
      </w:r>
      <w:r>
        <w:t xml:space="preserve"> on behalf of the </w:t>
      </w:r>
      <w:r w:rsidRPr="00F35478">
        <w:t>Africa</w:t>
      </w:r>
      <w:r>
        <w:t>n</w:t>
      </w:r>
      <w:r w:rsidRPr="00F35478">
        <w:t xml:space="preserve"> Group.  It thanked</w:t>
      </w:r>
      <w:r>
        <w:t xml:space="preserve"> the C</w:t>
      </w:r>
      <w:r w:rsidRPr="00F35478">
        <w:t xml:space="preserve">hair for the balanced </w:t>
      </w:r>
      <w:r>
        <w:t>and thoughtful framework</w:t>
      </w:r>
      <w:r w:rsidRPr="00F35478">
        <w:t>.  It hope</w:t>
      </w:r>
      <w:r>
        <w:t>d</w:t>
      </w:r>
      <w:r w:rsidRPr="00F35478">
        <w:t xml:space="preserve"> that the expert group would be sen</w:t>
      </w:r>
      <w:r>
        <w:t xml:space="preserve">sitive to the urgency to make </w:t>
      </w:r>
      <w:r w:rsidRPr="00F35478">
        <w:t>progress on the GR</w:t>
      </w:r>
      <w:r>
        <w:t>s</w:t>
      </w:r>
      <w:r w:rsidR="008D5BE9">
        <w:t> </w:t>
      </w:r>
      <w:r w:rsidRPr="00F35478">
        <w:t xml:space="preserve">text.  </w:t>
      </w:r>
      <w:r>
        <w:t>The comple</w:t>
      </w:r>
      <w:r w:rsidRPr="00F35478">
        <w:t xml:space="preserve">mentary experts from academia, civil society and industry </w:t>
      </w:r>
      <w:r>
        <w:t>would have to</w:t>
      </w:r>
      <w:r w:rsidRPr="00F35478">
        <w:t xml:space="preserve"> </w:t>
      </w:r>
      <w:proofErr w:type="gramStart"/>
      <w:r w:rsidRPr="00F35478">
        <w:t>be selected</w:t>
      </w:r>
      <w:proofErr w:type="gramEnd"/>
      <w:r w:rsidRPr="00F35478">
        <w:t xml:space="preserve"> with sensitivity to geographical inclusiveness and to diversity of predetermined ideas shared by those representatives. </w:t>
      </w:r>
      <w:r>
        <w:t xml:space="preserve"> The</w:t>
      </w:r>
      <w:r w:rsidRPr="00F35478">
        <w:t xml:space="preserve"> indicative list of issues </w:t>
      </w:r>
      <w:proofErr w:type="gramStart"/>
      <w:r w:rsidRPr="00F35478">
        <w:t>should</w:t>
      </w:r>
      <w:r>
        <w:t xml:space="preserve"> be kept</w:t>
      </w:r>
      <w:proofErr w:type="gramEnd"/>
      <w:r>
        <w:t xml:space="preserve"> as narrow as possible to enable </w:t>
      </w:r>
      <w:r w:rsidRPr="00F35478">
        <w:t xml:space="preserve">progress.  </w:t>
      </w:r>
      <w:r w:rsidR="005B4213">
        <w:t>E</w:t>
      </w:r>
      <w:r w:rsidR="00C73B66">
        <w:t>xperts would work</w:t>
      </w:r>
      <w:r w:rsidRPr="00F35478">
        <w:t xml:space="preserve"> in their personal capacities and </w:t>
      </w:r>
      <w:proofErr w:type="gramStart"/>
      <w:r>
        <w:t>would</w:t>
      </w:r>
      <w:r w:rsidRPr="00F35478">
        <w:t xml:space="preserve"> not be glued</w:t>
      </w:r>
      <w:proofErr w:type="gramEnd"/>
      <w:r w:rsidRPr="00F35478">
        <w:t xml:space="preserve"> to the national positions.  </w:t>
      </w:r>
    </w:p>
    <w:p w:rsidR="00C73B66" w:rsidRDefault="00C73B66" w:rsidP="00C73B66"/>
    <w:p w:rsidR="00C73B66" w:rsidRDefault="0088633F" w:rsidP="00C73B66">
      <w:pPr>
        <w:pStyle w:val="ListParagraph"/>
        <w:numPr>
          <w:ilvl w:val="0"/>
          <w:numId w:val="4"/>
        </w:numPr>
        <w:ind w:left="0" w:firstLine="0"/>
      </w:pPr>
      <w:r w:rsidRPr="00894830">
        <w:t xml:space="preserve">The representative of CISA said that </w:t>
      </w:r>
      <w:r w:rsidR="005B4213">
        <w:t>the expert group would</w:t>
      </w:r>
      <w:r>
        <w:t xml:space="preserve"> enable </w:t>
      </w:r>
      <w:r w:rsidR="005B4213">
        <w:t>indigenous participants</w:t>
      </w:r>
      <w:r>
        <w:t xml:space="preserve"> </w:t>
      </w:r>
      <w:proofErr w:type="gramStart"/>
      <w:r>
        <w:t>to</w:t>
      </w:r>
      <w:r w:rsidR="005B4213">
        <w:t xml:space="preserve"> better</w:t>
      </w:r>
      <w:r>
        <w:t xml:space="preserve"> contribute</w:t>
      </w:r>
      <w:proofErr w:type="gramEnd"/>
      <w:r>
        <w:t xml:space="preserve"> to the important work</w:t>
      </w:r>
      <w:r w:rsidRPr="00894830">
        <w:t xml:space="preserve">. </w:t>
      </w:r>
    </w:p>
    <w:p w:rsidR="00C73B66" w:rsidRDefault="00C73B66" w:rsidP="00C73B66"/>
    <w:p w:rsidR="004E638E" w:rsidRDefault="0088633F" w:rsidP="004E638E">
      <w:pPr>
        <w:pStyle w:val="ListParagraph"/>
        <w:numPr>
          <w:ilvl w:val="0"/>
          <w:numId w:val="4"/>
        </w:numPr>
        <w:ind w:left="0" w:firstLine="0"/>
      </w:pPr>
      <w:r w:rsidRPr="00F35478">
        <w:t xml:space="preserve">The Delegation of </w:t>
      </w:r>
      <w:r w:rsidR="00A043AF">
        <w:t xml:space="preserve">the Plurinational State of </w:t>
      </w:r>
      <w:r w:rsidRPr="00F35478">
        <w:t xml:space="preserve">Bolivia </w:t>
      </w:r>
      <w:r>
        <w:t>supported the proposal and agreed with the statement made by the Delegation of</w:t>
      </w:r>
      <w:r w:rsidRPr="00F35478">
        <w:t xml:space="preserve"> Ecuador</w:t>
      </w:r>
      <w:r w:rsidR="005B4213">
        <w:t>,</w:t>
      </w:r>
      <w:r w:rsidRPr="00F35478">
        <w:t xml:space="preserve"> </w:t>
      </w:r>
      <w:r>
        <w:t>on behalf of GRULAC</w:t>
      </w:r>
      <w:r w:rsidRPr="00F35478">
        <w:t xml:space="preserve">.  </w:t>
      </w:r>
      <w:r w:rsidR="004E638E">
        <w:t>T</w:t>
      </w:r>
      <w:r>
        <w:t xml:space="preserve">he list </w:t>
      </w:r>
      <w:r w:rsidR="004E638E">
        <w:t xml:space="preserve">of issues </w:t>
      </w:r>
      <w:proofErr w:type="gramStart"/>
      <w:r w:rsidR="004E638E">
        <w:t>should be kept</w:t>
      </w:r>
      <w:proofErr w:type="gramEnd"/>
      <w:r w:rsidR="004E638E">
        <w:t xml:space="preserve"> short</w:t>
      </w:r>
      <w:r w:rsidR="00A043AF">
        <w:t>.</w:t>
      </w:r>
    </w:p>
    <w:p w:rsidR="004E638E" w:rsidRDefault="004E638E" w:rsidP="004E638E"/>
    <w:p w:rsidR="0088633F" w:rsidRPr="00F35478" w:rsidRDefault="0088633F" w:rsidP="004E638E">
      <w:pPr>
        <w:pStyle w:val="ListParagraph"/>
        <w:numPr>
          <w:ilvl w:val="0"/>
          <w:numId w:val="4"/>
        </w:numPr>
        <w:ind w:left="0" w:firstLine="0"/>
      </w:pPr>
      <w:r w:rsidRPr="00F35478">
        <w:t xml:space="preserve">The Chair closed </w:t>
      </w:r>
      <w:r w:rsidR="00A043AF">
        <w:t xml:space="preserve">Agenda </w:t>
      </w:r>
      <w:r w:rsidRPr="00F35478">
        <w:t xml:space="preserve">Item 8. </w:t>
      </w:r>
    </w:p>
    <w:p w:rsidR="00581F26" w:rsidRPr="00920D43" w:rsidRDefault="00581F26" w:rsidP="00581F26">
      <w:pPr>
        <w:pStyle w:val="ListParagraph"/>
        <w:ind w:left="0"/>
        <w:rPr>
          <w:szCs w:val="22"/>
        </w:rPr>
      </w:pPr>
    </w:p>
    <w:p w:rsidR="00581F26" w:rsidRPr="00920D43" w:rsidRDefault="00581F26" w:rsidP="00581F26">
      <w:pPr>
        <w:pStyle w:val="ListParagraph"/>
        <w:ind w:left="5533"/>
        <w:rPr>
          <w:i/>
          <w:szCs w:val="22"/>
        </w:rPr>
      </w:pPr>
      <w:r>
        <w:rPr>
          <w:i/>
          <w:szCs w:val="22"/>
        </w:rPr>
        <w:t>Decision on Agenda Item 8</w:t>
      </w:r>
      <w:r w:rsidRPr="00920D43">
        <w:rPr>
          <w:i/>
          <w:szCs w:val="22"/>
        </w:rPr>
        <w:t>:</w:t>
      </w:r>
    </w:p>
    <w:p w:rsidR="00581F26" w:rsidRPr="00920D43" w:rsidRDefault="00581F26" w:rsidP="00581F26">
      <w:pPr>
        <w:pStyle w:val="ListParagraph"/>
        <w:ind w:left="5533"/>
        <w:rPr>
          <w:i/>
          <w:szCs w:val="22"/>
        </w:rPr>
      </w:pPr>
    </w:p>
    <w:p w:rsidR="0043316B" w:rsidRDefault="0043316B" w:rsidP="0043316B">
      <w:pPr>
        <w:pStyle w:val="ListParagraph"/>
        <w:numPr>
          <w:ilvl w:val="0"/>
          <w:numId w:val="4"/>
        </w:numPr>
        <w:ind w:left="5533" w:firstLine="0"/>
        <w:rPr>
          <w:i/>
          <w:szCs w:val="22"/>
        </w:rPr>
      </w:pPr>
      <w:r w:rsidRPr="0043316B">
        <w:rPr>
          <w:i/>
          <w:szCs w:val="22"/>
        </w:rPr>
        <w:t xml:space="preserve">The mandate of the Intergovernmental Committee on Intellectual Property and Genetic Resources, Traditional Knowledge and Folklore (IGC or Committee) for the biennium 2018/2019 provides that the IGC “may establish ad hoc expert group(s) to address a specific legal, policy or technical issue”, and “the results of the work of such group(s) will be submitted to the IGC for consideration”.  The mandate also notes that the “expert group(s) will have a balanced regional representation and use an efficient working methodology”, and “work during the weeks of the sessions of the IGC”.  </w:t>
      </w:r>
    </w:p>
    <w:p w:rsidR="0043316B" w:rsidRPr="0043316B" w:rsidRDefault="0043316B" w:rsidP="0043316B">
      <w:pPr>
        <w:pStyle w:val="ListParagraph"/>
        <w:ind w:left="5533"/>
        <w:rPr>
          <w:i/>
          <w:szCs w:val="22"/>
        </w:rPr>
      </w:pPr>
    </w:p>
    <w:p w:rsidR="0043316B" w:rsidRDefault="0043316B" w:rsidP="0043316B">
      <w:pPr>
        <w:pStyle w:val="ListParagraph"/>
        <w:numPr>
          <w:ilvl w:val="0"/>
          <w:numId w:val="4"/>
        </w:numPr>
        <w:ind w:left="5533" w:firstLine="0"/>
        <w:rPr>
          <w:i/>
          <w:szCs w:val="22"/>
        </w:rPr>
      </w:pPr>
      <w:r w:rsidRPr="0043316B">
        <w:rPr>
          <w:i/>
          <w:szCs w:val="22"/>
        </w:rPr>
        <w:t>With this background, the Committee agreed that an ad hoc expert group on genetic resources be organized as follows:</w:t>
      </w:r>
    </w:p>
    <w:p w:rsidR="0043316B" w:rsidRPr="0043316B" w:rsidRDefault="0043316B" w:rsidP="0043316B">
      <w:pPr>
        <w:pStyle w:val="ListParagraph"/>
        <w:ind w:left="5533"/>
        <w:rPr>
          <w:i/>
          <w:szCs w:val="22"/>
        </w:rPr>
      </w:pP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Mandate</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IGC plenary </w:t>
      </w:r>
      <w:r w:rsidR="008D5BE9">
        <w:rPr>
          <w:rFonts w:eastAsia="Times New Roman" w:cs="Tahoma"/>
          <w:i/>
          <w:szCs w:val="22"/>
          <w:lang w:val="en-GB"/>
        </w:rPr>
        <w:t>is the negotiating and decision</w:t>
      </w:r>
      <w:r w:rsidR="008D5BE9">
        <w:rPr>
          <w:rFonts w:eastAsia="Times New Roman" w:cs="Tahoma"/>
          <w:i/>
          <w:szCs w:val="22"/>
          <w:lang w:val="en-GB"/>
        </w:rPr>
        <w:noBreakHyphen/>
      </w:r>
      <w:r w:rsidRPr="0043316B">
        <w:rPr>
          <w:rFonts w:eastAsia="Times New Roman" w:cs="Tahoma"/>
          <w:i/>
          <w:szCs w:val="22"/>
          <w:lang w:val="en-GB"/>
        </w:rPr>
        <w:t xml:space="preserve">making body.  The </w:t>
      </w:r>
      <w:r w:rsidRPr="0043316B">
        <w:rPr>
          <w:rFonts w:eastAsia="Times New Roman" w:cs="Tahoma"/>
          <w:i/>
          <w:szCs w:val="22"/>
        </w:rPr>
        <w:t xml:space="preserve">ad hoc expert group is </w:t>
      </w:r>
      <w:r w:rsidRPr="0043316B">
        <w:rPr>
          <w:rFonts w:eastAsia="Times New Roman" w:cs="Tahoma"/>
          <w:i/>
          <w:szCs w:val="22"/>
          <w:lang w:val="en-GB"/>
        </w:rPr>
        <w:t xml:space="preserve">to support and facilitate the negotiations of the IGC.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w:t>
      </w:r>
      <w:r w:rsidRPr="0043316B">
        <w:rPr>
          <w:rFonts w:eastAsia="Times New Roman" w:cs="Tahoma"/>
          <w:i/>
          <w:szCs w:val="22"/>
        </w:rPr>
        <w:t xml:space="preserve">ad hoc expert group will </w:t>
      </w:r>
      <w:r w:rsidRPr="0043316B">
        <w:rPr>
          <w:rFonts w:eastAsia="Times New Roman" w:cs="Tahoma"/>
          <w:i/>
          <w:szCs w:val="22"/>
          <w:lang w:val="en-GB"/>
        </w:rPr>
        <w:t xml:space="preserve">provide advice and analysis on legal, policy or technical issues such as those in the indicative list of issues in the Annex.  Member States, through the Regional Coordinators, will be invited to suggest the specific issues to be considered by the ad hoc expert group.  The IGC Chair and Vice-Chairs will identify the list of specific issues from the suggestions made by Member States.  The list should be balanced and as short and focused as possible.  The draft list will be provided by the IGC Chair to the Regional Coordinators for comments and the experts in advance of the group’s meeting.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w:t>
      </w:r>
      <w:r w:rsidRPr="0043316B">
        <w:rPr>
          <w:rFonts w:eastAsia="Times New Roman" w:cs="Tahoma"/>
          <w:i/>
          <w:szCs w:val="22"/>
        </w:rPr>
        <w:t>ad hoc expert group will</w:t>
      </w:r>
      <w:r w:rsidRPr="0043316B">
        <w:rPr>
          <w:rFonts w:eastAsia="Times New Roman" w:cs="Tahoma"/>
          <w:i/>
          <w:szCs w:val="22"/>
          <w:lang w:val="en-GB"/>
        </w:rPr>
        <w:t xml:space="preserve"> report to the IGC plenary at IGC 36 on the outcomes of its work.</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lang w:val="en-GB"/>
        </w:rPr>
        <w:t xml:space="preserve">The agenda for IGC 36 will make provision for such a report by the </w:t>
      </w:r>
      <w:r w:rsidRPr="0043316B">
        <w:rPr>
          <w:rFonts w:eastAsia="Times New Roman" w:cs="Tahoma"/>
          <w:i/>
          <w:szCs w:val="22"/>
        </w:rPr>
        <w:t xml:space="preserve">ad hoc expert group, which will be presented by the Chair or co-Chairs of the ad hoc expert group and will be included in the report of IGC 36.  </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Composition</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Each Regional Group will be represented by a maximum of four experts.  </w:t>
      </w:r>
      <w:r w:rsidRPr="0043316B">
        <w:rPr>
          <w:i/>
          <w:lang w:val="en-GB"/>
        </w:rPr>
        <w:t>The E</w:t>
      </w:r>
      <w:r w:rsidR="008D5BE9">
        <w:rPr>
          <w:i/>
          <w:lang w:val="en-GB"/>
        </w:rPr>
        <w:t>uropean Union (EU) and the Like </w:t>
      </w:r>
      <w:r w:rsidRPr="0043316B">
        <w:rPr>
          <w:i/>
          <w:lang w:val="en-GB"/>
        </w:rPr>
        <w:t xml:space="preserve">Minded Countries will be invited to nominate two experts, </w:t>
      </w:r>
      <w:r w:rsidRPr="0043316B">
        <w:rPr>
          <w:i/>
          <w:lang w:val="en-GB"/>
        </w:rPr>
        <w:lastRenderedPageBreak/>
        <w:t xml:space="preserve">without additional funding requirements.  </w:t>
      </w:r>
      <w:r w:rsidRPr="0043316B">
        <w:rPr>
          <w:rFonts w:eastAsia="Times New Roman" w:cs="Tahoma"/>
          <w:i/>
          <w:szCs w:val="22"/>
          <w:lang w:val="en-GB"/>
        </w:rPr>
        <w:t xml:space="preserve">The Indigenous Caucus will be invited to nominate two indigenous experts to participate.  The experts, who should preferably be subject-matter specialists, shall participate in their personal capacities.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Regional Groups, the EU, the Like-Minded Countries, and Indigenous Caucus will be invited by the Secretariat to nominate their experts by a date to be advised, so that the necessary arrangements can be made.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The Secretariat is authorized to invite up to three experts from academia, civil society and industry, to assist in the ad hoc expert group, such as by making presentations and answering technical questions.  They will also participate in their personal capacities.</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Chair and Vice-chairs of the IGC will be invited to attend the ad hoc expert group meeting. </w:t>
      </w:r>
    </w:p>
    <w:p w:rsidR="0043316B" w:rsidRPr="0043316B" w:rsidRDefault="0043316B" w:rsidP="0043316B">
      <w:pPr>
        <w:spacing w:after="120" w:line="260" w:lineRule="atLeast"/>
        <w:ind w:left="6237"/>
        <w:rPr>
          <w:rFonts w:eastAsia="Times New Roman" w:cs="Tahoma"/>
          <w:i/>
          <w:szCs w:val="22"/>
          <w:u w:val="single"/>
          <w:lang w:val="en-GB"/>
        </w:rPr>
      </w:pPr>
      <w:r w:rsidRPr="0043316B">
        <w:rPr>
          <w:rFonts w:eastAsia="Times New Roman" w:cs="Tahoma"/>
          <w:i/>
          <w:szCs w:val="22"/>
          <w:u w:val="single"/>
          <w:lang w:val="en-GB"/>
        </w:rPr>
        <w:t xml:space="preserve">Date and venue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ad hoc expert group on genetic resources will meet on Sunday, June 24, 2018, at WIPO Headquarters in Geneva, in Room NB 0.107, from 09h00 to 17h00.  </w:t>
      </w:r>
    </w:p>
    <w:p w:rsidR="0043316B" w:rsidRPr="0043316B" w:rsidRDefault="0043316B" w:rsidP="0043316B">
      <w:pPr>
        <w:spacing w:after="120" w:line="260" w:lineRule="atLeast"/>
        <w:ind w:left="6237"/>
        <w:rPr>
          <w:rFonts w:eastAsia="Times New Roman" w:cs="Tahoma"/>
          <w:i/>
          <w:szCs w:val="22"/>
          <w:u w:val="single"/>
          <w:lang w:val="en-GB"/>
        </w:rPr>
      </w:pPr>
      <w:r w:rsidRPr="0043316B">
        <w:rPr>
          <w:rFonts w:eastAsia="Times New Roman" w:cs="Tahoma"/>
          <w:i/>
          <w:szCs w:val="22"/>
          <w:u w:val="single"/>
          <w:lang w:val="en-GB"/>
        </w:rPr>
        <w:t>Funding</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According to the agreed funding formula for the IGC process, one participant each from 36 countries (seven countries from each region and China) will be funded for the 36</w:t>
      </w:r>
      <w:r w:rsidRPr="0043316B">
        <w:rPr>
          <w:rFonts w:eastAsia="Times New Roman" w:cs="Tahoma"/>
          <w:i/>
          <w:szCs w:val="22"/>
          <w:vertAlign w:val="superscript"/>
          <w:lang w:val="en-GB"/>
        </w:rPr>
        <w:t>th</w:t>
      </w:r>
      <w:r w:rsidRPr="0043316B">
        <w:rPr>
          <w:rFonts w:eastAsia="Times New Roman" w:cs="Tahoma"/>
          <w:i/>
          <w:szCs w:val="22"/>
          <w:lang w:val="en-GB"/>
        </w:rPr>
        <w:t xml:space="preserve"> session of the IGC.  Regional Coordinators will be invited, as usual, to provide the names of the countries to be funded.  Funded countries will then be </w:t>
      </w:r>
      <w:r w:rsidRPr="0043316B">
        <w:rPr>
          <w:rFonts w:eastAsia="Times New Roman" w:cs="Tahoma"/>
          <w:i/>
          <w:szCs w:val="22"/>
          <w:lang w:val="en-GB"/>
        </w:rPr>
        <w:lastRenderedPageBreak/>
        <w:t>invited to nominate the funded participants to the IGC.</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For those experts from each Regional Group attending the ad hoc expert group who are the funded participants to the IGC, one more daily subsistence allowance at the usual IGC rate will be provided by WIPO.  WIPO will not cover the expenses of other experts or any other additional expenses. </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lang w:val="en-GB"/>
        </w:rPr>
        <w:t xml:space="preserve">This funding arrangement for the ad hoc expert group </w:t>
      </w:r>
      <w:r w:rsidRPr="0043316B">
        <w:rPr>
          <w:rFonts w:eastAsia="Times New Roman" w:cs="Tahoma"/>
          <w:i/>
          <w:szCs w:val="22"/>
        </w:rPr>
        <w:t>does not constitute a precedent for other WIPO meetings.</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If the indigenous experts to participate in the ad hoc expert group are funded by the Voluntary Fund as decided by the Advisory Board or are the panellists for the Indigenous Panel at the 36</w:t>
      </w:r>
      <w:r w:rsidRPr="0043316B">
        <w:rPr>
          <w:rFonts w:eastAsia="Times New Roman" w:cs="Tahoma"/>
          <w:i/>
          <w:szCs w:val="22"/>
          <w:vertAlign w:val="superscript"/>
          <w:lang w:val="en-GB"/>
        </w:rPr>
        <w:t>th</w:t>
      </w:r>
      <w:r w:rsidRPr="0043316B">
        <w:rPr>
          <w:rFonts w:eastAsia="Times New Roman" w:cs="Tahoma"/>
          <w:i/>
          <w:szCs w:val="22"/>
          <w:lang w:val="en-GB"/>
        </w:rPr>
        <w:t xml:space="preserve"> session of the IGC, WIPO will provide one daily subsistence allowance at the usual IGC rate.  WIPO will not cover the expenses of other indigenous experts or any other additional expenses. </w:t>
      </w:r>
    </w:p>
    <w:p w:rsidR="0043316B" w:rsidRPr="0043316B" w:rsidRDefault="0043316B" w:rsidP="0043316B">
      <w:pPr>
        <w:spacing w:after="120" w:line="260" w:lineRule="atLeast"/>
        <w:ind w:left="6237"/>
        <w:rPr>
          <w:rFonts w:eastAsia="Times New Roman" w:cs="Tahoma"/>
          <w:i/>
          <w:szCs w:val="22"/>
          <w:u w:val="single"/>
          <w:lang w:val="en-GB"/>
        </w:rPr>
      </w:pPr>
      <w:r w:rsidRPr="0043316B">
        <w:rPr>
          <w:rFonts w:eastAsia="Times New Roman" w:cs="Tahoma"/>
          <w:i/>
          <w:szCs w:val="22"/>
          <w:u w:val="single"/>
          <w:lang w:val="en-GB"/>
        </w:rPr>
        <w:t>Languages</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working languages of the </w:t>
      </w:r>
      <w:r w:rsidRPr="0043316B">
        <w:rPr>
          <w:rFonts w:eastAsia="Times New Roman" w:cs="Tahoma"/>
          <w:i/>
          <w:szCs w:val="22"/>
        </w:rPr>
        <w:t xml:space="preserve">ad hoc expert group </w:t>
      </w:r>
      <w:r w:rsidRPr="0043316B">
        <w:rPr>
          <w:rFonts w:eastAsia="Times New Roman" w:cs="Tahoma"/>
          <w:i/>
          <w:szCs w:val="22"/>
          <w:lang w:val="en-GB"/>
        </w:rPr>
        <w:t xml:space="preserve">will be English, French and Spanish. </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iCs/>
          <w:szCs w:val="22"/>
          <w:u w:val="single"/>
          <w:lang w:val="en-GB"/>
        </w:rPr>
        <w:t xml:space="preserve">Chair or co-Chairs of the </w:t>
      </w:r>
      <w:r w:rsidRPr="0043316B">
        <w:rPr>
          <w:rFonts w:eastAsia="Times New Roman" w:cs="Tahoma"/>
          <w:i/>
          <w:szCs w:val="22"/>
          <w:u w:val="single"/>
        </w:rPr>
        <w:t>ad hoc expert group</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rPr>
        <w:t xml:space="preserve">The Chair or co-Chairs </w:t>
      </w:r>
      <w:proofErr w:type="gramStart"/>
      <w:r w:rsidRPr="0043316B">
        <w:rPr>
          <w:rFonts w:eastAsia="Times New Roman" w:cs="Tahoma"/>
          <w:i/>
          <w:szCs w:val="22"/>
        </w:rPr>
        <w:t>will be identified</w:t>
      </w:r>
      <w:proofErr w:type="gramEnd"/>
      <w:r w:rsidRPr="0043316B">
        <w:rPr>
          <w:rFonts w:eastAsia="Times New Roman" w:cs="Tahoma"/>
          <w:i/>
          <w:szCs w:val="22"/>
        </w:rPr>
        <w:t xml:space="preserve"> by the Chair of the IGC from among the participating experts before the meeting of the ad hoc expert group so that they have adequate time to prepare. </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Informality</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rPr>
        <w:t xml:space="preserve">The ad hoc expert group will not be webcasted, or reported on in the same manner as the IGC plenary. </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rPr>
        <w:lastRenderedPageBreak/>
        <w:t>All participants are requested to respect the informality of the ad hoc expert group, and not to communicate to the public, whether ‘live’ or at any future time, the content or nature of the discussions taking place in the ad hoc expert group, whether in general terms or by way of quoting specific experts.  This includes restrictions on tweeting, blog posts, news stories and email list-serves.</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Secretariat services</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rPr>
        <w:t xml:space="preserve">The WIPO Secretariat will facilitate the conduct of the meeting and provide secretariat services. </w:t>
      </w:r>
    </w:p>
    <w:p w:rsidR="00581F26" w:rsidRPr="005579DE" w:rsidRDefault="00581F26" w:rsidP="005579DE"/>
    <w:p w:rsidR="009B459C" w:rsidRPr="009B459C" w:rsidRDefault="00581F26" w:rsidP="009F53CA">
      <w:pPr>
        <w:pStyle w:val="Heading1"/>
        <w:spacing w:before="0"/>
      </w:pPr>
      <w:r>
        <w:t>AGENDA ITEM 9</w:t>
      </w:r>
      <w:r w:rsidR="00AE1D54">
        <w:t xml:space="preserve">:  </w:t>
      </w:r>
      <w:r w:rsidR="009B459C" w:rsidRPr="009B459C">
        <w:t xml:space="preserve">ANY OTHER BUSINESS </w:t>
      </w:r>
    </w:p>
    <w:p w:rsidR="009B459C" w:rsidRPr="009B459C" w:rsidRDefault="009B459C" w:rsidP="009F53CA">
      <w:pPr>
        <w:pStyle w:val="ListParagraph"/>
        <w:ind w:left="0"/>
        <w:rPr>
          <w:i/>
          <w:iCs/>
        </w:rPr>
      </w:pPr>
    </w:p>
    <w:p w:rsidR="009B459C" w:rsidRPr="009F53CA" w:rsidRDefault="00581F26" w:rsidP="009F53CA">
      <w:pPr>
        <w:pStyle w:val="ListParagraph"/>
        <w:ind w:left="5533"/>
        <w:rPr>
          <w:i/>
          <w:iCs/>
        </w:rPr>
      </w:pPr>
      <w:r>
        <w:rPr>
          <w:i/>
          <w:iCs/>
        </w:rPr>
        <w:t>Decision on Agenda Item 9</w:t>
      </w:r>
      <w:r w:rsidR="00AE1D54">
        <w:rPr>
          <w:i/>
          <w:iCs/>
        </w:rPr>
        <w:t xml:space="preserve">:  </w:t>
      </w:r>
    </w:p>
    <w:p w:rsidR="009B459C" w:rsidRPr="009F53CA" w:rsidRDefault="009B459C" w:rsidP="009F53CA">
      <w:pPr>
        <w:pStyle w:val="ListParagraph"/>
        <w:ind w:left="5533"/>
        <w:rPr>
          <w:i/>
        </w:rPr>
      </w:pPr>
    </w:p>
    <w:p w:rsidR="009B459C" w:rsidRPr="00A449C1" w:rsidRDefault="009B459C" w:rsidP="00310121">
      <w:pPr>
        <w:pStyle w:val="ListParagraph"/>
        <w:numPr>
          <w:ilvl w:val="0"/>
          <w:numId w:val="4"/>
        </w:numPr>
        <w:ind w:left="5533" w:firstLine="0"/>
        <w:rPr>
          <w:i/>
          <w:szCs w:val="22"/>
        </w:rPr>
      </w:pPr>
      <w:r w:rsidRPr="00A449C1">
        <w:rPr>
          <w:i/>
          <w:szCs w:val="22"/>
        </w:rPr>
        <w:t>There was no discussion under this item</w:t>
      </w:r>
      <w:r w:rsidR="00AE1D54">
        <w:rPr>
          <w:i/>
          <w:szCs w:val="22"/>
        </w:rPr>
        <w:t xml:space="preserve">.  </w:t>
      </w:r>
    </w:p>
    <w:p w:rsidR="009B459C" w:rsidRPr="009B459C" w:rsidRDefault="009B459C" w:rsidP="009F53CA">
      <w:pPr>
        <w:pStyle w:val="ListParagraph"/>
        <w:ind w:left="0"/>
      </w:pPr>
    </w:p>
    <w:p w:rsidR="009B459C" w:rsidRPr="009B459C" w:rsidRDefault="00581F26" w:rsidP="009F53CA">
      <w:pPr>
        <w:pStyle w:val="Heading1"/>
        <w:spacing w:before="0"/>
      </w:pPr>
      <w:r>
        <w:t>AGENDA ITEM 10</w:t>
      </w:r>
      <w:r w:rsidR="00AE1D54">
        <w:t xml:space="preserve">:  </w:t>
      </w:r>
      <w:r w:rsidR="009B459C" w:rsidRPr="009B459C">
        <w:t>CLOSING OF THE SESSION</w:t>
      </w:r>
    </w:p>
    <w:p w:rsidR="009B459C" w:rsidRPr="009F53CA" w:rsidRDefault="009B459C" w:rsidP="009F53CA">
      <w:pPr>
        <w:pStyle w:val="ListParagraph"/>
        <w:ind w:left="0"/>
        <w:rPr>
          <w:bCs/>
        </w:rPr>
      </w:pPr>
    </w:p>
    <w:p w:rsidR="00F847C7" w:rsidRPr="00F847C7" w:rsidRDefault="00F36B02" w:rsidP="00F847C7">
      <w:pPr>
        <w:pStyle w:val="ListParagraph"/>
        <w:numPr>
          <w:ilvl w:val="0"/>
          <w:numId w:val="4"/>
        </w:numPr>
        <w:ind w:left="0" w:firstLine="0"/>
        <w:rPr>
          <w:szCs w:val="22"/>
        </w:rPr>
      </w:pPr>
      <w:r>
        <w:rPr>
          <w:szCs w:val="22"/>
        </w:rPr>
        <w:t>The Chair</w:t>
      </w:r>
      <w:r w:rsidR="00F847C7">
        <w:rPr>
          <w:rFonts w:cs="Courier New"/>
        </w:rPr>
        <w:t xml:space="preserve"> </w:t>
      </w:r>
      <w:r w:rsidR="00F847C7" w:rsidRPr="00F847C7">
        <w:rPr>
          <w:rFonts w:cs="Courier New"/>
        </w:rPr>
        <w:t xml:space="preserve">said that IGC 35 flowed into IGC 36. </w:t>
      </w:r>
      <w:r w:rsidR="00F847C7">
        <w:rPr>
          <w:rFonts w:cs="Courier New"/>
        </w:rPr>
        <w:t xml:space="preserve"> </w:t>
      </w:r>
      <w:r w:rsidR="00F847C7" w:rsidRPr="00F847C7">
        <w:rPr>
          <w:rFonts w:cs="Courier New"/>
        </w:rPr>
        <w:t xml:space="preserve">He thanked all Member States for their positive contributions during the week.  It was a difficult and complex negotiation, </w:t>
      </w:r>
      <w:r w:rsidR="00F847C7">
        <w:rPr>
          <w:rFonts w:cs="Courier New"/>
        </w:rPr>
        <w:t xml:space="preserve">as </w:t>
      </w:r>
      <w:r w:rsidR="00F847C7" w:rsidRPr="00F847C7">
        <w:rPr>
          <w:rFonts w:cs="Courier New"/>
        </w:rPr>
        <w:t xml:space="preserve">there </w:t>
      </w:r>
      <w:r w:rsidR="00270C12">
        <w:rPr>
          <w:rFonts w:cs="Courier New"/>
        </w:rPr>
        <w:t>were</w:t>
      </w:r>
      <w:r w:rsidR="00F847C7" w:rsidRPr="00F847C7">
        <w:rPr>
          <w:rFonts w:cs="Courier New"/>
        </w:rPr>
        <w:t xml:space="preserve"> some divergence</w:t>
      </w:r>
      <w:r w:rsidR="00F847C7">
        <w:rPr>
          <w:rFonts w:cs="Courier New"/>
        </w:rPr>
        <w:t>s</w:t>
      </w:r>
      <w:r w:rsidR="00F847C7" w:rsidRPr="00F847C7">
        <w:rPr>
          <w:rFonts w:cs="Courier New"/>
        </w:rPr>
        <w:t xml:space="preserve"> of view</w:t>
      </w:r>
      <w:r w:rsidR="000F3CCC">
        <w:rPr>
          <w:rFonts w:cs="Courier New"/>
        </w:rPr>
        <w:t>s</w:t>
      </w:r>
      <w:bookmarkStart w:id="5" w:name="_GoBack"/>
      <w:bookmarkEnd w:id="5"/>
      <w:r w:rsidR="00F847C7">
        <w:rPr>
          <w:rFonts w:cs="Courier New"/>
        </w:rPr>
        <w:t>.  H</w:t>
      </w:r>
      <w:r w:rsidR="00F847C7" w:rsidRPr="00F847C7">
        <w:rPr>
          <w:rFonts w:cs="Courier New"/>
        </w:rPr>
        <w:t xml:space="preserve">e </w:t>
      </w:r>
      <w:r w:rsidR="00F847C7">
        <w:rPr>
          <w:rFonts w:cs="Courier New"/>
        </w:rPr>
        <w:t>was</w:t>
      </w:r>
      <w:r w:rsidR="00F847C7" w:rsidRPr="00F847C7">
        <w:rPr>
          <w:rFonts w:cs="Courier New"/>
        </w:rPr>
        <w:t xml:space="preserve"> keen to see IGC 36 make progress on those divergences. </w:t>
      </w:r>
      <w:r w:rsidR="00F847C7">
        <w:rPr>
          <w:rFonts w:cs="Courier New"/>
        </w:rPr>
        <w:t xml:space="preserve"> </w:t>
      </w:r>
      <w:r w:rsidR="00F847C7" w:rsidRPr="00F847C7">
        <w:rPr>
          <w:rFonts w:cs="Courier New"/>
        </w:rPr>
        <w:t>Members should take the time between IGC 35 and IGC 36 to consider the discussions</w:t>
      </w:r>
      <w:r w:rsidR="00F847C7">
        <w:rPr>
          <w:rFonts w:cs="Courier New"/>
        </w:rPr>
        <w:t xml:space="preserve"> held during the week</w:t>
      </w:r>
      <w:r w:rsidR="00F847C7" w:rsidRPr="00F847C7">
        <w:rPr>
          <w:rFonts w:cs="Courier New"/>
        </w:rPr>
        <w:t xml:space="preserve">, including the </w:t>
      </w:r>
      <w:r w:rsidR="00F847C7">
        <w:rPr>
          <w:rFonts w:cs="Courier New"/>
        </w:rPr>
        <w:t>material</w:t>
      </w:r>
      <w:r w:rsidR="00270C12">
        <w:rPr>
          <w:rFonts w:cs="Courier New"/>
        </w:rPr>
        <w:t>s</w:t>
      </w:r>
      <w:r w:rsidR="00F847C7">
        <w:rPr>
          <w:rFonts w:cs="Courier New"/>
        </w:rPr>
        <w:t xml:space="preserve"> prepared by the </w:t>
      </w:r>
      <w:r w:rsidR="00F847C7" w:rsidRPr="00F847C7">
        <w:rPr>
          <w:rFonts w:cs="Courier New"/>
        </w:rPr>
        <w:t xml:space="preserve">contact groups, which had provided some further </w:t>
      </w:r>
      <w:r w:rsidR="00270C12">
        <w:rPr>
          <w:rFonts w:cs="Courier New"/>
        </w:rPr>
        <w:t>ideas</w:t>
      </w:r>
      <w:r w:rsidR="00F847C7" w:rsidRPr="00F847C7">
        <w:rPr>
          <w:rFonts w:cs="Courier New"/>
        </w:rPr>
        <w:t xml:space="preserve"> for thought</w:t>
      </w:r>
      <w:r w:rsidR="00F847C7">
        <w:rPr>
          <w:rFonts w:cs="Courier New"/>
        </w:rPr>
        <w:t>.</w:t>
      </w:r>
      <w:r w:rsidR="00F847C7" w:rsidRPr="00F847C7">
        <w:rPr>
          <w:rFonts w:cs="Courier New"/>
        </w:rPr>
        <w:t xml:space="preserve"> </w:t>
      </w:r>
      <w:r w:rsidR="00F847C7">
        <w:rPr>
          <w:rFonts w:cs="Courier New"/>
        </w:rPr>
        <w:t xml:space="preserve"> Members should</w:t>
      </w:r>
      <w:r w:rsidR="00F847C7" w:rsidRPr="00F847C7">
        <w:rPr>
          <w:rFonts w:cs="Courier New"/>
        </w:rPr>
        <w:t xml:space="preserve"> </w:t>
      </w:r>
      <w:r w:rsidR="00F847C7">
        <w:rPr>
          <w:rFonts w:cs="Courier New"/>
        </w:rPr>
        <w:t xml:space="preserve">come well </w:t>
      </w:r>
      <w:r w:rsidR="00F847C7" w:rsidRPr="00F847C7">
        <w:rPr>
          <w:rFonts w:cs="Courier New"/>
        </w:rPr>
        <w:t xml:space="preserve">prepared to make decisions. </w:t>
      </w:r>
      <w:r w:rsidR="00F847C7">
        <w:rPr>
          <w:rFonts w:cs="Courier New"/>
        </w:rPr>
        <w:t xml:space="preserve"> </w:t>
      </w:r>
      <w:r w:rsidR="00F847C7" w:rsidRPr="00F847C7">
        <w:rPr>
          <w:rFonts w:cs="Courier New"/>
        </w:rPr>
        <w:t xml:space="preserve">He had attempted to introduce new processes and procedures, particularly the contact groups that appeared to have support in principle. </w:t>
      </w:r>
      <w:r w:rsidR="00F847C7">
        <w:rPr>
          <w:rFonts w:cs="Courier New"/>
        </w:rPr>
        <w:t xml:space="preserve"> </w:t>
      </w:r>
      <w:r w:rsidR="00F847C7" w:rsidRPr="00F847C7">
        <w:rPr>
          <w:rFonts w:cs="Courier New"/>
        </w:rPr>
        <w:t>It was important to consider carefully the appropriate time to establish them</w:t>
      </w:r>
      <w:r w:rsidR="00F847C7">
        <w:rPr>
          <w:rFonts w:cs="Courier New"/>
        </w:rPr>
        <w:t xml:space="preserve">, together with </w:t>
      </w:r>
      <w:r w:rsidR="00F847C7" w:rsidRPr="00F847C7">
        <w:rPr>
          <w:rFonts w:cs="Courier New"/>
        </w:rPr>
        <w:t xml:space="preserve">format issues. </w:t>
      </w:r>
      <w:r w:rsidR="00F847C7">
        <w:rPr>
          <w:rFonts w:cs="Courier New"/>
        </w:rPr>
        <w:t xml:space="preserve"> </w:t>
      </w:r>
      <w:r w:rsidR="00F847C7" w:rsidRPr="00F847C7">
        <w:rPr>
          <w:rFonts w:cs="Courier New"/>
        </w:rPr>
        <w:t xml:space="preserve">He took notice of the lessons learned from the pilot. </w:t>
      </w:r>
      <w:r w:rsidR="00F847C7">
        <w:rPr>
          <w:rFonts w:cs="Courier New"/>
        </w:rPr>
        <w:t xml:space="preserve"> </w:t>
      </w:r>
      <w:r w:rsidR="00270C12">
        <w:rPr>
          <w:rFonts w:cs="Courier New"/>
        </w:rPr>
        <w:t>He and t</w:t>
      </w:r>
      <w:r w:rsidR="00F847C7" w:rsidRPr="00F847C7">
        <w:rPr>
          <w:rFonts w:cs="Courier New"/>
        </w:rPr>
        <w:t>he Vice</w:t>
      </w:r>
      <w:r w:rsidR="00F847C7" w:rsidRPr="00F847C7">
        <w:rPr>
          <w:rFonts w:cs="Monaco"/>
        </w:rPr>
        <w:t>-</w:t>
      </w:r>
      <w:r w:rsidR="00F847C7" w:rsidRPr="00F847C7">
        <w:rPr>
          <w:rFonts w:cs="Courier New"/>
        </w:rPr>
        <w:t xml:space="preserve">Chairs would carefully consider the processes and procedures for IGC 36, to try to make meetings as efficient as possible and to make progress. </w:t>
      </w:r>
      <w:r w:rsidR="00F847C7">
        <w:rPr>
          <w:rFonts w:cs="Courier New"/>
        </w:rPr>
        <w:t xml:space="preserve"> </w:t>
      </w:r>
      <w:r w:rsidR="00270C12">
        <w:rPr>
          <w:rFonts w:cs="Courier New"/>
        </w:rPr>
        <w:t xml:space="preserve">They </w:t>
      </w:r>
      <w:r w:rsidR="00F847C7" w:rsidRPr="00F847C7">
        <w:rPr>
          <w:rFonts w:cs="Courier New"/>
        </w:rPr>
        <w:t xml:space="preserve">were always open to constructive ideas from Member States and observers on how to do the work.  It was also very important for industry representatives to be involved in the discussions, as observers, similar to the Indigenous Caucus, and to have the ability to engage with the process, whether in informals, contact groups or plenary. </w:t>
      </w:r>
      <w:r w:rsidR="00F847C7">
        <w:rPr>
          <w:rFonts w:cs="Courier New"/>
        </w:rPr>
        <w:t xml:space="preserve"> </w:t>
      </w:r>
      <w:r w:rsidR="00F847C7" w:rsidRPr="00F847C7">
        <w:rPr>
          <w:rFonts w:cs="Courier New"/>
        </w:rPr>
        <w:t xml:space="preserve">There would only be a successful outcome if it balanced all of the interests of the stakeholders. </w:t>
      </w:r>
      <w:r w:rsidR="00F847C7">
        <w:rPr>
          <w:rFonts w:cs="Courier New"/>
        </w:rPr>
        <w:t xml:space="preserve"> </w:t>
      </w:r>
      <w:r w:rsidR="00270C12">
        <w:rPr>
          <w:rFonts w:cs="Courier New"/>
        </w:rPr>
        <w:t>The Chair</w:t>
      </w:r>
      <w:r w:rsidR="00F847C7" w:rsidRPr="00F847C7">
        <w:rPr>
          <w:rFonts w:cs="Courier New"/>
        </w:rPr>
        <w:t xml:space="preserve"> appreciated </w:t>
      </w:r>
      <w:r w:rsidR="00270C12">
        <w:rPr>
          <w:rFonts w:cs="Courier New"/>
        </w:rPr>
        <w:t>everyone’s</w:t>
      </w:r>
      <w:r w:rsidR="00F847C7" w:rsidRPr="00F847C7">
        <w:rPr>
          <w:rFonts w:cs="Courier New"/>
        </w:rPr>
        <w:t xml:space="preserve"> frankness.  He thanked </w:t>
      </w:r>
      <w:r w:rsidR="00F847C7">
        <w:rPr>
          <w:rFonts w:cs="Courier New"/>
        </w:rPr>
        <w:t>the</w:t>
      </w:r>
      <w:r w:rsidR="00F847C7" w:rsidRPr="00F847C7">
        <w:rPr>
          <w:rFonts w:cs="Courier New"/>
        </w:rPr>
        <w:t xml:space="preserve"> Vice</w:t>
      </w:r>
      <w:r w:rsidR="00F847C7" w:rsidRPr="00F847C7">
        <w:rPr>
          <w:rFonts w:cs="Monaco"/>
        </w:rPr>
        <w:t>-</w:t>
      </w:r>
      <w:r w:rsidR="00270C12">
        <w:rPr>
          <w:rFonts w:cs="Courier New"/>
        </w:rPr>
        <w:t>Chairs,</w:t>
      </w:r>
      <w:r w:rsidR="00F847C7" w:rsidRPr="00F847C7">
        <w:rPr>
          <w:rFonts w:cs="Courier New"/>
        </w:rPr>
        <w:t xml:space="preserve"> with whom he worked as a team.  He took advice from everybody</w:t>
      </w:r>
      <w:r w:rsidR="00F847C7">
        <w:rPr>
          <w:rFonts w:cs="Courier New"/>
        </w:rPr>
        <w:t>,</w:t>
      </w:r>
      <w:r w:rsidR="00F847C7" w:rsidRPr="00F847C7">
        <w:rPr>
          <w:rFonts w:cs="Courier New"/>
        </w:rPr>
        <w:t xml:space="preserve"> not just from the Vice</w:t>
      </w:r>
      <w:r w:rsidR="00F847C7" w:rsidRPr="00F847C7">
        <w:rPr>
          <w:rFonts w:cs="Monaco"/>
        </w:rPr>
        <w:t>-</w:t>
      </w:r>
      <w:r w:rsidR="00F847C7" w:rsidRPr="00F847C7">
        <w:rPr>
          <w:rFonts w:cs="Courier New"/>
        </w:rPr>
        <w:t xml:space="preserve">Chairs but also from Member States. </w:t>
      </w:r>
      <w:r w:rsidR="00F847C7">
        <w:rPr>
          <w:rFonts w:cs="Courier New"/>
        </w:rPr>
        <w:t xml:space="preserve"> </w:t>
      </w:r>
      <w:r w:rsidR="00F847C7" w:rsidRPr="00F847C7">
        <w:rPr>
          <w:rFonts w:cs="Courier New"/>
        </w:rPr>
        <w:t xml:space="preserve">He thanked </w:t>
      </w:r>
      <w:r w:rsidR="00270C12">
        <w:rPr>
          <w:rFonts w:cs="Courier New"/>
        </w:rPr>
        <w:t>the f</w:t>
      </w:r>
      <w:r w:rsidR="00F847C7" w:rsidRPr="00F847C7">
        <w:rPr>
          <w:rFonts w:cs="Courier New"/>
        </w:rPr>
        <w:t>acilitator</w:t>
      </w:r>
      <w:r w:rsidR="00270C12">
        <w:rPr>
          <w:rFonts w:cs="Courier New"/>
        </w:rPr>
        <w:t>, Mr.</w:t>
      </w:r>
      <w:r w:rsidR="00F847C7" w:rsidRPr="00F847C7">
        <w:rPr>
          <w:rFonts w:cs="Courier New"/>
        </w:rPr>
        <w:t xml:space="preserve"> Paul Kuruk, </w:t>
      </w:r>
      <w:r w:rsidR="00270C12">
        <w:rPr>
          <w:rFonts w:cs="Courier New"/>
        </w:rPr>
        <w:t xml:space="preserve">and the </w:t>
      </w:r>
      <w:r w:rsidR="00F847C7" w:rsidRPr="00F847C7">
        <w:rPr>
          <w:rFonts w:cs="Courier New"/>
        </w:rPr>
        <w:t>F</w:t>
      </w:r>
      <w:r w:rsidR="00F847C7">
        <w:rPr>
          <w:rFonts w:cs="Courier New"/>
        </w:rPr>
        <w:t>riend of the Chair</w:t>
      </w:r>
      <w:r w:rsidR="00270C12">
        <w:rPr>
          <w:rFonts w:cs="Courier New"/>
        </w:rPr>
        <w:t>, Ms.</w:t>
      </w:r>
      <w:r w:rsidR="00F847C7">
        <w:rPr>
          <w:rFonts w:cs="Courier New"/>
        </w:rPr>
        <w:t xml:space="preserve"> </w:t>
      </w:r>
      <w:r w:rsidR="00F847C7" w:rsidRPr="00F847C7">
        <w:rPr>
          <w:rFonts w:cs="Courier New"/>
        </w:rPr>
        <w:t xml:space="preserve">Margo </w:t>
      </w:r>
      <w:r w:rsidR="00F847C7" w:rsidRPr="00F847C7">
        <w:rPr>
          <w:rFonts w:cs="Monaco"/>
        </w:rPr>
        <w:t>Bagley</w:t>
      </w:r>
      <w:r w:rsidR="00270C12">
        <w:rPr>
          <w:rFonts w:cs="Monaco"/>
        </w:rPr>
        <w:t>.  He also thanked</w:t>
      </w:r>
      <w:r w:rsidR="00F847C7" w:rsidRPr="00F847C7">
        <w:rPr>
          <w:rFonts w:cs="Monaco"/>
        </w:rPr>
        <w:t xml:space="preserve"> </w:t>
      </w:r>
      <w:r w:rsidR="00F847C7" w:rsidRPr="00F847C7">
        <w:rPr>
          <w:rFonts w:cs="Courier New"/>
        </w:rPr>
        <w:t xml:space="preserve">the Secretariat </w:t>
      </w:r>
      <w:r w:rsidR="00F847C7">
        <w:rPr>
          <w:rFonts w:cs="Courier New"/>
        </w:rPr>
        <w:t>that</w:t>
      </w:r>
      <w:r w:rsidR="00F847C7" w:rsidRPr="00F847C7">
        <w:rPr>
          <w:rFonts w:cs="Courier New"/>
        </w:rPr>
        <w:t xml:space="preserve"> made sure meetings were efficient, effective and successful.  Without the work behind the scenes, the meeting would not be efficient or successful.  There was a huge amount of work that went on and the Secretariat had </w:t>
      </w:r>
      <w:r w:rsidR="00F847C7">
        <w:rPr>
          <w:rFonts w:cs="Courier New"/>
        </w:rPr>
        <w:t xml:space="preserve">a lot of </w:t>
      </w:r>
      <w:r w:rsidR="00F847C7" w:rsidRPr="00F847C7">
        <w:rPr>
          <w:rFonts w:cs="Courier New"/>
        </w:rPr>
        <w:t xml:space="preserve">work to do in a </w:t>
      </w:r>
      <w:proofErr w:type="gramStart"/>
      <w:r w:rsidR="00F847C7" w:rsidRPr="00F847C7">
        <w:rPr>
          <w:rFonts w:cs="Courier New"/>
        </w:rPr>
        <w:t>fairly limited</w:t>
      </w:r>
      <w:proofErr w:type="gramEnd"/>
      <w:r w:rsidR="00F847C7" w:rsidRPr="00F847C7">
        <w:rPr>
          <w:rFonts w:cs="Courier New"/>
        </w:rPr>
        <w:t xml:space="preserve"> amount of time in planning the </w:t>
      </w:r>
      <w:r w:rsidR="00270C12">
        <w:rPr>
          <w:rFonts w:cs="Courier New"/>
        </w:rPr>
        <w:t xml:space="preserve">ad hoc </w:t>
      </w:r>
      <w:r w:rsidR="00F847C7" w:rsidRPr="00F847C7">
        <w:rPr>
          <w:rFonts w:cs="Courier New"/>
        </w:rPr>
        <w:t xml:space="preserve">expert group.  He thanked the Regional Coordinators that played a critical role in keeping him informed and working between </w:t>
      </w:r>
      <w:r w:rsidR="00F847C7">
        <w:rPr>
          <w:rFonts w:cs="Courier New"/>
        </w:rPr>
        <w:t>him</w:t>
      </w:r>
      <w:r w:rsidR="00F847C7" w:rsidRPr="00F847C7">
        <w:rPr>
          <w:rFonts w:cs="Courier New"/>
        </w:rPr>
        <w:t xml:space="preserve"> and Member States to ensure that the </w:t>
      </w:r>
      <w:r w:rsidR="00F847C7" w:rsidRPr="00F847C7">
        <w:rPr>
          <w:rFonts w:cs="Courier New"/>
        </w:rPr>
        <w:lastRenderedPageBreak/>
        <w:t xml:space="preserve">IGC could go forward and have a successful meeting, in particular, making the atmosphere </w:t>
      </w:r>
      <w:r w:rsidR="00F847C7">
        <w:rPr>
          <w:rFonts w:cs="Courier New"/>
        </w:rPr>
        <w:t>enjoyable</w:t>
      </w:r>
      <w:r w:rsidR="00F847C7" w:rsidRPr="00F847C7">
        <w:rPr>
          <w:rFonts w:cs="Courier New"/>
        </w:rPr>
        <w:t xml:space="preserve">. </w:t>
      </w:r>
      <w:r w:rsidR="00F847C7">
        <w:rPr>
          <w:rFonts w:cs="Courier New"/>
        </w:rPr>
        <w:t xml:space="preserve"> </w:t>
      </w:r>
      <w:r w:rsidR="00F847C7" w:rsidRPr="00F847C7">
        <w:rPr>
          <w:rFonts w:cs="Courier New"/>
        </w:rPr>
        <w:t>He thanked the chairs and rapporteurs of the contact groups.  He indicated his support for the Indigenous Caucus and the work they did</w:t>
      </w:r>
      <w:r w:rsidR="00F847C7">
        <w:rPr>
          <w:rFonts w:cs="Courier New"/>
        </w:rPr>
        <w:t xml:space="preserve"> </w:t>
      </w:r>
      <w:r w:rsidR="00F847C7" w:rsidRPr="00F847C7">
        <w:rPr>
          <w:rFonts w:cs="Courier New"/>
        </w:rPr>
        <w:t xml:space="preserve">within the negotiations. </w:t>
      </w:r>
      <w:r w:rsidR="00F847C7">
        <w:rPr>
          <w:rFonts w:cs="Courier New"/>
        </w:rPr>
        <w:t xml:space="preserve"> </w:t>
      </w:r>
      <w:r w:rsidR="00F847C7" w:rsidRPr="00F847C7">
        <w:rPr>
          <w:rFonts w:cs="Courier New"/>
        </w:rPr>
        <w:t xml:space="preserve">He reemphasized the need to find some funds. </w:t>
      </w:r>
      <w:r w:rsidR="00F847C7">
        <w:rPr>
          <w:rFonts w:cs="Courier New"/>
        </w:rPr>
        <w:t xml:space="preserve"> </w:t>
      </w:r>
      <w:r w:rsidR="00F847C7" w:rsidRPr="00F847C7">
        <w:rPr>
          <w:rFonts w:cs="Courier New"/>
        </w:rPr>
        <w:t xml:space="preserve">He thanked industry representatives, civil society as well as other key stakeholders in the discussion.  Their views and comments had to be carefully considered, for many of them had to practically implement the instruments that hopefully would be agreed on in the future. </w:t>
      </w:r>
      <w:r w:rsidR="00F847C7">
        <w:rPr>
          <w:rFonts w:cs="Courier New"/>
        </w:rPr>
        <w:t xml:space="preserve"> </w:t>
      </w:r>
      <w:r w:rsidR="00F847C7" w:rsidRPr="00F847C7">
        <w:rPr>
          <w:rFonts w:cs="Courier New"/>
        </w:rPr>
        <w:t>He thanked all delegates.</w:t>
      </w:r>
      <w:r w:rsidR="00F847C7">
        <w:rPr>
          <w:rFonts w:cs="Courier New"/>
        </w:rPr>
        <w:t xml:space="preserve"> </w:t>
      </w:r>
      <w:r w:rsidR="00F847C7" w:rsidRPr="00F847C7">
        <w:rPr>
          <w:rFonts w:cs="Courier New"/>
        </w:rPr>
        <w:t xml:space="preserve"> He appreciated the honor of having been re</w:t>
      </w:r>
      <w:r w:rsidR="00270C12">
        <w:rPr>
          <w:rFonts w:cs="Courier New"/>
        </w:rPr>
        <w:t>-</w:t>
      </w:r>
      <w:r w:rsidR="00F847C7" w:rsidRPr="00F847C7">
        <w:rPr>
          <w:rFonts w:cs="Courier New"/>
        </w:rPr>
        <w:t xml:space="preserve">elected </w:t>
      </w:r>
      <w:r w:rsidR="00F847C7">
        <w:rPr>
          <w:rFonts w:cs="Courier New"/>
        </w:rPr>
        <w:t xml:space="preserve">as </w:t>
      </w:r>
      <w:r w:rsidR="00270C12">
        <w:rPr>
          <w:rFonts w:cs="Courier New"/>
        </w:rPr>
        <w:t xml:space="preserve">the </w:t>
      </w:r>
      <w:r w:rsidR="00F847C7">
        <w:rPr>
          <w:rFonts w:cs="Courier New"/>
        </w:rPr>
        <w:t xml:space="preserve">Chair, together with the </w:t>
      </w:r>
      <w:r w:rsidR="00F847C7" w:rsidRPr="00F847C7">
        <w:rPr>
          <w:rFonts w:cs="Courier New"/>
        </w:rPr>
        <w:t>Vice</w:t>
      </w:r>
      <w:r w:rsidR="00F847C7" w:rsidRPr="00F847C7">
        <w:rPr>
          <w:rFonts w:cs="Monaco"/>
        </w:rPr>
        <w:t>-</w:t>
      </w:r>
      <w:r w:rsidR="00F847C7" w:rsidRPr="00F847C7">
        <w:rPr>
          <w:rFonts w:cs="Courier New"/>
        </w:rPr>
        <w:t xml:space="preserve">Chairs.  He tried to be independent as he could. </w:t>
      </w:r>
      <w:r w:rsidR="00F847C7">
        <w:rPr>
          <w:rFonts w:cs="Courier New"/>
        </w:rPr>
        <w:t xml:space="preserve"> </w:t>
      </w:r>
      <w:r w:rsidR="00F847C7" w:rsidRPr="00F847C7">
        <w:rPr>
          <w:rFonts w:cs="Courier New"/>
        </w:rPr>
        <w:t xml:space="preserve">He would continue to endeavor to do that and expected to </w:t>
      </w:r>
      <w:proofErr w:type="gramStart"/>
      <w:r w:rsidR="00F847C7" w:rsidRPr="00F847C7">
        <w:rPr>
          <w:rFonts w:cs="Courier New"/>
        </w:rPr>
        <w:t>be told</w:t>
      </w:r>
      <w:proofErr w:type="gramEnd"/>
      <w:r w:rsidR="00F847C7" w:rsidRPr="00F847C7">
        <w:rPr>
          <w:rFonts w:cs="Courier New"/>
        </w:rPr>
        <w:t xml:space="preserve"> by the members when he would not.  </w:t>
      </w:r>
      <w:r w:rsidR="00270C12">
        <w:rPr>
          <w:rFonts w:cs="Courier New"/>
        </w:rPr>
        <w:t>The Chair</w:t>
      </w:r>
      <w:r w:rsidR="00F847C7" w:rsidRPr="00F847C7">
        <w:rPr>
          <w:rFonts w:cs="Courier New"/>
        </w:rPr>
        <w:t xml:space="preserve"> thanked the interpreters for their flexibility because they ensured clarity and understanding.  </w:t>
      </w:r>
    </w:p>
    <w:p w:rsidR="00F847C7" w:rsidRPr="00F847C7" w:rsidRDefault="00F847C7" w:rsidP="00F847C7">
      <w:pPr>
        <w:pStyle w:val="ListParagraph"/>
        <w:ind w:left="0"/>
        <w:rPr>
          <w:szCs w:val="22"/>
        </w:rPr>
      </w:pPr>
    </w:p>
    <w:p w:rsidR="00CF37F5" w:rsidRPr="00CF37F5" w:rsidRDefault="00F847C7" w:rsidP="00CF37F5">
      <w:pPr>
        <w:pStyle w:val="ListParagraph"/>
        <w:numPr>
          <w:ilvl w:val="0"/>
          <w:numId w:val="4"/>
        </w:numPr>
        <w:ind w:left="0" w:firstLine="0"/>
        <w:rPr>
          <w:szCs w:val="22"/>
        </w:rPr>
      </w:pPr>
      <w:r w:rsidRPr="00F847C7">
        <w:rPr>
          <w:rFonts w:cs="Courier New"/>
        </w:rPr>
        <w:t xml:space="preserve">The representative of KUNA, speaking on behalf of the Indigenous Caucus, </w:t>
      </w:r>
      <w:bookmarkStart w:id="6" w:name="_Hlk509576569"/>
      <w:r w:rsidRPr="00F847C7">
        <w:rPr>
          <w:rFonts w:cs="Courier New"/>
        </w:rPr>
        <w:t>tha</w:t>
      </w:r>
      <w:r w:rsidR="003C0039">
        <w:rPr>
          <w:rFonts w:cs="Courier New"/>
        </w:rPr>
        <w:t>nked the Chair, as well as the facilitator, the Friend of the Chair</w:t>
      </w:r>
      <w:r w:rsidRPr="00F847C7">
        <w:rPr>
          <w:rFonts w:cs="Courier New"/>
        </w:rPr>
        <w:t xml:space="preserve">, the Member States, and the Secretariat for supporting their participation at the meeting. </w:t>
      </w:r>
      <w:r>
        <w:rPr>
          <w:rFonts w:cs="Courier New"/>
        </w:rPr>
        <w:t xml:space="preserve"> </w:t>
      </w:r>
      <w:r w:rsidRPr="00F847C7">
        <w:rPr>
          <w:rFonts w:cs="Courier New"/>
        </w:rPr>
        <w:t xml:space="preserve">The Indigenous Caucus was committed to contributing its best efforts toward negotiating an international IP instrument(s) for the protection of GRs and </w:t>
      </w:r>
      <w:r w:rsidR="003C0039">
        <w:rPr>
          <w:rFonts w:cs="Courier New"/>
        </w:rPr>
        <w:t>associated TK</w:t>
      </w:r>
      <w:r w:rsidRPr="00F847C7">
        <w:rPr>
          <w:rFonts w:cs="Courier New"/>
        </w:rPr>
        <w:t xml:space="preserve"> in fulfilling the mandate given to the IGC by the WIPO </w:t>
      </w:r>
      <w:r w:rsidR="003C0039">
        <w:rPr>
          <w:rFonts w:cs="Courier New"/>
        </w:rPr>
        <w:t>GA</w:t>
      </w:r>
      <w:r w:rsidRPr="00F847C7">
        <w:rPr>
          <w:rFonts w:cs="Courier New"/>
        </w:rPr>
        <w:t xml:space="preserve">.  In finalizing the negotiations, Member States should take </w:t>
      </w:r>
      <w:r w:rsidRPr="00F847C7">
        <w:rPr>
          <w:rFonts w:cs="Courier New" w:hint="eastAsia"/>
        </w:rPr>
        <w:t xml:space="preserve">into account </w:t>
      </w:r>
      <w:r w:rsidRPr="00F847C7">
        <w:rPr>
          <w:rFonts w:cs="Courier New"/>
        </w:rPr>
        <w:t xml:space="preserve">the minimum international </w:t>
      </w:r>
      <w:r w:rsidRPr="00F847C7">
        <w:rPr>
          <w:rFonts w:cs="Courier New" w:hint="eastAsia"/>
        </w:rPr>
        <w:t>human rights standards</w:t>
      </w:r>
      <w:r w:rsidRPr="00F847C7">
        <w:rPr>
          <w:rFonts w:cs="Courier New"/>
        </w:rPr>
        <w:t xml:space="preserve"> embodied in </w:t>
      </w:r>
      <w:r w:rsidRPr="00874FD7">
        <w:rPr>
          <w:rFonts w:cs="Courier New"/>
        </w:rPr>
        <w:t>UNDRIP</w:t>
      </w:r>
      <w:r w:rsidRPr="00F847C7">
        <w:rPr>
          <w:rFonts w:cs="Courier New"/>
        </w:rPr>
        <w:t xml:space="preserve"> and other international instruments. </w:t>
      </w:r>
      <w:r w:rsidR="003C0039">
        <w:rPr>
          <w:rFonts w:cs="Courier New"/>
        </w:rPr>
        <w:t xml:space="preserve"> </w:t>
      </w:r>
      <w:r w:rsidRPr="00F847C7">
        <w:rPr>
          <w:rFonts w:cs="Courier New"/>
        </w:rPr>
        <w:t xml:space="preserve">Those </w:t>
      </w:r>
      <w:proofErr w:type="gramStart"/>
      <w:r w:rsidRPr="00F847C7">
        <w:rPr>
          <w:rFonts w:cs="Courier New"/>
        </w:rPr>
        <w:t>were summarized</w:t>
      </w:r>
      <w:proofErr w:type="gramEnd"/>
      <w:r w:rsidRPr="00F847C7">
        <w:rPr>
          <w:rFonts w:cs="Courier New"/>
        </w:rPr>
        <w:t xml:space="preserve"> in </w:t>
      </w:r>
      <w:r w:rsidR="003C0039">
        <w:rPr>
          <w:rFonts w:cs="Courier New"/>
        </w:rPr>
        <w:t>document WIPO/GRTKF/IC/34/INF/8</w:t>
      </w:r>
      <w:r w:rsidRPr="00F847C7">
        <w:rPr>
          <w:rFonts w:cs="Courier New"/>
        </w:rPr>
        <w:t xml:space="preserve">.  Those were minimum standards, which the IGC must not fall </w:t>
      </w:r>
      <w:proofErr w:type="gramStart"/>
      <w:r w:rsidRPr="00F847C7">
        <w:rPr>
          <w:rFonts w:cs="Courier New"/>
        </w:rPr>
        <w:t>below</w:t>
      </w:r>
      <w:proofErr w:type="gramEnd"/>
      <w:r w:rsidRPr="00F847C7">
        <w:rPr>
          <w:rFonts w:cs="Courier New"/>
        </w:rPr>
        <w:t xml:space="preserve">.  However, the IGC was fully competent to develop stronger and </w:t>
      </w:r>
      <w:r w:rsidR="008D5BE9">
        <w:rPr>
          <w:rFonts w:cs="Courier New"/>
          <w:i/>
        </w:rPr>
        <w:t>sui </w:t>
      </w:r>
      <w:r w:rsidRPr="00F847C7">
        <w:rPr>
          <w:rFonts w:cs="Courier New"/>
          <w:i/>
        </w:rPr>
        <w:t>generis</w:t>
      </w:r>
      <w:r w:rsidRPr="00F847C7">
        <w:rPr>
          <w:rFonts w:cs="Courier New"/>
        </w:rPr>
        <w:t xml:space="preserve"> measures related t</w:t>
      </w:r>
      <w:r w:rsidR="003C0039">
        <w:rPr>
          <w:rFonts w:cs="Courier New"/>
        </w:rPr>
        <w:t>o the use of indigenous peoples’</w:t>
      </w:r>
      <w:r w:rsidRPr="00F847C7">
        <w:rPr>
          <w:rFonts w:cs="Courier New"/>
        </w:rPr>
        <w:t xml:space="preserve"> GRs and TK within the patent system.  The preamble and objectives of th</w:t>
      </w:r>
      <w:r w:rsidR="003C0039">
        <w:rPr>
          <w:rFonts w:cs="Courier New"/>
        </w:rPr>
        <w:t xml:space="preserve">e proposed instrument(s) </w:t>
      </w:r>
      <w:r w:rsidRPr="00F847C7">
        <w:rPr>
          <w:rFonts w:cs="Courier New"/>
        </w:rPr>
        <w:t xml:space="preserve">had to address the aspirations, interests and rights of </w:t>
      </w:r>
      <w:r w:rsidRPr="00F847C7">
        <w:rPr>
          <w:rFonts w:cs="Courier New" w:hint="eastAsia"/>
        </w:rPr>
        <w:t>indigenous peoples</w:t>
      </w:r>
      <w:r w:rsidRPr="00F847C7">
        <w:rPr>
          <w:rFonts w:cs="Courier New"/>
        </w:rPr>
        <w:t xml:space="preserve">, and not only reflect balance among existing objectives within the patent or other IP systems.  Those considerations extended beyond the IP system, involving considerations such as secret and sacred TK, cultural sensitivities and customary laws.  A human rights-based approach was necessary to achieve mutual </w:t>
      </w:r>
      <w:r w:rsidRPr="00D96A1B">
        <w:rPr>
          <w:rFonts w:cs="Courier New"/>
        </w:rPr>
        <w:t xml:space="preserve">supportiveness - it </w:t>
      </w:r>
      <w:proofErr w:type="gramStart"/>
      <w:r w:rsidRPr="00D96A1B">
        <w:rPr>
          <w:rFonts w:cs="Courier New"/>
        </w:rPr>
        <w:t>could not be avoided</w:t>
      </w:r>
      <w:proofErr w:type="gramEnd"/>
      <w:r w:rsidRPr="00D96A1B">
        <w:rPr>
          <w:rFonts w:cs="Courier New"/>
        </w:rPr>
        <w:t xml:space="preserve"> by appeals to the lack of competency of the IGC in human rights.  While the IGC might lack competence to author human rights, Member States were fully competent and obligated to observe human rights standards to which they </w:t>
      </w:r>
      <w:proofErr w:type="gramStart"/>
      <w:r w:rsidRPr="00D96A1B">
        <w:rPr>
          <w:rFonts w:cs="Courier New"/>
        </w:rPr>
        <w:t>were bound</w:t>
      </w:r>
      <w:proofErr w:type="gramEnd"/>
      <w:r w:rsidRPr="00D96A1B">
        <w:rPr>
          <w:rFonts w:cs="Courier New"/>
        </w:rPr>
        <w:t xml:space="preserve">.  He strongly supported disclosure </w:t>
      </w:r>
      <w:proofErr w:type="gramStart"/>
      <w:r w:rsidRPr="00D96A1B">
        <w:rPr>
          <w:rFonts w:cs="Courier New"/>
        </w:rPr>
        <w:t>requirements</w:t>
      </w:r>
      <w:r w:rsidR="00D96A1B">
        <w:rPr>
          <w:rFonts w:cs="Courier New"/>
        </w:rPr>
        <w:t>,</w:t>
      </w:r>
      <w:r w:rsidRPr="00D96A1B">
        <w:rPr>
          <w:rFonts w:cs="Courier New"/>
        </w:rPr>
        <w:t xml:space="preserve"> that</w:t>
      </w:r>
      <w:proofErr w:type="gramEnd"/>
      <w:r w:rsidRPr="00D96A1B">
        <w:rPr>
          <w:rFonts w:cs="Courier New"/>
        </w:rPr>
        <w:t xml:space="preserve"> had to be viewed as relevant to the patentability of an innovation.  Patents </w:t>
      </w:r>
      <w:proofErr w:type="gramStart"/>
      <w:r w:rsidRPr="00D96A1B">
        <w:rPr>
          <w:rFonts w:cs="Courier New"/>
        </w:rPr>
        <w:t>could not be given</w:t>
      </w:r>
      <w:proofErr w:type="gramEnd"/>
      <w:r w:rsidRPr="00D96A1B">
        <w:rPr>
          <w:rFonts w:cs="Courier New"/>
        </w:rPr>
        <w:t xml:space="preserve"> for innovations based on stolen or misappropriated TK or GRs.  Disclosure of origin remained the major system for </w:t>
      </w:r>
      <w:r w:rsidR="00D96A1B">
        <w:rPr>
          <w:rFonts w:cs="Courier New"/>
        </w:rPr>
        <w:t>safeguarding indigenous peoples’</w:t>
      </w:r>
      <w:r w:rsidRPr="00D96A1B">
        <w:rPr>
          <w:rFonts w:cs="Courier New"/>
        </w:rPr>
        <w:t xml:space="preserve"> rights prior to the granting of patents.  It provided benefits to promoting the recognition and respect of indigenous peoples’ right to FPIC.  The approach avoided the potentially high costs and risks to developing and maintaining databases of TK.  </w:t>
      </w:r>
      <w:r w:rsidRPr="00D96A1B">
        <w:rPr>
          <w:rFonts w:cs="Courier New" w:hint="eastAsia"/>
        </w:rPr>
        <w:t xml:space="preserve">It </w:t>
      </w:r>
      <w:r w:rsidRPr="00D96A1B">
        <w:rPr>
          <w:rFonts w:cs="Courier New"/>
        </w:rPr>
        <w:t xml:space="preserve">avoided placing the burden on those who had developed TK in traditional contexts to document their knowledge in violation of customary laws and beliefs.  It avoided placing them at risk beyond the patent system if such knowledge </w:t>
      </w:r>
      <w:proofErr w:type="gramStart"/>
      <w:r w:rsidRPr="00D96A1B">
        <w:rPr>
          <w:rFonts w:cs="Courier New"/>
        </w:rPr>
        <w:t>was made</w:t>
      </w:r>
      <w:proofErr w:type="gramEnd"/>
      <w:r w:rsidRPr="00D96A1B">
        <w:rPr>
          <w:rFonts w:cs="Courier New"/>
        </w:rPr>
        <w:t xml:space="preserve"> public.  Even if a Member State was not a party to the CBD or the Nagoya Protocol, it was within the competence of the IGC to adopt </w:t>
      </w:r>
      <w:r w:rsidRPr="00D96A1B">
        <w:rPr>
          <w:rFonts w:cs="Courier New"/>
          <w:i/>
        </w:rPr>
        <w:t>sui generis</w:t>
      </w:r>
      <w:r w:rsidRPr="00D96A1B">
        <w:rPr>
          <w:rFonts w:cs="Courier New"/>
        </w:rPr>
        <w:t xml:space="preserve"> provisions on patentability related to GRs and</w:t>
      </w:r>
      <w:r w:rsidRPr="00F847C7">
        <w:rPr>
          <w:rFonts w:cs="Courier New"/>
        </w:rPr>
        <w:t xml:space="preserve"> TK.  On sanctions and remedies, there needed to be significant punitive measures beyond pos</w:t>
      </w:r>
      <w:r w:rsidR="00D96A1B">
        <w:rPr>
          <w:rFonts w:cs="Courier New"/>
        </w:rPr>
        <w:t xml:space="preserve">t-grant requirements or </w:t>
      </w:r>
      <w:proofErr w:type="gramStart"/>
      <w:r w:rsidR="00D96A1B">
        <w:rPr>
          <w:rFonts w:cs="Courier New"/>
        </w:rPr>
        <w:t>benefit-</w:t>
      </w:r>
      <w:r w:rsidRPr="00F847C7">
        <w:rPr>
          <w:rFonts w:cs="Courier New"/>
        </w:rPr>
        <w:t>sharing</w:t>
      </w:r>
      <w:proofErr w:type="gramEnd"/>
      <w:r w:rsidRPr="00F847C7">
        <w:rPr>
          <w:rFonts w:cs="Courier New"/>
        </w:rPr>
        <w:t xml:space="preserve"> in cases of willful </w:t>
      </w:r>
      <w:r w:rsidR="00D96A1B">
        <w:rPr>
          <w:rFonts w:cs="Courier New"/>
        </w:rPr>
        <w:t>mischief.  Patent revocation had</w:t>
      </w:r>
      <w:r w:rsidRPr="00F847C7">
        <w:rPr>
          <w:rFonts w:cs="Courier New"/>
        </w:rPr>
        <w:t xml:space="preserve"> to remain as a potential outcome in extreme cases.  He ha</w:t>
      </w:r>
      <w:r>
        <w:rPr>
          <w:rFonts w:cs="Courier New"/>
        </w:rPr>
        <w:t>d</w:t>
      </w:r>
      <w:r w:rsidRPr="00F847C7">
        <w:rPr>
          <w:rFonts w:cs="Courier New"/>
        </w:rPr>
        <w:t xml:space="preserve"> no issue with the concept of due process and the potential to correct mistakes.  </w:t>
      </w:r>
      <w:proofErr w:type="gramStart"/>
      <w:r w:rsidRPr="00F847C7">
        <w:rPr>
          <w:rFonts w:cs="Courier New"/>
        </w:rPr>
        <w:t>But</w:t>
      </w:r>
      <w:proofErr w:type="gramEnd"/>
      <w:r w:rsidRPr="00F847C7">
        <w:rPr>
          <w:rFonts w:cs="Courier New"/>
        </w:rPr>
        <w:t xml:space="preserve"> he did not believe that willful deceptions and violations of the rights of indigenous peoples to control the use of their TK or GRs should be addressed by fines and weak penalties.  Not all of indigenous peoples’ issues, many of which were spiritual and connected to identity, dig</w:t>
      </w:r>
      <w:r w:rsidR="00D96A1B">
        <w:rPr>
          <w:rFonts w:cs="Courier New"/>
        </w:rPr>
        <w:t>nity, and obligations to their creators, a</w:t>
      </w:r>
      <w:r w:rsidRPr="00F847C7">
        <w:rPr>
          <w:rFonts w:cs="Courier New"/>
        </w:rPr>
        <w:t xml:space="preserve">ncestors and Mother Earth, could be addressed by benefit sharing. </w:t>
      </w:r>
      <w:r>
        <w:rPr>
          <w:rFonts w:cs="Courier New"/>
        </w:rPr>
        <w:t xml:space="preserve"> </w:t>
      </w:r>
      <w:r w:rsidRPr="00F847C7">
        <w:rPr>
          <w:rFonts w:cs="Courier New"/>
        </w:rPr>
        <w:t xml:space="preserve">Indigenous peoples should be involved at the national level in the development of any sanctions and remedies.  He supported the inclusion of derivatives in </w:t>
      </w:r>
      <w:r>
        <w:rPr>
          <w:rFonts w:cs="Courier New"/>
        </w:rPr>
        <w:t xml:space="preserve">the </w:t>
      </w:r>
      <w:r w:rsidRPr="00F847C7">
        <w:rPr>
          <w:rFonts w:cs="Courier New"/>
        </w:rPr>
        <w:t xml:space="preserve">instrument.  There was a need for new terminology to address issues related to genetic and biological information that were wider than encompassed by the concept of derivatives.  New developments in genetics, such as </w:t>
      </w:r>
      <w:r w:rsidR="00D96A1B" w:rsidRPr="00F847C7">
        <w:rPr>
          <w:rFonts w:cs="Courier New"/>
        </w:rPr>
        <w:t>metagenomics</w:t>
      </w:r>
      <w:r w:rsidRPr="00F847C7">
        <w:rPr>
          <w:rFonts w:cs="Courier New"/>
        </w:rPr>
        <w:t>, microbi</w:t>
      </w:r>
      <w:r w:rsidR="00D96A1B">
        <w:rPr>
          <w:rFonts w:cs="Courier New"/>
        </w:rPr>
        <w:t>omics, metabolomics, and other “omics”</w:t>
      </w:r>
      <w:r w:rsidRPr="00F847C7">
        <w:rPr>
          <w:rFonts w:cs="Courier New"/>
        </w:rPr>
        <w:t xml:space="preserve"> as well as synthetic biology were expanding the causal chains connecting genetic source materials to final products in the patent system.  In an ever-growing number of cases, physical access to original genetic material </w:t>
      </w:r>
      <w:r w:rsidRPr="00F847C7">
        <w:rPr>
          <w:rFonts w:cs="Courier New"/>
        </w:rPr>
        <w:lastRenderedPageBreak/>
        <w:t xml:space="preserve">was not required to generate copies and make modifications that </w:t>
      </w:r>
      <w:proofErr w:type="gramStart"/>
      <w:r w:rsidRPr="00F847C7">
        <w:rPr>
          <w:rFonts w:cs="Courier New"/>
        </w:rPr>
        <w:t>were still causally related</w:t>
      </w:r>
      <w:proofErr w:type="gramEnd"/>
      <w:r w:rsidRPr="00F847C7">
        <w:rPr>
          <w:rFonts w:cs="Courier New"/>
        </w:rPr>
        <w:t xml:space="preserve"> to original source materials.  There was substantial TK related to those non-physical chains.  The “omics” and digital genetics revolutions would create challen</w:t>
      </w:r>
      <w:r w:rsidR="00D96A1B">
        <w:rPr>
          <w:rFonts w:cs="Courier New"/>
        </w:rPr>
        <w:t>ges and create a new generation</w:t>
      </w:r>
      <w:r w:rsidRPr="00F847C7">
        <w:rPr>
          <w:rFonts w:cs="Courier New"/>
        </w:rPr>
        <w:t xml:space="preserve"> of patent forensics to ensure that indigenous </w:t>
      </w:r>
      <w:r w:rsidR="00D96A1B">
        <w:rPr>
          <w:rFonts w:cs="Courier New"/>
        </w:rPr>
        <w:t>peoples’</w:t>
      </w:r>
      <w:r w:rsidRPr="00F847C7">
        <w:rPr>
          <w:rFonts w:cs="Courier New"/>
        </w:rPr>
        <w:t xml:space="preserve"> rights </w:t>
      </w:r>
      <w:proofErr w:type="gramStart"/>
      <w:r w:rsidRPr="00F847C7">
        <w:rPr>
          <w:rFonts w:cs="Courier New"/>
        </w:rPr>
        <w:t>were respected</w:t>
      </w:r>
      <w:proofErr w:type="gramEnd"/>
      <w:r w:rsidRPr="00F847C7">
        <w:rPr>
          <w:rFonts w:cs="Courier New"/>
        </w:rPr>
        <w:t xml:space="preserve"> in the innovation process.  Finally, he appreciated </w:t>
      </w:r>
      <w:r w:rsidR="00D96A1B">
        <w:rPr>
          <w:rFonts w:cs="Courier New"/>
        </w:rPr>
        <w:t xml:space="preserve">the Government of </w:t>
      </w:r>
      <w:r w:rsidRPr="00F847C7">
        <w:rPr>
          <w:rFonts w:cs="Courier New"/>
        </w:rPr>
        <w:t xml:space="preserve">Australia and other countries that had contributed to the Voluntary Fund.  However, </w:t>
      </w:r>
      <w:r>
        <w:rPr>
          <w:rFonts w:cs="Courier New"/>
        </w:rPr>
        <w:t>their</w:t>
      </w:r>
      <w:r w:rsidRPr="00F847C7">
        <w:rPr>
          <w:rFonts w:cs="Courier New"/>
        </w:rPr>
        <w:t xml:space="preserve"> full and effective participation was critical as negotiations were nearing the end.  He called on Member States to contribute to the Voluntary Fund to ensure participation of at least one indigenous expert from each of the seven regions recognized by the UN.  Failure to do so would jeopardize the legitimacy of any outcomes.</w:t>
      </w:r>
      <w:r w:rsidRPr="00F847C7">
        <w:rPr>
          <w:rFonts w:cs="Courier New" w:hint="eastAsia"/>
        </w:rPr>
        <w:t xml:space="preserve"> </w:t>
      </w:r>
      <w:r w:rsidRPr="00F847C7">
        <w:rPr>
          <w:rFonts w:cs="Courier New"/>
        </w:rPr>
        <w:t xml:space="preserve"> </w:t>
      </w:r>
      <w:bookmarkEnd w:id="6"/>
      <w:r w:rsidRPr="00F847C7">
        <w:rPr>
          <w:rFonts w:cs="Courier New"/>
        </w:rPr>
        <w:t xml:space="preserve">He looked forward to continued participation in the negotiations.  </w:t>
      </w:r>
    </w:p>
    <w:p w:rsidR="00CF37F5" w:rsidRPr="00CF37F5" w:rsidRDefault="00CF37F5" w:rsidP="00CF37F5">
      <w:pPr>
        <w:pStyle w:val="ListParagraph"/>
        <w:ind w:left="0"/>
        <w:rPr>
          <w:szCs w:val="22"/>
        </w:rPr>
      </w:pPr>
    </w:p>
    <w:p w:rsidR="00CF37F5" w:rsidRPr="00CF37F5" w:rsidRDefault="00CF37F5" w:rsidP="00CF37F5">
      <w:pPr>
        <w:pStyle w:val="ListParagraph"/>
        <w:numPr>
          <w:ilvl w:val="0"/>
          <w:numId w:val="4"/>
        </w:numPr>
        <w:ind w:left="0" w:firstLine="0"/>
        <w:rPr>
          <w:szCs w:val="22"/>
        </w:rPr>
      </w:pPr>
      <w:r w:rsidRPr="00CF37F5">
        <w:rPr>
          <w:rFonts w:cs="Courier New"/>
        </w:rPr>
        <w:t>The Delegation of Ecuador, speaking on behalf of GRULAC, thanked the Chair and the Vice</w:t>
      </w:r>
      <w:r w:rsidRPr="00CF37F5">
        <w:rPr>
          <w:rFonts w:cs="Monaco"/>
        </w:rPr>
        <w:t>-</w:t>
      </w:r>
      <w:r w:rsidR="00CD7471">
        <w:rPr>
          <w:rFonts w:cs="Courier New"/>
        </w:rPr>
        <w:t>Chairs.  It recognized their</w:t>
      </w:r>
      <w:r w:rsidRPr="00CF37F5">
        <w:rPr>
          <w:rFonts w:cs="Courier New"/>
        </w:rPr>
        <w:t xml:space="preserve"> energy and determination to ac</w:t>
      </w:r>
      <w:r w:rsidR="00CD7471">
        <w:rPr>
          <w:rFonts w:cs="Courier New"/>
        </w:rPr>
        <w:t>hieve success.  It thanked the facilitator, the</w:t>
      </w:r>
      <w:r w:rsidRPr="00CF37F5">
        <w:rPr>
          <w:rFonts w:cs="Courier New"/>
        </w:rPr>
        <w:t xml:space="preserve"> Friend of the Chair</w:t>
      </w:r>
      <w:r w:rsidR="00CD7471">
        <w:rPr>
          <w:rFonts w:cs="Courier New"/>
        </w:rPr>
        <w:t>,</w:t>
      </w:r>
      <w:r w:rsidRPr="00CF37F5">
        <w:rPr>
          <w:rFonts w:cs="Courier New"/>
        </w:rPr>
        <w:t xml:space="preserve"> and members in the contact groups for their devotion and dedication to the work.  It thanked the Secretariat for always being available and for their work. </w:t>
      </w:r>
      <w:r>
        <w:rPr>
          <w:rFonts w:cs="Courier New"/>
        </w:rPr>
        <w:t xml:space="preserve"> </w:t>
      </w:r>
      <w:r w:rsidRPr="00CF37F5">
        <w:rPr>
          <w:rFonts w:cs="Courier New"/>
        </w:rPr>
        <w:t xml:space="preserve">It had been a week of very hard work. </w:t>
      </w:r>
      <w:r>
        <w:rPr>
          <w:rFonts w:cs="Courier New"/>
        </w:rPr>
        <w:t xml:space="preserve"> </w:t>
      </w:r>
      <w:r w:rsidRPr="00CF37F5">
        <w:rPr>
          <w:rFonts w:cs="Courier New"/>
        </w:rPr>
        <w:t xml:space="preserve">It had examined issues of priority for GRULAC members.  The IGC’s approach should be aimed at narrowing gaps </w:t>
      </w:r>
      <w:proofErr w:type="gramStart"/>
      <w:r w:rsidRPr="00CF37F5">
        <w:rPr>
          <w:rFonts w:cs="Courier New"/>
        </w:rPr>
        <w:t>so as to</w:t>
      </w:r>
      <w:proofErr w:type="gramEnd"/>
      <w:r w:rsidRPr="00CF37F5">
        <w:rPr>
          <w:rFonts w:cs="Courier New"/>
        </w:rPr>
        <w:t xml:space="preserve"> reach </w:t>
      </w:r>
      <w:r w:rsidR="00CD7471">
        <w:rPr>
          <w:rFonts w:cs="Courier New"/>
        </w:rPr>
        <w:t xml:space="preserve">a </w:t>
      </w:r>
      <w:r w:rsidRPr="00CF37F5">
        <w:rPr>
          <w:rFonts w:cs="Courier New"/>
        </w:rPr>
        <w:t>common understanding and agreement</w:t>
      </w:r>
      <w:r>
        <w:rPr>
          <w:rFonts w:cs="Courier New"/>
        </w:rPr>
        <w:t xml:space="preserve"> for</w:t>
      </w:r>
      <w:r w:rsidRPr="00CF37F5">
        <w:rPr>
          <w:rFonts w:cs="Courier New"/>
        </w:rPr>
        <w:t xml:space="preserve"> the conclusion of an instrument on GRs. </w:t>
      </w:r>
      <w:r>
        <w:rPr>
          <w:rFonts w:cs="Courier New"/>
        </w:rPr>
        <w:t xml:space="preserve"> </w:t>
      </w:r>
      <w:r w:rsidRPr="00CF37F5">
        <w:rPr>
          <w:rFonts w:cs="Courier New"/>
        </w:rPr>
        <w:t>Promoting such a regime would promote innovation and provide a uniform legal framework for interested parties in respect of GRs</w:t>
      </w:r>
      <w:r w:rsidR="00CD7471">
        <w:rPr>
          <w:rFonts w:cs="Courier New"/>
        </w:rPr>
        <w:t xml:space="preserve">, while involving </w:t>
      </w:r>
      <w:proofErr w:type="gramStart"/>
      <w:r w:rsidR="00CD7471">
        <w:rPr>
          <w:rFonts w:cs="Courier New"/>
        </w:rPr>
        <w:t>benefit-</w:t>
      </w:r>
      <w:r w:rsidRPr="00CF37F5">
        <w:rPr>
          <w:rFonts w:cs="Courier New"/>
        </w:rPr>
        <w:t>sharing</w:t>
      </w:r>
      <w:proofErr w:type="gramEnd"/>
      <w:r w:rsidRPr="00CF37F5">
        <w:rPr>
          <w:rFonts w:cs="Courier New"/>
        </w:rPr>
        <w:t xml:space="preserve"> as well. </w:t>
      </w:r>
      <w:r>
        <w:rPr>
          <w:rFonts w:cs="Courier New"/>
        </w:rPr>
        <w:t xml:space="preserve"> </w:t>
      </w:r>
      <w:r w:rsidRPr="00CF37F5">
        <w:rPr>
          <w:rFonts w:cs="Courier New"/>
        </w:rPr>
        <w:t xml:space="preserve">There had been substantive debates.  It welcomed the willingness of delegations to work </w:t>
      </w:r>
      <w:r w:rsidR="00CD7471">
        <w:rPr>
          <w:rFonts w:cs="Courier New"/>
        </w:rPr>
        <w:t>open</w:t>
      </w:r>
      <w:r>
        <w:rPr>
          <w:rFonts w:cs="Courier New"/>
        </w:rPr>
        <w:t xml:space="preserve">ly and </w:t>
      </w:r>
      <w:r w:rsidRPr="00CF37F5">
        <w:rPr>
          <w:rFonts w:cs="Courier New"/>
        </w:rPr>
        <w:t>in a flexible way.</w:t>
      </w:r>
      <w:r>
        <w:rPr>
          <w:rFonts w:cs="Courier New"/>
        </w:rPr>
        <w:t xml:space="preserve"> </w:t>
      </w:r>
      <w:r w:rsidRPr="00CF37F5">
        <w:rPr>
          <w:rFonts w:cs="Courier New"/>
        </w:rPr>
        <w:t xml:space="preserve"> It welcomed the setting up of</w:t>
      </w:r>
      <w:r w:rsidR="00CD7471">
        <w:rPr>
          <w:rFonts w:cs="Courier New"/>
        </w:rPr>
        <w:t xml:space="preserve"> an</w:t>
      </w:r>
      <w:r w:rsidRPr="00CF37F5">
        <w:rPr>
          <w:rFonts w:cs="Courier New"/>
        </w:rPr>
        <w:t xml:space="preserve"> </w:t>
      </w:r>
      <w:r w:rsidRPr="00CF37F5">
        <w:rPr>
          <w:rFonts w:cs="Courier New"/>
          <w:i/>
        </w:rPr>
        <w:t>ad hoc</w:t>
      </w:r>
      <w:r w:rsidR="00CD7471">
        <w:rPr>
          <w:rFonts w:cs="Courier New"/>
        </w:rPr>
        <w:t xml:space="preserve"> expert group and trusted its </w:t>
      </w:r>
      <w:r w:rsidRPr="00CF37F5">
        <w:rPr>
          <w:rFonts w:cs="Courier New"/>
        </w:rPr>
        <w:t xml:space="preserve">work. </w:t>
      </w:r>
      <w:r>
        <w:rPr>
          <w:rFonts w:cs="Courier New"/>
        </w:rPr>
        <w:t xml:space="preserve"> </w:t>
      </w:r>
      <w:r w:rsidRPr="00CF37F5">
        <w:rPr>
          <w:rFonts w:cs="Courier New"/>
        </w:rPr>
        <w:t xml:space="preserve">It hoped to have a work methodology for IGC 36 that provided time for informals and contact groups on specific </w:t>
      </w:r>
      <w:r w:rsidR="00CD7471">
        <w:rPr>
          <w:rFonts w:cs="Courier New"/>
        </w:rPr>
        <w:t>issue</w:t>
      </w:r>
      <w:r w:rsidRPr="00CF37F5">
        <w:rPr>
          <w:rFonts w:cs="Courier New"/>
        </w:rPr>
        <w:t xml:space="preserve">s, without neglecting flexibility. </w:t>
      </w:r>
      <w:r>
        <w:rPr>
          <w:rFonts w:cs="Courier New"/>
        </w:rPr>
        <w:t xml:space="preserve"> </w:t>
      </w:r>
      <w:r w:rsidRPr="00CF37F5">
        <w:rPr>
          <w:rFonts w:cs="Courier New"/>
        </w:rPr>
        <w:t xml:space="preserve">Adjustments to the methodology </w:t>
      </w:r>
      <w:proofErr w:type="gramStart"/>
      <w:r w:rsidRPr="00CF37F5">
        <w:rPr>
          <w:rFonts w:cs="Courier New"/>
        </w:rPr>
        <w:t>should be made</w:t>
      </w:r>
      <w:proofErr w:type="gramEnd"/>
      <w:r w:rsidRPr="00CF37F5">
        <w:rPr>
          <w:rFonts w:cs="Courier New"/>
        </w:rPr>
        <w:t xml:space="preserve"> in a clear and timely way before the session.  It called on the pragmatism of all Member States to achieve minimum areas of consensus.  </w:t>
      </w:r>
    </w:p>
    <w:p w:rsidR="00CF37F5" w:rsidRPr="00CF37F5" w:rsidRDefault="00CF37F5" w:rsidP="00CF37F5">
      <w:pPr>
        <w:pStyle w:val="ListParagraph"/>
        <w:ind w:left="0"/>
        <w:rPr>
          <w:szCs w:val="22"/>
        </w:rPr>
      </w:pPr>
    </w:p>
    <w:p w:rsidR="00CF37F5" w:rsidRPr="00CF37F5" w:rsidRDefault="00CF37F5" w:rsidP="00CF37F5">
      <w:pPr>
        <w:pStyle w:val="ListParagraph"/>
        <w:numPr>
          <w:ilvl w:val="0"/>
          <w:numId w:val="4"/>
        </w:numPr>
        <w:ind w:left="0" w:firstLine="0"/>
        <w:rPr>
          <w:szCs w:val="22"/>
        </w:rPr>
      </w:pPr>
      <w:r w:rsidRPr="00CF37F5">
        <w:rPr>
          <w:rFonts w:cs="Courier New"/>
        </w:rPr>
        <w:t xml:space="preserve">The Delegation of </w:t>
      </w:r>
      <w:r>
        <w:rPr>
          <w:rFonts w:cs="Courier New"/>
        </w:rPr>
        <w:t xml:space="preserve">the </w:t>
      </w:r>
      <w:r w:rsidRPr="00CF37F5">
        <w:rPr>
          <w:rFonts w:cs="Courier New"/>
        </w:rPr>
        <w:t xml:space="preserve">Russian Federation addressed its thanks to the Chair, </w:t>
      </w:r>
      <w:r w:rsidR="006A61EA">
        <w:rPr>
          <w:rFonts w:cs="Courier New"/>
        </w:rPr>
        <w:t xml:space="preserve">the </w:t>
      </w:r>
      <w:r w:rsidR="008D5BE9">
        <w:rPr>
          <w:rFonts w:cs="Courier New"/>
        </w:rPr>
        <w:t>Vice</w:t>
      </w:r>
      <w:r w:rsidR="008D5BE9">
        <w:rPr>
          <w:rFonts w:cs="Courier New"/>
        </w:rPr>
        <w:noBreakHyphen/>
      </w:r>
      <w:r w:rsidRPr="00CF37F5">
        <w:rPr>
          <w:rFonts w:cs="Courier New"/>
        </w:rPr>
        <w:t>Chairs and the</w:t>
      </w:r>
      <w:r w:rsidR="006A61EA">
        <w:rPr>
          <w:rFonts w:cs="Courier New"/>
        </w:rPr>
        <w:t xml:space="preserve"> Secretariat.  It thanked the Traditional Knowledge</w:t>
      </w:r>
      <w:r w:rsidRPr="00CF37F5">
        <w:rPr>
          <w:rFonts w:cs="Courier New"/>
        </w:rPr>
        <w:t xml:space="preserve"> Division for regularly providing </w:t>
      </w:r>
      <w:proofErr w:type="gramStart"/>
      <w:r w:rsidRPr="00CF37F5">
        <w:rPr>
          <w:rFonts w:cs="Courier New"/>
        </w:rPr>
        <w:t>a lot of</w:t>
      </w:r>
      <w:proofErr w:type="gramEnd"/>
      <w:r w:rsidRPr="00CF37F5">
        <w:rPr>
          <w:rFonts w:cs="Courier New"/>
        </w:rPr>
        <w:t xml:space="preserve"> new material</w:t>
      </w:r>
      <w:r w:rsidR="006A61EA">
        <w:rPr>
          <w:rFonts w:cs="Courier New"/>
        </w:rPr>
        <w:t>s</w:t>
      </w:r>
      <w:r w:rsidRPr="00CF37F5">
        <w:rPr>
          <w:rFonts w:cs="Courier New"/>
        </w:rPr>
        <w:t xml:space="preserve"> in many languages.  That enabled it to update its work on the spot and to inform all interested </w:t>
      </w:r>
      <w:r w:rsidR="006A61EA">
        <w:rPr>
          <w:rFonts w:cs="Courier New"/>
        </w:rPr>
        <w:t>parties</w:t>
      </w:r>
      <w:r w:rsidRPr="00CF37F5">
        <w:rPr>
          <w:rFonts w:cs="Courier New"/>
        </w:rPr>
        <w:t xml:space="preserve"> who should be informed, including the small nations in the country.  </w:t>
      </w:r>
    </w:p>
    <w:p w:rsidR="00CF37F5" w:rsidRPr="00CF37F5" w:rsidRDefault="00CF37F5" w:rsidP="00CF37F5">
      <w:pPr>
        <w:rPr>
          <w:rFonts w:cs="Courier New"/>
        </w:rPr>
      </w:pPr>
    </w:p>
    <w:p w:rsidR="00CE5AF1" w:rsidRPr="00CE5AF1" w:rsidRDefault="00CF37F5" w:rsidP="00CE5AF1">
      <w:pPr>
        <w:pStyle w:val="ListParagraph"/>
        <w:numPr>
          <w:ilvl w:val="0"/>
          <w:numId w:val="4"/>
        </w:numPr>
        <w:ind w:left="0" w:firstLine="0"/>
        <w:rPr>
          <w:szCs w:val="22"/>
        </w:rPr>
      </w:pPr>
      <w:r w:rsidRPr="00CF37F5">
        <w:rPr>
          <w:rFonts w:cs="Courier New"/>
        </w:rPr>
        <w:t>The Delegation of Indonesia,</w:t>
      </w:r>
      <w:r w:rsidR="005438B7">
        <w:rPr>
          <w:rFonts w:cs="Courier New"/>
        </w:rPr>
        <w:t xml:space="preserve"> speaking on behalf of the Asia</w:t>
      </w:r>
      <w:r w:rsidR="005438B7">
        <w:rPr>
          <w:rFonts w:cs="Courier New"/>
        </w:rPr>
        <w:noBreakHyphen/>
      </w:r>
      <w:r w:rsidRPr="00CF37F5">
        <w:rPr>
          <w:rFonts w:cs="Courier New"/>
        </w:rPr>
        <w:t>Pacific Group, extended its appreciation to the Secretariat for all the hard work and for ensuring a successful meeting.  It was a complex discussion with a divergence of views, and the IGC had obtained important results under Agenda Items 7 and</w:t>
      </w:r>
      <w:r w:rsidR="00787901">
        <w:rPr>
          <w:rFonts w:cs="Courier New"/>
        </w:rPr>
        <w:t xml:space="preserve"> 8.  It thanked the Chair, the facilitator, the Friend of the Chair</w:t>
      </w:r>
      <w:r w:rsidRPr="00CF37F5">
        <w:rPr>
          <w:rFonts w:cs="Courier New"/>
        </w:rPr>
        <w:t xml:space="preserve">, all regional groups, including the </w:t>
      </w:r>
      <w:r w:rsidR="00787901">
        <w:rPr>
          <w:rFonts w:cs="Courier New"/>
        </w:rPr>
        <w:t xml:space="preserve">regional </w:t>
      </w:r>
      <w:r w:rsidRPr="00CF37F5">
        <w:rPr>
          <w:rFonts w:cs="Courier New"/>
        </w:rPr>
        <w:t xml:space="preserve">coordinators, and all representatives of Member States.  Despite the divergence of views, it had been possible to maintain a friendly, open, frank, and meaningful discussion with results. </w:t>
      </w:r>
      <w:r>
        <w:rPr>
          <w:rFonts w:cs="Courier New"/>
        </w:rPr>
        <w:t xml:space="preserve"> </w:t>
      </w:r>
      <w:r w:rsidRPr="00CF37F5">
        <w:rPr>
          <w:rFonts w:cs="Courier New"/>
        </w:rPr>
        <w:t xml:space="preserve">It would remain </w:t>
      </w:r>
      <w:proofErr w:type="gramStart"/>
      <w:r w:rsidRPr="00CF37F5">
        <w:rPr>
          <w:rFonts w:cs="Courier New"/>
        </w:rPr>
        <w:t>constructive and committed</w:t>
      </w:r>
      <w:proofErr w:type="gramEnd"/>
      <w:r w:rsidRPr="00CF37F5">
        <w:rPr>
          <w:rFonts w:cs="Courier New"/>
        </w:rPr>
        <w:t xml:space="preserve"> and looked forward to future meetings of the IGC. </w:t>
      </w:r>
      <w:r>
        <w:rPr>
          <w:rFonts w:cs="Courier New"/>
        </w:rPr>
        <w:t xml:space="preserve"> </w:t>
      </w:r>
      <w:r w:rsidRPr="00CF37F5">
        <w:rPr>
          <w:rFonts w:cs="Courier New"/>
        </w:rPr>
        <w:t>I</w:t>
      </w:r>
      <w:r w:rsidR="00787901">
        <w:rPr>
          <w:rFonts w:cs="Courier New"/>
        </w:rPr>
        <w:t>t</w:t>
      </w:r>
      <w:r w:rsidRPr="00CF37F5">
        <w:rPr>
          <w:rFonts w:cs="Courier New"/>
        </w:rPr>
        <w:t xml:space="preserve"> thanked the conference s</w:t>
      </w:r>
      <w:r w:rsidR="00787901">
        <w:rPr>
          <w:rFonts w:cs="Courier New"/>
        </w:rPr>
        <w:t>ervices and the interpreters, w</w:t>
      </w:r>
      <w:r w:rsidRPr="00CF37F5">
        <w:rPr>
          <w:rFonts w:cs="Courier New"/>
        </w:rPr>
        <w:t xml:space="preserve">ithout </w:t>
      </w:r>
      <w:r w:rsidR="00787901">
        <w:rPr>
          <w:rFonts w:cs="Courier New"/>
        </w:rPr>
        <w:t>whom</w:t>
      </w:r>
      <w:r w:rsidRPr="00CF37F5">
        <w:rPr>
          <w:rFonts w:cs="Courier New"/>
        </w:rPr>
        <w:t xml:space="preserve"> it would be hard to have a smooth and successful meeting throughout the week.   </w:t>
      </w:r>
    </w:p>
    <w:p w:rsidR="00CE5AF1" w:rsidRPr="00CE5AF1" w:rsidRDefault="00CE5AF1" w:rsidP="00CE5AF1">
      <w:pPr>
        <w:rPr>
          <w:rFonts w:cs="Courier New"/>
        </w:rPr>
      </w:pPr>
    </w:p>
    <w:p w:rsidR="00CE5AF1" w:rsidRPr="00CE5AF1" w:rsidRDefault="00CE5AF1" w:rsidP="00CE5AF1">
      <w:pPr>
        <w:pStyle w:val="ListParagraph"/>
        <w:numPr>
          <w:ilvl w:val="0"/>
          <w:numId w:val="4"/>
        </w:numPr>
        <w:ind w:left="0" w:firstLine="0"/>
        <w:rPr>
          <w:szCs w:val="22"/>
        </w:rPr>
      </w:pPr>
      <w:r w:rsidRPr="00874FFE">
        <w:rPr>
          <w:rFonts w:cs="Courier New"/>
        </w:rPr>
        <w:t>The Delegation of Morocco, speaking on behalf of the African Group, expressed its trust in the Chair’s leadership and his efforts</w:t>
      </w:r>
      <w:r w:rsidR="00874FFE" w:rsidRPr="00874FFE">
        <w:rPr>
          <w:rFonts w:cs="Courier New"/>
        </w:rPr>
        <w:t>,</w:t>
      </w:r>
      <w:r w:rsidRPr="00874FFE">
        <w:rPr>
          <w:rFonts w:cs="Courier New"/>
        </w:rPr>
        <w:t xml:space="preserve"> and thanked him for his professionalism, which had allowed the IGC to move forward and adopt a changing methodology.  It als</w:t>
      </w:r>
      <w:r w:rsidR="008D5BE9">
        <w:rPr>
          <w:rFonts w:cs="Courier New"/>
        </w:rPr>
        <w:t>o thanked the Vice</w:t>
      </w:r>
      <w:r w:rsidR="008D5BE9">
        <w:rPr>
          <w:rFonts w:cs="Courier New"/>
        </w:rPr>
        <w:noBreakHyphen/>
      </w:r>
      <w:r w:rsidR="00874FFE" w:rsidRPr="00874FFE">
        <w:rPr>
          <w:rFonts w:cs="Courier New"/>
        </w:rPr>
        <w:t>Chairs, the facilitator, the Friend of the Chair</w:t>
      </w:r>
      <w:r w:rsidRPr="00874FFE">
        <w:rPr>
          <w:rFonts w:cs="Courier New"/>
        </w:rPr>
        <w:t xml:space="preserve">, and the contact groups for the wonderful work accomplished.  It thanked the Secretariat for its efforts in facilitating the work.  It reiterated its attachment to the process of discussion within the IGC with a view to achieving a legally binding instrument that would strengthen the transparency of the system </w:t>
      </w:r>
      <w:r w:rsidR="00874FFE" w:rsidRPr="00874FFE">
        <w:rPr>
          <w:rFonts w:cs="Courier New"/>
        </w:rPr>
        <w:t>to</w:t>
      </w:r>
      <w:r w:rsidRPr="00874FFE">
        <w:rPr>
          <w:rFonts w:cs="Courier New"/>
        </w:rPr>
        <w:t xml:space="preserve"> protect GRs.  It also reiterated its attachment to the principles and terms of the new mandate, which meant that during IGC 35 and 36, the IGC would be discussing pending issues</w:t>
      </w:r>
      <w:r w:rsidRPr="00CE5AF1">
        <w:rPr>
          <w:rFonts w:cs="Courier New"/>
        </w:rPr>
        <w:t xml:space="preserve"> on GRs and finding an approach for agreeing on a binding instrument.  It welcomed the creation of an </w:t>
      </w:r>
      <w:r w:rsidRPr="00CE5AF1">
        <w:rPr>
          <w:rFonts w:cs="Courier New"/>
          <w:i/>
        </w:rPr>
        <w:t>ad hoc</w:t>
      </w:r>
      <w:r w:rsidRPr="00CE5AF1">
        <w:rPr>
          <w:rFonts w:cs="Courier New"/>
        </w:rPr>
        <w:t xml:space="preserve"> expert group, which would help overcome differences in a spirit of continuity while </w:t>
      </w:r>
      <w:r>
        <w:rPr>
          <w:rFonts w:cs="Courier New"/>
        </w:rPr>
        <w:t>maintaining the progress made</w:t>
      </w:r>
      <w:r w:rsidR="00874FFE">
        <w:rPr>
          <w:rFonts w:cs="Courier New"/>
        </w:rPr>
        <w:t>.  The African Group</w:t>
      </w:r>
      <w:r w:rsidRPr="00CE5AF1">
        <w:rPr>
          <w:rFonts w:cs="Courier New"/>
        </w:rPr>
        <w:t xml:space="preserve"> had contributed actively and would do so in </w:t>
      </w:r>
      <w:r w:rsidR="00874FFE">
        <w:rPr>
          <w:rFonts w:cs="Courier New"/>
        </w:rPr>
        <w:t xml:space="preserve">the </w:t>
      </w:r>
      <w:r w:rsidRPr="00CE5AF1">
        <w:rPr>
          <w:rFonts w:cs="Courier New"/>
        </w:rPr>
        <w:t xml:space="preserve">future with a </w:t>
      </w:r>
      <w:r w:rsidRPr="00CE5AF1">
        <w:rPr>
          <w:rFonts w:cs="Courier New"/>
        </w:rPr>
        <w:lastRenderedPageBreak/>
        <w:t xml:space="preserve">cooperative spirit, capitalizing on what </w:t>
      </w:r>
      <w:proofErr w:type="gramStart"/>
      <w:r w:rsidRPr="00CE5AF1">
        <w:rPr>
          <w:rFonts w:cs="Courier New"/>
        </w:rPr>
        <w:t>had already been done</w:t>
      </w:r>
      <w:proofErr w:type="gramEnd"/>
      <w:r w:rsidRPr="00CE5AF1">
        <w:rPr>
          <w:rFonts w:cs="Courier New"/>
        </w:rPr>
        <w:t xml:space="preserve">.  It invited all members to show flexibility in order to provide the necessary protection to GRs.  It thanked the interpreters for their efforts </w:t>
      </w:r>
      <w:r w:rsidR="00874FFE">
        <w:rPr>
          <w:rFonts w:cs="Courier New"/>
        </w:rPr>
        <w:t>in order to facilitate the work</w:t>
      </w:r>
      <w:r w:rsidRPr="00CE5AF1">
        <w:rPr>
          <w:rFonts w:cs="Courier New"/>
        </w:rPr>
        <w:t xml:space="preserve">.    </w:t>
      </w:r>
    </w:p>
    <w:p w:rsidR="00DD24CE" w:rsidRPr="00DD24CE" w:rsidRDefault="00DD24CE" w:rsidP="00DD24CE">
      <w:pPr>
        <w:rPr>
          <w:rFonts w:cs="Courier New"/>
        </w:rPr>
      </w:pPr>
    </w:p>
    <w:p w:rsidR="00DD24CE" w:rsidRPr="00DD24CE" w:rsidRDefault="00DD24CE" w:rsidP="00DD24CE">
      <w:pPr>
        <w:pStyle w:val="ListParagraph"/>
        <w:numPr>
          <w:ilvl w:val="0"/>
          <w:numId w:val="4"/>
        </w:numPr>
        <w:ind w:left="0" w:firstLine="0"/>
        <w:rPr>
          <w:szCs w:val="22"/>
        </w:rPr>
      </w:pPr>
      <w:r w:rsidRPr="00DD24CE">
        <w:rPr>
          <w:rFonts w:cs="Courier New"/>
        </w:rPr>
        <w:t>The Delegation of Lithuania</w:t>
      </w:r>
      <w:r w:rsidR="00F54E5C">
        <w:rPr>
          <w:rFonts w:cs="Courier New"/>
        </w:rPr>
        <w:t>, speaking on behalf of CEBS,</w:t>
      </w:r>
      <w:r w:rsidRPr="00DD24CE">
        <w:rPr>
          <w:rFonts w:cs="Courier New"/>
        </w:rPr>
        <w:t xml:space="preserve"> thanked the Chair, </w:t>
      </w:r>
      <w:r w:rsidR="008D5BE9">
        <w:rPr>
          <w:rFonts w:cs="Courier New"/>
        </w:rPr>
        <w:t>the Vice</w:t>
      </w:r>
      <w:r w:rsidR="008D5BE9">
        <w:rPr>
          <w:rFonts w:cs="Courier New"/>
        </w:rPr>
        <w:noBreakHyphen/>
      </w:r>
      <w:r w:rsidR="00661966">
        <w:rPr>
          <w:rFonts w:cs="Courier New"/>
        </w:rPr>
        <w:t>Chairs, the f</w:t>
      </w:r>
      <w:r w:rsidRPr="00DD24CE">
        <w:rPr>
          <w:rFonts w:cs="Courier New"/>
        </w:rPr>
        <w:t xml:space="preserve">acilitator, </w:t>
      </w:r>
      <w:r w:rsidR="00661966">
        <w:rPr>
          <w:rFonts w:cs="Courier New"/>
        </w:rPr>
        <w:t>the Friend of the Chair</w:t>
      </w:r>
      <w:r w:rsidRPr="00DD24CE">
        <w:rPr>
          <w:rFonts w:cs="Courier New"/>
        </w:rPr>
        <w:t xml:space="preserve"> and the Secretariat for their hard work </w:t>
      </w:r>
      <w:r w:rsidR="00661966">
        <w:rPr>
          <w:rFonts w:cs="Courier New"/>
        </w:rPr>
        <w:t>and</w:t>
      </w:r>
      <w:r w:rsidRPr="00DD24CE">
        <w:rPr>
          <w:rFonts w:cs="Courier New"/>
        </w:rPr>
        <w:t xml:space="preserve"> efforts to move the discussion forward.  It appreciated the intensive work of the IGC and thanked the representatives of indigenous people and other stakeholders for their valuable contribution to the discussion. </w:t>
      </w:r>
      <w:r>
        <w:rPr>
          <w:rFonts w:cs="Courier New"/>
        </w:rPr>
        <w:t xml:space="preserve"> </w:t>
      </w:r>
      <w:r w:rsidRPr="00DD24CE">
        <w:rPr>
          <w:rFonts w:cs="Courier New"/>
        </w:rPr>
        <w:t>It seemed that gaps in its understanding on key issues of the potential inst</w:t>
      </w:r>
      <w:r w:rsidR="00B30E5C">
        <w:rPr>
          <w:rFonts w:cs="Courier New"/>
        </w:rPr>
        <w:t>rument on GRs remained, but the</w:t>
      </w:r>
      <w:r w:rsidRPr="00DD24CE">
        <w:rPr>
          <w:rFonts w:cs="Courier New"/>
        </w:rPr>
        <w:t xml:space="preserve"> discussion ha</w:t>
      </w:r>
      <w:r w:rsidR="00B30E5C">
        <w:rPr>
          <w:rFonts w:cs="Courier New"/>
        </w:rPr>
        <w:t>d laid good grounds for IGC 36.  T</w:t>
      </w:r>
      <w:r w:rsidRPr="00DD24CE">
        <w:rPr>
          <w:rFonts w:cs="Courier New"/>
        </w:rPr>
        <w:t xml:space="preserve">he IGC would be able to progress towards a positive and realistic outcome. </w:t>
      </w:r>
      <w:r>
        <w:rPr>
          <w:rFonts w:cs="Courier New"/>
        </w:rPr>
        <w:t xml:space="preserve"> </w:t>
      </w:r>
      <w:r w:rsidRPr="00DD24CE">
        <w:rPr>
          <w:rFonts w:cs="Courier New"/>
        </w:rPr>
        <w:t xml:space="preserve">It commended the Chair’s able guidance of the IGC.    </w:t>
      </w:r>
    </w:p>
    <w:p w:rsidR="00DD24CE" w:rsidRPr="00DD24CE" w:rsidRDefault="00DD24CE" w:rsidP="00DD24CE">
      <w:pPr>
        <w:rPr>
          <w:rFonts w:cs="Courier New"/>
        </w:rPr>
      </w:pPr>
    </w:p>
    <w:p w:rsidR="00DD24CE" w:rsidRPr="00DD24CE" w:rsidRDefault="00DD24CE" w:rsidP="00DD24CE">
      <w:pPr>
        <w:pStyle w:val="ListParagraph"/>
        <w:numPr>
          <w:ilvl w:val="0"/>
          <w:numId w:val="4"/>
        </w:numPr>
        <w:ind w:left="0" w:firstLine="0"/>
        <w:rPr>
          <w:szCs w:val="22"/>
        </w:rPr>
      </w:pPr>
      <w:r w:rsidRPr="00DD24CE">
        <w:rPr>
          <w:rFonts w:cs="Courier New"/>
        </w:rPr>
        <w:t xml:space="preserve">The Delegation of Switzerland, speaking on behalf of Group B, thanked the Chair, </w:t>
      </w:r>
      <w:r w:rsidR="00B30E5C">
        <w:rPr>
          <w:rFonts w:cs="Courier New"/>
        </w:rPr>
        <w:t xml:space="preserve">the </w:t>
      </w:r>
      <w:r w:rsidRPr="00DD24CE">
        <w:rPr>
          <w:rFonts w:cs="Courier New"/>
        </w:rPr>
        <w:t xml:space="preserve">Vice-Chairs, </w:t>
      </w:r>
      <w:r w:rsidR="00B30E5C">
        <w:rPr>
          <w:rFonts w:cs="Courier New"/>
        </w:rPr>
        <w:t>the facilitator, the</w:t>
      </w:r>
      <w:r w:rsidRPr="00DD24CE">
        <w:rPr>
          <w:rFonts w:cs="Courier New"/>
        </w:rPr>
        <w:t xml:space="preserve"> Friend of the Chair and the Secretariat for their hard work during the week and for their efforts to facilitate the discussions.  It also thanked the interpreters.  It appreciated the discussions that had taken place during the week and the work done by the IGC on GRs.  More work needed to </w:t>
      </w:r>
      <w:proofErr w:type="gramStart"/>
      <w:r w:rsidRPr="00DD24CE">
        <w:rPr>
          <w:rFonts w:cs="Courier New"/>
        </w:rPr>
        <w:t>be done</w:t>
      </w:r>
      <w:proofErr w:type="gramEnd"/>
      <w:r w:rsidRPr="00DD24CE">
        <w:rPr>
          <w:rFonts w:cs="Courier New"/>
        </w:rPr>
        <w:t xml:space="preserve"> to narrow gaps to reach a common understanding on key issues. </w:t>
      </w:r>
      <w:r>
        <w:rPr>
          <w:rFonts w:cs="Courier New"/>
        </w:rPr>
        <w:t xml:space="preserve"> </w:t>
      </w:r>
      <w:r w:rsidRPr="00DD24CE">
        <w:rPr>
          <w:rFonts w:cs="Courier New"/>
        </w:rPr>
        <w:t xml:space="preserve">It was hopeful that IGC 36 would move forward in the right direction.  It remained committed to contributing constructively towards achieving a mutually acceptable result.  </w:t>
      </w:r>
    </w:p>
    <w:p w:rsidR="00DD24CE" w:rsidRPr="00DD24CE" w:rsidRDefault="00DD24CE" w:rsidP="00DD24CE">
      <w:pPr>
        <w:rPr>
          <w:rFonts w:cs="Courier New"/>
        </w:rPr>
      </w:pPr>
    </w:p>
    <w:p w:rsidR="00DD24CE" w:rsidRPr="00DD24CE" w:rsidRDefault="00DD24CE" w:rsidP="00A449C1">
      <w:pPr>
        <w:pStyle w:val="ListParagraph"/>
        <w:numPr>
          <w:ilvl w:val="0"/>
          <w:numId w:val="4"/>
        </w:numPr>
        <w:ind w:left="0" w:firstLine="0"/>
        <w:rPr>
          <w:szCs w:val="22"/>
        </w:rPr>
      </w:pPr>
      <w:r w:rsidRPr="00DD24CE">
        <w:rPr>
          <w:rFonts w:cs="Courier New"/>
        </w:rPr>
        <w:t xml:space="preserve">The Delegation of China thanked the Chair, </w:t>
      </w:r>
      <w:r w:rsidR="00B30E5C">
        <w:rPr>
          <w:rFonts w:cs="Courier New"/>
        </w:rPr>
        <w:t xml:space="preserve">the </w:t>
      </w:r>
      <w:r w:rsidRPr="00DD24CE">
        <w:rPr>
          <w:rFonts w:cs="Courier New"/>
        </w:rPr>
        <w:t xml:space="preserve">Vice-Chairs, </w:t>
      </w:r>
      <w:r w:rsidR="00B30E5C">
        <w:rPr>
          <w:rFonts w:cs="Courier New"/>
        </w:rPr>
        <w:t>the f</w:t>
      </w:r>
      <w:r w:rsidRPr="00DD24CE">
        <w:rPr>
          <w:rFonts w:cs="Courier New"/>
        </w:rPr>
        <w:t xml:space="preserve">acilitator, </w:t>
      </w:r>
      <w:r w:rsidR="00B30E5C">
        <w:rPr>
          <w:rFonts w:cs="Courier New"/>
        </w:rPr>
        <w:t xml:space="preserve">the </w:t>
      </w:r>
      <w:r w:rsidRPr="00DD24CE">
        <w:rPr>
          <w:rFonts w:cs="Courier New"/>
        </w:rPr>
        <w:t xml:space="preserve">Friend of Chair and the Secretariat and all </w:t>
      </w:r>
      <w:r w:rsidR="00B30E5C">
        <w:rPr>
          <w:rFonts w:cs="Courier New"/>
        </w:rPr>
        <w:t>the participants</w:t>
      </w:r>
      <w:r w:rsidRPr="00DD24CE">
        <w:rPr>
          <w:rFonts w:cs="Courier New"/>
        </w:rPr>
        <w:t xml:space="preserve"> who had contributed to the work.  Without their effort, the meeting could not have been successful.  It had always supported the work of the IGC.  It hoped to have a legally binding international instrument to protect GRs, TK and TCEs.  </w:t>
      </w:r>
    </w:p>
    <w:p w:rsidR="00661966" w:rsidRPr="00CE5AF1" w:rsidRDefault="00661966" w:rsidP="00661966">
      <w:pPr>
        <w:pStyle w:val="ListParagraph"/>
        <w:ind w:left="0"/>
        <w:rPr>
          <w:szCs w:val="22"/>
        </w:rPr>
      </w:pPr>
    </w:p>
    <w:p w:rsidR="00661966" w:rsidRPr="00DD24CE" w:rsidRDefault="00661966" w:rsidP="00661966">
      <w:pPr>
        <w:pStyle w:val="ListParagraph"/>
        <w:numPr>
          <w:ilvl w:val="0"/>
          <w:numId w:val="4"/>
        </w:numPr>
        <w:ind w:left="0" w:firstLine="0"/>
        <w:rPr>
          <w:szCs w:val="22"/>
        </w:rPr>
      </w:pPr>
      <w:r w:rsidRPr="00CE5AF1">
        <w:rPr>
          <w:rFonts w:cs="Courier New"/>
        </w:rPr>
        <w:t>The Delegation of Brazil thanked the Chair for his efforts in conducting the meeting as well as the work put in place by the Vice-Chairs,</w:t>
      </w:r>
      <w:r>
        <w:rPr>
          <w:rFonts w:cs="Courier New"/>
        </w:rPr>
        <w:t xml:space="preserve"> the facilitator, the Friend of the Chair,</w:t>
      </w:r>
      <w:r w:rsidRPr="00CE5AF1">
        <w:rPr>
          <w:rFonts w:cs="Courier New"/>
        </w:rPr>
        <w:t xml:space="preserve"> the delegates, the Indigenous Caucus and observers.  As Brazil was a megadiverse country, the issue of GRs was of great importance.  It noted the thorough discussions during the week as well as the </w:t>
      </w:r>
      <w:r w:rsidRPr="00CE5AF1">
        <w:rPr>
          <w:rFonts w:cs="Courier New"/>
          <w:i/>
        </w:rPr>
        <w:t>ad hoc</w:t>
      </w:r>
      <w:r w:rsidRPr="00CE5AF1">
        <w:rPr>
          <w:rFonts w:cs="Courier New"/>
        </w:rPr>
        <w:t xml:space="preserve"> expert group.  It looked forward to engaging in discussions at IGC 36.    </w:t>
      </w:r>
    </w:p>
    <w:p w:rsidR="009B459C" w:rsidRPr="00A449C1" w:rsidRDefault="009B459C" w:rsidP="00A449C1">
      <w:pPr>
        <w:pStyle w:val="ListParagraph"/>
        <w:ind w:left="0"/>
        <w:rPr>
          <w:szCs w:val="22"/>
        </w:rPr>
      </w:pPr>
    </w:p>
    <w:p w:rsidR="009B459C" w:rsidRPr="00A449C1" w:rsidRDefault="009B459C" w:rsidP="00310121">
      <w:pPr>
        <w:pStyle w:val="ListParagraph"/>
        <w:numPr>
          <w:ilvl w:val="0"/>
          <w:numId w:val="4"/>
        </w:numPr>
        <w:ind w:left="0" w:firstLine="0"/>
        <w:rPr>
          <w:szCs w:val="22"/>
        </w:rPr>
      </w:pPr>
      <w:r w:rsidRPr="00A449C1">
        <w:rPr>
          <w:szCs w:val="22"/>
        </w:rPr>
        <w:t>The Chair closed the session</w:t>
      </w:r>
      <w:r w:rsidR="00AE1D54">
        <w:rPr>
          <w:szCs w:val="22"/>
        </w:rPr>
        <w:t xml:space="preserve">.  </w:t>
      </w:r>
    </w:p>
    <w:p w:rsidR="009B459C" w:rsidRPr="009B459C" w:rsidRDefault="009B459C" w:rsidP="009F53CA">
      <w:pPr>
        <w:pStyle w:val="ListParagraph"/>
        <w:ind w:left="0"/>
      </w:pPr>
    </w:p>
    <w:p w:rsidR="009B459C" w:rsidRPr="009F53CA" w:rsidRDefault="00581F26" w:rsidP="009F53CA">
      <w:pPr>
        <w:pStyle w:val="ListParagraph"/>
        <w:ind w:left="5533"/>
        <w:rPr>
          <w:i/>
        </w:rPr>
      </w:pPr>
      <w:r>
        <w:rPr>
          <w:i/>
        </w:rPr>
        <w:t>Decision on Agenda Item 10</w:t>
      </w:r>
      <w:r w:rsidR="009B459C" w:rsidRPr="009F53CA">
        <w:rPr>
          <w:i/>
        </w:rPr>
        <w:t>:</w:t>
      </w:r>
    </w:p>
    <w:p w:rsidR="009B459C" w:rsidRPr="009F53CA" w:rsidRDefault="009B459C" w:rsidP="009F53CA">
      <w:pPr>
        <w:pStyle w:val="ListParagraph"/>
        <w:ind w:left="5533"/>
        <w:rPr>
          <w:i/>
        </w:rPr>
      </w:pPr>
    </w:p>
    <w:p w:rsidR="009B459C" w:rsidRPr="00A449C1" w:rsidRDefault="00DA582C" w:rsidP="00310121">
      <w:pPr>
        <w:pStyle w:val="ListParagraph"/>
        <w:numPr>
          <w:ilvl w:val="0"/>
          <w:numId w:val="4"/>
        </w:numPr>
        <w:ind w:left="5533" w:firstLine="0"/>
        <w:rPr>
          <w:i/>
          <w:szCs w:val="22"/>
        </w:rPr>
      </w:pPr>
      <w:r w:rsidRPr="00DA582C">
        <w:rPr>
          <w:i/>
          <w:szCs w:val="22"/>
        </w:rPr>
        <w:t xml:space="preserve">The Committee adopted its decisions on agenda items 2, 3, 4, 5, 6, 7 and 8 on March 23, 2018.  It agreed that a draft written report, containing the agreed text of these decisions and all interventions made to the Committee, would be prepared and circulated by May 18, 2018.  Committee participants </w:t>
      </w:r>
      <w:proofErr w:type="gramStart"/>
      <w:r w:rsidRPr="00DA582C">
        <w:rPr>
          <w:i/>
          <w:szCs w:val="22"/>
        </w:rPr>
        <w:t>would be invited</w:t>
      </w:r>
      <w:proofErr w:type="gramEnd"/>
      <w:r w:rsidRPr="00DA582C">
        <w:rPr>
          <w:i/>
          <w:szCs w:val="22"/>
        </w:rPr>
        <w:t xml:space="preserve"> to submit written corrections to their interventions as included in the draft report before a final version of the draft report would then be circulated to Committee participants for adoption at the next session of the Committee.</w:t>
      </w:r>
    </w:p>
    <w:p w:rsidR="002928D3" w:rsidRPr="009F53CA" w:rsidRDefault="002928D3" w:rsidP="009F53CA">
      <w:pPr>
        <w:pStyle w:val="ListParagraph"/>
        <w:ind w:left="5533"/>
      </w:pPr>
    </w:p>
    <w:p w:rsidR="009F53CA" w:rsidRPr="009F53CA" w:rsidRDefault="009F53CA" w:rsidP="009F53CA">
      <w:pPr>
        <w:pStyle w:val="ListParagraph"/>
        <w:ind w:left="5533"/>
      </w:pPr>
    </w:p>
    <w:p w:rsidR="009F53CA" w:rsidRPr="00FA31D7" w:rsidRDefault="00FA31D7" w:rsidP="009F53CA">
      <w:pPr>
        <w:pStyle w:val="ListParagraph"/>
        <w:ind w:left="5533"/>
        <w:rPr>
          <w:lang w:val="fr-FR"/>
        </w:rPr>
      </w:pPr>
      <w:r w:rsidRPr="007F5C67">
        <w:rPr>
          <w:lang w:val="fr-FR"/>
        </w:rPr>
        <w:t>[</w:t>
      </w:r>
      <w:proofErr w:type="spellStart"/>
      <w:r w:rsidRPr="007F5C67">
        <w:rPr>
          <w:lang w:val="fr-FR"/>
        </w:rPr>
        <w:t>Annex</w:t>
      </w:r>
      <w:proofErr w:type="spellEnd"/>
      <w:r w:rsidR="009F53CA" w:rsidRPr="007F5C67">
        <w:rPr>
          <w:lang w:val="fr-FR"/>
        </w:rPr>
        <w:t xml:space="preserve"> </w:t>
      </w:r>
      <w:proofErr w:type="spellStart"/>
      <w:r w:rsidR="009F53CA" w:rsidRPr="000912F5">
        <w:rPr>
          <w:lang w:val="fr-FR"/>
        </w:rPr>
        <w:t>follow</w:t>
      </w:r>
      <w:r w:rsidR="003C4338">
        <w:rPr>
          <w:lang w:val="fr-FR"/>
        </w:rPr>
        <w:t>s</w:t>
      </w:r>
      <w:proofErr w:type="spellEnd"/>
      <w:r w:rsidR="009F53CA" w:rsidRPr="007F5C67">
        <w:rPr>
          <w:lang w:val="fr-FR"/>
        </w:rPr>
        <w:t>]</w:t>
      </w:r>
    </w:p>
    <w:p w:rsidR="00E72A28" w:rsidRDefault="00E72A28" w:rsidP="009F53CA">
      <w:pPr>
        <w:pStyle w:val="ListParagraph"/>
        <w:ind w:left="5533"/>
        <w:rPr>
          <w:lang w:val="fr-FR"/>
        </w:rPr>
      </w:pPr>
    </w:p>
    <w:p w:rsidR="00E72A28" w:rsidRPr="00FA31D7" w:rsidRDefault="00E72A28" w:rsidP="009F53CA">
      <w:pPr>
        <w:pStyle w:val="ListParagraph"/>
        <w:ind w:left="5533"/>
        <w:rPr>
          <w:lang w:val="fr-FR"/>
        </w:rPr>
        <w:sectPr w:rsidR="00E72A28" w:rsidRPr="00FA31D7">
          <w:headerReference w:type="default" r:id="rId13"/>
          <w:pgSz w:w="11907" w:h="16839" w:code="9"/>
          <w:pgMar w:top="1440" w:right="1138" w:bottom="1440" w:left="1411" w:header="706" w:footer="706" w:gutter="0"/>
          <w:cols w:space="720"/>
          <w:docGrid w:linePitch="360"/>
        </w:sectPr>
      </w:pPr>
    </w:p>
    <w:p w:rsidR="003F6250" w:rsidRPr="001B44EE" w:rsidRDefault="003F6250" w:rsidP="003F6250">
      <w:pPr>
        <w:pStyle w:val="Heading1"/>
        <w:spacing w:before="0" w:after="0"/>
        <w:rPr>
          <w:szCs w:val="22"/>
          <w:lang w:val="fr-FR"/>
        </w:rPr>
      </w:pPr>
      <w:r w:rsidRPr="001B44EE">
        <w:rPr>
          <w:szCs w:val="22"/>
          <w:lang w:val="fr-FR"/>
        </w:rPr>
        <w:lastRenderedPageBreak/>
        <w:t>LISTE DES PARTICIPANTS/</w:t>
      </w:r>
    </w:p>
    <w:p w:rsidR="003F6250" w:rsidRPr="00AE1D54" w:rsidRDefault="003F6250" w:rsidP="003F6250">
      <w:pPr>
        <w:pStyle w:val="Heading1"/>
        <w:spacing w:before="0" w:after="0"/>
        <w:rPr>
          <w:szCs w:val="22"/>
          <w:lang w:val="fr-FR"/>
        </w:rPr>
      </w:pPr>
      <w:r w:rsidRPr="00AE1D54">
        <w:rPr>
          <w:szCs w:val="22"/>
          <w:lang w:val="fr-FR"/>
        </w:rPr>
        <w:t>LIST OF PARtipants</w:t>
      </w:r>
    </w:p>
    <w:p w:rsidR="003F6250" w:rsidRPr="00AE1D54" w:rsidRDefault="003F6250" w:rsidP="003F6250">
      <w:pPr>
        <w:rPr>
          <w:caps/>
          <w:noProof/>
          <w:szCs w:val="22"/>
          <w:lang w:val="fr-FR"/>
        </w:rPr>
      </w:pPr>
    </w:p>
    <w:p w:rsidR="008B7E70" w:rsidRPr="00AE1D54" w:rsidRDefault="008B7E70" w:rsidP="003F6250">
      <w:pPr>
        <w:rPr>
          <w:caps/>
          <w:noProof/>
          <w:szCs w:val="22"/>
          <w:lang w:val="fr-FR"/>
        </w:rPr>
      </w:pPr>
    </w:p>
    <w:p w:rsidR="00A64501" w:rsidRPr="00AE1D54" w:rsidRDefault="00A64501" w:rsidP="003F6250">
      <w:pPr>
        <w:rPr>
          <w:caps/>
          <w:noProof/>
          <w:szCs w:val="22"/>
          <w:lang w:val="fr-FR"/>
        </w:rPr>
      </w:pPr>
    </w:p>
    <w:p w:rsidR="00A64501" w:rsidRPr="003F6250" w:rsidRDefault="00A64501" w:rsidP="00A64501">
      <w:pPr>
        <w:rPr>
          <w:caps/>
          <w:szCs w:val="22"/>
          <w:u w:val="single"/>
          <w:lang w:val="fr-FR"/>
        </w:rPr>
      </w:pPr>
      <w:r w:rsidRPr="003F6250">
        <w:rPr>
          <w:caps/>
          <w:noProof/>
          <w:szCs w:val="22"/>
          <w:lang w:val="fr-FR"/>
        </w:rPr>
        <w:t>I</w:t>
      </w:r>
      <w:r w:rsidR="00AE1D54">
        <w:rPr>
          <w:caps/>
          <w:noProof/>
          <w:szCs w:val="22"/>
          <w:lang w:val="fr-FR"/>
        </w:rPr>
        <w:t xml:space="preserve">.  </w:t>
      </w:r>
      <w:r w:rsidRPr="003F6250">
        <w:rPr>
          <w:caps/>
          <w:szCs w:val="22"/>
          <w:u w:val="single"/>
          <w:lang w:val="fr-FR"/>
        </w:rPr>
        <w:t>ÉTATS/STATES</w:t>
      </w:r>
    </w:p>
    <w:p w:rsidR="00A64501" w:rsidRPr="003F6250" w:rsidRDefault="00A64501" w:rsidP="00A64501">
      <w:pPr>
        <w:rPr>
          <w:szCs w:val="22"/>
          <w:lang w:val="fr-FR"/>
        </w:rPr>
      </w:pPr>
    </w:p>
    <w:p w:rsidR="00A64501" w:rsidRPr="003F6250" w:rsidRDefault="00A64501" w:rsidP="00A64501">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rsidR="00A64501" w:rsidRPr="003F6250" w:rsidRDefault="00A64501" w:rsidP="00A64501">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rsidR="00A64501" w:rsidRPr="003F6250" w:rsidRDefault="00A64501" w:rsidP="00A64501">
      <w:pPr>
        <w:rPr>
          <w:szCs w:val="22"/>
        </w:rPr>
      </w:pPr>
    </w:p>
    <w:p w:rsidR="008B7E70" w:rsidRPr="00A64501" w:rsidRDefault="008B7E70" w:rsidP="003F6250">
      <w:pPr>
        <w:rPr>
          <w:caps/>
          <w:noProof/>
          <w:szCs w:val="22"/>
        </w:rPr>
      </w:pPr>
    </w:p>
    <w:p w:rsidR="001955BB" w:rsidRPr="0077363F" w:rsidRDefault="001955BB" w:rsidP="001955BB">
      <w:pPr>
        <w:rPr>
          <w:szCs w:val="22"/>
          <w:u w:val="single"/>
        </w:rPr>
      </w:pPr>
      <w:r w:rsidRPr="0077363F">
        <w:rPr>
          <w:szCs w:val="22"/>
          <w:u w:val="single"/>
        </w:rPr>
        <w:t>AFRIQUE DU SUD/SOUTH AFRICA</w:t>
      </w:r>
    </w:p>
    <w:p w:rsidR="001955BB" w:rsidRPr="0077363F" w:rsidRDefault="001955BB" w:rsidP="001955BB">
      <w:pPr>
        <w:rPr>
          <w:szCs w:val="22"/>
          <w:u w:val="single"/>
        </w:rPr>
      </w:pPr>
    </w:p>
    <w:p w:rsidR="001955BB" w:rsidRDefault="001955BB" w:rsidP="001955BB">
      <w:pPr>
        <w:rPr>
          <w:szCs w:val="22"/>
        </w:rPr>
      </w:pPr>
      <w:proofErr w:type="spellStart"/>
      <w:r w:rsidRPr="0077363F">
        <w:rPr>
          <w:szCs w:val="22"/>
        </w:rPr>
        <w:t>Yohah</w:t>
      </w:r>
      <w:proofErr w:type="spellEnd"/>
      <w:r w:rsidRPr="0077363F">
        <w:rPr>
          <w:szCs w:val="22"/>
        </w:rPr>
        <w:t xml:space="preserve"> </w:t>
      </w:r>
      <w:proofErr w:type="spellStart"/>
      <w:r w:rsidRPr="0077363F">
        <w:rPr>
          <w:szCs w:val="22"/>
        </w:rPr>
        <w:t>Ngalaba</w:t>
      </w:r>
      <w:proofErr w:type="spellEnd"/>
      <w:r w:rsidRPr="0077363F">
        <w:rPr>
          <w:szCs w:val="22"/>
        </w:rPr>
        <w:t xml:space="preserve"> SELETI (Mr.), Chief Director, Department of Science and Technology (DST), Ministry of Science and Technology, Pretoria</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Tilana</w:t>
      </w:r>
      <w:proofErr w:type="spellEnd"/>
      <w:r w:rsidRPr="0077363F">
        <w:rPr>
          <w:szCs w:val="22"/>
        </w:rPr>
        <w:t xml:space="preserve"> GROBBELAAR (Ms.), Expert, Multilateral Trade Relations, International Relations and Cooperation, Pretoria</w:t>
      </w:r>
    </w:p>
    <w:p w:rsidR="001955BB" w:rsidRPr="0077363F" w:rsidRDefault="001955BB" w:rsidP="001955BB">
      <w:pPr>
        <w:rPr>
          <w:szCs w:val="22"/>
        </w:rPr>
      </w:pPr>
      <w:r w:rsidRPr="0077363F">
        <w:rPr>
          <w:szCs w:val="22"/>
          <w:u w:val="single"/>
        </w:rPr>
        <w:t xml:space="preserve">grobbelaart@dirco.gov.za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ALBANIE/ALBANIA</w:t>
      </w:r>
    </w:p>
    <w:p w:rsidR="001955BB" w:rsidRPr="0077363F" w:rsidRDefault="001955BB" w:rsidP="001955BB">
      <w:pPr>
        <w:rPr>
          <w:szCs w:val="22"/>
          <w:u w:val="single"/>
        </w:rPr>
      </w:pPr>
    </w:p>
    <w:p w:rsidR="001955BB" w:rsidRDefault="001955BB" w:rsidP="001955BB">
      <w:pPr>
        <w:rPr>
          <w:szCs w:val="22"/>
        </w:rPr>
      </w:pPr>
      <w:proofErr w:type="spellStart"/>
      <w:r w:rsidRPr="004660BA">
        <w:rPr>
          <w:szCs w:val="22"/>
        </w:rPr>
        <w:t>Harilla</w:t>
      </w:r>
      <w:proofErr w:type="spellEnd"/>
      <w:r w:rsidRPr="004660BA">
        <w:rPr>
          <w:szCs w:val="22"/>
        </w:rPr>
        <w:t xml:space="preserve"> GOGA</w:t>
      </w:r>
      <w:r>
        <w:rPr>
          <w:szCs w:val="22"/>
        </w:rPr>
        <w:t xml:space="preserve"> (Mr.)</w:t>
      </w:r>
      <w:r w:rsidRPr="004660BA">
        <w:rPr>
          <w:szCs w:val="22"/>
        </w:rPr>
        <w:t xml:space="preserve">, </w:t>
      </w:r>
      <w:r>
        <w:rPr>
          <w:szCs w:val="22"/>
        </w:rPr>
        <w:t>M</w:t>
      </w:r>
      <w:r w:rsidRPr="004660BA">
        <w:rPr>
          <w:szCs w:val="22"/>
        </w:rPr>
        <w:t xml:space="preserve">inister </w:t>
      </w:r>
      <w:r>
        <w:rPr>
          <w:szCs w:val="22"/>
        </w:rPr>
        <w:t>C</w:t>
      </w:r>
      <w:r w:rsidRPr="004660BA">
        <w:rPr>
          <w:szCs w:val="22"/>
        </w:rPr>
        <w:t>ounsellor</w:t>
      </w:r>
      <w:r>
        <w:rPr>
          <w:szCs w:val="22"/>
        </w:rPr>
        <w:t>, P</w:t>
      </w:r>
      <w:r w:rsidRPr="004660BA">
        <w:rPr>
          <w:szCs w:val="22"/>
        </w:rPr>
        <w:t xml:space="preserve">ermanent </w:t>
      </w:r>
      <w:r>
        <w:rPr>
          <w:szCs w:val="22"/>
        </w:rPr>
        <w:t>M</w:t>
      </w:r>
      <w:r w:rsidRPr="004660BA">
        <w:rPr>
          <w:szCs w:val="22"/>
        </w:rPr>
        <w:t>ission</w:t>
      </w:r>
      <w:r>
        <w:rPr>
          <w:szCs w:val="22"/>
        </w:rPr>
        <w:t>, Geneva</w:t>
      </w:r>
    </w:p>
    <w:p w:rsidR="001955BB" w:rsidRDefault="001955BB" w:rsidP="001955BB">
      <w:pPr>
        <w:rPr>
          <w:szCs w:val="22"/>
        </w:rPr>
      </w:pPr>
    </w:p>
    <w:p w:rsidR="001955BB" w:rsidRPr="0077363F" w:rsidRDefault="001955BB" w:rsidP="001955BB">
      <w:pPr>
        <w:rPr>
          <w:szCs w:val="22"/>
        </w:rPr>
      </w:pPr>
      <w:r w:rsidRPr="0077363F">
        <w:rPr>
          <w:szCs w:val="22"/>
        </w:rPr>
        <w:t>Elvin LAKO (Mr.), General Director, General Directorate of Industrial Property (GDIP), Ministry of Economic Development, Trade and Entrepreneurship, Tirana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ALGÉRIE/ALGERIA</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 xml:space="preserve">Abdelhamid HEMDANI (M.), </w:t>
      </w:r>
      <w:r w:rsidRPr="00065608">
        <w:rPr>
          <w:szCs w:val="22"/>
          <w:lang w:val="fr-CH"/>
        </w:rPr>
        <w:t>directeur central, Organisation foncière et protection des patrimoines génétiques, Ministère de l’agriculture, du développement rural et de la pêche, Alger</w:t>
      </w:r>
    </w:p>
    <w:p w:rsidR="001955BB" w:rsidRPr="0077363F" w:rsidRDefault="001955BB" w:rsidP="001955BB">
      <w:pPr>
        <w:rPr>
          <w:szCs w:val="22"/>
          <w:lang w:val="fr-CH"/>
        </w:rPr>
      </w:pPr>
      <w:r w:rsidRPr="0077363F">
        <w:rPr>
          <w:szCs w:val="22"/>
          <w:u w:val="single"/>
          <w:lang w:val="fr-CH"/>
        </w:rPr>
        <w:t xml:space="preserve">hhemdani@yahoo.fr </w:t>
      </w:r>
    </w:p>
    <w:p w:rsidR="001955BB" w:rsidRPr="0077363F" w:rsidRDefault="001955BB" w:rsidP="001955BB">
      <w:pPr>
        <w:rPr>
          <w:szCs w:val="22"/>
          <w:lang w:val="fr-CH"/>
        </w:rPr>
      </w:pPr>
    </w:p>
    <w:p w:rsidR="001955BB" w:rsidRPr="0077363F" w:rsidRDefault="001955BB" w:rsidP="001955BB">
      <w:pPr>
        <w:rPr>
          <w:szCs w:val="22"/>
          <w:lang w:val="fr-CH"/>
        </w:rPr>
      </w:pPr>
      <w:r w:rsidRPr="0077363F">
        <w:rPr>
          <w:szCs w:val="22"/>
          <w:lang w:val="fr-CH"/>
        </w:rPr>
        <w:t>D</w:t>
      </w:r>
      <w:r>
        <w:rPr>
          <w:szCs w:val="22"/>
          <w:lang w:val="fr-CH"/>
        </w:rPr>
        <w:t>jamel</w:t>
      </w:r>
      <w:r w:rsidRPr="0077363F">
        <w:rPr>
          <w:szCs w:val="22"/>
          <w:lang w:val="fr-CH"/>
        </w:rPr>
        <w:t xml:space="preserve"> DJEDIAT (M.), </w:t>
      </w:r>
      <w:r>
        <w:rPr>
          <w:szCs w:val="22"/>
          <w:lang w:val="fr-CH"/>
        </w:rPr>
        <w:t>directeur des brevets, B</w:t>
      </w:r>
      <w:r w:rsidRPr="0077363F">
        <w:rPr>
          <w:szCs w:val="22"/>
          <w:lang w:val="fr-CH"/>
        </w:rPr>
        <w:t xml:space="preserve">revet </w:t>
      </w:r>
      <w:r>
        <w:rPr>
          <w:szCs w:val="22"/>
          <w:lang w:val="fr-CH"/>
        </w:rPr>
        <w:t xml:space="preserve">d’invention, Institut </w:t>
      </w:r>
      <w:r w:rsidRPr="0077363F">
        <w:rPr>
          <w:szCs w:val="22"/>
          <w:lang w:val="fr-CH"/>
        </w:rPr>
        <w:t>national algérien</w:t>
      </w:r>
      <w:r>
        <w:rPr>
          <w:szCs w:val="22"/>
          <w:lang w:val="fr-CH"/>
        </w:rPr>
        <w:t xml:space="preserve"> de la propriété industrielle </w:t>
      </w:r>
      <w:r w:rsidRPr="00FF0AB5">
        <w:rPr>
          <w:szCs w:val="22"/>
          <w:lang w:val="fr-CH"/>
        </w:rPr>
        <w:t>(INAPI)</w:t>
      </w:r>
      <w:r>
        <w:rPr>
          <w:szCs w:val="22"/>
          <w:lang w:val="fr-CH"/>
        </w:rPr>
        <w:t>, Ministère de l’</w:t>
      </w:r>
      <w:r w:rsidRPr="00FF0AB5">
        <w:rPr>
          <w:szCs w:val="22"/>
          <w:lang w:val="fr-CH"/>
        </w:rPr>
        <w:t>industrie, de la petite et moyenne entreprise et de l</w:t>
      </w:r>
      <w:r>
        <w:rPr>
          <w:szCs w:val="22"/>
          <w:lang w:val="fr-CH"/>
        </w:rPr>
        <w:t>a promotion des investissements, A</w:t>
      </w:r>
      <w:r w:rsidRPr="0077363F">
        <w:rPr>
          <w:szCs w:val="22"/>
          <w:lang w:val="fr-CH"/>
        </w:rPr>
        <w:t>lger</w:t>
      </w:r>
    </w:p>
    <w:p w:rsidR="001955BB" w:rsidRPr="001955BB" w:rsidRDefault="001955BB" w:rsidP="001955BB">
      <w:pPr>
        <w:rPr>
          <w:szCs w:val="22"/>
          <w:lang w:val="fr-FR"/>
        </w:rPr>
      </w:pPr>
      <w:r w:rsidRPr="001955BB">
        <w:rPr>
          <w:szCs w:val="22"/>
          <w:u w:val="single"/>
          <w:lang w:val="fr-FR"/>
        </w:rPr>
        <w:t xml:space="preserve">d.djediat@gmail.com </w:t>
      </w:r>
    </w:p>
    <w:p w:rsidR="001955BB" w:rsidRPr="001955BB" w:rsidRDefault="001955BB" w:rsidP="001955BB">
      <w:pPr>
        <w:rPr>
          <w:szCs w:val="22"/>
          <w:lang w:val="fr-FR"/>
        </w:rPr>
      </w:pPr>
    </w:p>
    <w:p w:rsidR="001955BB" w:rsidRPr="00AB0C28" w:rsidRDefault="001955BB" w:rsidP="001955BB">
      <w:pPr>
        <w:rPr>
          <w:szCs w:val="22"/>
          <w:lang w:val="fr-FR"/>
        </w:rPr>
      </w:pPr>
      <w:r w:rsidRPr="00AB0C28">
        <w:rPr>
          <w:szCs w:val="22"/>
          <w:lang w:val="fr-FR"/>
        </w:rPr>
        <w:t xml:space="preserve">Fayssal ALLEK (M.), premier secrétaire, </w:t>
      </w:r>
      <w:r>
        <w:rPr>
          <w:szCs w:val="22"/>
          <w:lang w:val="fr-FR"/>
        </w:rPr>
        <w:t>M</w:t>
      </w:r>
      <w:r w:rsidRPr="00AB0C28">
        <w:rPr>
          <w:szCs w:val="22"/>
          <w:lang w:val="fr-FR"/>
        </w:rPr>
        <w:t>ission permanente, Genève</w:t>
      </w:r>
    </w:p>
    <w:p w:rsidR="001955BB" w:rsidRPr="0013333E" w:rsidRDefault="001955BB" w:rsidP="001955BB">
      <w:pPr>
        <w:rPr>
          <w:szCs w:val="22"/>
          <w:lang w:val="fr-FR"/>
        </w:rPr>
      </w:pPr>
      <w:r w:rsidRPr="0013333E">
        <w:rPr>
          <w:szCs w:val="22"/>
          <w:u w:val="single"/>
          <w:lang w:val="fr-FR"/>
        </w:rPr>
        <w:t xml:space="preserve">allek@mission-algeria.ch </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ALLEMAGNE/GERMANY</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Jan POEPPEL (Mr.),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ARABIE SAOUDITE/SAUDI ARABIA</w:t>
      </w:r>
    </w:p>
    <w:p w:rsidR="001955BB" w:rsidRPr="0077363F" w:rsidRDefault="001955BB" w:rsidP="001955BB">
      <w:pPr>
        <w:rPr>
          <w:szCs w:val="22"/>
          <w:u w:val="single"/>
        </w:rPr>
      </w:pPr>
    </w:p>
    <w:p w:rsidR="001955BB" w:rsidRDefault="001955BB" w:rsidP="001955BB">
      <w:pPr>
        <w:rPr>
          <w:szCs w:val="22"/>
        </w:rPr>
      </w:pPr>
      <w:r w:rsidRPr="0077363F">
        <w:rPr>
          <w:szCs w:val="22"/>
        </w:rPr>
        <w:t>N</w:t>
      </w:r>
      <w:r>
        <w:rPr>
          <w:szCs w:val="22"/>
        </w:rPr>
        <w:t>orah</w:t>
      </w:r>
      <w:r w:rsidRPr="0077363F">
        <w:rPr>
          <w:szCs w:val="22"/>
        </w:rPr>
        <w:t xml:space="preserve"> A</w:t>
      </w:r>
      <w:r>
        <w:rPr>
          <w:szCs w:val="22"/>
        </w:rPr>
        <w:t xml:space="preserve">LHRTHI (Ms.), Controller, </w:t>
      </w:r>
      <w:r w:rsidRPr="00495269">
        <w:rPr>
          <w:szCs w:val="22"/>
        </w:rPr>
        <w:t>Copyright</w:t>
      </w:r>
      <w:r>
        <w:rPr>
          <w:szCs w:val="22"/>
        </w:rPr>
        <w:t xml:space="preserve"> Department</w:t>
      </w:r>
      <w:r w:rsidRPr="0077363F">
        <w:rPr>
          <w:szCs w:val="22"/>
        </w:rPr>
        <w:t>, Ministry of Culture and Information, Jeddah</w:t>
      </w:r>
    </w:p>
    <w:p w:rsidR="008B7E70" w:rsidRPr="00A64501" w:rsidRDefault="008B7E70" w:rsidP="003F6250">
      <w:pPr>
        <w:rPr>
          <w:caps/>
          <w:noProof/>
          <w:szCs w:val="22"/>
        </w:rPr>
      </w:pPr>
    </w:p>
    <w:p w:rsidR="008D6686" w:rsidRPr="00180D49" w:rsidRDefault="008D6686" w:rsidP="008B7E70">
      <w:pPr>
        <w:rPr>
          <w:szCs w:val="22"/>
        </w:rPr>
        <w:sectPr w:rsidR="008D6686" w:rsidRPr="00180D49">
          <w:headerReference w:type="default" r:id="rId14"/>
          <w:pgSz w:w="11907" w:h="16839" w:code="9"/>
          <w:pgMar w:top="1440" w:right="1138" w:bottom="1440" w:left="1411" w:header="706" w:footer="706" w:gutter="0"/>
          <w:cols w:space="720"/>
          <w:docGrid w:linePitch="360"/>
        </w:sectPr>
      </w:pPr>
    </w:p>
    <w:p w:rsidR="001955BB" w:rsidRPr="0077363F" w:rsidRDefault="001955BB" w:rsidP="001955BB">
      <w:pPr>
        <w:rPr>
          <w:szCs w:val="22"/>
        </w:rPr>
      </w:pPr>
    </w:p>
    <w:p w:rsidR="001955BB" w:rsidRPr="0077363F" w:rsidRDefault="001955BB" w:rsidP="001955BB">
      <w:pPr>
        <w:rPr>
          <w:szCs w:val="22"/>
        </w:rPr>
      </w:pPr>
      <w:r w:rsidRPr="0077363F">
        <w:rPr>
          <w:szCs w:val="22"/>
        </w:rPr>
        <w:t>Metab AL DOSSARI (Mr.), Director, Examination Department, Examination Directorate, Saudi Patent Office, King Abdullaziz City for Science and Technology (KACST), Riyadh</w:t>
      </w:r>
    </w:p>
    <w:p w:rsidR="001955BB" w:rsidRDefault="001955BB" w:rsidP="001955BB">
      <w:pPr>
        <w:rPr>
          <w:szCs w:val="22"/>
          <w:u w:val="single"/>
        </w:rPr>
      </w:pPr>
      <w:r w:rsidRPr="0077363F">
        <w:rPr>
          <w:szCs w:val="22"/>
          <w:u w:val="single"/>
        </w:rPr>
        <w:t xml:space="preserve">mdossery@kacst.edu.sa </w:t>
      </w:r>
    </w:p>
    <w:p w:rsidR="001955BB" w:rsidRPr="0077363F" w:rsidRDefault="001955BB" w:rsidP="001955BB">
      <w:pPr>
        <w:rPr>
          <w:szCs w:val="22"/>
        </w:rPr>
      </w:pPr>
    </w:p>
    <w:p w:rsidR="001955BB" w:rsidRPr="0077363F" w:rsidRDefault="001955BB" w:rsidP="001955BB">
      <w:pPr>
        <w:rPr>
          <w:szCs w:val="22"/>
        </w:rPr>
      </w:pPr>
      <w:r w:rsidRPr="0077363F">
        <w:rPr>
          <w:szCs w:val="22"/>
        </w:rPr>
        <w:t>Abdulmuhsen ALJEED (Mr.), Deputy Director, Technical Affairs, Saudi Patent Office, King Abdullaziz City for Science and Technology (KACST), Riyadh</w:t>
      </w:r>
    </w:p>
    <w:p w:rsidR="001955BB" w:rsidRPr="001955BB" w:rsidRDefault="001955BB" w:rsidP="001955BB">
      <w:pPr>
        <w:rPr>
          <w:szCs w:val="22"/>
          <w:lang w:val="es-ES_tradnl"/>
        </w:rPr>
      </w:pPr>
      <w:r w:rsidRPr="001955BB">
        <w:rPr>
          <w:szCs w:val="22"/>
          <w:u w:val="single"/>
          <w:lang w:val="es-ES_tradnl"/>
        </w:rPr>
        <w:t xml:space="preserve">aljeed@kacst.edu.sa </w:t>
      </w:r>
    </w:p>
    <w:p w:rsidR="001955BB" w:rsidRPr="001955BB" w:rsidRDefault="001955BB" w:rsidP="001955BB">
      <w:pPr>
        <w:rPr>
          <w:szCs w:val="22"/>
          <w:lang w:val="es-ES_tradnl"/>
        </w:rPr>
      </w:pPr>
    </w:p>
    <w:p w:rsidR="001955BB" w:rsidRPr="001955BB"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ARGENTINE/ARGENTINA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María Inés RODR</w:t>
      </w:r>
      <w:r>
        <w:rPr>
          <w:szCs w:val="22"/>
          <w:lang w:val="es-ES_tradnl"/>
        </w:rPr>
        <w:t>ÍGUEZ (Sra.), Ministra, Misión P</w:t>
      </w:r>
      <w:r w:rsidRPr="0077363F">
        <w:rPr>
          <w:szCs w:val="22"/>
          <w:lang w:val="es-ES_tradnl"/>
        </w:rPr>
        <w:t>ermanente, Ginebra</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rPr>
      </w:pPr>
      <w:r w:rsidRPr="0077363F">
        <w:rPr>
          <w:szCs w:val="22"/>
          <w:u w:val="single"/>
        </w:rPr>
        <w:t>AUSTRALIE/AUSTRALIA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Aideen FITZGERALD (Ms.), Assistant Director, International Policy and Cooperation, IP Australia, Canberra</w:t>
      </w:r>
    </w:p>
    <w:p w:rsidR="001955BB" w:rsidRPr="0077363F" w:rsidRDefault="001955BB" w:rsidP="001955BB">
      <w:pPr>
        <w:rPr>
          <w:szCs w:val="22"/>
        </w:rPr>
      </w:pPr>
    </w:p>
    <w:p w:rsidR="001955BB" w:rsidRPr="0077363F" w:rsidRDefault="001955BB" w:rsidP="001955BB">
      <w:pPr>
        <w:rPr>
          <w:szCs w:val="22"/>
        </w:rPr>
      </w:pPr>
      <w:r w:rsidRPr="0077363F">
        <w:rPr>
          <w:szCs w:val="22"/>
        </w:rPr>
        <w:t>Grace STRIPEIKIS (Ms.), Assistant Director, International Intellectual Property Section, Department of Foreign Affairs and Trade, Canberra</w:t>
      </w:r>
    </w:p>
    <w:p w:rsidR="001955BB" w:rsidRPr="0077363F" w:rsidRDefault="001955BB" w:rsidP="001955BB">
      <w:pPr>
        <w:rPr>
          <w:szCs w:val="22"/>
          <w:lang w:val="fr-CH"/>
        </w:rPr>
      </w:pPr>
      <w:r w:rsidRPr="0077363F">
        <w:rPr>
          <w:szCs w:val="22"/>
          <w:u w:val="single"/>
          <w:lang w:val="fr-CH"/>
        </w:rPr>
        <w:t xml:space="preserve">grace.stripeikis@dfat.gov.au </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AUTRICHE/AUSTRIA</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Johannes WERNER (Mr.), Head, International Relations Department, Austrian Patent Office, Vienna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AZERBAÏDJAN/AZERBAIJAN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Garay DADASHOV (Mr.), Head, International Relations and Information Provision Department, Copyright Agency of the Republic of Azerbaijan, Baku</w:t>
      </w:r>
    </w:p>
    <w:p w:rsidR="001955BB" w:rsidRPr="0077363F" w:rsidRDefault="001955BB" w:rsidP="001955BB">
      <w:pPr>
        <w:rPr>
          <w:szCs w:val="22"/>
        </w:rPr>
      </w:pPr>
      <w:r w:rsidRPr="0077363F">
        <w:rPr>
          <w:szCs w:val="22"/>
          <w:u w:val="single"/>
        </w:rPr>
        <w:t xml:space="preserve">rianews02@gmail.com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BARBADE/BARBADOS</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Merlene WEEKES-LIBERT (Ms.), Deputy Registrar, Corporate Affairs and Intellectual Property Office (CAIPO), Ministry of Industry, International Business, Commerce and Small Business Development, Bridgetown</w:t>
      </w:r>
    </w:p>
    <w:p w:rsidR="001955BB" w:rsidRDefault="001955BB" w:rsidP="001955BB">
      <w:pPr>
        <w:rPr>
          <w:szCs w:val="22"/>
          <w:u w:val="single"/>
        </w:rPr>
      </w:pPr>
      <w:r w:rsidRPr="0077363F">
        <w:rPr>
          <w:szCs w:val="22"/>
          <w:u w:val="single"/>
        </w:rPr>
        <w:t xml:space="preserve">mseweekes@mail.com </w:t>
      </w:r>
    </w:p>
    <w:p w:rsidR="001955BB" w:rsidRPr="0077363F" w:rsidRDefault="001955BB" w:rsidP="001955BB">
      <w:pPr>
        <w:rPr>
          <w:szCs w:val="22"/>
        </w:rPr>
      </w:pPr>
    </w:p>
    <w:p w:rsidR="001955BB" w:rsidRPr="0077363F" w:rsidRDefault="001955BB" w:rsidP="001955BB">
      <w:pPr>
        <w:rPr>
          <w:szCs w:val="22"/>
        </w:rPr>
      </w:pPr>
      <w:r w:rsidRPr="0077363F">
        <w:rPr>
          <w:szCs w:val="22"/>
        </w:rPr>
        <w:t>Dwaine INNISS (Mr.), First Secretary, Permanent Mission, Geneva</w:t>
      </w:r>
    </w:p>
    <w:p w:rsidR="001955BB" w:rsidRPr="0077363F" w:rsidRDefault="001955BB" w:rsidP="001955BB">
      <w:pPr>
        <w:rPr>
          <w:szCs w:val="22"/>
        </w:rPr>
      </w:pPr>
      <w:r w:rsidRPr="0077363F">
        <w:rPr>
          <w:szCs w:val="22"/>
          <w:u w:val="single"/>
        </w:rPr>
        <w:t xml:space="preserve">dwinniss@foreign.gov.bb </w:t>
      </w:r>
    </w:p>
    <w:p w:rsidR="001955BB" w:rsidRDefault="001955BB" w:rsidP="001955BB">
      <w:pPr>
        <w:rPr>
          <w:szCs w:val="22"/>
        </w:rPr>
      </w:pPr>
    </w:p>
    <w:p w:rsidR="001955BB" w:rsidRPr="0077363F" w:rsidRDefault="001955BB" w:rsidP="001955BB">
      <w:pPr>
        <w:rPr>
          <w:szCs w:val="22"/>
        </w:rPr>
      </w:pPr>
    </w:p>
    <w:p w:rsidR="001955BB" w:rsidRPr="001955BB" w:rsidRDefault="001955BB" w:rsidP="001955BB">
      <w:pPr>
        <w:rPr>
          <w:szCs w:val="22"/>
          <w:u w:val="single"/>
        </w:rPr>
      </w:pPr>
      <w:r w:rsidRPr="001955BB">
        <w:rPr>
          <w:szCs w:val="22"/>
          <w:u w:val="single"/>
        </w:rPr>
        <w:t>BÉNIN/BENIN</w:t>
      </w:r>
    </w:p>
    <w:p w:rsidR="001955BB" w:rsidRPr="001955BB" w:rsidRDefault="001955BB" w:rsidP="001955BB">
      <w:pPr>
        <w:rPr>
          <w:szCs w:val="22"/>
          <w:u w:val="single"/>
        </w:rPr>
      </w:pPr>
    </w:p>
    <w:p w:rsidR="001955BB" w:rsidRPr="0013333E" w:rsidRDefault="001955BB" w:rsidP="001955BB">
      <w:pPr>
        <w:rPr>
          <w:szCs w:val="22"/>
          <w:lang w:val="fr-FR"/>
        </w:rPr>
      </w:pPr>
      <w:r w:rsidRPr="0013333E">
        <w:rPr>
          <w:szCs w:val="22"/>
          <w:lang w:val="fr-FR"/>
        </w:rPr>
        <w:t xml:space="preserve">Chite Flavien AHOVE (M.), </w:t>
      </w:r>
      <w:proofErr w:type="gramStart"/>
      <w:r w:rsidRPr="0013333E">
        <w:rPr>
          <w:szCs w:val="22"/>
          <w:lang w:val="fr-FR"/>
        </w:rPr>
        <w:t>conseiller</w:t>
      </w:r>
      <w:proofErr w:type="gramEnd"/>
      <w:r w:rsidRPr="0013333E">
        <w:rPr>
          <w:szCs w:val="22"/>
          <w:lang w:val="fr-FR"/>
        </w:rPr>
        <w:t>, Mission permanente, Genève</w:t>
      </w:r>
    </w:p>
    <w:p w:rsidR="001955BB" w:rsidRDefault="001955BB" w:rsidP="001955BB">
      <w:pPr>
        <w:rPr>
          <w:szCs w:val="22"/>
          <w:u w:val="single"/>
          <w:lang w:val="fr-FR"/>
        </w:rPr>
      </w:pPr>
    </w:p>
    <w:p w:rsidR="001955BB" w:rsidRPr="00E93EB7" w:rsidRDefault="001955BB" w:rsidP="001955BB">
      <w:pPr>
        <w:rPr>
          <w:szCs w:val="22"/>
          <w:u w:val="single"/>
          <w:lang w:val="fr-FR"/>
        </w:rPr>
      </w:pPr>
    </w:p>
    <w:p w:rsidR="001955BB" w:rsidRPr="00770295" w:rsidRDefault="001955BB" w:rsidP="001955BB">
      <w:pPr>
        <w:rPr>
          <w:szCs w:val="22"/>
          <w:u w:val="single"/>
          <w:lang w:val="fr-FR"/>
        </w:rPr>
      </w:pPr>
    </w:p>
    <w:p w:rsidR="001955BB" w:rsidRPr="0077363F" w:rsidRDefault="001955BB" w:rsidP="001955BB">
      <w:pPr>
        <w:rPr>
          <w:szCs w:val="22"/>
          <w:u w:val="single"/>
        </w:rPr>
      </w:pPr>
      <w:r w:rsidRPr="0077363F">
        <w:rPr>
          <w:szCs w:val="22"/>
          <w:u w:val="single"/>
        </w:rPr>
        <w:lastRenderedPageBreak/>
        <w:t>BHOUTAN/BHUTAN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Dechen WANGMO (Ms.), Senior Intellectual Property Officer, Department of Intellectual Property, Ministry of Economic Affairs, Thimphu</w:t>
      </w:r>
    </w:p>
    <w:p w:rsidR="001955BB" w:rsidRPr="001955BB" w:rsidRDefault="001955BB" w:rsidP="001955BB">
      <w:pPr>
        <w:rPr>
          <w:szCs w:val="22"/>
          <w:u w:val="single"/>
        </w:rPr>
      </w:pPr>
      <w:r w:rsidRPr="001955BB">
        <w:rPr>
          <w:szCs w:val="22"/>
          <w:u w:val="single"/>
        </w:rPr>
        <w:t xml:space="preserve">dechenwangmo@moea.gov.bt </w:t>
      </w:r>
    </w:p>
    <w:p w:rsidR="001955BB" w:rsidRPr="001955BB" w:rsidRDefault="001955BB" w:rsidP="001955BB">
      <w:pPr>
        <w:rPr>
          <w:szCs w:val="22"/>
        </w:rPr>
      </w:pPr>
    </w:p>
    <w:p w:rsidR="001955BB" w:rsidRPr="001955BB" w:rsidRDefault="001955BB" w:rsidP="001955BB">
      <w:pPr>
        <w:rPr>
          <w:szCs w:val="22"/>
        </w:rPr>
      </w:pPr>
    </w:p>
    <w:p w:rsidR="001955BB" w:rsidRPr="0077363F" w:rsidRDefault="001955BB" w:rsidP="001955BB">
      <w:pPr>
        <w:rPr>
          <w:szCs w:val="22"/>
        </w:rPr>
      </w:pPr>
      <w:r w:rsidRPr="0077363F">
        <w:rPr>
          <w:szCs w:val="22"/>
        </w:rPr>
        <w:t>Sangay PHUNTSHO (Mr.), Trade Attaché, Permanent Mission, Geneva</w:t>
      </w:r>
    </w:p>
    <w:p w:rsidR="001955BB" w:rsidRPr="001955BB" w:rsidRDefault="001955BB" w:rsidP="001955BB">
      <w:pPr>
        <w:rPr>
          <w:szCs w:val="22"/>
          <w:lang w:val="es-ES_tradnl"/>
        </w:rPr>
      </w:pPr>
      <w:r w:rsidRPr="001955BB">
        <w:rPr>
          <w:szCs w:val="22"/>
          <w:u w:val="single"/>
          <w:lang w:val="es-ES_tradnl"/>
        </w:rPr>
        <w:t xml:space="preserve">sangayp@mfa.gov.bt </w:t>
      </w:r>
    </w:p>
    <w:p w:rsidR="001955BB" w:rsidRPr="001955BB" w:rsidRDefault="001955BB" w:rsidP="001955BB">
      <w:pPr>
        <w:rPr>
          <w:szCs w:val="22"/>
          <w:lang w:val="es-ES_tradnl"/>
        </w:rPr>
      </w:pPr>
    </w:p>
    <w:p w:rsidR="001955BB" w:rsidRPr="001955BB" w:rsidRDefault="001955BB" w:rsidP="001955BB">
      <w:pPr>
        <w:rPr>
          <w:szCs w:val="22"/>
          <w:lang w:val="es-ES_tradnl"/>
        </w:rPr>
      </w:pPr>
    </w:p>
    <w:p w:rsidR="001955BB" w:rsidRPr="001955BB" w:rsidRDefault="001955BB" w:rsidP="001955BB">
      <w:pPr>
        <w:rPr>
          <w:szCs w:val="22"/>
          <w:u w:val="single"/>
          <w:lang w:val="es-ES_tradnl"/>
        </w:rPr>
      </w:pPr>
      <w:r w:rsidRPr="001955BB">
        <w:rPr>
          <w:szCs w:val="22"/>
          <w:u w:val="single"/>
          <w:lang w:val="es-ES_tradnl"/>
        </w:rPr>
        <w:t>BOLIVIE (ÉTAT PLURINATIONAL DE)/BOLIVIA (PLURINATIONAL STATE OF)</w:t>
      </w:r>
    </w:p>
    <w:p w:rsidR="001955BB" w:rsidRPr="001955BB" w:rsidRDefault="001955BB" w:rsidP="001955BB">
      <w:pPr>
        <w:rPr>
          <w:szCs w:val="22"/>
          <w:u w:val="single"/>
          <w:lang w:val="es-ES_tradnl"/>
        </w:rPr>
      </w:pPr>
    </w:p>
    <w:p w:rsidR="001955BB" w:rsidRPr="00866BA6" w:rsidRDefault="001955BB" w:rsidP="001955BB">
      <w:pPr>
        <w:rPr>
          <w:szCs w:val="22"/>
          <w:lang w:val="es-ES_tradnl"/>
        </w:rPr>
      </w:pPr>
      <w:r w:rsidRPr="00866BA6">
        <w:rPr>
          <w:szCs w:val="22"/>
          <w:lang w:val="es-ES_tradnl"/>
        </w:rPr>
        <w:t>Luis Fernando ROSALES LOZADA (Sr.), Ministro C</w:t>
      </w:r>
      <w:r>
        <w:rPr>
          <w:szCs w:val="22"/>
          <w:lang w:val="es-ES_tradnl"/>
        </w:rPr>
        <w:t>onsejero</w:t>
      </w:r>
      <w:r w:rsidRPr="00866BA6">
        <w:rPr>
          <w:szCs w:val="22"/>
          <w:lang w:val="es-ES_tradnl"/>
        </w:rPr>
        <w:t xml:space="preserve">, </w:t>
      </w:r>
      <w:r>
        <w:rPr>
          <w:szCs w:val="22"/>
          <w:lang w:val="es-ES_tradnl"/>
        </w:rPr>
        <w:t>Misión Permanente, Ginebra</w:t>
      </w:r>
    </w:p>
    <w:p w:rsidR="001955BB" w:rsidRPr="0077363F" w:rsidRDefault="001955BB" w:rsidP="001955BB">
      <w:pPr>
        <w:rPr>
          <w:szCs w:val="22"/>
          <w:lang w:val="es-ES_tradnl"/>
        </w:rPr>
      </w:pPr>
      <w:r w:rsidRPr="0077363F">
        <w:rPr>
          <w:szCs w:val="22"/>
          <w:u w:val="single"/>
          <w:lang w:val="es-ES_tradnl"/>
        </w:rPr>
        <w:t xml:space="preserve">fernando.rosales@mission-bolivia.ch </w:t>
      </w:r>
    </w:p>
    <w:p w:rsidR="001955BB" w:rsidRPr="0077363F" w:rsidRDefault="001955BB" w:rsidP="001955BB">
      <w:pPr>
        <w:rPr>
          <w:szCs w:val="22"/>
          <w:lang w:val="es-ES_tradnl"/>
        </w:rPr>
      </w:pPr>
    </w:p>
    <w:p w:rsidR="001955BB" w:rsidRPr="0013333E" w:rsidRDefault="001955BB" w:rsidP="001955BB">
      <w:pPr>
        <w:rPr>
          <w:szCs w:val="22"/>
          <w:lang w:val="es-ES"/>
        </w:rPr>
      </w:pPr>
      <w:r>
        <w:rPr>
          <w:szCs w:val="22"/>
          <w:lang w:val="es-ES"/>
        </w:rPr>
        <w:t>Rafael Adolfo MURILLO GARCÍ</w:t>
      </w:r>
      <w:r w:rsidRPr="0013333E">
        <w:rPr>
          <w:szCs w:val="22"/>
          <w:lang w:val="es-ES"/>
        </w:rPr>
        <w:t>A (Sr.), Jefe, Unidad de Gestión y Conservación Ecoregional del Altiplano Valles y Chaco, Viceministerio de Medio Ambiente, Biodiversidad, Cambios Climáticos y de Gestión y Desarrollo Forestal, Ministerio de Medio Ambiente y Agua, La Paz</w:t>
      </w:r>
    </w:p>
    <w:p w:rsidR="001955BB" w:rsidRPr="001955BB" w:rsidRDefault="001955BB" w:rsidP="001955BB">
      <w:pPr>
        <w:rPr>
          <w:szCs w:val="22"/>
          <w:lang w:val="es-ES_tradnl"/>
        </w:rPr>
      </w:pPr>
      <w:r w:rsidRPr="001955BB">
        <w:rPr>
          <w:szCs w:val="22"/>
          <w:u w:val="single"/>
          <w:lang w:val="es-ES_tradnl"/>
        </w:rPr>
        <w:t xml:space="preserve">rafomurillo@gmail.com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Fernando ESCOBAR PACHECO (Sr.), Primer Secretario, Misión Permanente, Ginebra</w:t>
      </w:r>
    </w:p>
    <w:p w:rsidR="001955BB" w:rsidRPr="0077363F" w:rsidRDefault="001955BB" w:rsidP="001955BB">
      <w:pPr>
        <w:rPr>
          <w:szCs w:val="22"/>
        </w:rPr>
      </w:pPr>
      <w:r w:rsidRPr="0077363F">
        <w:rPr>
          <w:szCs w:val="22"/>
          <w:u w:val="single"/>
        </w:rPr>
        <w:t xml:space="preserve">fernandoescobarp@gmail.com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BRÉSIL/BRAZIL</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Cauê OLIVEIRA FANHA (Mr.), Secretary, Permanent Mission to the W</w:t>
      </w:r>
      <w:r>
        <w:rPr>
          <w:szCs w:val="22"/>
        </w:rPr>
        <w:t>orld Trade Organization (W</w:t>
      </w:r>
      <w:r w:rsidRPr="0077363F">
        <w:rPr>
          <w:szCs w:val="22"/>
        </w:rPr>
        <w:t>TO, Geneva</w:t>
      </w:r>
    </w:p>
    <w:p w:rsidR="001955BB" w:rsidRDefault="001955BB" w:rsidP="001955BB">
      <w:pPr>
        <w:rPr>
          <w:szCs w:val="22"/>
        </w:rPr>
      </w:pPr>
    </w:p>
    <w:p w:rsidR="001955BB" w:rsidRPr="001955BB" w:rsidRDefault="001955BB" w:rsidP="001955BB">
      <w:pPr>
        <w:rPr>
          <w:szCs w:val="22"/>
          <w:lang w:val="es-ES_tradnl"/>
        </w:rPr>
      </w:pPr>
      <w:r w:rsidRPr="001955BB">
        <w:rPr>
          <w:szCs w:val="22"/>
          <w:lang w:val="es-ES_tradnl"/>
        </w:rPr>
        <w:t>Carla FRADE DE PAULA CASTRO (Ms.), Intern, Permanent Mission, Geneva</w:t>
      </w:r>
    </w:p>
    <w:p w:rsidR="001955BB" w:rsidRPr="001955BB" w:rsidRDefault="001955BB" w:rsidP="001955BB">
      <w:pPr>
        <w:rPr>
          <w:szCs w:val="22"/>
          <w:lang w:val="es-ES_tradnl"/>
        </w:rPr>
      </w:pPr>
    </w:p>
    <w:p w:rsidR="001955BB" w:rsidRPr="001955BB" w:rsidRDefault="001955BB" w:rsidP="001955BB">
      <w:pPr>
        <w:rPr>
          <w:szCs w:val="22"/>
          <w:lang w:val="es-ES_tradnl"/>
        </w:rPr>
      </w:pPr>
    </w:p>
    <w:p w:rsidR="001955BB" w:rsidRPr="001955BB" w:rsidRDefault="001955BB" w:rsidP="001955BB">
      <w:pPr>
        <w:rPr>
          <w:szCs w:val="22"/>
          <w:u w:val="single"/>
          <w:lang w:val="es-ES_tradnl"/>
        </w:rPr>
      </w:pPr>
      <w:r w:rsidRPr="001955BB">
        <w:rPr>
          <w:szCs w:val="22"/>
          <w:u w:val="single"/>
          <w:lang w:val="es-ES_tradnl"/>
        </w:rPr>
        <w:t>BULGARIE/BULGARIA</w:t>
      </w:r>
    </w:p>
    <w:p w:rsidR="001955BB" w:rsidRPr="001955BB" w:rsidRDefault="001955BB" w:rsidP="001955BB">
      <w:pPr>
        <w:rPr>
          <w:szCs w:val="22"/>
          <w:u w:val="single"/>
          <w:lang w:val="es-ES_tradnl"/>
        </w:rPr>
      </w:pPr>
    </w:p>
    <w:p w:rsidR="001955BB" w:rsidRPr="0077363F" w:rsidRDefault="001955BB" w:rsidP="001955BB">
      <w:pPr>
        <w:rPr>
          <w:szCs w:val="22"/>
        </w:rPr>
      </w:pPr>
      <w:r w:rsidRPr="0077363F">
        <w:rPr>
          <w:szCs w:val="22"/>
        </w:rPr>
        <w:t>Rayko RAYTCHEV (Mr.), Ambassador, Permanent Mission, Geneva</w:t>
      </w:r>
    </w:p>
    <w:p w:rsidR="001955BB" w:rsidRPr="0077363F" w:rsidRDefault="001955BB" w:rsidP="001955BB">
      <w:pPr>
        <w:rPr>
          <w:szCs w:val="22"/>
        </w:rPr>
      </w:pPr>
      <w:r w:rsidRPr="0077363F">
        <w:rPr>
          <w:szCs w:val="22"/>
          <w:u w:val="single"/>
        </w:rPr>
        <w:t xml:space="preserve">rayko.raytchev@mfa.bg </w:t>
      </w:r>
    </w:p>
    <w:p w:rsidR="001955BB" w:rsidRPr="0077363F" w:rsidRDefault="001955BB" w:rsidP="001955BB">
      <w:pPr>
        <w:rPr>
          <w:szCs w:val="22"/>
        </w:rPr>
      </w:pPr>
    </w:p>
    <w:p w:rsidR="001955BB" w:rsidRDefault="001955BB" w:rsidP="001955BB">
      <w:pPr>
        <w:rPr>
          <w:szCs w:val="22"/>
        </w:rPr>
      </w:pPr>
      <w:r w:rsidRPr="0077363F">
        <w:rPr>
          <w:szCs w:val="22"/>
        </w:rPr>
        <w:t>Aleksandar VOYNIKOV (Mr.), Diplomatic Officer, Ministry of Foreign Affairs, Sofia</w:t>
      </w:r>
    </w:p>
    <w:p w:rsidR="001955BB" w:rsidRPr="0077363F" w:rsidRDefault="001955BB" w:rsidP="001955BB">
      <w:pPr>
        <w:rPr>
          <w:szCs w:val="22"/>
        </w:rPr>
      </w:pPr>
    </w:p>
    <w:p w:rsidR="001955BB" w:rsidRPr="0077363F" w:rsidRDefault="001955BB" w:rsidP="001955BB">
      <w:pPr>
        <w:rPr>
          <w:szCs w:val="22"/>
        </w:rPr>
      </w:pPr>
      <w:r w:rsidRPr="0077363F">
        <w:rPr>
          <w:szCs w:val="22"/>
        </w:rPr>
        <w:t>Andriana YONCHEVA (Ms.), First Secretary, Permanent Mission, Geneva</w:t>
      </w:r>
    </w:p>
    <w:p w:rsidR="001955BB" w:rsidRPr="0077363F" w:rsidRDefault="001955BB" w:rsidP="001955BB">
      <w:pPr>
        <w:rPr>
          <w:szCs w:val="22"/>
        </w:rPr>
      </w:pPr>
      <w:r w:rsidRPr="0077363F">
        <w:rPr>
          <w:szCs w:val="22"/>
          <w:u w:val="single"/>
        </w:rPr>
        <w:t xml:space="preserve">ayoncheva@bpo.bg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CANADA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Nicolas LESIEUR (Mr.), Senior Trade Policy Officer, Intellectual Property Trade Policy Division, Global Affairs Canada, Ottawa</w:t>
      </w:r>
    </w:p>
    <w:p w:rsidR="001955BB" w:rsidRPr="0077363F" w:rsidRDefault="001955BB" w:rsidP="001955BB">
      <w:pPr>
        <w:rPr>
          <w:szCs w:val="22"/>
        </w:rPr>
      </w:pPr>
      <w:r w:rsidRPr="0077363F">
        <w:rPr>
          <w:szCs w:val="22"/>
          <w:u w:val="single"/>
        </w:rPr>
        <w:t xml:space="preserve">nicolas.lesieur@international.gc.ca </w:t>
      </w:r>
    </w:p>
    <w:p w:rsidR="001955BB" w:rsidRPr="0077363F" w:rsidRDefault="001955BB" w:rsidP="001955BB">
      <w:pPr>
        <w:rPr>
          <w:szCs w:val="22"/>
        </w:rPr>
      </w:pPr>
    </w:p>
    <w:p w:rsidR="001955BB" w:rsidRPr="0077363F" w:rsidRDefault="001955BB" w:rsidP="001955BB">
      <w:pPr>
        <w:rPr>
          <w:szCs w:val="22"/>
        </w:rPr>
      </w:pPr>
      <w:r w:rsidRPr="0077363F">
        <w:rPr>
          <w:szCs w:val="22"/>
        </w:rPr>
        <w:t>Shelley ROWE (Ms.), Senior Project Leader, Marketplace Framework Policy Branch, Innovation, Science and Economic Development, Ottawa</w:t>
      </w:r>
    </w:p>
    <w:p w:rsidR="001955BB" w:rsidRPr="0077363F" w:rsidRDefault="001955BB" w:rsidP="001955BB">
      <w:pPr>
        <w:rPr>
          <w:szCs w:val="22"/>
          <w:lang w:val="es-ES_tradnl"/>
        </w:rPr>
      </w:pPr>
      <w:r w:rsidRPr="0077363F">
        <w:rPr>
          <w:szCs w:val="22"/>
          <w:u w:val="single"/>
          <w:lang w:val="es-ES_tradnl"/>
        </w:rPr>
        <w:t xml:space="preserve">shelley.rowe@canada.ca </w:t>
      </w:r>
    </w:p>
    <w:p w:rsidR="001955BB" w:rsidRPr="0077363F" w:rsidRDefault="001955BB" w:rsidP="001955BB">
      <w:pPr>
        <w:rPr>
          <w:szCs w:val="22"/>
          <w:lang w:val="es-ES_tradnl"/>
        </w:rPr>
      </w:pPr>
    </w:p>
    <w:p w:rsidR="001955BB" w:rsidRDefault="001955BB" w:rsidP="001955BB">
      <w:pPr>
        <w:rPr>
          <w:szCs w:val="22"/>
          <w:lang w:val="es-ES_tradnl"/>
        </w:rPr>
      </w:pPr>
      <w:r>
        <w:rPr>
          <w:szCs w:val="22"/>
          <w:lang w:val="es-ES_tradnl"/>
        </w:rPr>
        <w:t xml:space="preserve">Fréderique DELAPRÉE (Ms.), First Secretary, </w:t>
      </w:r>
      <w:r w:rsidRPr="001955BB">
        <w:rPr>
          <w:szCs w:val="22"/>
          <w:lang w:val="es-ES_tradnl"/>
        </w:rPr>
        <w:t>Permanent</w:t>
      </w:r>
      <w:r>
        <w:rPr>
          <w:szCs w:val="22"/>
          <w:lang w:val="es-ES_tradnl"/>
        </w:rPr>
        <w:t xml:space="preserve"> Mission, Geneva</w:t>
      </w:r>
    </w:p>
    <w:p w:rsidR="001955BB" w:rsidRDefault="001955BB" w:rsidP="001955BB">
      <w:pPr>
        <w:rPr>
          <w:szCs w:val="22"/>
          <w:u w:val="single"/>
          <w:lang w:val="es-ES_tradnl"/>
        </w:rPr>
      </w:pPr>
    </w:p>
    <w:p w:rsidR="001955BB" w:rsidRPr="0077363F" w:rsidRDefault="001955BB" w:rsidP="001955BB">
      <w:pPr>
        <w:rPr>
          <w:szCs w:val="22"/>
          <w:u w:val="single"/>
          <w:lang w:val="es-ES_tradnl"/>
        </w:rPr>
      </w:pPr>
      <w:r w:rsidRPr="0077363F">
        <w:rPr>
          <w:szCs w:val="22"/>
          <w:u w:val="single"/>
          <w:lang w:val="es-ES_tradnl"/>
        </w:rPr>
        <w:t>CHILI/CHILE</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Teresa AGUERO (Sra.), Encargada</w:t>
      </w:r>
      <w:r>
        <w:rPr>
          <w:szCs w:val="22"/>
          <w:lang w:val="es-ES_tradnl"/>
        </w:rPr>
        <w:t xml:space="preserve">, </w:t>
      </w:r>
      <w:r w:rsidRPr="0077363F">
        <w:rPr>
          <w:szCs w:val="22"/>
          <w:lang w:val="es-ES_tradnl"/>
        </w:rPr>
        <w:t>Asuntos Ambientales, Recursos Genéticos y Bioseguridad, Oficina de Estudios y Políticas Agrarias, Ministerio de Agricultura, Santiago</w:t>
      </w:r>
    </w:p>
    <w:p w:rsidR="001955BB" w:rsidRPr="0077363F" w:rsidRDefault="001955BB" w:rsidP="001955BB">
      <w:pPr>
        <w:rPr>
          <w:szCs w:val="22"/>
          <w:lang w:val="es-ES_tradnl"/>
        </w:rPr>
      </w:pPr>
      <w:r w:rsidRPr="0077363F">
        <w:rPr>
          <w:szCs w:val="22"/>
          <w:u w:val="single"/>
          <w:lang w:val="es-ES_tradnl"/>
        </w:rPr>
        <w:t xml:space="preserve">taguero@odepa.gob.cl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Tatiana LARREDONDA (Sra.), Asesora Legal, Departamento de Propiedad Intelectual, Dirección General de Relaciones Económicas Internacionales (DIRECON), Ministerio de Relaciones Exteriores, Santiago</w:t>
      </w:r>
    </w:p>
    <w:p w:rsidR="001955BB" w:rsidRPr="0077363F" w:rsidRDefault="001955BB" w:rsidP="001955BB">
      <w:pPr>
        <w:rPr>
          <w:szCs w:val="22"/>
          <w:lang w:val="es-ES_tradnl"/>
        </w:rPr>
      </w:pPr>
      <w:r w:rsidRPr="0077363F">
        <w:rPr>
          <w:szCs w:val="22"/>
          <w:u w:val="single"/>
          <w:lang w:val="es-ES_tradnl"/>
        </w:rPr>
        <w:t xml:space="preserve">tlarredonda@direcon.gob.cl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Felipe PINO (Sr.), Asesor, Departamento Jurídico, Consejo Nacional de la Cultura y las Artes (CNCA), Santiago</w:t>
      </w:r>
    </w:p>
    <w:p w:rsidR="001955BB" w:rsidRPr="0077363F" w:rsidRDefault="001955BB" w:rsidP="001955BB">
      <w:pPr>
        <w:rPr>
          <w:szCs w:val="22"/>
          <w:lang w:val="fr-CH"/>
        </w:rPr>
      </w:pPr>
      <w:r w:rsidRPr="0077363F">
        <w:rPr>
          <w:szCs w:val="22"/>
          <w:u w:val="single"/>
          <w:lang w:val="fr-CH"/>
        </w:rPr>
        <w:t xml:space="preserve">felipe.pino@cultura.gob.cl </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CHINE/CHINA</w:t>
      </w:r>
    </w:p>
    <w:p w:rsidR="001955BB" w:rsidRPr="0077363F" w:rsidRDefault="001955BB" w:rsidP="001955BB">
      <w:pPr>
        <w:rPr>
          <w:szCs w:val="22"/>
          <w:u w:val="single"/>
          <w:lang w:val="fr-CH"/>
        </w:rPr>
      </w:pPr>
    </w:p>
    <w:p w:rsidR="001955BB" w:rsidRDefault="001955BB" w:rsidP="001955BB">
      <w:pPr>
        <w:rPr>
          <w:szCs w:val="22"/>
        </w:rPr>
      </w:pPr>
      <w:r>
        <w:rPr>
          <w:szCs w:val="22"/>
        </w:rPr>
        <w:t>SUN Hongxia (Ms.), Consultant, International Cooperation Department, State Intellectual Property Office (SIPO), Beijing</w:t>
      </w:r>
    </w:p>
    <w:p w:rsidR="001955BB" w:rsidRDefault="001955BB" w:rsidP="001955BB">
      <w:pPr>
        <w:rPr>
          <w:szCs w:val="22"/>
        </w:rPr>
      </w:pPr>
      <w:r>
        <w:rPr>
          <w:szCs w:val="22"/>
          <w:u w:val="single"/>
        </w:rPr>
        <w:t xml:space="preserve">sunhongxia@sipo.govcn </w:t>
      </w:r>
    </w:p>
    <w:p w:rsidR="001955BB" w:rsidRDefault="001955BB" w:rsidP="001955BB">
      <w:pPr>
        <w:rPr>
          <w:szCs w:val="22"/>
        </w:rPr>
      </w:pPr>
    </w:p>
    <w:p w:rsidR="001955BB" w:rsidRDefault="001955BB" w:rsidP="001955BB">
      <w:pPr>
        <w:rPr>
          <w:szCs w:val="22"/>
        </w:rPr>
      </w:pPr>
      <w:r>
        <w:rPr>
          <w:szCs w:val="22"/>
        </w:rPr>
        <w:t>ZHANG Xi (Ms.), Officer, Department of Treaty and Law, State Intellectual Property Office (SIPO), Beijing</w:t>
      </w:r>
    </w:p>
    <w:p w:rsidR="001955BB" w:rsidRPr="00EF6165" w:rsidRDefault="001955BB" w:rsidP="001955BB">
      <w:pPr>
        <w:rPr>
          <w:szCs w:val="22"/>
        </w:rPr>
      </w:pPr>
      <w:r w:rsidRPr="00EF6165">
        <w:rPr>
          <w:szCs w:val="22"/>
          <w:u w:val="single"/>
        </w:rPr>
        <w:t xml:space="preserve">zhangxi_6@sipo.gov.cn </w:t>
      </w:r>
    </w:p>
    <w:p w:rsidR="001955BB" w:rsidRDefault="001955BB" w:rsidP="001955BB">
      <w:pPr>
        <w:rPr>
          <w:szCs w:val="22"/>
        </w:rPr>
      </w:pPr>
    </w:p>
    <w:p w:rsidR="001955BB" w:rsidRDefault="001955BB" w:rsidP="001955BB">
      <w:pPr>
        <w:rPr>
          <w:szCs w:val="22"/>
        </w:rPr>
      </w:pPr>
      <w:r>
        <w:rPr>
          <w:szCs w:val="22"/>
        </w:rPr>
        <w:t>ZHENG Xu (Mr.), Second Secretary, Permanent Mission, Geneva</w:t>
      </w:r>
    </w:p>
    <w:p w:rsidR="001955BB" w:rsidRPr="001955BB" w:rsidRDefault="001955BB" w:rsidP="001955BB">
      <w:pPr>
        <w:rPr>
          <w:szCs w:val="22"/>
          <w:lang w:val="es-ES_tradnl"/>
        </w:rPr>
      </w:pPr>
      <w:r w:rsidRPr="001955BB">
        <w:rPr>
          <w:szCs w:val="22"/>
          <w:u w:val="single"/>
          <w:lang w:val="es-ES_tradnl"/>
        </w:rPr>
        <w:t xml:space="preserve">scareve@gmail.com </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COLOMBIE/COLOMBIA</w:t>
      </w:r>
    </w:p>
    <w:p w:rsidR="001955BB" w:rsidRPr="0077363F" w:rsidRDefault="001955BB" w:rsidP="001955BB">
      <w:pPr>
        <w:rPr>
          <w:szCs w:val="22"/>
          <w:u w:val="single"/>
          <w:lang w:val="es-ES_tradnl"/>
        </w:rPr>
      </w:pPr>
    </w:p>
    <w:p w:rsidR="001955BB" w:rsidRDefault="001955BB" w:rsidP="001955BB">
      <w:pPr>
        <w:rPr>
          <w:szCs w:val="22"/>
          <w:lang w:val="es-ES"/>
        </w:rPr>
      </w:pPr>
      <w:r w:rsidRPr="0013333E">
        <w:rPr>
          <w:szCs w:val="22"/>
          <w:lang w:val="es-ES"/>
        </w:rPr>
        <w:t>Beatriz LONDOÑO (Sra.), Embajadora, Representante Permanente, Misión Permanente, Ginebra</w:t>
      </w:r>
    </w:p>
    <w:p w:rsidR="001955BB" w:rsidRPr="0013333E" w:rsidRDefault="001955BB" w:rsidP="001955BB">
      <w:pPr>
        <w:rPr>
          <w:szCs w:val="22"/>
          <w:lang w:val="es-ES"/>
        </w:rPr>
      </w:pPr>
    </w:p>
    <w:p w:rsidR="001955BB" w:rsidRPr="0013333E" w:rsidRDefault="001955BB" w:rsidP="001955BB">
      <w:pPr>
        <w:rPr>
          <w:szCs w:val="22"/>
          <w:lang w:val="es-ES"/>
        </w:rPr>
      </w:pPr>
      <w:r w:rsidRPr="0013333E">
        <w:rPr>
          <w:szCs w:val="22"/>
          <w:lang w:val="es-ES"/>
        </w:rPr>
        <w:t>Juan Carlos GONZÁLEZ (Sr.), Embajador, Representante Permanente Adjunto, Misión Permanente ante la Organización Mundial del Comercio (OMC), Ginebra</w:t>
      </w:r>
    </w:p>
    <w:p w:rsidR="001955BB" w:rsidRPr="0013333E" w:rsidRDefault="001955BB" w:rsidP="001955BB">
      <w:pPr>
        <w:rPr>
          <w:szCs w:val="22"/>
          <w:lang w:val="es-ES"/>
        </w:rPr>
      </w:pPr>
      <w:r w:rsidRPr="0013333E">
        <w:rPr>
          <w:szCs w:val="22"/>
          <w:u w:val="single"/>
          <w:lang w:val="es-ES"/>
        </w:rPr>
        <w:t xml:space="preserve">missioncolombiawto@mincit.gov.co </w:t>
      </w:r>
    </w:p>
    <w:p w:rsidR="001955BB" w:rsidRPr="0013333E" w:rsidRDefault="001955BB" w:rsidP="001955BB">
      <w:pPr>
        <w:rPr>
          <w:szCs w:val="22"/>
          <w:lang w:val="es-ES"/>
        </w:rPr>
      </w:pPr>
    </w:p>
    <w:p w:rsidR="001955BB" w:rsidRDefault="001955BB" w:rsidP="001955BB">
      <w:pPr>
        <w:rPr>
          <w:szCs w:val="22"/>
          <w:lang w:val="es-ES"/>
        </w:rPr>
      </w:pPr>
      <w:r>
        <w:rPr>
          <w:szCs w:val="22"/>
          <w:lang w:val="es-ES"/>
        </w:rPr>
        <w:t>Juan</w:t>
      </w:r>
      <w:r w:rsidRPr="00871F76">
        <w:rPr>
          <w:szCs w:val="22"/>
          <w:lang w:val="es-ES"/>
        </w:rPr>
        <w:t xml:space="preserve"> C</w:t>
      </w:r>
      <w:r>
        <w:rPr>
          <w:szCs w:val="22"/>
          <w:lang w:val="es-ES"/>
        </w:rPr>
        <w:t>amilo</w:t>
      </w:r>
      <w:r w:rsidRPr="00871F76">
        <w:rPr>
          <w:szCs w:val="22"/>
          <w:lang w:val="es-ES"/>
        </w:rPr>
        <w:t xml:space="preserve"> SARETZKI FORERO (Sr.), Ministro Consejero, Misión Permanente, Ginebra</w:t>
      </w:r>
    </w:p>
    <w:p w:rsidR="001955BB" w:rsidRPr="00871F76" w:rsidRDefault="001955BB" w:rsidP="001955BB">
      <w:pPr>
        <w:rPr>
          <w:szCs w:val="22"/>
          <w:lang w:val="es-ES"/>
        </w:rPr>
      </w:pPr>
    </w:p>
    <w:p w:rsidR="001955BB" w:rsidRPr="0013333E" w:rsidRDefault="001955BB" w:rsidP="001955BB">
      <w:pPr>
        <w:rPr>
          <w:szCs w:val="22"/>
          <w:lang w:val="es-ES"/>
        </w:rPr>
      </w:pPr>
      <w:r w:rsidRPr="0013333E">
        <w:rPr>
          <w:szCs w:val="22"/>
          <w:lang w:val="es-ES"/>
        </w:rPr>
        <w:t>Paola MORENO (Sra.), Asesora, Dirección de Asuntos Económicos, Sociales y Ambientales Multilaterales, Ministerio de Relaciones Exteriores, Bogotá D.</w:t>
      </w:r>
      <w:r>
        <w:rPr>
          <w:szCs w:val="22"/>
          <w:lang w:val="es-ES"/>
        </w:rPr>
        <w:t>C</w:t>
      </w:r>
      <w:r w:rsidRPr="0013333E">
        <w:rPr>
          <w:szCs w:val="22"/>
          <w:lang w:val="es-ES"/>
        </w:rPr>
        <w:t>.</w:t>
      </w:r>
    </w:p>
    <w:p w:rsidR="001955BB" w:rsidRPr="00871F76" w:rsidRDefault="001955BB" w:rsidP="001955BB">
      <w:pPr>
        <w:rPr>
          <w:szCs w:val="22"/>
          <w:lang w:val="es-ES"/>
        </w:rPr>
      </w:pPr>
    </w:p>
    <w:p w:rsidR="001955BB" w:rsidRPr="0013333E" w:rsidRDefault="001955BB" w:rsidP="001955BB">
      <w:pPr>
        <w:rPr>
          <w:szCs w:val="22"/>
          <w:lang w:val="es-ES"/>
        </w:rPr>
      </w:pPr>
      <w:r w:rsidRPr="0013333E">
        <w:rPr>
          <w:szCs w:val="22"/>
          <w:lang w:val="es-ES"/>
        </w:rPr>
        <w:t>Andrés Manuel CHACÓN (Sr.), Consejero, Misión Permanente ante la Organización Mundial del Comercio (OMC), Ginebra</w:t>
      </w:r>
    </w:p>
    <w:p w:rsidR="001955BB" w:rsidRPr="009836B6" w:rsidRDefault="001955BB" w:rsidP="001955BB">
      <w:pPr>
        <w:rPr>
          <w:szCs w:val="22"/>
          <w:lang w:val="es-ES"/>
        </w:rPr>
      </w:pPr>
    </w:p>
    <w:p w:rsidR="001955BB" w:rsidRPr="009836B6"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COSTA RICA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Ángela GONZÁLEZ GRAU (Sra.), Directora Ejecutiva, Comisión Nacional para la Gestión de la Biodiversidad (CONAGEBIO), Ministerio de Ambiente y Energía, San José</w:t>
      </w:r>
    </w:p>
    <w:p w:rsidR="001955BB" w:rsidRPr="001955BB" w:rsidRDefault="001955BB" w:rsidP="001955BB">
      <w:pPr>
        <w:rPr>
          <w:szCs w:val="22"/>
          <w:lang w:val="es-ES_tradnl"/>
        </w:rPr>
      </w:pPr>
      <w:r w:rsidRPr="001955BB">
        <w:rPr>
          <w:szCs w:val="22"/>
          <w:u w:val="single"/>
          <w:lang w:val="es-ES_tradnl"/>
        </w:rPr>
        <w:t xml:space="preserve">agg.conagebio@gmail.com </w:t>
      </w:r>
    </w:p>
    <w:p w:rsidR="001955BB" w:rsidRP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lastRenderedPageBreak/>
        <w:t>Mariana CASTRO (Sra.), Consejera, Misión Permanente, Ginebra</w:t>
      </w:r>
    </w:p>
    <w:p w:rsidR="001955BB" w:rsidRPr="0013333E" w:rsidRDefault="001955BB" w:rsidP="001955BB">
      <w:pPr>
        <w:rPr>
          <w:szCs w:val="22"/>
          <w:lang w:val="fr-FR"/>
        </w:rPr>
      </w:pPr>
      <w:r w:rsidRPr="0013333E">
        <w:rPr>
          <w:szCs w:val="22"/>
          <w:u w:val="single"/>
          <w:lang w:val="fr-FR"/>
        </w:rPr>
        <w:t xml:space="preserve">mcastro2@rree.go.cr </w:t>
      </w:r>
    </w:p>
    <w:p w:rsidR="001955BB" w:rsidRPr="0077363F" w:rsidRDefault="001955BB" w:rsidP="001955BB">
      <w:pPr>
        <w:rPr>
          <w:szCs w:val="22"/>
          <w:lang w:val="fr-CH"/>
        </w:rPr>
      </w:pPr>
    </w:p>
    <w:p w:rsidR="001955BB" w:rsidRDefault="001955BB" w:rsidP="001955BB">
      <w:pPr>
        <w:rPr>
          <w:szCs w:val="22"/>
          <w:u w:val="single"/>
          <w:lang w:val="fr-CH"/>
        </w:rPr>
      </w:pPr>
    </w:p>
    <w:p w:rsidR="001955BB" w:rsidRPr="0077363F" w:rsidRDefault="001955BB" w:rsidP="001955BB">
      <w:pPr>
        <w:rPr>
          <w:szCs w:val="22"/>
          <w:u w:val="single"/>
          <w:lang w:val="fr-CH"/>
        </w:rPr>
      </w:pPr>
      <w:r w:rsidRPr="0077363F">
        <w:rPr>
          <w:szCs w:val="22"/>
          <w:u w:val="single"/>
          <w:lang w:val="fr-CH"/>
        </w:rPr>
        <w:t>CÔTE D</w:t>
      </w:r>
      <w:r>
        <w:rPr>
          <w:szCs w:val="22"/>
          <w:u w:val="single"/>
          <w:lang w:val="fr-CH"/>
        </w:rPr>
        <w:t>’I</w:t>
      </w:r>
      <w:r w:rsidRPr="0077363F">
        <w:rPr>
          <w:szCs w:val="22"/>
          <w:u w:val="single"/>
          <w:lang w:val="fr-CH"/>
        </w:rPr>
        <w:t>VOIRE</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Kouamé Hervé ABISSA (M.), directeur, Direction de la réglementation et du contentieux, Ministère de la culture et de la francophonie, Abidjan</w:t>
      </w:r>
    </w:p>
    <w:p w:rsidR="001955BB" w:rsidRPr="001955BB" w:rsidRDefault="001955BB" w:rsidP="001955BB">
      <w:pPr>
        <w:rPr>
          <w:szCs w:val="22"/>
          <w:lang w:val="fr-FR"/>
        </w:rPr>
      </w:pPr>
      <w:r w:rsidRPr="001955BB">
        <w:rPr>
          <w:szCs w:val="22"/>
          <w:u w:val="single"/>
          <w:lang w:val="fr-FR"/>
        </w:rPr>
        <w:t xml:space="preserve">kouameabissa@gmail.com </w:t>
      </w:r>
    </w:p>
    <w:p w:rsidR="001955BB" w:rsidRPr="001955BB" w:rsidRDefault="001955BB" w:rsidP="001955BB">
      <w:pPr>
        <w:rPr>
          <w:szCs w:val="22"/>
          <w:lang w:val="fr-FR"/>
        </w:rPr>
      </w:pPr>
    </w:p>
    <w:p w:rsidR="001955BB" w:rsidRPr="0013333E" w:rsidRDefault="001955BB" w:rsidP="001955BB">
      <w:pPr>
        <w:rPr>
          <w:szCs w:val="22"/>
          <w:lang w:val="fr-FR"/>
        </w:rPr>
      </w:pPr>
      <w:r w:rsidRPr="0013333E">
        <w:rPr>
          <w:szCs w:val="22"/>
          <w:lang w:val="fr-FR"/>
        </w:rPr>
        <w:t>Kumou MANKONGA (M.), premier secrétaire, Mission permanente, Genève</w:t>
      </w:r>
    </w:p>
    <w:p w:rsidR="001955BB" w:rsidRDefault="001955BB" w:rsidP="001955BB">
      <w:pPr>
        <w:rPr>
          <w:szCs w:val="22"/>
          <w:lang w:val="fr-FR"/>
        </w:rPr>
      </w:pPr>
    </w:p>
    <w:p w:rsidR="001955BB" w:rsidRPr="000E4C2C" w:rsidRDefault="001955BB" w:rsidP="001955BB">
      <w:pPr>
        <w:rPr>
          <w:szCs w:val="22"/>
          <w:lang w:val="fr-FR"/>
        </w:rPr>
      </w:pPr>
    </w:p>
    <w:p w:rsidR="001955BB" w:rsidRPr="0077363F" w:rsidRDefault="001955BB" w:rsidP="001955BB">
      <w:pPr>
        <w:rPr>
          <w:szCs w:val="22"/>
          <w:u w:val="single"/>
        </w:rPr>
      </w:pPr>
      <w:r w:rsidRPr="0077363F">
        <w:rPr>
          <w:szCs w:val="22"/>
          <w:u w:val="single"/>
        </w:rPr>
        <w:t>CROATIE/CROATIA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Jasminka ADAMOVIC (Ms.), Head, Patent Department, State Intellectual Property Office of the Republic of Croatia (SIPO), Zagreb</w:t>
      </w:r>
    </w:p>
    <w:p w:rsidR="001955BB" w:rsidRPr="0077363F" w:rsidRDefault="001955BB" w:rsidP="001955BB">
      <w:pPr>
        <w:rPr>
          <w:szCs w:val="22"/>
        </w:rPr>
      </w:pPr>
      <w:r w:rsidRPr="0077363F">
        <w:rPr>
          <w:szCs w:val="22"/>
          <w:u w:val="single"/>
        </w:rPr>
        <w:t xml:space="preserve">jasminka.adamovic@dziv.hr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DANEMARK/DENMARK</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Mette Wiuff KORSHOLM (Ms.), Legal Adviser, Danish Patent and Trademark Office, Ministry of Industry, Business and Financial Affairs, Taastrup</w:t>
      </w:r>
    </w:p>
    <w:p w:rsidR="001955BB" w:rsidRPr="0077363F" w:rsidRDefault="001955BB" w:rsidP="001955BB">
      <w:pPr>
        <w:rPr>
          <w:szCs w:val="22"/>
        </w:rPr>
      </w:pPr>
    </w:p>
    <w:p w:rsidR="001955BB" w:rsidRPr="0077363F" w:rsidRDefault="001955BB" w:rsidP="001955BB">
      <w:pPr>
        <w:rPr>
          <w:szCs w:val="22"/>
        </w:rPr>
      </w:pPr>
      <w:r w:rsidRPr="0077363F">
        <w:rPr>
          <w:szCs w:val="22"/>
        </w:rPr>
        <w:t>Kim KORSHOLM (Mr.), Legal Adviser, Danish Patent and Trademark Office, Ministry of Industry, Business and Financial Affairs, Taastrup</w:t>
      </w:r>
    </w:p>
    <w:p w:rsidR="001955BB" w:rsidRDefault="001955BB" w:rsidP="001955BB">
      <w:pPr>
        <w:rPr>
          <w:szCs w:val="22"/>
        </w:rPr>
      </w:pPr>
    </w:p>
    <w:p w:rsidR="001955BB" w:rsidRPr="0077363F" w:rsidRDefault="001955BB" w:rsidP="001955BB">
      <w:pPr>
        <w:rPr>
          <w:szCs w:val="22"/>
        </w:rPr>
      </w:pPr>
    </w:p>
    <w:p w:rsidR="001955BB" w:rsidRPr="0013333E" w:rsidRDefault="001955BB" w:rsidP="001955BB">
      <w:pPr>
        <w:rPr>
          <w:szCs w:val="22"/>
          <w:u w:val="single"/>
          <w:lang w:val="fr-FR"/>
        </w:rPr>
      </w:pPr>
      <w:r w:rsidRPr="0013333E">
        <w:rPr>
          <w:szCs w:val="22"/>
          <w:u w:val="single"/>
          <w:lang w:val="fr-FR"/>
        </w:rPr>
        <w:t>DJIBOUTI</w:t>
      </w:r>
    </w:p>
    <w:p w:rsidR="001955BB" w:rsidRPr="0013333E" w:rsidRDefault="001955BB" w:rsidP="001955BB">
      <w:pPr>
        <w:rPr>
          <w:szCs w:val="22"/>
          <w:u w:val="single"/>
          <w:lang w:val="fr-FR"/>
        </w:rPr>
      </w:pPr>
    </w:p>
    <w:p w:rsidR="001955BB" w:rsidRDefault="001955BB" w:rsidP="001955BB">
      <w:pPr>
        <w:rPr>
          <w:szCs w:val="22"/>
          <w:lang w:val="fr-FR"/>
        </w:rPr>
      </w:pPr>
      <w:r w:rsidRPr="004057E0">
        <w:rPr>
          <w:szCs w:val="22"/>
          <w:lang w:val="fr-FR"/>
        </w:rPr>
        <w:t>Ouloufa ISMAIL ABDO (Mme), directrice, Office de la propri</w:t>
      </w:r>
      <w:r>
        <w:rPr>
          <w:szCs w:val="22"/>
          <w:lang w:val="fr-FR"/>
        </w:rPr>
        <w:t>été industrielle et commerciale (ODPIC), Ministère du commerce et de l’industrie, Djibouti</w:t>
      </w:r>
    </w:p>
    <w:p w:rsidR="001955BB" w:rsidRPr="004057E0" w:rsidRDefault="001955BB" w:rsidP="001955BB">
      <w:pPr>
        <w:rPr>
          <w:szCs w:val="22"/>
          <w:lang w:val="fr-FR"/>
        </w:rPr>
      </w:pPr>
    </w:p>
    <w:p w:rsidR="001955BB" w:rsidRPr="0013333E" w:rsidRDefault="001955BB" w:rsidP="001955BB">
      <w:pPr>
        <w:rPr>
          <w:szCs w:val="22"/>
          <w:lang w:val="fr-FR"/>
        </w:rPr>
      </w:pPr>
      <w:r w:rsidRPr="0013333E">
        <w:rPr>
          <w:szCs w:val="22"/>
          <w:lang w:val="fr-FR"/>
        </w:rPr>
        <w:t>Ouba</w:t>
      </w:r>
      <w:r>
        <w:rPr>
          <w:szCs w:val="22"/>
          <w:lang w:val="fr-FR"/>
        </w:rPr>
        <w:t>h MOUSSA AHMED (Mme), conseillère</w:t>
      </w:r>
      <w:r w:rsidRPr="0013333E">
        <w:rPr>
          <w:szCs w:val="22"/>
          <w:lang w:val="fr-FR"/>
        </w:rPr>
        <w:t>, Mission permanente, Genève</w:t>
      </w:r>
    </w:p>
    <w:p w:rsidR="001955BB" w:rsidRPr="001955BB" w:rsidRDefault="001955BB" w:rsidP="001955BB">
      <w:pPr>
        <w:rPr>
          <w:szCs w:val="22"/>
          <w:lang w:val="fr-FR"/>
        </w:rPr>
      </w:pPr>
      <w:r w:rsidRPr="0013333E">
        <w:rPr>
          <w:szCs w:val="22"/>
          <w:u w:val="single"/>
          <w:lang w:val="fr-FR"/>
        </w:rPr>
        <w:t>moussa_oubah@yahoo.fr</w:t>
      </w:r>
    </w:p>
    <w:p w:rsidR="001955BB" w:rsidRPr="004057E0" w:rsidRDefault="001955BB" w:rsidP="001955BB">
      <w:pPr>
        <w:rPr>
          <w:szCs w:val="22"/>
          <w:u w:val="single"/>
          <w:lang w:val="fr-FR"/>
        </w:rPr>
      </w:pPr>
    </w:p>
    <w:p w:rsidR="001955BB" w:rsidRPr="004057E0" w:rsidRDefault="001955BB" w:rsidP="001955BB">
      <w:pPr>
        <w:rPr>
          <w:szCs w:val="22"/>
          <w:u w:val="single"/>
          <w:lang w:val="fr-FR"/>
        </w:rPr>
      </w:pPr>
    </w:p>
    <w:p w:rsidR="001955BB" w:rsidRPr="001955BB" w:rsidRDefault="001955BB" w:rsidP="001955BB">
      <w:pPr>
        <w:rPr>
          <w:szCs w:val="22"/>
          <w:u w:val="single"/>
          <w:lang w:val="fr-FR"/>
        </w:rPr>
      </w:pPr>
      <w:r w:rsidRPr="001955BB">
        <w:rPr>
          <w:szCs w:val="22"/>
          <w:u w:val="single"/>
          <w:lang w:val="fr-FR"/>
        </w:rPr>
        <w:t>ÉGYPTE/EGYPT</w:t>
      </w:r>
    </w:p>
    <w:p w:rsidR="001955BB" w:rsidRPr="001955BB" w:rsidRDefault="001955BB" w:rsidP="001955BB">
      <w:pPr>
        <w:rPr>
          <w:szCs w:val="22"/>
          <w:u w:val="single"/>
          <w:lang w:val="fr-FR"/>
        </w:rPr>
      </w:pPr>
    </w:p>
    <w:p w:rsidR="001955BB" w:rsidRPr="0077363F" w:rsidRDefault="001955BB" w:rsidP="001955BB">
      <w:pPr>
        <w:rPr>
          <w:szCs w:val="22"/>
        </w:rPr>
      </w:pPr>
      <w:r w:rsidRPr="0077363F">
        <w:rPr>
          <w:szCs w:val="22"/>
        </w:rPr>
        <w:t>Hassan EL BADRAWY (Mr.), Vice-President, Court of Cassation, Cairo</w:t>
      </w:r>
    </w:p>
    <w:p w:rsidR="001955BB" w:rsidRDefault="001955BB" w:rsidP="001955BB">
      <w:pPr>
        <w:rPr>
          <w:szCs w:val="22"/>
        </w:rPr>
      </w:pPr>
    </w:p>
    <w:p w:rsidR="001955BB" w:rsidRPr="0077363F" w:rsidRDefault="001955BB" w:rsidP="001955BB">
      <w:pPr>
        <w:rPr>
          <w:szCs w:val="22"/>
        </w:rPr>
      </w:pPr>
      <w:r w:rsidRPr="0077363F">
        <w:rPr>
          <w:szCs w:val="22"/>
        </w:rPr>
        <w:t>Mohanad ABDELGAWAD (Mr.), Counsellor, Permanent Mission, Geneva</w:t>
      </w:r>
    </w:p>
    <w:p w:rsidR="001955BB" w:rsidRPr="0077363F" w:rsidRDefault="001955BB" w:rsidP="001955BB">
      <w:pPr>
        <w:rPr>
          <w:szCs w:val="22"/>
        </w:rPr>
      </w:pPr>
    </w:p>
    <w:p w:rsidR="001955BB" w:rsidRPr="001955BB" w:rsidRDefault="001955BB" w:rsidP="001955BB">
      <w:pPr>
        <w:rPr>
          <w:szCs w:val="22"/>
          <w:u w:val="single"/>
        </w:rPr>
      </w:pPr>
    </w:p>
    <w:p w:rsidR="001955BB" w:rsidRPr="0077363F" w:rsidRDefault="001955BB" w:rsidP="001955BB">
      <w:pPr>
        <w:rPr>
          <w:szCs w:val="22"/>
          <w:u w:val="single"/>
          <w:lang w:val="es-ES_tradnl"/>
        </w:rPr>
      </w:pPr>
      <w:r w:rsidRPr="0077363F">
        <w:rPr>
          <w:szCs w:val="22"/>
          <w:u w:val="single"/>
          <w:lang w:val="es-ES_tradnl"/>
        </w:rPr>
        <w:t>EL SALVADOR</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Diana HASBÚN (Sra.), Ministra Consejera, Misión Permanente ante la Organización Mundial del Comercio (OMC), Ginebra</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CE0690" w:rsidRDefault="001955BB" w:rsidP="001955BB">
      <w:pPr>
        <w:rPr>
          <w:szCs w:val="22"/>
          <w:u w:val="single"/>
          <w:lang w:val="fr-FR"/>
        </w:rPr>
      </w:pPr>
      <w:r w:rsidRPr="00CE0690">
        <w:rPr>
          <w:szCs w:val="22"/>
          <w:u w:val="single"/>
          <w:lang w:val="fr-FR"/>
        </w:rPr>
        <w:t>ÉMIRATS ARABES UNIS/UNITED ARAB EMIRATES</w:t>
      </w:r>
    </w:p>
    <w:p w:rsidR="001955BB" w:rsidRPr="00CE0690" w:rsidRDefault="001955BB" w:rsidP="001955BB">
      <w:pPr>
        <w:rPr>
          <w:szCs w:val="22"/>
          <w:u w:val="single"/>
          <w:lang w:val="fr-FR"/>
        </w:rPr>
      </w:pPr>
    </w:p>
    <w:p w:rsidR="001955BB" w:rsidRPr="0077363F" w:rsidRDefault="001955BB" w:rsidP="001955BB">
      <w:pPr>
        <w:rPr>
          <w:szCs w:val="22"/>
        </w:rPr>
      </w:pPr>
      <w:r w:rsidRPr="0077363F">
        <w:rPr>
          <w:szCs w:val="22"/>
        </w:rPr>
        <w:t>Shaima AL-AKEL (Ms.), International Organizations Executive, United Arab Emirates Office to the World Trade Organization, Geneva</w:t>
      </w:r>
    </w:p>
    <w:p w:rsidR="001955BB" w:rsidRPr="0077363F" w:rsidRDefault="001955BB" w:rsidP="001955BB">
      <w:pPr>
        <w:rPr>
          <w:szCs w:val="22"/>
        </w:rPr>
      </w:pPr>
    </w:p>
    <w:p w:rsidR="001955BB" w:rsidRPr="0077363F" w:rsidRDefault="001955BB" w:rsidP="001955BB">
      <w:pPr>
        <w:rPr>
          <w:szCs w:val="22"/>
          <w:u w:val="single"/>
          <w:lang w:val="es-ES_tradnl"/>
        </w:rPr>
      </w:pPr>
      <w:r w:rsidRPr="0077363F">
        <w:rPr>
          <w:szCs w:val="22"/>
          <w:u w:val="single"/>
          <w:lang w:val="es-ES_tradnl"/>
        </w:rPr>
        <w:t>ÉQUATEUR/ECUADOR</w:t>
      </w:r>
    </w:p>
    <w:p w:rsidR="001955BB" w:rsidRDefault="001955BB" w:rsidP="001955BB">
      <w:pPr>
        <w:rPr>
          <w:szCs w:val="22"/>
          <w:u w:val="single"/>
          <w:lang w:val="es-ES_tradnl"/>
        </w:rPr>
      </w:pPr>
    </w:p>
    <w:p w:rsidR="001955BB" w:rsidRPr="0013333E" w:rsidRDefault="001955BB" w:rsidP="001955BB">
      <w:pPr>
        <w:rPr>
          <w:szCs w:val="22"/>
          <w:lang w:val="es-ES"/>
        </w:rPr>
      </w:pPr>
      <w:r w:rsidRPr="0013333E">
        <w:rPr>
          <w:szCs w:val="22"/>
          <w:lang w:val="es-ES"/>
        </w:rPr>
        <w:t xml:space="preserve">Diego AULESTIA VALENCIA (Sr.), Embajador, </w:t>
      </w:r>
      <w:r w:rsidRPr="00706DFD">
        <w:rPr>
          <w:szCs w:val="22"/>
          <w:lang w:val="es-ES"/>
        </w:rPr>
        <w:t>Representante Permanente</w:t>
      </w:r>
      <w:r>
        <w:rPr>
          <w:szCs w:val="22"/>
          <w:lang w:val="es-ES"/>
        </w:rPr>
        <w:t xml:space="preserve">, </w:t>
      </w:r>
      <w:r w:rsidRPr="0013333E">
        <w:rPr>
          <w:szCs w:val="22"/>
          <w:lang w:val="es-ES"/>
        </w:rPr>
        <w:t>Misión Permanente, Ginebra</w:t>
      </w:r>
    </w:p>
    <w:p w:rsidR="001955BB" w:rsidRPr="00BC5811" w:rsidRDefault="001955BB" w:rsidP="001955BB">
      <w:pPr>
        <w:rPr>
          <w:szCs w:val="22"/>
          <w:u w:val="single"/>
          <w:lang w:val="es-ES"/>
        </w:rPr>
      </w:pPr>
    </w:p>
    <w:p w:rsidR="001955BB" w:rsidRPr="0077363F" w:rsidRDefault="001955BB" w:rsidP="001955BB">
      <w:pPr>
        <w:rPr>
          <w:szCs w:val="22"/>
          <w:lang w:val="es-ES_tradnl"/>
        </w:rPr>
      </w:pPr>
      <w:r w:rsidRPr="0077363F">
        <w:rPr>
          <w:szCs w:val="22"/>
          <w:lang w:val="es-ES_tradnl"/>
        </w:rPr>
        <w:t>Jenny Lucía GALLARDO FIERRO (Sra.), Subsecretaria de Investigación Científica, Secretaría Nacional de Educación, Ciencia, Tecnología e Innovación, Quito</w:t>
      </w:r>
    </w:p>
    <w:p w:rsidR="001955BB" w:rsidRPr="0077363F" w:rsidRDefault="001955BB" w:rsidP="001955BB">
      <w:pPr>
        <w:rPr>
          <w:szCs w:val="22"/>
          <w:lang w:val="es-ES_tradnl"/>
        </w:rPr>
      </w:pPr>
      <w:r w:rsidRPr="0077363F">
        <w:rPr>
          <w:szCs w:val="22"/>
          <w:u w:val="single"/>
          <w:lang w:val="es-ES_tradnl"/>
        </w:rPr>
        <w:t xml:space="preserve">nmaldonado@cancilleria.gob.ec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Ñusta MALDONADO SARAVINO (Sra.), Segunda Secretaria, Misión Permanente, Ginebra</w:t>
      </w:r>
    </w:p>
    <w:p w:rsidR="001955BB" w:rsidRPr="001955BB" w:rsidRDefault="001955BB" w:rsidP="001955BB">
      <w:pPr>
        <w:rPr>
          <w:szCs w:val="22"/>
          <w:lang w:val="es-ES_tradnl"/>
        </w:rPr>
      </w:pPr>
      <w:r w:rsidRPr="001955BB">
        <w:rPr>
          <w:szCs w:val="22"/>
          <w:u w:val="single"/>
          <w:lang w:val="es-ES_tradnl"/>
        </w:rPr>
        <w:t xml:space="preserve">nmaldonado@cancilleria.gob.ec </w:t>
      </w:r>
    </w:p>
    <w:p w:rsidR="001955BB" w:rsidRP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t>Heidi Adela VASCONES MEDINA (Sra.), Tercera Secretaria, Misión Permanente, Ginebra</w:t>
      </w:r>
    </w:p>
    <w:p w:rsidR="001955BB" w:rsidRDefault="001955BB" w:rsidP="001955BB">
      <w:pPr>
        <w:rPr>
          <w:szCs w:val="22"/>
          <w:lang w:val="es-ES"/>
        </w:rPr>
      </w:pPr>
    </w:p>
    <w:p w:rsidR="001955BB" w:rsidRPr="00BC5811" w:rsidRDefault="001955BB" w:rsidP="001955BB">
      <w:pPr>
        <w:rPr>
          <w:szCs w:val="22"/>
          <w:lang w:val="es-ES"/>
        </w:rPr>
      </w:pPr>
    </w:p>
    <w:p w:rsidR="001955BB" w:rsidRPr="00123864" w:rsidRDefault="001955BB" w:rsidP="001955BB">
      <w:pPr>
        <w:rPr>
          <w:szCs w:val="22"/>
          <w:u w:val="single"/>
          <w:lang w:val="es-ES_tradnl"/>
        </w:rPr>
      </w:pPr>
      <w:r w:rsidRPr="00123864">
        <w:rPr>
          <w:szCs w:val="22"/>
          <w:u w:val="single"/>
          <w:lang w:val="es-ES_tradnl"/>
        </w:rPr>
        <w:t>ESPAGNE/SPAIN</w:t>
      </w:r>
    </w:p>
    <w:p w:rsidR="001955BB" w:rsidRPr="00123864" w:rsidRDefault="001955BB" w:rsidP="001955BB">
      <w:pPr>
        <w:rPr>
          <w:szCs w:val="22"/>
          <w:u w:val="single"/>
          <w:lang w:val="es-ES_tradnl"/>
        </w:rPr>
      </w:pPr>
    </w:p>
    <w:p w:rsidR="001955BB" w:rsidRPr="0013333E" w:rsidRDefault="001955BB" w:rsidP="001955BB">
      <w:pPr>
        <w:rPr>
          <w:szCs w:val="22"/>
          <w:lang w:val="es-ES"/>
        </w:rPr>
      </w:pPr>
      <w:r>
        <w:rPr>
          <w:szCs w:val="22"/>
          <w:lang w:val="es-ES"/>
        </w:rPr>
        <w:t xml:space="preserve">Alberto CASADO </w:t>
      </w:r>
      <w:r w:rsidRPr="0013333E">
        <w:rPr>
          <w:szCs w:val="22"/>
          <w:lang w:val="es-ES"/>
        </w:rPr>
        <w:t>FERNÁNDEZ (Sr.), Jefe, Departamento de Coordinación Jurídica y Relaciones Internacionales, Oficina Española de Patentes y Marcas (OEPM), Ministerio de Energía, Turismo y Agenda Digital, Madrid</w:t>
      </w:r>
    </w:p>
    <w:p w:rsidR="001955BB" w:rsidRPr="00123864" w:rsidRDefault="001955BB" w:rsidP="001955BB">
      <w:pPr>
        <w:rPr>
          <w:szCs w:val="22"/>
          <w:lang w:val="es-ES"/>
        </w:rPr>
      </w:pPr>
    </w:p>
    <w:p w:rsidR="001955BB" w:rsidRPr="0077363F" w:rsidRDefault="001955BB" w:rsidP="001955BB">
      <w:pPr>
        <w:rPr>
          <w:szCs w:val="22"/>
          <w:lang w:val="es-ES_tradnl"/>
        </w:rPr>
      </w:pPr>
    </w:p>
    <w:p w:rsidR="001955BB" w:rsidRPr="001955BB" w:rsidRDefault="001955BB" w:rsidP="001955BB">
      <w:pPr>
        <w:rPr>
          <w:szCs w:val="22"/>
          <w:u w:val="single"/>
        </w:rPr>
      </w:pPr>
      <w:r w:rsidRPr="001955BB">
        <w:rPr>
          <w:szCs w:val="22"/>
          <w:u w:val="single"/>
        </w:rPr>
        <w:t>ÉTATS-UNIS D’AMÉRIQUE/UNITED STATES OF AMERICA</w:t>
      </w:r>
    </w:p>
    <w:p w:rsidR="001955BB" w:rsidRPr="001955BB" w:rsidRDefault="001955BB" w:rsidP="001955BB">
      <w:pPr>
        <w:rPr>
          <w:szCs w:val="22"/>
          <w:u w:val="single"/>
        </w:rPr>
      </w:pPr>
    </w:p>
    <w:p w:rsidR="001955BB" w:rsidRPr="0077363F" w:rsidRDefault="001955BB" w:rsidP="001955BB">
      <w:pPr>
        <w:rPr>
          <w:szCs w:val="22"/>
        </w:rPr>
      </w:pPr>
      <w:r w:rsidRPr="0077363F">
        <w:rPr>
          <w:szCs w:val="22"/>
        </w:rPr>
        <w:t>Dominic KEATING (Mr.), Director, Intellectual Property Attaché Program, Office of Policy and International Affairs, United States Patent and Trademark Office (USPTO), Alexandria</w:t>
      </w:r>
    </w:p>
    <w:p w:rsidR="001955BB" w:rsidRPr="0077363F" w:rsidRDefault="001955BB" w:rsidP="001955BB">
      <w:pPr>
        <w:rPr>
          <w:szCs w:val="22"/>
        </w:rPr>
      </w:pPr>
      <w:r w:rsidRPr="0077363F">
        <w:rPr>
          <w:szCs w:val="22"/>
          <w:u w:val="single"/>
        </w:rPr>
        <w:t xml:space="preserve">dominic.keating@uspto.gov </w:t>
      </w:r>
    </w:p>
    <w:p w:rsidR="001955BB" w:rsidRPr="0077363F" w:rsidRDefault="001955BB" w:rsidP="001955BB">
      <w:pPr>
        <w:rPr>
          <w:szCs w:val="22"/>
        </w:rPr>
      </w:pPr>
    </w:p>
    <w:p w:rsidR="001955BB" w:rsidRPr="0077363F" w:rsidRDefault="001955BB" w:rsidP="001955BB">
      <w:pPr>
        <w:rPr>
          <w:szCs w:val="22"/>
        </w:rPr>
      </w:pPr>
      <w:r w:rsidRPr="0077363F">
        <w:rPr>
          <w:szCs w:val="22"/>
        </w:rPr>
        <w:t>Marina LAMM (Ms.), Patent Attorney, Office of Policy and International Affairs, Department of Commerce, United States Patent and Trademark Office (USPTO), Alexandria</w:t>
      </w:r>
    </w:p>
    <w:p w:rsidR="001955BB" w:rsidRPr="0077363F" w:rsidRDefault="001955BB" w:rsidP="001955BB">
      <w:pPr>
        <w:rPr>
          <w:szCs w:val="22"/>
        </w:rPr>
      </w:pPr>
    </w:p>
    <w:p w:rsidR="001955BB" w:rsidRPr="000B5A5A" w:rsidRDefault="001955BB" w:rsidP="001955BB">
      <w:pPr>
        <w:rPr>
          <w:szCs w:val="22"/>
        </w:rPr>
      </w:pPr>
      <w:r w:rsidRPr="000B5A5A">
        <w:rPr>
          <w:szCs w:val="22"/>
        </w:rPr>
        <w:t xml:space="preserve">Deborah LASHLEY-JOHNSON (Ms.), </w:t>
      </w:r>
      <w:r w:rsidRPr="00096A42">
        <w:rPr>
          <w:szCs w:val="22"/>
        </w:rPr>
        <w:t>Intellectual Property Attaché</w:t>
      </w:r>
      <w:r w:rsidRPr="000B5A5A">
        <w:rPr>
          <w:szCs w:val="22"/>
        </w:rPr>
        <w:t xml:space="preserve">, </w:t>
      </w:r>
      <w:r>
        <w:rPr>
          <w:szCs w:val="22"/>
        </w:rPr>
        <w:t xml:space="preserve">Permanent Mission to the World Trade Organization (WTO), </w:t>
      </w:r>
      <w:r w:rsidRPr="000B5A5A">
        <w:rPr>
          <w:szCs w:val="22"/>
        </w:rPr>
        <w:t>Geneva</w:t>
      </w:r>
    </w:p>
    <w:p w:rsidR="001955BB" w:rsidRDefault="001955BB" w:rsidP="001955BB">
      <w:pPr>
        <w:rPr>
          <w:szCs w:val="22"/>
        </w:rPr>
      </w:pPr>
    </w:p>
    <w:p w:rsidR="001955BB" w:rsidRPr="005702AC" w:rsidRDefault="001955BB" w:rsidP="001955BB">
      <w:pPr>
        <w:rPr>
          <w:szCs w:val="22"/>
        </w:rPr>
      </w:pPr>
      <w:r w:rsidRPr="005702AC">
        <w:rPr>
          <w:szCs w:val="22"/>
        </w:rPr>
        <w:t xml:space="preserve">Kristine SCHLEGELMILCH (Ms.), </w:t>
      </w:r>
      <w:r w:rsidRPr="00AA4EDC">
        <w:rPr>
          <w:szCs w:val="22"/>
        </w:rPr>
        <w:t xml:space="preserve">Intellectual Property </w:t>
      </w:r>
      <w:r w:rsidRPr="005702AC">
        <w:rPr>
          <w:szCs w:val="22"/>
        </w:rPr>
        <w:t>Attaché,</w:t>
      </w:r>
      <w:r w:rsidRPr="00AA4EDC">
        <w:t xml:space="preserve"> </w:t>
      </w:r>
      <w:r w:rsidRPr="00AA4EDC">
        <w:rPr>
          <w:szCs w:val="22"/>
        </w:rPr>
        <w:t>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ÉTHIOPIE/ETHIOPIA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Yidnekachew Tekle ALEMU (Mr.),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FÉDÉRATION DE RUSSIE/RUSSIAN FEDERATION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Selkova EKATERINA (Ms.), Specialist, Patent Law Division, Department of Provision of State Services, Federal Service for Intellectual Property (ROSPATENT), Moscow</w:t>
      </w:r>
    </w:p>
    <w:p w:rsidR="001955BB" w:rsidRPr="0077363F" w:rsidRDefault="001955BB" w:rsidP="001955BB">
      <w:pPr>
        <w:rPr>
          <w:szCs w:val="22"/>
        </w:rPr>
      </w:pPr>
    </w:p>
    <w:p w:rsidR="001955BB" w:rsidRPr="0077363F" w:rsidRDefault="001955BB" w:rsidP="001955BB">
      <w:pPr>
        <w:rPr>
          <w:szCs w:val="22"/>
        </w:rPr>
      </w:pPr>
      <w:r w:rsidRPr="0077363F">
        <w:rPr>
          <w:szCs w:val="22"/>
        </w:rPr>
        <w:t>Larisa SIMONOVA (Ms.), Researcher, Federal Institute of Industrial Property (FIPS), Federal Service for Intellectual Property (ROSPATENT), Moscow</w:t>
      </w:r>
    </w:p>
    <w:p w:rsidR="001955BB" w:rsidRPr="0077363F" w:rsidRDefault="001955BB" w:rsidP="001955BB">
      <w:pPr>
        <w:rPr>
          <w:szCs w:val="22"/>
        </w:rPr>
      </w:pPr>
    </w:p>
    <w:p w:rsidR="001955BB" w:rsidRPr="0077363F" w:rsidRDefault="001955BB" w:rsidP="001955BB">
      <w:pPr>
        <w:rPr>
          <w:szCs w:val="22"/>
        </w:rPr>
      </w:pPr>
      <w:r w:rsidRPr="0077363F">
        <w:rPr>
          <w:szCs w:val="22"/>
        </w:rPr>
        <w:t>Elena TOMASHEVSKAYA (Ms.), Researcher, Federal Institute of Industrial Property (FIPS), Federal Service for Intellectual Property (ROSPATENT), Moscow</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lastRenderedPageBreak/>
        <w:t>FINLANDE/FINLAND</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Jukka LIEDES (Mr.), Special Adviser to the Government, Helsinki</w:t>
      </w:r>
    </w:p>
    <w:p w:rsidR="001955BB" w:rsidRDefault="001955BB" w:rsidP="001955BB">
      <w:pPr>
        <w:rPr>
          <w:szCs w:val="22"/>
        </w:rPr>
      </w:pPr>
    </w:p>
    <w:p w:rsidR="001955BB" w:rsidRDefault="001955BB" w:rsidP="001955BB">
      <w:pPr>
        <w:rPr>
          <w:szCs w:val="22"/>
        </w:rPr>
      </w:pPr>
      <w:r>
        <w:rPr>
          <w:szCs w:val="22"/>
        </w:rPr>
        <w:t>Soile KAURANEN (Ms.), Counsellor, Permanent Mission, Geneva</w:t>
      </w:r>
    </w:p>
    <w:p w:rsidR="001955BB" w:rsidRDefault="001955BB" w:rsidP="001955BB">
      <w:pPr>
        <w:rPr>
          <w:szCs w:val="22"/>
        </w:rPr>
      </w:pPr>
    </w:p>
    <w:p w:rsidR="001955BB"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FRANCE</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Julie GOUTARD (Mme), chargée de mission, Service juridique et international, Institut national de la propriété industrielle (INPI), Paris</w:t>
      </w:r>
    </w:p>
    <w:p w:rsidR="001955BB"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GABON</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Erick Blaise NDONG ABOGHE (M.), Directeur général adjoint, Office gabonais de la propriété industrielle (OGAPI), Ministère des mines, Libreville</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1955BB" w:rsidRDefault="001955BB" w:rsidP="001955BB">
      <w:pPr>
        <w:rPr>
          <w:szCs w:val="22"/>
          <w:u w:val="single"/>
          <w:lang w:val="fr-CH"/>
        </w:rPr>
      </w:pPr>
      <w:r w:rsidRPr="001955BB">
        <w:rPr>
          <w:szCs w:val="22"/>
          <w:u w:val="single"/>
          <w:lang w:val="fr-CH"/>
        </w:rPr>
        <w:t>GHANA</w:t>
      </w:r>
    </w:p>
    <w:p w:rsidR="001955BB" w:rsidRPr="001955BB" w:rsidRDefault="001955BB" w:rsidP="001955BB">
      <w:pPr>
        <w:rPr>
          <w:szCs w:val="22"/>
          <w:u w:val="single"/>
          <w:lang w:val="fr-CH"/>
        </w:rPr>
      </w:pPr>
    </w:p>
    <w:p w:rsidR="001955BB" w:rsidRPr="001955BB" w:rsidRDefault="001955BB" w:rsidP="001955BB">
      <w:pPr>
        <w:rPr>
          <w:szCs w:val="22"/>
          <w:lang w:val="fr-CH"/>
        </w:rPr>
      </w:pPr>
      <w:r w:rsidRPr="001955BB">
        <w:rPr>
          <w:szCs w:val="22"/>
          <w:lang w:val="fr-CH"/>
        </w:rPr>
        <w:t>Alexander Grant NTRAKWA (Mr.), Minister, Deputy Permanent Representative, Permanent Mission, Geneva</w:t>
      </w:r>
    </w:p>
    <w:p w:rsidR="001955BB" w:rsidRPr="001955BB" w:rsidRDefault="001955BB" w:rsidP="001955BB">
      <w:pPr>
        <w:rPr>
          <w:szCs w:val="22"/>
          <w:lang w:val="fr-CH"/>
        </w:rPr>
      </w:pPr>
    </w:p>
    <w:p w:rsidR="001955BB" w:rsidRPr="001955BB" w:rsidRDefault="001955BB" w:rsidP="001955BB">
      <w:pPr>
        <w:rPr>
          <w:szCs w:val="22"/>
          <w:lang w:val="fr-CH"/>
        </w:rPr>
      </w:pPr>
      <w:r w:rsidRPr="001955BB">
        <w:rPr>
          <w:szCs w:val="22"/>
          <w:lang w:val="fr-CH"/>
        </w:rPr>
        <w:t xml:space="preserve">Cynthia ATTUQUAYEFIO (Ms.), </w:t>
      </w:r>
      <w:proofErr w:type="spellStart"/>
      <w:r w:rsidRPr="001955BB">
        <w:rPr>
          <w:szCs w:val="22"/>
          <w:lang w:val="fr-CH"/>
        </w:rPr>
        <w:t>Minister</w:t>
      </w:r>
      <w:proofErr w:type="spellEnd"/>
      <w:r w:rsidRPr="001955BB">
        <w:rPr>
          <w:szCs w:val="22"/>
          <w:lang w:val="fr-CH"/>
        </w:rPr>
        <w:t xml:space="preserve"> </w:t>
      </w:r>
      <w:proofErr w:type="spellStart"/>
      <w:r w:rsidRPr="001955BB">
        <w:rPr>
          <w:szCs w:val="22"/>
          <w:lang w:val="fr-CH"/>
        </w:rPr>
        <w:t>Counsellor</w:t>
      </w:r>
      <w:proofErr w:type="spellEnd"/>
      <w:r w:rsidRPr="001955BB">
        <w:rPr>
          <w:szCs w:val="22"/>
          <w:lang w:val="fr-CH"/>
        </w:rPr>
        <w:t>, Permanent Mission, Geneva</w:t>
      </w:r>
    </w:p>
    <w:p w:rsidR="001955BB" w:rsidRPr="001955BB" w:rsidRDefault="001955BB" w:rsidP="001955BB">
      <w:pPr>
        <w:rPr>
          <w:szCs w:val="22"/>
          <w:lang w:val="fr-CH"/>
        </w:rPr>
      </w:pPr>
      <w:r w:rsidRPr="001955BB">
        <w:rPr>
          <w:szCs w:val="22"/>
          <w:u w:val="single"/>
          <w:lang w:val="fr-CH"/>
        </w:rPr>
        <w:t xml:space="preserve">attuquayefioc@ghanamission.ch </w:t>
      </w:r>
    </w:p>
    <w:p w:rsidR="001955BB" w:rsidRPr="001955BB" w:rsidRDefault="001955BB" w:rsidP="001955BB">
      <w:pPr>
        <w:rPr>
          <w:szCs w:val="22"/>
          <w:lang w:val="fr-CH"/>
        </w:rPr>
      </w:pPr>
    </w:p>
    <w:p w:rsidR="001955BB" w:rsidRPr="0077363F" w:rsidRDefault="001955BB" w:rsidP="001955BB">
      <w:pPr>
        <w:rPr>
          <w:szCs w:val="22"/>
        </w:rPr>
      </w:pPr>
      <w:r w:rsidRPr="0077363F">
        <w:rPr>
          <w:szCs w:val="22"/>
        </w:rPr>
        <w:t>Paul KURUK (Mr.), Executive Director, Institute for African Development (INADEV), Accra</w:t>
      </w:r>
    </w:p>
    <w:p w:rsidR="001955BB" w:rsidRPr="0077363F" w:rsidRDefault="001955BB" w:rsidP="001955BB">
      <w:pPr>
        <w:rPr>
          <w:szCs w:val="22"/>
        </w:rPr>
      </w:pPr>
    </w:p>
    <w:p w:rsidR="001955BB" w:rsidRDefault="001955BB" w:rsidP="001955BB">
      <w:pPr>
        <w:rPr>
          <w:szCs w:val="22"/>
        </w:rPr>
      </w:pPr>
    </w:p>
    <w:p w:rsidR="001955BB" w:rsidRPr="009C308F" w:rsidRDefault="001955BB" w:rsidP="001955BB">
      <w:pPr>
        <w:rPr>
          <w:szCs w:val="22"/>
          <w:u w:val="single"/>
        </w:rPr>
      </w:pPr>
      <w:r w:rsidRPr="009C308F">
        <w:rPr>
          <w:szCs w:val="22"/>
          <w:u w:val="single"/>
        </w:rPr>
        <w:t>GRÈCE/GREECE</w:t>
      </w:r>
    </w:p>
    <w:p w:rsidR="001955BB" w:rsidRPr="009C308F" w:rsidRDefault="001955BB" w:rsidP="001955BB">
      <w:pPr>
        <w:rPr>
          <w:szCs w:val="22"/>
          <w:u w:val="single"/>
        </w:rPr>
      </w:pPr>
    </w:p>
    <w:p w:rsidR="001955BB" w:rsidRDefault="001955BB" w:rsidP="001955BB">
      <w:pPr>
        <w:rPr>
          <w:szCs w:val="22"/>
        </w:rPr>
      </w:pPr>
      <w:r>
        <w:rPr>
          <w:szCs w:val="22"/>
        </w:rPr>
        <w:t>Christina VALASSOPOULOU (Ms.), First Counsellor, 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es-ES_tradnl"/>
        </w:rPr>
      </w:pPr>
      <w:r w:rsidRPr="0077363F">
        <w:rPr>
          <w:szCs w:val="22"/>
          <w:u w:val="single"/>
          <w:lang w:val="es-ES_tradnl"/>
        </w:rPr>
        <w:t>GUATEMALA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Flor de María GARCÍA DÍAZ (Sra.), Consejer</w:t>
      </w:r>
      <w:r>
        <w:rPr>
          <w:szCs w:val="22"/>
          <w:lang w:val="es-ES_tradnl"/>
        </w:rPr>
        <w:t>a</w:t>
      </w:r>
      <w:r w:rsidRPr="0077363F">
        <w:rPr>
          <w:szCs w:val="22"/>
          <w:lang w:val="es-ES_tradnl"/>
        </w:rPr>
        <w:t>, Misión Permanente ante la Organización Mundial del Comercio (OMC), Ginebra</w:t>
      </w:r>
    </w:p>
    <w:p w:rsidR="001955BB" w:rsidRPr="0077363F" w:rsidRDefault="001955BB" w:rsidP="001955BB">
      <w:pPr>
        <w:rPr>
          <w:szCs w:val="22"/>
          <w:lang w:val="es-ES_tradnl"/>
        </w:rPr>
      </w:pPr>
      <w:r w:rsidRPr="0077363F">
        <w:rPr>
          <w:szCs w:val="22"/>
          <w:u w:val="single"/>
          <w:lang w:val="es-ES_tradnl"/>
        </w:rPr>
        <w:t xml:space="preserve">flor.garcia@wtoguatemala.ch </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HONDURAS</w:t>
      </w:r>
    </w:p>
    <w:p w:rsidR="001955BB" w:rsidRPr="0077363F" w:rsidRDefault="001955BB" w:rsidP="001955BB">
      <w:pPr>
        <w:rPr>
          <w:szCs w:val="22"/>
          <w:u w:val="single"/>
          <w:lang w:val="es-ES_tradnl"/>
        </w:rPr>
      </w:pPr>
    </w:p>
    <w:p w:rsidR="001955BB" w:rsidRDefault="001955BB" w:rsidP="001955BB">
      <w:pPr>
        <w:rPr>
          <w:szCs w:val="22"/>
          <w:lang w:val="es-ES"/>
        </w:rPr>
      </w:pPr>
      <w:r w:rsidRPr="0013333E">
        <w:rPr>
          <w:szCs w:val="22"/>
          <w:lang w:val="es-ES"/>
        </w:rPr>
        <w:t xml:space="preserve">Carlos ROJAS SANTOS (Sr.), </w:t>
      </w:r>
      <w:r>
        <w:rPr>
          <w:szCs w:val="22"/>
          <w:lang w:val="es-ES"/>
        </w:rPr>
        <w:t>Embajador, Representante P</w:t>
      </w:r>
      <w:r w:rsidRPr="0013333E">
        <w:rPr>
          <w:szCs w:val="22"/>
          <w:lang w:val="es-ES"/>
        </w:rPr>
        <w:t xml:space="preserve">ermanente </w:t>
      </w:r>
      <w:r>
        <w:rPr>
          <w:szCs w:val="22"/>
          <w:lang w:val="es-ES"/>
        </w:rPr>
        <w:t>Adjunto, Misión P</w:t>
      </w:r>
      <w:r w:rsidRPr="0013333E">
        <w:rPr>
          <w:szCs w:val="22"/>
          <w:lang w:val="es-ES"/>
        </w:rPr>
        <w:t>ermanente, Ginebra</w:t>
      </w:r>
    </w:p>
    <w:p w:rsidR="001955BB" w:rsidRDefault="001955BB" w:rsidP="001955BB">
      <w:pPr>
        <w:rPr>
          <w:szCs w:val="22"/>
          <w:lang w:val="es-ES"/>
        </w:rPr>
      </w:pPr>
    </w:p>
    <w:p w:rsidR="001955BB" w:rsidRPr="0077363F" w:rsidRDefault="001955BB" w:rsidP="001955BB">
      <w:pPr>
        <w:rPr>
          <w:szCs w:val="22"/>
          <w:lang w:val="es-ES_tradnl"/>
        </w:rPr>
      </w:pPr>
      <w:r w:rsidRPr="0077363F">
        <w:rPr>
          <w:szCs w:val="22"/>
          <w:lang w:val="es-ES_tradnl"/>
        </w:rPr>
        <w:t>Fidel Antonio MEDINA CASTRO (Sr.), Jefe, Departamento Legal, Dirección General de Propiedad Intelectual (DIGEPIH), Tegucigalpa</w:t>
      </w:r>
    </w:p>
    <w:p w:rsidR="001955BB" w:rsidRPr="001955BB" w:rsidRDefault="001955BB" w:rsidP="001955BB">
      <w:pPr>
        <w:rPr>
          <w:szCs w:val="22"/>
          <w:lang w:val="es-ES_tradnl"/>
        </w:rPr>
      </w:pPr>
      <w:r w:rsidRPr="001955BB">
        <w:rPr>
          <w:szCs w:val="22"/>
          <w:u w:val="single"/>
          <w:lang w:val="es-ES_tradnl"/>
        </w:rPr>
        <w:t xml:space="preserve">fidelantonio_medina@yahoo.com </w:t>
      </w:r>
    </w:p>
    <w:p w:rsidR="001955BB" w:rsidRP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t>Mariel LE</w:t>
      </w:r>
      <w:r>
        <w:rPr>
          <w:szCs w:val="22"/>
          <w:lang w:val="es-ES"/>
        </w:rPr>
        <w:t>ZAMA (Sra.), Consejera, Misión P</w:t>
      </w:r>
      <w:r w:rsidRPr="0013333E">
        <w:rPr>
          <w:szCs w:val="22"/>
          <w:lang w:val="es-ES"/>
        </w:rPr>
        <w:t>ermanente, Ginebra</w:t>
      </w:r>
    </w:p>
    <w:p w:rsidR="001955BB" w:rsidRDefault="001955BB" w:rsidP="001955BB">
      <w:pPr>
        <w:rPr>
          <w:szCs w:val="22"/>
          <w:lang w:val="es-ES"/>
        </w:rPr>
      </w:pPr>
    </w:p>
    <w:p w:rsidR="001955BB" w:rsidRDefault="001955BB" w:rsidP="001955BB">
      <w:pPr>
        <w:rPr>
          <w:szCs w:val="22"/>
          <w:lang w:val="es-ES"/>
        </w:rPr>
      </w:pPr>
    </w:p>
    <w:p w:rsidR="001955BB" w:rsidRDefault="001955BB" w:rsidP="001955BB">
      <w:pPr>
        <w:rPr>
          <w:szCs w:val="22"/>
          <w:lang w:val="es-ES"/>
        </w:rPr>
      </w:pPr>
    </w:p>
    <w:p w:rsidR="001955BB" w:rsidRPr="0077363F" w:rsidRDefault="001955BB" w:rsidP="001955BB">
      <w:pPr>
        <w:rPr>
          <w:szCs w:val="22"/>
          <w:u w:val="single"/>
        </w:rPr>
      </w:pPr>
      <w:r w:rsidRPr="0077363F">
        <w:rPr>
          <w:szCs w:val="22"/>
          <w:u w:val="single"/>
        </w:rPr>
        <w:lastRenderedPageBreak/>
        <w:t>INDE/INDIA</w:t>
      </w:r>
    </w:p>
    <w:p w:rsidR="001955BB" w:rsidRPr="0077363F" w:rsidRDefault="001955BB" w:rsidP="001955BB">
      <w:pPr>
        <w:rPr>
          <w:szCs w:val="22"/>
          <w:u w:val="single"/>
        </w:rPr>
      </w:pPr>
    </w:p>
    <w:p w:rsidR="001955BB" w:rsidRDefault="001955BB" w:rsidP="001955BB">
      <w:pPr>
        <w:rPr>
          <w:szCs w:val="22"/>
        </w:rPr>
      </w:pPr>
      <w:proofErr w:type="spellStart"/>
      <w:r>
        <w:rPr>
          <w:szCs w:val="22"/>
        </w:rPr>
        <w:t>Virander</w:t>
      </w:r>
      <w:proofErr w:type="spellEnd"/>
      <w:r>
        <w:rPr>
          <w:szCs w:val="22"/>
        </w:rPr>
        <w:t xml:space="preserve"> PAUL (Mr.), Ambassador, Deputy Permanent Representative, Permanent Mission, Geneva</w:t>
      </w:r>
    </w:p>
    <w:p w:rsidR="001955BB" w:rsidRPr="0077363F" w:rsidRDefault="001955BB" w:rsidP="001955BB">
      <w:pPr>
        <w:rPr>
          <w:szCs w:val="22"/>
        </w:rPr>
      </w:pPr>
    </w:p>
    <w:p w:rsidR="001955BB" w:rsidRPr="0077363F" w:rsidRDefault="001955BB" w:rsidP="001955BB">
      <w:pPr>
        <w:rPr>
          <w:szCs w:val="22"/>
        </w:rPr>
      </w:pPr>
      <w:r w:rsidRPr="0077363F">
        <w:rPr>
          <w:szCs w:val="22"/>
        </w:rPr>
        <w:t>Ashish KUMAR (Mr.), Senior Development Officer, Department of Industrial Policy and Promotion, Ministry of Commerce and Industry, New Delhi</w:t>
      </w:r>
    </w:p>
    <w:p w:rsidR="001955BB" w:rsidRPr="0077363F" w:rsidRDefault="001955BB" w:rsidP="001955BB">
      <w:pPr>
        <w:rPr>
          <w:szCs w:val="22"/>
        </w:rPr>
      </w:pPr>
      <w:r w:rsidRPr="0077363F">
        <w:rPr>
          <w:szCs w:val="22"/>
          <w:u w:val="single"/>
        </w:rPr>
        <w:t xml:space="preserve">krashish@nic.in </w:t>
      </w:r>
    </w:p>
    <w:p w:rsidR="001955BB" w:rsidRDefault="001955BB" w:rsidP="001955BB">
      <w:pPr>
        <w:rPr>
          <w:szCs w:val="22"/>
        </w:rPr>
      </w:pPr>
    </w:p>
    <w:p w:rsidR="001955BB" w:rsidRDefault="001955BB" w:rsidP="001955BB">
      <w:pPr>
        <w:rPr>
          <w:szCs w:val="22"/>
        </w:rPr>
      </w:pPr>
      <w:proofErr w:type="spellStart"/>
      <w:r>
        <w:rPr>
          <w:szCs w:val="22"/>
        </w:rPr>
        <w:t>Sumit</w:t>
      </w:r>
      <w:proofErr w:type="spellEnd"/>
      <w:r>
        <w:rPr>
          <w:szCs w:val="22"/>
        </w:rPr>
        <w:t xml:space="preserve"> SETH (Mr.), First Secretary, Permanent Mission, Geneva</w:t>
      </w:r>
    </w:p>
    <w:p w:rsidR="001955BB" w:rsidRDefault="001955BB" w:rsidP="001955BB">
      <w:pPr>
        <w:rPr>
          <w:szCs w:val="22"/>
        </w:rPr>
      </w:pPr>
    </w:p>
    <w:p w:rsidR="001955BB" w:rsidRPr="0077363F" w:rsidRDefault="001955BB" w:rsidP="001955BB">
      <w:pPr>
        <w:rPr>
          <w:szCs w:val="22"/>
        </w:rPr>
      </w:pPr>
      <w:proofErr w:type="spellStart"/>
      <w:r w:rsidRPr="0077363F">
        <w:rPr>
          <w:szCs w:val="22"/>
        </w:rPr>
        <w:t>Animesh</w:t>
      </w:r>
      <w:proofErr w:type="spellEnd"/>
      <w:r w:rsidRPr="0077363F">
        <w:rPr>
          <w:szCs w:val="22"/>
        </w:rPr>
        <w:t xml:space="preserve"> CHOUDHURY (Mr.), Second Secretary,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INDONÉSIE/INDONESIA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 xml:space="preserve">Christine REFINA (Ms.), First Secretary, Trade, Commodities and Intellectual Property Department, Ministry of Foreign Affairs, Jakarta </w:t>
      </w:r>
    </w:p>
    <w:p w:rsidR="001955BB" w:rsidRDefault="001955BB" w:rsidP="001955BB">
      <w:pPr>
        <w:rPr>
          <w:szCs w:val="22"/>
          <w:u w:val="single"/>
        </w:rPr>
      </w:pPr>
      <w:r w:rsidRPr="0077363F">
        <w:rPr>
          <w:szCs w:val="22"/>
          <w:u w:val="single"/>
        </w:rPr>
        <w:t xml:space="preserve">crefina@gmail.com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Fitria</w:t>
      </w:r>
      <w:proofErr w:type="spellEnd"/>
      <w:r w:rsidRPr="0077363F">
        <w:rPr>
          <w:szCs w:val="22"/>
        </w:rPr>
        <w:t xml:space="preserve"> WIBOWO (Ms.), F</w:t>
      </w:r>
      <w:r>
        <w:rPr>
          <w:szCs w:val="22"/>
        </w:rPr>
        <w:t>irst Secretary, Trade, Commodities</w:t>
      </w:r>
      <w:r w:rsidRPr="0077363F">
        <w:rPr>
          <w:szCs w:val="22"/>
        </w:rPr>
        <w:t xml:space="preserve"> and Intellectual Property Department, Ministry of Foreign Affairs, Jakarta</w:t>
      </w:r>
    </w:p>
    <w:p w:rsidR="001955BB" w:rsidRPr="0077363F" w:rsidRDefault="001955BB" w:rsidP="001955BB">
      <w:pPr>
        <w:rPr>
          <w:szCs w:val="22"/>
        </w:rPr>
      </w:pPr>
    </w:p>
    <w:p w:rsidR="001955BB" w:rsidRDefault="001955BB" w:rsidP="001955BB">
      <w:pPr>
        <w:rPr>
          <w:szCs w:val="22"/>
        </w:rPr>
      </w:pPr>
      <w:r w:rsidRPr="0077363F">
        <w:rPr>
          <w:szCs w:val="22"/>
        </w:rPr>
        <w:t>Faizal Chery SIDHARTA (Mr.), Counsellor, Permanent Mission, Geneva</w:t>
      </w:r>
    </w:p>
    <w:p w:rsidR="001955BB" w:rsidRPr="0077363F" w:rsidRDefault="001955BB" w:rsidP="001955BB">
      <w:pPr>
        <w:rPr>
          <w:szCs w:val="22"/>
        </w:rPr>
      </w:pPr>
    </w:p>
    <w:p w:rsidR="001955BB" w:rsidRPr="0077363F" w:rsidRDefault="001955BB" w:rsidP="001955BB">
      <w:pPr>
        <w:rPr>
          <w:szCs w:val="22"/>
        </w:rPr>
      </w:pPr>
      <w:r w:rsidRPr="0077363F">
        <w:rPr>
          <w:szCs w:val="22"/>
        </w:rPr>
        <w:t xml:space="preserve">Erry </w:t>
      </w:r>
      <w:proofErr w:type="spellStart"/>
      <w:r w:rsidRPr="0077363F">
        <w:rPr>
          <w:szCs w:val="22"/>
        </w:rPr>
        <w:t>Wahyu</w:t>
      </w:r>
      <w:proofErr w:type="spellEnd"/>
      <w:r w:rsidRPr="0077363F">
        <w:rPr>
          <w:szCs w:val="22"/>
        </w:rPr>
        <w:t xml:space="preserve"> PRASETYO (Mr.), Third Secretary, Permanent Mission, Geneva</w:t>
      </w:r>
    </w:p>
    <w:p w:rsidR="001955BB" w:rsidRPr="001955BB" w:rsidRDefault="001955BB" w:rsidP="001955BB">
      <w:pPr>
        <w:rPr>
          <w:szCs w:val="22"/>
          <w:lang w:val="fr-FR"/>
        </w:rPr>
      </w:pPr>
      <w:r w:rsidRPr="001955BB">
        <w:rPr>
          <w:szCs w:val="22"/>
          <w:u w:val="single"/>
          <w:lang w:val="fr-FR"/>
        </w:rPr>
        <w:t xml:space="preserve">erry.prasetyo@mission-indonesia.org </w:t>
      </w:r>
    </w:p>
    <w:p w:rsidR="001955BB" w:rsidRPr="001955BB" w:rsidRDefault="001955BB" w:rsidP="001955BB">
      <w:pPr>
        <w:rPr>
          <w:szCs w:val="22"/>
          <w:lang w:val="fr-FR"/>
        </w:rPr>
      </w:pPr>
    </w:p>
    <w:p w:rsidR="001955BB" w:rsidRPr="001955BB" w:rsidRDefault="001955BB" w:rsidP="001955BB">
      <w:pPr>
        <w:rPr>
          <w:szCs w:val="22"/>
          <w:lang w:val="fr-FR"/>
        </w:rPr>
      </w:pPr>
    </w:p>
    <w:p w:rsidR="001955BB" w:rsidRPr="0077363F" w:rsidRDefault="00494F3B" w:rsidP="001955BB">
      <w:pPr>
        <w:rPr>
          <w:szCs w:val="22"/>
          <w:u w:val="single"/>
          <w:lang w:val="fr-CH"/>
        </w:rPr>
      </w:pPr>
      <w:r>
        <w:rPr>
          <w:szCs w:val="22"/>
          <w:u w:val="single"/>
          <w:lang w:val="fr-CH"/>
        </w:rPr>
        <w:t>IRAN (RÉPUBLIQUE ISLAMIQUE D’</w:t>
      </w:r>
      <w:r w:rsidR="001955BB" w:rsidRPr="0077363F">
        <w:rPr>
          <w:szCs w:val="22"/>
          <w:u w:val="single"/>
          <w:lang w:val="fr-CH"/>
        </w:rPr>
        <w:t>)/IRAN (ISLAMIC REPUBLIC OF)</w:t>
      </w:r>
    </w:p>
    <w:p w:rsidR="001955BB" w:rsidRPr="0077363F" w:rsidRDefault="001955BB" w:rsidP="001955BB">
      <w:pPr>
        <w:rPr>
          <w:szCs w:val="22"/>
          <w:u w:val="single"/>
          <w:lang w:val="fr-CH"/>
        </w:rPr>
      </w:pPr>
    </w:p>
    <w:p w:rsidR="001955BB" w:rsidRPr="0077363F" w:rsidRDefault="001955BB" w:rsidP="001955BB">
      <w:pPr>
        <w:rPr>
          <w:szCs w:val="22"/>
        </w:rPr>
      </w:pPr>
      <w:proofErr w:type="spellStart"/>
      <w:r w:rsidRPr="0077363F">
        <w:rPr>
          <w:szCs w:val="22"/>
        </w:rPr>
        <w:t>Javad</w:t>
      </w:r>
      <w:proofErr w:type="spellEnd"/>
      <w:r w:rsidRPr="0077363F">
        <w:rPr>
          <w:szCs w:val="22"/>
        </w:rPr>
        <w:t xml:space="preserve"> MOZAFARI HASHJIN (Mr.), Professor, Agricultural Research, Education and Extension Organization (AREEO), Ministry of Agriculture, Tehran</w:t>
      </w:r>
    </w:p>
    <w:p w:rsidR="001955BB" w:rsidRDefault="001955BB" w:rsidP="001955BB">
      <w:pPr>
        <w:rPr>
          <w:szCs w:val="22"/>
        </w:rPr>
      </w:pPr>
    </w:p>
    <w:p w:rsidR="001955BB" w:rsidRPr="0077363F" w:rsidRDefault="001955BB" w:rsidP="001955BB">
      <w:pPr>
        <w:rPr>
          <w:szCs w:val="22"/>
        </w:rPr>
      </w:pPr>
      <w:r w:rsidRPr="0077363F">
        <w:rPr>
          <w:szCs w:val="22"/>
        </w:rPr>
        <w:t>Reza DEHGHANI (Mr.), First Secretary, 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IRAQ</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Al–</w:t>
      </w:r>
      <w:proofErr w:type="spellStart"/>
      <w:r w:rsidRPr="0077363F">
        <w:rPr>
          <w:szCs w:val="22"/>
        </w:rPr>
        <w:t>Jaberi</w:t>
      </w:r>
      <w:proofErr w:type="spellEnd"/>
      <w:r w:rsidRPr="0077363F">
        <w:rPr>
          <w:szCs w:val="22"/>
        </w:rPr>
        <w:t xml:space="preserve"> JABER (Mr.), Senior Deputy Minister of Culture, Ministry of Culture, Baghdad</w:t>
      </w:r>
    </w:p>
    <w:p w:rsidR="001955BB" w:rsidRPr="0077363F" w:rsidRDefault="001955BB" w:rsidP="001955BB">
      <w:pPr>
        <w:rPr>
          <w:szCs w:val="22"/>
        </w:rPr>
      </w:pPr>
      <w:r w:rsidRPr="0077363F">
        <w:rPr>
          <w:szCs w:val="22"/>
          <w:u w:val="single"/>
        </w:rPr>
        <w:t xml:space="preserve">brnjar@gmail.com </w:t>
      </w:r>
    </w:p>
    <w:p w:rsidR="001955BB" w:rsidRPr="0077363F" w:rsidRDefault="001955BB" w:rsidP="001955BB">
      <w:pPr>
        <w:rPr>
          <w:szCs w:val="22"/>
        </w:rPr>
      </w:pPr>
    </w:p>
    <w:p w:rsidR="001955BB" w:rsidRDefault="001955BB" w:rsidP="001955BB">
      <w:pPr>
        <w:rPr>
          <w:szCs w:val="22"/>
        </w:rPr>
      </w:pPr>
      <w:proofErr w:type="spellStart"/>
      <w:r>
        <w:rPr>
          <w:szCs w:val="22"/>
        </w:rPr>
        <w:t>Baqir</w:t>
      </w:r>
      <w:proofErr w:type="spellEnd"/>
      <w:r>
        <w:rPr>
          <w:szCs w:val="22"/>
        </w:rPr>
        <w:t xml:space="preserve"> RASHEED (Mr.), Second Secretary, Permanent Mission, Geneva</w:t>
      </w:r>
    </w:p>
    <w:p w:rsidR="001955BB" w:rsidRDefault="001955BB" w:rsidP="001955BB">
      <w:pPr>
        <w:rPr>
          <w:szCs w:val="22"/>
        </w:rPr>
      </w:pPr>
      <w:r>
        <w:rPr>
          <w:szCs w:val="22"/>
          <w:u w:val="single"/>
        </w:rPr>
        <w:t xml:space="preserve">brnjar@gmail.com </w:t>
      </w:r>
    </w:p>
    <w:p w:rsidR="001955BB" w:rsidRDefault="001955BB" w:rsidP="001955BB">
      <w:pPr>
        <w:rPr>
          <w:szCs w:val="22"/>
        </w:rPr>
      </w:pPr>
    </w:p>
    <w:p w:rsidR="001955BB" w:rsidRDefault="001955BB" w:rsidP="001955BB">
      <w:pPr>
        <w:rPr>
          <w:szCs w:val="22"/>
        </w:rPr>
      </w:pPr>
    </w:p>
    <w:p w:rsidR="001955BB" w:rsidRPr="009C308F" w:rsidRDefault="001955BB" w:rsidP="001955BB">
      <w:pPr>
        <w:rPr>
          <w:szCs w:val="22"/>
          <w:u w:val="single"/>
        </w:rPr>
      </w:pPr>
      <w:r w:rsidRPr="009C308F">
        <w:rPr>
          <w:szCs w:val="22"/>
          <w:u w:val="single"/>
        </w:rPr>
        <w:t>IRLANDE/IRELAND</w:t>
      </w:r>
    </w:p>
    <w:p w:rsidR="001955BB" w:rsidRPr="009C308F" w:rsidRDefault="001955BB" w:rsidP="001955BB">
      <w:pPr>
        <w:rPr>
          <w:szCs w:val="22"/>
          <w:u w:val="single"/>
        </w:rPr>
      </w:pPr>
    </w:p>
    <w:p w:rsidR="001955BB" w:rsidRDefault="001955BB" w:rsidP="001955BB">
      <w:pPr>
        <w:rPr>
          <w:szCs w:val="22"/>
        </w:rPr>
      </w:pPr>
      <w:r>
        <w:rPr>
          <w:szCs w:val="22"/>
        </w:rPr>
        <w:t>Michael GAFFEY (Mr.), Ambassador, Permanent Representative, Permanent Mission, Geneva</w:t>
      </w:r>
    </w:p>
    <w:p w:rsidR="001955BB" w:rsidRDefault="001955BB" w:rsidP="001955BB">
      <w:pPr>
        <w:rPr>
          <w:szCs w:val="22"/>
        </w:rPr>
      </w:pPr>
    </w:p>
    <w:p w:rsidR="001955BB" w:rsidRDefault="001955BB" w:rsidP="001955BB">
      <w:pPr>
        <w:rPr>
          <w:szCs w:val="22"/>
        </w:rPr>
      </w:pPr>
      <w:r>
        <w:rPr>
          <w:szCs w:val="22"/>
        </w:rPr>
        <w:t>Mary KILLEEN (Ms.), Attaché, Permanent Mission, Geneva</w:t>
      </w:r>
    </w:p>
    <w:p w:rsidR="001955BB" w:rsidRPr="0013333E" w:rsidRDefault="001955BB" w:rsidP="001955BB">
      <w:pPr>
        <w:rPr>
          <w:szCs w:val="22"/>
          <w:lang w:val="fr-FR"/>
        </w:rPr>
      </w:pPr>
      <w:r w:rsidRPr="0013333E">
        <w:rPr>
          <w:szCs w:val="22"/>
          <w:u w:val="single"/>
          <w:lang w:val="fr-FR"/>
        </w:rPr>
        <w:t xml:space="preserve">mary.killeen@dfa.ie </w:t>
      </w:r>
    </w:p>
    <w:p w:rsidR="001955BB" w:rsidRPr="001955BB" w:rsidRDefault="001955BB" w:rsidP="001955BB">
      <w:pPr>
        <w:rPr>
          <w:szCs w:val="22"/>
          <w:lang w:val="fr-FR"/>
        </w:rPr>
      </w:pPr>
    </w:p>
    <w:p w:rsidR="001955BB" w:rsidRPr="001955BB" w:rsidRDefault="001955BB" w:rsidP="001955BB">
      <w:pPr>
        <w:rPr>
          <w:szCs w:val="22"/>
          <w:lang w:val="fr-FR"/>
        </w:rPr>
      </w:pPr>
    </w:p>
    <w:p w:rsidR="001955BB" w:rsidRDefault="001955BB" w:rsidP="001955BB">
      <w:pPr>
        <w:rPr>
          <w:szCs w:val="22"/>
          <w:u w:val="single"/>
          <w:lang w:val="fr-FR"/>
        </w:rPr>
      </w:pPr>
    </w:p>
    <w:p w:rsidR="001955BB" w:rsidRPr="001955BB" w:rsidRDefault="001955BB" w:rsidP="001955BB">
      <w:pPr>
        <w:rPr>
          <w:szCs w:val="22"/>
          <w:u w:val="single"/>
          <w:lang w:val="fr-FR"/>
        </w:rPr>
      </w:pPr>
      <w:r w:rsidRPr="001955BB">
        <w:rPr>
          <w:szCs w:val="22"/>
          <w:u w:val="single"/>
          <w:lang w:val="fr-FR"/>
        </w:rPr>
        <w:lastRenderedPageBreak/>
        <w:t>ITALIE/ITALY</w:t>
      </w:r>
    </w:p>
    <w:p w:rsidR="001955BB" w:rsidRPr="001955BB" w:rsidRDefault="001955BB" w:rsidP="001955BB">
      <w:pPr>
        <w:rPr>
          <w:szCs w:val="22"/>
          <w:u w:val="single"/>
          <w:lang w:val="fr-FR"/>
        </w:rPr>
      </w:pPr>
    </w:p>
    <w:p w:rsidR="001955BB" w:rsidRDefault="001955BB" w:rsidP="001955BB">
      <w:pPr>
        <w:rPr>
          <w:szCs w:val="22"/>
        </w:rPr>
      </w:pPr>
      <w:r>
        <w:rPr>
          <w:szCs w:val="22"/>
        </w:rPr>
        <w:t>Vittorio RAGONESI (Mr.), Chair, Recur Commission, Ministry of Economic Development, Rome</w:t>
      </w:r>
    </w:p>
    <w:p w:rsidR="001955BB" w:rsidRPr="00CE0690" w:rsidRDefault="001955BB" w:rsidP="001955BB">
      <w:pPr>
        <w:rPr>
          <w:szCs w:val="22"/>
          <w:lang w:val="fr-FR"/>
        </w:rPr>
      </w:pPr>
      <w:r w:rsidRPr="00CE0690">
        <w:rPr>
          <w:szCs w:val="22"/>
          <w:u w:val="single"/>
          <w:lang w:val="fr-FR"/>
        </w:rPr>
        <w:t xml:space="preserve">vragonesi@libero.it </w:t>
      </w:r>
    </w:p>
    <w:p w:rsidR="001955BB" w:rsidRPr="00CE0690" w:rsidRDefault="001955BB" w:rsidP="001955BB">
      <w:pPr>
        <w:rPr>
          <w:szCs w:val="22"/>
          <w:lang w:val="fr-FR"/>
        </w:rPr>
      </w:pPr>
    </w:p>
    <w:p w:rsidR="001955BB" w:rsidRPr="00CE0690" w:rsidRDefault="001955BB" w:rsidP="001955BB">
      <w:pPr>
        <w:rPr>
          <w:szCs w:val="22"/>
          <w:lang w:val="fr-FR"/>
        </w:rPr>
      </w:pPr>
      <w:proofErr w:type="spellStart"/>
      <w:r w:rsidRPr="00CE0690">
        <w:rPr>
          <w:szCs w:val="22"/>
          <w:lang w:val="fr-FR"/>
        </w:rPr>
        <w:t>Giulia</w:t>
      </w:r>
      <w:proofErr w:type="spellEnd"/>
      <w:r w:rsidRPr="00CE0690">
        <w:rPr>
          <w:szCs w:val="22"/>
          <w:lang w:val="fr-FR"/>
        </w:rPr>
        <w:t xml:space="preserve"> MARCHESONI (Ms.), </w:t>
      </w:r>
      <w:proofErr w:type="spellStart"/>
      <w:r w:rsidRPr="00CE0690">
        <w:rPr>
          <w:szCs w:val="22"/>
          <w:lang w:val="fr-FR"/>
        </w:rPr>
        <w:t>Intern</w:t>
      </w:r>
      <w:proofErr w:type="spellEnd"/>
      <w:r w:rsidRPr="00CE0690">
        <w:rPr>
          <w:szCs w:val="22"/>
          <w:lang w:val="fr-FR"/>
        </w:rPr>
        <w:t>, Permanent Mission, Geneva</w:t>
      </w:r>
    </w:p>
    <w:p w:rsidR="001955BB" w:rsidRPr="00CE0690" w:rsidRDefault="001955BB" w:rsidP="001955BB">
      <w:pPr>
        <w:rPr>
          <w:szCs w:val="22"/>
          <w:lang w:val="fr-FR"/>
        </w:rPr>
      </w:pPr>
    </w:p>
    <w:p w:rsidR="001955BB" w:rsidRPr="00CE0690" w:rsidRDefault="001955BB" w:rsidP="001955BB">
      <w:pPr>
        <w:rPr>
          <w:szCs w:val="22"/>
          <w:lang w:val="fr-FR"/>
        </w:rPr>
      </w:pPr>
    </w:p>
    <w:p w:rsidR="001955BB" w:rsidRPr="00CE0690" w:rsidRDefault="001955BB" w:rsidP="001955BB">
      <w:pPr>
        <w:rPr>
          <w:szCs w:val="22"/>
          <w:u w:val="single"/>
          <w:lang w:val="fr-FR"/>
        </w:rPr>
      </w:pPr>
      <w:r w:rsidRPr="00CE0690">
        <w:rPr>
          <w:szCs w:val="22"/>
          <w:u w:val="single"/>
          <w:lang w:val="fr-FR"/>
        </w:rPr>
        <w:t>JAPON/JAPAN</w:t>
      </w:r>
    </w:p>
    <w:p w:rsidR="001955BB" w:rsidRPr="00CE0690" w:rsidRDefault="001955BB" w:rsidP="001955BB">
      <w:pPr>
        <w:rPr>
          <w:szCs w:val="22"/>
          <w:u w:val="single"/>
          <w:lang w:val="fr-FR"/>
        </w:rPr>
      </w:pPr>
    </w:p>
    <w:p w:rsidR="001955BB" w:rsidRDefault="001955BB" w:rsidP="001955BB">
      <w:pPr>
        <w:rPr>
          <w:szCs w:val="22"/>
        </w:rPr>
      </w:pPr>
      <w:r>
        <w:rPr>
          <w:szCs w:val="22"/>
        </w:rPr>
        <w:t>Kenji SHIMADA (Mr.), Director, International Policy Division, Policy Planning and Coordination Department, Japan Patent Office (JPO), Tokyo</w:t>
      </w:r>
    </w:p>
    <w:p w:rsidR="001955BB" w:rsidRDefault="001955BB" w:rsidP="001955BB">
      <w:pPr>
        <w:rPr>
          <w:szCs w:val="22"/>
        </w:rPr>
      </w:pPr>
    </w:p>
    <w:p w:rsidR="001955BB" w:rsidRDefault="001955BB" w:rsidP="001955BB">
      <w:pPr>
        <w:rPr>
          <w:szCs w:val="22"/>
        </w:rPr>
      </w:pPr>
      <w:r>
        <w:rPr>
          <w:szCs w:val="22"/>
        </w:rPr>
        <w:t>Yuichi ITO (Mr.), Deputy Director, Intellectual Property Affairs Division, Ministry of Foreign Affairs, Tokyo</w:t>
      </w:r>
    </w:p>
    <w:p w:rsidR="001955BB" w:rsidRDefault="001955BB" w:rsidP="001955BB">
      <w:pPr>
        <w:rPr>
          <w:szCs w:val="22"/>
        </w:rPr>
      </w:pPr>
    </w:p>
    <w:p w:rsidR="001955BB" w:rsidRDefault="001955BB" w:rsidP="001955BB">
      <w:pPr>
        <w:rPr>
          <w:szCs w:val="22"/>
        </w:rPr>
      </w:pPr>
      <w:r>
        <w:rPr>
          <w:szCs w:val="22"/>
        </w:rPr>
        <w:t>Hiroki UEJIMA (Mr.), Deputy Director, International Policy Division, Policy Planning and Coordination Department, Japan Patent Office (JPO), Tokyo</w:t>
      </w:r>
    </w:p>
    <w:p w:rsidR="001955BB" w:rsidRDefault="001955BB" w:rsidP="001955BB">
      <w:pPr>
        <w:rPr>
          <w:szCs w:val="22"/>
        </w:rPr>
      </w:pPr>
    </w:p>
    <w:p w:rsidR="001955BB" w:rsidRDefault="001955BB" w:rsidP="001955BB">
      <w:pPr>
        <w:rPr>
          <w:szCs w:val="22"/>
        </w:rPr>
      </w:pPr>
      <w:r>
        <w:rPr>
          <w:szCs w:val="22"/>
        </w:rPr>
        <w:t>Kenji SAITO (Mr.), First Secretary,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JORDANIE/JORDAN</w:t>
      </w:r>
    </w:p>
    <w:p w:rsidR="001955BB" w:rsidRPr="0077363F" w:rsidRDefault="001955BB" w:rsidP="001955BB">
      <w:pPr>
        <w:rPr>
          <w:szCs w:val="22"/>
          <w:u w:val="single"/>
        </w:rPr>
      </w:pPr>
    </w:p>
    <w:p w:rsidR="001955BB" w:rsidRDefault="001955BB" w:rsidP="001955BB">
      <w:pPr>
        <w:rPr>
          <w:szCs w:val="22"/>
        </w:rPr>
      </w:pPr>
      <w:proofErr w:type="spellStart"/>
      <w:r>
        <w:rPr>
          <w:szCs w:val="22"/>
        </w:rPr>
        <w:t>Ena’am</w:t>
      </w:r>
      <w:proofErr w:type="spellEnd"/>
      <w:r>
        <w:rPr>
          <w:szCs w:val="22"/>
        </w:rPr>
        <w:t xml:space="preserve"> MUTAWE (Ms.), Director, Public Relations and Media, Department of the National Library, Ministry of Culture, Amman</w:t>
      </w:r>
    </w:p>
    <w:p w:rsidR="001955BB" w:rsidRDefault="001955BB" w:rsidP="001955BB">
      <w:pPr>
        <w:rPr>
          <w:szCs w:val="22"/>
        </w:rPr>
      </w:pPr>
      <w:r>
        <w:rPr>
          <w:szCs w:val="22"/>
          <w:u w:val="single"/>
        </w:rPr>
        <w:t xml:space="preserve">enaam.mutawe@nl.gov.jo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KAZAKHSTAN</w:t>
      </w:r>
    </w:p>
    <w:p w:rsidR="001955BB" w:rsidRPr="0077363F" w:rsidRDefault="001955BB" w:rsidP="001955BB">
      <w:pPr>
        <w:rPr>
          <w:szCs w:val="22"/>
          <w:u w:val="single"/>
        </w:rPr>
      </w:pPr>
    </w:p>
    <w:p w:rsidR="001955BB" w:rsidRPr="0077363F" w:rsidRDefault="001955BB" w:rsidP="001955BB">
      <w:pPr>
        <w:rPr>
          <w:szCs w:val="22"/>
        </w:rPr>
      </w:pPr>
      <w:proofErr w:type="spellStart"/>
      <w:r w:rsidRPr="0077363F">
        <w:rPr>
          <w:szCs w:val="22"/>
        </w:rPr>
        <w:t>Maxat</w:t>
      </w:r>
      <w:proofErr w:type="spellEnd"/>
      <w:r w:rsidRPr="0077363F">
        <w:rPr>
          <w:szCs w:val="22"/>
        </w:rPr>
        <w:t xml:space="preserve"> ARGYNBEKOV (Mr.), Head, Division of International Relationship, Ministry of Culture and Sports, Astana</w:t>
      </w:r>
    </w:p>
    <w:p w:rsidR="001955BB" w:rsidRDefault="001955BB" w:rsidP="001955BB">
      <w:pPr>
        <w:rPr>
          <w:szCs w:val="22"/>
        </w:rPr>
      </w:pPr>
    </w:p>
    <w:p w:rsidR="001955BB" w:rsidRDefault="001955BB" w:rsidP="001955BB">
      <w:pPr>
        <w:rPr>
          <w:szCs w:val="22"/>
        </w:rPr>
      </w:pPr>
      <w:r w:rsidRPr="00830B98">
        <w:rPr>
          <w:szCs w:val="22"/>
        </w:rPr>
        <w:t>Gaziz SEITZHANOV (Mr.), Third Secretary, Permanent Mission, Geneva</w:t>
      </w:r>
    </w:p>
    <w:p w:rsidR="001955BB" w:rsidRDefault="001955BB" w:rsidP="001955BB">
      <w:pPr>
        <w:rPr>
          <w:szCs w:val="22"/>
        </w:rPr>
      </w:pPr>
    </w:p>
    <w:p w:rsidR="001955BB" w:rsidRPr="0077363F" w:rsidRDefault="001955BB" w:rsidP="001955BB">
      <w:pPr>
        <w:rPr>
          <w:szCs w:val="22"/>
        </w:rPr>
      </w:pPr>
    </w:p>
    <w:p w:rsidR="001955BB" w:rsidRPr="00CE0690" w:rsidRDefault="001955BB" w:rsidP="001955BB">
      <w:pPr>
        <w:rPr>
          <w:szCs w:val="22"/>
          <w:u w:val="single"/>
          <w:lang w:val="fr-FR"/>
        </w:rPr>
      </w:pPr>
      <w:r w:rsidRPr="00CE0690">
        <w:rPr>
          <w:szCs w:val="22"/>
          <w:u w:val="single"/>
          <w:lang w:val="fr-FR"/>
        </w:rPr>
        <w:t>KOWEÏT/KUWAIT</w:t>
      </w:r>
    </w:p>
    <w:p w:rsidR="001955BB" w:rsidRPr="00CE0690" w:rsidRDefault="001955BB" w:rsidP="001955BB">
      <w:pPr>
        <w:rPr>
          <w:szCs w:val="22"/>
          <w:u w:val="single"/>
          <w:lang w:val="fr-FR"/>
        </w:rPr>
      </w:pPr>
    </w:p>
    <w:p w:rsidR="001955BB" w:rsidRPr="00CE0690" w:rsidRDefault="001955BB" w:rsidP="001955BB">
      <w:pPr>
        <w:rPr>
          <w:szCs w:val="22"/>
          <w:lang w:val="fr-FR"/>
        </w:rPr>
      </w:pPr>
      <w:proofErr w:type="spellStart"/>
      <w:r w:rsidRPr="00CE0690">
        <w:rPr>
          <w:szCs w:val="22"/>
          <w:lang w:val="fr-FR"/>
        </w:rPr>
        <w:t>Abdulaziz</w:t>
      </w:r>
      <w:proofErr w:type="spellEnd"/>
      <w:r w:rsidRPr="00CE0690">
        <w:rPr>
          <w:szCs w:val="22"/>
          <w:lang w:val="fr-FR"/>
        </w:rPr>
        <w:t xml:space="preserve"> TAQI (Mr.), Commercial Attaché, Permanent Mission, Geneva</w:t>
      </w:r>
    </w:p>
    <w:p w:rsidR="001955BB" w:rsidRPr="00CE0690" w:rsidRDefault="001955BB" w:rsidP="001955BB">
      <w:pPr>
        <w:rPr>
          <w:szCs w:val="22"/>
          <w:lang w:val="fr-FR"/>
        </w:rPr>
      </w:pPr>
    </w:p>
    <w:p w:rsidR="001955BB" w:rsidRPr="00CE0690" w:rsidRDefault="001955BB" w:rsidP="001955BB">
      <w:pPr>
        <w:rPr>
          <w:szCs w:val="22"/>
          <w:lang w:val="fr-FR"/>
        </w:rPr>
      </w:pPr>
    </w:p>
    <w:p w:rsidR="001955BB" w:rsidRPr="00CE0690" w:rsidRDefault="001955BB" w:rsidP="001955BB">
      <w:pPr>
        <w:rPr>
          <w:szCs w:val="22"/>
          <w:u w:val="single"/>
          <w:lang w:val="fr-FR"/>
        </w:rPr>
      </w:pPr>
      <w:r w:rsidRPr="00CE0690">
        <w:rPr>
          <w:szCs w:val="22"/>
          <w:u w:val="single"/>
          <w:lang w:val="fr-FR"/>
        </w:rPr>
        <w:t>LETTONIE/LATVIA</w:t>
      </w:r>
    </w:p>
    <w:p w:rsidR="001955BB" w:rsidRPr="00CE0690" w:rsidRDefault="001955BB" w:rsidP="001955BB">
      <w:pPr>
        <w:rPr>
          <w:szCs w:val="22"/>
          <w:u w:val="single"/>
          <w:lang w:val="fr-FR"/>
        </w:rPr>
      </w:pPr>
    </w:p>
    <w:p w:rsidR="001955BB" w:rsidRDefault="001955BB" w:rsidP="001955BB">
      <w:pPr>
        <w:rPr>
          <w:szCs w:val="22"/>
        </w:rPr>
      </w:pPr>
      <w:proofErr w:type="spellStart"/>
      <w:r>
        <w:rPr>
          <w:szCs w:val="22"/>
        </w:rPr>
        <w:t>Liene</w:t>
      </w:r>
      <w:proofErr w:type="spellEnd"/>
      <w:r>
        <w:rPr>
          <w:szCs w:val="22"/>
        </w:rPr>
        <w:t xml:space="preserve"> GRIKE (Ms.), Advisor, Permanent Mission, Geneva</w:t>
      </w:r>
    </w:p>
    <w:p w:rsidR="001955BB" w:rsidRDefault="001955BB" w:rsidP="001955BB">
      <w:pPr>
        <w:rPr>
          <w:szCs w:val="22"/>
        </w:rPr>
      </w:pPr>
    </w:p>
    <w:p w:rsidR="001955BB" w:rsidRPr="0077363F" w:rsidRDefault="001955BB" w:rsidP="001955BB">
      <w:pPr>
        <w:rPr>
          <w:szCs w:val="22"/>
        </w:rPr>
      </w:pPr>
    </w:p>
    <w:p w:rsidR="001955BB" w:rsidRPr="008C1D1D" w:rsidRDefault="001955BB" w:rsidP="001955BB">
      <w:pPr>
        <w:rPr>
          <w:szCs w:val="22"/>
          <w:u w:val="single"/>
        </w:rPr>
      </w:pPr>
      <w:r w:rsidRPr="008C1D1D">
        <w:rPr>
          <w:szCs w:val="22"/>
          <w:u w:val="single"/>
        </w:rPr>
        <w:t>LIBAN/LEBANON</w:t>
      </w:r>
    </w:p>
    <w:p w:rsidR="001955BB" w:rsidRPr="008C1D1D" w:rsidRDefault="001955BB" w:rsidP="001955BB">
      <w:pPr>
        <w:rPr>
          <w:szCs w:val="22"/>
          <w:u w:val="single"/>
        </w:rPr>
      </w:pPr>
    </w:p>
    <w:p w:rsidR="001955BB" w:rsidRPr="00EE4694" w:rsidRDefault="001955BB" w:rsidP="001955BB">
      <w:pPr>
        <w:rPr>
          <w:szCs w:val="22"/>
        </w:rPr>
      </w:pPr>
      <w:proofErr w:type="spellStart"/>
      <w:r w:rsidRPr="00EE4694">
        <w:rPr>
          <w:szCs w:val="22"/>
        </w:rPr>
        <w:t>Efraz</w:t>
      </w:r>
      <w:proofErr w:type="spellEnd"/>
      <w:r w:rsidRPr="00EE4694">
        <w:rPr>
          <w:szCs w:val="22"/>
        </w:rPr>
        <w:t xml:space="preserve"> HAGE (Ms.), Director, Directorate of Cooperation and National Coordination, Ministry of Culture, </w:t>
      </w:r>
      <w:r w:rsidRPr="004E55CA">
        <w:rPr>
          <w:szCs w:val="22"/>
        </w:rPr>
        <w:t>Beirut</w:t>
      </w:r>
    </w:p>
    <w:p w:rsidR="001955BB" w:rsidRDefault="001955BB" w:rsidP="001955BB">
      <w:pPr>
        <w:rPr>
          <w:szCs w:val="22"/>
        </w:rPr>
      </w:pPr>
    </w:p>
    <w:p w:rsidR="001955BB" w:rsidRDefault="001955BB" w:rsidP="001955BB">
      <w:pPr>
        <w:rPr>
          <w:szCs w:val="22"/>
        </w:rPr>
      </w:pPr>
    </w:p>
    <w:p w:rsidR="001955BB" w:rsidRDefault="001955BB" w:rsidP="001955BB">
      <w:pPr>
        <w:rPr>
          <w:szCs w:val="22"/>
        </w:rPr>
      </w:pPr>
    </w:p>
    <w:p w:rsidR="001955BB" w:rsidRDefault="001955BB" w:rsidP="001955BB">
      <w:pPr>
        <w:rPr>
          <w:szCs w:val="22"/>
        </w:rPr>
      </w:pPr>
    </w:p>
    <w:p w:rsidR="001955BB" w:rsidRPr="0077363F" w:rsidRDefault="001955BB" w:rsidP="001955BB">
      <w:pPr>
        <w:rPr>
          <w:szCs w:val="22"/>
          <w:u w:val="single"/>
        </w:rPr>
      </w:pPr>
      <w:r w:rsidRPr="0077363F">
        <w:rPr>
          <w:szCs w:val="22"/>
          <w:u w:val="single"/>
        </w:rPr>
        <w:lastRenderedPageBreak/>
        <w:t>LITUANIE/LITHUANIA</w:t>
      </w:r>
    </w:p>
    <w:p w:rsidR="001955BB" w:rsidRPr="0077363F" w:rsidRDefault="001955BB" w:rsidP="001955BB">
      <w:pPr>
        <w:rPr>
          <w:szCs w:val="22"/>
          <w:u w:val="single"/>
        </w:rPr>
      </w:pPr>
    </w:p>
    <w:p w:rsidR="001955BB" w:rsidRPr="0077363F" w:rsidRDefault="001955BB" w:rsidP="001955BB">
      <w:pPr>
        <w:rPr>
          <w:szCs w:val="22"/>
        </w:rPr>
      </w:pPr>
      <w:proofErr w:type="spellStart"/>
      <w:r w:rsidRPr="0077363F">
        <w:rPr>
          <w:szCs w:val="22"/>
        </w:rPr>
        <w:t>Dovile</w:t>
      </w:r>
      <w:proofErr w:type="spellEnd"/>
      <w:r w:rsidRPr="0077363F">
        <w:rPr>
          <w:szCs w:val="22"/>
        </w:rPr>
        <w:t xml:space="preserve"> TEBELSKYTE (Ms.), Head, Law and International Affairs Division, State Patent Bureau of the Republic of Lithuania, Vilnius</w:t>
      </w:r>
    </w:p>
    <w:p w:rsidR="001955BB" w:rsidRPr="0077363F" w:rsidRDefault="001955BB" w:rsidP="001955BB">
      <w:pPr>
        <w:rPr>
          <w:szCs w:val="22"/>
        </w:rPr>
      </w:pPr>
    </w:p>
    <w:p w:rsidR="001955BB" w:rsidRPr="0077363F" w:rsidRDefault="001955BB" w:rsidP="001955BB">
      <w:pPr>
        <w:rPr>
          <w:szCs w:val="22"/>
        </w:rPr>
      </w:pPr>
      <w:r w:rsidRPr="0077363F">
        <w:rPr>
          <w:szCs w:val="22"/>
        </w:rPr>
        <w:t>Renata RINKAUSKIENE (Ms.),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MALAISIE/MALAYSIA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Priscilla Ann YAP (Ms.), First Secretary, Permanent Mission, Geneva</w:t>
      </w:r>
    </w:p>
    <w:p w:rsidR="001955BB" w:rsidRDefault="001955BB" w:rsidP="001955BB">
      <w:pPr>
        <w:rPr>
          <w:szCs w:val="22"/>
        </w:rPr>
      </w:pPr>
    </w:p>
    <w:p w:rsidR="001955BB" w:rsidRDefault="001955BB" w:rsidP="001955BB">
      <w:pPr>
        <w:rPr>
          <w:szCs w:val="22"/>
        </w:rPr>
      </w:pPr>
    </w:p>
    <w:p w:rsidR="001955BB" w:rsidRPr="0077363F" w:rsidRDefault="001955BB" w:rsidP="001955BB">
      <w:pPr>
        <w:rPr>
          <w:szCs w:val="22"/>
          <w:u w:val="single"/>
        </w:rPr>
      </w:pPr>
      <w:r w:rsidRPr="0077363F">
        <w:rPr>
          <w:szCs w:val="22"/>
          <w:u w:val="single"/>
        </w:rPr>
        <w:t>MALAWI</w:t>
      </w:r>
    </w:p>
    <w:p w:rsidR="001955BB" w:rsidRPr="0077363F" w:rsidRDefault="001955BB" w:rsidP="001955BB">
      <w:pPr>
        <w:rPr>
          <w:szCs w:val="22"/>
          <w:u w:val="single"/>
        </w:rPr>
      </w:pPr>
    </w:p>
    <w:p w:rsidR="001955BB" w:rsidRDefault="001955BB" w:rsidP="001955BB">
      <w:pPr>
        <w:rPr>
          <w:szCs w:val="22"/>
        </w:rPr>
      </w:pPr>
      <w:r>
        <w:rPr>
          <w:szCs w:val="22"/>
        </w:rPr>
        <w:t xml:space="preserve">Robert </w:t>
      </w:r>
      <w:proofErr w:type="spellStart"/>
      <w:r>
        <w:rPr>
          <w:szCs w:val="22"/>
        </w:rPr>
        <w:t>Dufter</w:t>
      </w:r>
      <w:proofErr w:type="spellEnd"/>
      <w:r>
        <w:rPr>
          <w:szCs w:val="22"/>
        </w:rPr>
        <w:t xml:space="preserve"> SALAMA (Mr.), Ambassador, Permanent Representative, Permanent Mission, Geneva</w:t>
      </w:r>
    </w:p>
    <w:p w:rsidR="001955BB" w:rsidRDefault="001955BB" w:rsidP="001955BB">
      <w:pPr>
        <w:rPr>
          <w:szCs w:val="22"/>
          <w:u w:val="single"/>
        </w:rPr>
      </w:pPr>
      <w:r>
        <w:rPr>
          <w:szCs w:val="22"/>
          <w:u w:val="single"/>
        </w:rPr>
        <w:t xml:space="preserve">robertsalama@gvamw.org </w:t>
      </w:r>
    </w:p>
    <w:p w:rsidR="001955BB" w:rsidRDefault="001955BB" w:rsidP="001955BB">
      <w:pPr>
        <w:rPr>
          <w:szCs w:val="22"/>
        </w:rPr>
      </w:pPr>
    </w:p>
    <w:p w:rsidR="001955BB" w:rsidRDefault="001955BB" w:rsidP="001955BB">
      <w:pPr>
        <w:rPr>
          <w:szCs w:val="22"/>
        </w:rPr>
      </w:pPr>
      <w:r>
        <w:rPr>
          <w:szCs w:val="22"/>
        </w:rPr>
        <w:t xml:space="preserve">Loudon </w:t>
      </w:r>
      <w:proofErr w:type="spellStart"/>
      <w:r>
        <w:rPr>
          <w:szCs w:val="22"/>
        </w:rPr>
        <w:t>Overson</w:t>
      </w:r>
      <w:proofErr w:type="spellEnd"/>
      <w:r>
        <w:rPr>
          <w:szCs w:val="22"/>
        </w:rPr>
        <w:t xml:space="preserve"> MATTIYA (Mr.), Deputy Permanent Representative, Permanent Mission, Geneva</w:t>
      </w:r>
    </w:p>
    <w:p w:rsidR="001955BB" w:rsidRDefault="001955BB" w:rsidP="001955BB">
      <w:pPr>
        <w:rPr>
          <w:szCs w:val="22"/>
        </w:rPr>
      </w:pPr>
      <w:r>
        <w:rPr>
          <w:szCs w:val="22"/>
          <w:u w:val="single"/>
        </w:rPr>
        <w:t xml:space="preserve">mattiya2069@yahoo.com </w:t>
      </w:r>
    </w:p>
    <w:p w:rsidR="001955BB" w:rsidRDefault="001955BB" w:rsidP="001955BB">
      <w:pPr>
        <w:rPr>
          <w:szCs w:val="22"/>
        </w:rPr>
      </w:pPr>
    </w:p>
    <w:p w:rsidR="001955BB" w:rsidRPr="0077363F" w:rsidRDefault="001955BB" w:rsidP="001955BB">
      <w:pPr>
        <w:rPr>
          <w:szCs w:val="22"/>
        </w:rPr>
      </w:pPr>
      <w:r w:rsidRPr="0077363F">
        <w:rPr>
          <w:szCs w:val="22"/>
        </w:rPr>
        <w:t>Janet BANDA (Ms.), Principal Secretary and Solicitor General, Ministry of Justice and Constitutional Affairs, Lilongwe</w:t>
      </w:r>
    </w:p>
    <w:p w:rsidR="001955BB" w:rsidRPr="0077363F" w:rsidRDefault="001955BB" w:rsidP="001955BB">
      <w:pPr>
        <w:rPr>
          <w:szCs w:val="22"/>
        </w:rPr>
      </w:pPr>
      <w:r w:rsidRPr="0077363F">
        <w:rPr>
          <w:szCs w:val="22"/>
          <w:u w:val="single"/>
        </w:rPr>
        <w:t xml:space="preserve">janetlaura.banda@gmail.com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Chikumbutso</w:t>
      </w:r>
      <w:proofErr w:type="spellEnd"/>
      <w:r w:rsidRPr="0077363F">
        <w:rPr>
          <w:szCs w:val="22"/>
        </w:rPr>
        <w:t xml:space="preserve"> NAMELO (Mr.), Deputy Registrar General, Registrar General, Ministry of Justice and Constitutional Affairs, Lilongwe</w:t>
      </w:r>
    </w:p>
    <w:p w:rsidR="001955BB" w:rsidRPr="0077363F" w:rsidRDefault="001955BB" w:rsidP="001955BB">
      <w:pPr>
        <w:rPr>
          <w:szCs w:val="22"/>
        </w:rPr>
      </w:pPr>
    </w:p>
    <w:p w:rsidR="001955BB" w:rsidRPr="0077363F" w:rsidRDefault="001955BB" w:rsidP="001955BB">
      <w:pPr>
        <w:rPr>
          <w:szCs w:val="22"/>
        </w:rPr>
      </w:pPr>
      <w:r w:rsidRPr="0077363F">
        <w:rPr>
          <w:szCs w:val="22"/>
        </w:rPr>
        <w:t>Stephen M</w:t>
      </w:r>
      <w:r>
        <w:rPr>
          <w:szCs w:val="22"/>
        </w:rPr>
        <w:t>’</w:t>
      </w:r>
      <w:r w:rsidRPr="0077363F">
        <w:rPr>
          <w:szCs w:val="22"/>
        </w:rPr>
        <w:t>MODZI (Mr.), Counsellor, Permanent Mission, Geneva</w:t>
      </w:r>
    </w:p>
    <w:p w:rsidR="001955BB" w:rsidRPr="0077363F" w:rsidRDefault="001955BB" w:rsidP="001955BB">
      <w:pPr>
        <w:rPr>
          <w:szCs w:val="22"/>
        </w:rPr>
      </w:pPr>
      <w:r w:rsidRPr="0077363F">
        <w:rPr>
          <w:szCs w:val="22"/>
          <w:u w:val="single"/>
        </w:rPr>
        <w:t xml:space="preserve">stephen.mmodzi@gmail.com </w:t>
      </w:r>
    </w:p>
    <w:p w:rsidR="001955BB" w:rsidRPr="0077363F" w:rsidRDefault="001955BB" w:rsidP="001955BB">
      <w:pPr>
        <w:rPr>
          <w:szCs w:val="22"/>
        </w:rPr>
      </w:pPr>
    </w:p>
    <w:p w:rsidR="001955BB" w:rsidRPr="0077363F" w:rsidRDefault="001955BB" w:rsidP="001955BB">
      <w:pPr>
        <w:rPr>
          <w:szCs w:val="22"/>
        </w:rPr>
      </w:pPr>
      <w:r w:rsidRPr="0077363F">
        <w:rPr>
          <w:szCs w:val="22"/>
        </w:rPr>
        <w:t>Gift PASANJE (Mr.), Officer, Permanent Mission, Geneva</w:t>
      </w:r>
    </w:p>
    <w:p w:rsidR="001955BB" w:rsidRPr="001955BB" w:rsidRDefault="001955BB" w:rsidP="001955BB">
      <w:pPr>
        <w:rPr>
          <w:szCs w:val="22"/>
          <w:lang w:val="fr-FR"/>
        </w:rPr>
      </w:pPr>
      <w:r w:rsidRPr="001955BB">
        <w:rPr>
          <w:szCs w:val="22"/>
          <w:u w:val="single"/>
          <w:lang w:val="fr-FR"/>
        </w:rPr>
        <w:t xml:space="preserve">pasanjeg@gmail.com </w:t>
      </w:r>
    </w:p>
    <w:p w:rsidR="001955BB" w:rsidRPr="001955BB" w:rsidRDefault="001955BB" w:rsidP="001955BB">
      <w:pPr>
        <w:rPr>
          <w:szCs w:val="22"/>
          <w:lang w:val="fr-FR"/>
        </w:rPr>
      </w:pPr>
    </w:p>
    <w:p w:rsidR="001955BB" w:rsidRPr="001955BB" w:rsidRDefault="001955BB" w:rsidP="001955BB">
      <w:pPr>
        <w:rPr>
          <w:szCs w:val="22"/>
          <w:lang w:val="fr-FR"/>
        </w:rPr>
      </w:pPr>
    </w:p>
    <w:p w:rsidR="001955BB" w:rsidRPr="001955BB" w:rsidRDefault="001955BB" w:rsidP="001955BB">
      <w:pPr>
        <w:rPr>
          <w:szCs w:val="22"/>
          <w:u w:val="single"/>
          <w:lang w:val="fr-FR"/>
        </w:rPr>
      </w:pPr>
      <w:r w:rsidRPr="001955BB">
        <w:rPr>
          <w:szCs w:val="22"/>
          <w:u w:val="single"/>
          <w:lang w:val="fr-FR"/>
        </w:rPr>
        <w:t>MAROC/MOROCCO</w:t>
      </w:r>
    </w:p>
    <w:p w:rsidR="001955BB" w:rsidRPr="001955BB" w:rsidRDefault="001955BB" w:rsidP="001955BB">
      <w:pPr>
        <w:rPr>
          <w:szCs w:val="22"/>
          <w:u w:val="single"/>
          <w:lang w:val="fr-FR"/>
        </w:rPr>
      </w:pPr>
    </w:p>
    <w:p w:rsidR="001955BB" w:rsidRDefault="001955BB" w:rsidP="001955BB">
      <w:pPr>
        <w:rPr>
          <w:szCs w:val="22"/>
          <w:lang w:val="fr-CH"/>
        </w:rPr>
      </w:pPr>
      <w:r w:rsidRPr="0077363F">
        <w:rPr>
          <w:szCs w:val="22"/>
          <w:lang w:val="fr-CH"/>
        </w:rPr>
        <w:t>Ismail MENKARI (M.), directeur géné</w:t>
      </w:r>
      <w:r>
        <w:rPr>
          <w:szCs w:val="22"/>
          <w:lang w:val="fr-CH"/>
        </w:rPr>
        <w:t>ral, Bureau marocain du droit d’</w:t>
      </w:r>
      <w:r w:rsidRPr="0077363F">
        <w:rPr>
          <w:szCs w:val="22"/>
          <w:lang w:val="fr-CH"/>
        </w:rPr>
        <w:t>auteur (BMDA), Rabat</w:t>
      </w:r>
    </w:p>
    <w:p w:rsidR="001955BB" w:rsidRPr="0077363F" w:rsidRDefault="001955BB" w:rsidP="001955BB">
      <w:pPr>
        <w:rPr>
          <w:szCs w:val="22"/>
          <w:lang w:val="fr-CH"/>
        </w:rPr>
      </w:pPr>
    </w:p>
    <w:p w:rsidR="001955BB" w:rsidRPr="006C3694" w:rsidRDefault="001955BB" w:rsidP="001955BB">
      <w:pPr>
        <w:rPr>
          <w:szCs w:val="22"/>
          <w:lang w:val="fr-CH"/>
        </w:rPr>
      </w:pPr>
      <w:r w:rsidRPr="006C3694">
        <w:rPr>
          <w:szCs w:val="22"/>
          <w:lang w:val="fr-CH"/>
        </w:rPr>
        <w:t xml:space="preserve">Mounir EL JIRARI (M.), chef, </w:t>
      </w:r>
      <w:r>
        <w:rPr>
          <w:szCs w:val="22"/>
          <w:lang w:val="fr-CH"/>
        </w:rPr>
        <w:t>Département des médias et de l’</w:t>
      </w:r>
      <w:r w:rsidRPr="006C3694">
        <w:rPr>
          <w:szCs w:val="22"/>
          <w:lang w:val="fr-CH"/>
        </w:rPr>
        <w:t>audiovisuel, Minist</w:t>
      </w:r>
      <w:r>
        <w:rPr>
          <w:szCs w:val="22"/>
          <w:lang w:val="fr-CH"/>
        </w:rPr>
        <w:t>ère de la culture et de la communication</w:t>
      </w:r>
      <w:r w:rsidRPr="006C3694">
        <w:rPr>
          <w:szCs w:val="22"/>
          <w:lang w:val="fr-CH"/>
        </w:rPr>
        <w:t>, Rabat</w:t>
      </w:r>
    </w:p>
    <w:p w:rsidR="001955BB" w:rsidRPr="006C3694" w:rsidRDefault="001955BB" w:rsidP="001955BB">
      <w:pPr>
        <w:rPr>
          <w:szCs w:val="22"/>
          <w:lang w:val="fr-CH"/>
        </w:rPr>
      </w:pPr>
    </w:p>
    <w:p w:rsidR="001955BB" w:rsidRPr="006C3694" w:rsidRDefault="001955BB" w:rsidP="001955BB">
      <w:pPr>
        <w:rPr>
          <w:szCs w:val="22"/>
          <w:lang w:val="fr-CH"/>
        </w:rPr>
      </w:pPr>
      <w:r w:rsidRPr="006C3694">
        <w:rPr>
          <w:szCs w:val="22"/>
          <w:lang w:val="fr-CH"/>
        </w:rPr>
        <w:t xml:space="preserve">Khalid DAHBI (M.), </w:t>
      </w:r>
      <w:proofErr w:type="gramStart"/>
      <w:r w:rsidRPr="006C3694">
        <w:rPr>
          <w:szCs w:val="22"/>
          <w:lang w:val="fr-CH"/>
        </w:rPr>
        <w:t>conseiller</w:t>
      </w:r>
      <w:proofErr w:type="gramEnd"/>
      <w:r w:rsidRPr="006C3694">
        <w:rPr>
          <w:szCs w:val="22"/>
          <w:lang w:val="fr-CH"/>
        </w:rPr>
        <w:t xml:space="preserve">, Mission </w:t>
      </w:r>
      <w:r w:rsidRPr="00C13000">
        <w:rPr>
          <w:szCs w:val="22"/>
          <w:lang w:val="fr-FR"/>
        </w:rPr>
        <w:t>permanente</w:t>
      </w:r>
      <w:r w:rsidRPr="006C3694">
        <w:rPr>
          <w:szCs w:val="22"/>
          <w:lang w:val="fr-CH"/>
        </w:rPr>
        <w:t>, Genève</w:t>
      </w:r>
    </w:p>
    <w:p w:rsidR="001955BB" w:rsidRPr="006C3694" w:rsidRDefault="001955BB" w:rsidP="001955BB">
      <w:pPr>
        <w:rPr>
          <w:szCs w:val="22"/>
          <w:lang w:val="fr-CH"/>
        </w:rPr>
      </w:pPr>
    </w:p>
    <w:p w:rsidR="001955BB" w:rsidRPr="006C3694" w:rsidRDefault="001955BB" w:rsidP="001955BB">
      <w:pPr>
        <w:rPr>
          <w:szCs w:val="22"/>
          <w:lang w:val="fr-CH"/>
        </w:rPr>
      </w:pPr>
    </w:p>
    <w:p w:rsidR="001955BB" w:rsidRPr="0077363F" w:rsidRDefault="001955BB" w:rsidP="001955BB">
      <w:pPr>
        <w:rPr>
          <w:szCs w:val="22"/>
          <w:u w:val="single"/>
          <w:lang w:val="es-ES_tradnl"/>
        </w:rPr>
      </w:pPr>
      <w:r w:rsidRPr="0077363F">
        <w:rPr>
          <w:szCs w:val="22"/>
          <w:u w:val="single"/>
          <w:lang w:val="es-ES_tradnl"/>
        </w:rPr>
        <w:t>MEXIQUE/MEXICO</w:t>
      </w:r>
    </w:p>
    <w:p w:rsid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t>Socorro FLORES LIERA (Sra.), Embajador</w:t>
      </w:r>
      <w:r>
        <w:rPr>
          <w:szCs w:val="22"/>
          <w:lang w:val="es-ES"/>
        </w:rPr>
        <w:t>a</w:t>
      </w:r>
      <w:r w:rsidRPr="0013333E">
        <w:rPr>
          <w:szCs w:val="22"/>
          <w:lang w:val="es-ES"/>
        </w:rPr>
        <w:t xml:space="preserve">, Representante </w:t>
      </w:r>
      <w:r>
        <w:rPr>
          <w:szCs w:val="22"/>
          <w:lang w:val="es-ES"/>
        </w:rPr>
        <w:t>P</w:t>
      </w:r>
      <w:r w:rsidRPr="0013333E">
        <w:rPr>
          <w:szCs w:val="22"/>
          <w:lang w:val="es-ES"/>
        </w:rPr>
        <w:t>ermanente, Misión Permanente, Ginebra</w:t>
      </w:r>
    </w:p>
    <w:p w:rsidR="001955BB" w:rsidRPr="0013333E" w:rsidRDefault="001955BB" w:rsidP="001955BB">
      <w:pPr>
        <w:rPr>
          <w:szCs w:val="22"/>
          <w:lang w:val="es-ES"/>
        </w:rPr>
      </w:pPr>
    </w:p>
    <w:p w:rsidR="001955BB" w:rsidRPr="0013333E" w:rsidRDefault="001955BB" w:rsidP="001955BB">
      <w:pPr>
        <w:rPr>
          <w:szCs w:val="22"/>
          <w:lang w:val="es-ES"/>
        </w:rPr>
      </w:pPr>
      <w:r w:rsidRPr="0013333E">
        <w:rPr>
          <w:szCs w:val="22"/>
          <w:lang w:val="es-ES"/>
        </w:rPr>
        <w:t>Juan Ra</w:t>
      </w:r>
      <w:r>
        <w:rPr>
          <w:szCs w:val="22"/>
          <w:lang w:val="es-ES"/>
        </w:rPr>
        <w:t>ú</w:t>
      </w:r>
      <w:r w:rsidRPr="0013333E">
        <w:rPr>
          <w:szCs w:val="22"/>
          <w:lang w:val="es-ES"/>
        </w:rPr>
        <w:t>l HEREDIA ACOSTA (</w:t>
      </w:r>
      <w:r>
        <w:rPr>
          <w:szCs w:val="22"/>
          <w:lang w:val="es-ES"/>
        </w:rPr>
        <w:t>Sr.), Embajador, Representante P</w:t>
      </w:r>
      <w:r w:rsidRPr="0013333E">
        <w:rPr>
          <w:szCs w:val="22"/>
          <w:lang w:val="es-ES"/>
        </w:rPr>
        <w:t xml:space="preserve">ermanente </w:t>
      </w:r>
      <w:r>
        <w:rPr>
          <w:szCs w:val="22"/>
          <w:lang w:val="es-ES"/>
        </w:rPr>
        <w:t>A</w:t>
      </w:r>
      <w:r w:rsidRPr="0013333E">
        <w:rPr>
          <w:szCs w:val="22"/>
          <w:lang w:val="es-ES"/>
        </w:rPr>
        <w:t>lterno, Misión Permanente, Ginebra</w:t>
      </w:r>
    </w:p>
    <w:p w:rsidR="001955BB" w:rsidRPr="00B00342" w:rsidRDefault="001955BB" w:rsidP="001955BB">
      <w:pPr>
        <w:rPr>
          <w:szCs w:val="22"/>
          <w:lang w:val="es-ES"/>
        </w:rPr>
      </w:pPr>
    </w:p>
    <w:p w:rsidR="001955BB" w:rsidRPr="0077363F" w:rsidRDefault="001955BB" w:rsidP="001955BB">
      <w:pPr>
        <w:rPr>
          <w:szCs w:val="22"/>
          <w:lang w:val="es-ES_tradnl"/>
        </w:rPr>
      </w:pPr>
      <w:r w:rsidRPr="0077363F">
        <w:rPr>
          <w:szCs w:val="22"/>
          <w:lang w:val="es-ES_tradnl"/>
        </w:rPr>
        <w:lastRenderedPageBreak/>
        <w:t>María Gabriela CABRERAS VALLADARES (Sra.), Coordinadora Departamental de Examen de Fondo, Área Biotecnológica, Instituto Mexicano de la Propiedad Industrial (IMPI), Ciudad de México</w:t>
      </w:r>
    </w:p>
    <w:p w:rsidR="001955BB" w:rsidRPr="0077363F" w:rsidRDefault="001955BB" w:rsidP="001955BB">
      <w:pPr>
        <w:rPr>
          <w:szCs w:val="22"/>
          <w:lang w:val="es-ES_tradnl"/>
        </w:rPr>
      </w:pPr>
    </w:p>
    <w:p w:rsidR="001955BB" w:rsidRDefault="001955BB" w:rsidP="001955BB">
      <w:pPr>
        <w:rPr>
          <w:szCs w:val="22"/>
          <w:lang w:val="es-ES"/>
        </w:rPr>
      </w:pPr>
      <w:proofErr w:type="spellStart"/>
      <w:r w:rsidRPr="0013333E">
        <w:rPr>
          <w:szCs w:val="22"/>
          <w:lang w:val="es-ES"/>
        </w:rPr>
        <w:t>Emelia</w:t>
      </w:r>
      <w:proofErr w:type="spellEnd"/>
      <w:r w:rsidRPr="0013333E">
        <w:rPr>
          <w:szCs w:val="22"/>
          <w:lang w:val="es-ES"/>
        </w:rPr>
        <w:t xml:space="preserve"> HERNÁNDEZ PRIEGO (Sra.), Subdirectora Divisional de Examen de Fondo, Área Biotecnológica, Instituto Mexicano de la Propiedad Industrial (IMPI), Ciudad de México</w:t>
      </w:r>
    </w:p>
    <w:p w:rsidR="001955BB" w:rsidRPr="00B00342" w:rsidRDefault="001955BB" w:rsidP="001955BB">
      <w:pPr>
        <w:rPr>
          <w:szCs w:val="22"/>
          <w:lang w:val="es-ES"/>
        </w:rPr>
      </w:pPr>
    </w:p>
    <w:p w:rsidR="001955BB" w:rsidRPr="0013333E" w:rsidRDefault="001955BB" w:rsidP="001955BB">
      <w:pPr>
        <w:rPr>
          <w:szCs w:val="22"/>
          <w:lang w:val="es-ES"/>
        </w:rPr>
      </w:pPr>
      <w:r>
        <w:rPr>
          <w:szCs w:val="22"/>
          <w:lang w:val="es-ES"/>
        </w:rPr>
        <w:t>Marí</w:t>
      </w:r>
      <w:r w:rsidRPr="0013333E">
        <w:rPr>
          <w:szCs w:val="22"/>
          <w:lang w:val="es-ES"/>
        </w:rPr>
        <w:t>a del Pilar ESCOBAR BAUTISTA (Sra.), Consejera, Misión Permanente, Ginebra</w:t>
      </w:r>
    </w:p>
    <w:p w:rsidR="001955BB" w:rsidRDefault="001955BB" w:rsidP="001955BB">
      <w:pPr>
        <w:rPr>
          <w:szCs w:val="22"/>
          <w:lang w:val="es-ES_tradnl"/>
        </w:rPr>
      </w:pPr>
    </w:p>
    <w:p w:rsidR="001955BB" w:rsidRPr="0077363F" w:rsidRDefault="001955BB" w:rsidP="001955BB">
      <w:pPr>
        <w:rPr>
          <w:szCs w:val="22"/>
          <w:lang w:val="es-ES_tradnl"/>
        </w:rPr>
      </w:pPr>
    </w:p>
    <w:p w:rsidR="001955BB" w:rsidRPr="001955BB" w:rsidRDefault="001955BB" w:rsidP="001955BB">
      <w:pPr>
        <w:rPr>
          <w:szCs w:val="22"/>
          <w:u w:val="single"/>
          <w:lang w:val="es-ES_tradnl"/>
        </w:rPr>
      </w:pPr>
      <w:r>
        <w:rPr>
          <w:szCs w:val="22"/>
          <w:u w:val="single"/>
          <w:lang w:val="es-ES_tradnl"/>
        </w:rPr>
        <w:t>MONTÉNÉGRO</w:t>
      </w:r>
      <w:r w:rsidRPr="001955BB">
        <w:rPr>
          <w:szCs w:val="22"/>
          <w:u w:val="single"/>
          <w:lang w:val="es-ES_tradnl"/>
        </w:rPr>
        <w:t>/MONTENEGRO</w:t>
      </w:r>
    </w:p>
    <w:p w:rsidR="001955BB" w:rsidRPr="001955BB" w:rsidRDefault="001955BB" w:rsidP="001955BB">
      <w:pPr>
        <w:rPr>
          <w:szCs w:val="22"/>
          <w:u w:val="single"/>
          <w:lang w:val="es-ES_tradnl"/>
        </w:rPr>
      </w:pPr>
    </w:p>
    <w:p w:rsidR="001955BB" w:rsidRPr="001955BB" w:rsidRDefault="001955BB" w:rsidP="001955BB">
      <w:pPr>
        <w:rPr>
          <w:szCs w:val="22"/>
          <w:lang w:val="es-ES_tradnl"/>
        </w:rPr>
      </w:pPr>
      <w:r w:rsidRPr="001955BB">
        <w:rPr>
          <w:szCs w:val="22"/>
          <w:lang w:val="es-ES_tradnl"/>
        </w:rPr>
        <w:t>Valentina RADULOVIĆ-ŠĆEPANOVIĆ (Ms.), Director, Intellectual Property Office of Montenegro, Podgorica</w:t>
      </w:r>
    </w:p>
    <w:p w:rsidR="001955BB" w:rsidRPr="001955BB" w:rsidRDefault="001955BB" w:rsidP="001955BB">
      <w:pPr>
        <w:rPr>
          <w:szCs w:val="22"/>
          <w:u w:val="single"/>
          <w:lang w:val="es-ES_tradnl"/>
        </w:rPr>
      </w:pPr>
    </w:p>
    <w:p w:rsidR="001955BB" w:rsidRPr="001955BB" w:rsidRDefault="001955BB" w:rsidP="001955BB">
      <w:pPr>
        <w:rPr>
          <w:szCs w:val="22"/>
          <w:u w:val="single"/>
          <w:lang w:val="es-ES_tradnl"/>
        </w:rPr>
      </w:pPr>
    </w:p>
    <w:p w:rsidR="001955BB" w:rsidRPr="001955BB" w:rsidRDefault="001955BB" w:rsidP="001955BB">
      <w:pPr>
        <w:rPr>
          <w:szCs w:val="22"/>
          <w:u w:val="single"/>
          <w:lang w:val="es-ES_tradnl"/>
        </w:rPr>
      </w:pPr>
      <w:r w:rsidRPr="001955BB">
        <w:rPr>
          <w:szCs w:val="22"/>
          <w:u w:val="single"/>
          <w:lang w:val="es-ES_tradnl"/>
        </w:rPr>
        <w:t>MOZAMBIQUE</w:t>
      </w:r>
    </w:p>
    <w:p w:rsidR="001955BB" w:rsidRPr="001955BB" w:rsidRDefault="001955BB" w:rsidP="001955BB">
      <w:pPr>
        <w:rPr>
          <w:szCs w:val="22"/>
          <w:u w:val="single"/>
          <w:lang w:val="es-ES_tradnl"/>
        </w:rPr>
      </w:pPr>
    </w:p>
    <w:p w:rsidR="001955BB" w:rsidRPr="001955BB" w:rsidRDefault="001955BB" w:rsidP="001955BB">
      <w:pPr>
        <w:rPr>
          <w:szCs w:val="22"/>
          <w:lang w:val="es-ES_tradnl"/>
        </w:rPr>
      </w:pPr>
      <w:r w:rsidRPr="001955BB">
        <w:rPr>
          <w:szCs w:val="22"/>
          <w:lang w:val="es-ES_tradnl"/>
        </w:rPr>
        <w:t xml:space="preserve">Jaime CHISSANO (Mr.), </w:t>
      </w:r>
      <w:proofErr w:type="spellStart"/>
      <w:r w:rsidRPr="001955BB">
        <w:rPr>
          <w:szCs w:val="22"/>
          <w:lang w:val="es-ES_tradnl"/>
        </w:rPr>
        <w:t>Minister</w:t>
      </w:r>
      <w:proofErr w:type="spellEnd"/>
      <w:r w:rsidRPr="001955BB">
        <w:rPr>
          <w:szCs w:val="22"/>
          <w:lang w:val="es-ES_tradnl"/>
        </w:rPr>
        <w:t xml:space="preserve">, </w:t>
      </w:r>
      <w:proofErr w:type="spellStart"/>
      <w:r w:rsidRPr="001955BB">
        <w:rPr>
          <w:szCs w:val="22"/>
          <w:lang w:val="es-ES_tradnl"/>
        </w:rPr>
        <w:t>Permanent</w:t>
      </w:r>
      <w:proofErr w:type="spellEnd"/>
      <w:r w:rsidRPr="001955BB">
        <w:rPr>
          <w:szCs w:val="22"/>
          <w:lang w:val="es-ES_tradnl"/>
        </w:rPr>
        <w:t xml:space="preserve"> Mission, Geneva</w:t>
      </w:r>
    </w:p>
    <w:p w:rsidR="001955BB" w:rsidRPr="001955BB" w:rsidRDefault="001955BB" w:rsidP="001955BB">
      <w:pPr>
        <w:rPr>
          <w:szCs w:val="22"/>
          <w:lang w:val="es-ES_tradnl"/>
        </w:rPr>
      </w:pPr>
    </w:p>
    <w:p w:rsidR="001955BB" w:rsidRPr="0077363F" w:rsidRDefault="001955BB" w:rsidP="001955BB">
      <w:pPr>
        <w:rPr>
          <w:szCs w:val="22"/>
        </w:rPr>
      </w:pPr>
      <w:r w:rsidRPr="0077363F">
        <w:rPr>
          <w:szCs w:val="22"/>
        </w:rPr>
        <w:t>Margo BAGLEY (Ms.), Professor of Law, Emory University School of Law, Atlanta</w:t>
      </w:r>
    </w:p>
    <w:p w:rsidR="001955BB" w:rsidRPr="0077363F" w:rsidRDefault="001955BB" w:rsidP="001955BB">
      <w:pPr>
        <w:rPr>
          <w:szCs w:val="22"/>
        </w:rPr>
      </w:pPr>
      <w:r w:rsidRPr="0077363F">
        <w:rPr>
          <w:szCs w:val="22"/>
          <w:u w:val="single"/>
        </w:rPr>
        <w:t xml:space="preserve">margo.bagley@gmail.com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MYANMAR</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 xml:space="preserve">Aye </w:t>
      </w:r>
      <w:proofErr w:type="spellStart"/>
      <w:r w:rsidRPr="0077363F">
        <w:rPr>
          <w:szCs w:val="22"/>
        </w:rPr>
        <w:t>Aye</w:t>
      </w:r>
      <w:proofErr w:type="spellEnd"/>
      <w:r w:rsidRPr="0077363F">
        <w:rPr>
          <w:szCs w:val="22"/>
        </w:rPr>
        <w:t xml:space="preserve"> MAW (Ms.), Director, Intellectual Property Department, Ministry of Education, Nay </w:t>
      </w:r>
      <w:proofErr w:type="spellStart"/>
      <w:r w:rsidRPr="0077363F">
        <w:rPr>
          <w:szCs w:val="22"/>
        </w:rPr>
        <w:t>Pyi</w:t>
      </w:r>
      <w:proofErr w:type="spellEnd"/>
      <w:r w:rsidRPr="0077363F">
        <w:rPr>
          <w:szCs w:val="22"/>
        </w:rPr>
        <w:t xml:space="preserve"> Taw</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es-ES_tradnl"/>
        </w:rPr>
      </w:pPr>
      <w:r w:rsidRPr="0077363F">
        <w:rPr>
          <w:szCs w:val="22"/>
          <w:u w:val="single"/>
          <w:lang w:val="es-ES_tradnl"/>
        </w:rPr>
        <w:t>NICARAGUA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proofErr w:type="spellStart"/>
      <w:r w:rsidRPr="0077363F">
        <w:rPr>
          <w:szCs w:val="22"/>
          <w:lang w:val="es-ES_tradnl"/>
        </w:rPr>
        <w:t>Nohelia</w:t>
      </w:r>
      <w:proofErr w:type="spellEnd"/>
      <w:r w:rsidRPr="0077363F">
        <w:rPr>
          <w:szCs w:val="22"/>
          <w:lang w:val="es-ES_tradnl"/>
        </w:rPr>
        <w:t xml:space="preserve"> Carolina VARGAS IDIAQUEZ (Sra.), Primera Secretaria, Misión Permanente, Ginebra</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lang w:val="fr-CH"/>
        </w:rPr>
      </w:pPr>
      <w:r w:rsidRPr="0077363F">
        <w:rPr>
          <w:szCs w:val="22"/>
          <w:u w:val="single"/>
          <w:lang w:val="fr-CH"/>
        </w:rPr>
        <w:t>NIGER</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 xml:space="preserve">Amadou TANKOANO (M.), professeur de droit de propriété industrielle, Faculté des sciences économiques et juridiques, Université Abdou </w:t>
      </w:r>
      <w:proofErr w:type="spellStart"/>
      <w:r w:rsidRPr="0077363F">
        <w:rPr>
          <w:szCs w:val="22"/>
          <w:lang w:val="fr-CH"/>
        </w:rPr>
        <w:t>Moumouni</w:t>
      </w:r>
      <w:proofErr w:type="spellEnd"/>
      <w:r w:rsidRPr="0077363F">
        <w:rPr>
          <w:szCs w:val="22"/>
          <w:lang w:val="fr-CH"/>
        </w:rPr>
        <w:t xml:space="preserve"> de Niamey, Niamey</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rPr>
      </w:pPr>
      <w:r w:rsidRPr="0077363F">
        <w:rPr>
          <w:szCs w:val="22"/>
          <w:u w:val="single"/>
        </w:rPr>
        <w:t>NIGÉRIA/NIGERIA</w:t>
      </w:r>
    </w:p>
    <w:p w:rsidR="001955BB" w:rsidRPr="0077363F" w:rsidRDefault="001955BB" w:rsidP="001955BB">
      <w:pPr>
        <w:rPr>
          <w:szCs w:val="22"/>
          <w:u w:val="single"/>
        </w:rPr>
      </w:pPr>
    </w:p>
    <w:p w:rsidR="001955BB" w:rsidRPr="001955BB" w:rsidRDefault="001955BB" w:rsidP="001955BB">
      <w:pPr>
        <w:rPr>
          <w:szCs w:val="22"/>
        </w:rPr>
      </w:pPr>
      <w:proofErr w:type="spellStart"/>
      <w:r w:rsidRPr="001955BB">
        <w:rPr>
          <w:szCs w:val="22"/>
        </w:rPr>
        <w:t>Benaoyagha</w:t>
      </w:r>
      <w:proofErr w:type="spellEnd"/>
      <w:r w:rsidRPr="001955BB">
        <w:rPr>
          <w:szCs w:val="22"/>
        </w:rPr>
        <w:t xml:space="preserve"> OKOYEN (Mr.), </w:t>
      </w:r>
      <w:r w:rsidRPr="00541A95">
        <w:rPr>
          <w:szCs w:val="22"/>
        </w:rPr>
        <w:t>Minister</w:t>
      </w:r>
      <w:r w:rsidRPr="001955BB">
        <w:rPr>
          <w:szCs w:val="22"/>
        </w:rPr>
        <w:t>, Permanent Mission, Geneva</w:t>
      </w:r>
    </w:p>
    <w:p w:rsidR="001955BB" w:rsidRPr="001955BB" w:rsidRDefault="001955BB" w:rsidP="001955BB">
      <w:pPr>
        <w:rPr>
          <w:szCs w:val="22"/>
          <w:u w:val="single"/>
        </w:rPr>
      </w:pPr>
      <w:r w:rsidRPr="001955BB">
        <w:rPr>
          <w:szCs w:val="22"/>
          <w:u w:val="single"/>
        </w:rPr>
        <w:t xml:space="preserve">benokoyen@yahoo.com </w:t>
      </w:r>
    </w:p>
    <w:p w:rsidR="001955BB" w:rsidRPr="001955BB" w:rsidRDefault="001955BB" w:rsidP="001955BB">
      <w:pPr>
        <w:rPr>
          <w:szCs w:val="22"/>
        </w:rPr>
      </w:pPr>
    </w:p>
    <w:p w:rsidR="001955BB" w:rsidRPr="0077363F" w:rsidRDefault="001955BB" w:rsidP="001955BB">
      <w:pPr>
        <w:rPr>
          <w:szCs w:val="22"/>
        </w:rPr>
      </w:pPr>
      <w:proofErr w:type="spellStart"/>
      <w:r w:rsidRPr="0077363F">
        <w:rPr>
          <w:szCs w:val="22"/>
        </w:rPr>
        <w:t>Shafiu</w:t>
      </w:r>
      <w:proofErr w:type="spellEnd"/>
      <w:r w:rsidRPr="0077363F">
        <w:rPr>
          <w:szCs w:val="22"/>
        </w:rPr>
        <w:t xml:space="preserve"> </w:t>
      </w:r>
      <w:proofErr w:type="spellStart"/>
      <w:r w:rsidRPr="0077363F">
        <w:rPr>
          <w:szCs w:val="22"/>
        </w:rPr>
        <w:t>Yauri</w:t>
      </w:r>
      <w:proofErr w:type="spellEnd"/>
      <w:r w:rsidRPr="0077363F">
        <w:rPr>
          <w:szCs w:val="22"/>
        </w:rPr>
        <w:t xml:space="preserve"> ADAMU (M</w:t>
      </w:r>
      <w:r>
        <w:rPr>
          <w:szCs w:val="22"/>
        </w:rPr>
        <w:t>r</w:t>
      </w:r>
      <w:r w:rsidRPr="0077363F">
        <w:rPr>
          <w:szCs w:val="22"/>
        </w:rPr>
        <w:t>.), Assistant Chief Registrar, Trademarks, Patents and Designs Registry, Federal Ministry of Trade and Investment, Abuja</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Chidi</w:t>
      </w:r>
      <w:proofErr w:type="spellEnd"/>
      <w:r w:rsidRPr="0077363F">
        <w:rPr>
          <w:szCs w:val="22"/>
        </w:rPr>
        <w:t xml:space="preserve"> OGUAMANAM (M</w:t>
      </w:r>
      <w:r>
        <w:rPr>
          <w:szCs w:val="22"/>
        </w:rPr>
        <w:t>r</w:t>
      </w:r>
      <w:r w:rsidRPr="0077363F">
        <w:rPr>
          <w:szCs w:val="22"/>
        </w:rPr>
        <w:t>.), Professor of Law, University of Ottawa, Ottawa</w:t>
      </w:r>
    </w:p>
    <w:p w:rsidR="001955BB" w:rsidRPr="00541A95" w:rsidRDefault="001955BB" w:rsidP="001955BB">
      <w:pPr>
        <w:rPr>
          <w:szCs w:val="22"/>
        </w:rPr>
      </w:pPr>
    </w:p>
    <w:p w:rsidR="001955BB" w:rsidRDefault="001955BB" w:rsidP="001955BB">
      <w:pPr>
        <w:rPr>
          <w:szCs w:val="22"/>
        </w:rPr>
      </w:pPr>
    </w:p>
    <w:p w:rsidR="001955BB" w:rsidRDefault="001955BB">
      <w:pPr>
        <w:rPr>
          <w:szCs w:val="22"/>
        </w:rPr>
      </w:pPr>
      <w:r>
        <w:rPr>
          <w:szCs w:val="22"/>
        </w:rPr>
        <w:br w:type="page"/>
      </w:r>
    </w:p>
    <w:p w:rsidR="001955BB" w:rsidRPr="0077363F" w:rsidRDefault="001955BB" w:rsidP="001955BB">
      <w:pPr>
        <w:rPr>
          <w:szCs w:val="22"/>
          <w:u w:val="single"/>
        </w:rPr>
      </w:pPr>
      <w:r w:rsidRPr="0077363F">
        <w:rPr>
          <w:szCs w:val="22"/>
          <w:u w:val="single"/>
        </w:rPr>
        <w:lastRenderedPageBreak/>
        <w:t>OMAN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Mohammed AL BALUSHI (Mr.), First Secretary, Permanent Mission, Geneva</w:t>
      </w:r>
    </w:p>
    <w:p w:rsidR="001955BB" w:rsidRPr="0077363F" w:rsidRDefault="001955BB" w:rsidP="001955BB">
      <w:pPr>
        <w:rPr>
          <w:szCs w:val="22"/>
        </w:rPr>
      </w:pPr>
      <w:r w:rsidRPr="0077363F">
        <w:rPr>
          <w:szCs w:val="22"/>
          <w:u w:val="single"/>
        </w:rPr>
        <w:t xml:space="preserve">abubashar83@hotmail.com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OUGANDA/UGANDA</w:t>
      </w:r>
    </w:p>
    <w:p w:rsidR="001955BB" w:rsidRPr="0077363F" w:rsidRDefault="001955BB" w:rsidP="001955BB">
      <w:pPr>
        <w:rPr>
          <w:szCs w:val="22"/>
          <w:u w:val="single"/>
        </w:rPr>
      </w:pPr>
    </w:p>
    <w:p w:rsidR="001955BB" w:rsidRDefault="001955BB" w:rsidP="001955BB">
      <w:pPr>
        <w:rPr>
          <w:szCs w:val="22"/>
        </w:rPr>
      </w:pPr>
      <w:r>
        <w:rPr>
          <w:szCs w:val="22"/>
        </w:rPr>
        <w:t xml:space="preserve">Henry </w:t>
      </w:r>
      <w:proofErr w:type="spellStart"/>
      <w:r>
        <w:rPr>
          <w:szCs w:val="22"/>
        </w:rPr>
        <w:t>Kafunjo</w:t>
      </w:r>
      <w:proofErr w:type="spellEnd"/>
      <w:r>
        <w:rPr>
          <w:szCs w:val="22"/>
        </w:rPr>
        <w:t xml:space="preserve"> TWINOMUJUNI (Mr.), Traditional Knowledge Coordinator, Uganda Registration Services Bureau (URSB), Ministry of Justice and Constitutional Affairs, Kampala</w:t>
      </w:r>
    </w:p>
    <w:p w:rsidR="001955BB" w:rsidRPr="00541A95" w:rsidRDefault="001955BB" w:rsidP="001955BB">
      <w:pPr>
        <w:rPr>
          <w:szCs w:val="22"/>
        </w:rPr>
      </w:pPr>
      <w:r w:rsidRPr="00541A95">
        <w:rPr>
          <w:szCs w:val="22"/>
          <w:u w:val="single"/>
        </w:rPr>
        <w:t xml:space="preserve">kafunjo@ursb.go.ug </w:t>
      </w:r>
    </w:p>
    <w:p w:rsidR="001955BB" w:rsidRPr="00541A95" w:rsidRDefault="001955BB" w:rsidP="001955BB">
      <w:pPr>
        <w:rPr>
          <w:szCs w:val="22"/>
        </w:rPr>
      </w:pPr>
    </w:p>
    <w:p w:rsidR="001955BB" w:rsidRDefault="001955BB" w:rsidP="001955BB">
      <w:pPr>
        <w:rPr>
          <w:szCs w:val="22"/>
        </w:rPr>
      </w:pPr>
      <w:r>
        <w:rPr>
          <w:szCs w:val="22"/>
        </w:rPr>
        <w:t>George TEBAGANA (Mr.), Second Secretary, Permanent Mission, Geneva</w:t>
      </w:r>
    </w:p>
    <w:p w:rsidR="001955BB" w:rsidRDefault="001955BB" w:rsidP="001955BB">
      <w:pPr>
        <w:rPr>
          <w:szCs w:val="22"/>
        </w:rPr>
      </w:pPr>
    </w:p>
    <w:p w:rsidR="001955BB" w:rsidRDefault="001955BB" w:rsidP="001955BB">
      <w:pPr>
        <w:rPr>
          <w:szCs w:val="22"/>
        </w:rPr>
      </w:pPr>
    </w:p>
    <w:p w:rsidR="001955BB" w:rsidRPr="0013333E" w:rsidRDefault="001955BB" w:rsidP="001955BB">
      <w:pPr>
        <w:rPr>
          <w:szCs w:val="22"/>
          <w:u w:val="single"/>
          <w:lang w:val="es-ES"/>
        </w:rPr>
      </w:pPr>
      <w:r w:rsidRPr="0013333E">
        <w:rPr>
          <w:szCs w:val="22"/>
          <w:u w:val="single"/>
          <w:lang w:val="es-ES"/>
        </w:rPr>
        <w:t>PANAMA</w:t>
      </w:r>
    </w:p>
    <w:p w:rsidR="001955BB" w:rsidRPr="0013333E" w:rsidRDefault="001955BB" w:rsidP="001955BB">
      <w:pPr>
        <w:rPr>
          <w:szCs w:val="22"/>
          <w:u w:val="single"/>
          <w:lang w:val="es-ES"/>
        </w:rPr>
      </w:pPr>
    </w:p>
    <w:p w:rsidR="001955BB" w:rsidRPr="0013333E" w:rsidRDefault="001955BB" w:rsidP="001955BB">
      <w:pPr>
        <w:rPr>
          <w:szCs w:val="22"/>
          <w:lang w:val="es-ES"/>
        </w:rPr>
      </w:pPr>
      <w:r w:rsidRPr="0013333E">
        <w:rPr>
          <w:szCs w:val="22"/>
          <w:lang w:val="es-ES"/>
        </w:rPr>
        <w:t>Johana MÉNDEZ (Sra.), Segund</w:t>
      </w:r>
      <w:r>
        <w:rPr>
          <w:szCs w:val="22"/>
          <w:lang w:val="es-ES"/>
        </w:rPr>
        <w:t>a</w:t>
      </w:r>
      <w:r w:rsidRPr="0013333E">
        <w:rPr>
          <w:szCs w:val="22"/>
          <w:lang w:val="es-ES"/>
        </w:rPr>
        <w:t xml:space="preserve"> Secretari</w:t>
      </w:r>
      <w:r>
        <w:rPr>
          <w:szCs w:val="22"/>
          <w:lang w:val="es-ES"/>
        </w:rPr>
        <w:t>a</w:t>
      </w:r>
      <w:r w:rsidRPr="0013333E">
        <w:rPr>
          <w:szCs w:val="22"/>
          <w:lang w:val="es-ES"/>
        </w:rPr>
        <w:t>, Misión Permanente, Ginebra</w:t>
      </w:r>
    </w:p>
    <w:p w:rsidR="001955BB" w:rsidRPr="001955BB" w:rsidRDefault="001955BB" w:rsidP="001955BB">
      <w:pPr>
        <w:rPr>
          <w:szCs w:val="22"/>
          <w:lang w:val="es-ES_tradnl"/>
        </w:rPr>
      </w:pPr>
      <w:r w:rsidRPr="001955BB">
        <w:rPr>
          <w:szCs w:val="22"/>
          <w:u w:val="single"/>
          <w:lang w:val="es-ES_tradnl"/>
        </w:rPr>
        <w:t xml:space="preserve">jmendez@panama-omc.ch </w:t>
      </w:r>
    </w:p>
    <w:p w:rsidR="001955BB" w:rsidRDefault="001955BB" w:rsidP="001955BB">
      <w:pPr>
        <w:rPr>
          <w:szCs w:val="22"/>
          <w:u w:val="single"/>
          <w:lang w:val="es-ES_tradnl"/>
        </w:rPr>
      </w:pPr>
    </w:p>
    <w:p w:rsidR="001955BB" w:rsidRDefault="001955BB" w:rsidP="001955BB">
      <w:pPr>
        <w:rPr>
          <w:szCs w:val="22"/>
          <w:u w:val="single"/>
          <w:lang w:val="es-ES_tradnl"/>
        </w:rPr>
      </w:pPr>
    </w:p>
    <w:p w:rsidR="001955BB" w:rsidRPr="0077363F" w:rsidRDefault="001955BB" w:rsidP="001955BB">
      <w:pPr>
        <w:rPr>
          <w:szCs w:val="22"/>
          <w:u w:val="single"/>
          <w:lang w:val="es-ES_tradnl"/>
        </w:rPr>
      </w:pPr>
      <w:r w:rsidRPr="0077363F">
        <w:rPr>
          <w:szCs w:val="22"/>
          <w:u w:val="single"/>
          <w:lang w:val="es-ES_tradnl"/>
        </w:rPr>
        <w:t>PARAGUAY</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 xml:space="preserve">Walter CHAMORRO (Sr.), Segundo Secretario, </w:t>
      </w:r>
      <w:r>
        <w:rPr>
          <w:szCs w:val="22"/>
          <w:lang w:val="es-ES_tradnl"/>
        </w:rPr>
        <w:t>Misión</w:t>
      </w:r>
      <w:r w:rsidRPr="00541A95">
        <w:rPr>
          <w:szCs w:val="22"/>
          <w:lang w:val="es-ES_tradnl"/>
        </w:rPr>
        <w:t xml:space="preserve"> </w:t>
      </w:r>
      <w:r w:rsidRPr="0077363F">
        <w:rPr>
          <w:szCs w:val="22"/>
          <w:lang w:val="es-ES_tradnl"/>
        </w:rPr>
        <w:t>Permanent</w:t>
      </w:r>
      <w:r>
        <w:rPr>
          <w:szCs w:val="22"/>
          <w:lang w:val="es-ES_tradnl"/>
        </w:rPr>
        <w:t>e</w:t>
      </w:r>
      <w:r w:rsidRPr="0077363F">
        <w:rPr>
          <w:szCs w:val="22"/>
          <w:lang w:val="es-ES_tradnl"/>
        </w:rPr>
        <w:t>, Ginebra</w:t>
      </w:r>
    </w:p>
    <w:p w:rsidR="001955BB" w:rsidRPr="0077363F" w:rsidRDefault="001955BB" w:rsidP="001955BB">
      <w:pPr>
        <w:rPr>
          <w:szCs w:val="22"/>
        </w:rPr>
      </w:pPr>
      <w:r w:rsidRPr="0077363F">
        <w:rPr>
          <w:szCs w:val="22"/>
          <w:u w:val="single"/>
        </w:rPr>
        <w:t xml:space="preserve">wchamorro@misionparaguay.ch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PHILIPPINES</w:t>
      </w:r>
    </w:p>
    <w:p w:rsidR="001955BB" w:rsidRPr="0077363F" w:rsidRDefault="001955BB" w:rsidP="001955BB">
      <w:pPr>
        <w:rPr>
          <w:szCs w:val="22"/>
          <w:u w:val="single"/>
        </w:rPr>
      </w:pPr>
    </w:p>
    <w:p w:rsidR="001955BB" w:rsidRDefault="001955BB" w:rsidP="001955BB">
      <w:pPr>
        <w:rPr>
          <w:szCs w:val="22"/>
        </w:rPr>
      </w:pPr>
      <w:r>
        <w:rPr>
          <w:szCs w:val="22"/>
        </w:rPr>
        <w:t>Theresa TENAZAS (Ms.), Legal Officer, Biodiversity Management Bureau, Department of Environment and Natural Resources, Quezon City</w:t>
      </w:r>
    </w:p>
    <w:p w:rsidR="001955BB" w:rsidRPr="0013333E" w:rsidRDefault="001955BB" w:rsidP="001955BB">
      <w:pPr>
        <w:rPr>
          <w:szCs w:val="22"/>
          <w:lang w:val="fr-FR"/>
        </w:rPr>
      </w:pPr>
      <w:r w:rsidRPr="0013333E">
        <w:rPr>
          <w:szCs w:val="22"/>
          <w:u w:val="single"/>
          <w:lang w:val="fr-FR"/>
        </w:rPr>
        <w:t xml:space="preserve">t_tenazas@yahoo.com </w:t>
      </w:r>
    </w:p>
    <w:p w:rsidR="001955BB" w:rsidRPr="0013333E" w:rsidRDefault="001955BB" w:rsidP="001955BB">
      <w:pPr>
        <w:rPr>
          <w:szCs w:val="22"/>
          <w:u w:val="single"/>
          <w:lang w:val="fr-FR"/>
        </w:rPr>
      </w:pPr>
    </w:p>
    <w:p w:rsidR="001955BB" w:rsidRPr="0013333E" w:rsidRDefault="001955BB" w:rsidP="001955BB">
      <w:pPr>
        <w:rPr>
          <w:szCs w:val="22"/>
          <w:lang w:val="fr-FR"/>
        </w:rPr>
      </w:pPr>
      <w:proofErr w:type="spellStart"/>
      <w:r w:rsidRPr="0013333E">
        <w:rPr>
          <w:szCs w:val="22"/>
          <w:lang w:val="fr-FR"/>
        </w:rPr>
        <w:t>Jayroma</w:t>
      </w:r>
      <w:proofErr w:type="spellEnd"/>
      <w:r w:rsidRPr="0013333E">
        <w:rPr>
          <w:szCs w:val="22"/>
          <w:lang w:val="fr-FR"/>
        </w:rPr>
        <w:t xml:space="preserve"> BAYOTAS (Ms.), Attaché, Permanent Mission, Geneva</w:t>
      </w:r>
    </w:p>
    <w:p w:rsidR="001955BB" w:rsidRDefault="001955BB" w:rsidP="001955BB">
      <w:pPr>
        <w:rPr>
          <w:szCs w:val="22"/>
          <w:u w:val="single"/>
          <w:lang w:val="fr-FR"/>
        </w:rPr>
      </w:pPr>
      <w:r w:rsidRPr="0013333E">
        <w:rPr>
          <w:szCs w:val="22"/>
          <w:u w:val="single"/>
          <w:lang w:val="fr-FR"/>
        </w:rPr>
        <w:t xml:space="preserve">jheng0503bayotas@gmail.com </w:t>
      </w:r>
    </w:p>
    <w:p w:rsidR="001955BB" w:rsidRPr="0013333E" w:rsidRDefault="001955BB" w:rsidP="001955BB">
      <w:pPr>
        <w:rPr>
          <w:szCs w:val="22"/>
          <w:lang w:val="fr-FR"/>
        </w:rPr>
      </w:pPr>
    </w:p>
    <w:p w:rsidR="001955BB" w:rsidRDefault="001955BB" w:rsidP="001955BB">
      <w:pPr>
        <w:rPr>
          <w:szCs w:val="22"/>
        </w:rPr>
      </w:pPr>
      <w:r>
        <w:rPr>
          <w:szCs w:val="22"/>
        </w:rPr>
        <w:t>Arnel TALISAYON (Mr.), First Secretary, Permanent Mission, Geneva</w:t>
      </w:r>
    </w:p>
    <w:p w:rsidR="001955BB" w:rsidRDefault="001955BB" w:rsidP="001955BB">
      <w:pPr>
        <w:rPr>
          <w:szCs w:val="22"/>
          <w:u w:val="single"/>
        </w:rPr>
      </w:pPr>
      <w:r>
        <w:rPr>
          <w:szCs w:val="22"/>
          <w:u w:val="single"/>
        </w:rPr>
        <w:t xml:space="preserve">agtalisayon@gmail.com </w:t>
      </w:r>
    </w:p>
    <w:p w:rsidR="001955BB" w:rsidRPr="001955BB" w:rsidRDefault="001955BB" w:rsidP="001955BB">
      <w:pPr>
        <w:rPr>
          <w:szCs w:val="22"/>
        </w:rPr>
      </w:pPr>
    </w:p>
    <w:p w:rsidR="001955BB" w:rsidRPr="001955BB" w:rsidRDefault="001955BB" w:rsidP="001955BB">
      <w:pPr>
        <w:rPr>
          <w:szCs w:val="22"/>
          <w:u w:val="single"/>
        </w:rPr>
      </w:pPr>
    </w:p>
    <w:p w:rsidR="001955BB" w:rsidRPr="00360901" w:rsidRDefault="001955BB" w:rsidP="001955BB">
      <w:pPr>
        <w:rPr>
          <w:szCs w:val="22"/>
          <w:u w:val="single"/>
        </w:rPr>
      </w:pPr>
      <w:r w:rsidRPr="00360901">
        <w:rPr>
          <w:szCs w:val="22"/>
          <w:u w:val="single"/>
        </w:rPr>
        <w:t>POLOGNE/POLAND</w:t>
      </w:r>
    </w:p>
    <w:p w:rsidR="001955BB" w:rsidRPr="00360901" w:rsidRDefault="001955BB" w:rsidP="001955BB">
      <w:pPr>
        <w:rPr>
          <w:szCs w:val="22"/>
          <w:u w:val="single"/>
        </w:rPr>
      </w:pPr>
    </w:p>
    <w:p w:rsidR="001955BB" w:rsidRDefault="001955BB" w:rsidP="001955BB">
      <w:pPr>
        <w:rPr>
          <w:szCs w:val="22"/>
        </w:rPr>
      </w:pPr>
      <w:r>
        <w:rPr>
          <w:szCs w:val="22"/>
        </w:rPr>
        <w:t>Agnieszka HARDEJ-JANUSZEK (Ms.), First Counsellor, Permanent Mission, Geneva</w:t>
      </w:r>
    </w:p>
    <w:p w:rsidR="001955BB" w:rsidRDefault="001955BB" w:rsidP="001955BB">
      <w:pPr>
        <w:rPr>
          <w:szCs w:val="22"/>
        </w:rPr>
      </w:pPr>
      <w:r>
        <w:rPr>
          <w:szCs w:val="22"/>
          <w:u w:val="single"/>
        </w:rPr>
        <w:t xml:space="preserve">agnieszka.hardej-januszek@msz.gov.pl </w:t>
      </w:r>
    </w:p>
    <w:p w:rsidR="001955BB" w:rsidRDefault="001955BB" w:rsidP="001955BB">
      <w:pPr>
        <w:rPr>
          <w:szCs w:val="22"/>
          <w:u w:val="single"/>
        </w:rPr>
      </w:pPr>
    </w:p>
    <w:p w:rsidR="001955BB" w:rsidRDefault="001955BB" w:rsidP="001955BB">
      <w:pPr>
        <w:rPr>
          <w:szCs w:val="22"/>
          <w:u w:val="single"/>
        </w:rPr>
      </w:pPr>
    </w:p>
    <w:p w:rsidR="001955BB" w:rsidRPr="001955BB" w:rsidRDefault="001955BB" w:rsidP="001955BB">
      <w:pPr>
        <w:rPr>
          <w:szCs w:val="22"/>
          <w:u w:val="single"/>
        </w:rPr>
      </w:pPr>
      <w:r w:rsidRPr="001955BB">
        <w:rPr>
          <w:szCs w:val="22"/>
          <w:u w:val="single"/>
        </w:rPr>
        <w:t>PORTUGAL</w:t>
      </w:r>
    </w:p>
    <w:p w:rsidR="001955BB" w:rsidRPr="001955BB" w:rsidRDefault="001955BB" w:rsidP="001955BB">
      <w:pPr>
        <w:rPr>
          <w:szCs w:val="22"/>
          <w:u w:val="single"/>
        </w:rPr>
      </w:pPr>
    </w:p>
    <w:p w:rsidR="001955BB" w:rsidRDefault="001955BB" w:rsidP="001955BB">
      <w:pPr>
        <w:rPr>
          <w:szCs w:val="22"/>
        </w:rPr>
      </w:pPr>
      <w:proofErr w:type="spellStart"/>
      <w:r>
        <w:rPr>
          <w:szCs w:val="22"/>
        </w:rPr>
        <w:t>João</w:t>
      </w:r>
      <w:proofErr w:type="spellEnd"/>
      <w:r>
        <w:rPr>
          <w:szCs w:val="22"/>
        </w:rPr>
        <w:t xml:space="preserve"> PINA DE MORAIS (Mr.), First Secretary, Permanent Mission, Geneva</w:t>
      </w:r>
    </w:p>
    <w:p w:rsidR="001955BB" w:rsidRPr="00AD237C" w:rsidRDefault="001955BB" w:rsidP="001955BB">
      <w:pPr>
        <w:rPr>
          <w:szCs w:val="22"/>
          <w:u w:val="single"/>
        </w:rPr>
      </w:pPr>
    </w:p>
    <w:p w:rsidR="001955BB" w:rsidRPr="0077363F" w:rsidRDefault="001955BB" w:rsidP="001955BB">
      <w:pPr>
        <w:rPr>
          <w:szCs w:val="22"/>
          <w:lang w:val="es-ES_tradnl"/>
        </w:rPr>
      </w:pPr>
      <w:r w:rsidRPr="0077363F">
        <w:rPr>
          <w:szCs w:val="22"/>
          <w:lang w:val="es-ES_tradnl"/>
        </w:rPr>
        <w:t xml:space="preserve">José Pedro VALADAS DA SILVA (Mr.), </w:t>
      </w:r>
      <w:proofErr w:type="spellStart"/>
      <w:r w:rsidRPr="001955BB">
        <w:rPr>
          <w:szCs w:val="22"/>
          <w:lang w:val="es-ES_tradnl"/>
        </w:rPr>
        <w:t>Intern</w:t>
      </w:r>
      <w:proofErr w:type="spellEnd"/>
      <w:r w:rsidRPr="0077363F">
        <w:rPr>
          <w:szCs w:val="22"/>
          <w:lang w:val="es-ES_tradnl"/>
        </w:rPr>
        <w:t xml:space="preserve">, </w:t>
      </w:r>
      <w:proofErr w:type="spellStart"/>
      <w:r w:rsidRPr="001955BB">
        <w:rPr>
          <w:szCs w:val="22"/>
          <w:lang w:val="es-ES_tradnl"/>
        </w:rPr>
        <w:t>Permanent</w:t>
      </w:r>
      <w:proofErr w:type="spellEnd"/>
      <w:r w:rsidRPr="0077363F">
        <w:rPr>
          <w:szCs w:val="22"/>
          <w:lang w:val="es-ES_tradnl"/>
        </w:rPr>
        <w:t xml:space="preserve"> </w:t>
      </w:r>
      <w:r w:rsidRPr="001955BB">
        <w:rPr>
          <w:szCs w:val="22"/>
          <w:lang w:val="es-ES_tradnl"/>
        </w:rPr>
        <w:t>Mission</w:t>
      </w:r>
      <w:r w:rsidRPr="0077363F">
        <w:rPr>
          <w:szCs w:val="22"/>
          <w:lang w:val="es-ES_tradnl"/>
        </w:rPr>
        <w:t>, Geneva</w:t>
      </w:r>
    </w:p>
    <w:p w:rsidR="001955BB" w:rsidRPr="0077363F" w:rsidRDefault="001955BB" w:rsidP="001955BB">
      <w:pPr>
        <w:rPr>
          <w:szCs w:val="22"/>
          <w:lang w:val="es-ES_tradnl"/>
        </w:rPr>
      </w:pPr>
    </w:p>
    <w:p w:rsidR="001955BB" w:rsidRDefault="001955BB" w:rsidP="001955BB">
      <w:pPr>
        <w:rPr>
          <w:szCs w:val="22"/>
          <w:lang w:val="es-ES_tradnl"/>
        </w:rPr>
      </w:pPr>
    </w:p>
    <w:p w:rsidR="001955BB" w:rsidRDefault="001955BB">
      <w:pPr>
        <w:rPr>
          <w:szCs w:val="22"/>
          <w:lang w:val="es-ES_tradnl"/>
        </w:rPr>
      </w:pPr>
      <w:r>
        <w:rPr>
          <w:szCs w:val="22"/>
          <w:lang w:val="es-ES_tradnl"/>
        </w:rPr>
        <w:br w:type="page"/>
      </w:r>
    </w:p>
    <w:p w:rsidR="00494F3B" w:rsidRPr="00F82A40" w:rsidRDefault="00494F3B" w:rsidP="001955BB">
      <w:pPr>
        <w:rPr>
          <w:szCs w:val="22"/>
          <w:u w:val="single"/>
          <w:lang w:val="es-ES_tradnl"/>
        </w:rPr>
      </w:pPr>
    </w:p>
    <w:p w:rsidR="00494F3B" w:rsidRPr="00F82A40" w:rsidRDefault="00494F3B" w:rsidP="001955BB">
      <w:pPr>
        <w:rPr>
          <w:szCs w:val="22"/>
          <w:u w:val="single"/>
          <w:lang w:val="es-ES_tradnl"/>
        </w:rPr>
      </w:pPr>
    </w:p>
    <w:p w:rsidR="001955BB" w:rsidRPr="0077363F" w:rsidRDefault="001955BB" w:rsidP="001955BB">
      <w:pPr>
        <w:rPr>
          <w:szCs w:val="22"/>
          <w:u w:val="single"/>
          <w:lang w:val="fr-CH"/>
        </w:rPr>
      </w:pPr>
      <w:r w:rsidRPr="0077363F">
        <w:rPr>
          <w:szCs w:val="22"/>
          <w:u w:val="single"/>
          <w:lang w:val="fr-CH"/>
        </w:rPr>
        <w:t>RÉPUBLIQUE DE CORÉE/REPUBLIC OF KOREA</w:t>
      </w:r>
    </w:p>
    <w:p w:rsidR="001955BB" w:rsidRPr="0077363F" w:rsidRDefault="001955BB" w:rsidP="001955BB">
      <w:pPr>
        <w:rPr>
          <w:szCs w:val="22"/>
          <w:u w:val="single"/>
          <w:lang w:val="fr-CH"/>
        </w:rPr>
      </w:pPr>
    </w:p>
    <w:p w:rsidR="001955BB" w:rsidRDefault="001955BB" w:rsidP="001955BB">
      <w:pPr>
        <w:rPr>
          <w:szCs w:val="22"/>
        </w:rPr>
      </w:pPr>
      <w:r>
        <w:rPr>
          <w:szCs w:val="22"/>
        </w:rPr>
        <w:t>LEE Soo Jung (Ms.), Deputy Director, Biotechnology Examination Division, Korean Intellectual Property Office (KIPO), Daejeon</w:t>
      </w:r>
    </w:p>
    <w:p w:rsidR="001955BB" w:rsidRDefault="001955BB" w:rsidP="001955BB">
      <w:pPr>
        <w:rPr>
          <w:szCs w:val="22"/>
          <w:u w:val="single"/>
        </w:rPr>
      </w:pPr>
      <w:r>
        <w:rPr>
          <w:szCs w:val="22"/>
          <w:u w:val="single"/>
        </w:rPr>
        <w:t xml:space="preserve">sjl2009@korea.kr </w:t>
      </w:r>
    </w:p>
    <w:p w:rsidR="001955BB" w:rsidRDefault="001955BB" w:rsidP="001955BB">
      <w:pPr>
        <w:rPr>
          <w:szCs w:val="22"/>
        </w:rPr>
      </w:pPr>
    </w:p>
    <w:p w:rsidR="001955BB" w:rsidRDefault="001955BB" w:rsidP="001955BB">
      <w:pPr>
        <w:rPr>
          <w:szCs w:val="22"/>
        </w:rPr>
      </w:pPr>
      <w:r>
        <w:rPr>
          <w:szCs w:val="22"/>
        </w:rPr>
        <w:t xml:space="preserve">YOON </w:t>
      </w:r>
      <w:proofErr w:type="spellStart"/>
      <w:r>
        <w:rPr>
          <w:szCs w:val="22"/>
        </w:rPr>
        <w:t>Junseok</w:t>
      </w:r>
      <w:proofErr w:type="spellEnd"/>
      <w:r>
        <w:rPr>
          <w:szCs w:val="22"/>
        </w:rPr>
        <w:t xml:space="preserve"> (Mr.), Judge, Supreme Court of Korea, Seoul</w:t>
      </w:r>
    </w:p>
    <w:p w:rsidR="001955BB" w:rsidRDefault="001955BB" w:rsidP="001955BB">
      <w:pPr>
        <w:rPr>
          <w:szCs w:val="22"/>
        </w:rPr>
      </w:pPr>
    </w:p>
    <w:p w:rsidR="001955BB" w:rsidRDefault="001955BB" w:rsidP="001955BB">
      <w:pPr>
        <w:rPr>
          <w:szCs w:val="22"/>
        </w:rPr>
      </w:pPr>
      <w:r>
        <w:rPr>
          <w:szCs w:val="22"/>
        </w:rPr>
        <w:t xml:space="preserve">JUNG </w:t>
      </w:r>
      <w:proofErr w:type="spellStart"/>
      <w:r>
        <w:rPr>
          <w:szCs w:val="22"/>
        </w:rPr>
        <w:t>Dae</w:t>
      </w:r>
      <w:proofErr w:type="spellEnd"/>
      <w:r>
        <w:rPr>
          <w:szCs w:val="22"/>
        </w:rPr>
        <w:t xml:space="preserve"> Soon (Mr.), Counsellor, Permanent Mission, Geneva</w:t>
      </w:r>
    </w:p>
    <w:p w:rsidR="001955BB" w:rsidRDefault="001955BB" w:rsidP="001955BB">
      <w:pPr>
        <w:rPr>
          <w:szCs w:val="22"/>
        </w:rPr>
      </w:pPr>
      <w:r>
        <w:rPr>
          <w:szCs w:val="22"/>
          <w:u w:val="single"/>
        </w:rPr>
        <w:t xml:space="preserve">ddaesoon@korea.kr </w:t>
      </w:r>
    </w:p>
    <w:p w:rsidR="001955BB" w:rsidRDefault="001955BB" w:rsidP="001955BB">
      <w:pPr>
        <w:rPr>
          <w:szCs w:val="22"/>
        </w:rPr>
      </w:pPr>
    </w:p>
    <w:p w:rsidR="001955BB" w:rsidRDefault="001955BB" w:rsidP="001955BB">
      <w:pPr>
        <w:rPr>
          <w:szCs w:val="22"/>
        </w:rPr>
      </w:pPr>
      <w:r>
        <w:rPr>
          <w:szCs w:val="22"/>
        </w:rPr>
        <w:t>NHO Yu-Kyong (Ms.),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RÉPUBLIQUE POPULAIRE DÉMOCRATIQUE DE CORÉE/DEMOCRATIC PEOPLE'S REPUBLIC OF KOREA</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 xml:space="preserve">JONG </w:t>
      </w:r>
      <w:proofErr w:type="spellStart"/>
      <w:r w:rsidRPr="0077363F">
        <w:rPr>
          <w:szCs w:val="22"/>
        </w:rPr>
        <w:t>Myong</w:t>
      </w:r>
      <w:proofErr w:type="spellEnd"/>
      <w:r w:rsidRPr="0077363F">
        <w:rPr>
          <w:szCs w:val="22"/>
        </w:rPr>
        <w:t xml:space="preserve"> </w:t>
      </w:r>
      <w:proofErr w:type="spellStart"/>
      <w:r w:rsidRPr="0077363F">
        <w:rPr>
          <w:szCs w:val="22"/>
        </w:rPr>
        <w:t>Hak</w:t>
      </w:r>
      <w:proofErr w:type="spellEnd"/>
      <w:r w:rsidRPr="0077363F">
        <w:rPr>
          <w:szCs w:val="22"/>
        </w:rPr>
        <w:t xml:space="preserve"> (Mr.), Couns</w:t>
      </w:r>
      <w:r>
        <w:rPr>
          <w:szCs w:val="22"/>
        </w:rPr>
        <w:t>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RÉPUBLIQUE TCHÈQUE/CZECH REPUBLIC</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Lucie ZAMYKALOVA (Ms.), Head, International Unit II, International Department, Industrial Property Office, Prague</w:t>
      </w:r>
    </w:p>
    <w:p w:rsidR="001955BB" w:rsidRPr="0077363F" w:rsidRDefault="001955BB" w:rsidP="001955BB">
      <w:pPr>
        <w:rPr>
          <w:szCs w:val="22"/>
        </w:rPr>
      </w:pPr>
      <w:r w:rsidRPr="0077363F">
        <w:rPr>
          <w:szCs w:val="22"/>
          <w:u w:val="single"/>
        </w:rPr>
        <w:t xml:space="preserve">lzamykalova@upv.cz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ROUMANIE/ROMANIA</w:t>
      </w:r>
    </w:p>
    <w:p w:rsidR="001955BB" w:rsidRPr="0077363F" w:rsidRDefault="001955BB" w:rsidP="001955BB">
      <w:pPr>
        <w:rPr>
          <w:szCs w:val="22"/>
          <w:u w:val="single"/>
        </w:rPr>
      </w:pPr>
    </w:p>
    <w:p w:rsidR="001955BB" w:rsidRDefault="001955BB" w:rsidP="001955BB">
      <w:pPr>
        <w:rPr>
          <w:szCs w:val="22"/>
        </w:rPr>
      </w:pPr>
      <w:proofErr w:type="spellStart"/>
      <w:r>
        <w:rPr>
          <w:szCs w:val="22"/>
        </w:rPr>
        <w:t>Cătălin</w:t>
      </w:r>
      <w:proofErr w:type="spellEnd"/>
      <w:r>
        <w:rPr>
          <w:szCs w:val="22"/>
        </w:rPr>
        <w:t xml:space="preserve"> NIŢU (Mr.), Director, Legal, Appeals, International Cooperation and European Affairs Department, State Office for Inventions and Trademarks (OSIM), Bucharest</w:t>
      </w:r>
    </w:p>
    <w:p w:rsidR="001955BB" w:rsidRDefault="001955BB" w:rsidP="001955BB">
      <w:pPr>
        <w:rPr>
          <w:szCs w:val="22"/>
          <w:u w:val="single"/>
        </w:rPr>
      </w:pPr>
      <w:r>
        <w:rPr>
          <w:szCs w:val="22"/>
          <w:u w:val="single"/>
        </w:rPr>
        <w:t xml:space="preserve">catalin.nitu@osim.ro </w:t>
      </w:r>
    </w:p>
    <w:p w:rsidR="001955BB" w:rsidRDefault="001955BB" w:rsidP="001955BB">
      <w:pPr>
        <w:rPr>
          <w:szCs w:val="22"/>
        </w:rPr>
      </w:pPr>
    </w:p>
    <w:p w:rsidR="001955BB" w:rsidRDefault="001955BB" w:rsidP="001955BB">
      <w:pPr>
        <w:rPr>
          <w:szCs w:val="22"/>
        </w:rPr>
      </w:pPr>
      <w:proofErr w:type="spellStart"/>
      <w:r>
        <w:rPr>
          <w:szCs w:val="22"/>
        </w:rPr>
        <w:t>Dănuţ</w:t>
      </w:r>
      <w:proofErr w:type="spellEnd"/>
      <w:r>
        <w:rPr>
          <w:szCs w:val="22"/>
        </w:rPr>
        <w:t xml:space="preserve"> NEACŞU (Mr.), Legal Adviser, Legal, International Cooperation and European Affairs Division, State Office for Inventions and Trademarks (OSIM), Bucharest</w:t>
      </w:r>
    </w:p>
    <w:p w:rsidR="001955BB" w:rsidRDefault="001955BB" w:rsidP="001955BB">
      <w:pPr>
        <w:rPr>
          <w:szCs w:val="22"/>
        </w:rPr>
      </w:pPr>
      <w:r>
        <w:rPr>
          <w:szCs w:val="22"/>
          <w:u w:val="single"/>
        </w:rPr>
        <w:t xml:space="preserve">danut.neacsu@osim.ro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SAINT-SIÈGE/HOLY SEE</w:t>
      </w:r>
    </w:p>
    <w:p w:rsidR="001955BB" w:rsidRPr="0077363F" w:rsidRDefault="001955BB" w:rsidP="001955BB">
      <w:pPr>
        <w:rPr>
          <w:szCs w:val="22"/>
          <w:u w:val="single"/>
        </w:rPr>
      </w:pPr>
    </w:p>
    <w:p w:rsidR="001955BB" w:rsidRDefault="001955BB" w:rsidP="001955BB">
      <w:pPr>
        <w:rPr>
          <w:szCs w:val="22"/>
        </w:rPr>
      </w:pPr>
      <w:r>
        <w:rPr>
          <w:szCs w:val="22"/>
        </w:rPr>
        <w:t>Ivan JURKOVIČ (Mr.), Apostolic Nuncio, Permanent Mission, Geneva</w:t>
      </w:r>
    </w:p>
    <w:p w:rsidR="001955BB" w:rsidRDefault="001955BB" w:rsidP="001955BB">
      <w:pPr>
        <w:rPr>
          <w:szCs w:val="22"/>
        </w:rPr>
      </w:pPr>
      <w:r>
        <w:rPr>
          <w:szCs w:val="22"/>
          <w:u w:val="single"/>
        </w:rPr>
        <w:t xml:space="preserve">nuntiusge@nuntiusge.org </w:t>
      </w:r>
    </w:p>
    <w:p w:rsidR="001955BB" w:rsidRPr="001955BB" w:rsidRDefault="001955BB" w:rsidP="001955BB">
      <w:pPr>
        <w:rPr>
          <w:szCs w:val="22"/>
        </w:rPr>
      </w:pPr>
    </w:p>
    <w:p w:rsidR="001955BB" w:rsidRPr="001955BB" w:rsidRDefault="001955BB" w:rsidP="001955BB">
      <w:pPr>
        <w:rPr>
          <w:szCs w:val="22"/>
        </w:rPr>
      </w:pPr>
      <w:r w:rsidRPr="001955BB">
        <w:rPr>
          <w:szCs w:val="22"/>
        </w:rPr>
        <w:t>Carlo Maria MARENGHI (Mr.), Attaché, Permanent Mission, Geneva</w:t>
      </w:r>
    </w:p>
    <w:p w:rsidR="001955BB" w:rsidRPr="001955BB" w:rsidRDefault="001955BB" w:rsidP="001955BB">
      <w:pPr>
        <w:rPr>
          <w:szCs w:val="22"/>
        </w:rPr>
      </w:pPr>
      <w:r w:rsidRPr="001955BB">
        <w:rPr>
          <w:szCs w:val="22"/>
          <w:u w:val="single"/>
        </w:rPr>
        <w:t xml:space="preserve">iptrade@nuntiusge.org </w:t>
      </w:r>
    </w:p>
    <w:p w:rsidR="001955BB" w:rsidRPr="001955BB" w:rsidRDefault="001955BB" w:rsidP="001955BB">
      <w:pPr>
        <w:rPr>
          <w:szCs w:val="22"/>
        </w:rPr>
      </w:pPr>
    </w:p>
    <w:p w:rsidR="001955BB" w:rsidRPr="0077363F" w:rsidRDefault="001955BB" w:rsidP="001955BB">
      <w:pPr>
        <w:rPr>
          <w:szCs w:val="22"/>
        </w:rPr>
      </w:pPr>
      <w:r w:rsidRPr="0077363F">
        <w:rPr>
          <w:szCs w:val="22"/>
        </w:rPr>
        <w:t>Giulia RUSSO (Ms.), Intern, Permanent Mission, Geneva</w:t>
      </w:r>
    </w:p>
    <w:p w:rsidR="001955BB" w:rsidRPr="001955BB" w:rsidRDefault="001955BB" w:rsidP="001955BB">
      <w:pPr>
        <w:rPr>
          <w:szCs w:val="22"/>
          <w:lang w:val="fr-FR"/>
        </w:rPr>
      </w:pPr>
      <w:r w:rsidRPr="001955BB">
        <w:rPr>
          <w:szCs w:val="22"/>
          <w:u w:val="single"/>
          <w:lang w:val="fr-FR"/>
        </w:rPr>
        <w:t xml:space="preserve">iptrade@nuntiusge.org </w:t>
      </w:r>
    </w:p>
    <w:p w:rsidR="001955BB" w:rsidRPr="001955BB" w:rsidRDefault="001955BB" w:rsidP="001955BB">
      <w:pPr>
        <w:rPr>
          <w:szCs w:val="22"/>
          <w:lang w:val="fr-FR"/>
        </w:rPr>
      </w:pPr>
    </w:p>
    <w:p w:rsidR="001955BB" w:rsidRDefault="001955BB" w:rsidP="001955BB">
      <w:pPr>
        <w:rPr>
          <w:szCs w:val="22"/>
          <w:lang w:val="fr-FR"/>
        </w:rPr>
      </w:pPr>
    </w:p>
    <w:p w:rsidR="00494F3B" w:rsidRDefault="00494F3B" w:rsidP="001955BB">
      <w:pPr>
        <w:rPr>
          <w:szCs w:val="22"/>
          <w:lang w:val="fr-FR"/>
        </w:rPr>
      </w:pPr>
    </w:p>
    <w:p w:rsidR="00494F3B" w:rsidRDefault="00494F3B" w:rsidP="001955BB">
      <w:pPr>
        <w:rPr>
          <w:szCs w:val="22"/>
          <w:lang w:val="fr-FR"/>
        </w:rPr>
      </w:pPr>
    </w:p>
    <w:p w:rsidR="00494F3B" w:rsidRDefault="00494F3B" w:rsidP="001955BB">
      <w:pPr>
        <w:rPr>
          <w:szCs w:val="22"/>
          <w:lang w:val="fr-FR"/>
        </w:rPr>
      </w:pPr>
    </w:p>
    <w:p w:rsidR="00494F3B" w:rsidRPr="001955BB" w:rsidRDefault="00494F3B" w:rsidP="001955BB">
      <w:pPr>
        <w:rPr>
          <w:szCs w:val="22"/>
          <w:lang w:val="fr-FR"/>
        </w:rPr>
      </w:pPr>
    </w:p>
    <w:p w:rsidR="001955BB" w:rsidRPr="0013333E" w:rsidRDefault="001955BB" w:rsidP="001955BB">
      <w:pPr>
        <w:rPr>
          <w:szCs w:val="22"/>
          <w:u w:val="single"/>
          <w:lang w:val="fr-FR"/>
        </w:rPr>
      </w:pPr>
      <w:r w:rsidRPr="0013333E">
        <w:rPr>
          <w:szCs w:val="22"/>
          <w:u w:val="single"/>
          <w:lang w:val="fr-FR"/>
        </w:rPr>
        <w:t>SÉNÉGAL/SENEGAL</w:t>
      </w:r>
    </w:p>
    <w:p w:rsidR="001955BB" w:rsidRPr="0013333E" w:rsidRDefault="001955BB" w:rsidP="001955BB">
      <w:pPr>
        <w:rPr>
          <w:szCs w:val="22"/>
          <w:u w:val="single"/>
          <w:lang w:val="fr-FR"/>
        </w:rPr>
      </w:pPr>
    </w:p>
    <w:p w:rsidR="001955BB" w:rsidRPr="0013333E" w:rsidRDefault="001955BB" w:rsidP="001955BB">
      <w:pPr>
        <w:rPr>
          <w:szCs w:val="22"/>
          <w:lang w:val="fr-FR"/>
        </w:rPr>
      </w:pPr>
      <w:proofErr w:type="spellStart"/>
      <w:r w:rsidRPr="0013333E">
        <w:rPr>
          <w:szCs w:val="22"/>
          <w:lang w:val="fr-FR"/>
        </w:rPr>
        <w:t>Bala</w:t>
      </w:r>
      <w:proofErr w:type="spellEnd"/>
      <w:r w:rsidRPr="0013333E">
        <w:rPr>
          <w:szCs w:val="22"/>
          <w:lang w:val="fr-FR"/>
        </w:rPr>
        <w:t xml:space="preserve"> Moussa COULIBALY (M.), responsable, Bureau de ressources génétiques, savoirs traditionnels et expressions culturelles traditionnelles, Agence sénégalaise pour la propriété industrielle et l’innovation techno</w:t>
      </w:r>
      <w:r>
        <w:rPr>
          <w:szCs w:val="22"/>
          <w:lang w:val="fr-FR"/>
        </w:rPr>
        <w:t>logique (ASPIT), Ministère de l’</w:t>
      </w:r>
      <w:r w:rsidRPr="0013333E">
        <w:rPr>
          <w:szCs w:val="22"/>
          <w:lang w:val="fr-FR"/>
        </w:rPr>
        <w:t>industrie et de la petite et moyenne industrie, Dakar</w:t>
      </w:r>
    </w:p>
    <w:p w:rsidR="001955BB" w:rsidRPr="0013333E" w:rsidRDefault="001955BB" w:rsidP="001955BB">
      <w:pPr>
        <w:rPr>
          <w:szCs w:val="22"/>
          <w:lang w:val="fr-FR"/>
        </w:rPr>
      </w:pPr>
      <w:r w:rsidRPr="0013333E">
        <w:rPr>
          <w:szCs w:val="22"/>
          <w:u w:val="single"/>
          <w:lang w:val="fr-FR"/>
        </w:rPr>
        <w:t xml:space="preserve">balamoussah6019@yaahoo.fr </w:t>
      </w:r>
    </w:p>
    <w:p w:rsidR="001955BB" w:rsidRPr="0013333E" w:rsidRDefault="001955BB" w:rsidP="001955BB">
      <w:pPr>
        <w:rPr>
          <w:szCs w:val="22"/>
          <w:lang w:val="fr-FR"/>
        </w:rPr>
      </w:pPr>
    </w:p>
    <w:p w:rsidR="001955BB" w:rsidRPr="0013333E" w:rsidRDefault="001955BB" w:rsidP="001955BB">
      <w:pPr>
        <w:rPr>
          <w:szCs w:val="22"/>
          <w:lang w:val="fr-FR"/>
        </w:rPr>
      </w:pPr>
      <w:r w:rsidRPr="0013333E">
        <w:rPr>
          <w:szCs w:val="22"/>
          <w:lang w:val="fr-FR"/>
        </w:rPr>
        <w:t>Lamine Ka MBAYE (M.), premier secrétaire, Mission permanente, Genève</w:t>
      </w:r>
    </w:p>
    <w:p w:rsidR="001955BB" w:rsidRDefault="001955BB" w:rsidP="001955BB">
      <w:pPr>
        <w:rPr>
          <w:szCs w:val="22"/>
        </w:rPr>
      </w:pPr>
      <w:r>
        <w:rPr>
          <w:szCs w:val="22"/>
          <w:u w:val="single"/>
        </w:rPr>
        <w:t xml:space="preserve">repsengen@yahoo.fr </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SEYCHELLES</w:t>
      </w:r>
    </w:p>
    <w:p w:rsidR="001955BB" w:rsidRPr="0077363F" w:rsidRDefault="001955BB" w:rsidP="001955BB">
      <w:pPr>
        <w:rPr>
          <w:szCs w:val="22"/>
          <w:u w:val="single"/>
        </w:rPr>
      </w:pPr>
    </w:p>
    <w:p w:rsidR="001955BB" w:rsidRDefault="001955BB" w:rsidP="001955BB">
      <w:pPr>
        <w:rPr>
          <w:szCs w:val="22"/>
        </w:rPr>
      </w:pPr>
      <w:r>
        <w:rPr>
          <w:szCs w:val="22"/>
        </w:rPr>
        <w:t>Sybil Jones LABROSSE (Ms.), Director, Office of the Registrar of Copyright, Department of Culture, Ministry of Youth, Sports and Culture, Victoria</w:t>
      </w:r>
    </w:p>
    <w:p w:rsidR="001955BB" w:rsidRDefault="001955BB" w:rsidP="001955BB">
      <w:pPr>
        <w:rPr>
          <w:szCs w:val="22"/>
        </w:rPr>
      </w:pPr>
      <w:r>
        <w:rPr>
          <w:szCs w:val="22"/>
          <w:u w:val="single"/>
        </w:rPr>
        <w:t xml:space="preserve">sybil.labrosse@gov.sc </w:t>
      </w:r>
    </w:p>
    <w:p w:rsidR="001955BB" w:rsidRDefault="001955BB" w:rsidP="001955BB">
      <w:pPr>
        <w:rPr>
          <w:szCs w:val="22"/>
        </w:rPr>
      </w:pPr>
    </w:p>
    <w:p w:rsidR="001955BB" w:rsidRDefault="001955BB" w:rsidP="001955BB">
      <w:pPr>
        <w:rPr>
          <w:szCs w:val="22"/>
        </w:rPr>
      </w:pPr>
      <w:r>
        <w:rPr>
          <w:szCs w:val="22"/>
        </w:rPr>
        <w:t>Julienne BARRA (Ms.), Principal Research Officer, National Heritage Research and Protection Section, Ministry of Youth, Sports and Culture, Victoria</w:t>
      </w:r>
    </w:p>
    <w:p w:rsidR="001955BB" w:rsidRPr="0013333E" w:rsidRDefault="001955BB" w:rsidP="001955BB">
      <w:pPr>
        <w:rPr>
          <w:szCs w:val="22"/>
          <w:lang w:val="fr-FR"/>
        </w:rPr>
      </w:pPr>
      <w:r w:rsidRPr="0013333E">
        <w:rPr>
          <w:szCs w:val="22"/>
          <w:u w:val="single"/>
          <w:lang w:val="fr-FR"/>
        </w:rPr>
        <w:t xml:space="preserve">barrajulienne@yahoo.co.uk </w:t>
      </w:r>
    </w:p>
    <w:p w:rsidR="001955BB" w:rsidRDefault="001955BB" w:rsidP="001955BB">
      <w:pPr>
        <w:rPr>
          <w:szCs w:val="22"/>
          <w:lang w:val="fr-CH"/>
        </w:rPr>
      </w:pPr>
    </w:p>
    <w:p w:rsidR="001955BB" w:rsidRPr="0077363F" w:rsidRDefault="001955BB" w:rsidP="001955BB">
      <w:pPr>
        <w:rPr>
          <w:szCs w:val="22"/>
          <w:lang w:val="fr-CH"/>
        </w:rPr>
      </w:pPr>
    </w:p>
    <w:p w:rsidR="001955BB" w:rsidRPr="001955BB" w:rsidRDefault="001955BB" w:rsidP="001955BB">
      <w:pPr>
        <w:rPr>
          <w:szCs w:val="22"/>
          <w:u w:val="single"/>
          <w:lang w:val="fr-FR"/>
        </w:rPr>
      </w:pPr>
      <w:r w:rsidRPr="001955BB">
        <w:rPr>
          <w:szCs w:val="22"/>
          <w:u w:val="single"/>
          <w:lang w:val="fr-FR"/>
        </w:rPr>
        <w:t>SRI LANKA</w:t>
      </w:r>
    </w:p>
    <w:p w:rsidR="001955BB" w:rsidRPr="001955BB" w:rsidRDefault="001955BB" w:rsidP="001955BB">
      <w:pPr>
        <w:rPr>
          <w:szCs w:val="22"/>
          <w:u w:val="single"/>
          <w:lang w:val="fr-FR"/>
        </w:rPr>
      </w:pPr>
    </w:p>
    <w:p w:rsidR="001955BB" w:rsidRDefault="001955BB" w:rsidP="001955BB">
      <w:pPr>
        <w:rPr>
          <w:szCs w:val="22"/>
        </w:rPr>
      </w:pPr>
      <w:r>
        <w:rPr>
          <w:szCs w:val="22"/>
        </w:rPr>
        <w:t>Ravinatha ARYASINGHA (Mr.), Ambassador, Permanent Representative, Permanent Mission, Geneva</w:t>
      </w:r>
    </w:p>
    <w:p w:rsidR="001955BB" w:rsidRDefault="001955BB" w:rsidP="001955BB">
      <w:pPr>
        <w:rPr>
          <w:szCs w:val="22"/>
        </w:rPr>
      </w:pPr>
    </w:p>
    <w:p w:rsidR="001955BB" w:rsidRDefault="001955BB" w:rsidP="001955BB">
      <w:pPr>
        <w:rPr>
          <w:szCs w:val="22"/>
        </w:rPr>
      </w:pPr>
      <w:r>
        <w:rPr>
          <w:szCs w:val="22"/>
        </w:rPr>
        <w:t>Samantha JAYASURIYA (Ms.), Deputy Permanent Representative, Permanent Mission, Geneva</w:t>
      </w:r>
    </w:p>
    <w:p w:rsidR="001955BB" w:rsidRDefault="001955BB" w:rsidP="001955BB">
      <w:pPr>
        <w:rPr>
          <w:szCs w:val="22"/>
        </w:rPr>
      </w:pPr>
    </w:p>
    <w:p w:rsidR="001955BB" w:rsidRDefault="001955BB" w:rsidP="001955BB">
      <w:pPr>
        <w:rPr>
          <w:szCs w:val="22"/>
        </w:rPr>
      </w:pPr>
      <w:r>
        <w:rPr>
          <w:szCs w:val="22"/>
        </w:rPr>
        <w:t>Shashika SOMERATHNE (Ms.), Minister Counsellor, Permanent Mission, Geneva</w:t>
      </w:r>
    </w:p>
    <w:p w:rsidR="001955BB" w:rsidRDefault="001955BB" w:rsidP="001955BB">
      <w:pPr>
        <w:rPr>
          <w:szCs w:val="22"/>
        </w:rPr>
      </w:pPr>
    </w:p>
    <w:p w:rsidR="001955BB" w:rsidRPr="0077363F" w:rsidRDefault="001955BB" w:rsidP="001955BB">
      <w:pPr>
        <w:rPr>
          <w:szCs w:val="22"/>
        </w:rPr>
      </w:pPr>
      <w:proofErr w:type="spellStart"/>
      <w:r w:rsidRPr="0077363F">
        <w:rPr>
          <w:szCs w:val="22"/>
        </w:rPr>
        <w:t>Wellakke</w:t>
      </w:r>
      <w:proofErr w:type="spellEnd"/>
      <w:r w:rsidRPr="0077363F">
        <w:rPr>
          <w:szCs w:val="22"/>
        </w:rPr>
        <w:t xml:space="preserve"> </w:t>
      </w:r>
      <w:proofErr w:type="spellStart"/>
      <w:r w:rsidRPr="0077363F">
        <w:rPr>
          <w:szCs w:val="22"/>
        </w:rPr>
        <w:t>Lokuge</w:t>
      </w:r>
      <w:proofErr w:type="spellEnd"/>
      <w:r w:rsidRPr="0077363F">
        <w:rPr>
          <w:szCs w:val="22"/>
        </w:rPr>
        <w:t xml:space="preserve"> </w:t>
      </w:r>
      <w:proofErr w:type="spellStart"/>
      <w:r w:rsidRPr="0077363F">
        <w:rPr>
          <w:szCs w:val="22"/>
        </w:rPr>
        <w:t>Gamini</w:t>
      </w:r>
      <w:proofErr w:type="spellEnd"/>
      <w:r w:rsidRPr="0077363F">
        <w:rPr>
          <w:szCs w:val="22"/>
        </w:rPr>
        <w:t xml:space="preserve"> SAMARASINGHE (Mr.), Additional Director, Plant and Genetic Resources Centre (PGRC), Peradeniya</w:t>
      </w:r>
    </w:p>
    <w:p w:rsidR="001955BB" w:rsidRDefault="001955BB" w:rsidP="001955BB">
      <w:pPr>
        <w:rPr>
          <w:szCs w:val="22"/>
        </w:rPr>
      </w:pPr>
    </w:p>
    <w:p w:rsidR="001955BB" w:rsidRDefault="001955BB" w:rsidP="001955BB">
      <w:pPr>
        <w:rPr>
          <w:szCs w:val="22"/>
        </w:rPr>
      </w:pPr>
      <w:proofErr w:type="spellStart"/>
      <w:r>
        <w:rPr>
          <w:szCs w:val="22"/>
        </w:rPr>
        <w:t>Dulmini</w:t>
      </w:r>
      <w:proofErr w:type="spellEnd"/>
      <w:r>
        <w:rPr>
          <w:szCs w:val="22"/>
        </w:rPr>
        <w:t xml:space="preserve"> DAHANAYAKE (Ms.), Second Secretary, 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SUÈDE/SWEDEN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Patrick ANDERSSON (Mr.), Senior Adviser International Affairs, Department of Legal and International Affairs, Swedish Patent and Registration Office (PRV), Stockholm</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SUISSE/SWITZERLAND</w:t>
      </w:r>
    </w:p>
    <w:p w:rsidR="001955BB" w:rsidRPr="0077363F" w:rsidRDefault="001955BB" w:rsidP="001955BB">
      <w:pPr>
        <w:rPr>
          <w:szCs w:val="22"/>
          <w:u w:val="single"/>
          <w:lang w:val="fr-CH"/>
        </w:rPr>
      </w:pPr>
    </w:p>
    <w:p w:rsidR="001955BB" w:rsidRDefault="001955BB" w:rsidP="001955BB">
      <w:pPr>
        <w:rPr>
          <w:szCs w:val="22"/>
          <w:lang w:val="fr-FR"/>
        </w:rPr>
      </w:pPr>
      <w:r w:rsidRPr="0013333E">
        <w:rPr>
          <w:szCs w:val="22"/>
          <w:lang w:val="fr-FR"/>
        </w:rPr>
        <w:t>Martin GIRSBERGER (M.), chef, Développement durable et coopération internationale, Division droit et affaires internationales, Institut fédéral de la propriété intellectuelle (IPI), Berne</w:t>
      </w:r>
    </w:p>
    <w:p w:rsidR="001955BB" w:rsidRPr="0013333E" w:rsidRDefault="001955BB" w:rsidP="001955BB">
      <w:pPr>
        <w:rPr>
          <w:szCs w:val="22"/>
          <w:lang w:val="fr-FR"/>
        </w:rPr>
      </w:pPr>
    </w:p>
    <w:p w:rsidR="001955BB" w:rsidRPr="0013333E" w:rsidRDefault="001955BB" w:rsidP="001955BB">
      <w:pPr>
        <w:rPr>
          <w:szCs w:val="22"/>
          <w:lang w:val="fr-FR"/>
        </w:rPr>
      </w:pPr>
      <w:r>
        <w:rPr>
          <w:szCs w:val="22"/>
          <w:lang w:val="fr-FR"/>
        </w:rPr>
        <w:t>Marco D’</w:t>
      </w:r>
      <w:r w:rsidRPr="0013333E">
        <w:rPr>
          <w:szCs w:val="22"/>
          <w:lang w:val="fr-FR"/>
        </w:rPr>
        <w:t>ALESSANDRO (M.), conseiller politique, Division droit et affaires internationales, Institut fédéral de la propriété intellectuelle (IPI), Berne</w:t>
      </w:r>
    </w:p>
    <w:p w:rsidR="001955BB" w:rsidRPr="0013333E" w:rsidRDefault="001955BB" w:rsidP="001955BB">
      <w:pPr>
        <w:rPr>
          <w:szCs w:val="22"/>
          <w:lang w:val="fr-FR"/>
        </w:rPr>
      </w:pPr>
    </w:p>
    <w:p w:rsidR="001955BB" w:rsidRPr="00770295" w:rsidRDefault="001955BB">
      <w:pPr>
        <w:rPr>
          <w:szCs w:val="22"/>
          <w:u w:val="single"/>
          <w:lang w:val="fr-FR"/>
        </w:rPr>
      </w:pPr>
      <w:r w:rsidRPr="0013333E">
        <w:rPr>
          <w:szCs w:val="22"/>
          <w:lang w:val="fr-FR"/>
        </w:rPr>
        <w:t xml:space="preserve">Reynald VEILLARD (M.), </w:t>
      </w:r>
      <w:proofErr w:type="gramStart"/>
      <w:r w:rsidRPr="0013333E">
        <w:rPr>
          <w:szCs w:val="22"/>
          <w:lang w:val="fr-FR"/>
        </w:rPr>
        <w:t>conseiller</w:t>
      </w:r>
      <w:proofErr w:type="gramEnd"/>
      <w:r w:rsidRPr="0013333E">
        <w:rPr>
          <w:szCs w:val="22"/>
          <w:lang w:val="fr-FR"/>
        </w:rPr>
        <w:t>, Mission permanente, Genève</w:t>
      </w:r>
      <w:r w:rsidR="00494F3B">
        <w:rPr>
          <w:szCs w:val="22"/>
          <w:lang w:val="fr-FR"/>
        </w:rPr>
        <w:t xml:space="preserve">  </w:t>
      </w:r>
    </w:p>
    <w:p w:rsidR="001955BB" w:rsidRPr="0077363F" w:rsidRDefault="001955BB" w:rsidP="001955BB">
      <w:pPr>
        <w:rPr>
          <w:szCs w:val="22"/>
          <w:u w:val="single"/>
        </w:rPr>
      </w:pPr>
      <w:r w:rsidRPr="0077363F">
        <w:rPr>
          <w:szCs w:val="22"/>
          <w:u w:val="single"/>
        </w:rPr>
        <w:lastRenderedPageBreak/>
        <w:t>TADJIKISTAN/TAJIKISTAN</w:t>
      </w:r>
    </w:p>
    <w:p w:rsidR="001955BB" w:rsidRPr="0077363F" w:rsidRDefault="001955BB" w:rsidP="001955BB">
      <w:pPr>
        <w:rPr>
          <w:szCs w:val="22"/>
          <w:u w:val="single"/>
        </w:rPr>
      </w:pPr>
    </w:p>
    <w:p w:rsidR="001955BB" w:rsidRDefault="001955BB" w:rsidP="001955BB">
      <w:pPr>
        <w:rPr>
          <w:szCs w:val="22"/>
        </w:rPr>
      </w:pPr>
      <w:proofErr w:type="spellStart"/>
      <w:r>
        <w:rPr>
          <w:szCs w:val="22"/>
        </w:rPr>
        <w:t>Mirzobek</w:t>
      </w:r>
      <w:proofErr w:type="spellEnd"/>
      <w:r>
        <w:rPr>
          <w:szCs w:val="22"/>
        </w:rPr>
        <w:t xml:space="preserve"> ISMOILOV (Mr.), Head, Department of National Registration of Trademarks and International Cooperation, National Center for Patents and Information (NCPI), Dushanbe</w:t>
      </w:r>
    </w:p>
    <w:p w:rsidR="001955BB" w:rsidRDefault="001955BB" w:rsidP="001955BB">
      <w:pPr>
        <w:rPr>
          <w:szCs w:val="22"/>
          <w:u w:val="single"/>
        </w:rPr>
      </w:pPr>
      <w:r>
        <w:rPr>
          <w:szCs w:val="22"/>
          <w:u w:val="single"/>
        </w:rPr>
        <w:t xml:space="preserve">parviz.info@gmail.com </w:t>
      </w:r>
    </w:p>
    <w:p w:rsidR="001955BB" w:rsidRDefault="001955BB" w:rsidP="001955BB">
      <w:pPr>
        <w:rPr>
          <w:szCs w:val="22"/>
        </w:rPr>
      </w:pPr>
    </w:p>
    <w:p w:rsidR="001955BB" w:rsidRPr="0077363F" w:rsidRDefault="001955BB" w:rsidP="001955BB">
      <w:pPr>
        <w:rPr>
          <w:szCs w:val="22"/>
        </w:rPr>
      </w:pPr>
      <w:r>
        <w:rPr>
          <w:szCs w:val="22"/>
        </w:rPr>
        <w:t>Parviz MIRALIEV (Mr.), Head, Department of International Registration of Trademarks and International Cooperation, National Center for Patents and Information (NCPI), Dushanbe</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THAÏLANDE/THAILAND</w:t>
      </w:r>
    </w:p>
    <w:p w:rsidR="001955BB" w:rsidRPr="0077363F" w:rsidRDefault="001955BB" w:rsidP="001955BB">
      <w:pPr>
        <w:rPr>
          <w:szCs w:val="22"/>
          <w:u w:val="single"/>
        </w:rPr>
      </w:pPr>
    </w:p>
    <w:p w:rsidR="001955BB" w:rsidRDefault="001955BB" w:rsidP="001955BB">
      <w:pPr>
        <w:rPr>
          <w:szCs w:val="22"/>
        </w:rPr>
      </w:pPr>
      <w:proofErr w:type="spellStart"/>
      <w:r>
        <w:rPr>
          <w:szCs w:val="22"/>
        </w:rPr>
        <w:t>Sukanya</w:t>
      </w:r>
      <w:proofErr w:type="spellEnd"/>
      <w:r>
        <w:rPr>
          <w:szCs w:val="22"/>
        </w:rPr>
        <w:t xml:space="preserve"> KONGNGOEN (Ms.), Chief, Genetic Resources Conservation on Silkworm, Mulberry and Dyeing Materials, Office of Sericulture Conservation and Standard Conformity Assessment, Queen </w:t>
      </w:r>
      <w:proofErr w:type="spellStart"/>
      <w:r>
        <w:rPr>
          <w:szCs w:val="22"/>
        </w:rPr>
        <w:t>Sirikit</w:t>
      </w:r>
      <w:proofErr w:type="spellEnd"/>
      <w:r>
        <w:rPr>
          <w:szCs w:val="22"/>
        </w:rPr>
        <w:t xml:space="preserve"> Department of Sericulture, Ministry of Agriculture and Cooperatives, Bangkok</w:t>
      </w:r>
    </w:p>
    <w:p w:rsidR="001955BB" w:rsidRDefault="001955BB" w:rsidP="001955BB">
      <w:pPr>
        <w:rPr>
          <w:szCs w:val="22"/>
          <w:u w:val="single"/>
        </w:rPr>
      </w:pPr>
      <w:r>
        <w:rPr>
          <w:szCs w:val="22"/>
          <w:u w:val="single"/>
        </w:rPr>
        <w:t xml:space="preserve">sukanya.k@qsds.go.th </w:t>
      </w:r>
    </w:p>
    <w:p w:rsidR="001955BB" w:rsidRDefault="001955BB" w:rsidP="001955BB">
      <w:pPr>
        <w:rPr>
          <w:szCs w:val="22"/>
        </w:rPr>
      </w:pPr>
    </w:p>
    <w:p w:rsidR="001955BB" w:rsidRDefault="001955BB" w:rsidP="001955BB">
      <w:pPr>
        <w:rPr>
          <w:szCs w:val="22"/>
        </w:rPr>
      </w:pPr>
      <w:proofErr w:type="spellStart"/>
      <w:r>
        <w:rPr>
          <w:szCs w:val="22"/>
        </w:rPr>
        <w:t>Kalaya</w:t>
      </w:r>
      <w:proofErr w:type="spellEnd"/>
      <w:r>
        <w:rPr>
          <w:szCs w:val="22"/>
        </w:rPr>
        <w:t xml:space="preserve"> BOONYANUWAT (Ms.), Senior Animal Scientist, Department of Livestock Development, Ministry of Agriculture and Cooperative, </w:t>
      </w:r>
      <w:proofErr w:type="spellStart"/>
      <w:r>
        <w:rPr>
          <w:szCs w:val="22"/>
        </w:rPr>
        <w:t>Ratchathevi</w:t>
      </w:r>
      <w:proofErr w:type="spellEnd"/>
    </w:p>
    <w:p w:rsidR="001955BB" w:rsidRDefault="001955BB" w:rsidP="001955BB">
      <w:pPr>
        <w:rPr>
          <w:szCs w:val="22"/>
        </w:rPr>
      </w:pPr>
      <w:r>
        <w:rPr>
          <w:szCs w:val="22"/>
          <w:u w:val="single"/>
        </w:rPr>
        <w:t xml:space="preserve">kalayabo@gmail.com </w:t>
      </w:r>
    </w:p>
    <w:p w:rsidR="001955BB" w:rsidRDefault="001955BB" w:rsidP="001955BB">
      <w:pPr>
        <w:rPr>
          <w:szCs w:val="22"/>
        </w:rPr>
      </w:pPr>
    </w:p>
    <w:p w:rsidR="001955BB" w:rsidRDefault="001955BB" w:rsidP="001955BB">
      <w:pPr>
        <w:rPr>
          <w:szCs w:val="22"/>
        </w:rPr>
      </w:pPr>
      <w:r>
        <w:rPr>
          <w:szCs w:val="22"/>
        </w:rPr>
        <w:t>Porsche JURUMON (Mr.), Senior Trade Officer, Intellectual Property Promotion and Development Office, Department of Intellectual Property, Ministry of Commerce, Nonthaburi</w:t>
      </w:r>
    </w:p>
    <w:p w:rsidR="001955BB" w:rsidRDefault="001955BB" w:rsidP="001955BB">
      <w:pPr>
        <w:rPr>
          <w:szCs w:val="22"/>
        </w:rPr>
      </w:pPr>
      <w:r>
        <w:rPr>
          <w:szCs w:val="22"/>
          <w:u w:val="single"/>
        </w:rPr>
        <w:t xml:space="preserve">porshe.dip@gmail.com </w:t>
      </w:r>
    </w:p>
    <w:p w:rsidR="001955BB" w:rsidRDefault="001955BB" w:rsidP="001955BB">
      <w:pPr>
        <w:rPr>
          <w:szCs w:val="22"/>
        </w:rPr>
      </w:pPr>
    </w:p>
    <w:p w:rsidR="001955BB" w:rsidRDefault="001955BB" w:rsidP="001955BB">
      <w:pPr>
        <w:rPr>
          <w:szCs w:val="22"/>
        </w:rPr>
      </w:pPr>
      <w:proofErr w:type="spellStart"/>
      <w:r>
        <w:rPr>
          <w:szCs w:val="22"/>
        </w:rPr>
        <w:t>Nathamon</w:t>
      </w:r>
      <w:proofErr w:type="spellEnd"/>
      <w:r>
        <w:rPr>
          <w:szCs w:val="22"/>
        </w:rPr>
        <w:t xml:space="preserve"> SAENGWARACHAILAK (Ms.), Patent Examiner, Patent Office, Department of Intellectual Property (DIP), Ministry of Commerce, Nonthaburi</w:t>
      </w:r>
    </w:p>
    <w:p w:rsidR="001955BB" w:rsidRDefault="001955BB" w:rsidP="001955BB">
      <w:pPr>
        <w:rPr>
          <w:szCs w:val="22"/>
        </w:rPr>
      </w:pPr>
      <w:r>
        <w:rPr>
          <w:szCs w:val="22"/>
          <w:u w:val="single"/>
        </w:rPr>
        <w:t xml:space="preserve">annbiot@yahoo.com </w:t>
      </w:r>
    </w:p>
    <w:p w:rsidR="001955BB" w:rsidRDefault="001955BB" w:rsidP="001955BB">
      <w:pPr>
        <w:rPr>
          <w:szCs w:val="22"/>
        </w:rPr>
      </w:pPr>
    </w:p>
    <w:p w:rsidR="001955BB" w:rsidRDefault="001955BB" w:rsidP="001955BB">
      <w:pPr>
        <w:rPr>
          <w:szCs w:val="22"/>
        </w:rPr>
      </w:pPr>
      <w:proofErr w:type="spellStart"/>
      <w:r>
        <w:rPr>
          <w:szCs w:val="22"/>
        </w:rPr>
        <w:t>Sieiluk</w:t>
      </w:r>
      <w:proofErr w:type="spellEnd"/>
      <w:r>
        <w:rPr>
          <w:szCs w:val="22"/>
        </w:rPr>
        <w:t xml:space="preserve"> TATAYANON (Ms.), Forest Technical Officer, Ministry of Natural Resources and Environment, Bangkok</w:t>
      </w:r>
    </w:p>
    <w:p w:rsidR="001955BB" w:rsidRDefault="001955BB" w:rsidP="001955BB">
      <w:pPr>
        <w:rPr>
          <w:szCs w:val="22"/>
        </w:rPr>
      </w:pPr>
      <w:r>
        <w:rPr>
          <w:szCs w:val="22"/>
          <w:u w:val="single"/>
        </w:rPr>
        <w:t xml:space="preserve">intellectual.property2560@gmail.com </w:t>
      </w:r>
    </w:p>
    <w:p w:rsidR="001955BB" w:rsidRDefault="001955BB" w:rsidP="001955BB">
      <w:pPr>
        <w:rPr>
          <w:szCs w:val="22"/>
        </w:rPr>
      </w:pPr>
    </w:p>
    <w:p w:rsidR="001955BB" w:rsidRDefault="001955BB" w:rsidP="001955BB">
      <w:pPr>
        <w:rPr>
          <w:szCs w:val="22"/>
        </w:rPr>
      </w:pPr>
      <w:proofErr w:type="spellStart"/>
      <w:r>
        <w:rPr>
          <w:szCs w:val="22"/>
        </w:rPr>
        <w:t>Witchooda</w:t>
      </w:r>
      <w:proofErr w:type="spellEnd"/>
      <w:r>
        <w:rPr>
          <w:szCs w:val="22"/>
        </w:rPr>
        <w:t xml:space="preserve"> YINGNAKHON (Ms.), Agriculture Academic Officer, Office of Sericulture Conservation and Standard Conformity Assessment, Queen </w:t>
      </w:r>
      <w:proofErr w:type="spellStart"/>
      <w:r>
        <w:rPr>
          <w:szCs w:val="22"/>
        </w:rPr>
        <w:t>Sirikit</w:t>
      </w:r>
      <w:proofErr w:type="spellEnd"/>
      <w:r>
        <w:rPr>
          <w:szCs w:val="22"/>
        </w:rPr>
        <w:t xml:space="preserve"> Department of Sericulture, Ministry of Agriculture and Cooperatives, Bangkok</w:t>
      </w:r>
    </w:p>
    <w:p w:rsidR="001955BB" w:rsidRPr="009E2136" w:rsidRDefault="001955BB" w:rsidP="001955BB">
      <w:pPr>
        <w:rPr>
          <w:szCs w:val="22"/>
        </w:rPr>
      </w:pPr>
      <w:r w:rsidRPr="009E2136">
        <w:rPr>
          <w:szCs w:val="22"/>
          <w:u w:val="single"/>
        </w:rPr>
        <w:t xml:space="preserve">witchooda.y@qsds.go.th </w:t>
      </w:r>
    </w:p>
    <w:p w:rsidR="001955BB" w:rsidRDefault="001955BB" w:rsidP="001955BB">
      <w:pPr>
        <w:rPr>
          <w:szCs w:val="22"/>
        </w:rPr>
      </w:pPr>
    </w:p>
    <w:p w:rsidR="001955BB" w:rsidRPr="0077363F" w:rsidRDefault="001955BB" w:rsidP="001955BB">
      <w:pPr>
        <w:rPr>
          <w:szCs w:val="22"/>
        </w:rPr>
      </w:pPr>
      <w:proofErr w:type="spellStart"/>
      <w:r w:rsidRPr="0077363F">
        <w:rPr>
          <w:szCs w:val="22"/>
        </w:rPr>
        <w:t>Sudkheit</w:t>
      </w:r>
      <w:proofErr w:type="spellEnd"/>
      <w:r w:rsidRPr="0077363F">
        <w:rPr>
          <w:szCs w:val="22"/>
        </w:rPr>
        <w:t xml:space="preserve"> BORIBOONSRI (Mr.), Counsellor, Permanent Mission to the World Trade Organization (WTO), Geneva</w:t>
      </w:r>
    </w:p>
    <w:p w:rsidR="001955BB" w:rsidRPr="0077363F" w:rsidRDefault="001955BB" w:rsidP="001955BB">
      <w:pPr>
        <w:rPr>
          <w:szCs w:val="22"/>
        </w:rPr>
      </w:pPr>
    </w:p>
    <w:p w:rsidR="001955BB" w:rsidRPr="001955BB"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TUNISIE/TUNISIA</w:t>
      </w:r>
    </w:p>
    <w:p w:rsidR="001955BB" w:rsidRPr="0077363F" w:rsidRDefault="001955BB" w:rsidP="001955BB">
      <w:pPr>
        <w:rPr>
          <w:szCs w:val="22"/>
          <w:u w:val="single"/>
          <w:lang w:val="fr-CH"/>
        </w:rPr>
      </w:pPr>
    </w:p>
    <w:p w:rsidR="001955BB" w:rsidRPr="0013333E" w:rsidRDefault="001955BB" w:rsidP="001955BB">
      <w:pPr>
        <w:rPr>
          <w:szCs w:val="22"/>
          <w:lang w:val="fr-FR"/>
        </w:rPr>
      </w:pPr>
      <w:r w:rsidRPr="0013333E">
        <w:rPr>
          <w:szCs w:val="22"/>
          <w:lang w:val="fr-FR"/>
        </w:rPr>
        <w:t>Walid DOUDECH (M.), ambassadeur, Représentant permanent, Mission permanente, Genève</w:t>
      </w:r>
    </w:p>
    <w:p w:rsidR="001955BB" w:rsidRDefault="001955BB" w:rsidP="001955BB">
      <w:pPr>
        <w:rPr>
          <w:szCs w:val="22"/>
          <w:lang w:val="fr-FR"/>
        </w:rPr>
      </w:pPr>
    </w:p>
    <w:p w:rsidR="001955BB" w:rsidRPr="0013333E" w:rsidRDefault="001955BB" w:rsidP="001955BB">
      <w:pPr>
        <w:rPr>
          <w:szCs w:val="22"/>
          <w:lang w:val="fr-FR"/>
        </w:rPr>
      </w:pPr>
      <w:r w:rsidRPr="0013333E">
        <w:rPr>
          <w:szCs w:val="22"/>
          <w:lang w:val="fr-FR"/>
        </w:rPr>
        <w:t>Sami NAGGA (M.), ministre, Mission permanente, Genève</w:t>
      </w:r>
    </w:p>
    <w:p w:rsidR="001955BB" w:rsidRDefault="001955BB" w:rsidP="001955BB">
      <w:pPr>
        <w:rPr>
          <w:szCs w:val="22"/>
          <w:lang w:val="fr-FR"/>
        </w:rPr>
      </w:pPr>
    </w:p>
    <w:p w:rsidR="001955BB" w:rsidRDefault="001955BB" w:rsidP="001955BB">
      <w:pPr>
        <w:rPr>
          <w:szCs w:val="22"/>
          <w:lang w:val="fr-FR"/>
        </w:rPr>
      </w:pPr>
      <w:r w:rsidRPr="0013333E">
        <w:rPr>
          <w:szCs w:val="22"/>
          <w:lang w:val="fr-FR"/>
        </w:rPr>
        <w:t>Youssef BEN BRAHIM (M.), directeur général, Organisme tunisien des droits d</w:t>
      </w:r>
      <w:r>
        <w:rPr>
          <w:szCs w:val="22"/>
          <w:lang w:val="fr-FR"/>
        </w:rPr>
        <w:t>’</w:t>
      </w:r>
      <w:r w:rsidRPr="0013333E">
        <w:rPr>
          <w:szCs w:val="22"/>
          <w:lang w:val="fr-FR"/>
        </w:rPr>
        <w:t>auteur et droits voisins (OTDAV), Ministère des affaires culturelles, Tunis</w:t>
      </w:r>
    </w:p>
    <w:p w:rsidR="001955BB" w:rsidRDefault="001955BB" w:rsidP="001955BB">
      <w:pPr>
        <w:rPr>
          <w:szCs w:val="22"/>
          <w:lang w:val="fr-FR"/>
        </w:rPr>
      </w:pPr>
    </w:p>
    <w:p w:rsidR="001955BB" w:rsidRDefault="001955BB" w:rsidP="001955BB">
      <w:pPr>
        <w:rPr>
          <w:szCs w:val="22"/>
          <w:lang w:val="fr-FR"/>
        </w:rPr>
      </w:pPr>
    </w:p>
    <w:p w:rsidR="001955BB" w:rsidRDefault="001955BB">
      <w:pPr>
        <w:rPr>
          <w:szCs w:val="22"/>
          <w:lang w:val="fr-FR"/>
        </w:rPr>
      </w:pPr>
      <w:r>
        <w:rPr>
          <w:szCs w:val="22"/>
          <w:lang w:val="fr-FR"/>
        </w:rPr>
        <w:br w:type="page"/>
      </w:r>
    </w:p>
    <w:p w:rsidR="001955BB" w:rsidRPr="0077363F" w:rsidRDefault="001955BB" w:rsidP="001955BB">
      <w:pPr>
        <w:rPr>
          <w:szCs w:val="22"/>
          <w:u w:val="single"/>
        </w:rPr>
      </w:pPr>
      <w:r w:rsidRPr="0077363F">
        <w:rPr>
          <w:szCs w:val="22"/>
          <w:u w:val="single"/>
        </w:rPr>
        <w:lastRenderedPageBreak/>
        <w:t>TURQUIE/TURKEY</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Ismail GÜMÜŞ (Mr.), Senior Expert, European Union and International Affairs Department, Turkish Patent and Trademark Office (TURKPATENT), Ankara</w:t>
      </w:r>
    </w:p>
    <w:p w:rsidR="001955BB" w:rsidRDefault="001955BB" w:rsidP="001955BB">
      <w:pPr>
        <w:rPr>
          <w:szCs w:val="22"/>
          <w:u w:val="single"/>
        </w:rPr>
      </w:pPr>
      <w:r w:rsidRPr="0077363F">
        <w:rPr>
          <w:szCs w:val="22"/>
          <w:u w:val="single"/>
        </w:rPr>
        <w:t xml:space="preserve">ismail.gumus@tpe.gov.tr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Ece</w:t>
      </w:r>
      <w:proofErr w:type="spellEnd"/>
      <w:r w:rsidRPr="0077363F">
        <w:rPr>
          <w:szCs w:val="22"/>
        </w:rPr>
        <w:t xml:space="preserve"> GÖKOK (Ms.), Agricultural Engineer, Department of Seed, Ministry of Food, Agriculture and Livestock, General Directorate of Plant Production, Ankara</w:t>
      </w:r>
    </w:p>
    <w:p w:rsidR="001955BB" w:rsidRPr="0077363F" w:rsidRDefault="001955BB" w:rsidP="001955BB">
      <w:pPr>
        <w:rPr>
          <w:szCs w:val="22"/>
        </w:rPr>
      </w:pPr>
      <w:r w:rsidRPr="0077363F">
        <w:rPr>
          <w:szCs w:val="22"/>
          <w:u w:val="single"/>
        </w:rPr>
        <w:t xml:space="preserve">ece.gokok@tarim.gov.tr </w:t>
      </w:r>
    </w:p>
    <w:p w:rsidR="001955BB" w:rsidRDefault="001955BB" w:rsidP="001955BB">
      <w:pPr>
        <w:rPr>
          <w:szCs w:val="22"/>
        </w:rPr>
      </w:pPr>
    </w:p>
    <w:p w:rsidR="001955BB" w:rsidRPr="0077363F" w:rsidRDefault="001955BB" w:rsidP="001955BB">
      <w:pPr>
        <w:rPr>
          <w:szCs w:val="22"/>
        </w:rPr>
      </w:pPr>
      <w:r w:rsidRPr="0077363F">
        <w:rPr>
          <w:szCs w:val="22"/>
        </w:rPr>
        <w:t xml:space="preserve">Kemal </w:t>
      </w:r>
      <w:proofErr w:type="spellStart"/>
      <w:r w:rsidRPr="0077363F">
        <w:rPr>
          <w:szCs w:val="22"/>
        </w:rPr>
        <w:t>Demir</w:t>
      </w:r>
      <w:proofErr w:type="spellEnd"/>
      <w:r w:rsidRPr="0077363F">
        <w:rPr>
          <w:szCs w:val="22"/>
        </w:rPr>
        <w:t xml:space="preserve"> ERALP (Mr.), Patent Examiner, Patent Department, Turkish Patent and Trademark Office (TURKPATENT), Ankara</w:t>
      </w:r>
    </w:p>
    <w:p w:rsidR="001955BB" w:rsidRDefault="001955BB" w:rsidP="001955BB">
      <w:pPr>
        <w:rPr>
          <w:szCs w:val="22"/>
          <w:u w:val="single"/>
        </w:rPr>
      </w:pPr>
      <w:r w:rsidRPr="0077363F">
        <w:rPr>
          <w:szCs w:val="22"/>
          <w:u w:val="single"/>
        </w:rPr>
        <w:t xml:space="preserve">kemal.eralp@turkpatent.gov.tr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Gulsun</w:t>
      </w:r>
      <w:proofErr w:type="spellEnd"/>
      <w:r w:rsidRPr="0077363F">
        <w:rPr>
          <w:szCs w:val="22"/>
        </w:rPr>
        <w:t xml:space="preserve"> </w:t>
      </w:r>
      <w:proofErr w:type="spellStart"/>
      <w:r w:rsidRPr="0077363F">
        <w:rPr>
          <w:szCs w:val="22"/>
        </w:rPr>
        <w:t>Nevin</w:t>
      </w:r>
      <w:proofErr w:type="spellEnd"/>
      <w:r w:rsidRPr="0077363F">
        <w:rPr>
          <w:szCs w:val="22"/>
        </w:rPr>
        <w:t xml:space="preserve"> GULDOGAN (Ms.), Expert, Marketing Department Geographical İdentifications Domestic and Foreign Research Group, Ankara</w:t>
      </w:r>
    </w:p>
    <w:p w:rsidR="001955BB" w:rsidRPr="0077363F" w:rsidRDefault="001955BB" w:rsidP="001955BB">
      <w:pPr>
        <w:rPr>
          <w:szCs w:val="22"/>
        </w:rPr>
      </w:pPr>
      <w:r w:rsidRPr="0077363F">
        <w:rPr>
          <w:szCs w:val="22"/>
          <w:u w:val="single"/>
        </w:rPr>
        <w:t xml:space="preserve">nevin.guldogan@tarim.gov.tr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Turkan</w:t>
      </w:r>
      <w:proofErr w:type="spellEnd"/>
      <w:r w:rsidRPr="0077363F">
        <w:rPr>
          <w:szCs w:val="22"/>
        </w:rPr>
        <w:t xml:space="preserve"> KARAKAS (Ms.), Expert, Geographical Indications, Domestic and Foreign Research, Department of Marketing, Ministry of Food, Agriculture and Livestock, Ankara</w:t>
      </w:r>
    </w:p>
    <w:p w:rsidR="001955BB" w:rsidRDefault="001955BB" w:rsidP="001955BB">
      <w:pPr>
        <w:rPr>
          <w:szCs w:val="22"/>
        </w:rPr>
      </w:pPr>
    </w:p>
    <w:p w:rsidR="001955BB" w:rsidRPr="0077363F" w:rsidRDefault="001955BB" w:rsidP="001955BB">
      <w:pPr>
        <w:rPr>
          <w:szCs w:val="22"/>
        </w:rPr>
      </w:pPr>
      <w:proofErr w:type="spellStart"/>
      <w:r w:rsidRPr="0077363F">
        <w:rPr>
          <w:szCs w:val="22"/>
        </w:rPr>
        <w:t>Ramazan</w:t>
      </w:r>
      <w:proofErr w:type="spellEnd"/>
      <w:r w:rsidRPr="0077363F">
        <w:rPr>
          <w:szCs w:val="22"/>
        </w:rPr>
        <w:t xml:space="preserve"> </w:t>
      </w:r>
      <w:proofErr w:type="spellStart"/>
      <w:r w:rsidRPr="0077363F">
        <w:rPr>
          <w:szCs w:val="22"/>
        </w:rPr>
        <w:t>Umut</w:t>
      </w:r>
      <w:proofErr w:type="spellEnd"/>
      <w:r w:rsidRPr="0077363F">
        <w:rPr>
          <w:szCs w:val="22"/>
        </w:rPr>
        <w:t xml:space="preserve"> KARAKURT (Mr.), Expert, Directorate General for Copyright, Ministry of Culture and Tourism, Ankara</w:t>
      </w:r>
    </w:p>
    <w:p w:rsidR="001955BB" w:rsidRPr="0077363F" w:rsidRDefault="001955BB" w:rsidP="001955BB">
      <w:pPr>
        <w:rPr>
          <w:szCs w:val="22"/>
        </w:rPr>
      </w:pPr>
      <w:r w:rsidRPr="0077363F">
        <w:rPr>
          <w:szCs w:val="22"/>
          <w:u w:val="single"/>
        </w:rPr>
        <w:t xml:space="preserve">ukarakurt@telifhaklari.gov.tr </w:t>
      </w:r>
    </w:p>
    <w:p w:rsidR="001955BB" w:rsidRDefault="001955BB" w:rsidP="001955BB">
      <w:pPr>
        <w:rPr>
          <w:szCs w:val="22"/>
        </w:rPr>
      </w:pPr>
    </w:p>
    <w:p w:rsidR="001955BB" w:rsidRPr="0077363F" w:rsidRDefault="001955BB" w:rsidP="001955BB">
      <w:pPr>
        <w:rPr>
          <w:szCs w:val="22"/>
        </w:rPr>
      </w:pPr>
      <w:proofErr w:type="spellStart"/>
      <w:r w:rsidRPr="0077363F">
        <w:rPr>
          <w:szCs w:val="22"/>
        </w:rPr>
        <w:t>Sezer</w:t>
      </w:r>
      <w:proofErr w:type="spellEnd"/>
      <w:r w:rsidRPr="0077363F">
        <w:rPr>
          <w:szCs w:val="22"/>
        </w:rPr>
        <w:t xml:space="preserve"> OZ (Mr.), Expert, General Directorate of Agricultural Research and Policies, Ministry of Food, Agriculture and Livestock, Ankara</w:t>
      </w:r>
    </w:p>
    <w:p w:rsidR="001955BB" w:rsidRPr="00CE0690" w:rsidRDefault="001955BB" w:rsidP="001955BB">
      <w:pPr>
        <w:rPr>
          <w:szCs w:val="22"/>
        </w:rPr>
      </w:pPr>
      <w:r w:rsidRPr="00CE0690">
        <w:rPr>
          <w:szCs w:val="22"/>
          <w:u w:val="single"/>
        </w:rPr>
        <w:t xml:space="preserve">sezer.oz@tarim.gov.tr </w:t>
      </w:r>
    </w:p>
    <w:p w:rsidR="001955BB" w:rsidRPr="00CE0690" w:rsidRDefault="001955BB" w:rsidP="001955BB">
      <w:pPr>
        <w:rPr>
          <w:szCs w:val="22"/>
        </w:rPr>
      </w:pPr>
    </w:p>
    <w:p w:rsidR="001955BB" w:rsidRPr="00CE0690" w:rsidRDefault="001955BB" w:rsidP="001955BB">
      <w:pPr>
        <w:rPr>
          <w:szCs w:val="22"/>
        </w:rPr>
      </w:pPr>
    </w:p>
    <w:p w:rsidR="001955BB" w:rsidRPr="00CE0690" w:rsidRDefault="001955BB" w:rsidP="001955BB">
      <w:pPr>
        <w:rPr>
          <w:szCs w:val="22"/>
          <w:u w:val="single"/>
        </w:rPr>
      </w:pPr>
      <w:r w:rsidRPr="00CE0690">
        <w:rPr>
          <w:szCs w:val="22"/>
          <w:u w:val="single"/>
        </w:rPr>
        <w:t>TUVALU</w:t>
      </w:r>
    </w:p>
    <w:p w:rsidR="001955BB" w:rsidRPr="00CE0690" w:rsidRDefault="001955BB" w:rsidP="001955BB">
      <w:pPr>
        <w:rPr>
          <w:szCs w:val="22"/>
          <w:u w:val="single"/>
        </w:rPr>
      </w:pPr>
    </w:p>
    <w:p w:rsidR="001955BB" w:rsidRPr="0077363F" w:rsidRDefault="001955BB" w:rsidP="001955BB">
      <w:pPr>
        <w:rPr>
          <w:szCs w:val="22"/>
        </w:rPr>
      </w:pPr>
      <w:r w:rsidRPr="0077363F">
        <w:rPr>
          <w:szCs w:val="22"/>
        </w:rPr>
        <w:t>Efren Jagdish JOGIA (Mr.), Senior Crown Counsel, Office of the Attorney-General, Office of the Prime Minister, Funafuti</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UKRAINE</w:t>
      </w:r>
    </w:p>
    <w:p w:rsidR="001955BB" w:rsidRPr="0077363F" w:rsidRDefault="001955BB" w:rsidP="001955BB">
      <w:pPr>
        <w:rPr>
          <w:szCs w:val="22"/>
          <w:u w:val="single"/>
        </w:rPr>
      </w:pPr>
    </w:p>
    <w:p w:rsidR="001955BB" w:rsidRPr="0077363F" w:rsidRDefault="001955BB" w:rsidP="001955BB">
      <w:pPr>
        <w:rPr>
          <w:szCs w:val="22"/>
        </w:rPr>
      </w:pPr>
      <w:proofErr w:type="spellStart"/>
      <w:r w:rsidRPr="0077363F">
        <w:rPr>
          <w:szCs w:val="22"/>
        </w:rPr>
        <w:t>Oleksii</w:t>
      </w:r>
      <w:proofErr w:type="spellEnd"/>
      <w:r w:rsidRPr="0077363F">
        <w:rPr>
          <w:szCs w:val="22"/>
        </w:rPr>
        <w:t xml:space="preserve"> SKUBKO (Mr.), Deputy Head, Department of International and Public Relations, State Intellectual Property Service of Ukraine (SIPS), Ukrainian Intellectual Property Institute (</w:t>
      </w:r>
      <w:proofErr w:type="spellStart"/>
      <w:r w:rsidRPr="0077363F">
        <w:rPr>
          <w:szCs w:val="22"/>
        </w:rPr>
        <w:t>Ukrpatent</w:t>
      </w:r>
      <w:proofErr w:type="spellEnd"/>
      <w:r w:rsidRPr="0077363F">
        <w:rPr>
          <w:szCs w:val="22"/>
        </w:rPr>
        <w:t>), Ministry of Economic Development and Trade of Ukraine, Kyiv</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Sergii</w:t>
      </w:r>
      <w:proofErr w:type="spellEnd"/>
      <w:r w:rsidRPr="0077363F">
        <w:rPr>
          <w:szCs w:val="22"/>
        </w:rPr>
        <w:t xml:space="preserve"> TORIANIK (Mr.), Deputy Head, Department of Examination of Applications for Inventions, Utility Models and Topographies of Integrated Circuits, State Intellectual Property Service of Ukraine (SIPS), Ukrainian Intellectual Property Institute (</w:t>
      </w:r>
      <w:proofErr w:type="spellStart"/>
      <w:r w:rsidRPr="0077363F">
        <w:rPr>
          <w:szCs w:val="22"/>
        </w:rPr>
        <w:t>Ukrpatent</w:t>
      </w:r>
      <w:proofErr w:type="spellEnd"/>
      <w:r w:rsidRPr="0077363F">
        <w:rPr>
          <w:szCs w:val="22"/>
        </w:rPr>
        <w:t>), Ministry of Economic Development and Trade of Ukraine, Kyiv</w:t>
      </w:r>
    </w:p>
    <w:p w:rsidR="001955BB" w:rsidRPr="0077363F" w:rsidRDefault="001955BB" w:rsidP="001955BB">
      <w:pPr>
        <w:rPr>
          <w:szCs w:val="22"/>
        </w:rPr>
      </w:pPr>
    </w:p>
    <w:p w:rsidR="001955BB" w:rsidRDefault="001955BB" w:rsidP="001955BB">
      <w:pPr>
        <w:rPr>
          <w:szCs w:val="22"/>
        </w:rPr>
      </w:pPr>
    </w:p>
    <w:p w:rsidR="001955BB" w:rsidRPr="0013333E" w:rsidRDefault="001955BB" w:rsidP="001955BB">
      <w:pPr>
        <w:rPr>
          <w:szCs w:val="22"/>
          <w:u w:val="single"/>
          <w:lang w:val="es-ES"/>
        </w:rPr>
      </w:pPr>
      <w:r w:rsidRPr="0013333E">
        <w:rPr>
          <w:szCs w:val="22"/>
          <w:u w:val="single"/>
          <w:lang w:val="es-ES"/>
        </w:rPr>
        <w:t>URUGUAY</w:t>
      </w:r>
    </w:p>
    <w:p w:rsidR="001955BB" w:rsidRPr="0013333E" w:rsidRDefault="001955BB" w:rsidP="001955BB">
      <w:pPr>
        <w:rPr>
          <w:szCs w:val="22"/>
          <w:u w:val="single"/>
          <w:lang w:val="es-ES"/>
        </w:rPr>
      </w:pPr>
    </w:p>
    <w:p w:rsidR="001955BB" w:rsidRPr="0013333E" w:rsidRDefault="001955BB" w:rsidP="001955BB">
      <w:pPr>
        <w:rPr>
          <w:szCs w:val="22"/>
          <w:lang w:val="es-ES"/>
        </w:rPr>
      </w:pPr>
      <w:r w:rsidRPr="0013333E">
        <w:rPr>
          <w:szCs w:val="22"/>
          <w:lang w:val="es-ES"/>
        </w:rPr>
        <w:t>Juan BARBOZA (Sr.), Consejero, Misión Permanente ante la Organización</w:t>
      </w:r>
      <w:r>
        <w:rPr>
          <w:szCs w:val="22"/>
          <w:lang w:val="es-ES"/>
        </w:rPr>
        <w:t xml:space="preserve"> </w:t>
      </w:r>
      <w:r w:rsidRPr="0013333E">
        <w:rPr>
          <w:szCs w:val="22"/>
          <w:lang w:val="es-ES"/>
        </w:rPr>
        <w:t>Mundial del Comercio (OMC), Ginebra</w:t>
      </w:r>
    </w:p>
    <w:p w:rsidR="001955BB" w:rsidRDefault="001955BB" w:rsidP="001955BB">
      <w:pPr>
        <w:rPr>
          <w:szCs w:val="22"/>
          <w:lang w:val="es-ES"/>
        </w:rPr>
      </w:pPr>
    </w:p>
    <w:p w:rsidR="001955BB" w:rsidRDefault="001955BB" w:rsidP="001955BB">
      <w:pPr>
        <w:rPr>
          <w:szCs w:val="22"/>
          <w:lang w:val="es-ES"/>
        </w:rPr>
      </w:pPr>
    </w:p>
    <w:p w:rsidR="00494F3B" w:rsidRDefault="00494F3B" w:rsidP="001955BB">
      <w:pPr>
        <w:rPr>
          <w:szCs w:val="22"/>
          <w:lang w:val="es-ES"/>
        </w:rPr>
      </w:pPr>
    </w:p>
    <w:p w:rsidR="00494F3B" w:rsidRPr="00440422" w:rsidRDefault="00494F3B" w:rsidP="001955BB">
      <w:pPr>
        <w:rPr>
          <w:szCs w:val="22"/>
          <w:lang w:val="es-ES"/>
        </w:rPr>
      </w:pPr>
    </w:p>
    <w:p w:rsidR="001955BB" w:rsidRPr="001955BB" w:rsidRDefault="001955BB" w:rsidP="001955BB">
      <w:pPr>
        <w:rPr>
          <w:szCs w:val="22"/>
          <w:u w:val="single"/>
          <w:lang w:val="es-ES_tradnl"/>
        </w:rPr>
      </w:pPr>
      <w:r w:rsidRPr="001955BB">
        <w:rPr>
          <w:szCs w:val="22"/>
          <w:u w:val="single"/>
          <w:lang w:val="es-ES_tradnl"/>
        </w:rPr>
        <w:t>VENEZUELA (RÉPUBLIQUE BOLIVARIENNE DU)/VENEZUELA (BOLIVARIAN REPUBLIC OF)</w:t>
      </w:r>
    </w:p>
    <w:p w:rsidR="001955BB" w:rsidRPr="001955BB" w:rsidRDefault="001955BB" w:rsidP="001955BB">
      <w:pPr>
        <w:rPr>
          <w:szCs w:val="22"/>
          <w:u w:val="single"/>
          <w:lang w:val="es-ES_tradnl"/>
        </w:rPr>
      </w:pPr>
    </w:p>
    <w:p w:rsidR="001955BB" w:rsidRPr="0013333E" w:rsidRDefault="001955BB" w:rsidP="001955BB">
      <w:pPr>
        <w:rPr>
          <w:szCs w:val="22"/>
          <w:lang w:val="es-ES"/>
        </w:rPr>
      </w:pPr>
      <w:r w:rsidRPr="0013333E">
        <w:rPr>
          <w:szCs w:val="22"/>
          <w:lang w:val="es-ES"/>
        </w:rPr>
        <w:t>Jorge VALERO (Sr.), Embajador, Representante Permanente, Misión Permanente, Ginebra</w:t>
      </w:r>
    </w:p>
    <w:p w:rsidR="001955BB" w:rsidRPr="0013333E" w:rsidRDefault="001955BB" w:rsidP="001955BB">
      <w:pPr>
        <w:rPr>
          <w:szCs w:val="22"/>
          <w:lang w:val="es-ES"/>
        </w:rPr>
      </w:pPr>
      <w:r w:rsidRPr="0013333E">
        <w:rPr>
          <w:szCs w:val="22"/>
          <w:u w:val="single"/>
          <w:lang w:val="es-ES"/>
        </w:rPr>
        <w:t xml:space="preserve">valeroj@onuginebra.gob.ve </w:t>
      </w:r>
    </w:p>
    <w:p w:rsidR="001955BB" w:rsidRPr="0013333E" w:rsidRDefault="001955BB" w:rsidP="001955BB">
      <w:pPr>
        <w:rPr>
          <w:szCs w:val="22"/>
          <w:lang w:val="es-ES"/>
        </w:rPr>
      </w:pPr>
    </w:p>
    <w:p w:rsidR="001955BB" w:rsidRPr="0013333E" w:rsidRDefault="001955BB" w:rsidP="001955BB">
      <w:pPr>
        <w:rPr>
          <w:szCs w:val="22"/>
          <w:lang w:val="es-ES"/>
        </w:rPr>
      </w:pPr>
      <w:r w:rsidRPr="0013333E">
        <w:rPr>
          <w:szCs w:val="22"/>
          <w:lang w:val="es-ES"/>
        </w:rPr>
        <w:t>Violeta FONSECA OCAMPOS (Sra.), Ministro Consejero, Misión Permanente, Ginebra</w:t>
      </w:r>
    </w:p>
    <w:p w:rsidR="001955BB" w:rsidRPr="00440422" w:rsidRDefault="001955BB" w:rsidP="001955BB">
      <w:pPr>
        <w:rPr>
          <w:szCs w:val="22"/>
          <w:u w:val="single"/>
          <w:lang w:val="es-ES"/>
        </w:rPr>
      </w:pPr>
      <w:r w:rsidRPr="00440422">
        <w:rPr>
          <w:szCs w:val="22"/>
          <w:u w:val="single"/>
          <w:lang w:val="es-ES"/>
        </w:rPr>
        <w:t xml:space="preserve">fonsecav@onuginebra.gob.ve </w:t>
      </w:r>
    </w:p>
    <w:p w:rsidR="001955BB" w:rsidRPr="00440422" w:rsidRDefault="001955BB" w:rsidP="001955BB">
      <w:pPr>
        <w:rPr>
          <w:szCs w:val="22"/>
          <w:u w:val="single"/>
          <w:lang w:val="es-ES"/>
        </w:rPr>
      </w:pPr>
    </w:p>
    <w:p w:rsidR="001955BB" w:rsidRPr="0013333E" w:rsidRDefault="001955BB" w:rsidP="001955BB">
      <w:pPr>
        <w:rPr>
          <w:szCs w:val="22"/>
          <w:lang w:val="es-ES"/>
        </w:rPr>
      </w:pPr>
      <w:r w:rsidRPr="0013333E">
        <w:rPr>
          <w:szCs w:val="22"/>
          <w:lang w:val="es-ES"/>
        </w:rPr>
        <w:t>Susana RAMÍREZ (Sra.), Directora, Registro de Propiedad Industrial, Ministerio del Poder Popular para Economía y Finanzas, Caracas</w:t>
      </w:r>
    </w:p>
    <w:p w:rsidR="001955BB" w:rsidRPr="00CE0690" w:rsidRDefault="001955BB" w:rsidP="001955BB">
      <w:pPr>
        <w:rPr>
          <w:szCs w:val="22"/>
        </w:rPr>
      </w:pPr>
      <w:r w:rsidRPr="00CE0690">
        <w:rPr>
          <w:szCs w:val="22"/>
          <w:u w:val="single"/>
        </w:rPr>
        <w:t xml:space="preserve">alucema.reyes@gmail.com </w:t>
      </w:r>
    </w:p>
    <w:p w:rsidR="001955BB" w:rsidRPr="00CE0690" w:rsidRDefault="001955BB" w:rsidP="001955BB">
      <w:pPr>
        <w:rPr>
          <w:szCs w:val="22"/>
        </w:rPr>
      </w:pPr>
    </w:p>
    <w:p w:rsidR="001955BB" w:rsidRPr="00CE0690" w:rsidRDefault="001955BB" w:rsidP="001955BB">
      <w:pPr>
        <w:rPr>
          <w:szCs w:val="22"/>
        </w:rPr>
      </w:pPr>
    </w:p>
    <w:p w:rsidR="001955BB" w:rsidRPr="0077363F" w:rsidRDefault="001955BB" w:rsidP="001955BB">
      <w:pPr>
        <w:rPr>
          <w:szCs w:val="22"/>
          <w:u w:val="single"/>
        </w:rPr>
      </w:pPr>
      <w:r w:rsidRPr="0077363F">
        <w:rPr>
          <w:szCs w:val="22"/>
          <w:u w:val="single"/>
        </w:rPr>
        <w:t>VIET NAM</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 xml:space="preserve">NGUYEN Thanh </w:t>
      </w:r>
      <w:proofErr w:type="spellStart"/>
      <w:r w:rsidRPr="0077363F">
        <w:rPr>
          <w:szCs w:val="22"/>
        </w:rPr>
        <w:t>Tu</w:t>
      </w:r>
      <w:proofErr w:type="spellEnd"/>
      <w:r w:rsidRPr="0077363F">
        <w:rPr>
          <w:szCs w:val="22"/>
        </w:rPr>
        <w:t xml:space="preserve"> (Ms.), Director, Patent Division No. 3, National Office of Intellectual Property of Viet Nam (NOIP), Ministry of Science and Technology, Hanoi</w:t>
      </w:r>
    </w:p>
    <w:p w:rsidR="001955BB" w:rsidRDefault="001955BB" w:rsidP="001955BB">
      <w:pPr>
        <w:rPr>
          <w:szCs w:val="22"/>
        </w:rPr>
      </w:pPr>
    </w:p>
    <w:p w:rsidR="001955BB" w:rsidRPr="0077363F" w:rsidRDefault="001955BB" w:rsidP="001955BB">
      <w:pPr>
        <w:rPr>
          <w:szCs w:val="22"/>
        </w:rPr>
      </w:pPr>
    </w:p>
    <w:p w:rsidR="001955BB" w:rsidRPr="009C308F" w:rsidRDefault="001955BB" w:rsidP="001955BB">
      <w:pPr>
        <w:rPr>
          <w:szCs w:val="22"/>
          <w:u w:val="single"/>
        </w:rPr>
      </w:pPr>
      <w:r w:rsidRPr="009C308F">
        <w:rPr>
          <w:szCs w:val="22"/>
          <w:u w:val="single"/>
        </w:rPr>
        <w:t>YÉMEN/YEMEN</w:t>
      </w:r>
    </w:p>
    <w:p w:rsidR="001955BB" w:rsidRPr="009C308F" w:rsidRDefault="001955BB" w:rsidP="001955BB">
      <w:pPr>
        <w:rPr>
          <w:szCs w:val="22"/>
          <w:u w:val="single"/>
        </w:rPr>
      </w:pPr>
    </w:p>
    <w:p w:rsidR="001955BB" w:rsidRDefault="001955BB" w:rsidP="001955BB">
      <w:pPr>
        <w:rPr>
          <w:szCs w:val="22"/>
        </w:rPr>
      </w:pPr>
      <w:r>
        <w:rPr>
          <w:szCs w:val="22"/>
        </w:rPr>
        <w:t>Mohammed FAKHER (Mr.), First Secretary, Permanent Mission, Geneva</w:t>
      </w:r>
    </w:p>
    <w:p w:rsidR="001955BB" w:rsidRDefault="001955BB" w:rsidP="001955BB">
      <w:pPr>
        <w:rPr>
          <w:szCs w:val="22"/>
          <w:u w:val="single"/>
        </w:rPr>
      </w:pPr>
    </w:p>
    <w:p w:rsidR="001955BB" w:rsidRDefault="001955BB" w:rsidP="001955BB">
      <w:pPr>
        <w:rPr>
          <w:szCs w:val="22"/>
          <w:u w:val="single"/>
        </w:rPr>
      </w:pPr>
    </w:p>
    <w:p w:rsidR="001955BB" w:rsidRPr="009C308F" w:rsidRDefault="001955BB" w:rsidP="001955BB">
      <w:pPr>
        <w:rPr>
          <w:szCs w:val="22"/>
          <w:u w:val="single"/>
        </w:rPr>
      </w:pPr>
      <w:r w:rsidRPr="009C308F">
        <w:rPr>
          <w:szCs w:val="22"/>
          <w:u w:val="single"/>
        </w:rPr>
        <w:t>ZIMBABWE</w:t>
      </w:r>
    </w:p>
    <w:p w:rsidR="001955BB" w:rsidRPr="009C308F" w:rsidRDefault="001955BB" w:rsidP="001955BB">
      <w:pPr>
        <w:rPr>
          <w:szCs w:val="22"/>
          <w:u w:val="single"/>
        </w:rPr>
      </w:pPr>
    </w:p>
    <w:p w:rsidR="001955BB" w:rsidRDefault="001955BB" w:rsidP="001955BB">
      <w:pPr>
        <w:rPr>
          <w:szCs w:val="22"/>
        </w:rPr>
      </w:pPr>
      <w:proofErr w:type="spellStart"/>
      <w:r>
        <w:rPr>
          <w:szCs w:val="22"/>
        </w:rPr>
        <w:t>Vimbai</w:t>
      </w:r>
      <w:proofErr w:type="spellEnd"/>
      <w:r>
        <w:rPr>
          <w:szCs w:val="22"/>
        </w:rPr>
        <w:t xml:space="preserve"> Alice CHIKOMBA (Ms.), Counsellor, Permanent Mission, Geneva</w:t>
      </w:r>
    </w:p>
    <w:p w:rsidR="001955BB" w:rsidRPr="00770295" w:rsidRDefault="001955BB" w:rsidP="001955BB">
      <w:pPr>
        <w:rPr>
          <w:szCs w:val="22"/>
          <w:u w:val="single"/>
          <w:lang w:val="fr-FR"/>
        </w:rPr>
      </w:pPr>
      <w:r w:rsidRPr="00770295">
        <w:rPr>
          <w:rFonts w:cs="Times New Roman"/>
          <w:szCs w:val="22"/>
          <w:u w:val="single"/>
          <w:lang w:val="fr-FR"/>
        </w:rPr>
        <w:t>vimbaialice@gmail.com</w:t>
      </w:r>
    </w:p>
    <w:p w:rsidR="001955BB" w:rsidRPr="00770295" w:rsidRDefault="001955BB" w:rsidP="001955BB">
      <w:pPr>
        <w:rPr>
          <w:szCs w:val="22"/>
          <w:lang w:val="fr-FR"/>
        </w:rPr>
      </w:pPr>
    </w:p>
    <w:p w:rsidR="001955BB" w:rsidRPr="00770295" w:rsidRDefault="001955BB" w:rsidP="001955BB">
      <w:pPr>
        <w:rPr>
          <w:szCs w:val="22"/>
          <w:lang w:val="fr-FR"/>
        </w:rPr>
      </w:pPr>
    </w:p>
    <w:p w:rsidR="001955BB" w:rsidRPr="00770295" w:rsidRDefault="001955BB" w:rsidP="001955BB">
      <w:pPr>
        <w:rPr>
          <w:szCs w:val="22"/>
          <w:lang w:val="fr-FR"/>
        </w:rPr>
      </w:pPr>
    </w:p>
    <w:p w:rsidR="001955BB" w:rsidRPr="001955BB" w:rsidRDefault="001955BB" w:rsidP="001955BB">
      <w:pPr>
        <w:rPr>
          <w:caps/>
          <w:szCs w:val="22"/>
          <w:u w:val="single"/>
          <w:lang w:val="fr-FR"/>
        </w:rPr>
      </w:pPr>
      <w:r w:rsidRPr="001955BB">
        <w:rPr>
          <w:szCs w:val="22"/>
          <w:lang w:val="fr-FR"/>
        </w:rPr>
        <w:t xml:space="preserve">II.  </w:t>
      </w:r>
      <w:r w:rsidRPr="001955BB">
        <w:rPr>
          <w:caps/>
          <w:szCs w:val="22"/>
          <w:u w:val="single"/>
          <w:lang w:val="fr-FR"/>
        </w:rPr>
        <w:t>DÉlÉgation SpÉciale/Special Delegation</w:t>
      </w:r>
    </w:p>
    <w:p w:rsidR="001955BB" w:rsidRPr="001955BB" w:rsidRDefault="001955BB" w:rsidP="001955BB">
      <w:pPr>
        <w:rPr>
          <w:caps/>
          <w:szCs w:val="22"/>
          <w:u w:val="single"/>
          <w:lang w:val="fr-FR"/>
        </w:rPr>
      </w:pPr>
    </w:p>
    <w:p w:rsidR="001955BB" w:rsidRPr="001955BB" w:rsidRDefault="001955BB" w:rsidP="001955BB">
      <w:pPr>
        <w:rPr>
          <w:caps/>
          <w:szCs w:val="22"/>
          <w:u w:val="single"/>
          <w:lang w:val="fr-FR"/>
        </w:rPr>
      </w:pPr>
    </w:p>
    <w:p w:rsidR="001955BB" w:rsidRPr="00E67AB8" w:rsidRDefault="001955BB" w:rsidP="001955BB">
      <w:pPr>
        <w:rPr>
          <w:szCs w:val="22"/>
          <w:u w:val="single"/>
          <w:lang w:val="fr-FR"/>
        </w:rPr>
      </w:pPr>
      <w:r w:rsidRPr="00E67AB8">
        <w:rPr>
          <w:szCs w:val="22"/>
          <w:u w:val="single"/>
          <w:lang w:val="fr-FR"/>
        </w:rPr>
        <w:t xml:space="preserve">UNION EUROPÉENNE (UE)/EUROPEAN UNION (EU) </w:t>
      </w:r>
    </w:p>
    <w:p w:rsidR="001955BB" w:rsidRPr="0013333E" w:rsidRDefault="001955BB" w:rsidP="001955BB">
      <w:pPr>
        <w:rPr>
          <w:szCs w:val="22"/>
          <w:u w:val="single"/>
          <w:lang w:val="fr-FR"/>
        </w:rPr>
      </w:pPr>
    </w:p>
    <w:p w:rsidR="001955BB" w:rsidRDefault="001955BB" w:rsidP="001955BB">
      <w:pPr>
        <w:rPr>
          <w:szCs w:val="22"/>
        </w:rPr>
      </w:pPr>
      <w:r>
        <w:rPr>
          <w:szCs w:val="22"/>
        </w:rPr>
        <w:t xml:space="preserve">Oliver HALL ALLEN (Mr.), Minister Counsellor, </w:t>
      </w:r>
      <w:r w:rsidRPr="00356615">
        <w:rPr>
          <w:szCs w:val="22"/>
        </w:rPr>
        <w:t>Intellectual Property, Permanent Delegation, Geneva</w:t>
      </w:r>
    </w:p>
    <w:p w:rsidR="001955BB" w:rsidRDefault="001955BB" w:rsidP="001955BB">
      <w:pPr>
        <w:rPr>
          <w:szCs w:val="22"/>
        </w:rPr>
      </w:pPr>
    </w:p>
    <w:p w:rsidR="001955BB" w:rsidRDefault="001955BB" w:rsidP="001955BB">
      <w:pPr>
        <w:rPr>
          <w:szCs w:val="22"/>
        </w:rPr>
      </w:pPr>
      <w:r>
        <w:rPr>
          <w:szCs w:val="22"/>
        </w:rPr>
        <w:t>Krisztina KOVÁCS (Ms.), Policy Officer, Directorate General for Internal Market, Industry, Entrepreneurship and SMEs, European Commission, Brussels</w:t>
      </w:r>
    </w:p>
    <w:p w:rsidR="001955BB" w:rsidRDefault="001955BB" w:rsidP="001955BB">
      <w:pPr>
        <w:rPr>
          <w:szCs w:val="22"/>
        </w:rPr>
      </w:pPr>
    </w:p>
    <w:p w:rsidR="001955BB" w:rsidRDefault="001955BB" w:rsidP="001955BB">
      <w:pPr>
        <w:rPr>
          <w:szCs w:val="22"/>
        </w:rPr>
      </w:pPr>
      <w:r>
        <w:rPr>
          <w:szCs w:val="22"/>
        </w:rPr>
        <w:t>Jonas HAKANSSON (Mr.), Assistant, Permanent Delegation, Geneva</w:t>
      </w:r>
    </w:p>
    <w:p w:rsidR="001955BB" w:rsidRDefault="001955BB" w:rsidP="001955BB">
      <w:pPr>
        <w:rPr>
          <w:szCs w:val="22"/>
        </w:rPr>
      </w:pPr>
    </w:p>
    <w:p w:rsidR="001955BB" w:rsidRDefault="001955BB" w:rsidP="001955BB">
      <w:pPr>
        <w:rPr>
          <w:szCs w:val="22"/>
        </w:rPr>
      </w:pPr>
      <w:r>
        <w:rPr>
          <w:szCs w:val="22"/>
        </w:rPr>
        <w:t>Angela PESTALOZZI (Ms.), Intern, Permanent Delegation, Geneva</w:t>
      </w:r>
    </w:p>
    <w:p w:rsidR="001955BB" w:rsidRPr="006B4B1D" w:rsidRDefault="001955BB" w:rsidP="001955BB">
      <w:pPr>
        <w:rPr>
          <w:szCs w:val="22"/>
          <w:lang w:eastAsia="en-US"/>
        </w:rPr>
      </w:pPr>
    </w:p>
    <w:p w:rsidR="008B7E70" w:rsidRPr="008B7E70" w:rsidRDefault="008B7E70" w:rsidP="008B7E70">
      <w:pPr>
        <w:rPr>
          <w:szCs w:val="22"/>
        </w:rPr>
      </w:pPr>
    </w:p>
    <w:p w:rsidR="008B7E70" w:rsidRDefault="008B7E70" w:rsidP="008B7E70">
      <w:pPr>
        <w:rPr>
          <w:szCs w:val="22"/>
        </w:rPr>
      </w:pPr>
    </w:p>
    <w:p w:rsidR="008B7E70" w:rsidRPr="008B7E70" w:rsidRDefault="008B7E70" w:rsidP="008B7E70">
      <w:pPr>
        <w:rPr>
          <w:szCs w:val="22"/>
          <w:lang w:eastAsia="en-US"/>
        </w:rPr>
      </w:pPr>
    </w:p>
    <w:p w:rsidR="008B7E70" w:rsidRPr="008B7E70" w:rsidRDefault="008B7E70" w:rsidP="008B7E70">
      <w:pPr>
        <w:ind w:left="360" w:hanging="360"/>
        <w:rPr>
          <w:szCs w:val="22"/>
          <w:lang w:eastAsia="en-US"/>
        </w:rPr>
      </w:pPr>
      <w:r w:rsidRPr="008B7E70">
        <w:rPr>
          <w:szCs w:val="22"/>
          <w:lang w:eastAsia="en-US"/>
        </w:rPr>
        <w:br w:type="page"/>
      </w:r>
    </w:p>
    <w:p w:rsidR="008B7E70" w:rsidRPr="008A20C2" w:rsidRDefault="001955BB" w:rsidP="008B7E70">
      <w:pPr>
        <w:ind w:left="360" w:hanging="360"/>
        <w:rPr>
          <w:szCs w:val="22"/>
        </w:rPr>
      </w:pPr>
      <w:r w:rsidRPr="008A20C2">
        <w:rPr>
          <w:szCs w:val="22"/>
        </w:rPr>
        <w:lastRenderedPageBreak/>
        <w:t>III</w:t>
      </w:r>
      <w:proofErr w:type="gramStart"/>
      <w:r w:rsidR="00AE1D54" w:rsidRPr="008A20C2">
        <w:rPr>
          <w:szCs w:val="22"/>
        </w:rPr>
        <w:t xml:space="preserve">.  </w:t>
      </w:r>
      <w:r w:rsidR="008B7E70" w:rsidRPr="008A20C2">
        <w:rPr>
          <w:szCs w:val="22"/>
          <w:u w:val="single"/>
        </w:rPr>
        <w:t>ORGANISATIONS</w:t>
      </w:r>
      <w:proofErr w:type="gramEnd"/>
      <w:r w:rsidR="008B7E70" w:rsidRPr="008A20C2">
        <w:rPr>
          <w:szCs w:val="22"/>
          <w:u w:val="single"/>
        </w:rPr>
        <w:t xml:space="preserve"> INTERNATIONALES INTERGOUVERNEMENTALES/</w:t>
      </w:r>
      <w:r w:rsidR="008B7E70" w:rsidRPr="008A20C2">
        <w:rPr>
          <w:szCs w:val="22"/>
          <w:u w:val="single"/>
        </w:rPr>
        <w:br/>
      </w:r>
      <w:r w:rsidR="008B7E70" w:rsidRPr="008A20C2">
        <w:rPr>
          <w:noProof/>
          <w:szCs w:val="22"/>
          <w:u w:val="single"/>
        </w:rPr>
        <w:t>INTERNATIONAL INTERGOVERNMENTAL ORGANIZATIONS</w:t>
      </w:r>
    </w:p>
    <w:p w:rsidR="008B7E70" w:rsidRPr="008A20C2" w:rsidRDefault="008B7E70" w:rsidP="008B7E70">
      <w:pPr>
        <w:ind w:left="426" w:hanging="426"/>
        <w:outlineLvl w:val="7"/>
        <w:rPr>
          <w:rFonts w:eastAsia="Times New Roman"/>
          <w:iCs/>
          <w:szCs w:val="22"/>
          <w:lang w:eastAsia="en-US"/>
        </w:rPr>
      </w:pPr>
    </w:p>
    <w:p w:rsidR="001955BB" w:rsidRDefault="001955BB" w:rsidP="001955BB">
      <w:pPr>
        <w:rPr>
          <w:szCs w:val="22"/>
        </w:rPr>
      </w:pPr>
    </w:p>
    <w:p w:rsidR="001955BB" w:rsidRPr="00FE4BC2" w:rsidRDefault="001955BB" w:rsidP="001955BB">
      <w:pPr>
        <w:rPr>
          <w:szCs w:val="22"/>
          <w:u w:val="single"/>
        </w:rPr>
      </w:pPr>
      <w:r w:rsidRPr="00FE4BC2">
        <w:rPr>
          <w:szCs w:val="22"/>
          <w:u w:val="single"/>
        </w:rPr>
        <w:t xml:space="preserve">CENTRE SUD (CS)/SOUTH CENTRE (SC) </w:t>
      </w:r>
    </w:p>
    <w:p w:rsidR="001955BB" w:rsidRPr="00FE4BC2" w:rsidRDefault="001955BB" w:rsidP="001955BB">
      <w:pPr>
        <w:rPr>
          <w:szCs w:val="22"/>
          <w:u w:val="single"/>
        </w:rPr>
      </w:pPr>
    </w:p>
    <w:p w:rsidR="001955BB" w:rsidRPr="0077363F" w:rsidRDefault="001955BB" w:rsidP="001955BB">
      <w:pPr>
        <w:rPr>
          <w:szCs w:val="22"/>
        </w:rPr>
      </w:pPr>
      <w:r w:rsidRPr="0077363F">
        <w:rPr>
          <w:szCs w:val="22"/>
        </w:rPr>
        <w:t>Victor PINTO IDO (Mr.), Intern, Development, Innovation and Intellectual Property Programme, Geneva</w:t>
      </w:r>
    </w:p>
    <w:p w:rsidR="001955BB" w:rsidRPr="00770295" w:rsidRDefault="001955BB" w:rsidP="001955BB">
      <w:pPr>
        <w:rPr>
          <w:szCs w:val="22"/>
        </w:rPr>
      </w:pPr>
      <w:r w:rsidRPr="00770295">
        <w:rPr>
          <w:szCs w:val="22"/>
          <w:u w:val="single"/>
        </w:rPr>
        <w:t xml:space="preserve">ido@southcentre.int </w:t>
      </w:r>
    </w:p>
    <w:p w:rsidR="001955BB" w:rsidRPr="00770295"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OFFICE DES BREVETS DU CONSEIL DE COOPÉRATION DES ÉTATS ARABES DU GOLFE (CCG)/PATENT OFFICE OF THE COOPERATION COUNCIL FOR THE ARAB STATES OF THE GULF (GCC PATENT OFFICE) </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Bander ALTHOBITY (Mr.), Head, Initiatives and Projects Section, Riyadh</w:t>
      </w:r>
    </w:p>
    <w:p w:rsidR="001955BB" w:rsidRDefault="001955BB" w:rsidP="001955BB">
      <w:pPr>
        <w:rPr>
          <w:szCs w:val="22"/>
          <w:u w:val="single"/>
        </w:rPr>
      </w:pPr>
      <w:r w:rsidRPr="0077363F">
        <w:rPr>
          <w:szCs w:val="22"/>
          <w:u w:val="single"/>
        </w:rPr>
        <w:t xml:space="preserve">bthobity@gccsg.org </w:t>
      </w:r>
    </w:p>
    <w:p w:rsidR="001955BB" w:rsidRPr="0077363F" w:rsidRDefault="001955BB" w:rsidP="001955BB">
      <w:pPr>
        <w:rPr>
          <w:szCs w:val="22"/>
        </w:rPr>
      </w:pPr>
    </w:p>
    <w:p w:rsidR="001955BB" w:rsidRPr="0077363F" w:rsidRDefault="001955BB" w:rsidP="001955BB">
      <w:pPr>
        <w:rPr>
          <w:szCs w:val="22"/>
        </w:rPr>
      </w:pPr>
      <w:r w:rsidRPr="0077363F">
        <w:rPr>
          <w:szCs w:val="22"/>
        </w:rPr>
        <w:t>Ahmed ALHINAI (Mr.), Patent Examiner, Riyadh</w:t>
      </w:r>
    </w:p>
    <w:p w:rsidR="001955BB" w:rsidRPr="0077363F" w:rsidRDefault="001955BB" w:rsidP="001955BB">
      <w:pPr>
        <w:rPr>
          <w:szCs w:val="22"/>
        </w:rPr>
      </w:pPr>
      <w:r w:rsidRPr="0077363F">
        <w:rPr>
          <w:szCs w:val="22"/>
          <w:u w:val="single"/>
        </w:rPr>
        <w:t xml:space="preserve">ahinai@gccsg.org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ORGANISATION DE COOPÉRATION ISLAMIQUE (OCI)/ORGANIZATION OF ISLAMIC COOPERATION (OIC) </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Halim GRABUS (Mr.), Counsellor, Geneva</w:t>
      </w:r>
    </w:p>
    <w:p w:rsidR="001955BB" w:rsidRPr="0077363F" w:rsidRDefault="001955BB" w:rsidP="001955BB">
      <w:pPr>
        <w:rPr>
          <w:szCs w:val="22"/>
        </w:rPr>
      </w:pPr>
      <w:r w:rsidRPr="0077363F">
        <w:rPr>
          <w:szCs w:val="22"/>
          <w:u w:val="single"/>
        </w:rPr>
        <w:t xml:space="preserve">hgrabus@oic-oci.org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ORGANI</w:t>
      </w:r>
      <w:r>
        <w:rPr>
          <w:szCs w:val="22"/>
          <w:u w:val="single"/>
        </w:rPr>
        <w:t>SATION DES NATIONS UNIES POUR L’</w:t>
      </w:r>
      <w:r w:rsidR="00494F3B">
        <w:rPr>
          <w:szCs w:val="22"/>
          <w:u w:val="single"/>
        </w:rPr>
        <w:t>ALIMENTATION ET L’</w:t>
      </w:r>
      <w:r w:rsidRPr="0077363F">
        <w:rPr>
          <w:szCs w:val="22"/>
          <w:u w:val="single"/>
        </w:rPr>
        <w:t xml:space="preserve">AGRICULTURE (FAO)/FOOD AND AGRICULTURE ORGANIZATION OF THE UNITED NATIONS (FAO) </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Tobias KIENE (Mr.), Technical Officer, International Treaty on Plant Genetic Resources for Food and Agriculture, Rome</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 xml:space="preserve">ORGANISATION RÉGIONALE AFRICAINE DE LA PROPRIÉTÉ INTELLECTUELLE (ARIPO)/AFRICAN REGIONAL INTELLECTUAL PROPERTY ORGANIZATION (ARIPO) </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Emmanuel SACKEY (Mr.), Intellectual Property Development Executive, Harare</w:t>
      </w:r>
    </w:p>
    <w:p w:rsidR="001955BB" w:rsidRDefault="001955BB" w:rsidP="001955BB">
      <w:pPr>
        <w:rPr>
          <w:szCs w:val="22"/>
        </w:rPr>
      </w:pPr>
    </w:p>
    <w:p w:rsidR="001955BB" w:rsidRDefault="001955BB" w:rsidP="001955BB">
      <w:pPr>
        <w:rPr>
          <w:szCs w:val="22"/>
        </w:rPr>
      </w:pPr>
    </w:p>
    <w:p w:rsidR="001955BB" w:rsidRPr="00D117B9" w:rsidRDefault="001955BB" w:rsidP="001955BB">
      <w:pPr>
        <w:rPr>
          <w:szCs w:val="22"/>
          <w:u w:val="single"/>
        </w:rPr>
      </w:pPr>
      <w:r w:rsidRPr="00D117B9">
        <w:rPr>
          <w:szCs w:val="22"/>
          <w:u w:val="single"/>
        </w:rPr>
        <w:t xml:space="preserve">UNION AFRICAINE (UA)/AFRICAN UNION (AU) </w:t>
      </w:r>
    </w:p>
    <w:p w:rsidR="001955BB" w:rsidRPr="00D117B9" w:rsidRDefault="001955BB" w:rsidP="001955BB">
      <w:pPr>
        <w:rPr>
          <w:szCs w:val="22"/>
          <w:u w:val="single"/>
        </w:rPr>
      </w:pPr>
    </w:p>
    <w:p w:rsidR="001955BB" w:rsidRPr="0077363F" w:rsidRDefault="001955BB" w:rsidP="001955BB">
      <w:pPr>
        <w:rPr>
          <w:szCs w:val="22"/>
        </w:rPr>
      </w:pPr>
      <w:r w:rsidRPr="0077363F">
        <w:rPr>
          <w:szCs w:val="22"/>
        </w:rPr>
        <w:t>Georges NAMEKONG (M</w:t>
      </w:r>
      <w:r>
        <w:rPr>
          <w:szCs w:val="22"/>
        </w:rPr>
        <w:t>r</w:t>
      </w:r>
      <w:r w:rsidRPr="0077363F">
        <w:rPr>
          <w:szCs w:val="22"/>
        </w:rPr>
        <w:t>.), Senior Economist, Geneva</w:t>
      </w:r>
    </w:p>
    <w:p w:rsidR="001955BB" w:rsidRPr="0077363F" w:rsidRDefault="001955BB" w:rsidP="001955BB">
      <w:pPr>
        <w:rPr>
          <w:szCs w:val="22"/>
        </w:rPr>
      </w:pPr>
      <w:r w:rsidRPr="0077363F">
        <w:rPr>
          <w:szCs w:val="22"/>
          <w:u w:val="single"/>
        </w:rPr>
        <w:t xml:space="preserve">namekongg@africa-union.org </w:t>
      </w:r>
    </w:p>
    <w:p w:rsidR="001955BB" w:rsidRPr="0077363F" w:rsidRDefault="001955BB" w:rsidP="001955BB">
      <w:pPr>
        <w:rPr>
          <w:szCs w:val="22"/>
        </w:rPr>
      </w:pPr>
    </w:p>
    <w:p w:rsidR="001955BB" w:rsidRPr="0077363F" w:rsidRDefault="001955BB" w:rsidP="001955BB">
      <w:pPr>
        <w:rPr>
          <w:szCs w:val="22"/>
        </w:rPr>
      </w:pPr>
      <w:proofErr w:type="spellStart"/>
      <w:r>
        <w:rPr>
          <w:szCs w:val="22"/>
        </w:rPr>
        <w:t>Josseline</w:t>
      </w:r>
      <w:proofErr w:type="spellEnd"/>
      <w:r>
        <w:rPr>
          <w:szCs w:val="22"/>
        </w:rPr>
        <w:t xml:space="preserve"> NEMGNE NOKAM (Ms.), Intern</w:t>
      </w:r>
      <w:r w:rsidRPr="0077363F">
        <w:rPr>
          <w:szCs w:val="22"/>
        </w:rPr>
        <w:t>, Intellectual Property Specialist, Permanent Delegation, Geneva</w:t>
      </w:r>
    </w:p>
    <w:p w:rsidR="008B7E70" w:rsidRPr="001955BB" w:rsidRDefault="008B7E70" w:rsidP="008B7E70">
      <w:pPr>
        <w:rPr>
          <w:lang w:eastAsia="en-US"/>
        </w:rPr>
      </w:pPr>
    </w:p>
    <w:p w:rsidR="008B7E70" w:rsidRPr="001955BB" w:rsidRDefault="008B7E70" w:rsidP="008B7E70">
      <w:pPr>
        <w:ind w:left="426" w:hanging="426"/>
        <w:rPr>
          <w:caps/>
          <w:noProof/>
          <w:szCs w:val="22"/>
        </w:rPr>
      </w:pPr>
    </w:p>
    <w:p w:rsidR="001955BB" w:rsidRPr="00770295" w:rsidRDefault="001955BB">
      <w:pPr>
        <w:rPr>
          <w:caps/>
          <w:noProof/>
          <w:szCs w:val="22"/>
        </w:rPr>
      </w:pPr>
      <w:r w:rsidRPr="00770295">
        <w:rPr>
          <w:caps/>
          <w:noProof/>
          <w:szCs w:val="22"/>
        </w:rPr>
        <w:br w:type="page"/>
      </w:r>
    </w:p>
    <w:p w:rsidR="008B7E70" w:rsidRPr="008B7E70" w:rsidRDefault="001955BB" w:rsidP="008B7E70">
      <w:pPr>
        <w:ind w:left="360" w:hanging="360"/>
        <w:rPr>
          <w:caps/>
          <w:noProof/>
          <w:szCs w:val="22"/>
          <w:u w:val="single"/>
          <w:lang w:val="fr-FR"/>
        </w:rPr>
      </w:pPr>
      <w:r>
        <w:rPr>
          <w:caps/>
          <w:noProof/>
          <w:szCs w:val="22"/>
          <w:lang w:val="fr-FR"/>
        </w:rPr>
        <w:lastRenderedPageBreak/>
        <w:t>I</w:t>
      </w:r>
      <w:r w:rsidR="008B7E70" w:rsidRPr="008B7E70">
        <w:rPr>
          <w:caps/>
          <w:noProof/>
          <w:szCs w:val="22"/>
          <w:lang w:val="fr-FR"/>
        </w:rPr>
        <w:t>V</w:t>
      </w:r>
      <w:r w:rsidR="00AE1D54">
        <w:rPr>
          <w:caps/>
          <w:noProof/>
          <w:szCs w:val="22"/>
          <w:lang w:val="fr-FR"/>
        </w:rPr>
        <w:t xml:space="preserve">.  </w:t>
      </w:r>
      <w:r w:rsidR="008B7E70" w:rsidRPr="008B7E70">
        <w:rPr>
          <w:caps/>
          <w:noProof/>
          <w:szCs w:val="22"/>
          <w:u w:val="single"/>
          <w:lang w:val="fr-FR"/>
        </w:rPr>
        <w:t>Organisations internationales non Gouvernementales/</w:t>
      </w:r>
      <w:r w:rsidR="008B7E70" w:rsidRPr="008B7E70">
        <w:rPr>
          <w:caps/>
          <w:noProof/>
          <w:szCs w:val="22"/>
          <w:u w:val="single"/>
          <w:lang w:val="fr-FR"/>
        </w:rPr>
        <w:br/>
      </w:r>
      <w:r w:rsidR="008B7E70" w:rsidRPr="008B7E70">
        <w:rPr>
          <w:caps/>
          <w:noProof/>
          <w:szCs w:val="22"/>
          <w:lang w:val="fr-FR"/>
        </w:rPr>
        <w:t>I</w:t>
      </w:r>
      <w:r w:rsidR="008B7E70" w:rsidRPr="008B7E70">
        <w:rPr>
          <w:caps/>
          <w:noProof/>
          <w:szCs w:val="22"/>
          <w:u w:val="single"/>
          <w:lang w:val="fr-FR"/>
        </w:rPr>
        <w:t>nternational Non-Governmental Organizations</w:t>
      </w:r>
    </w:p>
    <w:p w:rsidR="008B7E70" w:rsidRPr="008B7E70" w:rsidRDefault="008B7E70" w:rsidP="008B7E70">
      <w:pPr>
        <w:rPr>
          <w:szCs w:val="22"/>
          <w:u w:val="single"/>
          <w:lang w:val="fr-FR"/>
        </w:rPr>
      </w:pPr>
    </w:p>
    <w:p w:rsidR="008B7E70" w:rsidRPr="008B7E70" w:rsidRDefault="008B7E70" w:rsidP="008B7E70">
      <w:pPr>
        <w:rPr>
          <w:szCs w:val="22"/>
          <w:lang w:val="fr-FR"/>
        </w:rPr>
      </w:pPr>
    </w:p>
    <w:p w:rsidR="001955BB" w:rsidRPr="0077363F" w:rsidRDefault="001955BB" w:rsidP="001955BB">
      <w:pPr>
        <w:rPr>
          <w:szCs w:val="22"/>
          <w:u w:val="single"/>
        </w:rPr>
      </w:pPr>
      <w:r w:rsidRPr="0077363F">
        <w:rPr>
          <w:szCs w:val="22"/>
          <w:u w:val="single"/>
        </w:rPr>
        <w:t xml:space="preserve">Assembly of Armenians of Western Armenia, The </w:t>
      </w:r>
    </w:p>
    <w:p w:rsidR="001955BB" w:rsidRPr="0077363F" w:rsidRDefault="001955BB" w:rsidP="001955BB">
      <w:pPr>
        <w:rPr>
          <w:szCs w:val="22"/>
          <w:lang w:val="fr-CH"/>
        </w:rPr>
      </w:pPr>
      <w:proofErr w:type="spellStart"/>
      <w:r>
        <w:rPr>
          <w:szCs w:val="22"/>
          <w:lang w:val="fr-CH"/>
        </w:rPr>
        <w:t>Arménag</w:t>
      </w:r>
      <w:proofErr w:type="spellEnd"/>
      <w:r>
        <w:rPr>
          <w:szCs w:val="22"/>
          <w:lang w:val="fr-CH"/>
        </w:rPr>
        <w:t xml:space="preserve"> APRAHAMIAN (M</w:t>
      </w:r>
      <w:r w:rsidRPr="0077363F">
        <w:rPr>
          <w:szCs w:val="22"/>
          <w:lang w:val="fr-CH"/>
        </w:rPr>
        <w:t xml:space="preserve">.), </w:t>
      </w:r>
      <w:r>
        <w:rPr>
          <w:szCs w:val="22"/>
          <w:lang w:val="fr-CH"/>
        </w:rPr>
        <w:t>p</w:t>
      </w:r>
      <w:r w:rsidRPr="0077363F">
        <w:rPr>
          <w:szCs w:val="22"/>
          <w:lang w:val="fr-CH"/>
        </w:rPr>
        <w:t xml:space="preserve">résident, Mission </w:t>
      </w:r>
      <w:r>
        <w:rPr>
          <w:szCs w:val="22"/>
          <w:lang w:val="fr-CH"/>
        </w:rPr>
        <w:t>d</w:t>
      </w:r>
      <w:r w:rsidRPr="0077363F">
        <w:rPr>
          <w:szCs w:val="22"/>
          <w:lang w:val="fr-CH"/>
        </w:rPr>
        <w:t>iplomatique, Bagneux</w:t>
      </w:r>
    </w:p>
    <w:p w:rsidR="001955BB" w:rsidRPr="0077363F" w:rsidRDefault="001955BB" w:rsidP="001955BB">
      <w:pPr>
        <w:rPr>
          <w:szCs w:val="22"/>
          <w:lang w:val="fr-CH"/>
        </w:rPr>
      </w:pPr>
      <w:r>
        <w:rPr>
          <w:szCs w:val="22"/>
          <w:lang w:val="fr-CH"/>
        </w:rPr>
        <w:t>Lydia MARGOSSIAN (Mme), déléguée, Mission d</w:t>
      </w:r>
      <w:r w:rsidRPr="0077363F">
        <w:rPr>
          <w:szCs w:val="22"/>
          <w:lang w:val="fr-CH"/>
        </w:rPr>
        <w:t>iplomatique, Bagneux</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 xml:space="preserve">Association du droit international (ILA)/International Law Association (ILA) </w:t>
      </w:r>
    </w:p>
    <w:p w:rsidR="001955BB" w:rsidRPr="00E67AB8" w:rsidRDefault="001955BB" w:rsidP="001955BB">
      <w:pPr>
        <w:rPr>
          <w:szCs w:val="22"/>
        </w:rPr>
      </w:pPr>
      <w:r w:rsidRPr="00E67AB8">
        <w:rPr>
          <w:szCs w:val="22"/>
        </w:rPr>
        <w:t>Frederic PERRON-WELCH (Mr.), Member, Committee on International Law for Sustainable Management of Natural Resources for Development, Geneva</w:t>
      </w:r>
    </w:p>
    <w:p w:rsidR="001955BB" w:rsidRPr="00E67AB8" w:rsidRDefault="001955BB" w:rsidP="001955BB">
      <w:pPr>
        <w:rPr>
          <w:szCs w:val="22"/>
          <w:lang w:val="fr-FR"/>
        </w:rPr>
      </w:pPr>
      <w:r w:rsidRPr="00E67AB8">
        <w:rPr>
          <w:szCs w:val="22"/>
          <w:u w:val="single"/>
          <w:lang w:val="fr-FR"/>
        </w:rPr>
        <w:t xml:space="preserve">fperron@cisdl.org </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Association européenne des étudiants en droit (ELSA International)/</w:t>
      </w:r>
      <w:proofErr w:type="spellStart"/>
      <w:r w:rsidRPr="0077363F">
        <w:rPr>
          <w:szCs w:val="22"/>
          <w:u w:val="single"/>
          <w:lang w:val="fr-CH"/>
        </w:rPr>
        <w:t>European</w:t>
      </w:r>
      <w:proofErr w:type="spellEnd"/>
      <w:r w:rsidRPr="0077363F">
        <w:rPr>
          <w:szCs w:val="22"/>
          <w:u w:val="single"/>
          <w:lang w:val="fr-CH"/>
        </w:rPr>
        <w:t xml:space="preserve"> Law </w:t>
      </w:r>
      <w:proofErr w:type="spellStart"/>
      <w:r w:rsidRPr="0077363F">
        <w:rPr>
          <w:szCs w:val="22"/>
          <w:u w:val="single"/>
          <w:lang w:val="fr-CH"/>
        </w:rPr>
        <w:t>Students</w:t>
      </w:r>
      <w:proofErr w:type="spellEnd"/>
      <w:r>
        <w:rPr>
          <w:szCs w:val="22"/>
          <w:u w:val="single"/>
          <w:lang w:val="fr-CH"/>
        </w:rPr>
        <w:t>’</w:t>
      </w:r>
      <w:r w:rsidRPr="0077363F">
        <w:rPr>
          <w:szCs w:val="22"/>
          <w:u w:val="single"/>
          <w:lang w:val="fr-CH"/>
        </w:rPr>
        <w:t xml:space="preserve"> Association (ELSA International) </w:t>
      </w:r>
    </w:p>
    <w:p w:rsidR="001955BB" w:rsidRPr="0077363F" w:rsidRDefault="001955BB" w:rsidP="001955BB">
      <w:pPr>
        <w:rPr>
          <w:szCs w:val="22"/>
        </w:rPr>
      </w:pPr>
      <w:r w:rsidRPr="0077363F">
        <w:rPr>
          <w:szCs w:val="22"/>
        </w:rPr>
        <w:t>Julia STEPHAN (Ms.), Head of Delegation, Brussels</w:t>
      </w:r>
    </w:p>
    <w:p w:rsidR="001955BB" w:rsidRPr="0077363F" w:rsidRDefault="001955BB" w:rsidP="001955BB">
      <w:pPr>
        <w:rPr>
          <w:szCs w:val="22"/>
        </w:rPr>
      </w:pPr>
      <w:r w:rsidRPr="0077363F">
        <w:rPr>
          <w:szCs w:val="22"/>
        </w:rPr>
        <w:t>Martina KOECK (Ms.), Delegate, Brussels</w:t>
      </w:r>
    </w:p>
    <w:p w:rsidR="001955BB" w:rsidRPr="0077363F" w:rsidRDefault="001955BB" w:rsidP="001955BB">
      <w:pPr>
        <w:rPr>
          <w:szCs w:val="22"/>
        </w:rPr>
      </w:pPr>
      <w:r w:rsidRPr="0077363F">
        <w:rPr>
          <w:szCs w:val="22"/>
        </w:rPr>
        <w:t>Alberto MANTOVANI (Mr.), Delegate, Brussels</w:t>
      </w:r>
    </w:p>
    <w:p w:rsidR="001955BB" w:rsidRPr="0077363F" w:rsidRDefault="001955BB" w:rsidP="001955BB">
      <w:pPr>
        <w:rPr>
          <w:szCs w:val="22"/>
        </w:rPr>
      </w:pPr>
      <w:r w:rsidRPr="0077363F">
        <w:rPr>
          <w:szCs w:val="22"/>
        </w:rPr>
        <w:t>Markus POSCHENRIEDER (Mr.), Delegate, Brussels</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Association of Kunas United for Mother Earth (KUNA) </w:t>
      </w:r>
    </w:p>
    <w:p w:rsidR="001955BB" w:rsidRPr="0077363F" w:rsidRDefault="001955BB" w:rsidP="001955BB">
      <w:pPr>
        <w:rPr>
          <w:szCs w:val="22"/>
          <w:lang w:val="es-ES_tradnl"/>
        </w:rPr>
      </w:pPr>
      <w:r>
        <w:rPr>
          <w:szCs w:val="22"/>
          <w:lang w:val="es-ES_tradnl"/>
        </w:rPr>
        <w:t>Nelson DE LEÓN KANTULE (Sr.), Vocal-Directivo, Panamá</w:t>
      </w:r>
    </w:p>
    <w:p w:rsidR="001955BB" w:rsidRPr="0077363F" w:rsidRDefault="001955BB" w:rsidP="001955BB">
      <w:pPr>
        <w:rPr>
          <w:szCs w:val="22"/>
          <w:lang w:val="es-ES_tradnl"/>
        </w:rPr>
      </w:pPr>
      <w:r w:rsidRPr="0077363F">
        <w:rPr>
          <w:szCs w:val="22"/>
          <w:u w:val="single"/>
          <w:lang w:val="es-ES_tradnl"/>
        </w:rPr>
        <w:t xml:space="preserve">duleigar@gmail.com </w:t>
      </w:r>
    </w:p>
    <w:p w:rsidR="001955BB" w:rsidRPr="0077363F" w:rsidRDefault="001955BB" w:rsidP="001955BB">
      <w:pPr>
        <w:rPr>
          <w:szCs w:val="22"/>
          <w:lang w:val="es-ES_tradnl"/>
        </w:rPr>
      </w:pPr>
    </w:p>
    <w:p w:rsidR="001955BB" w:rsidRPr="001955BB" w:rsidRDefault="001955BB" w:rsidP="001955BB">
      <w:pPr>
        <w:rPr>
          <w:szCs w:val="22"/>
          <w:u w:val="single"/>
          <w:lang w:val="es-ES_tradnl"/>
        </w:rPr>
      </w:pPr>
      <w:r w:rsidRPr="001955BB">
        <w:rPr>
          <w:szCs w:val="22"/>
          <w:u w:val="single"/>
          <w:lang w:val="es-ES_tradnl"/>
        </w:rPr>
        <w:t xml:space="preserve">Center </w:t>
      </w:r>
      <w:proofErr w:type="spellStart"/>
      <w:r w:rsidRPr="001955BB">
        <w:rPr>
          <w:szCs w:val="22"/>
          <w:u w:val="single"/>
          <w:lang w:val="es-ES_tradnl"/>
        </w:rPr>
        <w:t>for</w:t>
      </w:r>
      <w:proofErr w:type="spellEnd"/>
      <w:r w:rsidRPr="001955BB">
        <w:rPr>
          <w:szCs w:val="22"/>
          <w:u w:val="single"/>
          <w:lang w:val="es-ES_tradnl"/>
        </w:rPr>
        <w:t xml:space="preserve"> </w:t>
      </w:r>
      <w:proofErr w:type="spellStart"/>
      <w:r w:rsidRPr="001955BB">
        <w:rPr>
          <w:szCs w:val="22"/>
          <w:u w:val="single"/>
          <w:lang w:val="es-ES_tradnl"/>
        </w:rPr>
        <w:t>Multidisciplinary</w:t>
      </w:r>
      <w:proofErr w:type="spellEnd"/>
      <w:r w:rsidRPr="001955BB">
        <w:rPr>
          <w:szCs w:val="22"/>
          <w:u w:val="single"/>
          <w:lang w:val="es-ES_tradnl"/>
        </w:rPr>
        <w:t xml:space="preserve"> </w:t>
      </w:r>
      <w:proofErr w:type="spellStart"/>
      <w:r w:rsidRPr="001955BB">
        <w:rPr>
          <w:szCs w:val="22"/>
          <w:u w:val="single"/>
          <w:lang w:val="es-ES_tradnl"/>
        </w:rPr>
        <w:t>Studies</w:t>
      </w:r>
      <w:proofErr w:type="spellEnd"/>
      <w:r w:rsidRPr="001955BB">
        <w:rPr>
          <w:szCs w:val="22"/>
          <w:u w:val="single"/>
          <w:lang w:val="es-ES_tradnl"/>
        </w:rPr>
        <w:t xml:space="preserve"> </w:t>
      </w:r>
      <w:proofErr w:type="spellStart"/>
      <w:r w:rsidRPr="001955BB">
        <w:rPr>
          <w:szCs w:val="22"/>
          <w:u w:val="single"/>
          <w:lang w:val="es-ES_tradnl"/>
        </w:rPr>
        <w:t>Aymara</w:t>
      </w:r>
      <w:proofErr w:type="spellEnd"/>
      <w:r w:rsidRPr="001955BB">
        <w:rPr>
          <w:szCs w:val="22"/>
          <w:u w:val="single"/>
          <w:lang w:val="es-ES_tradnl"/>
        </w:rPr>
        <w:t xml:space="preserve"> (CEM-</w:t>
      </w:r>
      <w:proofErr w:type="spellStart"/>
      <w:r w:rsidRPr="001955BB">
        <w:rPr>
          <w:szCs w:val="22"/>
          <w:u w:val="single"/>
          <w:lang w:val="es-ES_tradnl"/>
        </w:rPr>
        <w:t>Aymara</w:t>
      </w:r>
      <w:proofErr w:type="spellEnd"/>
      <w:r w:rsidRPr="001955BB">
        <w:rPr>
          <w:szCs w:val="22"/>
          <w:u w:val="single"/>
          <w:lang w:val="es-ES_tradnl"/>
        </w:rPr>
        <w:t xml:space="preserve">) </w:t>
      </w:r>
    </w:p>
    <w:p w:rsidR="001955BB" w:rsidRPr="007B4CD3" w:rsidRDefault="001955BB" w:rsidP="001955BB">
      <w:pPr>
        <w:rPr>
          <w:szCs w:val="22"/>
          <w:lang w:val="es-ES"/>
        </w:rPr>
      </w:pPr>
      <w:r w:rsidRPr="00D444D6">
        <w:rPr>
          <w:szCs w:val="22"/>
          <w:lang w:val="es-ES"/>
        </w:rPr>
        <w:t>Q</w:t>
      </w:r>
      <w:r>
        <w:rPr>
          <w:szCs w:val="22"/>
          <w:lang w:val="es-ES"/>
        </w:rPr>
        <w:t>’’</w:t>
      </w:r>
      <w:proofErr w:type="spellStart"/>
      <w:r>
        <w:rPr>
          <w:szCs w:val="22"/>
          <w:lang w:val="es-ES"/>
        </w:rPr>
        <w:t>a</w:t>
      </w:r>
      <w:r w:rsidRPr="007B4CD3">
        <w:rPr>
          <w:szCs w:val="22"/>
          <w:lang w:val="es-ES"/>
        </w:rPr>
        <w:t>paj</w:t>
      </w:r>
      <w:proofErr w:type="spellEnd"/>
      <w:r w:rsidRPr="007B4CD3">
        <w:rPr>
          <w:szCs w:val="22"/>
          <w:lang w:val="es-ES"/>
        </w:rPr>
        <w:t xml:space="preserve"> CONDE CHOQUE (Sr.), Asistente Legal, La Paz</w:t>
      </w:r>
    </w:p>
    <w:p w:rsidR="001955BB" w:rsidRPr="0077363F" w:rsidRDefault="001955BB" w:rsidP="001955BB">
      <w:pPr>
        <w:rPr>
          <w:szCs w:val="22"/>
          <w:lang w:val="fr-CH"/>
        </w:rPr>
      </w:pPr>
      <w:r w:rsidRPr="0077363F">
        <w:rPr>
          <w:szCs w:val="22"/>
          <w:u w:val="single"/>
          <w:lang w:val="fr-CH"/>
        </w:rPr>
        <w:t xml:space="preserve">qhapaj.conde@gmail.com </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Centre de documentation, de recherche et d’information des peuples autochtones (DoCip)/Indigenous Peoples</w:t>
      </w:r>
      <w:r>
        <w:rPr>
          <w:szCs w:val="22"/>
          <w:u w:val="single"/>
          <w:lang w:val="fr-CH"/>
        </w:rPr>
        <w:t>’</w:t>
      </w:r>
      <w:r w:rsidRPr="0077363F">
        <w:rPr>
          <w:szCs w:val="22"/>
          <w:u w:val="single"/>
          <w:lang w:val="fr-CH"/>
        </w:rPr>
        <w:t xml:space="preserve"> Center for Documentation, </w:t>
      </w:r>
      <w:proofErr w:type="spellStart"/>
      <w:r w:rsidRPr="0077363F">
        <w:rPr>
          <w:szCs w:val="22"/>
          <w:u w:val="single"/>
          <w:lang w:val="fr-CH"/>
        </w:rPr>
        <w:t>Research</w:t>
      </w:r>
      <w:proofErr w:type="spellEnd"/>
      <w:r w:rsidRPr="0077363F">
        <w:rPr>
          <w:szCs w:val="22"/>
          <w:u w:val="single"/>
          <w:lang w:val="fr-CH"/>
        </w:rPr>
        <w:t xml:space="preserve"> and Information (</w:t>
      </w:r>
      <w:proofErr w:type="spellStart"/>
      <w:r w:rsidRPr="0077363F">
        <w:rPr>
          <w:szCs w:val="22"/>
          <w:u w:val="single"/>
          <w:lang w:val="fr-CH"/>
        </w:rPr>
        <w:t>DoCip</w:t>
      </w:r>
      <w:proofErr w:type="spellEnd"/>
      <w:r w:rsidRPr="0077363F">
        <w:rPr>
          <w:szCs w:val="22"/>
          <w:u w:val="single"/>
          <w:lang w:val="fr-CH"/>
        </w:rPr>
        <w:t xml:space="preserve">) </w:t>
      </w:r>
    </w:p>
    <w:p w:rsidR="001955BB" w:rsidRPr="00E67AB8" w:rsidRDefault="001955BB" w:rsidP="001955BB">
      <w:pPr>
        <w:rPr>
          <w:szCs w:val="22"/>
        </w:rPr>
      </w:pPr>
      <w:r w:rsidRPr="00E67AB8">
        <w:rPr>
          <w:szCs w:val="22"/>
        </w:rPr>
        <w:t>Karen PFEFFERLI (Ms.), Coordinator, Geneva</w:t>
      </w:r>
    </w:p>
    <w:p w:rsidR="001955BB" w:rsidRPr="00E67AB8" w:rsidRDefault="001955BB" w:rsidP="001955BB">
      <w:pPr>
        <w:rPr>
          <w:szCs w:val="22"/>
        </w:rPr>
      </w:pPr>
      <w:r w:rsidRPr="00E67AB8">
        <w:rPr>
          <w:szCs w:val="22"/>
          <w:u w:val="single"/>
        </w:rPr>
        <w:t xml:space="preserve">karen@docip.org </w:t>
      </w:r>
    </w:p>
    <w:p w:rsidR="001955BB" w:rsidRPr="00E67AB8" w:rsidRDefault="001955BB" w:rsidP="001955BB">
      <w:pPr>
        <w:rPr>
          <w:szCs w:val="22"/>
          <w:lang w:val="fr-FR"/>
        </w:rPr>
      </w:pPr>
      <w:r w:rsidRPr="00E67AB8">
        <w:rPr>
          <w:szCs w:val="22"/>
          <w:lang w:val="fr-FR"/>
        </w:rPr>
        <w:t>Claire MORETTO (Ms.), Publications Manager, Geneva</w:t>
      </w:r>
    </w:p>
    <w:p w:rsidR="001955BB" w:rsidRPr="00E67AB8" w:rsidRDefault="001955BB" w:rsidP="001955BB">
      <w:pPr>
        <w:rPr>
          <w:szCs w:val="22"/>
          <w:lang w:val="fr-FR"/>
        </w:rPr>
      </w:pPr>
      <w:r w:rsidRPr="00E67AB8">
        <w:rPr>
          <w:szCs w:val="22"/>
          <w:u w:val="single"/>
          <w:lang w:val="fr-FR"/>
        </w:rPr>
        <w:t xml:space="preserve">claire@docip.org </w:t>
      </w:r>
    </w:p>
    <w:p w:rsidR="001955BB" w:rsidRPr="00E67AB8" w:rsidRDefault="001955BB" w:rsidP="001955BB">
      <w:pPr>
        <w:rPr>
          <w:szCs w:val="22"/>
        </w:rPr>
      </w:pPr>
      <w:r w:rsidRPr="00E67AB8">
        <w:rPr>
          <w:szCs w:val="22"/>
        </w:rPr>
        <w:t>Amy ALLSOP (Ms.), Interpreter, Geneva</w:t>
      </w:r>
    </w:p>
    <w:p w:rsidR="001955BB" w:rsidRPr="00E67AB8" w:rsidRDefault="001955BB" w:rsidP="001955BB">
      <w:pPr>
        <w:rPr>
          <w:szCs w:val="22"/>
        </w:rPr>
      </w:pPr>
      <w:r w:rsidRPr="00E67AB8">
        <w:rPr>
          <w:szCs w:val="22"/>
        </w:rPr>
        <w:t>Daniel TAMAYO (Mr.), Interpreter, Geneva</w:t>
      </w:r>
    </w:p>
    <w:p w:rsidR="001955BB" w:rsidRPr="00E67AB8" w:rsidRDefault="001955BB" w:rsidP="001955BB">
      <w:pPr>
        <w:rPr>
          <w:szCs w:val="22"/>
        </w:rPr>
      </w:pPr>
      <w:r w:rsidRPr="00E67AB8">
        <w:rPr>
          <w:szCs w:val="22"/>
          <w:u w:val="single"/>
        </w:rPr>
        <w:t xml:space="preserve">daniel@globaltradu.com </w:t>
      </w:r>
    </w:p>
    <w:p w:rsidR="001955BB" w:rsidRPr="00E67AB8" w:rsidRDefault="001955BB" w:rsidP="001955BB">
      <w:pPr>
        <w:rPr>
          <w:szCs w:val="22"/>
        </w:rPr>
      </w:pPr>
      <w:r w:rsidRPr="00E67AB8">
        <w:rPr>
          <w:szCs w:val="22"/>
        </w:rPr>
        <w:t>Johanna MASSA (Ms.), Assistant, Geneva</w:t>
      </w:r>
    </w:p>
    <w:p w:rsidR="001955BB" w:rsidRPr="001955BB" w:rsidRDefault="001955BB" w:rsidP="001955BB">
      <w:pPr>
        <w:rPr>
          <w:szCs w:val="22"/>
          <w:lang w:val="es-ES_tradnl"/>
        </w:rPr>
      </w:pPr>
      <w:r w:rsidRPr="001955BB">
        <w:rPr>
          <w:szCs w:val="22"/>
          <w:u w:val="single"/>
          <w:lang w:val="es-ES_tradnl"/>
        </w:rPr>
        <w:t xml:space="preserve">intern.st@docip.org </w:t>
      </w:r>
    </w:p>
    <w:p w:rsidR="001955BB" w:rsidRPr="001955BB"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 xml:space="preserve">Centro de Culturas Indígenas del Perú (CHIRAPAQ) </w:t>
      </w:r>
    </w:p>
    <w:p w:rsidR="001955BB" w:rsidRPr="0077363F" w:rsidRDefault="001955BB" w:rsidP="001955BB">
      <w:pPr>
        <w:rPr>
          <w:szCs w:val="22"/>
          <w:lang w:val="es-ES_tradnl"/>
        </w:rPr>
      </w:pPr>
      <w:r>
        <w:rPr>
          <w:szCs w:val="22"/>
          <w:lang w:val="es-ES_tradnl"/>
        </w:rPr>
        <w:t>Álvaro OCAMPO GREY (S</w:t>
      </w:r>
      <w:r w:rsidRPr="0077363F">
        <w:rPr>
          <w:szCs w:val="22"/>
          <w:lang w:val="es-ES_tradnl"/>
        </w:rPr>
        <w:t>r.), Consultor, Propiedad Intelectual, Lima</w:t>
      </w:r>
    </w:p>
    <w:p w:rsidR="001955BB" w:rsidRPr="0077363F" w:rsidRDefault="001955BB" w:rsidP="001955BB">
      <w:pPr>
        <w:rPr>
          <w:szCs w:val="22"/>
        </w:rPr>
      </w:pPr>
      <w:r w:rsidRPr="0077363F">
        <w:rPr>
          <w:szCs w:val="22"/>
          <w:u w:val="single"/>
        </w:rPr>
        <w:t xml:space="preserve">mallku@chirapaq.org.pe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Civil Society Coalition (CSC) </w:t>
      </w:r>
    </w:p>
    <w:p w:rsidR="001955BB" w:rsidRPr="0077363F" w:rsidRDefault="001955BB" w:rsidP="001955BB">
      <w:pPr>
        <w:rPr>
          <w:szCs w:val="22"/>
        </w:rPr>
      </w:pPr>
      <w:r w:rsidRPr="0077363F">
        <w:rPr>
          <w:szCs w:val="22"/>
        </w:rPr>
        <w:t>Susan ISIKO STRBA (Ms.), Fellow, Geneva</w:t>
      </w:r>
    </w:p>
    <w:p w:rsidR="001955BB" w:rsidRPr="0077363F" w:rsidRDefault="001955BB" w:rsidP="001955BB">
      <w:pPr>
        <w:rPr>
          <w:szCs w:val="22"/>
          <w:lang w:val="es-ES_tradnl"/>
        </w:rPr>
      </w:pPr>
      <w:r w:rsidRPr="0077363F">
        <w:rPr>
          <w:szCs w:val="22"/>
          <w:lang w:val="es-ES_tradnl"/>
        </w:rPr>
        <w:t xml:space="preserve">Marc PERLMAN (Mr.), </w:t>
      </w:r>
      <w:proofErr w:type="spellStart"/>
      <w:r w:rsidRPr="001955BB">
        <w:rPr>
          <w:szCs w:val="22"/>
          <w:lang w:val="es-ES_tradnl"/>
        </w:rPr>
        <w:t>Fellow</w:t>
      </w:r>
      <w:proofErr w:type="spellEnd"/>
      <w:r w:rsidRPr="0077363F">
        <w:rPr>
          <w:szCs w:val="22"/>
          <w:lang w:val="es-ES_tradnl"/>
        </w:rPr>
        <w:t>, Providence</w:t>
      </w:r>
    </w:p>
    <w:p w:rsidR="001955BB" w:rsidRPr="0077363F"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 xml:space="preserve">Comisión Jurídica para el Autodesarrollo de los Pueblos Originarios Andinos (CAPAJ) </w:t>
      </w:r>
    </w:p>
    <w:p w:rsidR="001955BB" w:rsidRPr="00245E8B" w:rsidRDefault="001955BB" w:rsidP="001955BB">
      <w:pPr>
        <w:rPr>
          <w:szCs w:val="22"/>
          <w:lang w:val="es-ES"/>
        </w:rPr>
      </w:pPr>
      <w:r w:rsidRPr="00245E8B">
        <w:rPr>
          <w:szCs w:val="22"/>
          <w:lang w:val="es-ES"/>
        </w:rPr>
        <w:t xml:space="preserve">Mehmet </w:t>
      </w:r>
      <w:proofErr w:type="spellStart"/>
      <w:r w:rsidRPr="00245E8B">
        <w:rPr>
          <w:szCs w:val="22"/>
          <w:lang w:val="es-ES"/>
        </w:rPr>
        <w:t>Sukru</w:t>
      </w:r>
      <w:proofErr w:type="spellEnd"/>
      <w:r w:rsidRPr="00245E8B">
        <w:rPr>
          <w:szCs w:val="22"/>
          <w:lang w:val="es-ES"/>
        </w:rPr>
        <w:t xml:space="preserve"> GUZEL (</w:t>
      </w:r>
      <w:r>
        <w:rPr>
          <w:szCs w:val="22"/>
          <w:lang w:val="es-ES"/>
        </w:rPr>
        <w:t>S</w:t>
      </w:r>
      <w:r w:rsidRPr="00245E8B">
        <w:rPr>
          <w:szCs w:val="22"/>
          <w:lang w:val="es-ES"/>
        </w:rPr>
        <w:t>r.), Delegado, Ginebra</w:t>
      </w:r>
    </w:p>
    <w:p w:rsidR="001955BB" w:rsidRPr="0077363F" w:rsidRDefault="001955BB" w:rsidP="001955BB">
      <w:pPr>
        <w:rPr>
          <w:szCs w:val="22"/>
          <w:lang w:val="es-ES_tradnl"/>
        </w:rPr>
      </w:pPr>
      <w:r w:rsidRPr="0077363F">
        <w:rPr>
          <w:szCs w:val="22"/>
          <w:u w:val="single"/>
          <w:lang w:val="es-ES_tradnl"/>
        </w:rPr>
        <w:t xml:space="preserve">msukruguzel@gmail.com </w:t>
      </w:r>
    </w:p>
    <w:p w:rsidR="001955BB" w:rsidRPr="0077363F" w:rsidRDefault="001955BB" w:rsidP="001955BB">
      <w:pPr>
        <w:rPr>
          <w:szCs w:val="22"/>
          <w:lang w:val="es-ES_tradnl"/>
        </w:rPr>
      </w:pPr>
      <w:r w:rsidRPr="0077363F">
        <w:rPr>
          <w:szCs w:val="22"/>
          <w:lang w:val="es-ES_tradnl"/>
        </w:rPr>
        <w:t>R</w:t>
      </w:r>
      <w:r>
        <w:rPr>
          <w:szCs w:val="22"/>
          <w:lang w:val="es-ES_tradnl"/>
        </w:rPr>
        <w:t>osario LUQUE GIL (Sra.), Delegada</w:t>
      </w:r>
      <w:r w:rsidRPr="0077363F">
        <w:rPr>
          <w:szCs w:val="22"/>
          <w:lang w:val="es-ES_tradnl"/>
        </w:rPr>
        <w:t>, Guayaquil</w:t>
      </w:r>
    </w:p>
    <w:p w:rsidR="001955BB" w:rsidRPr="001955BB" w:rsidRDefault="001955BB" w:rsidP="001955BB">
      <w:pPr>
        <w:rPr>
          <w:szCs w:val="22"/>
        </w:rPr>
      </w:pPr>
      <w:r w:rsidRPr="001955BB">
        <w:rPr>
          <w:szCs w:val="22"/>
          <w:u w:val="single"/>
        </w:rPr>
        <w:t xml:space="preserve">rosariogilluquegonzalez@students.unibe.ch </w:t>
      </w:r>
    </w:p>
    <w:p w:rsidR="001955BB" w:rsidRPr="001955BB" w:rsidRDefault="001955BB" w:rsidP="001955BB">
      <w:pPr>
        <w:rPr>
          <w:szCs w:val="22"/>
          <w:u w:val="single"/>
        </w:rPr>
      </w:pPr>
    </w:p>
    <w:p w:rsidR="001955BB" w:rsidRDefault="001955BB" w:rsidP="001955BB">
      <w:pPr>
        <w:rPr>
          <w:szCs w:val="22"/>
          <w:u w:val="single"/>
        </w:rPr>
      </w:pPr>
    </w:p>
    <w:p w:rsidR="001955BB" w:rsidRPr="0077363F" w:rsidRDefault="001955BB" w:rsidP="001955BB">
      <w:pPr>
        <w:rPr>
          <w:szCs w:val="22"/>
          <w:u w:val="single"/>
        </w:rPr>
      </w:pPr>
      <w:proofErr w:type="spellStart"/>
      <w:r w:rsidRPr="001955BB">
        <w:rPr>
          <w:szCs w:val="22"/>
          <w:u w:val="single"/>
        </w:rPr>
        <w:lastRenderedPageBreak/>
        <w:t>CropLife</w:t>
      </w:r>
      <w:proofErr w:type="spellEnd"/>
      <w:r w:rsidRPr="001955BB">
        <w:rPr>
          <w:szCs w:val="22"/>
          <w:u w:val="single"/>
        </w:rPr>
        <w:t xml:space="preserve"> Intern</w:t>
      </w:r>
      <w:r>
        <w:rPr>
          <w:szCs w:val="22"/>
          <w:u w:val="single"/>
        </w:rPr>
        <w:t>ational</w:t>
      </w:r>
      <w:r w:rsidRPr="0077363F">
        <w:rPr>
          <w:szCs w:val="22"/>
          <w:u w:val="single"/>
        </w:rPr>
        <w:t xml:space="preserve"> (CROPLIFE) </w:t>
      </w:r>
    </w:p>
    <w:p w:rsidR="001955BB" w:rsidRPr="0077363F" w:rsidRDefault="001955BB" w:rsidP="001955BB">
      <w:pPr>
        <w:rPr>
          <w:szCs w:val="22"/>
        </w:rPr>
      </w:pPr>
      <w:r w:rsidRPr="0077363F">
        <w:rPr>
          <w:szCs w:val="22"/>
        </w:rPr>
        <w:t>Tatjana SACHSE (Ms.), Legal Adviser, Geneva</w:t>
      </w: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Culture of Afro-</w:t>
      </w:r>
      <w:proofErr w:type="spellStart"/>
      <w:r w:rsidRPr="0077363F">
        <w:rPr>
          <w:szCs w:val="22"/>
          <w:u w:val="single"/>
          <w:lang w:val="fr-CH"/>
        </w:rPr>
        <w:t>indigenous</w:t>
      </w:r>
      <w:proofErr w:type="spellEnd"/>
      <w:r w:rsidRPr="0077363F">
        <w:rPr>
          <w:szCs w:val="22"/>
          <w:u w:val="single"/>
          <w:lang w:val="fr-CH"/>
        </w:rPr>
        <w:t xml:space="preserve"> </w:t>
      </w:r>
      <w:proofErr w:type="spellStart"/>
      <w:r w:rsidRPr="0077363F">
        <w:rPr>
          <w:szCs w:val="22"/>
          <w:u w:val="single"/>
          <w:lang w:val="fr-CH"/>
        </w:rPr>
        <w:t>Solidarity</w:t>
      </w:r>
      <w:proofErr w:type="spellEnd"/>
      <w:r w:rsidRPr="0077363F">
        <w:rPr>
          <w:szCs w:val="22"/>
          <w:u w:val="single"/>
          <w:lang w:val="fr-CH"/>
        </w:rPr>
        <w:t xml:space="preserve"> (Afro-Indigène) </w:t>
      </w:r>
    </w:p>
    <w:p w:rsidR="001955BB" w:rsidRPr="0077363F" w:rsidRDefault="001955BB" w:rsidP="001955BB">
      <w:pPr>
        <w:rPr>
          <w:szCs w:val="22"/>
          <w:lang w:val="fr-CH"/>
        </w:rPr>
      </w:pPr>
      <w:r w:rsidRPr="0077363F">
        <w:rPr>
          <w:szCs w:val="22"/>
          <w:lang w:val="fr-CH"/>
        </w:rPr>
        <w:t>Ana LEURINDA (M</w:t>
      </w:r>
      <w:r>
        <w:rPr>
          <w:szCs w:val="22"/>
          <w:lang w:val="fr-CH"/>
        </w:rPr>
        <w:t>me</w:t>
      </w:r>
      <w:r w:rsidRPr="0077363F">
        <w:rPr>
          <w:szCs w:val="22"/>
          <w:lang w:val="fr-CH"/>
        </w:rPr>
        <w:t>), présidente, Genève</w:t>
      </w:r>
    </w:p>
    <w:p w:rsidR="001955BB" w:rsidRPr="0077363F" w:rsidRDefault="001955BB" w:rsidP="001955BB">
      <w:pPr>
        <w:rPr>
          <w:szCs w:val="22"/>
          <w:lang w:val="fr-CH"/>
        </w:rPr>
      </w:pPr>
      <w:r w:rsidRPr="0077363F">
        <w:rPr>
          <w:szCs w:val="22"/>
          <w:u w:val="single"/>
          <w:lang w:val="fr-CH"/>
        </w:rPr>
        <w:t xml:space="preserve">afroindigena2000@hotmail.com </w:t>
      </w:r>
    </w:p>
    <w:p w:rsidR="001955BB" w:rsidRPr="0077363F" w:rsidRDefault="001955BB" w:rsidP="001955BB">
      <w:pPr>
        <w:rPr>
          <w:szCs w:val="22"/>
          <w:lang w:val="fr-CH"/>
        </w:rPr>
      </w:pPr>
      <w:r w:rsidRPr="0077363F">
        <w:rPr>
          <w:szCs w:val="22"/>
          <w:lang w:val="fr-CH"/>
        </w:rPr>
        <w:t>Mario LEURINDA (M.), vice-président, Genève</w:t>
      </w:r>
    </w:p>
    <w:p w:rsidR="001955BB" w:rsidRPr="0077363F" w:rsidRDefault="001955BB" w:rsidP="001955BB">
      <w:pPr>
        <w:rPr>
          <w:szCs w:val="22"/>
          <w:lang w:val="fr-CH"/>
        </w:rPr>
      </w:pPr>
    </w:p>
    <w:p w:rsidR="001955BB" w:rsidRPr="0077363F" w:rsidRDefault="001955BB" w:rsidP="001955BB">
      <w:pPr>
        <w:rPr>
          <w:szCs w:val="22"/>
          <w:u w:val="single"/>
        </w:rPr>
      </w:pPr>
      <w:proofErr w:type="spellStart"/>
      <w:r w:rsidRPr="0077363F">
        <w:rPr>
          <w:szCs w:val="22"/>
          <w:u w:val="single"/>
        </w:rPr>
        <w:t>Engabu</w:t>
      </w:r>
      <w:proofErr w:type="spellEnd"/>
      <w:r w:rsidRPr="0077363F">
        <w:rPr>
          <w:szCs w:val="22"/>
          <w:u w:val="single"/>
        </w:rPr>
        <w:t xml:space="preserve"> </w:t>
      </w:r>
      <w:proofErr w:type="spellStart"/>
      <w:r w:rsidRPr="0077363F">
        <w:rPr>
          <w:szCs w:val="22"/>
          <w:u w:val="single"/>
        </w:rPr>
        <w:t>Za</w:t>
      </w:r>
      <w:proofErr w:type="spellEnd"/>
      <w:r w:rsidRPr="0077363F">
        <w:rPr>
          <w:szCs w:val="22"/>
          <w:u w:val="single"/>
        </w:rPr>
        <w:t xml:space="preserve"> </w:t>
      </w:r>
      <w:proofErr w:type="spellStart"/>
      <w:r w:rsidRPr="0077363F">
        <w:rPr>
          <w:szCs w:val="22"/>
          <w:u w:val="single"/>
        </w:rPr>
        <w:t>Tooro</w:t>
      </w:r>
      <w:proofErr w:type="spellEnd"/>
      <w:r w:rsidRPr="0077363F">
        <w:rPr>
          <w:szCs w:val="22"/>
          <w:u w:val="single"/>
        </w:rPr>
        <w:t xml:space="preserve"> (</w:t>
      </w:r>
      <w:proofErr w:type="spellStart"/>
      <w:r w:rsidRPr="0077363F">
        <w:rPr>
          <w:szCs w:val="22"/>
          <w:u w:val="single"/>
        </w:rPr>
        <w:t>Tooro</w:t>
      </w:r>
      <w:proofErr w:type="spellEnd"/>
      <w:r w:rsidRPr="0077363F">
        <w:rPr>
          <w:szCs w:val="22"/>
          <w:u w:val="single"/>
        </w:rPr>
        <w:t xml:space="preserve"> Youth Platform for Action) </w:t>
      </w:r>
    </w:p>
    <w:p w:rsidR="001955BB" w:rsidRPr="0077363F" w:rsidRDefault="001955BB" w:rsidP="001955BB">
      <w:pPr>
        <w:rPr>
          <w:szCs w:val="22"/>
        </w:rPr>
      </w:pPr>
      <w:r w:rsidRPr="0077363F">
        <w:rPr>
          <w:szCs w:val="22"/>
        </w:rPr>
        <w:t>Stephen RWAGWERI (Mr.), Executive Director, Fort-Portal</w:t>
      </w:r>
    </w:p>
    <w:p w:rsidR="001955BB" w:rsidRPr="001955BB" w:rsidRDefault="001955BB" w:rsidP="001955BB">
      <w:pPr>
        <w:rPr>
          <w:szCs w:val="22"/>
        </w:rPr>
      </w:pPr>
      <w:r w:rsidRPr="001955BB">
        <w:rPr>
          <w:szCs w:val="22"/>
          <w:u w:val="single"/>
        </w:rPr>
        <w:t xml:space="preserve">engabuzatooro@gmail.com </w:t>
      </w:r>
    </w:p>
    <w:p w:rsidR="001955BB" w:rsidRPr="001955BB" w:rsidRDefault="001955BB" w:rsidP="001955BB">
      <w:pPr>
        <w:rPr>
          <w:szCs w:val="22"/>
        </w:rPr>
      </w:pPr>
    </w:p>
    <w:p w:rsidR="001955BB" w:rsidRPr="001955BB" w:rsidRDefault="001955BB" w:rsidP="001955BB">
      <w:pPr>
        <w:rPr>
          <w:szCs w:val="22"/>
          <w:u w:val="single"/>
        </w:rPr>
      </w:pPr>
      <w:proofErr w:type="spellStart"/>
      <w:r w:rsidRPr="001955BB">
        <w:rPr>
          <w:szCs w:val="22"/>
          <w:u w:val="single"/>
        </w:rPr>
        <w:t>Fédération</w:t>
      </w:r>
      <w:proofErr w:type="spellEnd"/>
      <w:r w:rsidRPr="001955BB">
        <w:rPr>
          <w:szCs w:val="22"/>
          <w:u w:val="single"/>
        </w:rPr>
        <w:t xml:space="preserve"> </w:t>
      </w:r>
      <w:proofErr w:type="spellStart"/>
      <w:proofErr w:type="gramStart"/>
      <w:r w:rsidRPr="001955BB">
        <w:rPr>
          <w:szCs w:val="22"/>
          <w:u w:val="single"/>
        </w:rPr>
        <w:t>internationale</w:t>
      </w:r>
      <w:proofErr w:type="spellEnd"/>
      <w:proofErr w:type="gramEnd"/>
      <w:r w:rsidRPr="001955BB">
        <w:rPr>
          <w:szCs w:val="22"/>
          <w:u w:val="single"/>
        </w:rPr>
        <w:t xml:space="preserve"> de </w:t>
      </w:r>
      <w:proofErr w:type="spellStart"/>
      <w:r w:rsidRPr="001955BB">
        <w:rPr>
          <w:szCs w:val="22"/>
          <w:u w:val="single"/>
        </w:rPr>
        <w:t>l’industrie</w:t>
      </w:r>
      <w:proofErr w:type="spellEnd"/>
      <w:r w:rsidRPr="001955BB">
        <w:rPr>
          <w:szCs w:val="22"/>
          <w:u w:val="single"/>
        </w:rPr>
        <w:t xml:space="preserve"> du </w:t>
      </w:r>
      <w:proofErr w:type="spellStart"/>
      <w:r w:rsidRPr="001955BB">
        <w:rPr>
          <w:szCs w:val="22"/>
          <w:u w:val="single"/>
        </w:rPr>
        <w:t>médicament</w:t>
      </w:r>
      <w:proofErr w:type="spellEnd"/>
      <w:r w:rsidRPr="001955BB">
        <w:rPr>
          <w:szCs w:val="22"/>
          <w:u w:val="single"/>
        </w:rPr>
        <w:t xml:space="preserve"> (FIIM)/International Federation of Pharmaceutical Manufacturers Associations (IFPMA) </w:t>
      </w:r>
    </w:p>
    <w:p w:rsidR="001955BB" w:rsidRPr="0077363F" w:rsidRDefault="001955BB" w:rsidP="001955BB">
      <w:pPr>
        <w:rPr>
          <w:szCs w:val="22"/>
        </w:rPr>
      </w:pPr>
      <w:r w:rsidRPr="0077363F">
        <w:rPr>
          <w:szCs w:val="22"/>
        </w:rPr>
        <w:t>Grega KUMER (Mr.), Head, Director General Office, Geneva</w:t>
      </w:r>
    </w:p>
    <w:p w:rsidR="001955BB" w:rsidRPr="0077363F" w:rsidRDefault="001955BB" w:rsidP="001955BB">
      <w:pPr>
        <w:rPr>
          <w:szCs w:val="22"/>
          <w:lang w:val="fr-CH"/>
        </w:rPr>
      </w:pPr>
      <w:r w:rsidRPr="0077363F">
        <w:rPr>
          <w:szCs w:val="22"/>
          <w:u w:val="single"/>
          <w:lang w:val="fr-CH"/>
        </w:rPr>
        <w:t xml:space="preserve">g.kumer@ifpma.org </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 xml:space="preserve">Fédération internationale des conseils en propriété intellectuelle (FICPI)/International </w:t>
      </w:r>
      <w:proofErr w:type="spellStart"/>
      <w:r w:rsidRPr="0077363F">
        <w:rPr>
          <w:szCs w:val="22"/>
          <w:u w:val="single"/>
          <w:lang w:val="fr-CH"/>
        </w:rPr>
        <w:t>Federation</w:t>
      </w:r>
      <w:proofErr w:type="spellEnd"/>
      <w:r w:rsidRPr="0077363F">
        <w:rPr>
          <w:szCs w:val="22"/>
          <w:u w:val="single"/>
          <w:lang w:val="fr-CH"/>
        </w:rPr>
        <w:t xml:space="preserve"> of </w:t>
      </w:r>
      <w:proofErr w:type="spellStart"/>
      <w:r w:rsidRPr="0077363F">
        <w:rPr>
          <w:szCs w:val="22"/>
          <w:u w:val="single"/>
          <w:lang w:val="fr-CH"/>
        </w:rPr>
        <w:t>Intellectual</w:t>
      </w:r>
      <w:proofErr w:type="spellEnd"/>
      <w:r w:rsidRPr="0077363F">
        <w:rPr>
          <w:szCs w:val="22"/>
          <w:u w:val="single"/>
          <w:lang w:val="fr-CH"/>
        </w:rPr>
        <w:t xml:space="preserve"> </w:t>
      </w:r>
      <w:proofErr w:type="spellStart"/>
      <w:r w:rsidRPr="0077363F">
        <w:rPr>
          <w:szCs w:val="22"/>
          <w:u w:val="single"/>
          <w:lang w:val="fr-CH"/>
        </w:rPr>
        <w:t>Property</w:t>
      </w:r>
      <w:proofErr w:type="spellEnd"/>
      <w:r w:rsidRPr="0077363F">
        <w:rPr>
          <w:szCs w:val="22"/>
          <w:u w:val="single"/>
          <w:lang w:val="fr-CH"/>
        </w:rPr>
        <w:t xml:space="preserve"> Attorneys (FICPI) </w:t>
      </w:r>
    </w:p>
    <w:p w:rsidR="001955BB" w:rsidRPr="0077363F" w:rsidRDefault="001955BB" w:rsidP="001955BB">
      <w:pPr>
        <w:rPr>
          <w:szCs w:val="22"/>
        </w:rPr>
      </w:pPr>
      <w:r w:rsidRPr="0077363F">
        <w:rPr>
          <w:szCs w:val="22"/>
        </w:rPr>
        <w:t>Robert WATSON (Mr.), Vice-President, Work and Study Commission, London</w:t>
      </w:r>
    </w:p>
    <w:p w:rsidR="001955BB" w:rsidRPr="0077363F" w:rsidRDefault="001955BB" w:rsidP="001955BB">
      <w:pPr>
        <w:rPr>
          <w:szCs w:val="22"/>
        </w:rPr>
      </w:pPr>
      <w:r w:rsidRPr="0077363F">
        <w:rPr>
          <w:szCs w:val="22"/>
          <w:u w:val="single"/>
        </w:rPr>
        <w:t xml:space="preserve">robert.watson@ficpi.org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Foundation for Aboriginal and Islander Research Action (FAIRA) </w:t>
      </w:r>
    </w:p>
    <w:p w:rsidR="001955BB" w:rsidRPr="0077363F" w:rsidRDefault="001955BB" w:rsidP="001955BB">
      <w:pPr>
        <w:rPr>
          <w:szCs w:val="22"/>
        </w:rPr>
      </w:pPr>
      <w:r w:rsidRPr="0077363F">
        <w:rPr>
          <w:szCs w:val="22"/>
        </w:rPr>
        <w:t>Neva COLLINGS (Ms.), Member, Sydney</w:t>
      </w:r>
    </w:p>
    <w:p w:rsidR="001955BB" w:rsidRPr="0077363F" w:rsidRDefault="001955BB" w:rsidP="001955BB">
      <w:pPr>
        <w:rPr>
          <w:szCs w:val="22"/>
        </w:rPr>
      </w:pPr>
      <w:r w:rsidRPr="0077363F">
        <w:rPr>
          <w:szCs w:val="22"/>
          <w:u w:val="single"/>
        </w:rPr>
        <w:t xml:space="preserve">neva.collings@icloud.com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France Freedoms - Danielle Mitterrand Foundation </w:t>
      </w:r>
    </w:p>
    <w:p w:rsidR="001955BB" w:rsidRPr="0077363F" w:rsidRDefault="001955BB" w:rsidP="001955BB">
      <w:pPr>
        <w:rPr>
          <w:szCs w:val="22"/>
        </w:rPr>
      </w:pPr>
      <w:r w:rsidRPr="0077363F">
        <w:rPr>
          <w:szCs w:val="22"/>
        </w:rPr>
        <w:t xml:space="preserve">Leandro VARISON (Mr.), Legal Advisor, France </w:t>
      </w:r>
      <w:proofErr w:type="spellStart"/>
      <w:r w:rsidRPr="0077363F">
        <w:rPr>
          <w:szCs w:val="22"/>
        </w:rPr>
        <w:t>Libertés</w:t>
      </w:r>
      <w:proofErr w:type="spellEnd"/>
      <w:r w:rsidRPr="0077363F">
        <w:rPr>
          <w:szCs w:val="22"/>
        </w:rPr>
        <w:t>, Paris</w:t>
      </w:r>
    </w:p>
    <w:p w:rsidR="001955BB" w:rsidRPr="0077363F" w:rsidRDefault="001955BB" w:rsidP="001955BB">
      <w:pPr>
        <w:rPr>
          <w:szCs w:val="22"/>
        </w:rPr>
      </w:pPr>
      <w:r w:rsidRPr="0077363F">
        <w:rPr>
          <w:szCs w:val="22"/>
          <w:u w:val="single"/>
        </w:rPr>
        <w:t xml:space="preserve">leandro.varison@france-libertes.fr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Health and Environment Program (HEP) </w:t>
      </w:r>
    </w:p>
    <w:p w:rsidR="001955BB" w:rsidRPr="0077363F" w:rsidRDefault="001955BB" w:rsidP="001955BB">
      <w:pPr>
        <w:rPr>
          <w:szCs w:val="22"/>
          <w:lang w:val="fr-CH"/>
        </w:rPr>
      </w:pPr>
      <w:r w:rsidRPr="0077363F">
        <w:rPr>
          <w:szCs w:val="22"/>
          <w:lang w:val="fr-CH"/>
        </w:rPr>
        <w:t>Madeleine SCHERB (Mme), présidente, Genève</w:t>
      </w:r>
    </w:p>
    <w:p w:rsidR="001955BB" w:rsidRPr="0077363F" w:rsidRDefault="001955BB" w:rsidP="001955BB">
      <w:pPr>
        <w:rPr>
          <w:szCs w:val="22"/>
          <w:lang w:val="fr-CH"/>
        </w:rPr>
      </w:pPr>
      <w:r w:rsidRPr="0077363F">
        <w:rPr>
          <w:szCs w:val="22"/>
          <w:u w:val="single"/>
          <w:lang w:val="fr-CH"/>
        </w:rPr>
        <w:t xml:space="preserve">madeleine@health-environment-program.org </w:t>
      </w:r>
    </w:p>
    <w:p w:rsidR="001955BB" w:rsidRPr="0077363F" w:rsidRDefault="001955BB" w:rsidP="001955BB">
      <w:pPr>
        <w:rPr>
          <w:szCs w:val="22"/>
          <w:lang w:val="fr-CH"/>
        </w:rPr>
      </w:pPr>
    </w:p>
    <w:p w:rsidR="001955BB" w:rsidRPr="0077363F" w:rsidRDefault="001955BB" w:rsidP="001955BB">
      <w:pPr>
        <w:rPr>
          <w:szCs w:val="22"/>
          <w:u w:val="single"/>
        </w:rPr>
      </w:pPr>
      <w:r w:rsidRPr="0077363F">
        <w:rPr>
          <w:szCs w:val="22"/>
          <w:u w:val="single"/>
        </w:rPr>
        <w:t xml:space="preserve">Indian Council of South America (CISA) </w:t>
      </w:r>
    </w:p>
    <w:p w:rsidR="001955BB" w:rsidRPr="0077363F" w:rsidRDefault="001955BB" w:rsidP="001955BB">
      <w:pPr>
        <w:rPr>
          <w:szCs w:val="22"/>
        </w:rPr>
      </w:pPr>
      <w:proofErr w:type="spellStart"/>
      <w:r w:rsidRPr="0077363F">
        <w:rPr>
          <w:szCs w:val="22"/>
        </w:rPr>
        <w:t>Tomás</w:t>
      </w:r>
      <w:proofErr w:type="spellEnd"/>
      <w:r w:rsidRPr="0077363F">
        <w:rPr>
          <w:szCs w:val="22"/>
        </w:rPr>
        <w:t xml:space="preserve"> CONDORI (Mr.), Permanent Representative, Geneva</w:t>
      </w:r>
    </w:p>
    <w:p w:rsidR="001955BB" w:rsidRPr="0077363F" w:rsidRDefault="001955BB" w:rsidP="001955BB">
      <w:pPr>
        <w:rPr>
          <w:szCs w:val="22"/>
        </w:rPr>
      </w:pPr>
    </w:p>
    <w:p w:rsidR="001955BB" w:rsidRPr="001955BB" w:rsidRDefault="001955BB" w:rsidP="001955BB">
      <w:pPr>
        <w:rPr>
          <w:szCs w:val="22"/>
          <w:u w:val="single"/>
          <w:lang w:val="es-ES_tradnl"/>
        </w:rPr>
      </w:pPr>
      <w:proofErr w:type="spellStart"/>
      <w:r w:rsidRPr="001955BB">
        <w:rPr>
          <w:szCs w:val="22"/>
          <w:u w:val="single"/>
          <w:lang w:val="es-ES_tradnl"/>
        </w:rPr>
        <w:t>Indian</w:t>
      </w:r>
      <w:proofErr w:type="spellEnd"/>
      <w:r w:rsidRPr="001955BB">
        <w:rPr>
          <w:szCs w:val="22"/>
          <w:u w:val="single"/>
          <w:lang w:val="es-ES_tradnl"/>
        </w:rPr>
        <w:t xml:space="preserve"> </w:t>
      </w:r>
      <w:proofErr w:type="spellStart"/>
      <w:r w:rsidRPr="001955BB">
        <w:rPr>
          <w:szCs w:val="22"/>
          <w:u w:val="single"/>
          <w:lang w:val="es-ES_tradnl"/>
        </w:rPr>
        <w:t>Movement</w:t>
      </w:r>
      <w:proofErr w:type="spellEnd"/>
      <w:r w:rsidRPr="001955BB">
        <w:rPr>
          <w:szCs w:val="22"/>
          <w:u w:val="single"/>
          <w:lang w:val="es-ES_tradnl"/>
        </w:rPr>
        <w:t xml:space="preserve"> - Tupaj Amaru </w:t>
      </w:r>
    </w:p>
    <w:p w:rsidR="001955BB" w:rsidRPr="003534D5" w:rsidRDefault="001955BB" w:rsidP="001955BB">
      <w:pPr>
        <w:rPr>
          <w:szCs w:val="22"/>
          <w:lang w:val="es-ES"/>
        </w:rPr>
      </w:pPr>
      <w:r w:rsidRPr="003534D5">
        <w:rPr>
          <w:szCs w:val="22"/>
          <w:lang w:val="es-ES"/>
        </w:rPr>
        <w:t xml:space="preserve">Lázaro PARY ANAGUA (Sr.), Coordinador General, </w:t>
      </w:r>
      <w:proofErr w:type="spellStart"/>
      <w:r w:rsidRPr="003534D5">
        <w:rPr>
          <w:szCs w:val="22"/>
          <w:lang w:val="es-ES"/>
        </w:rPr>
        <w:t>Potosi</w:t>
      </w:r>
      <w:proofErr w:type="spellEnd"/>
    </w:p>
    <w:p w:rsidR="001955BB" w:rsidRPr="003534D5" w:rsidRDefault="001955BB" w:rsidP="001955BB">
      <w:pPr>
        <w:rPr>
          <w:szCs w:val="22"/>
          <w:lang w:val="es-ES"/>
        </w:rPr>
      </w:pPr>
    </w:p>
    <w:p w:rsidR="001955BB" w:rsidRPr="0077363F" w:rsidRDefault="001955BB" w:rsidP="001955BB">
      <w:pPr>
        <w:rPr>
          <w:szCs w:val="22"/>
          <w:u w:val="single"/>
        </w:rPr>
      </w:pPr>
      <w:r w:rsidRPr="0077363F">
        <w:rPr>
          <w:szCs w:val="22"/>
          <w:u w:val="single"/>
        </w:rPr>
        <w:t xml:space="preserve">Knowledge Ecology International, Inc. (KEI) </w:t>
      </w:r>
    </w:p>
    <w:p w:rsidR="001955BB" w:rsidRPr="0077363F" w:rsidRDefault="001955BB" w:rsidP="001955BB">
      <w:pPr>
        <w:rPr>
          <w:szCs w:val="22"/>
        </w:rPr>
      </w:pPr>
      <w:r w:rsidRPr="0077363F">
        <w:rPr>
          <w:szCs w:val="22"/>
        </w:rPr>
        <w:t>Thiru BALASUBRAMANIAM (Mr.), Geneva Representative, Geneva</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Mbororo Social Cultural Development Association (MBOSCUDA) </w:t>
      </w:r>
    </w:p>
    <w:p w:rsidR="001955BB" w:rsidRPr="0077363F" w:rsidRDefault="001955BB" w:rsidP="001955BB">
      <w:pPr>
        <w:rPr>
          <w:szCs w:val="22"/>
        </w:rPr>
      </w:pPr>
      <w:r>
        <w:rPr>
          <w:szCs w:val="22"/>
        </w:rPr>
        <w:t>Ali AII SHATU</w:t>
      </w:r>
      <w:r w:rsidRPr="0077363F">
        <w:rPr>
          <w:szCs w:val="22"/>
        </w:rPr>
        <w:t xml:space="preserve"> (Ms.), Board Member, </w:t>
      </w:r>
      <w:proofErr w:type="spellStart"/>
      <w:r w:rsidRPr="0077363F">
        <w:rPr>
          <w:szCs w:val="22"/>
        </w:rPr>
        <w:t>Bamenda</w:t>
      </w:r>
      <w:proofErr w:type="spellEnd"/>
    </w:p>
    <w:p w:rsidR="001955BB" w:rsidRPr="0077363F" w:rsidRDefault="001955BB" w:rsidP="001955BB">
      <w:pPr>
        <w:rPr>
          <w:szCs w:val="22"/>
        </w:rPr>
      </w:pPr>
      <w:r w:rsidRPr="0077363F">
        <w:rPr>
          <w:szCs w:val="22"/>
          <w:u w:val="single"/>
        </w:rPr>
        <w:t xml:space="preserve">aliaiishatou@yahoo.com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Native American Rights Fund (NARF) </w:t>
      </w:r>
    </w:p>
    <w:p w:rsidR="001955BB" w:rsidRPr="0077363F" w:rsidRDefault="001955BB" w:rsidP="001955BB">
      <w:pPr>
        <w:rPr>
          <w:szCs w:val="22"/>
        </w:rPr>
      </w:pPr>
      <w:r w:rsidRPr="0077363F">
        <w:rPr>
          <w:szCs w:val="22"/>
        </w:rPr>
        <w:t>Susan NOE (Ms.), Senior Staff Attorney, Boulder</w:t>
      </w:r>
    </w:p>
    <w:p w:rsidR="001955BB" w:rsidRPr="0077363F" w:rsidRDefault="001955BB" w:rsidP="001955BB">
      <w:pPr>
        <w:rPr>
          <w:szCs w:val="22"/>
        </w:rPr>
      </w:pPr>
      <w:r w:rsidRPr="0077363F">
        <w:rPr>
          <w:szCs w:val="22"/>
          <w:u w:val="single"/>
        </w:rPr>
        <w:t xml:space="preserve">suenoe@narf.org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Tebtebba </w:t>
      </w:r>
      <w:r>
        <w:rPr>
          <w:szCs w:val="22"/>
          <w:u w:val="single"/>
        </w:rPr>
        <w:t>Foundation - Indigenous Peoples’</w:t>
      </w:r>
      <w:r w:rsidRPr="0077363F">
        <w:rPr>
          <w:szCs w:val="22"/>
          <w:u w:val="single"/>
        </w:rPr>
        <w:t xml:space="preserve"> International Centre for Policy Research and Education </w:t>
      </w:r>
    </w:p>
    <w:p w:rsidR="001955BB" w:rsidRPr="0077363F" w:rsidRDefault="001955BB" w:rsidP="001955BB">
      <w:pPr>
        <w:rPr>
          <w:szCs w:val="22"/>
        </w:rPr>
      </w:pPr>
      <w:r w:rsidRPr="0077363F">
        <w:rPr>
          <w:szCs w:val="22"/>
        </w:rPr>
        <w:t>Jennifer CORPUZ (Ms.), Legal Officer, Quezon City</w:t>
      </w:r>
    </w:p>
    <w:p w:rsidR="001955BB" w:rsidRPr="0077363F" w:rsidRDefault="001955BB" w:rsidP="001955BB">
      <w:pPr>
        <w:rPr>
          <w:szCs w:val="22"/>
        </w:rPr>
      </w:pPr>
      <w:r w:rsidRPr="0077363F">
        <w:rPr>
          <w:szCs w:val="22"/>
          <w:u w:val="single"/>
        </w:rPr>
        <w:t xml:space="preserve">corpuz.jennifer@gmail.com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Third World Network </w:t>
      </w:r>
      <w:proofErr w:type="spellStart"/>
      <w:r w:rsidRPr="0077363F">
        <w:rPr>
          <w:szCs w:val="22"/>
          <w:u w:val="single"/>
        </w:rPr>
        <w:t>Berhad</w:t>
      </w:r>
      <w:proofErr w:type="spellEnd"/>
      <w:r w:rsidRPr="0077363F">
        <w:rPr>
          <w:szCs w:val="22"/>
          <w:u w:val="single"/>
        </w:rPr>
        <w:t xml:space="preserve"> (TWN) </w:t>
      </w:r>
    </w:p>
    <w:p w:rsidR="001955BB" w:rsidRPr="0077363F" w:rsidRDefault="001955BB" w:rsidP="001955BB">
      <w:pPr>
        <w:rPr>
          <w:szCs w:val="22"/>
        </w:rPr>
      </w:pPr>
      <w:proofErr w:type="spellStart"/>
      <w:r w:rsidRPr="0077363F">
        <w:rPr>
          <w:szCs w:val="22"/>
        </w:rPr>
        <w:t>Sachin</w:t>
      </w:r>
      <w:proofErr w:type="spellEnd"/>
      <w:r w:rsidRPr="0077363F">
        <w:rPr>
          <w:szCs w:val="22"/>
        </w:rPr>
        <w:t xml:space="preserve"> SATHYARAJAN (Mr.), Expert, Geneva</w:t>
      </w:r>
    </w:p>
    <w:p w:rsidR="001955BB" w:rsidRPr="0077363F" w:rsidRDefault="001955BB" w:rsidP="001955BB">
      <w:pPr>
        <w:rPr>
          <w:szCs w:val="22"/>
        </w:rPr>
      </w:pPr>
      <w:r w:rsidRPr="0077363F">
        <w:rPr>
          <w:szCs w:val="22"/>
          <w:u w:val="single"/>
        </w:rPr>
        <w:t xml:space="preserve">sachinsathyarajan@gmail.com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Tulalip Tribes of Washington Governmental Affairs Department </w:t>
      </w:r>
    </w:p>
    <w:p w:rsidR="001955BB" w:rsidRPr="0077363F" w:rsidRDefault="001955BB" w:rsidP="001955BB">
      <w:pPr>
        <w:rPr>
          <w:szCs w:val="22"/>
        </w:rPr>
      </w:pPr>
      <w:r w:rsidRPr="0077363F">
        <w:rPr>
          <w:szCs w:val="22"/>
        </w:rPr>
        <w:t>Ray FRYBERG (Mr.), Executive Director, Tulalip Cultural and Natural Resources, Tulalip</w:t>
      </w:r>
    </w:p>
    <w:p w:rsidR="001955BB" w:rsidRPr="0077363F" w:rsidRDefault="001955BB" w:rsidP="001955BB">
      <w:pPr>
        <w:rPr>
          <w:szCs w:val="22"/>
        </w:rPr>
      </w:pPr>
      <w:r w:rsidRPr="0077363F">
        <w:rPr>
          <w:szCs w:val="22"/>
        </w:rPr>
        <w:t>Preston HARDISON (Mr.), Policy Analyst, Tulalip</w:t>
      </w:r>
    </w:p>
    <w:p w:rsidR="001955BB" w:rsidRPr="0077363F" w:rsidRDefault="001955BB" w:rsidP="001955BB">
      <w:pPr>
        <w:rPr>
          <w:szCs w:val="22"/>
        </w:rPr>
      </w:pPr>
    </w:p>
    <w:p w:rsidR="001955BB" w:rsidRPr="0077363F" w:rsidRDefault="001955BB" w:rsidP="001955BB">
      <w:pPr>
        <w:rPr>
          <w:szCs w:val="22"/>
          <w:u w:val="single"/>
        </w:rPr>
      </w:pPr>
      <w:proofErr w:type="spellStart"/>
      <w:r w:rsidRPr="0077363F">
        <w:rPr>
          <w:szCs w:val="22"/>
          <w:u w:val="single"/>
        </w:rPr>
        <w:t>Université</w:t>
      </w:r>
      <w:proofErr w:type="spellEnd"/>
      <w:r w:rsidRPr="0077363F">
        <w:rPr>
          <w:szCs w:val="22"/>
          <w:u w:val="single"/>
        </w:rPr>
        <w:t xml:space="preserve"> de Lausanne (IEPHI)/University of Lausanne (IEPHI) </w:t>
      </w:r>
    </w:p>
    <w:p w:rsidR="001955BB" w:rsidRPr="0077363F" w:rsidRDefault="001955BB" w:rsidP="001955BB">
      <w:pPr>
        <w:rPr>
          <w:szCs w:val="22"/>
        </w:rPr>
      </w:pPr>
      <w:r w:rsidRPr="0077363F">
        <w:rPr>
          <w:szCs w:val="22"/>
        </w:rPr>
        <w:t>K. Yohan ARIFFIN (Mr.), Senior Lecturer and Research Fellow, Lausanne</w:t>
      </w:r>
    </w:p>
    <w:p w:rsidR="001955BB" w:rsidRPr="0077363F" w:rsidRDefault="001955BB" w:rsidP="001955BB">
      <w:pPr>
        <w:rPr>
          <w:szCs w:val="22"/>
        </w:rPr>
      </w:pPr>
      <w:r w:rsidRPr="0077363F">
        <w:rPr>
          <w:szCs w:val="22"/>
          <w:u w:val="single"/>
        </w:rPr>
        <w:t xml:space="preserve">yohan.ariffin@unil.ch </w:t>
      </w:r>
    </w:p>
    <w:p w:rsidR="001955BB" w:rsidRPr="0077363F" w:rsidRDefault="001955BB" w:rsidP="001955BB">
      <w:pPr>
        <w:rPr>
          <w:szCs w:val="22"/>
        </w:rPr>
      </w:pPr>
      <w:r w:rsidRPr="0077363F">
        <w:rPr>
          <w:szCs w:val="22"/>
        </w:rPr>
        <w:t>Victor KRISHNAPILLAI (Mr.), Student, Lausanne</w:t>
      </w:r>
    </w:p>
    <w:p w:rsidR="001955BB" w:rsidRPr="0077363F" w:rsidRDefault="001955BB" w:rsidP="001955BB">
      <w:pPr>
        <w:rPr>
          <w:szCs w:val="22"/>
        </w:rPr>
      </w:pPr>
      <w:r w:rsidRPr="0077363F">
        <w:rPr>
          <w:szCs w:val="22"/>
        </w:rPr>
        <w:t xml:space="preserve">Adriana STIMOLI (Ms.), Student, </w:t>
      </w:r>
      <w:proofErr w:type="spellStart"/>
      <w:r w:rsidRPr="0077363F">
        <w:rPr>
          <w:szCs w:val="22"/>
        </w:rPr>
        <w:t>Renens</w:t>
      </w:r>
      <w:proofErr w:type="spellEnd"/>
    </w:p>
    <w:p w:rsidR="001955BB" w:rsidRPr="0077363F" w:rsidRDefault="001955BB" w:rsidP="001955BB">
      <w:pPr>
        <w:rPr>
          <w:szCs w:val="22"/>
        </w:rPr>
      </w:pPr>
      <w:r w:rsidRPr="0077363F">
        <w:rPr>
          <w:szCs w:val="22"/>
          <w:u w:val="single"/>
        </w:rPr>
        <w:t xml:space="preserve">adriana.stimoli@unil.ch </w:t>
      </w:r>
    </w:p>
    <w:p w:rsidR="001955BB" w:rsidRPr="0077363F" w:rsidRDefault="001955BB" w:rsidP="001955BB">
      <w:pPr>
        <w:rPr>
          <w:szCs w:val="22"/>
        </w:rPr>
      </w:pPr>
      <w:proofErr w:type="spellStart"/>
      <w:r w:rsidRPr="0077363F">
        <w:rPr>
          <w:szCs w:val="22"/>
        </w:rPr>
        <w:t>Maxime</w:t>
      </w:r>
      <w:proofErr w:type="spellEnd"/>
      <w:r w:rsidRPr="0077363F">
        <w:rPr>
          <w:szCs w:val="22"/>
        </w:rPr>
        <w:t xml:space="preserve"> TREBOUX (Mr.), Student, </w:t>
      </w:r>
      <w:proofErr w:type="spellStart"/>
      <w:r w:rsidRPr="0077363F">
        <w:rPr>
          <w:szCs w:val="22"/>
        </w:rPr>
        <w:t>Ecublens</w:t>
      </w:r>
      <w:proofErr w:type="spellEnd"/>
    </w:p>
    <w:p w:rsidR="001955BB" w:rsidRPr="0077363F" w:rsidRDefault="001955BB" w:rsidP="001955BB">
      <w:pPr>
        <w:rPr>
          <w:szCs w:val="22"/>
        </w:rPr>
      </w:pPr>
      <w:r w:rsidRPr="0077363F">
        <w:rPr>
          <w:szCs w:val="22"/>
          <w:u w:val="single"/>
        </w:rPr>
        <w:t xml:space="preserve">treboux.maxime@gmail.com </w:t>
      </w:r>
    </w:p>
    <w:p w:rsidR="001955BB" w:rsidRPr="0077363F" w:rsidRDefault="001955BB" w:rsidP="001955BB">
      <w:pPr>
        <w:rPr>
          <w:szCs w:val="22"/>
        </w:rPr>
      </w:pPr>
    </w:p>
    <w:p w:rsidR="001955BB" w:rsidRDefault="001955BB" w:rsidP="001955BB">
      <w:pPr>
        <w:rPr>
          <w:szCs w:val="22"/>
        </w:rPr>
      </w:pPr>
    </w:p>
    <w:p w:rsidR="001955BB" w:rsidRPr="00E50542" w:rsidRDefault="001955BB" w:rsidP="001955BB">
      <w:pPr>
        <w:rPr>
          <w:szCs w:val="22"/>
        </w:rPr>
      </w:pPr>
    </w:p>
    <w:p w:rsidR="008B7E70" w:rsidRPr="008B7E70" w:rsidRDefault="00AE60F1" w:rsidP="008B7E70">
      <w:pPr>
        <w:ind w:left="284" w:hanging="284"/>
        <w:rPr>
          <w:szCs w:val="22"/>
          <w:u w:val="single"/>
          <w:lang w:val="fr-FR"/>
        </w:rPr>
      </w:pPr>
      <w:r>
        <w:rPr>
          <w:caps/>
          <w:szCs w:val="22"/>
          <w:lang w:val="fr-FR" w:eastAsia="en-US"/>
        </w:rPr>
        <w:t>V</w:t>
      </w:r>
      <w:r w:rsidR="00AE1D54">
        <w:rPr>
          <w:caps/>
          <w:szCs w:val="22"/>
          <w:lang w:val="fr-FR" w:eastAsia="en-US"/>
        </w:rPr>
        <w:t xml:space="preserve">.  </w:t>
      </w:r>
      <w:r w:rsidR="008B7E70" w:rsidRPr="008B7E70">
        <w:rPr>
          <w:caps/>
          <w:szCs w:val="22"/>
          <w:u w:val="single"/>
          <w:lang w:val="fr-FR" w:eastAsia="en-US"/>
        </w:rPr>
        <w:t>groupe des communautÉs autochtones et locales/</w:t>
      </w:r>
      <w:r w:rsidR="008B7E70" w:rsidRPr="008B7E70">
        <w:rPr>
          <w:caps/>
          <w:szCs w:val="22"/>
          <w:u w:val="single"/>
          <w:lang w:val="fr-FR" w:eastAsia="en-US"/>
        </w:rPr>
        <w:br/>
      </w:r>
      <w:r w:rsidR="008B7E70" w:rsidRPr="008B7E70">
        <w:rPr>
          <w:caps/>
          <w:szCs w:val="22"/>
          <w:lang w:val="fr-FR" w:eastAsia="en-US"/>
        </w:rPr>
        <w:t xml:space="preserve"> </w:t>
      </w:r>
      <w:r w:rsidR="008B7E70" w:rsidRPr="008B7E70">
        <w:rPr>
          <w:szCs w:val="22"/>
          <w:u w:val="single"/>
          <w:lang w:val="fr-FR"/>
        </w:rPr>
        <w:t>INDIGENOUS PANEL</w:t>
      </w:r>
    </w:p>
    <w:p w:rsidR="008B7E70" w:rsidRPr="008B7E70" w:rsidRDefault="008B7E70" w:rsidP="008B7E70">
      <w:pPr>
        <w:ind w:left="284" w:hanging="284"/>
        <w:rPr>
          <w:szCs w:val="22"/>
          <w:u w:val="single"/>
          <w:lang w:val="fr-FR"/>
        </w:rPr>
      </w:pPr>
    </w:p>
    <w:p w:rsidR="000664DA" w:rsidRPr="00A64501" w:rsidRDefault="000664DA" w:rsidP="008B7E70">
      <w:pPr>
        <w:rPr>
          <w:lang w:val="fr-FR"/>
        </w:rPr>
      </w:pPr>
    </w:p>
    <w:p w:rsidR="009F2115" w:rsidRDefault="009F2115" w:rsidP="009F2115">
      <w:pPr>
        <w:suppressAutoHyphens/>
        <w:rPr>
          <w:color w:val="000000"/>
          <w:szCs w:val="22"/>
          <w:lang w:eastAsia="ar-SA"/>
        </w:rPr>
      </w:pPr>
      <w:r w:rsidRPr="00BE0DCD">
        <w:rPr>
          <w:color w:val="000000"/>
          <w:szCs w:val="22"/>
          <w:lang w:eastAsia="ar-SA"/>
        </w:rPr>
        <w:t>Neva COLLINGS</w:t>
      </w:r>
      <w:r>
        <w:rPr>
          <w:color w:val="000000"/>
          <w:szCs w:val="22"/>
          <w:lang w:eastAsia="ar-SA"/>
        </w:rPr>
        <w:t xml:space="preserve"> (Ms.)</w:t>
      </w:r>
      <w:r w:rsidRPr="00BE0DCD">
        <w:rPr>
          <w:color w:val="000000"/>
          <w:szCs w:val="22"/>
          <w:lang w:eastAsia="ar-SA"/>
        </w:rPr>
        <w:t>, Ph.D. candidate, University of Technology Sydney, Faculty of Law, Australia</w:t>
      </w:r>
    </w:p>
    <w:p w:rsidR="009F2115" w:rsidRPr="00BE0DCD" w:rsidRDefault="009F2115" w:rsidP="009F2115">
      <w:pPr>
        <w:suppressAutoHyphens/>
        <w:rPr>
          <w:color w:val="000000"/>
          <w:szCs w:val="22"/>
          <w:lang w:eastAsia="ar-SA"/>
        </w:rPr>
      </w:pPr>
    </w:p>
    <w:p w:rsidR="009F2115" w:rsidRPr="00BE0DCD" w:rsidRDefault="009F2115" w:rsidP="009F2115">
      <w:pPr>
        <w:suppressAutoHyphens/>
        <w:rPr>
          <w:lang w:eastAsia="ar-SA"/>
        </w:rPr>
      </w:pPr>
      <w:r w:rsidRPr="00BE0DCD">
        <w:rPr>
          <w:color w:val="000000"/>
          <w:szCs w:val="22"/>
          <w:lang w:eastAsia="ar-SA"/>
        </w:rPr>
        <w:t xml:space="preserve">Ndiaga SALL </w:t>
      </w:r>
      <w:r>
        <w:rPr>
          <w:color w:val="000000"/>
          <w:szCs w:val="22"/>
          <w:lang w:eastAsia="ar-SA"/>
        </w:rPr>
        <w:t>(</w:t>
      </w:r>
      <w:r w:rsidRPr="00BE0DCD">
        <w:rPr>
          <w:color w:val="000000"/>
          <w:szCs w:val="22"/>
          <w:lang w:eastAsia="ar-SA"/>
        </w:rPr>
        <w:t>Mr.</w:t>
      </w:r>
      <w:r>
        <w:rPr>
          <w:color w:val="000000"/>
          <w:szCs w:val="22"/>
          <w:lang w:eastAsia="ar-SA"/>
        </w:rPr>
        <w:t>)</w:t>
      </w:r>
      <w:r w:rsidRPr="00BE0DCD">
        <w:rPr>
          <w:color w:val="000000"/>
          <w:szCs w:val="22"/>
          <w:lang w:eastAsia="ar-SA"/>
        </w:rPr>
        <w:t>, Head</w:t>
      </w:r>
      <w:r>
        <w:rPr>
          <w:color w:val="000000"/>
          <w:szCs w:val="22"/>
          <w:lang w:eastAsia="ar-SA"/>
        </w:rPr>
        <w:t xml:space="preserve">, </w:t>
      </w:r>
      <w:r w:rsidRPr="00BE0DCD">
        <w:rPr>
          <w:color w:val="000000"/>
          <w:szCs w:val="22"/>
          <w:lang w:eastAsia="ar-SA"/>
        </w:rPr>
        <w:t>Department at SEPCOM (Knowledge and Community Practices in Health), Head of Enda Health, Senegal</w:t>
      </w:r>
      <w:r w:rsidRPr="00BE0DCD" w:rsidDel="00694EE1">
        <w:rPr>
          <w:szCs w:val="22"/>
          <w:lang w:eastAsia="ar-SA"/>
        </w:rPr>
        <w:t xml:space="preserve"> </w:t>
      </w:r>
    </w:p>
    <w:p w:rsidR="009F2115" w:rsidRPr="00BE0DCD" w:rsidRDefault="009F2115" w:rsidP="009F2115">
      <w:pPr>
        <w:pStyle w:val="BodyText"/>
        <w:spacing w:after="0"/>
        <w:ind w:left="284" w:hanging="284"/>
        <w:rPr>
          <w:szCs w:val="22"/>
          <w:u w:val="single"/>
        </w:rPr>
      </w:pPr>
    </w:p>
    <w:p w:rsidR="009F2115" w:rsidRDefault="009F2115" w:rsidP="009F2115">
      <w:pPr>
        <w:suppressAutoHyphens/>
        <w:rPr>
          <w:szCs w:val="22"/>
          <w:lang w:val="es-ES" w:eastAsia="ar-SA"/>
        </w:rPr>
      </w:pPr>
      <w:proofErr w:type="spellStart"/>
      <w:r w:rsidRPr="00BE0DCD">
        <w:rPr>
          <w:szCs w:val="22"/>
          <w:lang w:val="es-ES" w:eastAsia="ar-SA"/>
        </w:rPr>
        <w:t>Q”apaj</w:t>
      </w:r>
      <w:proofErr w:type="spellEnd"/>
      <w:r w:rsidRPr="00BE0DCD">
        <w:rPr>
          <w:szCs w:val="22"/>
          <w:lang w:val="es-ES" w:eastAsia="ar-SA"/>
        </w:rPr>
        <w:t xml:space="preserve"> CONDE CHOQUE </w:t>
      </w:r>
      <w:r>
        <w:rPr>
          <w:szCs w:val="22"/>
          <w:lang w:val="es-ES" w:eastAsia="ar-SA"/>
        </w:rPr>
        <w:t>(</w:t>
      </w:r>
      <w:r w:rsidRPr="00BE0DCD">
        <w:rPr>
          <w:szCs w:val="22"/>
          <w:lang w:val="es-ES" w:eastAsia="ar-SA"/>
        </w:rPr>
        <w:t>Mr.</w:t>
      </w:r>
      <w:r>
        <w:rPr>
          <w:szCs w:val="22"/>
          <w:lang w:val="es-ES" w:eastAsia="ar-SA"/>
        </w:rPr>
        <w:t xml:space="preserve">), </w:t>
      </w:r>
      <w:proofErr w:type="spellStart"/>
      <w:r>
        <w:rPr>
          <w:szCs w:val="22"/>
          <w:lang w:val="es-ES" w:eastAsia="ar-SA"/>
        </w:rPr>
        <w:t>Aymar</w:t>
      </w:r>
      <w:proofErr w:type="spellEnd"/>
      <w:r>
        <w:rPr>
          <w:szCs w:val="22"/>
          <w:lang w:val="es-ES" w:eastAsia="ar-SA"/>
        </w:rPr>
        <w:t xml:space="preserve"> </w:t>
      </w:r>
      <w:proofErr w:type="spellStart"/>
      <w:r>
        <w:rPr>
          <w:szCs w:val="22"/>
          <w:lang w:val="es-ES" w:eastAsia="ar-SA"/>
        </w:rPr>
        <w:t>L</w:t>
      </w:r>
      <w:r w:rsidRPr="00BE0DCD">
        <w:rPr>
          <w:szCs w:val="22"/>
          <w:lang w:val="es-ES" w:eastAsia="ar-SA"/>
        </w:rPr>
        <w:t>awyer</w:t>
      </w:r>
      <w:proofErr w:type="spellEnd"/>
      <w:r w:rsidRPr="00BE0DCD">
        <w:rPr>
          <w:szCs w:val="22"/>
          <w:lang w:val="es-ES" w:eastAsia="ar-SA"/>
        </w:rPr>
        <w:t xml:space="preserve">, </w:t>
      </w:r>
      <w:r w:rsidRPr="00BE0DCD">
        <w:rPr>
          <w:i/>
          <w:szCs w:val="22"/>
          <w:lang w:val="es-ES" w:eastAsia="ar-SA"/>
        </w:rPr>
        <w:t xml:space="preserve">Centro de Estudios </w:t>
      </w:r>
      <w:proofErr w:type="spellStart"/>
      <w:r w:rsidRPr="00BE0DCD">
        <w:rPr>
          <w:i/>
          <w:szCs w:val="22"/>
          <w:lang w:val="es-ES" w:eastAsia="ar-SA"/>
        </w:rPr>
        <w:t>Multidisplinarios</w:t>
      </w:r>
      <w:proofErr w:type="spellEnd"/>
      <w:r w:rsidRPr="00BE0DCD">
        <w:rPr>
          <w:i/>
          <w:szCs w:val="22"/>
          <w:lang w:val="es-ES" w:eastAsia="ar-SA"/>
        </w:rPr>
        <w:t xml:space="preserve"> – </w:t>
      </w:r>
      <w:proofErr w:type="spellStart"/>
      <w:r w:rsidRPr="00BE0DCD">
        <w:rPr>
          <w:i/>
          <w:szCs w:val="22"/>
          <w:lang w:val="es-ES" w:eastAsia="ar-SA"/>
        </w:rPr>
        <w:t>Aymara</w:t>
      </w:r>
      <w:proofErr w:type="spellEnd"/>
      <w:r w:rsidRPr="00BE0DCD">
        <w:rPr>
          <w:szCs w:val="22"/>
          <w:lang w:val="es-ES" w:eastAsia="ar-SA"/>
        </w:rPr>
        <w:t xml:space="preserve">, </w:t>
      </w:r>
      <w:proofErr w:type="spellStart"/>
      <w:r w:rsidRPr="00BE0DCD">
        <w:rPr>
          <w:szCs w:val="22"/>
          <w:lang w:val="es-ES" w:eastAsia="ar-SA"/>
        </w:rPr>
        <w:t>Plurinational</w:t>
      </w:r>
      <w:proofErr w:type="spellEnd"/>
      <w:r w:rsidRPr="00BE0DCD">
        <w:rPr>
          <w:szCs w:val="22"/>
          <w:lang w:val="es-ES" w:eastAsia="ar-SA"/>
        </w:rPr>
        <w:t xml:space="preserve"> </w:t>
      </w:r>
      <w:proofErr w:type="spellStart"/>
      <w:r w:rsidRPr="00BE0DCD">
        <w:rPr>
          <w:szCs w:val="22"/>
          <w:lang w:val="es-ES" w:eastAsia="ar-SA"/>
        </w:rPr>
        <w:t>State</w:t>
      </w:r>
      <w:proofErr w:type="spellEnd"/>
      <w:r w:rsidRPr="00BE0DCD">
        <w:rPr>
          <w:szCs w:val="22"/>
          <w:lang w:val="es-ES" w:eastAsia="ar-SA"/>
        </w:rPr>
        <w:t xml:space="preserve"> of Bolivia</w:t>
      </w:r>
    </w:p>
    <w:p w:rsidR="009F2115" w:rsidRPr="00BE0DCD" w:rsidRDefault="009F2115" w:rsidP="009F2115">
      <w:pPr>
        <w:pStyle w:val="BodyText"/>
        <w:spacing w:after="0"/>
        <w:ind w:left="284" w:hanging="284"/>
        <w:rPr>
          <w:szCs w:val="22"/>
          <w:u w:val="single"/>
          <w:lang w:val="es-ES"/>
        </w:rPr>
      </w:pPr>
    </w:p>
    <w:p w:rsidR="008B7E70" w:rsidRPr="009F2115" w:rsidRDefault="008B7E70" w:rsidP="008B7E70">
      <w:pPr>
        <w:rPr>
          <w:szCs w:val="22"/>
          <w:lang w:val="es-ES"/>
        </w:rPr>
      </w:pPr>
    </w:p>
    <w:p w:rsidR="008B7E70" w:rsidRPr="009F2115" w:rsidRDefault="008B7E70" w:rsidP="008B7E70">
      <w:pPr>
        <w:rPr>
          <w:szCs w:val="22"/>
          <w:lang w:val="es-ES_tradnl"/>
        </w:rPr>
      </w:pPr>
    </w:p>
    <w:p w:rsidR="008B7E70" w:rsidRPr="009451C9" w:rsidRDefault="00AE60F1" w:rsidP="008B7E70">
      <w:pPr>
        <w:rPr>
          <w:szCs w:val="22"/>
          <w:u w:val="single"/>
        </w:rPr>
      </w:pPr>
      <w:r w:rsidRPr="009451C9">
        <w:rPr>
          <w:szCs w:val="22"/>
        </w:rPr>
        <w:t>VI</w:t>
      </w:r>
      <w:proofErr w:type="gramStart"/>
      <w:r w:rsidR="00AE1D54" w:rsidRPr="009451C9">
        <w:rPr>
          <w:szCs w:val="22"/>
        </w:rPr>
        <w:t xml:space="preserve">.  </w:t>
      </w:r>
      <w:r w:rsidR="008B7E70" w:rsidRPr="009451C9">
        <w:rPr>
          <w:szCs w:val="22"/>
          <w:u w:val="single"/>
        </w:rPr>
        <w:t>BUREAU</w:t>
      </w:r>
      <w:proofErr w:type="gramEnd"/>
      <w:r w:rsidR="008B7E70" w:rsidRPr="009451C9">
        <w:rPr>
          <w:szCs w:val="22"/>
          <w:u w:val="single"/>
        </w:rPr>
        <w:t>/OFFICERS</w:t>
      </w:r>
    </w:p>
    <w:p w:rsidR="008B7E70" w:rsidRPr="009451C9" w:rsidRDefault="008B7E70" w:rsidP="008B7E70">
      <w:pPr>
        <w:rPr>
          <w:szCs w:val="22"/>
        </w:rPr>
      </w:pPr>
    </w:p>
    <w:p w:rsidR="008B7E70" w:rsidRPr="009451C9" w:rsidRDefault="008B7E70" w:rsidP="008B7E70">
      <w:pPr>
        <w:rPr>
          <w:szCs w:val="22"/>
        </w:rPr>
      </w:pPr>
    </w:p>
    <w:p w:rsidR="008B7E70" w:rsidRPr="008B7E70" w:rsidRDefault="008B7E70" w:rsidP="008B7E70">
      <w:pPr>
        <w:tabs>
          <w:tab w:val="left" w:pos="3402"/>
        </w:tabs>
        <w:ind w:left="3402" w:hanging="3402"/>
        <w:rPr>
          <w:szCs w:val="22"/>
          <w:lang w:val="fr-CH"/>
        </w:rPr>
      </w:pPr>
      <w:proofErr w:type="spellStart"/>
      <w:r w:rsidRPr="009F2115">
        <w:rPr>
          <w:szCs w:val="22"/>
        </w:rPr>
        <w:t>Président</w:t>
      </w:r>
      <w:proofErr w:type="spellEnd"/>
      <w:r w:rsidRPr="009F2115">
        <w:rPr>
          <w:szCs w:val="22"/>
        </w:rPr>
        <w:t>/Chair:</w:t>
      </w:r>
      <w:r w:rsidRPr="009F2115">
        <w:rPr>
          <w:szCs w:val="22"/>
        </w:rPr>
        <w:tab/>
        <w:t>Ian GOSS</w:t>
      </w:r>
      <w:r w:rsidR="009F2115" w:rsidRPr="009F2115">
        <w:rPr>
          <w:szCs w:val="22"/>
        </w:rPr>
        <w:t xml:space="preserve"> </w:t>
      </w:r>
      <w:r w:rsidR="009F2115">
        <w:rPr>
          <w:szCs w:val="22"/>
        </w:rPr>
        <w:t>(M</w:t>
      </w:r>
      <w:proofErr w:type="gramStart"/>
      <w:r w:rsidR="009F2115">
        <w:rPr>
          <w:szCs w:val="22"/>
        </w:rPr>
        <w:t>./</w:t>
      </w:r>
      <w:proofErr w:type="gramEnd"/>
      <w:r w:rsidR="009F2115">
        <w:rPr>
          <w:szCs w:val="22"/>
        </w:rPr>
        <w:t>Mr.)</w:t>
      </w:r>
      <w:r w:rsidRPr="009F2115">
        <w:rPr>
          <w:szCs w:val="22"/>
        </w:rPr>
        <w:t xml:space="preserve"> </w:t>
      </w:r>
      <w:r w:rsidRPr="008B7E70">
        <w:rPr>
          <w:szCs w:val="22"/>
          <w:lang w:val="fr-CH"/>
        </w:rPr>
        <w:t>(Australie/</w:t>
      </w:r>
      <w:proofErr w:type="spellStart"/>
      <w:r w:rsidRPr="008B7E70">
        <w:rPr>
          <w:szCs w:val="22"/>
          <w:lang w:val="fr-CH"/>
        </w:rPr>
        <w:t>Australia</w:t>
      </w:r>
      <w:proofErr w:type="spellEnd"/>
      <w:r w:rsidRPr="008B7E70">
        <w:rPr>
          <w:szCs w:val="22"/>
          <w:lang w:val="fr-CH"/>
        </w:rPr>
        <w:t>)</w:t>
      </w:r>
    </w:p>
    <w:p w:rsidR="008B7E70" w:rsidRPr="008B7E70" w:rsidRDefault="008B7E70" w:rsidP="008B7E70">
      <w:pPr>
        <w:tabs>
          <w:tab w:val="left" w:pos="3402"/>
        </w:tabs>
        <w:ind w:left="3402" w:hanging="3402"/>
        <w:rPr>
          <w:szCs w:val="22"/>
          <w:lang w:val="fr-CH"/>
        </w:rPr>
      </w:pPr>
    </w:p>
    <w:p w:rsidR="008B7E70" w:rsidRPr="008B7E70" w:rsidRDefault="008B7E70" w:rsidP="008B7E70">
      <w:pPr>
        <w:tabs>
          <w:tab w:val="left" w:pos="3402"/>
        </w:tabs>
        <w:rPr>
          <w:szCs w:val="22"/>
          <w:lang w:val="fr-CH"/>
        </w:rPr>
      </w:pPr>
      <w:r w:rsidRPr="008B7E70">
        <w:rPr>
          <w:szCs w:val="22"/>
          <w:lang w:val="fr-CH"/>
        </w:rPr>
        <w:t>Vice-présidents/Vice-Chairs:</w:t>
      </w:r>
      <w:r w:rsidRPr="008B7E70">
        <w:rPr>
          <w:szCs w:val="22"/>
          <w:lang w:val="fr-CH"/>
        </w:rPr>
        <w:tab/>
        <w:t>Jukka LIEDES</w:t>
      </w:r>
      <w:r w:rsidR="009F2115">
        <w:rPr>
          <w:szCs w:val="22"/>
          <w:lang w:val="fr-CH"/>
        </w:rPr>
        <w:t xml:space="preserve"> </w:t>
      </w:r>
      <w:r w:rsidR="009F2115" w:rsidRPr="009F2115">
        <w:rPr>
          <w:szCs w:val="22"/>
          <w:lang w:val="fr-FR"/>
        </w:rPr>
        <w:t>(M</w:t>
      </w:r>
      <w:proofErr w:type="gramStart"/>
      <w:r w:rsidR="009F2115" w:rsidRPr="009F2115">
        <w:rPr>
          <w:szCs w:val="22"/>
          <w:lang w:val="fr-FR"/>
        </w:rPr>
        <w:t>./</w:t>
      </w:r>
      <w:proofErr w:type="gramEnd"/>
      <w:r w:rsidR="009F2115" w:rsidRPr="009F2115">
        <w:rPr>
          <w:szCs w:val="22"/>
          <w:lang w:val="fr-FR"/>
        </w:rPr>
        <w:t>Mr.)</w:t>
      </w:r>
      <w:r w:rsidRPr="008B7E70">
        <w:rPr>
          <w:szCs w:val="22"/>
          <w:lang w:val="fr-CH"/>
        </w:rPr>
        <w:t xml:space="preserve"> (Finlande/</w:t>
      </w:r>
      <w:proofErr w:type="spellStart"/>
      <w:r w:rsidRPr="008B7E70">
        <w:rPr>
          <w:szCs w:val="22"/>
          <w:lang w:val="fr-CH"/>
        </w:rPr>
        <w:t>Finland</w:t>
      </w:r>
      <w:proofErr w:type="spellEnd"/>
      <w:r w:rsidRPr="008B7E70">
        <w:rPr>
          <w:szCs w:val="22"/>
          <w:lang w:val="fr-CH"/>
        </w:rPr>
        <w:t xml:space="preserve">) </w:t>
      </w:r>
    </w:p>
    <w:p w:rsidR="008B7E70" w:rsidRPr="008B7E70" w:rsidRDefault="008B7E70" w:rsidP="008B7E70">
      <w:pPr>
        <w:tabs>
          <w:tab w:val="left" w:pos="3402"/>
        </w:tabs>
        <w:rPr>
          <w:szCs w:val="22"/>
          <w:lang w:val="fr-CH"/>
        </w:rPr>
      </w:pPr>
    </w:p>
    <w:p w:rsidR="008B7E70" w:rsidRPr="008B7E70" w:rsidRDefault="008B7E70" w:rsidP="008B7E70">
      <w:pPr>
        <w:tabs>
          <w:tab w:val="left" w:pos="3402"/>
        </w:tabs>
        <w:rPr>
          <w:szCs w:val="22"/>
        </w:rPr>
      </w:pPr>
      <w:r w:rsidRPr="008B7E70">
        <w:rPr>
          <w:szCs w:val="22"/>
          <w:lang w:val="fr-CH"/>
        </w:rPr>
        <w:tab/>
      </w:r>
      <w:r w:rsidR="009F2115" w:rsidRPr="000A3C85">
        <w:rPr>
          <w:szCs w:val="22"/>
        </w:rPr>
        <w:t>Faizal Chery SIDHARTA</w:t>
      </w:r>
      <w:r w:rsidR="009F2115">
        <w:rPr>
          <w:szCs w:val="22"/>
        </w:rPr>
        <w:t xml:space="preserve"> (M</w:t>
      </w:r>
      <w:proofErr w:type="gramStart"/>
      <w:r w:rsidR="009F2115">
        <w:rPr>
          <w:szCs w:val="22"/>
        </w:rPr>
        <w:t>./</w:t>
      </w:r>
      <w:proofErr w:type="gramEnd"/>
      <w:r w:rsidR="009F2115">
        <w:rPr>
          <w:szCs w:val="22"/>
        </w:rPr>
        <w:t>Mr.)</w:t>
      </w:r>
      <w:r w:rsidR="009F2115" w:rsidRPr="000A3C85">
        <w:rPr>
          <w:szCs w:val="22"/>
        </w:rPr>
        <w:t xml:space="preserve"> </w:t>
      </w:r>
      <w:r w:rsidRPr="008B7E70">
        <w:rPr>
          <w:szCs w:val="22"/>
        </w:rPr>
        <w:t>(</w:t>
      </w:r>
      <w:proofErr w:type="spellStart"/>
      <w:r w:rsidRPr="008B7E70">
        <w:rPr>
          <w:szCs w:val="22"/>
        </w:rPr>
        <w:t>Indonésie</w:t>
      </w:r>
      <w:proofErr w:type="spellEnd"/>
      <w:r w:rsidRPr="008B7E70">
        <w:rPr>
          <w:szCs w:val="22"/>
        </w:rPr>
        <w:t>/Indonesia)</w:t>
      </w:r>
    </w:p>
    <w:p w:rsidR="008B7E70" w:rsidRPr="008B7E70" w:rsidRDefault="008B7E70" w:rsidP="008B7E70">
      <w:pPr>
        <w:tabs>
          <w:tab w:val="left" w:pos="3402"/>
        </w:tabs>
        <w:rPr>
          <w:szCs w:val="22"/>
        </w:rPr>
      </w:pPr>
    </w:p>
    <w:p w:rsidR="008B7E70" w:rsidRPr="00CE0690" w:rsidRDefault="008B7E70" w:rsidP="008B7E70">
      <w:pPr>
        <w:tabs>
          <w:tab w:val="left" w:pos="3402"/>
        </w:tabs>
        <w:rPr>
          <w:szCs w:val="22"/>
        </w:rPr>
      </w:pPr>
      <w:proofErr w:type="spellStart"/>
      <w:r w:rsidRPr="008B7E70">
        <w:rPr>
          <w:szCs w:val="22"/>
        </w:rPr>
        <w:t>Secrétaire</w:t>
      </w:r>
      <w:proofErr w:type="spellEnd"/>
      <w:r w:rsidRPr="008B7E70">
        <w:rPr>
          <w:szCs w:val="22"/>
        </w:rPr>
        <w:t>/Secretary:</w:t>
      </w:r>
      <w:r w:rsidRPr="008B7E70">
        <w:rPr>
          <w:szCs w:val="22"/>
        </w:rPr>
        <w:tab/>
        <w:t>Wend WENDLAND</w:t>
      </w:r>
      <w:r w:rsidR="009F2115">
        <w:rPr>
          <w:szCs w:val="22"/>
        </w:rPr>
        <w:t xml:space="preserve"> (M</w:t>
      </w:r>
      <w:proofErr w:type="gramStart"/>
      <w:r w:rsidR="009F2115">
        <w:rPr>
          <w:szCs w:val="22"/>
        </w:rPr>
        <w:t>./</w:t>
      </w:r>
      <w:proofErr w:type="gramEnd"/>
      <w:r w:rsidR="009F2115">
        <w:rPr>
          <w:szCs w:val="22"/>
        </w:rPr>
        <w:t>Mr.)</w:t>
      </w:r>
      <w:r w:rsidRPr="008B7E70">
        <w:rPr>
          <w:szCs w:val="22"/>
        </w:rPr>
        <w:t xml:space="preserve"> </w:t>
      </w:r>
      <w:r w:rsidRPr="00CE0690">
        <w:rPr>
          <w:szCs w:val="22"/>
        </w:rPr>
        <w:t>(OMPI/WIPO)</w:t>
      </w:r>
    </w:p>
    <w:p w:rsidR="008B7E70" w:rsidRPr="00CE0690" w:rsidRDefault="008B7E70" w:rsidP="008B7E70">
      <w:pPr>
        <w:rPr>
          <w:szCs w:val="22"/>
        </w:rPr>
      </w:pPr>
    </w:p>
    <w:p w:rsidR="008B7E70" w:rsidRPr="00CE0690" w:rsidRDefault="008B7E70" w:rsidP="008B7E70">
      <w:pPr>
        <w:rPr>
          <w:szCs w:val="22"/>
        </w:rPr>
      </w:pPr>
    </w:p>
    <w:p w:rsidR="008B7E70" w:rsidRPr="00CE0690" w:rsidRDefault="008B7E70" w:rsidP="008B7E70">
      <w:pPr>
        <w:rPr>
          <w:szCs w:val="22"/>
        </w:rPr>
      </w:pPr>
    </w:p>
    <w:p w:rsidR="008B7E70" w:rsidRPr="00CE0690" w:rsidRDefault="008B7E70" w:rsidP="008B7E70">
      <w:pPr>
        <w:rPr>
          <w:szCs w:val="22"/>
        </w:rPr>
      </w:pPr>
    </w:p>
    <w:p w:rsidR="00AE60F1" w:rsidRPr="00CE0690" w:rsidRDefault="00AE60F1">
      <w:pPr>
        <w:rPr>
          <w:szCs w:val="22"/>
        </w:rPr>
      </w:pPr>
      <w:r w:rsidRPr="00CE0690">
        <w:rPr>
          <w:szCs w:val="22"/>
        </w:rPr>
        <w:br w:type="page"/>
      </w:r>
    </w:p>
    <w:p w:rsidR="008B7E70" w:rsidRPr="00CE0690" w:rsidRDefault="008B7E70" w:rsidP="00AE60F1">
      <w:pPr>
        <w:ind w:left="450" w:hanging="450"/>
        <w:rPr>
          <w:szCs w:val="22"/>
        </w:rPr>
      </w:pPr>
      <w:r w:rsidRPr="00CE0690">
        <w:rPr>
          <w:szCs w:val="22"/>
        </w:rPr>
        <w:lastRenderedPageBreak/>
        <w:t>VII</w:t>
      </w:r>
      <w:proofErr w:type="gramStart"/>
      <w:r w:rsidR="00AE1D54" w:rsidRPr="00CE0690">
        <w:rPr>
          <w:szCs w:val="22"/>
        </w:rPr>
        <w:t xml:space="preserve">.  </w:t>
      </w:r>
      <w:r w:rsidRPr="00CE0690">
        <w:rPr>
          <w:szCs w:val="22"/>
          <w:u w:val="single"/>
        </w:rPr>
        <w:t>BUREAU</w:t>
      </w:r>
      <w:proofErr w:type="gramEnd"/>
      <w:r w:rsidRPr="00CE0690">
        <w:rPr>
          <w:szCs w:val="22"/>
          <w:u w:val="single"/>
        </w:rPr>
        <w:t xml:space="preserve"> INTERNATIONAL DE L’ORGANISATION MONDIALE</w:t>
      </w:r>
      <w:r w:rsidRPr="00CE0690">
        <w:rPr>
          <w:szCs w:val="22"/>
          <w:u w:val="single"/>
        </w:rPr>
        <w:br/>
        <w:t>DE LA PROPRIÉTÉ INTELLECTUELLE (OMPI)/</w:t>
      </w:r>
      <w:r w:rsidRPr="00CE0690">
        <w:rPr>
          <w:szCs w:val="22"/>
          <w:u w:val="single"/>
        </w:rPr>
        <w:br/>
        <w:t>INTERNATIONAL BUREAU OF THE</w:t>
      </w:r>
      <w:r w:rsidR="00D85015" w:rsidRPr="00CE0690">
        <w:rPr>
          <w:szCs w:val="22"/>
          <w:u w:val="single"/>
        </w:rPr>
        <w:t xml:space="preserve"> </w:t>
      </w:r>
      <w:r w:rsidRPr="00CE0690">
        <w:rPr>
          <w:szCs w:val="22"/>
          <w:u w:val="single"/>
        </w:rPr>
        <w:br/>
        <w:t>WORLD INTELLECTUAL PROPERTY ORGANIZATION (WIPO)</w:t>
      </w:r>
    </w:p>
    <w:p w:rsidR="008B7E70" w:rsidRPr="00CE0690" w:rsidRDefault="008B7E70" w:rsidP="003F6250">
      <w:pPr>
        <w:rPr>
          <w:caps/>
          <w:noProof/>
          <w:szCs w:val="22"/>
        </w:rPr>
      </w:pPr>
    </w:p>
    <w:p w:rsidR="008D6686" w:rsidRPr="00CE0690" w:rsidRDefault="008D6686" w:rsidP="003F6250">
      <w:pPr>
        <w:rPr>
          <w:caps/>
          <w:noProof/>
          <w:szCs w:val="22"/>
        </w:rPr>
      </w:pPr>
    </w:p>
    <w:p w:rsidR="00AE60F1" w:rsidRPr="00CF500F" w:rsidRDefault="00AE60F1" w:rsidP="00AE60F1">
      <w:pPr>
        <w:rPr>
          <w:rFonts w:eastAsia="Times New Roman"/>
          <w:szCs w:val="22"/>
          <w:lang w:eastAsia="en-US"/>
        </w:rPr>
      </w:pPr>
      <w:r w:rsidRPr="00CF500F">
        <w:rPr>
          <w:rFonts w:eastAsia="Times New Roman"/>
          <w:szCs w:val="22"/>
          <w:lang w:eastAsia="en-US"/>
        </w:rPr>
        <w:t>Francis GURRY (M</w:t>
      </w:r>
      <w:proofErr w:type="gramStart"/>
      <w:r w:rsidRPr="00CF500F">
        <w:rPr>
          <w:rFonts w:eastAsia="Times New Roman"/>
          <w:szCs w:val="22"/>
          <w:lang w:eastAsia="en-US"/>
        </w:rPr>
        <w:t>./</w:t>
      </w:r>
      <w:proofErr w:type="gramEnd"/>
      <w:r w:rsidRPr="00CF500F">
        <w:rPr>
          <w:rFonts w:eastAsia="Times New Roman"/>
          <w:szCs w:val="22"/>
          <w:lang w:eastAsia="en-US"/>
        </w:rPr>
        <w:t xml:space="preserve">Mr.), </w:t>
      </w:r>
      <w:proofErr w:type="spellStart"/>
      <w:r w:rsidRPr="00CF500F">
        <w:rPr>
          <w:rFonts w:eastAsia="Times New Roman"/>
          <w:szCs w:val="22"/>
          <w:lang w:eastAsia="en-US"/>
        </w:rPr>
        <w:t>directeur</w:t>
      </w:r>
      <w:proofErr w:type="spellEnd"/>
      <w:r w:rsidRPr="00CF500F">
        <w:rPr>
          <w:rFonts w:eastAsia="Times New Roman"/>
          <w:szCs w:val="22"/>
          <w:lang w:eastAsia="en-US"/>
        </w:rPr>
        <w:t xml:space="preserve"> </w:t>
      </w:r>
      <w:proofErr w:type="spellStart"/>
      <w:r w:rsidRPr="00CF500F">
        <w:rPr>
          <w:rFonts w:eastAsia="Times New Roman"/>
          <w:szCs w:val="22"/>
          <w:lang w:eastAsia="en-US"/>
        </w:rPr>
        <w:t>général</w:t>
      </w:r>
      <w:proofErr w:type="spellEnd"/>
      <w:r w:rsidRPr="00CF500F">
        <w:rPr>
          <w:rFonts w:eastAsia="Times New Roman"/>
          <w:szCs w:val="22"/>
          <w:lang w:eastAsia="en-US"/>
        </w:rPr>
        <w:t>/Director General</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Minelik Alemu GETAHUN (M</w:t>
      </w:r>
      <w:proofErr w:type="gramStart"/>
      <w:r w:rsidRPr="00CF500F">
        <w:rPr>
          <w:rFonts w:eastAsia="Times New Roman"/>
          <w:szCs w:val="22"/>
          <w:lang w:eastAsia="en-US"/>
        </w:rPr>
        <w:t>./</w:t>
      </w:r>
      <w:proofErr w:type="gramEnd"/>
      <w:r w:rsidRPr="00CF500F">
        <w:rPr>
          <w:rFonts w:eastAsia="Times New Roman"/>
          <w:szCs w:val="22"/>
          <w:lang w:eastAsia="en-US"/>
        </w:rPr>
        <w:t>Mr.),</w:t>
      </w:r>
      <w:r w:rsidRPr="00CF500F">
        <w:rPr>
          <w:rFonts w:eastAsia="Times New Roman"/>
          <w:bCs/>
          <w:szCs w:val="22"/>
          <w:lang w:eastAsia="en-US"/>
        </w:rPr>
        <w:t xml:space="preserve"> sous-</w:t>
      </w:r>
      <w:proofErr w:type="spellStart"/>
      <w:r w:rsidRPr="00CF500F">
        <w:rPr>
          <w:rFonts w:eastAsia="Times New Roman"/>
          <w:bCs/>
          <w:szCs w:val="22"/>
          <w:lang w:eastAsia="en-US"/>
        </w:rPr>
        <w:t>directeur</w:t>
      </w:r>
      <w:proofErr w:type="spellEnd"/>
      <w:r w:rsidRPr="00CF500F">
        <w:rPr>
          <w:rFonts w:eastAsia="Times New Roman"/>
          <w:bCs/>
          <w:szCs w:val="22"/>
          <w:lang w:eastAsia="en-US"/>
        </w:rPr>
        <w:t xml:space="preserve"> </w:t>
      </w:r>
      <w:proofErr w:type="spellStart"/>
      <w:r w:rsidRPr="00CF500F">
        <w:rPr>
          <w:rFonts w:eastAsia="Times New Roman"/>
          <w:bCs/>
          <w:szCs w:val="22"/>
          <w:lang w:eastAsia="en-US"/>
        </w:rPr>
        <w:t>général</w:t>
      </w:r>
      <w:proofErr w:type="spellEnd"/>
      <w:r w:rsidRPr="00CF500F">
        <w:rPr>
          <w:rFonts w:eastAsia="Times New Roman"/>
          <w:bCs/>
          <w:szCs w:val="22"/>
          <w:lang w:eastAsia="en-US"/>
        </w:rPr>
        <w:t>/</w:t>
      </w:r>
      <w:r w:rsidRPr="00CF500F">
        <w:rPr>
          <w:rFonts w:eastAsia="Times New Roman"/>
          <w:szCs w:val="22"/>
          <w:lang w:eastAsia="en-US"/>
        </w:rPr>
        <w:t>Assistant Director General</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Edward KWAKWA (M</w:t>
      </w:r>
      <w:proofErr w:type="gramStart"/>
      <w:r w:rsidRPr="00CF500F">
        <w:rPr>
          <w:rFonts w:eastAsia="Times New Roman"/>
          <w:szCs w:val="22"/>
          <w:lang w:eastAsia="en-US"/>
        </w:rPr>
        <w:t>./</w:t>
      </w:r>
      <w:proofErr w:type="gramEnd"/>
      <w:r w:rsidRPr="00CF500F">
        <w:rPr>
          <w:rFonts w:eastAsia="Times New Roman"/>
          <w:szCs w:val="22"/>
          <w:lang w:eastAsia="en-US"/>
        </w:rPr>
        <w:t xml:space="preserve">Mr.), </w:t>
      </w:r>
      <w:proofErr w:type="spellStart"/>
      <w:r w:rsidRPr="00CF500F">
        <w:rPr>
          <w:rFonts w:eastAsia="Times New Roman"/>
          <w:szCs w:val="22"/>
          <w:lang w:eastAsia="en-US"/>
        </w:rPr>
        <w:t>directeur</w:t>
      </w:r>
      <w:proofErr w:type="spellEnd"/>
      <w:r w:rsidRPr="00CF500F">
        <w:rPr>
          <w:rFonts w:eastAsia="Times New Roman"/>
          <w:szCs w:val="22"/>
          <w:lang w:eastAsia="en-US"/>
        </w:rPr>
        <w:t xml:space="preserve"> principal, </w:t>
      </w:r>
      <w:proofErr w:type="spellStart"/>
      <w:r w:rsidRPr="00CF500F">
        <w:rPr>
          <w:rFonts w:eastAsia="Times New Roman"/>
          <w:szCs w:val="22"/>
          <w:lang w:eastAsia="en-US"/>
        </w:rPr>
        <w:t>Département</w:t>
      </w:r>
      <w:proofErr w:type="spellEnd"/>
      <w:r w:rsidRPr="00CF500F">
        <w:rPr>
          <w:rFonts w:eastAsia="Times New Roman"/>
          <w:szCs w:val="22"/>
          <w:lang w:eastAsia="en-US"/>
        </w:rPr>
        <w:t xml:space="preserve"> des </w:t>
      </w:r>
      <w:proofErr w:type="spellStart"/>
      <w:r w:rsidRPr="00CF500F">
        <w:rPr>
          <w:rFonts w:eastAsia="Times New Roman"/>
          <w:szCs w:val="22"/>
          <w:lang w:eastAsia="en-US"/>
        </w:rPr>
        <w:t>savoirs</w:t>
      </w:r>
      <w:proofErr w:type="spellEnd"/>
      <w:r w:rsidRPr="00CF500F">
        <w:rPr>
          <w:rFonts w:eastAsia="Times New Roman"/>
          <w:szCs w:val="22"/>
          <w:lang w:eastAsia="en-US"/>
        </w:rPr>
        <w:t xml:space="preserve"> </w:t>
      </w:r>
      <w:proofErr w:type="spellStart"/>
      <w:r w:rsidRPr="00CF500F">
        <w:rPr>
          <w:rFonts w:eastAsia="Times New Roman"/>
          <w:szCs w:val="22"/>
          <w:lang w:eastAsia="en-US"/>
        </w:rPr>
        <w:t>traditionnels</w:t>
      </w:r>
      <w:proofErr w:type="spellEnd"/>
      <w:r w:rsidRPr="00CF500F">
        <w:rPr>
          <w:rFonts w:eastAsia="Times New Roman"/>
          <w:szCs w:val="22"/>
          <w:lang w:eastAsia="en-US"/>
        </w:rPr>
        <w:t xml:space="preserve"> et des </w:t>
      </w:r>
      <w:proofErr w:type="spellStart"/>
      <w:r w:rsidRPr="00CF500F">
        <w:rPr>
          <w:rFonts w:eastAsia="Times New Roman"/>
          <w:szCs w:val="22"/>
          <w:lang w:eastAsia="en-US"/>
        </w:rPr>
        <w:t>défis</w:t>
      </w:r>
      <w:proofErr w:type="spellEnd"/>
      <w:r w:rsidRPr="00CF500F">
        <w:rPr>
          <w:rFonts w:eastAsia="Times New Roman"/>
          <w:szCs w:val="22"/>
          <w:lang w:eastAsia="en-US"/>
        </w:rPr>
        <w:t xml:space="preserve"> </w:t>
      </w:r>
      <w:proofErr w:type="spellStart"/>
      <w:r w:rsidRPr="00CF500F">
        <w:rPr>
          <w:rFonts w:eastAsia="Times New Roman"/>
          <w:szCs w:val="22"/>
          <w:lang w:eastAsia="en-US"/>
        </w:rPr>
        <w:t>mondiaux</w:t>
      </w:r>
      <w:proofErr w:type="spellEnd"/>
      <w:r w:rsidRPr="00CF500F">
        <w:rPr>
          <w:rFonts w:eastAsia="Times New Roman"/>
          <w:szCs w:val="22"/>
          <w:lang w:eastAsia="en-US"/>
        </w:rPr>
        <w:t>/Senior Director, Department for Traditional Knowledge and Global Challenges</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Wend WENDLAND (M</w:t>
      </w:r>
      <w:proofErr w:type="gramStart"/>
      <w:r w:rsidRPr="00CF500F">
        <w:rPr>
          <w:rFonts w:eastAsia="Times New Roman"/>
          <w:szCs w:val="22"/>
          <w:lang w:eastAsia="en-US"/>
        </w:rPr>
        <w:t>./</w:t>
      </w:r>
      <w:proofErr w:type="gramEnd"/>
      <w:r w:rsidRPr="00CF500F">
        <w:rPr>
          <w:rFonts w:eastAsia="Times New Roman"/>
          <w:szCs w:val="22"/>
          <w:lang w:eastAsia="en-US"/>
        </w:rPr>
        <w:t xml:space="preserve">Mr.), </w:t>
      </w:r>
      <w:proofErr w:type="spellStart"/>
      <w:r w:rsidRPr="00CF500F">
        <w:rPr>
          <w:rFonts w:eastAsia="Times New Roman"/>
          <w:szCs w:val="22"/>
          <w:lang w:eastAsia="en-US"/>
        </w:rPr>
        <w:t>directeur</w:t>
      </w:r>
      <w:proofErr w:type="spellEnd"/>
      <w:r w:rsidRPr="00CF500F">
        <w:rPr>
          <w:rFonts w:eastAsia="Times New Roman"/>
          <w:szCs w:val="22"/>
          <w:lang w:eastAsia="en-US"/>
        </w:rPr>
        <w:t xml:space="preserve">, Division des </w:t>
      </w:r>
      <w:proofErr w:type="spellStart"/>
      <w:r w:rsidRPr="00CF500F">
        <w:rPr>
          <w:rFonts w:eastAsia="Times New Roman"/>
          <w:szCs w:val="22"/>
          <w:lang w:eastAsia="en-US"/>
        </w:rPr>
        <w:t>savoirs</w:t>
      </w:r>
      <w:proofErr w:type="spellEnd"/>
      <w:r w:rsidRPr="00CF500F">
        <w:rPr>
          <w:rFonts w:eastAsia="Times New Roman"/>
          <w:szCs w:val="22"/>
          <w:lang w:eastAsia="en-US"/>
        </w:rPr>
        <w:t xml:space="preserve"> </w:t>
      </w:r>
      <w:proofErr w:type="spellStart"/>
      <w:r w:rsidRPr="00CF500F">
        <w:rPr>
          <w:rFonts w:eastAsia="Times New Roman"/>
          <w:szCs w:val="22"/>
          <w:lang w:eastAsia="en-US"/>
        </w:rPr>
        <w:t>traditionnels</w:t>
      </w:r>
      <w:proofErr w:type="spellEnd"/>
      <w:r w:rsidRPr="00CF500F">
        <w:rPr>
          <w:rFonts w:eastAsia="Times New Roman"/>
          <w:szCs w:val="22"/>
          <w:lang w:eastAsia="en-US"/>
        </w:rPr>
        <w:t>/Director, Traditional Knowledge Division</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Begoña VENERO AGUIRRE (</w:t>
      </w:r>
      <w:proofErr w:type="spellStart"/>
      <w:r w:rsidRPr="00CF500F">
        <w:rPr>
          <w:rFonts w:eastAsia="Times New Roman"/>
          <w:szCs w:val="22"/>
          <w:lang w:eastAsia="en-US"/>
        </w:rPr>
        <w:t>Mme</w:t>
      </w:r>
      <w:proofErr w:type="spellEnd"/>
      <w:r w:rsidRPr="00CF500F">
        <w:rPr>
          <w:rFonts w:eastAsia="Times New Roman"/>
          <w:szCs w:val="22"/>
          <w:lang w:eastAsia="en-US"/>
        </w:rPr>
        <w:t xml:space="preserve">/Ms.), </w:t>
      </w:r>
      <w:proofErr w:type="spellStart"/>
      <w:r w:rsidRPr="00CF500F">
        <w:rPr>
          <w:rFonts w:eastAsia="Times New Roman"/>
          <w:szCs w:val="22"/>
          <w:lang w:eastAsia="en-US"/>
        </w:rPr>
        <w:t>conseillère</w:t>
      </w:r>
      <w:proofErr w:type="spellEnd"/>
      <w:r w:rsidRPr="00CF500F">
        <w:rPr>
          <w:rFonts w:eastAsia="Times New Roman"/>
          <w:szCs w:val="22"/>
          <w:lang w:eastAsia="en-US"/>
        </w:rPr>
        <w:t xml:space="preserve"> </w:t>
      </w:r>
      <w:proofErr w:type="spellStart"/>
      <w:r w:rsidRPr="00CF500F">
        <w:rPr>
          <w:rFonts w:eastAsia="Times New Roman"/>
          <w:szCs w:val="22"/>
          <w:lang w:eastAsia="en-US"/>
        </w:rPr>
        <w:t>principale</w:t>
      </w:r>
      <w:proofErr w:type="spellEnd"/>
      <w:r w:rsidRPr="00CF500F">
        <w:rPr>
          <w:rFonts w:eastAsia="Times New Roman"/>
          <w:szCs w:val="22"/>
          <w:lang w:eastAsia="en-US"/>
        </w:rPr>
        <w:t xml:space="preserve">, Division des </w:t>
      </w:r>
      <w:proofErr w:type="spellStart"/>
      <w:r w:rsidRPr="00CF500F">
        <w:rPr>
          <w:rFonts w:eastAsia="Times New Roman"/>
          <w:szCs w:val="22"/>
          <w:lang w:eastAsia="en-US"/>
        </w:rPr>
        <w:t>savoirs</w:t>
      </w:r>
      <w:proofErr w:type="spellEnd"/>
      <w:r w:rsidRPr="00CF500F">
        <w:rPr>
          <w:rFonts w:eastAsia="Times New Roman"/>
          <w:szCs w:val="22"/>
          <w:lang w:eastAsia="en-US"/>
        </w:rPr>
        <w:t xml:space="preserve"> </w:t>
      </w:r>
      <w:proofErr w:type="spellStart"/>
      <w:r w:rsidRPr="00CF500F">
        <w:rPr>
          <w:rFonts w:eastAsia="Times New Roman"/>
          <w:szCs w:val="22"/>
          <w:lang w:eastAsia="en-US"/>
        </w:rPr>
        <w:t>traditionnels</w:t>
      </w:r>
      <w:proofErr w:type="spellEnd"/>
      <w:r w:rsidRPr="00CF500F">
        <w:rPr>
          <w:rFonts w:eastAsia="Times New Roman"/>
          <w:szCs w:val="22"/>
          <w:lang w:eastAsia="en-US"/>
        </w:rPr>
        <w:t>/Senior Counsellor, Traditional Knowledge Division</w:t>
      </w:r>
    </w:p>
    <w:p w:rsidR="00AE60F1" w:rsidRPr="00CF500F" w:rsidRDefault="00AE60F1" w:rsidP="00AE60F1">
      <w:pPr>
        <w:rPr>
          <w:rFonts w:eastAsia="Times New Roman"/>
          <w:szCs w:val="22"/>
          <w:lang w:eastAsia="en-US"/>
        </w:rPr>
      </w:pPr>
    </w:p>
    <w:p w:rsidR="00AE60F1" w:rsidRPr="00F82A40" w:rsidRDefault="00AE60F1" w:rsidP="00AE60F1">
      <w:pPr>
        <w:rPr>
          <w:rFonts w:eastAsia="Times New Roman"/>
          <w:szCs w:val="22"/>
          <w:lang w:eastAsia="en-US"/>
        </w:rPr>
      </w:pPr>
      <w:r w:rsidRPr="00F82A40">
        <w:rPr>
          <w:rFonts w:eastAsia="Times New Roman"/>
          <w:szCs w:val="22"/>
          <w:lang w:eastAsia="en-US"/>
        </w:rPr>
        <w:t>Shakeel BHATTI (M</w:t>
      </w:r>
      <w:proofErr w:type="gramStart"/>
      <w:r w:rsidRPr="00F82A40">
        <w:rPr>
          <w:rFonts w:eastAsia="Times New Roman"/>
          <w:szCs w:val="22"/>
          <w:lang w:eastAsia="en-US"/>
        </w:rPr>
        <w:t>./</w:t>
      </w:r>
      <w:proofErr w:type="gramEnd"/>
      <w:r w:rsidRPr="00F82A40">
        <w:rPr>
          <w:rFonts w:eastAsia="Times New Roman"/>
          <w:szCs w:val="22"/>
          <w:lang w:eastAsia="en-US"/>
        </w:rPr>
        <w:t xml:space="preserve">Mr.), </w:t>
      </w:r>
      <w:proofErr w:type="spellStart"/>
      <w:r w:rsidRPr="00F82A40">
        <w:rPr>
          <w:rFonts w:eastAsia="Times New Roman"/>
          <w:szCs w:val="22"/>
          <w:lang w:eastAsia="en-US"/>
        </w:rPr>
        <w:t>conseiller</w:t>
      </w:r>
      <w:proofErr w:type="spellEnd"/>
      <w:r w:rsidRPr="00F82A40">
        <w:rPr>
          <w:rFonts w:eastAsia="Times New Roman"/>
          <w:szCs w:val="22"/>
          <w:lang w:eastAsia="en-US"/>
        </w:rPr>
        <w:t xml:space="preserve">, Division des </w:t>
      </w:r>
      <w:proofErr w:type="spellStart"/>
      <w:r w:rsidRPr="00F82A40">
        <w:rPr>
          <w:rFonts w:eastAsia="Times New Roman"/>
          <w:szCs w:val="22"/>
          <w:lang w:eastAsia="en-US"/>
        </w:rPr>
        <w:t>savoirs</w:t>
      </w:r>
      <w:proofErr w:type="spellEnd"/>
      <w:r w:rsidRPr="00F82A40">
        <w:rPr>
          <w:rFonts w:eastAsia="Times New Roman"/>
          <w:szCs w:val="22"/>
          <w:lang w:eastAsia="en-US"/>
        </w:rPr>
        <w:t xml:space="preserve"> </w:t>
      </w:r>
      <w:proofErr w:type="spellStart"/>
      <w:r w:rsidRPr="00F82A40">
        <w:rPr>
          <w:rFonts w:eastAsia="Times New Roman"/>
          <w:szCs w:val="22"/>
          <w:lang w:eastAsia="en-US"/>
        </w:rPr>
        <w:t>traditionnels</w:t>
      </w:r>
      <w:proofErr w:type="spellEnd"/>
      <w:r w:rsidRPr="00F82A40">
        <w:rPr>
          <w:rFonts w:eastAsia="Times New Roman"/>
          <w:szCs w:val="22"/>
          <w:lang w:eastAsia="en-US"/>
        </w:rPr>
        <w:t>/Counsellor, Traditional Knowledge Division</w:t>
      </w:r>
    </w:p>
    <w:p w:rsidR="00AE60F1" w:rsidRPr="00F82A40" w:rsidRDefault="00AE60F1" w:rsidP="00AE60F1">
      <w:pPr>
        <w:rPr>
          <w:rFonts w:eastAsia="Times New Roman"/>
          <w:szCs w:val="22"/>
          <w:lang w:eastAsia="en-US"/>
        </w:rPr>
      </w:pPr>
    </w:p>
    <w:p w:rsidR="00AE60F1" w:rsidRPr="00F82A40" w:rsidRDefault="00AE60F1" w:rsidP="00AE60F1">
      <w:pPr>
        <w:rPr>
          <w:rFonts w:eastAsia="Times New Roman"/>
          <w:szCs w:val="22"/>
          <w:lang w:eastAsia="en-US"/>
        </w:rPr>
      </w:pPr>
      <w:r w:rsidRPr="00F82A40">
        <w:rPr>
          <w:rFonts w:eastAsia="Times New Roman"/>
          <w:szCs w:val="22"/>
          <w:lang w:eastAsia="en-US"/>
        </w:rPr>
        <w:t>Simon LEGRAND (M</w:t>
      </w:r>
      <w:proofErr w:type="gramStart"/>
      <w:r w:rsidRPr="00F82A40">
        <w:rPr>
          <w:rFonts w:eastAsia="Times New Roman"/>
          <w:szCs w:val="22"/>
          <w:lang w:eastAsia="en-US"/>
        </w:rPr>
        <w:t>./</w:t>
      </w:r>
      <w:proofErr w:type="gramEnd"/>
      <w:r w:rsidRPr="00F82A40">
        <w:rPr>
          <w:rFonts w:eastAsia="Times New Roman"/>
          <w:szCs w:val="22"/>
          <w:lang w:eastAsia="en-US"/>
        </w:rPr>
        <w:t xml:space="preserve">Mr.), </w:t>
      </w:r>
      <w:proofErr w:type="spellStart"/>
      <w:r w:rsidRPr="00F82A40">
        <w:rPr>
          <w:rFonts w:eastAsia="Times New Roman"/>
          <w:szCs w:val="22"/>
          <w:lang w:eastAsia="en-US"/>
        </w:rPr>
        <w:t>conseiller</w:t>
      </w:r>
      <w:proofErr w:type="spellEnd"/>
      <w:r w:rsidRPr="00F82A40">
        <w:rPr>
          <w:rFonts w:eastAsia="Times New Roman"/>
          <w:szCs w:val="22"/>
          <w:lang w:eastAsia="en-US"/>
        </w:rPr>
        <w:t xml:space="preserve">, Division des </w:t>
      </w:r>
      <w:proofErr w:type="spellStart"/>
      <w:r w:rsidRPr="00F82A40">
        <w:rPr>
          <w:rFonts w:eastAsia="Times New Roman"/>
          <w:szCs w:val="22"/>
          <w:lang w:eastAsia="en-US"/>
        </w:rPr>
        <w:t>savoirs</w:t>
      </w:r>
      <w:proofErr w:type="spellEnd"/>
      <w:r w:rsidRPr="00F82A40">
        <w:rPr>
          <w:rFonts w:eastAsia="Times New Roman"/>
          <w:szCs w:val="22"/>
          <w:lang w:eastAsia="en-US"/>
        </w:rPr>
        <w:t xml:space="preserve"> </w:t>
      </w:r>
      <w:proofErr w:type="spellStart"/>
      <w:r w:rsidRPr="00F82A40">
        <w:rPr>
          <w:rFonts w:eastAsia="Times New Roman"/>
          <w:szCs w:val="22"/>
          <w:lang w:eastAsia="en-US"/>
        </w:rPr>
        <w:t>traditionnels</w:t>
      </w:r>
      <w:proofErr w:type="spellEnd"/>
      <w:r w:rsidRPr="00F82A40">
        <w:rPr>
          <w:rFonts w:eastAsia="Times New Roman"/>
          <w:szCs w:val="22"/>
          <w:lang w:eastAsia="en-US"/>
        </w:rPr>
        <w:t>/Counsellor, Traditional Knowledge Division</w:t>
      </w:r>
    </w:p>
    <w:p w:rsidR="00AE60F1" w:rsidRPr="00F82A40" w:rsidRDefault="00AE60F1" w:rsidP="00AE60F1">
      <w:pPr>
        <w:rPr>
          <w:rFonts w:eastAsia="Times New Roman"/>
          <w:szCs w:val="22"/>
          <w:lang w:eastAsia="en-US"/>
        </w:rPr>
      </w:pPr>
    </w:p>
    <w:p w:rsidR="00AE60F1" w:rsidRPr="00AE60F1" w:rsidRDefault="00AE60F1" w:rsidP="00AE60F1">
      <w:pPr>
        <w:rPr>
          <w:rFonts w:eastAsia="Times New Roman"/>
          <w:szCs w:val="22"/>
          <w:lang w:val="fr-FR" w:eastAsia="en-US"/>
        </w:rPr>
      </w:pPr>
      <w:r w:rsidRPr="00AE60F1">
        <w:rPr>
          <w:rFonts w:eastAsia="Times New Roman"/>
          <w:szCs w:val="22"/>
          <w:lang w:val="fr-FR" w:eastAsia="en-US"/>
        </w:rPr>
        <w:t>Daphne ZOGRAFOS JOHNSSON (Mme/Ms.), juriste, Division des savoirs traditionnels/</w:t>
      </w:r>
      <w:proofErr w:type="spellStart"/>
      <w:r w:rsidRPr="00AE60F1">
        <w:rPr>
          <w:rFonts w:eastAsia="Times New Roman"/>
          <w:szCs w:val="22"/>
          <w:lang w:val="fr-FR" w:eastAsia="en-US"/>
        </w:rPr>
        <w:t>Legal</w:t>
      </w:r>
      <w:proofErr w:type="spellEnd"/>
      <w:r w:rsidRPr="00AE60F1">
        <w:rPr>
          <w:rFonts w:eastAsia="Times New Roman"/>
          <w:szCs w:val="22"/>
          <w:lang w:val="fr-FR" w:eastAsia="en-US"/>
        </w:rPr>
        <w:t xml:space="preserve"> </w:t>
      </w:r>
      <w:proofErr w:type="spellStart"/>
      <w:r w:rsidRPr="00AE60F1">
        <w:rPr>
          <w:rFonts w:eastAsia="Times New Roman"/>
          <w:szCs w:val="22"/>
          <w:lang w:val="fr-FR" w:eastAsia="en-US"/>
        </w:rPr>
        <w:t>Officer</w:t>
      </w:r>
      <w:proofErr w:type="spellEnd"/>
      <w:r w:rsidRPr="00AE60F1">
        <w:rPr>
          <w:rFonts w:eastAsia="Times New Roman"/>
          <w:szCs w:val="22"/>
          <w:lang w:val="fr-FR" w:eastAsia="en-US"/>
        </w:rPr>
        <w:t>, Traditional Knowledge Division</w:t>
      </w:r>
    </w:p>
    <w:p w:rsidR="00AE60F1" w:rsidRPr="00AE60F1" w:rsidRDefault="00AE60F1" w:rsidP="00AE60F1">
      <w:pPr>
        <w:rPr>
          <w:rFonts w:eastAsia="Times New Roman"/>
          <w:szCs w:val="22"/>
          <w:lang w:val="fr-FR" w:eastAsia="en-US"/>
        </w:rPr>
      </w:pPr>
    </w:p>
    <w:p w:rsidR="00AE60F1" w:rsidRPr="00AE60F1" w:rsidRDefault="00AE60F1" w:rsidP="00AE60F1">
      <w:pPr>
        <w:rPr>
          <w:rFonts w:eastAsia="Times New Roman"/>
          <w:szCs w:val="22"/>
          <w:lang w:val="fr-FR" w:eastAsia="en-US"/>
        </w:rPr>
      </w:pPr>
      <w:r w:rsidRPr="00AE60F1">
        <w:rPr>
          <w:rFonts w:eastAsia="Times New Roman"/>
          <w:szCs w:val="22"/>
          <w:lang w:val="fr-FR" w:eastAsia="en-US"/>
        </w:rPr>
        <w:t xml:space="preserve">Fei JIAO (Mlle/Ms.), administratrice adjointe de programme, Division des savoirs traditionnels/Assistant Program </w:t>
      </w:r>
      <w:proofErr w:type="spellStart"/>
      <w:r w:rsidRPr="00AE60F1">
        <w:rPr>
          <w:rFonts w:eastAsia="Times New Roman"/>
          <w:szCs w:val="22"/>
          <w:lang w:val="fr-FR" w:eastAsia="en-US"/>
        </w:rPr>
        <w:t>Officer</w:t>
      </w:r>
      <w:proofErr w:type="spellEnd"/>
      <w:r w:rsidRPr="00AE60F1">
        <w:rPr>
          <w:rFonts w:eastAsia="Times New Roman"/>
          <w:szCs w:val="22"/>
          <w:lang w:val="fr-FR" w:eastAsia="en-US"/>
        </w:rPr>
        <w:t>, Traditional Knowledge Division</w:t>
      </w:r>
    </w:p>
    <w:p w:rsidR="00AE60F1" w:rsidRPr="00AE60F1" w:rsidRDefault="00AE60F1" w:rsidP="00AE60F1">
      <w:pPr>
        <w:rPr>
          <w:rFonts w:eastAsia="Times New Roman"/>
          <w:szCs w:val="22"/>
          <w:lang w:val="fr-FR" w:eastAsia="en-US"/>
        </w:rPr>
      </w:pPr>
    </w:p>
    <w:p w:rsidR="00AE60F1" w:rsidRPr="00AE60F1" w:rsidRDefault="00AE60F1" w:rsidP="00AE60F1">
      <w:pPr>
        <w:rPr>
          <w:rFonts w:eastAsia="Times New Roman"/>
          <w:szCs w:val="22"/>
          <w:lang w:val="fr-FR" w:eastAsia="en-US"/>
        </w:rPr>
      </w:pPr>
      <w:r w:rsidRPr="00AE60F1">
        <w:rPr>
          <w:rFonts w:eastAsia="Times New Roman"/>
          <w:szCs w:val="22"/>
          <w:lang w:val="fr-FR" w:eastAsia="en-US"/>
        </w:rPr>
        <w:t>Kiri TOKI (Mlle/Ms.), boursier à l’intention des peuples autochtones, Division des savoirs traditionnels/</w:t>
      </w:r>
      <w:proofErr w:type="spellStart"/>
      <w:r w:rsidRPr="00AE60F1">
        <w:rPr>
          <w:rFonts w:eastAsia="Times New Roman"/>
          <w:szCs w:val="22"/>
          <w:lang w:val="fr-FR" w:eastAsia="en-US"/>
        </w:rPr>
        <w:t>Indigenous</w:t>
      </w:r>
      <w:proofErr w:type="spellEnd"/>
      <w:r w:rsidRPr="00AE60F1">
        <w:rPr>
          <w:rFonts w:eastAsia="Times New Roman"/>
          <w:szCs w:val="22"/>
          <w:lang w:val="fr-FR" w:eastAsia="en-US"/>
        </w:rPr>
        <w:t xml:space="preserve"> </w:t>
      </w:r>
      <w:proofErr w:type="spellStart"/>
      <w:r w:rsidRPr="00AE60F1">
        <w:rPr>
          <w:rFonts w:eastAsia="Times New Roman"/>
          <w:szCs w:val="22"/>
          <w:lang w:val="fr-FR" w:eastAsia="en-US"/>
        </w:rPr>
        <w:t>Fellow</w:t>
      </w:r>
      <w:proofErr w:type="spellEnd"/>
      <w:r w:rsidRPr="00AE60F1">
        <w:rPr>
          <w:rFonts w:eastAsia="Times New Roman"/>
          <w:szCs w:val="22"/>
          <w:lang w:val="fr-FR" w:eastAsia="en-US"/>
        </w:rPr>
        <w:t>, Traditional Knowledge Division</w:t>
      </w:r>
    </w:p>
    <w:p w:rsidR="00AE60F1" w:rsidRPr="00AE60F1" w:rsidRDefault="00AE60F1" w:rsidP="00AE60F1">
      <w:pPr>
        <w:rPr>
          <w:rFonts w:eastAsia="Times New Roman"/>
          <w:szCs w:val="22"/>
          <w:lang w:val="fr-FR" w:eastAsia="en-US"/>
        </w:rPr>
      </w:pPr>
    </w:p>
    <w:p w:rsidR="008D6686" w:rsidRPr="00180D49" w:rsidRDefault="008D6686" w:rsidP="008D6686">
      <w:pPr>
        <w:rPr>
          <w:rFonts w:eastAsia="Times New Roman"/>
          <w:szCs w:val="22"/>
          <w:lang w:val="fr-FR" w:eastAsia="en-US"/>
        </w:rPr>
      </w:pPr>
    </w:p>
    <w:p w:rsidR="008D6686" w:rsidRPr="00180D49" w:rsidRDefault="008D6686" w:rsidP="008D6686">
      <w:pPr>
        <w:rPr>
          <w:rFonts w:eastAsia="Times New Roman"/>
          <w:szCs w:val="22"/>
          <w:lang w:val="fr-FR" w:eastAsia="en-US"/>
        </w:rPr>
      </w:pPr>
    </w:p>
    <w:p w:rsidR="008D6686" w:rsidRPr="008D6686" w:rsidRDefault="009947B4" w:rsidP="008D6686">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[End of Annex</w:t>
      </w:r>
      <w:r w:rsidR="008D6686" w:rsidRPr="008D6686">
        <w:rPr>
          <w:rFonts w:eastAsia="Times New Roman" w:cs="Times New Roman"/>
          <w:szCs w:val="22"/>
          <w:lang w:eastAsia="en-US"/>
        </w:rPr>
        <w:t xml:space="preserve"> and of document]</w:t>
      </w:r>
    </w:p>
    <w:p w:rsidR="003F6250" w:rsidRPr="00A64501" w:rsidRDefault="003F6250" w:rsidP="003F6250"/>
    <w:sectPr w:rsidR="003F6250" w:rsidRPr="00A64501" w:rsidSect="001955BB">
      <w:headerReference w:type="default" r:id="rId15"/>
      <w:pgSz w:w="11907" w:h="16839" w:code="9"/>
      <w:pgMar w:top="1440" w:right="1138" w:bottom="1440" w:left="1411" w:header="706" w:footer="706"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0C" w:rsidRDefault="00B83A0C">
      <w:r>
        <w:separator/>
      </w:r>
    </w:p>
  </w:endnote>
  <w:endnote w:type="continuationSeparator" w:id="0">
    <w:p w:rsidR="00B83A0C" w:rsidRDefault="00B83A0C" w:rsidP="003B38C1">
      <w:r>
        <w:separator/>
      </w:r>
    </w:p>
    <w:p w:rsidR="00B83A0C" w:rsidRPr="003B38C1" w:rsidRDefault="00B83A0C" w:rsidP="003B38C1">
      <w:pPr>
        <w:spacing w:after="60"/>
        <w:rPr>
          <w:sz w:val="17"/>
        </w:rPr>
      </w:pPr>
      <w:r>
        <w:rPr>
          <w:sz w:val="17"/>
        </w:rPr>
        <w:t>[Endnote continued from previous page]</w:t>
      </w:r>
    </w:p>
  </w:endnote>
  <w:endnote w:type="continuationNotice" w:id="1">
    <w:p w:rsidR="00B83A0C" w:rsidRPr="003B38C1" w:rsidRDefault="00B83A0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함초롬바탕">
    <w:altName w:val="Batang"/>
    <w:charset w:val="81"/>
    <w:family w:val="roman"/>
    <w:pitch w:val="variable"/>
    <w:sig w:usb0="F7002EFF" w:usb1="19DFFFFF" w:usb2="001BFDD7" w:usb3="00000000" w:csb0="001F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onaco">
    <w:altName w:val="Courier New"/>
    <w:charset w:val="00"/>
    <w:family w:val="auto"/>
    <w:pitch w:val="variable"/>
    <w:sig w:usb0="A00002FF" w:usb1="500039FB"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0C" w:rsidRDefault="00B83A0C">
      <w:r>
        <w:separator/>
      </w:r>
    </w:p>
  </w:footnote>
  <w:footnote w:type="continuationSeparator" w:id="0">
    <w:p w:rsidR="00B83A0C" w:rsidRDefault="00B83A0C" w:rsidP="008B60B2">
      <w:r>
        <w:separator/>
      </w:r>
    </w:p>
    <w:p w:rsidR="00B83A0C" w:rsidRPr="00ED77FB" w:rsidRDefault="00B83A0C" w:rsidP="008B60B2">
      <w:pPr>
        <w:spacing w:after="60"/>
        <w:rPr>
          <w:sz w:val="17"/>
          <w:szCs w:val="17"/>
        </w:rPr>
      </w:pPr>
      <w:r w:rsidRPr="00ED77FB">
        <w:rPr>
          <w:sz w:val="17"/>
          <w:szCs w:val="17"/>
        </w:rPr>
        <w:t>[Footnote continued from previous page]</w:t>
      </w:r>
    </w:p>
  </w:footnote>
  <w:footnote w:type="continuationNotice" w:id="1">
    <w:p w:rsidR="00B83A0C" w:rsidRPr="00ED77FB" w:rsidRDefault="00B83A0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0C" w:rsidRDefault="00B83A0C" w:rsidP="00477D6B">
    <w:pPr>
      <w:jc w:val="right"/>
    </w:pPr>
    <w:r>
      <w:t>WIPO/GRTKF/IC/31/10 Prov</w:t>
    </w:r>
    <w:r w:rsidRPr="00587B2C">
      <w:t>.</w:t>
    </w:r>
  </w:p>
  <w:p w:rsidR="00B83A0C" w:rsidRDefault="00B83A0C" w:rsidP="00477D6B">
    <w:pPr>
      <w:jc w:val="right"/>
    </w:pPr>
    <w:proofErr w:type="gramStart"/>
    <w:r>
      <w:t>page</w:t>
    </w:r>
    <w:proofErr w:type="gramEnd"/>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0C" w:rsidRDefault="00B83A0C" w:rsidP="000C61C6">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0C" w:rsidRPr="00587B2C" w:rsidRDefault="00B83A0C" w:rsidP="00477D6B">
    <w:pPr>
      <w:jc w:val="right"/>
      <w:rPr>
        <w:lang w:val="fr-FR"/>
      </w:rPr>
    </w:pPr>
    <w:r>
      <w:rPr>
        <w:lang w:val="fr-FR"/>
      </w:rPr>
      <w:t>WIPO/GRTKF/IC/35/10</w:t>
    </w:r>
    <w:r w:rsidRPr="00587B2C">
      <w:rPr>
        <w:lang w:val="fr-FR"/>
      </w:rPr>
      <w:t xml:space="preserve"> </w:t>
    </w:r>
    <w:proofErr w:type="spellStart"/>
    <w:r w:rsidRPr="00587B2C">
      <w:rPr>
        <w:lang w:val="fr-FR"/>
      </w:rPr>
      <w:t>Prov</w:t>
    </w:r>
    <w:proofErr w:type="spellEnd"/>
    <w:r w:rsidRPr="00587B2C">
      <w:rPr>
        <w:lang w:val="fr-FR"/>
      </w:rPr>
      <w:t>.</w:t>
    </w:r>
  </w:p>
  <w:p w:rsidR="00B83A0C" w:rsidRPr="00587B2C" w:rsidRDefault="00B83A0C" w:rsidP="00477D6B">
    <w:pPr>
      <w:jc w:val="right"/>
      <w:rPr>
        <w:lang w:val="fr-FR"/>
      </w:rPr>
    </w:pPr>
    <w:proofErr w:type="gramStart"/>
    <w:r w:rsidRPr="00587B2C">
      <w:rPr>
        <w:lang w:val="fr-FR"/>
      </w:rPr>
      <w:t>page</w:t>
    </w:r>
    <w:proofErr w:type="gramEnd"/>
    <w:r w:rsidRPr="00587B2C">
      <w:rPr>
        <w:lang w:val="fr-FR"/>
      </w:rPr>
      <w:t xml:space="preserve"> </w:t>
    </w:r>
    <w:r>
      <w:fldChar w:fldCharType="begin"/>
    </w:r>
    <w:r>
      <w:instrText xml:space="preserve"> PAGE   \* MERGEFORMAT </w:instrText>
    </w:r>
    <w:r>
      <w:fldChar w:fldCharType="separate"/>
    </w:r>
    <w:r w:rsidR="000F3CCC" w:rsidRPr="000F3CCC">
      <w:rPr>
        <w:bCs/>
        <w:noProof/>
        <w:szCs w:val="22"/>
        <w:lang w:val="fr-FR"/>
      </w:rPr>
      <w:t>66</w:t>
    </w:r>
    <w:r>
      <w:rPr>
        <w:bCs/>
        <w:noProof/>
        <w:szCs w:val="22"/>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0C" w:rsidRDefault="00B83A0C" w:rsidP="00477D6B">
    <w:pPr>
      <w:jc w:val="right"/>
    </w:pPr>
    <w:r>
      <w:t>WIPO/GRTKF/IC/35/10 Prov.</w:t>
    </w:r>
  </w:p>
  <w:p w:rsidR="00B83A0C" w:rsidRDefault="00B83A0C" w:rsidP="00477D6B">
    <w:pPr>
      <w:jc w:val="right"/>
    </w:pPr>
    <w:r>
      <w:t>ANNEX</w:t>
    </w:r>
  </w:p>
  <w:p w:rsidR="00B83A0C" w:rsidRDefault="00B83A0C"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rsidR="00B83A0C" w:rsidRDefault="00B83A0C" w:rsidP="00D85015">
        <w:pPr>
          <w:jc w:val="right"/>
        </w:pPr>
        <w:r>
          <w:t>WIPO/GRTKF/IC/35/10 Prov.</w:t>
        </w:r>
      </w:p>
      <w:p w:rsidR="00B83A0C" w:rsidRDefault="00B83A0C">
        <w:pPr>
          <w:pStyle w:val="Header"/>
          <w:jc w:val="right"/>
        </w:pPr>
        <w:r>
          <w:t xml:space="preserve">Annex, page </w:t>
        </w:r>
        <w:r>
          <w:fldChar w:fldCharType="begin"/>
        </w:r>
        <w:r>
          <w:instrText xml:space="preserve"> PAGE   \* MERGEFORMAT </w:instrText>
        </w:r>
        <w:r>
          <w:fldChar w:fldCharType="separate"/>
        </w:r>
        <w:r w:rsidR="00FE4BC2">
          <w:rPr>
            <w:noProof/>
          </w:rPr>
          <w:t>22</w:t>
        </w:r>
        <w:r>
          <w:rPr>
            <w:noProof/>
          </w:rPr>
          <w:fldChar w:fldCharType="end"/>
        </w:r>
      </w:p>
    </w:sdtContent>
  </w:sdt>
  <w:p w:rsidR="00B83A0C" w:rsidRDefault="00B83A0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4E3"/>
    <w:multiLevelType w:val="hybridMultilevel"/>
    <w:tmpl w:val="6F0CB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D8D3CAE"/>
    <w:multiLevelType w:val="hybridMultilevel"/>
    <w:tmpl w:val="3C120D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35E4A5F"/>
    <w:multiLevelType w:val="hybridMultilevel"/>
    <w:tmpl w:val="9410CE5A"/>
    <w:lvl w:ilvl="0" w:tplc="9B8A80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4363CBC"/>
    <w:multiLevelType w:val="hybridMultilevel"/>
    <w:tmpl w:val="AB14B968"/>
    <w:lvl w:ilvl="0" w:tplc="AF329D22">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392E65AE"/>
    <w:multiLevelType w:val="hybridMultilevel"/>
    <w:tmpl w:val="E2100FA8"/>
    <w:lvl w:ilvl="0" w:tplc="9BE88280">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436AD4"/>
    <w:multiLevelType w:val="hybridMultilevel"/>
    <w:tmpl w:val="1976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DA4F94"/>
    <w:multiLevelType w:val="hybridMultilevel"/>
    <w:tmpl w:val="57E0A2F6"/>
    <w:lvl w:ilvl="0" w:tplc="2C7632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B54631"/>
    <w:multiLevelType w:val="hybridMultilevel"/>
    <w:tmpl w:val="FA42805A"/>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3D2EF3"/>
    <w:multiLevelType w:val="hybridMultilevel"/>
    <w:tmpl w:val="B4B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1"/>
  </w:num>
  <w:num w:numId="2">
    <w:abstractNumId w:val="1"/>
  </w:num>
  <w:num w:numId="3">
    <w:abstractNumId w:val="5"/>
  </w:num>
  <w:num w:numId="4">
    <w:abstractNumId w:val="13"/>
  </w:num>
  <w:num w:numId="5">
    <w:abstractNumId w:val="15"/>
  </w:num>
  <w:num w:numId="6">
    <w:abstractNumId w:val="6"/>
  </w:num>
  <w:num w:numId="7">
    <w:abstractNumId w:val="14"/>
  </w:num>
  <w:num w:numId="8">
    <w:abstractNumId w:val="0"/>
  </w:num>
  <w:num w:numId="9">
    <w:abstractNumId w:val="10"/>
  </w:num>
  <w:num w:numId="10">
    <w:abstractNumId w:val="7"/>
  </w:num>
  <w:num w:numId="1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num>
  <w:num w:numId="13">
    <w:abstractNumId w:val="16"/>
  </w:num>
  <w:num w:numId="14">
    <w:abstractNumId w:val="4"/>
  </w:num>
  <w:num w:numId="15">
    <w:abstractNumId w:val="12"/>
  </w:num>
  <w:num w:numId="16">
    <w:abstractNumId w:val="8"/>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2737"/>
    <w:rsid w:val="000066D4"/>
    <w:rsid w:val="00007111"/>
    <w:rsid w:val="000071B5"/>
    <w:rsid w:val="000073B6"/>
    <w:rsid w:val="000108E4"/>
    <w:rsid w:val="00010C25"/>
    <w:rsid w:val="00013363"/>
    <w:rsid w:val="00013E3F"/>
    <w:rsid w:val="0001432D"/>
    <w:rsid w:val="0001603C"/>
    <w:rsid w:val="00016A0C"/>
    <w:rsid w:val="00016A5B"/>
    <w:rsid w:val="000170D6"/>
    <w:rsid w:val="00017370"/>
    <w:rsid w:val="00020455"/>
    <w:rsid w:val="000259AB"/>
    <w:rsid w:val="00026977"/>
    <w:rsid w:val="0002735E"/>
    <w:rsid w:val="000274E6"/>
    <w:rsid w:val="00030241"/>
    <w:rsid w:val="0003164F"/>
    <w:rsid w:val="000319C3"/>
    <w:rsid w:val="00032384"/>
    <w:rsid w:val="000341CD"/>
    <w:rsid w:val="00037010"/>
    <w:rsid w:val="00037306"/>
    <w:rsid w:val="00042A56"/>
    <w:rsid w:val="00043636"/>
    <w:rsid w:val="00043CAA"/>
    <w:rsid w:val="00044F6D"/>
    <w:rsid w:val="0004503D"/>
    <w:rsid w:val="00046FCA"/>
    <w:rsid w:val="00052A7E"/>
    <w:rsid w:val="00053BDA"/>
    <w:rsid w:val="0005544A"/>
    <w:rsid w:val="00056523"/>
    <w:rsid w:val="00057DCA"/>
    <w:rsid w:val="00060BC5"/>
    <w:rsid w:val="00061E60"/>
    <w:rsid w:val="00063083"/>
    <w:rsid w:val="0006377C"/>
    <w:rsid w:val="00063D7F"/>
    <w:rsid w:val="000642B9"/>
    <w:rsid w:val="00064578"/>
    <w:rsid w:val="00064941"/>
    <w:rsid w:val="00064C88"/>
    <w:rsid w:val="000660D8"/>
    <w:rsid w:val="000664DA"/>
    <w:rsid w:val="00066720"/>
    <w:rsid w:val="00066976"/>
    <w:rsid w:val="00066A18"/>
    <w:rsid w:val="00066BED"/>
    <w:rsid w:val="00067D17"/>
    <w:rsid w:val="000720C2"/>
    <w:rsid w:val="00073285"/>
    <w:rsid w:val="00075432"/>
    <w:rsid w:val="00075B1D"/>
    <w:rsid w:val="00076754"/>
    <w:rsid w:val="00077484"/>
    <w:rsid w:val="00085308"/>
    <w:rsid w:val="0008730B"/>
    <w:rsid w:val="00087CF8"/>
    <w:rsid w:val="000900DC"/>
    <w:rsid w:val="000912F5"/>
    <w:rsid w:val="00093F87"/>
    <w:rsid w:val="00094C89"/>
    <w:rsid w:val="00095257"/>
    <w:rsid w:val="00096810"/>
    <w:rsid w:val="000968ED"/>
    <w:rsid w:val="00096F93"/>
    <w:rsid w:val="000A0C93"/>
    <w:rsid w:val="000A1C56"/>
    <w:rsid w:val="000A34B5"/>
    <w:rsid w:val="000A46FB"/>
    <w:rsid w:val="000A48AC"/>
    <w:rsid w:val="000A5130"/>
    <w:rsid w:val="000A69B3"/>
    <w:rsid w:val="000A6F4C"/>
    <w:rsid w:val="000B1A72"/>
    <w:rsid w:val="000B5403"/>
    <w:rsid w:val="000B5E0C"/>
    <w:rsid w:val="000B71F0"/>
    <w:rsid w:val="000B72B5"/>
    <w:rsid w:val="000C07F0"/>
    <w:rsid w:val="000C19F3"/>
    <w:rsid w:val="000C21DA"/>
    <w:rsid w:val="000C2501"/>
    <w:rsid w:val="000C33F7"/>
    <w:rsid w:val="000C4FE0"/>
    <w:rsid w:val="000C6133"/>
    <w:rsid w:val="000C61C4"/>
    <w:rsid w:val="000C61C6"/>
    <w:rsid w:val="000C6AF1"/>
    <w:rsid w:val="000C6C08"/>
    <w:rsid w:val="000D0021"/>
    <w:rsid w:val="000D0D43"/>
    <w:rsid w:val="000D25D4"/>
    <w:rsid w:val="000D6189"/>
    <w:rsid w:val="000D66C8"/>
    <w:rsid w:val="000D7942"/>
    <w:rsid w:val="000E2193"/>
    <w:rsid w:val="000E344F"/>
    <w:rsid w:val="000E3BAB"/>
    <w:rsid w:val="000E550F"/>
    <w:rsid w:val="000E5DB6"/>
    <w:rsid w:val="000E5DDF"/>
    <w:rsid w:val="000E6477"/>
    <w:rsid w:val="000F17A3"/>
    <w:rsid w:val="000F2F3E"/>
    <w:rsid w:val="000F3CCC"/>
    <w:rsid w:val="000F5973"/>
    <w:rsid w:val="000F5E56"/>
    <w:rsid w:val="000F6584"/>
    <w:rsid w:val="00100100"/>
    <w:rsid w:val="00100129"/>
    <w:rsid w:val="00100896"/>
    <w:rsid w:val="00101667"/>
    <w:rsid w:val="0010361F"/>
    <w:rsid w:val="00103EAD"/>
    <w:rsid w:val="00104D76"/>
    <w:rsid w:val="00105BAA"/>
    <w:rsid w:val="001069DF"/>
    <w:rsid w:val="00106FD5"/>
    <w:rsid w:val="00110769"/>
    <w:rsid w:val="00110ADC"/>
    <w:rsid w:val="001127C6"/>
    <w:rsid w:val="001172E9"/>
    <w:rsid w:val="00121414"/>
    <w:rsid w:val="00125928"/>
    <w:rsid w:val="001267D2"/>
    <w:rsid w:val="001301BE"/>
    <w:rsid w:val="0013195A"/>
    <w:rsid w:val="001319FE"/>
    <w:rsid w:val="00132A65"/>
    <w:rsid w:val="00132D39"/>
    <w:rsid w:val="00133BE2"/>
    <w:rsid w:val="00134400"/>
    <w:rsid w:val="00135475"/>
    <w:rsid w:val="00135BB2"/>
    <w:rsid w:val="00136220"/>
    <w:rsid w:val="001362EE"/>
    <w:rsid w:val="00136422"/>
    <w:rsid w:val="00137029"/>
    <w:rsid w:val="00145408"/>
    <w:rsid w:val="0014730C"/>
    <w:rsid w:val="00147CA4"/>
    <w:rsid w:val="001513D0"/>
    <w:rsid w:val="00151718"/>
    <w:rsid w:val="00153D26"/>
    <w:rsid w:val="00157342"/>
    <w:rsid w:val="00162936"/>
    <w:rsid w:val="0016373E"/>
    <w:rsid w:val="0016441D"/>
    <w:rsid w:val="001667DC"/>
    <w:rsid w:val="00170E9B"/>
    <w:rsid w:val="00171DD9"/>
    <w:rsid w:val="001725B8"/>
    <w:rsid w:val="00176086"/>
    <w:rsid w:val="001765A7"/>
    <w:rsid w:val="0017678A"/>
    <w:rsid w:val="0017791E"/>
    <w:rsid w:val="00177EDE"/>
    <w:rsid w:val="00180D49"/>
    <w:rsid w:val="00181BBF"/>
    <w:rsid w:val="001832A6"/>
    <w:rsid w:val="00183DD2"/>
    <w:rsid w:val="0018420C"/>
    <w:rsid w:val="00186C65"/>
    <w:rsid w:val="00190DFA"/>
    <w:rsid w:val="00191845"/>
    <w:rsid w:val="00192265"/>
    <w:rsid w:val="0019299B"/>
    <w:rsid w:val="001935DE"/>
    <w:rsid w:val="00193C6F"/>
    <w:rsid w:val="00193E0C"/>
    <w:rsid w:val="00194A88"/>
    <w:rsid w:val="00194FB2"/>
    <w:rsid w:val="00195261"/>
    <w:rsid w:val="00195335"/>
    <w:rsid w:val="001955BB"/>
    <w:rsid w:val="0019576D"/>
    <w:rsid w:val="001971ED"/>
    <w:rsid w:val="001A138E"/>
    <w:rsid w:val="001A2D8C"/>
    <w:rsid w:val="001A2FF9"/>
    <w:rsid w:val="001A3B85"/>
    <w:rsid w:val="001A425B"/>
    <w:rsid w:val="001A4C45"/>
    <w:rsid w:val="001A5193"/>
    <w:rsid w:val="001B0B29"/>
    <w:rsid w:val="001B2932"/>
    <w:rsid w:val="001B2DC4"/>
    <w:rsid w:val="001B3F0F"/>
    <w:rsid w:val="001B4CF4"/>
    <w:rsid w:val="001B7EC0"/>
    <w:rsid w:val="001C0D9B"/>
    <w:rsid w:val="001C1BD4"/>
    <w:rsid w:val="001C2C93"/>
    <w:rsid w:val="001C554F"/>
    <w:rsid w:val="001C723A"/>
    <w:rsid w:val="001C7E81"/>
    <w:rsid w:val="001D0AA7"/>
    <w:rsid w:val="001D21E9"/>
    <w:rsid w:val="001D42A7"/>
    <w:rsid w:val="001D67F8"/>
    <w:rsid w:val="001D681F"/>
    <w:rsid w:val="001D70EE"/>
    <w:rsid w:val="001E1401"/>
    <w:rsid w:val="001E1952"/>
    <w:rsid w:val="001E40AE"/>
    <w:rsid w:val="001E5A70"/>
    <w:rsid w:val="001F136F"/>
    <w:rsid w:val="001F2382"/>
    <w:rsid w:val="001F37AC"/>
    <w:rsid w:val="001F49E3"/>
    <w:rsid w:val="001F55EC"/>
    <w:rsid w:val="001F5655"/>
    <w:rsid w:val="001F65AF"/>
    <w:rsid w:val="00201435"/>
    <w:rsid w:val="00202D3C"/>
    <w:rsid w:val="00202DE5"/>
    <w:rsid w:val="0020391D"/>
    <w:rsid w:val="0020587F"/>
    <w:rsid w:val="00205B5F"/>
    <w:rsid w:val="00205BFC"/>
    <w:rsid w:val="00211207"/>
    <w:rsid w:val="002119C4"/>
    <w:rsid w:val="0021451B"/>
    <w:rsid w:val="00215685"/>
    <w:rsid w:val="00220080"/>
    <w:rsid w:val="00220AC3"/>
    <w:rsid w:val="00221721"/>
    <w:rsid w:val="00221B87"/>
    <w:rsid w:val="0022239D"/>
    <w:rsid w:val="00223200"/>
    <w:rsid w:val="00223241"/>
    <w:rsid w:val="002235B9"/>
    <w:rsid w:val="0022372B"/>
    <w:rsid w:val="00223DFB"/>
    <w:rsid w:val="00224655"/>
    <w:rsid w:val="00225584"/>
    <w:rsid w:val="002261AE"/>
    <w:rsid w:val="002317AF"/>
    <w:rsid w:val="00232834"/>
    <w:rsid w:val="00233155"/>
    <w:rsid w:val="00233FA9"/>
    <w:rsid w:val="00233FEC"/>
    <w:rsid w:val="00241BD2"/>
    <w:rsid w:val="00243105"/>
    <w:rsid w:val="002432CC"/>
    <w:rsid w:val="00243AEB"/>
    <w:rsid w:val="0024663E"/>
    <w:rsid w:val="00246C12"/>
    <w:rsid w:val="002479F3"/>
    <w:rsid w:val="0025057D"/>
    <w:rsid w:val="00252F4F"/>
    <w:rsid w:val="00253955"/>
    <w:rsid w:val="002561C7"/>
    <w:rsid w:val="00257AEF"/>
    <w:rsid w:val="002612B8"/>
    <w:rsid w:val="0026147A"/>
    <w:rsid w:val="00261BFC"/>
    <w:rsid w:val="002632E0"/>
    <w:rsid w:val="002634C4"/>
    <w:rsid w:val="00263BBB"/>
    <w:rsid w:val="002645A8"/>
    <w:rsid w:val="00265B05"/>
    <w:rsid w:val="00265C34"/>
    <w:rsid w:val="00266125"/>
    <w:rsid w:val="00266401"/>
    <w:rsid w:val="00266688"/>
    <w:rsid w:val="00266F89"/>
    <w:rsid w:val="00270C12"/>
    <w:rsid w:val="0027376F"/>
    <w:rsid w:val="00276F36"/>
    <w:rsid w:val="00277215"/>
    <w:rsid w:val="00277444"/>
    <w:rsid w:val="002807DC"/>
    <w:rsid w:val="002822AB"/>
    <w:rsid w:val="00285EA7"/>
    <w:rsid w:val="00286808"/>
    <w:rsid w:val="002870B1"/>
    <w:rsid w:val="002875C4"/>
    <w:rsid w:val="00287C93"/>
    <w:rsid w:val="00290803"/>
    <w:rsid w:val="00290EEF"/>
    <w:rsid w:val="002918C6"/>
    <w:rsid w:val="00291A02"/>
    <w:rsid w:val="00292065"/>
    <w:rsid w:val="002928D3"/>
    <w:rsid w:val="00292971"/>
    <w:rsid w:val="00292D5E"/>
    <w:rsid w:val="00295B03"/>
    <w:rsid w:val="0029625D"/>
    <w:rsid w:val="00297CF6"/>
    <w:rsid w:val="00297F28"/>
    <w:rsid w:val="002A300F"/>
    <w:rsid w:val="002A59E8"/>
    <w:rsid w:val="002B0E22"/>
    <w:rsid w:val="002B1D28"/>
    <w:rsid w:val="002B2AC6"/>
    <w:rsid w:val="002B2B48"/>
    <w:rsid w:val="002B394F"/>
    <w:rsid w:val="002B5A10"/>
    <w:rsid w:val="002B7524"/>
    <w:rsid w:val="002C0AFD"/>
    <w:rsid w:val="002C13CC"/>
    <w:rsid w:val="002C1434"/>
    <w:rsid w:val="002C291A"/>
    <w:rsid w:val="002C6FD8"/>
    <w:rsid w:val="002D4D96"/>
    <w:rsid w:val="002E01D8"/>
    <w:rsid w:val="002E2E0E"/>
    <w:rsid w:val="002E5451"/>
    <w:rsid w:val="002E642F"/>
    <w:rsid w:val="002E6A98"/>
    <w:rsid w:val="002E6C3F"/>
    <w:rsid w:val="002E7370"/>
    <w:rsid w:val="002F0F98"/>
    <w:rsid w:val="002F113D"/>
    <w:rsid w:val="002F13FD"/>
    <w:rsid w:val="002F1C1E"/>
    <w:rsid w:val="002F1FE6"/>
    <w:rsid w:val="002F260F"/>
    <w:rsid w:val="002F38A8"/>
    <w:rsid w:val="002F3B8E"/>
    <w:rsid w:val="002F4AEE"/>
    <w:rsid w:val="002F4E68"/>
    <w:rsid w:val="002F6CF1"/>
    <w:rsid w:val="002F7321"/>
    <w:rsid w:val="002F7785"/>
    <w:rsid w:val="0030060D"/>
    <w:rsid w:val="003053EC"/>
    <w:rsid w:val="00306034"/>
    <w:rsid w:val="00310121"/>
    <w:rsid w:val="003109A3"/>
    <w:rsid w:val="003116D5"/>
    <w:rsid w:val="00312077"/>
    <w:rsid w:val="00312F7F"/>
    <w:rsid w:val="00313540"/>
    <w:rsid w:val="00313772"/>
    <w:rsid w:val="00314B1C"/>
    <w:rsid w:val="003161F2"/>
    <w:rsid w:val="00320BD5"/>
    <w:rsid w:val="00321C22"/>
    <w:rsid w:val="0032307C"/>
    <w:rsid w:val="003236B1"/>
    <w:rsid w:val="00326D45"/>
    <w:rsid w:val="00330017"/>
    <w:rsid w:val="00332FEB"/>
    <w:rsid w:val="00333205"/>
    <w:rsid w:val="003342C9"/>
    <w:rsid w:val="00335D4E"/>
    <w:rsid w:val="00336E61"/>
    <w:rsid w:val="003371FF"/>
    <w:rsid w:val="00343577"/>
    <w:rsid w:val="003435BE"/>
    <w:rsid w:val="00343EBF"/>
    <w:rsid w:val="00345715"/>
    <w:rsid w:val="0034634A"/>
    <w:rsid w:val="00347847"/>
    <w:rsid w:val="00347962"/>
    <w:rsid w:val="00350541"/>
    <w:rsid w:val="00353445"/>
    <w:rsid w:val="0035357C"/>
    <w:rsid w:val="003537EA"/>
    <w:rsid w:val="00353BAF"/>
    <w:rsid w:val="003543A5"/>
    <w:rsid w:val="003546FA"/>
    <w:rsid w:val="00354BCB"/>
    <w:rsid w:val="00357814"/>
    <w:rsid w:val="00361450"/>
    <w:rsid w:val="003629C8"/>
    <w:rsid w:val="00365B7B"/>
    <w:rsid w:val="0036605D"/>
    <w:rsid w:val="003672D0"/>
    <w:rsid w:val="003673CF"/>
    <w:rsid w:val="00367B3B"/>
    <w:rsid w:val="003725AC"/>
    <w:rsid w:val="00373192"/>
    <w:rsid w:val="00374C52"/>
    <w:rsid w:val="00376D93"/>
    <w:rsid w:val="00380F14"/>
    <w:rsid w:val="0038107B"/>
    <w:rsid w:val="00381A41"/>
    <w:rsid w:val="00382839"/>
    <w:rsid w:val="003845C1"/>
    <w:rsid w:val="00384DC4"/>
    <w:rsid w:val="00385953"/>
    <w:rsid w:val="00387A80"/>
    <w:rsid w:val="003905DC"/>
    <w:rsid w:val="003906E3"/>
    <w:rsid w:val="00395433"/>
    <w:rsid w:val="00395A2B"/>
    <w:rsid w:val="0039613E"/>
    <w:rsid w:val="003967DF"/>
    <w:rsid w:val="0039684D"/>
    <w:rsid w:val="003970D3"/>
    <w:rsid w:val="00397C28"/>
    <w:rsid w:val="003A0949"/>
    <w:rsid w:val="003A2565"/>
    <w:rsid w:val="003A6F89"/>
    <w:rsid w:val="003B03A8"/>
    <w:rsid w:val="003B0DD8"/>
    <w:rsid w:val="003B0F51"/>
    <w:rsid w:val="003B38C1"/>
    <w:rsid w:val="003B4353"/>
    <w:rsid w:val="003B4B38"/>
    <w:rsid w:val="003B58AB"/>
    <w:rsid w:val="003B5F52"/>
    <w:rsid w:val="003C0039"/>
    <w:rsid w:val="003C2686"/>
    <w:rsid w:val="003C4338"/>
    <w:rsid w:val="003C5FB5"/>
    <w:rsid w:val="003C6636"/>
    <w:rsid w:val="003C6EF6"/>
    <w:rsid w:val="003D44F7"/>
    <w:rsid w:val="003D7057"/>
    <w:rsid w:val="003E0A12"/>
    <w:rsid w:val="003E0C3E"/>
    <w:rsid w:val="003E16FC"/>
    <w:rsid w:val="003E255D"/>
    <w:rsid w:val="003E36F4"/>
    <w:rsid w:val="003E5A84"/>
    <w:rsid w:val="003E6451"/>
    <w:rsid w:val="003E705D"/>
    <w:rsid w:val="003F142C"/>
    <w:rsid w:val="003F19E9"/>
    <w:rsid w:val="003F32E6"/>
    <w:rsid w:val="003F3A07"/>
    <w:rsid w:val="003F4578"/>
    <w:rsid w:val="003F4EAF"/>
    <w:rsid w:val="003F6250"/>
    <w:rsid w:val="003F6454"/>
    <w:rsid w:val="003F6594"/>
    <w:rsid w:val="003F6B97"/>
    <w:rsid w:val="00400A33"/>
    <w:rsid w:val="00400E81"/>
    <w:rsid w:val="00401719"/>
    <w:rsid w:val="00401A3F"/>
    <w:rsid w:val="00401F80"/>
    <w:rsid w:val="00402698"/>
    <w:rsid w:val="004034DD"/>
    <w:rsid w:val="004047B4"/>
    <w:rsid w:val="004109E4"/>
    <w:rsid w:val="00410C79"/>
    <w:rsid w:val="004116A9"/>
    <w:rsid w:val="00411D23"/>
    <w:rsid w:val="00412AA0"/>
    <w:rsid w:val="00412BF5"/>
    <w:rsid w:val="004133DB"/>
    <w:rsid w:val="00414E18"/>
    <w:rsid w:val="004211B2"/>
    <w:rsid w:val="004212A1"/>
    <w:rsid w:val="004215EE"/>
    <w:rsid w:val="00422706"/>
    <w:rsid w:val="0042387B"/>
    <w:rsid w:val="00423E38"/>
    <w:rsid w:val="00423E3E"/>
    <w:rsid w:val="00424138"/>
    <w:rsid w:val="00425CC1"/>
    <w:rsid w:val="004277CF"/>
    <w:rsid w:val="00427AF4"/>
    <w:rsid w:val="004313B2"/>
    <w:rsid w:val="004316A7"/>
    <w:rsid w:val="0043316B"/>
    <w:rsid w:val="0043424E"/>
    <w:rsid w:val="004347FC"/>
    <w:rsid w:val="00434F65"/>
    <w:rsid w:val="0043565E"/>
    <w:rsid w:val="00436C94"/>
    <w:rsid w:val="004429CE"/>
    <w:rsid w:val="004430FF"/>
    <w:rsid w:val="004436A8"/>
    <w:rsid w:val="00443F2B"/>
    <w:rsid w:val="004441FA"/>
    <w:rsid w:val="00444FB6"/>
    <w:rsid w:val="004455D9"/>
    <w:rsid w:val="00445FAF"/>
    <w:rsid w:val="00451C20"/>
    <w:rsid w:val="00452844"/>
    <w:rsid w:val="004528C1"/>
    <w:rsid w:val="00453A2B"/>
    <w:rsid w:val="00453FD7"/>
    <w:rsid w:val="0045438D"/>
    <w:rsid w:val="004550D9"/>
    <w:rsid w:val="00455F69"/>
    <w:rsid w:val="004564D0"/>
    <w:rsid w:val="004568EC"/>
    <w:rsid w:val="004573FE"/>
    <w:rsid w:val="0045789F"/>
    <w:rsid w:val="0046037A"/>
    <w:rsid w:val="00461C69"/>
    <w:rsid w:val="004621BE"/>
    <w:rsid w:val="00462296"/>
    <w:rsid w:val="00464563"/>
    <w:rsid w:val="004647DA"/>
    <w:rsid w:val="004654E8"/>
    <w:rsid w:val="004657CB"/>
    <w:rsid w:val="004663CB"/>
    <w:rsid w:val="00466FF6"/>
    <w:rsid w:val="0046778D"/>
    <w:rsid w:val="00467A6B"/>
    <w:rsid w:val="004729DF"/>
    <w:rsid w:val="00473024"/>
    <w:rsid w:val="00474062"/>
    <w:rsid w:val="00475620"/>
    <w:rsid w:val="004765CD"/>
    <w:rsid w:val="004766C8"/>
    <w:rsid w:val="00477D07"/>
    <w:rsid w:val="00477D6B"/>
    <w:rsid w:val="00477F4F"/>
    <w:rsid w:val="0048110F"/>
    <w:rsid w:val="004829F9"/>
    <w:rsid w:val="00483966"/>
    <w:rsid w:val="00484B58"/>
    <w:rsid w:val="00485178"/>
    <w:rsid w:val="00485BAF"/>
    <w:rsid w:val="00485F63"/>
    <w:rsid w:val="0048645A"/>
    <w:rsid w:val="004868D0"/>
    <w:rsid w:val="00492FA2"/>
    <w:rsid w:val="00493EE3"/>
    <w:rsid w:val="00494F3B"/>
    <w:rsid w:val="004950EE"/>
    <w:rsid w:val="004958B5"/>
    <w:rsid w:val="00496CA0"/>
    <w:rsid w:val="004A36B3"/>
    <w:rsid w:val="004A3B89"/>
    <w:rsid w:val="004A6634"/>
    <w:rsid w:val="004A6A08"/>
    <w:rsid w:val="004A6AA7"/>
    <w:rsid w:val="004B0C5B"/>
    <w:rsid w:val="004B19F7"/>
    <w:rsid w:val="004B4F3C"/>
    <w:rsid w:val="004B54C0"/>
    <w:rsid w:val="004B5565"/>
    <w:rsid w:val="004B569F"/>
    <w:rsid w:val="004B66A8"/>
    <w:rsid w:val="004B76F6"/>
    <w:rsid w:val="004B7C4E"/>
    <w:rsid w:val="004B7D8D"/>
    <w:rsid w:val="004C2239"/>
    <w:rsid w:val="004C31C5"/>
    <w:rsid w:val="004C561B"/>
    <w:rsid w:val="004C70C9"/>
    <w:rsid w:val="004C72B7"/>
    <w:rsid w:val="004C7909"/>
    <w:rsid w:val="004D0E82"/>
    <w:rsid w:val="004D1323"/>
    <w:rsid w:val="004D1B5C"/>
    <w:rsid w:val="004D2630"/>
    <w:rsid w:val="004D3D1B"/>
    <w:rsid w:val="004D3ED0"/>
    <w:rsid w:val="004D4A85"/>
    <w:rsid w:val="004D57CB"/>
    <w:rsid w:val="004D7C2C"/>
    <w:rsid w:val="004E4110"/>
    <w:rsid w:val="004E55ED"/>
    <w:rsid w:val="004E5B91"/>
    <w:rsid w:val="004E5ECC"/>
    <w:rsid w:val="004E6065"/>
    <w:rsid w:val="004E638E"/>
    <w:rsid w:val="004E69D2"/>
    <w:rsid w:val="004E7317"/>
    <w:rsid w:val="004F06F2"/>
    <w:rsid w:val="004F22D3"/>
    <w:rsid w:val="004F33E9"/>
    <w:rsid w:val="004F3C8F"/>
    <w:rsid w:val="004F43FC"/>
    <w:rsid w:val="004F5BA1"/>
    <w:rsid w:val="004F5FD1"/>
    <w:rsid w:val="004F6CEB"/>
    <w:rsid w:val="004F7EC0"/>
    <w:rsid w:val="005007F5"/>
    <w:rsid w:val="005019FF"/>
    <w:rsid w:val="00504320"/>
    <w:rsid w:val="00504E07"/>
    <w:rsid w:val="00506637"/>
    <w:rsid w:val="005071C7"/>
    <w:rsid w:val="00507C84"/>
    <w:rsid w:val="00507C93"/>
    <w:rsid w:val="00507F1B"/>
    <w:rsid w:val="00510CD9"/>
    <w:rsid w:val="00511CE6"/>
    <w:rsid w:val="00512F48"/>
    <w:rsid w:val="00513FF1"/>
    <w:rsid w:val="005142D1"/>
    <w:rsid w:val="00514335"/>
    <w:rsid w:val="00515C5A"/>
    <w:rsid w:val="00516CEB"/>
    <w:rsid w:val="00521441"/>
    <w:rsid w:val="005258D2"/>
    <w:rsid w:val="00526B5C"/>
    <w:rsid w:val="0053057A"/>
    <w:rsid w:val="00534794"/>
    <w:rsid w:val="005349A6"/>
    <w:rsid w:val="005350DF"/>
    <w:rsid w:val="005355EB"/>
    <w:rsid w:val="00535690"/>
    <w:rsid w:val="00535788"/>
    <w:rsid w:val="00540E96"/>
    <w:rsid w:val="00542300"/>
    <w:rsid w:val="0054337A"/>
    <w:rsid w:val="005438B7"/>
    <w:rsid w:val="00545145"/>
    <w:rsid w:val="0054570C"/>
    <w:rsid w:val="0054591A"/>
    <w:rsid w:val="00547899"/>
    <w:rsid w:val="0055011D"/>
    <w:rsid w:val="00550AFD"/>
    <w:rsid w:val="00551656"/>
    <w:rsid w:val="0055211A"/>
    <w:rsid w:val="00552476"/>
    <w:rsid w:val="005555AD"/>
    <w:rsid w:val="005566B9"/>
    <w:rsid w:val="005579DE"/>
    <w:rsid w:val="00560A29"/>
    <w:rsid w:val="00561ED1"/>
    <w:rsid w:val="0056690F"/>
    <w:rsid w:val="00567197"/>
    <w:rsid w:val="0057060C"/>
    <w:rsid w:val="00570BA6"/>
    <w:rsid w:val="0057302F"/>
    <w:rsid w:val="00575186"/>
    <w:rsid w:val="0057545B"/>
    <w:rsid w:val="005756F4"/>
    <w:rsid w:val="0057753E"/>
    <w:rsid w:val="0058172F"/>
    <w:rsid w:val="00581792"/>
    <w:rsid w:val="00581F26"/>
    <w:rsid w:val="00582C5C"/>
    <w:rsid w:val="00583C0B"/>
    <w:rsid w:val="00585D6A"/>
    <w:rsid w:val="00587955"/>
    <w:rsid w:val="00587B2C"/>
    <w:rsid w:val="00592221"/>
    <w:rsid w:val="00592480"/>
    <w:rsid w:val="00593CB1"/>
    <w:rsid w:val="005941DA"/>
    <w:rsid w:val="00594311"/>
    <w:rsid w:val="00594B67"/>
    <w:rsid w:val="00594C9F"/>
    <w:rsid w:val="00594E01"/>
    <w:rsid w:val="005A0108"/>
    <w:rsid w:val="005A0D51"/>
    <w:rsid w:val="005A3C45"/>
    <w:rsid w:val="005A4B39"/>
    <w:rsid w:val="005A5AE1"/>
    <w:rsid w:val="005A6214"/>
    <w:rsid w:val="005A7666"/>
    <w:rsid w:val="005B0CCD"/>
    <w:rsid w:val="005B173A"/>
    <w:rsid w:val="005B230B"/>
    <w:rsid w:val="005B241E"/>
    <w:rsid w:val="005B2EC1"/>
    <w:rsid w:val="005B4213"/>
    <w:rsid w:val="005B4706"/>
    <w:rsid w:val="005B4E7B"/>
    <w:rsid w:val="005B7227"/>
    <w:rsid w:val="005B739E"/>
    <w:rsid w:val="005C018D"/>
    <w:rsid w:val="005C1C38"/>
    <w:rsid w:val="005C1C95"/>
    <w:rsid w:val="005C2DA6"/>
    <w:rsid w:val="005C3159"/>
    <w:rsid w:val="005C562F"/>
    <w:rsid w:val="005C6122"/>
    <w:rsid w:val="005C642F"/>
    <w:rsid w:val="005C6649"/>
    <w:rsid w:val="005C7D8F"/>
    <w:rsid w:val="005D03CD"/>
    <w:rsid w:val="005D0568"/>
    <w:rsid w:val="005D1CD0"/>
    <w:rsid w:val="005D1F17"/>
    <w:rsid w:val="005D31AD"/>
    <w:rsid w:val="005D422A"/>
    <w:rsid w:val="005D649C"/>
    <w:rsid w:val="005E0935"/>
    <w:rsid w:val="005E0A30"/>
    <w:rsid w:val="005E127A"/>
    <w:rsid w:val="005E1BE4"/>
    <w:rsid w:val="005E215B"/>
    <w:rsid w:val="005E3054"/>
    <w:rsid w:val="005E52DA"/>
    <w:rsid w:val="005E7F1E"/>
    <w:rsid w:val="005E7F63"/>
    <w:rsid w:val="005F046F"/>
    <w:rsid w:val="005F0848"/>
    <w:rsid w:val="005F0CC4"/>
    <w:rsid w:val="005F1165"/>
    <w:rsid w:val="005F30E2"/>
    <w:rsid w:val="005F3144"/>
    <w:rsid w:val="005F3815"/>
    <w:rsid w:val="005F38DD"/>
    <w:rsid w:val="005F3AA6"/>
    <w:rsid w:val="005F3AEA"/>
    <w:rsid w:val="005F4BB9"/>
    <w:rsid w:val="005F5F7E"/>
    <w:rsid w:val="005F6378"/>
    <w:rsid w:val="005F699A"/>
    <w:rsid w:val="00600273"/>
    <w:rsid w:val="00600E2B"/>
    <w:rsid w:val="00601453"/>
    <w:rsid w:val="00601C33"/>
    <w:rsid w:val="00602571"/>
    <w:rsid w:val="006037DC"/>
    <w:rsid w:val="00603D8F"/>
    <w:rsid w:val="00605827"/>
    <w:rsid w:val="00606CCB"/>
    <w:rsid w:val="0060748A"/>
    <w:rsid w:val="006078AD"/>
    <w:rsid w:val="0061024D"/>
    <w:rsid w:val="00610E3D"/>
    <w:rsid w:val="006117F5"/>
    <w:rsid w:val="00612070"/>
    <w:rsid w:val="00620994"/>
    <w:rsid w:val="00620EE8"/>
    <w:rsid w:val="00621038"/>
    <w:rsid w:val="006234C9"/>
    <w:rsid w:val="00623F54"/>
    <w:rsid w:val="00624116"/>
    <w:rsid w:val="006262A4"/>
    <w:rsid w:val="00627672"/>
    <w:rsid w:val="0063548D"/>
    <w:rsid w:val="006363E6"/>
    <w:rsid w:val="00636C3C"/>
    <w:rsid w:val="00637E94"/>
    <w:rsid w:val="00640A04"/>
    <w:rsid w:val="00642665"/>
    <w:rsid w:val="00643CEE"/>
    <w:rsid w:val="00644FF0"/>
    <w:rsid w:val="00646050"/>
    <w:rsid w:val="006506BF"/>
    <w:rsid w:val="0065173B"/>
    <w:rsid w:val="0065476D"/>
    <w:rsid w:val="006554CF"/>
    <w:rsid w:val="0065739F"/>
    <w:rsid w:val="006578DB"/>
    <w:rsid w:val="0066043F"/>
    <w:rsid w:val="00660B17"/>
    <w:rsid w:val="006616E4"/>
    <w:rsid w:val="00661966"/>
    <w:rsid w:val="0066268B"/>
    <w:rsid w:val="00663520"/>
    <w:rsid w:val="006640B1"/>
    <w:rsid w:val="00665683"/>
    <w:rsid w:val="00666330"/>
    <w:rsid w:val="00670403"/>
    <w:rsid w:val="006713CA"/>
    <w:rsid w:val="00674C44"/>
    <w:rsid w:val="00675344"/>
    <w:rsid w:val="006753D3"/>
    <w:rsid w:val="006762B4"/>
    <w:rsid w:val="00676C5C"/>
    <w:rsid w:val="006800DB"/>
    <w:rsid w:val="00680E2F"/>
    <w:rsid w:val="00681906"/>
    <w:rsid w:val="00682077"/>
    <w:rsid w:val="006834F5"/>
    <w:rsid w:val="006838DB"/>
    <w:rsid w:val="00684B07"/>
    <w:rsid w:val="00690E94"/>
    <w:rsid w:val="006913F7"/>
    <w:rsid w:val="00691FE5"/>
    <w:rsid w:val="006935F6"/>
    <w:rsid w:val="006946E5"/>
    <w:rsid w:val="00696F27"/>
    <w:rsid w:val="006A1390"/>
    <w:rsid w:val="006A1618"/>
    <w:rsid w:val="006A5D4A"/>
    <w:rsid w:val="006A61EA"/>
    <w:rsid w:val="006A733A"/>
    <w:rsid w:val="006B0F89"/>
    <w:rsid w:val="006B182B"/>
    <w:rsid w:val="006B30A9"/>
    <w:rsid w:val="006B3A1C"/>
    <w:rsid w:val="006B45E5"/>
    <w:rsid w:val="006B51B5"/>
    <w:rsid w:val="006B5D0B"/>
    <w:rsid w:val="006B64E4"/>
    <w:rsid w:val="006B76A9"/>
    <w:rsid w:val="006C1403"/>
    <w:rsid w:val="006C182B"/>
    <w:rsid w:val="006C2457"/>
    <w:rsid w:val="006C3BFD"/>
    <w:rsid w:val="006C4CCE"/>
    <w:rsid w:val="006C5B4C"/>
    <w:rsid w:val="006C632F"/>
    <w:rsid w:val="006C698F"/>
    <w:rsid w:val="006C7FFA"/>
    <w:rsid w:val="006D13C4"/>
    <w:rsid w:val="006D171B"/>
    <w:rsid w:val="006D1C8F"/>
    <w:rsid w:val="006D3408"/>
    <w:rsid w:val="006D4409"/>
    <w:rsid w:val="006D5CB2"/>
    <w:rsid w:val="006D5CEF"/>
    <w:rsid w:val="006D5DFB"/>
    <w:rsid w:val="006D78B6"/>
    <w:rsid w:val="006E18BF"/>
    <w:rsid w:val="006E31C3"/>
    <w:rsid w:val="006E4373"/>
    <w:rsid w:val="006E4FAA"/>
    <w:rsid w:val="006E59C9"/>
    <w:rsid w:val="006F088E"/>
    <w:rsid w:val="006F1F51"/>
    <w:rsid w:val="006F67EA"/>
    <w:rsid w:val="006F68D7"/>
    <w:rsid w:val="006F6A01"/>
    <w:rsid w:val="007004D8"/>
    <w:rsid w:val="007033DC"/>
    <w:rsid w:val="00703872"/>
    <w:rsid w:val="007046FE"/>
    <w:rsid w:val="00704EDD"/>
    <w:rsid w:val="00705BD4"/>
    <w:rsid w:val="00705C8A"/>
    <w:rsid w:val="0070617A"/>
    <w:rsid w:val="00706F56"/>
    <w:rsid w:val="007108CF"/>
    <w:rsid w:val="00710BD3"/>
    <w:rsid w:val="007113DB"/>
    <w:rsid w:val="0071485C"/>
    <w:rsid w:val="00715A1C"/>
    <w:rsid w:val="00715D45"/>
    <w:rsid w:val="00716055"/>
    <w:rsid w:val="0071714D"/>
    <w:rsid w:val="00717E44"/>
    <w:rsid w:val="0072017B"/>
    <w:rsid w:val="00720C9C"/>
    <w:rsid w:val="007221AD"/>
    <w:rsid w:val="0072267D"/>
    <w:rsid w:val="00723BE0"/>
    <w:rsid w:val="00724BED"/>
    <w:rsid w:val="00726862"/>
    <w:rsid w:val="00726AA2"/>
    <w:rsid w:val="00727373"/>
    <w:rsid w:val="007302BA"/>
    <w:rsid w:val="00730529"/>
    <w:rsid w:val="0073197B"/>
    <w:rsid w:val="00733070"/>
    <w:rsid w:val="00734F5B"/>
    <w:rsid w:val="0073563A"/>
    <w:rsid w:val="00737569"/>
    <w:rsid w:val="00737D7E"/>
    <w:rsid w:val="00740677"/>
    <w:rsid w:val="007429C4"/>
    <w:rsid w:val="00746145"/>
    <w:rsid w:val="00746E3D"/>
    <w:rsid w:val="0075189A"/>
    <w:rsid w:val="00751BB1"/>
    <w:rsid w:val="00752E77"/>
    <w:rsid w:val="00753083"/>
    <w:rsid w:val="007531E1"/>
    <w:rsid w:val="00754A15"/>
    <w:rsid w:val="00755C96"/>
    <w:rsid w:val="0075612C"/>
    <w:rsid w:val="00756435"/>
    <w:rsid w:val="00756C75"/>
    <w:rsid w:val="00757519"/>
    <w:rsid w:val="00757E46"/>
    <w:rsid w:val="00757FAC"/>
    <w:rsid w:val="007615F9"/>
    <w:rsid w:val="00761BCD"/>
    <w:rsid w:val="0076428F"/>
    <w:rsid w:val="00764A48"/>
    <w:rsid w:val="0076553F"/>
    <w:rsid w:val="00770295"/>
    <w:rsid w:val="007707F6"/>
    <w:rsid w:val="00770AAA"/>
    <w:rsid w:val="00772B1C"/>
    <w:rsid w:val="00772C09"/>
    <w:rsid w:val="00772C93"/>
    <w:rsid w:val="0077576B"/>
    <w:rsid w:val="00776310"/>
    <w:rsid w:val="00776339"/>
    <w:rsid w:val="007767F0"/>
    <w:rsid w:val="0078484F"/>
    <w:rsid w:val="00787901"/>
    <w:rsid w:val="0079183A"/>
    <w:rsid w:val="007920F9"/>
    <w:rsid w:val="0079298E"/>
    <w:rsid w:val="00796F48"/>
    <w:rsid w:val="007A0BAC"/>
    <w:rsid w:val="007A0C20"/>
    <w:rsid w:val="007A264B"/>
    <w:rsid w:val="007A2BEE"/>
    <w:rsid w:val="007A2C51"/>
    <w:rsid w:val="007A304A"/>
    <w:rsid w:val="007A3368"/>
    <w:rsid w:val="007A536A"/>
    <w:rsid w:val="007B119B"/>
    <w:rsid w:val="007B1C5A"/>
    <w:rsid w:val="007B3BD3"/>
    <w:rsid w:val="007B4929"/>
    <w:rsid w:val="007B532B"/>
    <w:rsid w:val="007B5694"/>
    <w:rsid w:val="007C435F"/>
    <w:rsid w:val="007C4CD4"/>
    <w:rsid w:val="007C4E4B"/>
    <w:rsid w:val="007C5471"/>
    <w:rsid w:val="007D1613"/>
    <w:rsid w:val="007D222F"/>
    <w:rsid w:val="007D22BD"/>
    <w:rsid w:val="007D27BB"/>
    <w:rsid w:val="007D2A3E"/>
    <w:rsid w:val="007D3A74"/>
    <w:rsid w:val="007D3AA8"/>
    <w:rsid w:val="007D6284"/>
    <w:rsid w:val="007D6AC7"/>
    <w:rsid w:val="007D70A6"/>
    <w:rsid w:val="007D7A96"/>
    <w:rsid w:val="007E05A2"/>
    <w:rsid w:val="007E36B8"/>
    <w:rsid w:val="007E3D1E"/>
    <w:rsid w:val="007E66FA"/>
    <w:rsid w:val="007E6DFE"/>
    <w:rsid w:val="007E6F8B"/>
    <w:rsid w:val="007E7BCA"/>
    <w:rsid w:val="007F400B"/>
    <w:rsid w:val="007F5C67"/>
    <w:rsid w:val="007F6CCA"/>
    <w:rsid w:val="007F742B"/>
    <w:rsid w:val="007F799D"/>
    <w:rsid w:val="008012A7"/>
    <w:rsid w:val="00802060"/>
    <w:rsid w:val="00806ECA"/>
    <w:rsid w:val="00810192"/>
    <w:rsid w:val="008108DE"/>
    <w:rsid w:val="00812414"/>
    <w:rsid w:val="00812A4C"/>
    <w:rsid w:val="00813D6F"/>
    <w:rsid w:val="008142D0"/>
    <w:rsid w:val="0082140E"/>
    <w:rsid w:val="00823234"/>
    <w:rsid w:val="008244B6"/>
    <w:rsid w:val="008252C9"/>
    <w:rsid w:val="00826EA7"/>
    <w:rsid w:val="00833C04"/>
    <w:rsid w:val="0083638A"/>
    <w:rsid w:val="0083674D"/>
    <w:rsid w:val="00837435"/>
    <w:rsid w:val="008374A9"/>
    <w:rsid w:val="00837D52"/>
    <w:rsid w:val="008404F2"/>
    <w:rsid w:val="00840FFB"/>
    <w:rsid w:val="0084444A"/>
    <w:rsid w:val="008456B1"/>
    <w:rsid w:val="008463C9"/>
    <w:rsid w:val="008479CC"/>
    <w:rsid w:val="008509BF"/>
    <w:rsid w:val="00850FF7"/>
    <w:rsid w:val="00853CED"/>
    <w:rsid w:val="0085446B"/>
    <w:rsid w:val="00856123"/>
    <w:rsid w:val="00862C1A"/>
    <w:rsid w:val="00864913"/>
    <w:rsid w:val="00866002"/>
    <w:rsid w:val="008667CC"/>
    <w:rsid w:val="00866876"/>
    <w:rsid w:val="00872D6C"/>
    <w:rsid w:val="00873C7D"/>
    <w:rsid w:val="008743D8"/>
    <w:rsid w:val="0087454A"/>
    <w:rsid w:val="008748CA"/>
    <w:rsid w:val="00874FD7"/>
    <w:rsid w:val="00874FFE"/>
    <w:rsid w:val="0087642F"/>
    <w:rsid w:val="00876925"/>
    <w:rsid w:val="00877D98"/>
    <w:rsid w:val="00883AF2"/>
    <w:rsid w:val="00884696"/>
    <w:rsid w:val="00885716"/>
    <w:rsid w:val="0088633F"/>
    <w:rsid w:val="00886383"/>
    <w:rsid w:val="00886CC2"/>
    <w:rsid w:val="00890651"/>
    <w:rsid w:val="00891EF0"/>
    <w:rsid w:val="0089207A"/>
    <w:rsid w:val="00893D96"/>
    <w:rsid w:val="00893E70"/>
    <w:rsid w:val="008A02CF"/>
    <w:rsid w:val="008A15A3"/>
    <w:rsid w:val="008A1822"/>
    <w:rsid w:val="008A20C2"/>
    <w:rsid w:val="008A2713"/>
    <w:rsid w:val="008A3932"/>
    <w:rsid w:val="008A45B4"/>
    <w:rsid w:val="008A46D6"/>
    <w:rsid w:val="008A55F1"/>
    <w:rsid w:val="008B0227"/>
    <w:rsid w:val="008B2CC1"/>
    <w:rsid w:val="008B3D19"/>
    <w:rsid w:val="008B406C"/>
    <w:rsid w:val="008B5327"/>
    <w:rsid w:val="008B5A78"/>
    <w:rsid w:val="008B60B2"/>
    <w:rsid w:val="008B7619"/>
    <w:rsid w:val="008B7E70"/>
    <w:rsid w:val="008C2113"/>
    <w:rsid w:val="008C5FD8"/>
    <w:rsid w:val="008C6544"/>
    <w:rsid w:val="008C6B9C"/>
    <w:rsid w:val="008D060D"/>
    <w:rsid w:val="008D21FA"/>
    <w:rsid w:val="008D3F6F"/>
    <w:rsid w:val="008D4406"/>
    <w:rsid w:val="008D4756"/>
    <w:rsid w:val="008D4D36"/>
    <w:rsid w:val="008D5BC7"/>
    <w:rsid w:val="008D5BE9"/>
    <w:rsid w:val="008D5E7B"/>
    <w:rsid w:val="008D6686"/>
    <w:rsid w:val="008D77FD"/>
    <w:rsid w:val="008E30DB"/>
    <w:rsid w:val="008E3235"/>
    <w:rsid w:val="008E37E6"/>
    <w:rsid w:val="008E4AD8"/>
    <w:rsid w:val="008E5AB9"/>
    <w:rsid w:val="008E619C"/>
    <w:rsid w:val="008E6F12"/>
    <w:rsid w:val="008F0352"/>
    <w:rsid w:val="008F0AF3"/>
    <w:rsid w:val="008F0C1E"/>
    <w:rsid w:val="008F1310"/>
    <w:rsid w:val="008F19A7"/>
    <w:rsid w:val="008F2E68"/>
    <w:rsid w:val="008F6352"/>
    <w:rsid w:val="008F7499"/>
    <w:rsid w:val="008F7A70"/>
    <w:rsid w:val="00900C28"/>
    <w:rsid w:val="00902956"/>
    <w:rsid w:val="0090332B"/>
    <w:rsid w:val="00904C22"/>
    <w:rsid w:val="00904DE3"/>
    <w:rsid w:val="009054FC"/>
    <w:rsid w:val="00906ED6"/>
    <w:rsid w:val="0090731E"/>
    <w:rsid w:val="00907449"/>
    <w:rsid w:val="00912B7B"/>
    <w:rsid w:val="0091378B"/>
    <w:rsid w:val="00913C24"/>
    <w:rsid w:val="00913F5E"/>
    <w:rsid w:val="009164C1"/>
    <w:rsid w:val="00916EE2"/>
    <w:rsid w:val="009203EF"/>
    <w:rsid w:val="00920D43"/>
    <w:rsid w:val="009219A5"/>
    <w:rsid w:val="00923F6A"/>
    <w:rsid w:val="0092580A"/>
    <w:rsid w:val="0093011C"/>
    <w:rsid w:val="00930AB2"/>
    <w:rsid w:val="00931291"/>
    <w:rsid w:val="009318E8"/>
    <w:rsid w:val="00932604"/>
    <w:rsid w:val="00936A80"/>
    <w:rsid w:val="0093761A"/>
    <w:rsid w:val="00937DDD"/>
    <w:rsid w:val="0094110D"/>
    <w:rsid w:val="00942B56"/>
    <w:rsid w:val="00943FBA"/>
    <w:rsid w:val="009442D0"/>
    <w:rsid w:val="009451C9"/>
    <w:rsid w:val="00946BE5"/>
    <w:rsid w:val="00947268"/>
    <w:rsid w:val="00947452"/>
    <w:rsid w:val="00947BE3"/>
    <w:rsid w:val="00950FC6"/>
    <w:rsid w:val="00951752"/>
    <w:rsid w:val="00952080"/>
    <w:rsid w:val="009537C2"/>
    <w:rsid w:val="00957AA0"/>
    <w:rsid w:val="00957BAD"/>
    <w:rsid w:val="00957D11"/>
    <w:rsid w:val="009600B2"/>
    <w:rsid w:val="00960D62"/>
    <w:rsid w:val="00960F94"/>
    <w:rsid w:val="009619AA"/>
    <w:rsid w:val="0096265A"/>
    <w:rsid w:val="00963B84"/>
    <w:rsid w:val="00963BA7"/>
    <w:rsid w:val="00964DCC"/>
    <w:rsid w:val="00966A22"/>
    <w:rsid w:val="0096722F"/>
    <w:rsid w:val="009706F3"/>
    <w:rsid w:val="009707C4"/>
    <w:rsid w:val="0097179E"/>
    <w:rsid w:val="0097318B"/>
    <w:rsid w:val="009731F7"/>
    <w:rsid w:val="00973B2F"/>
    <w:rsid w:val="00973C5A"/>
    <w:rsid w:val="00975481"/>
    <w:rsid w:val="0097627E"/>
    <w:rsid w:val="00977339"/>
    <w:rsid w:val="009777D1"/>
    <w:rsid w:val="00980843"/>
    <w:rsid w:val="009878AB"/>
    <w:rsid w:val="00990234"/>
    <w:rsid w:val="00990EC3"/>
    <w:rsid w:val="009922CE"/>
    <w:rsid w:val="00992541"/>
    <w:rsid w:val="00993769"/>
    <w:rsid w:val="009947B4"/>
    <w:rsid w:val="009956B8"/>
    <w:rsid w:val="009A0232"/>
    <w:rsid w:val="009A14AC"/>
    <w:rsid w:val="009A1DB9"/>
    <w:rsid w:val="009A1E6B"/>
    <w:rsid w:val="009A397F"/>
    <w:rsid w:val="009A5BF0"/>
    <w:rsid w:val="009A60E0"/>
    <w:rsid w:val="009A7377"/>
    <w:rsid w:val="009A7502"/>
    <w:rsid w:val="009A7CA7"/>
    <w:rsid w:val="009B08F4"/>
    <w:rsid w:val="009B3379"/>
    <w:rsid w:val="009B3B0E"/>
    <w:rsid w:val="009B459C"/>
    <w:rsid w:val="009B4A7E"/>
    <w:rsid w:val="009B54E8"/>
    <w:rsid w:val="009B6899"/>
    <w:rsid w:val="009B7956"/>
    <w:rsid w:val="009C19A8"/>
    <w:rsid w:val="009C2492"/>
    <w:rsid w:val="009C2537"/>
    <w:rsid w:val="009C2CA1"/>
    <w:rsid w:val="009C53C4"/>
    <w:rsid w:val="009C6D3B"/>
    <w:rsid w:val="009D2B6B"/>
    <w:rsid w:val="009D30D8"/>
    <w:rsid w:val="009D37CE"/>
    <w:rsid w:val="009D3C73"/>
    <w:rsid w:val="009E2791"/>
    <w:rsid w:val="009E3F6F"/>
    <w:rsid w:val="009E4EB3"/>
    <w:rsid w:val="009E52CB"/>
    <w:rsid w:val="009E632A"/>
    <w:rsid w:val="009F005C"/>
    <w:rsid w:val="009F0319"/>
    <w:rsid w:val="009F0D88"/>
    <w:rsid w:val="009F160C"/>
    <w:rsid w:val="009F1CCC"/>
    <w:rsid w:val="009F2115"/>
    <w:rsid w:val="009F499F"/>
    <w:rsid w:val="009F4E20"/>
    <w:rsid w:val="009F53CA"/>
    <w:rsid w:val="009F5CB3"/>
    <w:rsid w:val="009F5EE5"/>
    <w:rsid w:val="009F763E"/>
    <w:rsid w:val="00A0010D"/>
    <w:rsid w:val="00A00645"/>
    <w:rsid w:val="00A02194"/>
    <w:rsid w:val="00A02472"/>
    <w:rsid w:val="00A024D6"/>
    <w:rsid w:val="00A0291F"/>
    <w:rsid w:val="00A02DC4"/>
    <w:rsid w:val="00A033F8"/>
    <w:rsid w:val="00A035EE"/>
    <w:rsid w:val="00A043AF"/>
    <w:rsid w:val="00A06403"/>
    <w:rsid w:val="00A0733E"/>
    <w:rsid w:val="00A07CEF"/>
    <w:rsid w:val="00A12677"/>
    <w:rsid w:val="00A12DCB"/>
    <w:rsid w:val="00A1463E"/>
    <w:rsid w:val="00A15573"/>
    <w:rsid w:val="00A160AD"/>
    <w:rsid w:val="00A21B65"/>
    <w:rsid w:val="00A23B2E"/>
    <w:rsid w:val="00A23F16"/>
    <w:rsid w:val="00A25504"/>
    <w:rsid w:val="00A26A6C"/>
    <w:rsid w:val="00A31EB3"/>
    <w:rsid w:val="00A33331"/>
    <w:rsid w:val="00A33575"/>
    <w:rsid w:val="00A33D09"/>
    <w:rsid w:val="00A35607"/>
    <w:rsid w:val="00A35D04"/>
    <w:rsid w:val="00A37F90"/>
    <w:rsid w:val="00A420D9"/>
    <w:rsid w:val="00A4294F"/>
    <w:rsid w:val="00A42DAF"/>
    <w:rsid w:val="00A444CF"/>
    <w:rsid w:val="00A449C1"/>
    <w:rsid w:val="00A45ADE"/>
    <w:rsid w:val="00A45BD8"/>
    <w:rsid w:val="00A467DC"/>
    <w:rsid w:val="00A5023A"/>
    <w:rsid w:val="00A50567"/>
    <w:rsid w:val="00A51A03"/>
    <w:rsid w:val="00A52B93"/>
    <w:rsid w:val="00A52FA2"/>
    <w:rsid w:val="00A5547D"/>
    <w:rsid w:val="00A57AE6"/>
    <w:rsid w:val="00A605A6"/>
    <w:rsid w:val="00A61FA8"/>
    <w:rsid w:val="00A63B0D"/>
    <w:rsid w:val="00A63B6D"/>
    <w:rsid w:val="00A640FC"/>
    <w:rsid w:val="00A64501"/>
    <w:rsid w:val="00A701B0"/>
    <w:rsid w:val="00A7081A"/>
    <w:rsid w:val="00A714E3"/>
    <w:rsid w:val="00A7167D"/>
    <w:rsid w:val="00A72B09"/>
    <w:rsid w:val="00A73439"/>
    <w:rsid w:val="00A7460F"/>
    <w:rsid w:val="00A7497F"/>
    <w:rsid w:val="00A764A0"/>
    <w:rsid w:val="00A77942"/>
    <w:rsid w:val="00A809AF"/>
    <w:rsid w:val="00A824D5"/>
    <w:rsid w:val="00A826E9"/>
    <w:rsid w:val="00A839DF"/>
    <w:rsid w:val="00A84B5A"/>
    <w:rsid w:val="00A852ED"/>
    <w:rsid w:val="00A864B5"/>
    <w:rsid w:val="00A869B7"/>
    <w:rsid w:val="00A92135"/>
    <w:rsid w:val="00A9382E"/>
    <w:rsid w:val="00A93EC0"/>
    <w:rsid w:val="00A93EDA"/>
    <w:rsid w:val="00A94726"/>
    <w:rsid w:val="00A9497D"/>
    <w:rsid w:val="00A94B50"/>
    <w:rsid w:val="00A9649F"/>
    <w:rsid w:val="00A97681"/>
    <w:rsid w:val="00A97700"/>
    <w:rsid w:val="00AA063A"/>
    <w:rsid w:val="00AA4722"/>
    <w:rsid w:val="00AA666D"/>
    <w:rsid w:val="00AA6FFB"/>
    <w:rsid w:val="00AA7134"/>
    <w:rsid w:val="00AB2135"/>
    <w:rsid w:val="00AB2324"/>
    <w:rsid w:val="00AB47E8"/>
    <w:rsid w:val="00AB4873"/>
    <w:rsid w:val="00AB53B7"/>
    <w:rsid w:val="00AB7FCD"/>
    <w:rsid w:val="00AC10F1"/>
    <w:rsid w:val="00AC144A"/>
    <w:rsid w:val="00AC205C"/>
    <w:rsid w:val="00AC4DB4"/>
    <w:rsid w:val="00AC6DA8"/>
    <w:rsid w:val="00AC787E"/>
    <w:rsid w:val="00AD064F"/>
    <w:rsid w:val="00AD154C"/>
    <w:rsid w:val="00AD1574"/>
    <w:rsid w:val="00AD19FD"/>
    <w:rsid w:val="00AD1A87"/>
    <w:rsid w:val="00AD24C1"/>
    <w:rsid w:val="00AD2882"/>
    <w:rsid w:val="00AD463F"/>
    <w:rsid w:val="00AE0271"/>
    <w:rsid w:val="00AE0B56"/>
    <w:rsid w:val="00AE11F2"/>
    <w:rsid w:val="00AE1D54"/>
    <w:rsid w:val="00AE2A3A"/>
    <w:rsid w:val="00AE385F"/>
    <w:rsid w:val="00AE3E4F"/>
    <w:rsid w:val="00AE41D2"/>
    <w:rsid w:val="00AE5D5D"/>
    <w:rsid w:val="00AE5F52"/>
    <w:rsid w:val="00AE60F1"/>
    <w:rsid w:val="00AE67E8"/>
    <w:rsid w:val="00AE6B29"/>
    <w:rsid w:val="00AF0A6B"/>
    <w:rsid w:val="00AF3F65"/>
    <w:rsid w:val="00AF59A5"/>
    <w:rsid w:val="00AF60F8"/>
    <w:rsid w:val="00AF7D5E"/>
    <w:rsid w:val="00B024E2"/>
    <w:rsid w:val="00B028B7"/>
    <w:rsid w:val="00B0369F"/>
    <w:rsid w:val="00B03F9D"/>
    <w:rsid w:val="00B05A69"/>
    <w:rsid w:val="00B06440"/>
    <w:rsid w:val="00B06AA1"/>
    <w:rsid w:val="00B072B7"/>
    <w:rsid w:val="00B0735A"/>
    <w:rsid w:val="00B11FC5"/>
    <w:rsid w:val="00B1248F"/>
    <w:rsid w:val="00B13F76"/>
    <w:rsid w:val="00B1655E"/>
    <w:rsid w:val="00B16DAF"/>
    <w:rsid w:val="00B2175A"/>
    <w:rsid w:val="00B2441E"/>
    <w:rsid w:val="00B30C5C"/>
    <w:rsid w:val="00B30E5C"/>
    <w:rsid w:val="00B3159A"/>
    <w:rsid w:val="00B31DA3"/>
    <w:rsid w:val="00B339DF"/>
    <w:rsid w:val="00B33C8E"/>
    <w:rsid w:val="00B3486A"/>
    <w:rsid w:val="00B35214"/>
    <w:rsid w:val="00B36164"/>
    <w:rsid w:val="00B40F89"/>
    <w:rsid w:val="00B440D3"/>
    <w:rsid w:val="00B44CE2"/>
    <w:rsid w:val="00B46A92"/>
    <w:rsid w:val="00B4705D"/>
    <w:rsid w:val="00B5009B"/>
    <w:rsid w:val="00B529B9"/>
    <w:rsid w:val="00B5312B"/>
    <w:rsid w:val="00B5341F"/>
    <w:rsid w:val="00B53836"/>
    <w:rsid w:val="00B53AA2"/>
    <w:rsid w:val="00B56CF6"/>
    <w:rsid w:val="00B56FA7"/>
    <w:rsid w:val="00B576E7"/>
    <w:rsid w:val="00B60CFE"/>
    <w:rsid w:val="00B619EE"/>
    <w:rsid w:val="00B61B7B"/>
    <w:rsid w:val="00B62B6B"/>
    <w:rsid w:val="00B6739B"/>
    <w:rsid w:val="00B67C23"/>
    <w:rsid w:val="00B72D5B"/>
    <w:rsid w:val="00B73687"/>
    <w:rsid w:val="00B74C0A"/>
    <w:rsid w:val="00B754F0"/>
    <w:rsid w:val="00B75AF4"/>
    <w:rsid w:val="00B76756"/>
    <w:rsid w:val="00B770E2"/>
    <w:rsid w:val="00B77E7E"/>
    <w:rsid w:val="00B83A0C"/>
    <w:rsid w:val="00B83D6D"/>
    <w:rsid w:val="00B850B1"/>
    <w:rsid w:val="00B86C69"/>
    <w:rsid w:val="00B916A1"/>
    <w:rsid w:val="00B92E20"/>
    <w:rsid w:val="00B93489"/>
    <w:rsid w:val="00B936E6"/>
    <w:rsid w:val="00B9411F"/>
    <w:rsid w:val="00B9734B"/>
    <w:rsid w:val="00BA059B"/>
    <w:rsid w:val="00BA498F"/>
    <w:rsid w:val="00BA4E88"/>
    <w:rsid w:val="00BB149A"/>
    <w:rsid w:val="00BB1BE0"/>
    <w:rsid w:val="00BB37FC"/>
    <w:rsid w:val="00BB3ED4"/>
    <w:rsid w:val="00BB54DA"/>
    <w:rsid w:val="00BB7083"/>
    <w:rsid w:val="00BB78AF"/>
    <w:rsid w:val="00BC036E"/>
    <w:rsid w:val="00BC10C6"/>
    <w:rsid w:val="00BC39B6"/>
    <w:rsid w:val="00BC421B"/>
    <w:rsid w:val="00BC6844"/>
    <w:rsid w:val="00BC6AB4"/>
    <w:rsid w:val="00BC6CDC"/>
    <w:rsid w:val="00BD3D77"/>
    <w:rsid w:val="00BD4C1B"/>
    <w:rsid w:val="00BD5A68"/>
    <w:rsid w:val="00BD716D"/>
    <w:rsid w:val="00BE07F1"/>
    <w:rsid w:val="00BE1539"/>
    <w:rsid w:val="00BE21BA"/>
    <w:rsid w:val="00BE2A58"/>
    <w:rsid w:val="00BE2F67"/>
    <w:rsid w:val="00BE6873"/>
    <w:rsid w:val="00BF16B8"/>
    <w:rsid w:val="00BF2931"/>
    <w:rsid w:val="00BF3DF3"/>
    <w:rsid w:val="00BF3F9A"/>
    <w:rsid w:val="00BF54D7"/>
    <w:rsid w:val="00BF6168"/>
    <w:rsid w:val="00BF676B"/>
    <w:rsid w:val="00C0207F"/>
    <w:rsid w:val="00C05966"/>
    <w:rsid w:val="00C07FBB"/>
    <w:rsid w:val="00C10156"/>
    <w:rsid w:val="00C1033C"/>
    <w:rsid w:val="00C11244"/>
    <w:rsid w:val="00C11BFE"/>
    <w:rsid w:val="00C120E3"/>
    <w:rsid w:val="00C13E68"/>
    <w:rsid w:val="00C16501"/>
    <w:rsid w:val="00C166F8"/>
    <w:rsid w:val="00C1730B"/>
    <w:rsid w:val="00C2021F"/>
    <w:rsid w:val="00C209F4"/>
    <w:rsid w:val="00C21DF8"/>
    <w:rsid w:val="00C23D68"/>
    <w:rsid w:val="00C2443C"/>
    <w:rsid w:val="00C2471A"/>
    <w:rsid w:val="00C2476A"/>
    <w:rsid w:val="00C257C2"/>
    <w:rsid w:val="00C258C5"/>
    <w:rsid w:val="00C25C02"/>
    <w:rsid w:val="00C3200D"/>
    <w:rsid w:val="00C33452"/>
    <w:rsid w:val="00C3625F"/>
    <w:rsid w:val="00C37CE8"/>
    <w:rsid w:val="00C403BB"/>
    <w:rsid w:val="00C411C7"/>
    <w:rsid w:val="00C41BF9"/>
    <w:rsid w:val="00C423F7"/>
    <w:rsid w:val="00C44577"/>
    <w:rsid w:val="00C4538E"/>
    <w:rsid w:val="00C46078"/>
    <w:rsid w:val="00C47F4A"/>
    <w:rsid w:val="00C50882"/>
    <w:rsid w:val="00C50AC0"/>
    <w:rsid w:val="00C51676"/>
    <w:rsid w:val="00C51F86"/>
    <w:rsid w:val="00C52166"/>
    <w:rsid w:val="00C603FF"/>
    <w:rsid w:val="00C6076D"/>
    <w:rsid w:val="00C609DE"/>
    <w:rsid w:val="00C61EBA"/>
    <w:rsid w:val="00C621FC"/>
    <w:rsid w:val="00C62D8E"/>
    <w:rsid w:val="00C65BF9"/>
    <w:rsid w:val="00C66C7B"/>
    <w:rsid w:val="00C67862"/>
    <w:rsid w:val="00C70E72"/>
    <w:rsid w:val="00C73B66"/>
    <w:rsid w:val="00C73F0F"/>
    <w:rsid w:val="00C76299"/>
    <w:rsid w:val="00C76C59"/>
    <w:rsid w:val="00C809F3"/>
    <w:rsid w:val="00C86B0A"/>
    <w:rsid w:val="00C87326"/>
    <w:rsid w:val="00C912E4"/>
    <w:rsid w:val="00C925E9"/>
    <w:rsid w:val="00C92807"/>
    <w:rsid w:val="00C969EA"/>
    <w:rsid w:val="00C97009"/>
    <w:rsid w:val="00C97793"/>
    <w:rsid w:val="00CA0615"/>
    <w:rsid w:val="00CA08C3"/>
    <w:rsid w:val="00CA1505"/>
    <w:rsid w:val="00CA3AA9"/>
    <w:rsid w:val="00CA4C6D"/>
    <w:rsid w:val="00CA5FAC"/>
    <w:rsid w:val="00CA7147"/>
    <w:rsid w:val="00CB1F5D"/>
    <w:rsid w:val="00CB2BBA"/>
    <w:rsid w:val="00CB333A"/>
    <w:rsid w:val="00CB3F89"/>
    <w:rsid w:val="00CB508B"/>
    <w:rsid w:val="00CB6517"/>
    <w:rsid w:val="00CC0F78"/>
    <w:rsid w:val="00CC1338"/>
    <w:rsid w:val="00CC1392"/>
    <w:rsid w:val="00CC33DD"/>
    <w:rsid w:val="00CC3D11"/>
    <w:rsid w:val="00CC4000"/>
    <w:rsid w:val="00CC47C2"/>
    <w:rsid w:val="00CC5E02"/>
    <w:rsid w:val="00CC7466"/>
    <w:rsid w:val="00CC7596"/>
    <w:rsid w:val="00CC75C2"/>
    <w:rsid w:val="00CC7AE3"/>
    <w:rsid w:val="00CC7F10"/>
    <w:rsid w:val="00CD191C"/>
    <w:rsid w:val="00CD2176"/>
    <w:rsid w:val="00CD2D3E"/>
    <w:rsid w:val="00CD3728"/>
    <w:rsid w:val="00CD5144"/>
    <w:rsid w:val="00CD541C"/>
    <w:rsid w:val="00CD7471"/>
    <w:rsid w:val="00CE01F8"/>
    <w:rsid w:val="00CE0690"/>
    <w:rsid w:val="00CE104A"/>
    <w:rsid w:val="00CE1E57"/>
    <w:rsid w:val="00CE2F6C"/>
    <w:rsid w:val="00CE3AE4"/>
    <w:rsid w:val="00CE4F9C"/>
    <w:rsid w:val="00CE5AF1"/>
    <w:rsid w:val="00CE5C6E"/>
    <w:rsid w:val="00CE5E99"/>
    <w:rsid w:val="00CF1D7C"/>
    <w:rsid w:val="00CF2052"/>
    <w:rsid w:val="00CF37F5"/>
    <w:rsid w:val="00CF500F"/>
    <w:rsid w:val="00CF593F"/>
    <w:rsid w:val="00CF6E0C"/>
    <w:rsid w:val="00CF74D7"/>
    <w:rsid w:val="00D001BF"/>
    <w:rsid w:val="00D008B5"/>
    <w:rsid w:val="00D02A99"/>
    <w:rsid w:val="00D02FAA"/>
    <w:rsid w:val="00D041DA"/>
    <w:rsid w:val="00D04F2E"/>
    <w:rsid w:val="00D05091"/>
    <w:rsid w:val="00D062E9"/>
    <w:rsid w:val="00D0661C"/>
    <w:rsid w:val="00D067F7"/>
    <w:rsid w:val="00D06982"/>
    <w:rsid w:val="00D06B00"/>
    <w:rsid w:val="00D104F8"/>
    <w:rsid w:val="00D10C39"/>
    <w:rsid w:val="00D12201"/>
    <w:rsid w:val="00D12492"/>
    <w:rsid w:val="00D12C26"/>
    <w:rsid w:val="00D12DCC"/>
    <w:rsid w:val="00D147AC"/>
    <w:rsid w:val="00D149DB"/>
    <w:rsid w:val="00D152E9"/>
    <w:rsid w:val="00D17AD2"/>
    <w:rsid w:val="00D202A2"/>
    <w:rsid w:val="00D21047"/>
    <w:rsid w:val="00D2480E"/>
    <w:rsid w:val="00D25F53"/>
    <w:rsid w:val="00D26BCE"/>
    <w:rsid w:val="00D274CF"/>
    <w:rsid w:val="00D2769C"/>
    <w:rsid w:val="00D27AC3"/>
    <w:rsid w:val="00D27B73"/>
    <w:rsid w:val="00D33910"/>
    <w:rsid w:val="00D34423"/>
    <w:rsid w:val="00D34897"/>
    <w:rsid w:val="00D35288"/>
    <w:rsid w:val="00D352F6"/>
    <w:rsid w:val="00D35C89"/>
    <w:rsid w:val="00D376A6"/>
    <w:rsid w:val="00D4028F"/>
    <w:rsid w:val="00D435A4"/>
    <w:rsid w:val="00D44518"/>
    <w:rsid w:val="00D45074"/>
    <w:rsid w:val="00D45252"/>
    <w:rsid w:val="00D4623A"/>
    <w:rsid w:val="00D464D4"/>
    <w:rsid w:val="00D47ED5"/>
    <w:rsid w:val="00D506D3"/>
    <w:rsid w:val="00D50B98"/>
    <w:rsid w:val="00D52DED"/>
    <w:rsid w:val="00D53E7A"/>
    <w:rsid w:val="00D54A50"/>
    <w:rsid w:val="00D54ABD"/>
    <w:rsid w:val="00D54FB1"/>
    <w:rsid w:val="00D562FE"/>
    <w:rsid w:val="00D6081C"/>
    <w:rsid w:val="00D611B0"/>
    <w:rsid w:val="00D617CE"/>
    <w:rsid w:val="00D63343"/>
    <w:rsid w:val="00D64715"/>
    <w:rsid w:val="00D64E79"/>
    <w:rsid w:val="00D66C86"/>
    <w:rsid w:val="00D676AA"/>
    <w:rsid w:val="00D7034A"/>
    <w:rsid w:val="00D7111B"/>
    <w:rsid w:val="00D71B4D"/>
    <w:rsid w:val="00D737DF"/>
    <w:rsid w:val="00D74248"/>
    <w:rsid w:val="00D74D74"/>
    <w:rsid w:val="00D7557C"/>
    <w:rsid w:val="00D76163"/>
    <w:rsid w:val="00D764ED"/>
    <w:rsid w:val="00D7657E"/>
    <w:rsid w:val="00D765AB"/>
    <w:rsid w:val="00D76778"/>
    <w:rsid w:val="00D8049F"/>
    <w:rsid w:val="00D842D1"/>
    <w:rsid w:val="00D85015"/>
    <w:rsid w:val="00D85928"/>
    <w:rsid w:val="00D87A33"/>
    <w:rsid w:val="00D911DD"/>
    <w:rsid w:val="00D9179D"/>
    <w:rsid w:val="00D92BB0"/>
    <w:rsid w:val="00D93D55"/>
    <w:rsid w:val="00D94241"/>
    <w:rsid w:val="00D96A1B"/>
    <w:rsid w:val="00D96F77"/>
    <w:rsid w:val="00D97509"/>
    <w:rsid w:val="00DA384C"/>
    <w:rsid w:val="00DA582C"/>
    <w:rsid w:val="00DA6853"/>
    <w:rsid w:val="00DA7C17"/>
    <w:rsid w:val="00DB0B8E"/>
    <w:rsid w:val="00DB1BC9"/>
    <w:rsid w:val="00DB3CD0"/>
    <w:rsid w:val="00DB57AF"/>
    <w:rsid w:val="00DB7B48"/>
    <w:rsid w:val="00DB7BAC"/>
    <w:rsid w:val="00DC04E3"/>
    <w:rsid w:val="00DC0CC0"/>
    <w:rsid w:val="00DC18EB"/>
    <w:rsid w:val="00DC3ED8"/>
    <w:rsid w:val="00DC5D46"/>
    <w:rsid w:val="00DC6A82"/>
    <w:rsid w:val="00DD1003"/>
    <w:rsid w:val="00DD1C2B"/>
    <w:rsid w:val="00DD2326"/>
    <w:rsid w:val="00DD24CE"/>
    <w:rsid w:val="00DD2D79"/>
    <w:rsid w:val="00DD3E07"/>
    <w:rsid w:val="00DE043E"/>
    <w:rsid w:val="00DE0C35"/>
    <w:rsid w:val="00DE17C0"/>
    <w:rsid w:val="00DE2F5C"/>
    <w:rsid w:val="00DE3511"/>
    <w:rsid w:val="00DE536E"/>
    <w:rsid w:val="00DE67CB"/>
    <w:rsid w:val="00DF1057"/>
    <w:rsid w:val="00DF45D3"/>
    <w:rsid w:val="00DF63AE"/>
    <w:rsid w:val="00DF65C4"/>
    <w:rsid w:val="00E00AD2"/>
    <w:rsid w:val="00E01E5E"/>
    <w:rsid w:val="00E024BB"/>
    <w:rsid w:val="00E02AF6"/>
    <w:rsid w:val="00E03D8E"/>
    <w:rsid w:val="00E0497C"/>
    <w:rsid w:val="00E04CA4"/>
    <w:rsid w:val="00E05CBD"/>
    <w:rsid w:val="00E07277"/>
    <w:rsid w:val="00E07964"/>
    <w:rsid w:val="00E10AB0"/>
    <w:rsid w:val="00E10B66"/>
    <w:rsid w:val="00E12037"/>
    <w:rsid w:val="00E12336"/>
    <w:rsid w:val="00E14AED"/>
    <w:rsid w:val="00E14CB6"/>
    <w:rsid w:val="00E14E6E"/>
    <w:rsid w:val="00E150C3"/>
    <w:rsid w:val="00E1655B"/>
    <w:rsid w:val="00E17607"/>
    <w:rsid w:val="00E17756"/>
    <w:rsid w:val="00E17893"/>
    <w:rsid w:val="00E17F3C"/>
    <w:rsid w:val="00E2187F"/>
    <w:rsid w:val="00E23912"/>
    <w:rsid w:val="00E24D96"/>
    <w:rsid w:val="00E24FED"/>
    <w:rsid w:val="00E2655D"/>
    <w:rsid w:val="00E26940"/>
    <w:rsid w:val="00E26D74"/>
    <w:rsid w:val="00E26DEB"/>
    <w:rsid w:val="00E27A99"/>
    <w:rsid w:val="00E313CB"/>
    <w:rsid w:val="00E32194"/>
    <w:rsid w:val="00E327A6"/>
    <w:rsid w:val="00E335FE"/>
    <w:rsid w:val="00E33BAC"/>
    <w:rsid w:val="00E34CB8"/>
    <w:rsid w:val="00E36913"/>
    <w:rsid w:val="00E36D9C"/>
    <w:rsid w:val="00E4016A"/>
    <w:rsid w:val="00E41A83"/>
    <w:rsid w:val="00E423C3"/>
    <w:rsid w:val="00E43B78"/>
    <w:rsid w:val="00E4679C"/>
    <w:rsid w:val="00E46C61"/>
    <w:rsid w:val="00E46C77"/>
    <w:rsid w:val="00E47277"/>
    <w:rsid w:val="00E500F0"/>
    <w:rsid w:val="00E50B06"/>
    <w:rsid w:val="00E51D57"/>
    <w:rsid w:val="00E566D7"/>
    <w:rsid w:val="00E57C96"/>
    <w:rsid w:val="00E60E54"/>
    <w:rsid w:val="00E63F4F"/>
    <w:rsid w:val="00E66BA0"/>
    <w:rsid w:val="00E67322"/>
    <w:rsid w:val="00E7085F"/>
    <w:rsid w:val="00E7142F"/>
    <w:rsid w:val="00E71A3B"/>
    <w:rsid w:val="00E72A28"/>
    <w:rsid w:val="00E75746"/>
    <w:rsid w:val="00E7624E"/>
    <w:rsid w:val="00E771C8"/>
    <w:rsid w:val="00E77721"/>
    <w:rsid w:val="00E802EB"/>
    <w:rsid w:val="00E824FB"/>
    <w:rsid w:val="00E83667"/>
    <w:rsid w:val="00E86EBA"/>
    <w:rsid w:val="00E87E42"/>
    <w:rsid w:val="00E926A3"/>
    <w:rsid w:val="00E945BB"/>
    <w:rsid w:val="00E94835"/>
    <w:rsid w:val="00E9583B"/>
    <w:rsid w:val="00E96787"/>
    <w:rsid w:val="00E96DE0"/>
    <w:rsid w:val="00EA3322"/>
    <w:rsid w:val="00EA5C44"/>
    <w:rsid w:val="00EA6060"/>
    <w:rsid w:val="00EA652C"/>
    <w:rsid w:val="00EA75A8"/>
    <w:rsid w:val="00EB0C94"/>
    <w:rsid w:val="00EB2359"/>
    <w:rsid w:val="00EB2AAD"/>
    <w:rsid w:val="00EB3680"/>
    <w:rsid w:val="00EB47F4"/>
    <w:rsid w:val="00EB5415"/>
    <w:rsid w:val="00EB5C73"/>
    <w:rsid w:val="00EB7ED2"/>
    <w:rsid w:val="00EB7EDD"/>
    <w:rsid w:val="00EC1F43"/>
    <w:rsid w:val="00EC3E4F"/>
    <w:rsid w:val="00EC4E49"/>
    <w:rsid w:val="00EC54B6"/>
    <w:rsid w:val="00EC7504"/>
    <w:rsid w:val="00EC7B1C"/>
    <w:rsid w:val="00ED03E3"/>
    <w:rsid w:val="00ED11DF"/>
    <w:rsid w:val="00ED246C"/>
    <w:rsid w:val="00ED39FD"/>
    <w:rsid w:val="00ED4628"/>
    <w:rsid w:val="00ED50D6"/>
    <w:rsid w:val="00ED50F8"/>
    <w:rsid w:val="00ED553E"/>
    <w:rsid w:val="00ED5D6A"/>
    <w:rsid w:val="00ED64C7"/>
    <w:rsid w:val="00ED77FB"/>
    <w:rsid w:val="00EE03D1"/>
    <w:rsid w:val="00EE1B45"/>
    <w:rsid w:val="00EE1F30"/>
    <w:rsid w:val="00EE2495"/>
    <w:rsid w:val="00EE28EF"/>
    <w:rsid w:val="00EE45FA"/>
    <w:rsid w:val="00EE48DA"/>
    <w:rsid w:val="00EE4909"/>
    <w:rsid w:val="00EE5AA0"/>
    <w:rsid w:val="00EE659D"/>
    <w:rsid w:val="00EE68D9"/>
    <w:rsid w:val="00EE7CA8"/>
    <w:rsid w:val="00EF0916"/>
    <w:rsid w:val="00EF1957"/>
    <w:rsid w:val="00EF1D67"/>
    <w:rsid w:val="00EF2AE4"/>
    <w:rsid w:val="00EF2D7B"/>
    <w:rsid w:val="00EF3308"/>
    <w:rsid w:val="00EF4399"/>
    <w:rsid w:val="00EF454A"/>
    <w:rsid w:val="00EF6716"/>
    <w:rsid w:val="00EF748D"/>
    <w:rsid w:val="00F012B1"/>
    <w:rsid w:val="00F01683"/>
    <w:rsid w:val="00F021E0"/>
    <w:rsid w:val="00F02E20"/>
    <w:rsid w:val="00F0702F"/>
    <w:rsid w:val="00F10AFF"/>
    <w:rsid w:val="00F10E74"/>
    <w:rsid w:val="00F114D5"/>
    <w:rsid w:val="00F13727"/>
    <w:rsid w:val="00F151BE"/>
    <w:rsid w:val="00F17274"/>
    <w:rsid w:val="00F17945"/>
    <w:rsid w:val="00F208DA"/>
    <w:rsid w:val="00F21480"/>
    <w:rsid w:val="00F222BD"/>
    <w:rsid w:val="00F23137"/>
    <w:rsid w:val="00F255F3"/>
    <w:rsid w:val="00F25D0C"/>
    <w:rsid w:val="00F26B68"/>
    <w:rsid w:val="00F27EAA"/>
    <w:rsid w:val="00F32ECB"/>
    <w:rsid w:val="00F33B47"/>
    <w:rsid w:val="00F34906"/>
    <w:rsid w:val="00F3504B"/>
    <w:rsid w:val="00F36B02"/>
    <w:rsid w:val="00F400FB"/>
    <w:rsid w:val="00F430B8"/>
    <w:rsid w:val="00F4358C"/>
    <w:rsid w:val="00F45A36"/>
    <w:rsid w:val="00F46014"/>
    <w:rsid w:val="00F472B9"/>
    <w:rsid w:val="00F475BF"/>
    <w:rsid w:val="00F47EE4"/>
    <w:rsid w:val="00F5116A"/>
    <w:rsid w:val="00F53CA1"/>
    <w:rsid w:val="00F53FA9"/>
    <w:rsid w:val="00F5465D"/>
    <w:rsid w:val="00F54E5C"/>
    <w:rsid w:val="00F55E1B"/>
    <w:rsid w:val="00F560ED"/>
    <w:rsid w:val="00F563B1"/>
    <w:rsid w:val="00F609CF"/>
    <w:rsid w:val="00F60C19"/>
    <w:rsid w:val="00F61B11"/>
    <w:rsid w:val="00F6210B"/>
    <w:rsid w:val="00F647AF"/>
    <w:rsid w:val="00F659CE"/>
    <w:rsid w:val="00F66152"/>
    <w:rsid w:val="00F66692"/>
    <w:rsid w:val="00F6671A"/>
    <w:rsid w:val="00F6730F"/>
    <w:rsid w:val="00F7034A"/>
    <w:rsid w:val="00F71107"/>
    <w:rsid w:val="00F731D9"/>
    <w:rsid w:val="00F7562D"/>
    <w:rsid w:val="00F77A59"/>
    <w:rsid w:val="00F80BC1"/>
    <w:rsid w:val="00F81987"/>
    <w:rsid w:val="00F82A40"/>
    <w:rsid w:val="00F82B45"/>
    <w:rsid w:val="00F845E7"/>
    <w:rsid w:val="00F847C7"/>
    <w:rsid w:val="00F85D78"/>
    <w:rsid w:val="00F86EF0"/>
    <w:rsid w:val="00F87587"/>
    <w:rsid w:val="00F91333"/>
    <w:rsid w:val="00F9275C"/>
    <w:rsid w:val="00F92F2B"/>
    <w:rsid w:val="00F931EE"/>
    <w:rsid w:val="00F94CC0"/>
    <w:rsid w:val="00F966DF"/>
    <w:rsid w:val="00FA0086"/>
    <w:rsid w:val="00FA00E4"/>
    <w:rsid w:val="00FA0ED1"/>
    <w:rsid w:val="00FA1045"/>
    <w:rsid w:val="00FA10C7"/>
    <w:rsid w:val="00FA2A02"/>
    <w:rsid w:val="00FA31D7"/>
    <w:rsid w:val="00FA3438"/>
    <w:rsid w:val="00FA3762"/>
    <w:rsid w:val="00FA38BA"/>
    <w:rsid w:val="00FA4FB9"/>
    <w:rsid w:val="00FA523A"/>
    <w:rsid w:val="00FA5D71"/>
    <w:rsid w:val="00FA62DA"/>
    <w:rsid w:val="00FA7098"/>
    <w:rsid w:val="00FB10EF"/>
    <w:rsid w:val="00FB171B"/>
    <w:rsid w:val="00FB38EF"/>
    <w:rsid w:val="00FB3DE9"/>
    <w:rsid w:val="00FB5DEC"/>
    <w:rsid w:val="00FB634A"/>
    <w:rsid w:val="00FC032E"/>
    <w:rsid w:val="00FC1C80"/>
    <w:rsid w:val="00FC28A7"/>
    <w:rsid w:val="00FC6B49"/>
    <w:rsid w:val="00FC7CAE"/>
    <w:rsid w:val="00FD0A27"/>
    <w:rsid w:val="00FD12C2"/>
    <w:rsid w:val="00FD13F1"/>
    <w:rsid w:val="00FD1DC2"/>
    <w:rsid w:val="00FD2D30"/>
    <w:rsid w:val="00FD39A7"/>
    <w:rsid w:val="00FD4432"/>
    <w:rsid w:val="00FE093B"/>
    <w:rsid w:val="00FE18FF"/>
    <w:rsid w:val="00FE2CAE"/>
    <w:rsid w:val="00FE4BC2"/>
    <w:rsid w:val="00FE73FB"/>
    <w:rsid w:val="00FE7D37"/>
    <w:rsid w:val="00FF158C"/>
    <w:rsid w:val="00FF15EC"/>
    <w:rsid w:val="00FF36EF"/>
    <w:rsid w:val="00FF728E"/>
    <w:rsid w:val="00FF72EC"/>
    <w:rsid w:val="00FF7541"/>
    <w:rsid w:val="00FF7E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iPriority="99"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0">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1">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2">
    <w:name w:val="Texte de bulles Car"/>
    <w:basedOn w:val="DefaultParagraphFont"/>
    <w:uiPriority w:val="99"/>
    <w:semiHidden/>
    <w:rsid w:val="009A42E1"/>
    <w:rPr>
      <w:rFonts w:ascii="Lucida Grande" w:hAnsi="Lucida Grande" w:cs="Lucida Grande"/>
      <w:sz w:val="18"/>
      <w:szCs w:val="18"/>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iPriority w:val="99"/>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apple-converted-space">
    <w:name w:val="apple-converted-space"/>
    <w:basedOn w:val="DefaultParagraphFont"/>
    <w:rsid w:val="00F85D78"/>
  </w:style>
  <w:style w:type="paragraph" w:styleId="HTMLPreformatted">
    <w:name w:val="HTML Preformatted"/>
    <w:basedOn w:val="Normal"/>
    <w:link w:val="HTMLPreformattedChar"/>
    <w:rsid w:val="00F8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PreformattedChar">
    <w:name w:val="HTML Preformatted Char"/>
    <w:basedOn w:val="DefaultParagraphFont"/>
    <w:link w:val="HTMLPreformatted"/>
    <w:rsid w:val="00F85D78"/>
    <w:rPr>
      <w:rFonts w:ascii="Courier New" w:hAnsi="Courier New" w:cs="Courier New"/>
      <w:sz w:val="24"/>
      <w:szCs w:val="24"/>
    </w:rPr>
  </w:style>
  <w:style w:type="character" w:styleId="HTMLTypewriter">
    <w:name w:val="HTML Typewriter"/>
    <w:rsid w:val="00F85D78"/>
    <w:rPr>
      <w:rFonts w:ascii="Courier New" w:eastAsia="Times New Roman" w:hAnsi="Courier New" w:cs="Courier New"/>
      <w:sz w:val="20"/>
      <w:szCs w:val="20"/>
    </w:rPr>
  </w:style>
  <w:style w:type="paragraph" w:customStyle="1" w:styleId="MS">
    <w:name w:val="MS바탕글"/>
    <w:basedOn w:val="Normal"/>
    <w:rsid w:val="00F85D78"/>
    <w:pPr>
      <w:shd w:val="clear" w:color="auto" w:fill="FFFFFF"/>
      <w:autoSpaceDE w:val="0"/>
      <w:autoSpaceDN w:val="0"/>
      <w:textAlignment w:val="baseline"/>
    </w:pPr>
    <w:rPr>
      <w:rFonts w:eastAsia="Gulim" w:hAnsi="Gulim" w:cs="Gulim"/>
      <w:color w:val="000000"/>
      <w:szCs w:val="22"/>
      <w:lang w:eastAsia="ko-KR"/>
    </w:rPr>
  </w:style>
  <w:style w:type="paragraph" w:customStyle="1" w:styleId="a">
    <w:name w:val="바탕글"/>
    <w:basedOn w:val="Normal"/>
    <w:rsid w:val="00F85D78"/>
    <w:pPr>
      <w:widowControl w:val="0"/>
      <w:wordWrap w:val="0"/>
      <w:autoSpaceDE w:val="0"/>
      <w:autoSpaceDN w:val="0"/>
      <w:spacing w:line="384" w:lineRule="auto"/>
      <w:jc w:val="both"/>
      <w:textAlignment w:val="baseline"/>
    </w:pPr>
    <w:rPr>
      <w:rFonts w:ascii="함초롬바탕" w:eastAsia="Gulim" w:hAnsi="Gulim" w:cs="Gulim"/>
      <w:color w:val="000000"/>
      <w:sz w:val="20"/>
      <w:lang w:eastAsia="ko-KR"/>
    </w:rPr>
  </w:style>
  <w:style w:type="paragraph" w:customStyle="1" w:styleId="10">
    <w:name w:val="바탕글 사본1"/>
    <w:basedOn w:val="Normal"/>
    <w:rsid w:val="00310121"/>
    <w:pPr>
      <w:widowControl w:val="0"/>
      <w:shd w:val="clear" w:color="auto" w:fill="FFFFFF"/>
      <w:wordWrap w:val="0"/>
      <w:autoSpaceDE w:val="0"/>
      <w:autoSpaceDN w:val="0"/>
      <w:jc w:val="both"/>
      <w:textAlignment w:val="baseline"/>
    </w:pPr>
    <w:rPr>
      <w:rFonts w:ascii="Malgun Gothic" w:eastAsia="Gulim" w:hAnsi="Gulim" w:cs="Gulim"/>
      <w:color w:val="000000"/>
      <w:kern w:val="2"/>
      <w:sz w:val="20"/>
      <w:szCs w:val="20"/>
      <w:lang w:eastAsia="ko-KR"/>
    </w:rPr>
  </w:style>
  <w:style w:type="paragraph" w:customStyle="1" w:styleId="Normal10">
    <w:name w:val="Normal1"/>
    <w:rsid w:val="00310121"/>
    <w:pPr>
      <w:pBdr>
        <w:top w:val="nil"/>
        <w:left w:val="nil"/>
        <w:bottom w:val="nil"/>
        <w:right w:val="nil"/>
        <w:between w:val="nil"/>
      </w:pBdr>
      <w:spacing w:line="276" w:lineRule="auto"/>
    </w:pPr>
    <w:rPr>
      <w:rFonts w:ascii="Arial" w:eastAsia="Arial" w:hAnsi="Arial" w:cs="Arial"/>
      <w:color w:val="000000"/>
      <w:sz w:val="22"/>
      <w:szCs w:val="22"/>
      <w:lang w:eastAsia="fr-FR"/>
    </w:rPr>
  </w:style>
  <w:style w:type="character" w:customStyle="1" w:styleId="ONUMFSChar">
    <w:name w:val="ONUM FS Char"/>
    <w:link w:val="ONUMFS"/>
    <w:locked/>
    <w:rsid w:val="0031012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iPriority="99"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0">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1">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2">
    <w:name w:val="Texte de bulles Car"/>
    <w:basedOn w:val="DefaultParagraphFont"/>
    <w:uiPriority w:val="99"/>
    <w:semiHidden/>
    <w:rsid w:val="009A42E1"/>
    <w:rPr>
      <w:rFonts w:ascii="Lucida Grande" w:hAnsi="Lucida Grande" w:cs="Lucida Grande"/>
      <w:sz w:val="18"/>
      <w:szCs w:val="18"/>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iPriority w:val="99"/>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apple-converted-space">
    <w:name w:val="apple-converted-space"/>
    <w:basedOn w:val="DefaultParagraphFont"/>
    <w:rsid w:val="00F85D78"/>
  </w:style>
  <w:style w:type="paragraph" w:styleId="HTMLPreformatted">
    <w:name w:val="HTML Preformatted"/>
    <w:basedOn w:val="Normal"/>
    <w:link w:val="HTMLPreformattedChar"/>
    <w:rsid w:val="00F8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PreformattedChar">
    <w:name w:val="HTML Preformatted Char"/>
    <w:basedOn w:val="DefaultParagraphFont"/>
    <w:link w:val="HTMLPreformatted"/>
    <w:rsid w:val="00F85D78"/>
    <w:rPr>
      <w:rFonts w:ascii="Courier New" w:hAnsi="Courier New" w:cs="Courier New"/>
      <w:sz w:val="24"/>
      <w:szCs w:val="24"/>
    </w:rPr>
  </w:style>
  <w:style w:type="character" w:styleId="HTMLTypewriter">
    <w:name w:val="HTML Typewriter"/>
    <w:rsid w:val="00F85D78"/>
    <w:rPr>
      <w:rFonts w:ascii="Courier New" w:eastAsia="Times New Roman" w:hAnsi="Courier New" w:cs="Courier New"/>
      <w:sz w:val="20"/>
      <w:szCs w:val="20"/>
    </w:rPr>
  </w:style>
  <w:style w:type="paragraph" w:customStyle="1" w:styleId="MS">
    <w:name w:val="MS바탕글"/>
    <w:basedOn w:val="Normal"/>
    <w:rsid w:val="00F85D78"/>
    <w:pPr>
      <w:shd w:val="clear" w:color="auto" w:fill="FFFFFF"/>
      <w:autoSpaceDE w:val="0"/>
      <w:autoSpaceDN w:val="0"/>
      <w:textAlignment w:val="baseline"/>
    </w:pPr>
    <w:rPr>
      <w:rFonts w:eastAsia="Gulim" w:hAnsi="Gulim" w:cs="Gulim"/>
      <w:color w:val="000000"/>
      <w:szCs w:val="22"/>
      <w:lang w:eastAsia="ko-KR"/>
    </w:rPr>
  </w:style>
  <w:style w:type="paragraph" w:customStyle="1" w:styleId="a">
    <w:name w:val="바탕글"/>
    <w:basedOn w:val="Normal"/>
    <w:rsid w:val="00F85D78"/>
    <w:pPr>
      <w:widowControl w:val="0"/>
      <w:wordWrap w:val="0"/>
      <w:autoSpaceDE w:val="0"/>
      <w:autoSpaceDN w:val="0"/>
      <w:spacing w:line="384" w:lineRule="auto"/>
      <w:jc w:val="both"/>
      <w:textAlignment w:val="baseline"/>
    </w:pPr>
    <w:rPr>
      <w:rFonts w:ascii="함초롬바탕" w:eastAsia="Gulim" w:hAnsi="Gulim" w:cs="Gulim"/>
      <w:color w:val="000000"/>
      <w:sz w:val="20"/>
      <w:lang w:eastAsia="ko-KR"/>
    </w:rPr>
  </w:style>
  <w:style w:type="paragraph" w:customStyle="1" w:styleId="10">
    <w:name w:val="바탕글 사본1"/>
    <w:basedOn w:val="Normal"/>
    <w:rsid w:val="00310121"/>
    <w:pPr>
      <w:widowControl w:val="0"/>
      <w:shd w:val="clear" w:color="auto" w:fill="FFFFFF"/>
      <w:wordWrap w:val="0"/>
      <w:autoSpaceDE w:val="0"/>
      <w:autoSpaceDN w:val="0"/>
      <w:jc w:val="both"/>
      <w:textAlignment w:val="baseline"/>
    </w:pPr>
    <w:rPr>
      <w:rFonts w:ascii="Malgun Gothic" w:eastAsia="Gulim" w:hAnsi="Gulim" w:cs="Gulim"/>
      <w:color w:val="000000"/>
      <w:kern w:val="2"/>
      <w:sz w:val="20"/>
      <w:szCs w:val="20"/>
      <w:lang w:eastAsia="ko-KR"/>
    </w:rPr>
  </w:style>
  <w:style w:type="paragraph" w:customStyle="1" w:styleId="Normal10">
    <w:name w:val="Normal1"/>
    <w:rsid w:val="00310121"/>
    <w:pPr>
      <w:pBdr>
        <w:top w:val="nil"/>
        <w:left w:val="nil"/>
        <w:bottom w:val="nil"/>
        <w:right w:val="nil"/>
        <w:between w:val="nil"/>
      </w:pBdr>
      <w:spacing w:line="276" w:lineRule="auto"/>
    </w:pPr>
    <w:rPr>
      <w:rFonts w:ascii="Arial" w:eastAsia="Arial" w:hAnsi="Arial" w:cs="Arial"/>
      <w:color w:val="000000"/>
      <w:sz w:val="22"/>
      <w:szCs w:val="22"/>
      <w:lang w:eastAsia="fr-FR"/>
    </w:rPr>
  </w:style>
  <w:style w:type="character" w:customStyle="1" w:styleId="ONUMFSChar">
    <w:name w:val="ONUM FS Char"/>
    <w:link w:val="ONUMFS"/>
    <w:locked/>
    <w:rsid w:val="0031012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6">
      <w:bodyDiv w:val="1"/>
      <w:marLeft w:val="0"/>
      <w:marRight w:val="0"/>
      <w:marTop w:val="0"/>
      <w:marBottom w:val="0"/>
      <w:divBdr>
        <w:top w:val="none" w:sz="0" w:space="0" w:color="auto"/>
        <w:left w:val="none" w:sz="0" w:space="0" w:color="auto"/>
        <w:bottom w:val="none" w:sz="0" w:space="0" w:color="auto"/>
        <w:right w:val="none" w:sz="0" w:space="0" w:color="auto"/>
      </w:divBdr>
      <w:divsChild>
        <w:div w:id="1888029603">
          <w:marLeft w:val="0"/>
          <w:marRight w:val="0"/>
          <w:marTop w:val="0"/>
          <w:marBottom w:val="0"/>
          <w:divBdr>
            <w:top w:val="none" w:sz="0" w:space="0" w:color="auto"/>
            <w:left w:val="none" w:sz="0" w:space="0" w:color="auto"/>
            <w:bottom w:val="none" w:sz="0" w:space="0" w:color="auto"/>
            <w:right w:val="none" w:sz="0" w:space="0" w:color="auto"/>
          </w:divBdr>
          <w:divsChild>
            <w:div w:id="1094090724">
              <w:marLeft w:val="0"/>
              <w:marRight w:val="0"/>
              <w:marTop w:val="0"/>
              <w:marBottom w:val="0"/>
              <w:divBdr>
                <w:top w:val="none" w:sz="0" w:space="0" w:color="auto"/>
                <w:left w:val="none" w:sz="0" w:space="0" w:color="auto"/>
                <w:bottom w:val="none" w:sz="0" w:space="0" w:color="auto"/>
                <w:right w:val="none" w:sz="0" w:space="0" w:color="auto"/>
              </w:divBdr>
              <w:divsChild>
                <w:div w:id="20739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7165">
      <w:bodyDiv w:val="1"/>
      <w:marLeft w:val="0"/>
      <w:marRight w:val="0"/>
      <w:marTop w:val="0"/>
      <w:marBottom w:val="0"/>
      <w:divBdr>
        <w:top w:val="none" w:sz="0" w:space="0" w:color="auto"/>
        <w:left w:val="none" w:sz="0" w:space="0" w:color="auto"/>
        <w:bottom w:val="none" w:sz="0" w:space="0" w:color="auto"/>
        <w:right w:val="none" w:sz="0" w:space="0" w:color="auto"/>
      </w:divBdr>
      <w:divsChild>
        <w:div w:id="2139686302">
          <w:marLeft w:val="0"/>
          <w:marRight w:val="0"/>
          <w:marTop w:val="0"/>
          <w:marBottom w:val="0"/>
          <w:divBdr>
            <w:top w:val="none" w:sz="0" w:space="0" w:color="auto"/>
            <w:left w:val="none" w:sz="0" w:space="0" w:color="auto"/>
            <w:bottom w:val="none" w:sz="0" w:space="0" w:color="auto"/>
            <w:right w:val="none" w:sz="0" w:space="0" w:color="auto"/>
          </w:divBdr>
          <w:divsChild>
            <w:div w:id="354038080">
              <w:marLeft w:val="0"/>
              <w:marRight w:val="0"/>
              <w:marTop w:val="0"/>
              <w:marBottom w:val="0"/>
              <w:divBdr>
                <w:top w:val="none" w:sz="0" w:space="0" w:color="auto"/>
                <w:left w:val="none" w:sz="0" w:space="0" w:color="auto"/>
                <w:bottom w:val="none" w:sz="0" w:space="0" w:color="auto"/>
                <w:right w:val="none" w:sz="0" w:space="0" w:color="auto"/>
              </w:divBdr>
              <w:divsChild>
                <w:div w:id="13429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536166965">
      <w:bodyDiv w:val="1"/>
      <w:marLeft w:val="0"/>
      <w:marRight w:val="0"/>
      <w:marTop w:val="0"/>
      <w:marBottom w:val="0"/>
      <w:divBdr>
        <w:top w:val="none" w:sz="0" w:space="0" w:color="auto"/>
        <w:left w:val="none" w:sz="0" w:space="0" w:color="auto"/>
        <w:bottom w:val="none" w:sz="0" w:space="0" w:color="auto"/>
        <w:right w:val="none" w:sz="0" w:space="0" w:color="auto"/>
      </w:divBdr>
      <w:divsChild>
        <w:div w:id="2073042190">
          <w:marLeft w:val="0"/>
          <w:marRight w:val="0"/>
          <w:marTop w:val="0"/>
          <w:marBottom w:val="0"/>
          <w:divBdr>
            <w:top w:val="none" w:sz="0" w:space="0" w:color="auto"/>
            <w:left w:val="none" w:sz="0" w:space="0" w:color="auto"/>
            <w:bottom w:val="none" w:sz="0" w:space="0" w:color="auto"/>
            <w:right w:val="none" w:sz="0" w:space="0" w:color="auto"/>
          </w:divBdr>
          <w:divsChild>
            <w:div w:id="814370654">
              <w:marLeft w:val="0"/>
              <w:marRight w:val="0"/>
              <w:marTop w:val="0"/>
              <w:marBottom w:val="0"/>
              <w:divBdr>
                <w:top w:val="none" w:sz="0" w:space="0" w:color="auto"/>
                <w:left w:val="none" w:sz="0" w:space="0" w:color="auto"/>
                <w:bottom w:val="none" w:sz="0" w:space="0" w:color="auto"/>
                <w:right w:val="none" w:sz="0" w:space="0" w:color="auto"/>
              </w:divBdr>
              <w:divsChild>
                <w:div w:id="188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4400">
      <w:bodyDiv w:val="1"/>
      <w:marLeft w:val="0"/>
      <w:marRight w:val="0"/>
      <w:marTop w:val="0"/>
      <w:marBottom w:val="0"/>
      <w:divBdr>
        <w:top w:val="none" w:sz="0" w:space="0" w:color="auto"/>
        <w:left w:val="none" w:sz="0" w:space="0" w:color="auto"/>
        <w:bottom w:val="none" w:sz="0" w:space="0" w:color="auto"/>
        <w:right w:val="none" w:sz="0" w:space="0" w:color="auto"/>
      </w:divBdr>
      <w:divsChild>
        <w:div w:id="2021858520">
          <w:marLeft w:val="0"/>
          <w:marRight w:val="0"/>
          <w:marTop w:val="0"/>
          <w:marBottom w:val="0"/>
          <w:divBdr>
            <w:top w:val="none" w:sz="0" w:space="0" w:color="auto"/>
            <w:left w:val="none" w:sz="0" w:space="0" w:color="auto"/>
            <w:bottom w:val="none" w:sz="0" w:space="0" w:color="auto"/>
            <w:right w:val="none" w:sz="0" w:space="0" w:color="auto"/>
          </w:divBdr>
          <w:divsChild>
            <w:div w:id="934827614">
              <w:marLeft w:val="0"/>
              <w:marRight w:val="0"/>
              <w:marTop w:val="0"/>
              <w:marBottom w:val="0"/>
              <w:divBdr>
                <w:top w:val="none" w:sz="0" w:space="0" w:color="auto"/>
                <w:left w:val="none" w:sz="0" w:space="0" w:color="auto"/>
                <w:bottom w:val="none" w:sz="0" w:space="0" w:color="auto"/>
                <w:right w:val="none" w:sz="0" w:space="0" w:color="auto"/>
              </w:divBdr>
              <w:divsChild>
                <w:div w:id="1198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0755">
      <w:bodyDiv w:val="1"/>
      <w:marLeft w:val="0"/>
      <w:marRight w:val="0"/>
      <w:marTop w:val="0"/>
      <w:marBottom w:val="0"/>
      <w:divBdr>
        <w:top w:val="none" w:sz="0" w:space="0" w:color="auto"/>
        <w:left w:val="none" w:sz="0" w:space="0" w:color="auto"/>
        <w:bottom w:val="none" w:sz="0" w:space="0" w:color="auto"/>
        <w:right w:val="none" w:sz="0" w:space="0" w:color="auto"/>
      </w:divBdr>
      <w:divsChild>
        <w:div w:id="1699701658">
          <w:marLeft w:val="0"/>
          <w:marRight w:val="0"/>
          <w:marTop w:val="0"/>
          <w:marBottom w:val="0"/>
          <w:divBdr>
            <w:top w:val="none" w:sz="0" w:space="0" w:color="auto"/>
            <w:left w:val="none" w:sz="0" w:space="0" w:color="auto"/>
            <w:bottom w:val="none" w:sz="0" w:space="0" w:color="auto"/>
            <w:right w:val="none" w:sz="0" w:space="0" w:color="auto"/>
          </w:divBdr>
          <w:divsChild>
            <w:div w:id="1949120855">
              <w:marLeft w:val="0"/>
              <w:marRight w:val="0"/>
              <w:marTop w:val="0"/>
              <w:marBottom w:val="0"/>
              <w:divBdr>
                <w:top w:val="none" w:sz="0" w:space="0" w:color="auto"/>
                <w:left w:val="none" w:sz="0" w:space="0" w:color="auto"/>
                <w:bottom w:val="none" w:sz="0" w:space="0" w:color="auto"/>
                <w:right w:val="none" w:sz="0" w:space="0" w:color="auto"/>
              </w:divBdr>
              <w:divsChild>
                <w:div w:id="60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291781441">
      <w:bodyDiv w:val="1"/>
      <w:marLeft w:val="0"/>
      <w:marRight w:val="0"/>
      <w:marTop w:val="0"/>
      <w:marBottom w:val="0"/>
      <w:divBdr>
        <w:top w:val="none" w:sz="0" w:space="0" w:color="auto"/>
        <w:left w:val="none" w:sz="0" w:space="0" w:color="auto"/>
        <w:bottom w:val="none" w:sz="0" w:space="0" w:color="auto"/>
        <w:right w:val="none" w:sz="0" w:space="0" w:color="auto"/>
      </w:divBdr>
      <w:divsChild>
        <w:div w:id="1137337683">
          <w:marLeft w:val="0"/>
          <w:marRight w:val="0"/>
          <w:marTop w:val="0"/>
          <w:marBottom w:val="0"/>
          <w:divBdr>
            <w:top w:val="none" w:sz="0" w:space="0" w:color="auto"/>
            <w:left w:val="none" w:sz="0" w:space="0" w:color="auto"/>
            <w:bottom w:val="none" w:sz="0" w:space="0" w:color="auto"/>
            <w:right w:val="none" w:sz="0" w:space="0" w:color="auto"/>
          </w:divBdr>
          <w:divsChild>
            <w:div w:id="1524052120">
              <w:marLeft w:val="0"/>
              <w:marRight w:val="0"/>
              <w:marTop w:val="0"/>
              <w:marBottom w:val="0"/>
              <w:divBdr>
                <w:top w:val="none" w:sz="0" w:space="0" w:color="auto"/>
                <w:left w:val="none" w:sz="0" w:space="0" w:color="auto"/>
                <w:bottom w:val="none" w:sz="0" w:space="0" w:color="auto"/>
                <w:right w:val="none" w:sz="0" w:space="0" w:color="auto"/>
              </w:divBdr>
              <w:divsChild>
                <w:div w:id="666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798833983">
      <w:bodyDiv w:val="1"/>
      <w:marLeft w:val="0"/>
      <w:marRight w:val="0"/>
      <w:marTop w:val="0"/>
      <w:marBottom w:val="0"/>
      <w:divBdr>
        <w:top w:val="none" w:sz="0" w:space="0" w:color="auto"/>
        <w:left w:val="none" w:sz="0" w:space="0" w:color="auto"/>
        <w:bottom w:val="none" w:sz="0" w:space="0" w:color="auto"/>
        <w:right w:val="none" w:sz="0" w:space="0" w:color="auto"/>
      </w:divBdr>
      <w:divsChild>
        <w:div w:id="1940600051">
          <w:marLeft w:val="0"/>
          <w:marRight w:val="0"/>
          <w:marTop w:val="0"/>
          <w:marBottom w:val="0"/>
          <w:divBdr>
            <w:top w:val="none" w:sz="0" w:space="0" w:color="auto"/>
            <w:left w:val="none" w:sz="0" w:space="0" w:color="auto"/>
            <w:bottom w:val="none" w:sz="0" w:space="0" w:color="auto"/>
            <w:right w:val="none" w:sz="0" w:space="0" w:color="auto"/>
          </w:divBdr>
          <w:divsChild>
            <w:div w:id="1386026605">
              <w:marLeft w:val="0"/>
              <w:marRight w:val="0"/>
              <w:marTop w:val="0"/>
              <w:marBottom w:val="0"/>
              <w:divBdr>
                <w:top w:val="none" w:sz="0" w:space="0" w:color="auto"/>
                <w:left w:val="none" w:sz="0" w:space="0" w:color="auto"/>
                <w:bottom w:val="none" w:sz="0" w:space="0" w:color="auto"/>
                <w:right w:val="none" w:sz="0" w:space="0" w:color="auto"/>
              </w:divBdr>
              <w:divsChild>
                <w:div w:id="16899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68145479">
      <w:bodyDiv w:val="1"/>
      <w:marLeft w:val="0"/>
      <w:marRight w:val="0"/>
      <w:marTop w:val="0"/>
      <w:marBottom w:val="0"/>
      <w:divBdr>
        <w:top w:val="none" w:sz="0" w:space="0" w:color="auto"/>
        <w:left w:val="none" w:sz="0" w:space="0" w:color="auto"/>
        <w:bottom w:val="none" w:sz="0" w:space="0" w:color="auto"/>
        <w:right w:val="none" w:sz="0" w:space="0" w:color="auto"/>
      </w:divBdr>
      <w:divsChild>
        <w:div w:id="1800800400">
          <w:marLeft w:val="0"/>
          <w:marRight w:val="0"/>
          <w:marTop w:val="0"/>
          <w:marBottom w:val="0"/>
          <w:divBdr>
            <w:top w:val="none" w:sz="0" w:space="0" w:color="auto"/>
            <w:left w:val="none" w:sz="0" w:space="0" w:color="auto"/>
            <w:bottom w:val="none" w:sz="0" w:space="0" w:color="auto"/>
            <w:right w:val="none" w:sz="0" w:space="0" w:color="auto"/>
          </w:divBdr>
          <w:divsChild>
            <w:div w:id="1297294875">
              <w:marLeft w:val="0"/>
              <w:marRight w:val="0"/>
              <w:marTop w:val="0"/>
              <w:marBottom w:val="0"/>
              <w:divBdr>
                <w:top w:val="none" w:sz="0" w:space="0" w:color="auto"/>
                <w:left w:val="none" w:sz="0" w:space="0" w:color="auto"/>
                <w:bottom w:val="none" w:sz="0" w:space="0" w:color="auto"/>
                <w:right w:val="none" w:sz="0" w:space="0" w:color="auto"/>
              </w:divBdr>
              <w:divsChild>
                <w:div w:id="13822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ttreat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92E45-79FD-41F3-8953-82F71620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91</Pages>
  <Words>46767</Words>
  <Characters>266574</Characters>
  <Application>Microsoft Office Word</Application>
  <DocSecurity>0</DocSecurity>
  <Lines>2221</Lines>
  <Paragraphs>625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JIAO Fei</cp:lastModifiedBy>
  <cp:revision>14</cp:revision>
  <cp:lastPrinted>2018-05-15T09:43:00Z</cp:lastPrinted>
  <dcterms:created xsi:type="dcterms:W3CDTF">2018-05-15T08:59:00Z</dcterms:created>
  <dcterms:modified xsi:type="dcterms:W3CDTF">2018-05-18T14:08:00Z</dcterms:modified>
</cp:coreProperties>
</file>