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FC" w:rsidRPr="00235D0C" w:rsidRDefault="005165FC" w:rsidP="005165FC">
      <w:pPr>
        <w:ind w:left="-360"/>
        <w:jc w:val="center"/>
        <w:rPr>
          <w:rFonts w:ascii="Arial" w:hAnsi="Arial" w:cs="Arial"/>
          <w:b/>
          <w:sz w:val="22"/>
          <w:szCs w:val="22"/>
        </w:rPr>
      </w:pPr>
      <w:r w:rsidRPr="00235D0C">
        <w:rPr>
          <w:rFonts w:ascii="Arial" w:hAnsi="Arial" w:cs="Arial"/>
          <w:b/>
          <w:sz w:val="22"/>
          <w:szCs w:val="22"/>
        </w:rPr>
        <w:t>Information Note</w:t>
      </w:r>
      <w:r>
        <w:rPr>
          <w:rStyle w:val="FootnoteReference"/>
          <w:rFonts w:ascii="Arial" w:hAnsi="Arial" w:cs="Arial"/>
          <w:b/>
          <w:sz w:val="22"/>
          <w:szCs w:val="22"/>
        </w:rPr>
        <w:footnoteReference w:id="1"/>
      </w:r>
    </w:p>
    <w:p w:rsidR="005165FC" w:rsidRPr="00235D0C" w:rsidRDefault="005165FC" w:rsidP="005165FC">
      <w:pPr>
        <w:ind w:left="-360"/>
        <w:jc w:val="center"/>
        <w:rPr>
          <w:rFonts w:ascii="Arial" w:hAnsi="Arial" w:cs="Arial"/>
          <w:b/>
          <w:sz w:val="22"/>
          <w:szCs w:val="22"/>
        </w:rPr>
      </w:pPr>
    </w:p>
    <w:p w:rsidR="005165FC" w:rsidRPr="00235D0C" w:rsidRDefault="005165FC" w:rsidP="005165FC">
      <w:pPr>
        <w:ind w:left="-360"/>
        <w:jc w:val="center"/>
        <w:rPr>
          <w:rFonts w:ascii="Arial" w:hAnsi="Arial" w:cs="Arial"/>
          <w:b/>
          <w:sz w:val="22"/>
          <w:szCs w:val="22"/>
        </w:rPr>
      </w:pPr>
      <w:proofErr w:type="gramStart"/>
      <w:r w:rsidRPr="00235D0C">
        <w:rPr>
          <w:rFonts w:ascii="Arial" w:hAnsi="Arial" w:cs="Arial"/>
          <w:b/>
          <w:sz w:val="22"/>
          <w:szCs w:val="22"/>
        </w:rPr>
        <w:t>for</w:t>
      </w:r>
      <w:proofErr w:type="gramEnd"/>
      <w:r w:rsidRPr="00235D0C">
        <w:rPr>
          <w:rFonts w:ascii="Arial" w:hAnsi="Arial" w:cs="Arial"/>
          <w:b/>
          <w:sz w:val="22"/>
          <w:szCs w:val="22"/>
        </w:rPr>
        <w:t xml:space="preserve"> IGC </w:t>
      </w:r>
      <w:r>
        <w:rPr>
          <w:rFonts w:ascii="Arial" w:hAnsi="Arial" w:cs="Arial"/>
          <w:b/>
          <w:sz w:val="22"/>
          <w:szCs w:val="22"/>
        </w:rPr>
        <w:t>35</w:t>
      </w:r>
    </w:p>
    <w:p w:rsidR="005165FC" w:rsidRPr="00235D0C" w:rsidRDefault="005165FC" w:rsidP="005165FC">
      <w:pPr>
        <w:ind w:left="-360"/>
        <w:jc w:val="center"/>
        <w:rPr>
          <w:rFonts w:ascii="Arial" w:hAnsi="Arial" w:cs="Arial"/>
          <w:sz w:val="22"/>
          <w:szCs w:val="22"/>
        </w:rPr>
      </w:pPr>
    </w:p>
    <w:p w:rsidR="005165FC" w:rsidRDefault="005165FC" w:rsidP="005165FC">
      <w:pPr>
        <w:ind w:left="-360"/>
        <w:jc w:val="center"/>
        <w:rPr>
          <w:rFonts w:ascii="Arial" w:hAnsi="Arial" w:cs="Arial"/>
          <w:sz w:val="22"/>
          <w:szCs w:val="22"/>
        </w:rPr>
      </w:pPr>
      <w:r w:rsidRPr="00235D0C">
        <w:rPr>
          <w:rFonts w:ascii="Arial" w:hAnsi="Arial" w:cs="Arial"/>
          <w:sz w:val="22"/>
          <w:szCs w:val="22"/>
        </w:rPr>
        <w:t>Prepared by Mr. Ian Goss, the IGC Chair</w:t>
      </w:r>
      <w:r>
        <w:rPr>
          <w:rFonts w:ascii="Arial" w:hAnsi="Arial" w:cs="Arial"/>
          <w:sz w:val="22"/>
          <w:szCs w:val="22"/>
        </w:rPr>
        <w:t>-</w:t>
      </w:r>
      <w:r w:rsidR="007C0376">
        <w:rPr>
          <w:rFonts w:ascii="Arial" w:hAnsi="Arial" w:cs="Arial"/>
          <w:sz w:val="22"/>
          <w:szCs w:val="22"/>
        </w:rPr>
        <w:t>designate</w:t>
      </w:r>
    </w:p>
    <w:p w:rsidR="00503BBB" w:rsidRPr="00235D0C" w:rsidRDefault="00503BBB" w:rsidP="005165FC">
      <w:pPr>
        <w:ind w:left="-360"/>
        <w:jc w:val="center"/>
        <w:rPr>
          <w:rFonts w:ascii="Arial" w:hAnsi="Arial" w:cs="Arial"/>
          <w:sz w:val="22"/>
          <w:szCs w:val="22"/>
        </w:rPr>
      </w:pPr>
    </w:p>
    <w:p w:rsidR="005165FC" w:rsidRDefault="005165FC" w:rsidP="005165FC">
      <w:pPr>
        <w:ind w:left="-360"/>
        <w:rPr>
          <w:rFonts w:ascii="Arial" w:hAnsi="Arial" w:cs="Arial"/>
          <w:sz w:val="22"/>
          <w:szCs w:val="22"/>
        </w:rPr>
      </w:pPr>
    </w:p>
    <w:p w:rsidR="005165FC" w:rsidRDefault="005165FC" w:rsidP="005165FC">
      <w:pPr>
        <w:ind w:left="-360"/>
        <w:rPr>
          <w:rFonts w:ascii="Arial" w:hAnsi="Arial" w:cs="Arial"/>
          <w:sz w:val="22"/>
          <w:szCs w:val="22"/>
        </w:rPr>
      </w:pPr>
    </w:p>
    <w:p w:rsidR="005165FC" w:rsidRPr="005165FC" w:rsidRDefault="005165FC" w:rsidP="00602F2E">
      <w:pPr>
        <w:rPr>
          <w:rFonts w:ascii="Arial" w:hAnsi="Arial" w:cs="Arial"/>
          <w:b/>
          <w:sz w:val="22"/>
          <w:szCs w:val="22"/>
          <w:u w:val="single"/>
        </w:rPr>
      </w:pPr>
      <w:r w:rsidRPr="005165FC">
        <w:rPr>
          <w:rFonts w:ascii="Arial" w:hAnsi="Arial" w:cs="Arial"/>
          <w:b/>
          <w:sz w:val="22"/>
          <w:szCs w:val="22"/>
          <w:u w:val="single"/>
        </w:rPr>
        <w:t>Introduction</w:t>
      </w:r>
    </w:p>
    <w:p w:rsidR="005165FC" w:rsidRDefault="005165FC" w:rsidP="00602F2E">
      <w:pPr>
        <w:rPr>
          <w:rFonts w:ascii="Arial" w:hAnsi="Arial" w:cs="Arial"/>
          <w:sz w:val="22"/>
          <w:szCs w:val="22"/>
        </w:rPr>
      </w:pPr>
    </w:p>
    <w:p w:rsidR="00DC2DB9" w:rsidRDefault="00B91D82" w:rsidP="00602F2E">
      <w:pPr>
        <w:rPr>
          <w:rFonts w:ascii="Arial" w:hAnsi="Arial" w:cs="Arial"/>
          <w:sz w:val="22"/>
          <w:szCs w:val="22"/>
        </w:rPr>
      </w:pPr>
      <w:r>
        <w:rPr>
          <w:rFonts w:ascii="Arial" w:hAnsi="Arial" w:cs="Arial"/>
          <w:sz w:val="22"/>
          <w:szCs w:val="22"/>
        </w:rPr>
        <w:t xml:space="preserve">The first consolidated document on </w:t>
      </w:r>
      <w:r w:rsidR="00602F2E">
        <w:rPr>
          <w:rFonts w:ascii="Arial" w:hAnsi="Arial" w:cs="Arial"/>
          <w:sz w:val="22"/>
          <w:szCs w:val="22"/>
        </w:rPr>
        <w:t>genetic resource</w:t>
      </w:r>
      <w:bookmarkStart w:id="0" w:name="_GoBack"/>
      <w:bookmarkEnd w:id="0"/>
      <w:r w:rsidR="00602F2E">
        <w:rPr>
          <w:rFonts w:ascii="Arial" w:hAnsi="Arial" w:cs="Arial"/>
          <w:sz w:val="22"/>
          <w:szCs w:val="22"/>
        </w:rPr>
        <w:t>s (</w:t>
      </w:r>
      <w:r>
        <w:rPr>
          <w:rFonts w:ascii="Arial" w:hAnsi="Arial" w:cs="Arial"/>
          <w:sz w:val="22"/>
          <w:szCs w:val="22"/>
        </w:rPr>
        <w:t>GRs</w:t>
      </w:r>
      <w:r w:rsidR="00602F2E">
        <w:rPr>
          <w:rFonts w:ascii="Arial" w:hAnsi="Arial" w:cs="Arial"/>
          <w:sz w:val="22"/>
          <w:szCs w:val="22"/>
        </w:rPr>
        <w:t>)</w:t>
      </w:r>
      <w:r>
        <w:rPr>
          <w:rFonts w:ascii="Arial" w:hAnsi="Arial" w:cs="Arial"/>
          <w:sz w:val="22"/>
          <w:szCs w:val="22"/>
        </w:rPr>
        <w:t xml:space="preserve"> was produced at IGC 20 in February 2012.  This document attempted to summarize proposals and positions within IGC working documents and Member State</w:t>
      </w:r>
      <w:r w:rsidR="009414CD">
        <w:rPr>
          <w:rFonts w:ascii="Arial" w:hAnsi="Arial" w:cs="Arial"/>
          <w:sz w:val="22"/>
          <w:szCs w:val="22"/>
        </w:rPr>
        <w:t>s’</w:t>
      </w:r>
      <w:r>
        <w:rPr>
          <w:rFonts w:ascii="Arial" w:hAnsi="Arial" w:cs="Arial"/>
          <w:sz w:val="22"/>
          <w:szCs w:val="22"/>
        </w:rPr>
        <w:t xml:space="preserve"> proposals.  This initial document </w:t>
      </w:r>
      <w:r w:rsidR="00DC2DB9">
        <w:rPr>
          <w:rFonts w:ascii="Arial" w:hAnsi="Arial" w:cs="Arial"/>
          <w:sz w:val="22"/>
          <w:szCs w:val="22"/>
        </w:rPr>
        <w:t>was then</w:t>
      </w:r>
      <w:r>
        <w:rPr>
          <w:rFonts w:ascii="Arial" w:hAnsi="Arial" w:cs="Arial"/>
          <w:sz w:val="22"/>
          <w:szCs w:val="22"/>
        </w:rPr>
        <w:t xml:space="preserve"> significantly refined</w:t>
      </w:r>
      <w:r w:rsidR="00DC2DB9">
        <w:rPr>
          <w:rFonts w:ascii="Arial" w:hAnsi="Arial" w:cs="Arial"/>
          <w:sz w:val="22"/>
          <w:szCs w:val="22"/>
        </w:rPr>
        <w:t xml:space="preserve"> at IGCs 22, 23, 29 and 30.  </w:t>
      </w:r>
    </w:p>
    <w:p w:rsidR="00DC2DB9" w:rsidRDefault="00DC2DB9" w:rsidP="00602F2E">
      <w:pPr>
        <w:rPr>
          <w:rFonts w:ascii="Arial" w:hAnsi="Arial" w:cs="Arial"/>
          <w:sz w:val="22"/>
          <w:szCs w:val="22"/>
        </w:rPr>
      </w:pPr>
    </w:p>
    <w:p w:rsidR="00DC2DB9" w:rsidRDefault="00DC2DB9" w:rsidP="00602F2E">
      <w:pPr>
        <w:rPr>
          <w:rFonts w:ascii="Arial" w:hAnsi="Arial" w:cs="Arial"/>
          <w:sz w:val="22"/>
          <w:szCs w:val="22"/>
        </w:rPr>
      </w:pPr>
      <w:r>
        <w:rPr>
          <w:rFonts w:ascii="Arial" w:hAnsi="Arial" w:cs="Arial"/>
          <w:sz w:val="22"/>
          <w:szCs w:val="22"/>
        </w:rPr>
        <w:t xml:space="preserve">In preparation for IGC 35, this short information note summarizes some key issues that Member States may wish to give focused attention to.  </w:t>
      </w:r>
      <w:r w:rsidR="00D67C02">
        <w:rPr>
          <w:rFonts w:ascii="Arial" w:hAnsi="Arial" w:cs="Arial"/>
          <w:sz w:val="22"/>
          <w:szCs w:val="22"/>
        </w:rPr>
        <w:t xml:space="preserve">Member States are also encouraged to consider what options require international agreement at the IGC and whether there are options that are more practical in nature and may be implemented within the existing international legal framework noting that some have </w:t>
      </w:r>
      <w:r w:rsidR="00FD4593">
        <w:rPr>
          <w:rFonts w:ascii="Arial" w:hAnsi="Arial" w:cs="Arial"/>
          <w:sz w:val="22"/>
          <w:szCs w:val="22"/>
        </w:rPr>
        <w:t xml:space="preserve">already </w:t>
      </w:r>
      <w:r w:rsidR="00D67C02">
        <w:rPr>
          <w:rFonts w:ascii="Arial" w:hAnsi="Arial" w:cs="Arial"/>
          <w:sz w:val="22"/>
          <w:szCs w:val="22"/>
        </w:rPr>
        <w:t xml:space="preserve">been implemented. </w:t>
      </w:r>
      <w:r w:rsidR="00CF329A">
        <w:rPr>
          <w:rFonts w:ascii="Arial" w:hAnsi="Arial" w:cs="Arial"/>
          <w:sz w:val="22"/>
          <w:szCs w:val="22"/>
        </w:rPr>
        <w:t xml:space="preserve"> For example, to help patent examiners find relevant prior art and avoid the granting of erroneous patents, new subclasses were introduced several years ago into the International Patent Classification (the IPC) to facilitate the identification of relevant prior art when dealing with traditional knowledge-related applications.  </w:t>
      </w:r>
      <w:r w:rsidR="0089735D">
        <w:rPr>
          <w:rFonts w:ascii="Arial" w:hAnsi="Arial" w:cs="Arial"/>
          <w:sz w:val="22"/>
          <w:szCs w:val="22"/>
        </w:rPr>
        <w:t xml:space="preserve">Furthermore, certain traditional knowledge journals were accepted as part of non-patent literature for patent examination purposes. </w:t>
      </w:r>
    </w:p>
    <w:p w:rsidR="00DC2DB9" w:rsidRDefault="00DC2DB9" w:rsidP="00602F2E">
      <w:pPr>
        <w:rPr>
          <w:rFonts w:ascii="Arial" w:hAnsi="Arial" w:cs="Arial"/>
          <w:sz w:val="22"/>
          <w:szCs w:val="22"/>
        </w:rPr>
      </w:pPr>
    </w:p>
    <w:p w:rsidR="00DC2DB9" w:rsidRPr="00DC2DB9" w:rsidRDefault="00DC2DB9" w:rsidP="00602F2E">
      <w:pPr>
        <w:rPr>
          <w:rFonts w:ascii="Arial" w:hAnsi="Arial" w:cs="Arial"/>
          <w:b/>
          <w:sz w:val="22"/>
          <w:szCs w:val="22"/>
        </w:rPr>
      </w:pPr>
      <w:r w:rsidRPr="00DC2DB9">
        <w:rPr>
          <w:rFonts w:ascii="Arial" w:hAnsi="Arial" w:cs="Arial"/>
          <w:b/>
          <w:sz w:val="22"/>
          <w:szCs w:val="22"/>
        </w:rPr>
        <w:t>I emphasize</w:t>
      </w:r>
      <w:r w:rsidR="00FA2B62">
        <w:rPr>
          <w:rFonts w:ascii="Arial" w:hAnsi="Arial" w:cs="Arial"/>
          <w:b/>
          <w:sz w:val="22"/>
          <w:szCs w:val="22"/>
        </w:rPr>
        <w:t xml:space="preserve"> that the views in this</w:t>
      </w:r>
      <w:r w:rsidRPr="00DC2DB9">
        <w:rPr>
          <w:rFonts w:ascii="Arial" w:hAnsi="Arial" w:cs="Arial"/>
          <w:b/>
          <w:sz w:val="22"/>
          <w:szCs w:val="22"/>
        </w:rPr>
        <w:t xml:space="preserve"> </w:t>
      </w:r>
      <w:r w:rsidR="00D67C02">
        <w:rPr>
          <w:rFonts w:ascii="Arial" w:hAnsi="Arial" w:cs="Arial"/>
          <w:b/>
          <w:sz w:val="22"/>
          <w:szCs w:val="22"/>
        </w:rPr>
        <w:t>note</w:t>
      </w:r>
      <w:r w:rsidRPr="00DC2DB9">
        <w:rPr>
          <w:rFonts w:ascii="Arial" w:hAnsi="Arial" w:cs="Arial"/>
          <w:b/>
          <w:sz w:val="22"/>
          <w:szCs w:val="22"/>
        </w:rPr>
        <w:t xml:space="preserve"> are mine alone an</w:t>
      </w:r>
      <w:r w:rsidR="00D67C02">
        <w:rPr>
          <w:rFonts w:ascii="Arial" w:hAnsi="Arial" w:cs="Arial"/>
          <w:b/>
          <w:sz w:val="22"/>
          <w:szCs w:val="22"/>
        </w:rPr>
        <w:t>d are without prejudice to any Member S</w:t>
      </w:r>
      <w:r w:rsidRPr="00DC2DB9">
        <w:rPr>
          <w:rFonts w:ascii="Arial" w:hAnsi="Arial" w:cs="Arial"/>
          <w:b/>
          <w:sz w:val="22"/>
          <w:szCs w:val="22"/>
        </w:rPr>
        <w:t>tates</w:t>
      </w:r>
      <w:r w:rsidR="00D67C02">
        <w:rPr>
          <w:rFonts w:ascii="Arial" w:hAnsi="Arial" w:cs="Arial"/>
          <w:b/>
          <w:sz w:val="22"/>
          <w:szCs w:val="22"/>
        </w:rPr>
        <w:t>’</w:t>
      </w:r>
      <w:r w:rsidRPr="00DC2DB9">
        <w:rPr>
          <w:rFonts w:ascii="Arial" w:hAnsi="Arial" w:cs="Arial"/>
          <w:b/>
          <w:sz w:val="22"/>
          <w:szCs w:val="22"/>
        </w:rPr>
        <w:t xml:space="preserve"> positions on the issues discussed. </w:t>
      </w:r>
      <w:r w:rsidR="00D67C02">
        <w:rPr>
          <w:rFonts w:ascii="Arial" w:hAnsi="Arial" w:cs="Arial"/>
          <w:b/>
          <w:sz w:val="22"/>
          <w:szCs w:val="22"/>
        </w:rPr>
        <w:t xml:space="preserve"> </w:t>
      </w:r>
      <w:r w:rsidRPr="00DC2DB9">
        <w:rPr>
          <w:rFonts w:ascii="Arial" w:hAnsi="Arial" w:cs="Arial"/>
          <w:b/>
          <w:sz w:val="22"/>
          <w:szCs w:val="22"/>
        </w:rPr>
        <w:t>As a</w:t>
      </w:r>
      <w:r w:rsidR="00D67C02">
        <w:rPr>
          <w:rFonts w:ascii="Arial" w:hAnsi="Arial" w:cs="Arial"/>
          <w:b/>
          <w:sz w:val="22"/>
          <w:szCs w:val="22"/>
        </w:rPr>
        <w:t>n information note,</w:t>
      </w:r>
      <w:r w:rsidRPr="00DC2DB9">
        <w:rPr>
          <w:rFonts w:ascii="Arial" w:hAnsi="Arial" w:cs="Arial"/>
          <w:b/>
          <w:sz w:val="22"/>
          <w:szCs w:val="22"/>
        </w:rPr>
        <w:t xml:space="preserve"> it has no status, nor is it a working document for the session. </w:t>
      </w:r>
      <w:r w:rsidR="00D67C02">
        <w:rPr>
          <w:rFonts w:ascii="Arial" w:hAnsi="Arial" w:cs="Arial"/>
          <w:b/>
          <w:sz w:val="22"/>
          <w:szCs w:val="22"/>
        </w:rPr>
        <w:t xml:space="preserve"> </w:t>
      </w:r>
      <w:r w:rsidRPr="00DC2DB9">
        <w:rPr>
          <w:rFonts w:ascii="Arial" w:hAnsi="Arial" w:cs="Arial"/>
          <w:b/>
          <w:sz w:val="22"/>
          <w:szCs w:val="22"/>
        </w:rPr>
        <w:t>It is a paper for reflection only.</w:t>
      </w:r>
    </w:p>
    <w:p w:rsidR="00DC2DB9" w:rsidRDefault="00DC2DB9" w:rsidP="00602F2E">
      <w:pPr>
        <w:rPr>
          <w:rFonts w:ascii="Arial" w:hAnsi="Arial" w:cs="Arial"/>
          <w:sz w:val="22"/>
          <w:szCs w:val="22"/>
        </w:rPr>
      </w:pPr>
    </w:p>
    <w:p w:rsidR="00DB14CD" w:rsidRDefault="00DB14CD" w:rsidP="00602F2E">
      <w:pPr>
        <w:rPr>
          <w:rFonts w:ascii="Arial" w:hAnsi="Arial" w:cs="Arial"/>
          <w:sz w:val="22"/>
          <w:szCs w:val="22"/>
        </w:rPr>
      </w:pPr>
      <w:r>
        <w:rPr>
          <w:rFonts w:ascii="Arial" w:hAnsi="Arial" w:cs="Arial"/>
          <w:sz w:val="22"/>
          <w:szCs w:val="22"/>
        </w:rPr>
        <w:t xml:space="preserve">In preparing this note, I have used </w:t>
      </w:r>
      <w:r w:rsidRPr="00DB14CD">
        <w:rPr>
          <w:rFonts w:ascii="Arial" w:hAnsi="Arial" w:cs="Arial"/>
          <w:sz w:val="22"/>
          <w:szCs w:val="22"/>
        </w:rPr>
        <w:t>WIPO/GRTKF/I</w:t>
      </w:r>
      <w:r>
        <w:rPr>
          <w:rFonts w:ascii="Arial" w:hAnsi="Arial" w:cs="Arial"/>
          <w:sz w:val="22"/>
          <w:szCs w:val="22"/>
        </w:rPr>
        <w:t>C/35/4 (Consolidated D</w:t>
      </w:r>
      <w:r w:rsidRPr="00DB14CD">
        <w:rPr>
          <w:rFonts w:ascii="Arial" w:hAnsi="Arial" w:cs="Arial"/>
          <w:sz w:val="22"/>
          <w:szCs w:val="22"/>
        </w:rPr>
        <w:t>ocument Relating to Intellectual</w:t>
      </w:r>
      <w:r>
        <w:rPr>
          <w:rFonts w:ascii="Arial" w:hAnsi="Arial" w:cs="Arial"/>
          <w:sz w:val="22"/>
          <w:szCs w:val="22"/>
        </w:rPr>
        <w:t xml:space="preserve"> Property and Genetic Resources) as the framework document, noting this document details in textual form the key positions of Member States.  I have also considered the following documents:</w:t>
      </w:r>
    </w:p>
    <w:p w:rsidR="00DB14CD" w:rsidRDefault="00DB14CD" w:rsidP="00602F2E">
      <w:pPr>
        <w:rPr>
          <w:rFonts w:ascii="Arial" w:hAnsi="Arial" w:cs="Arial"/>
          <w:sz w:val="22"/>
          <w:szCs w:val="22"/>
        </w:rPr>
      </w:pPr>
    </w:p>
    <w:p w:rsidR="00EF6121" w:rsidRDefault="00EF6121" w:rsidP="00DB14CD">
      <w:pPr>
        <w:pStyle w:val="ListParagraph"/>
        <w:numPr>
          <w:ilvl w:val="0"/>
          <w:numId w:val="5"/>
        </w:numPr>
        <w:rPr>
          <w:rFonts w:ascii="Arial" w:hAnsi="Arial" w:cs="Arial"/>
          <w:sz w:val="22"/>
          <w:szCs w:val="22"/>
        </w:rPr>
      </w:pPr>
      <w:r>
        <w:rPr>
          <w:rFonts w:ascii="Arial" w:hAnsi="Arial" w:cs="Arial"/>
          <w:sz w:val="22"/>
          <w:szCs w:val="22"/>
        </w:rPr>
        <w:t>WIPO/GRTKF/IC/35/5 (</w:t>
      </w:r>
      <w:r w:rsidRPr="00EF6121">
        <w:rPr>
          <w:rFonts w:ascii="Arial" w:hAnsi="Arial" w:cs="Arial"/>
          <w:sz w:val="22"/>
          <w:szCs w:val="22"/>
        </w:rPr>
        <w:t>Report on the Compilation of Materials on Databases Relating to Genetic Resources and Associated Traditional Knowledge</w:t>
      </w:r>
      <w:r>
        <w:rPr>
          <w:rFonts w:ascii="Arial" w:hAnsi="Arial" w:cs="Arial"/>
          <w:sz w:val="22"/>
          <w:szCs w:val="22"/>
        </w:rPr>
        <w:t>);</w:t>
      </w:r>
    </w:p>
    <w:p w:rsidR="00EF6121" w:rsidRDefault="00EF6121" w:rsidP="00DB14CD">
      <w:pPr>
        <w:pStyle w:val="ListParagraph"/>
        <w:numPr>
          <w:ilvl w:val="0"/>
          <w:numId w:val="5"/>
        </w:numPr>
        <w:rPr>
          <w:rFonts w:ascii="Arial" w:hAnsi="Arial" w:cs="Arial"/>
          <w:sz w:val="22"/>
          <w:szCs w:val="22"/>
        </w:rPr>
      </w:pPr>
      <w:r>
        <w:rPr>
          <w:rFonts w:ascii="Arial" w:hAnsi="Arial" w:cs="Arial"/>
          <w:sz w:val="22"/>
          <w:szCs w:val="22"/>
        </w:rPr>
        <w:t>WIPO/GRTKF/IC/35/6 (</w:t>
      </w:r>
      <w:r w:rsidRPr="00EF6121">
        <w:rPr>
          <w:rFonts w:ascii="Arial" w:hAnsi="Arial" w:cs="Arial"/>
          <w:sz w:val="22"/>
          <w:szCs w:val="22"/>
        </w:rPr>
        <w:t>Report on the Compilation of Materials on Disclosure Regimes Relating to Genetic Resources and Associated Traditional Knowledge</w:t>
      </w:r>
      <w:r>
        <w:rPr>
          <w:rFonts w:ascii="Arial" w:hAnsi="Arial" w:cs="Arial"/>
          <w:sz w:val="22"/>
          <w:szCs w:val="22"/>
        </w:rPr>
        <w:t>);</w:t>
      </w:r>
    </w:p>
    <w:p w:rsidR="00DB14CD" w:rsidRPr="00DB14CD" w:rsidRDefault="00DB14CD" w:rsidP="00DB14CD">
      <w:pPr>
        <w:pStyle w:val="ListParagraph"/>
        <w:numPr>
          <w:ilvl w:val="0"/>
          <w:numId w:val="5"/>
        </w:numPr>
        <w:rPr>
          <w:rFonts w:ascii="Arial" w:hAnsi="Arial" w:cs="Arial"/>
          <w:sz w:val="22"/>
          <w:szCs w:val="22"/>
        </w:rPr>
      </w:pPr>
      <w:r>
        <w:rPr>
          <w:rFonts w:ascii="Arial" w:hAnsi="Arial" w:cs="Arial"/>
          <w:sz w:val="22"/>
          <w:szCs w:val="22"/>
        </w:rPr>
        <w:t>WIPO/G</w:t>
      </w:r>
      <w:r w:rsidR="00D8096E">
        <w:rPr>
          <w:rFonts w:ascii="Arial" w:hAnsi="Arial" w:cs="Arial"/>
          <w:sz w:val="22"/>
          <w:szCs w:val="22"/>
        </w:rPr>
        <w:t>RTKF/IC/35/7</w:t>
      </w:r>
      <w:r w:rsidRPr="00DB14CD">
        <w:rPr>
          <w:rFonts w:ascii="Arial" w:hAnsi="Arial" w:cs="Arial"/>
          <w:sz w:val="22"/>
          <w:szCs w:val="22"/>
        </w:rPr>
        <w:t xml:space="preserve"> </w:t>
      </w:r>
      <w:r>
        <w:rPr>
          <w:rFonts w:ascii="Arial" w:hAnsi="Arial" w:cs="Arial"/>
          <w:sz w:val="22"/>
          <w:szCs w:val="22"/>
        </w:rPr>
        <w:t>(</w:t>
      </w:r>
      <w:r w:rsidRPr="00DB14CD">
        <w:rPr>
          <w:rFonts w:ascii="Arial" w:hAnsi="Arial" w:cs="Arial"/>
          <w:sz w:val="22"/>
          <w:szCs w:val="22"/>
        </w:rPr>
        <w:t>Joint Recommendation on Genetic Resources and Associated Traditional Knowledge</w:t>
      </w:r>
      <w:r>
        <w:rPr>
          <w:rFonts w:ascii="Arial" w:hAnsi="Arial" w:cs="Arial"/>
          <w:sz w:val="22"/>
          <w:szCs w:val="22"/>
        </w:rPr>
        <w:t>)</w:t>
      </w:r>
      <w:r w:rsidR="00555188">
        <w:rPr>
          <w:rFonts w:ascii="Arial" w:hAnsi="Arial" w:cs="Arial"/>
          <w:sz w:val="22"/>
          <w:szCs w:val="22"/>
        </w:rPr>
        <w:t>;</w:t>
      </w:r>
    </w:p>
    <w:p w:rsidR="00DB14CD" w:rsidRPr="00DB14CD" w:rsidRDefault="00D8096E" w:rsidP="00DB14CD">
      <w:pPr>
        <w:pStyle w:val="ListParagraph"/>
        <w:numPr>
          <w:ilvl w:val="0"/>
          <w:numId w:val="5"/>
        </w:numPr>
        <w:rPr>
          <w:rFonts w:ascii="Arial" w:hAnsi="Arial" w:cs="Arial"/>
          <w:sz w:val="22"/>
          <w:szCs w:val="22"/>
        </w:rPr>
      </w:pPr>
      <w:r>
        <w:rPr>
          <w:rFonts w:ascii="Arial" w:hAnsi="Arial" w:cs="Arial"/>
          <w:sz w:val="22"/>
          <w:szCs w:val="22"/>
        </w:rPr>
        <w:t>WIPO/GRTKF/IC/35/8</w:t>
      </w:r>
      <w:r w:rsidR="00555188">
        <w:rPr>
          <w:rFonts w:ascii="Arial" w:hAnsi="Arial" w:cs="Arial"/>
          <w:sz w:val="22"/>
          <w:szCs w:val="22"/>
        </w:rPr>
        <w:t xml:space="preserve"> (</w:t>
      </w:r>
      <w:r w:rsidR="00DB14CD" w:rsidRPr="00DB14CD">
        <w:rPr>
          <w:rFonts w:ascii="Arial" w:hAnsi="Arial" w:cs="Arial"/>
          <w:sz w:val="22"/>
          <w:szCs w:val="22"/>
        </w:rPr>
        <w:t>Joint Recommendation on the use of Databases for the Defensive Protection of Genetic Resources and Traditional Knowledge Associated with Genetic Resources</w:t>
      </w:r>
      <w:r w:rsidR="00555188">
        <w:rPr>
          <w:rFonts w:ascii="Arial" w:hAnsi="Arial" w:cs="Arial"/>
          <w:sz w:val="22"/>
          <w:szCs w:val="22"/>
        </w:rPr>
        <w:t>);</w:t>
      </w:r>
      <w:r w:rsidR="00DB14CD" w:rsidRPr="00DB14CD">
        <w:rPr>
          <w:rFonts w:ascii="Arial" w:hAnsi="Arial" w:cs="Arial"/>
          <w:sz w:val="22"/>
          <w:szCs w:val="22"/>
        </w:rPr>
        <w:t xml:space="preserve"> </w:t>
      </w:r>
    </w:p>
    <w:p w:rsidR="00DB14CD" w:rsidRPr="00DB14CD" w:rsidRDefault="00DB14CD" w:rsidP="00DB14CD">
      <w:pPr>
        <w:pStyle w:val="ListParagraph"/>
        <w:numPr>
          <w:ilvl w:val="0"/>
          <w:numId w:val="5"/>
        </w:numPr>
        <w:rPr>
          <w:rFonts w:ascii="Arial" w:hAnsi="Arial" w:cs="Arial"/>
          <w:sz w:val="22"/>
          <w:szCs w:val="22"/>
        </w:rPr>
      </w:pPr>
      <w:r w:rsidRPr="00DB14CD">
        <w:rPr>
          <w:rFonts w:ascii="Arial" w:hAnsi="Arial" w:cs="Arial"/>
          <w:sz w:val="22"/>
          <w:szCs w:val="22"/>
        </w:rPr>
        <w:t>WIP</w:t>
      </w:r>
      <w:r w:rsidR="00D8096E">
        <w:rPr>
          <w:rFonts w:ascii="Arial" w:hAnsi="Arial" w:cs="Arial"/>
          <w:sz w:val="22"/>
          <w:szCs w:val="22"/>
        </w:rPr>
        <w:t>O/GRTKF/IC/35/9</w:t>
      </w:r>
      <w:r w:rsidRPr="00DB14CD">
        <w:rPr>
          <w:rFonts w:ascii="Arial" w:hAnsi="Arial" w:cs="Arial"/>
          <w:sz w:val="22"/>
          <w:szCs w:val="22"/>
        </w:rPr>
        <w:t xml:space="preserve"> </w:t>
      </w:r>
      <w:r w:rsidR="00555188">
        <w:rPr>
          <w:rFonts w:ascii="Arial" w:hAnsi="Arial" w:cs="Arial"/>
          <w:sz w:val="22"/>
          <w:szCs w:val="22"/>
        </w:rPr>
        <w:t>(</w:t>
      </w:r>
      <w:r w:rsidRPr="00DB14CD">
        <w:rPr>
          <w:rFonts w:ascii="Arial" w:hAnsi="Arial" w:cs="Arial"/>
          <w:sz w:val="22"/>
          <w:szCs w:val="22"/>
        </w:rPr>
        <w:t>Proposal for the Terms of Reference for the Study by the WIPO Secretariat on Measures Related to the Avoidance of the Erroneous Grant of Patents and Compliance with Existing Access and Benefit-Sharing Systems</w:t>
      </w:r>
      <w:r w:rsidR="00555188">
        <w:rPr>
          <w:rFonts w:ascii="Arial" w:hAnsi="Arial" w:cs="Arial"/>
          <w:sz w:val="22"/>
          <w:szCs w:val="22"/>
        </w:rPr>
        <w:t>)</w:t>
      </w:r>
    </w:p>
    <w:p w:rsidR="00DB14CD" w:rsidRPr="00DB14CD" w:rsidRDefault="00DB14CD" w:rsidP="00DB14CD">
      <w:pPr>
        <w:pStyle w:val="ListParagraph"/>
        <w:numPr>
          <w:ilvl w:val="0"/>
          <w:numId w:val="5"/>
        </w:numPr>
        <w:rPr>
          <w:rFonts w:ascii="Arial" w:hAnsi="Arial" w:cs="Arial"/>
          <w:sz w:val="22"/>
          <w:szCs w:val="22"/>
        </w:rPr>
      </w:pPr>
      <w:r w:rsidRPr="00DB14CD">
        <w:rPr>
          <w:rFonts w:ascii="Arial" w:hAnsi="Arial" w:cs="Arial"/>
          <w:sz w:val="22"/>
          <w:szCs w:val="22"/>
        </w:rPr>
        <w:t>WIPO/GRTKF/IC/</w:t>
      </w:r>
      <w:r>
        <w:rPr>
          <w:rFonts w:ascii="Arial" w:hAnsi="Arial" w:cs="Arial"/>
          <w:sz w:val="22"/>
          <w:szCs w:val="22"/>
        </w:rPr>
        <w:t>8/11</w:t>
      </w:r>
      <w:r w:rsidR="00555188">
        <w:rPr>
          <w:rFonts w:ascii="Arial" w:hAnsi="Arial" w:cs="Arial"/>
          <w:sz w:val="22"/>
          <w:szCs w:val="22"/>
        </w:rPr>
        <w:t xml:space="preserve"> (</w:t>
      </w:r>
      <w:r w:rsidRPr="00DB14CD">
        <w:rPr>
          <w:rFonts w:ascii="Arial" w:hAnsi="Arial" w:cs="Arial"/>
          <w:sz w:val="22"/>
          <w:szCs w:val="22"/>
        </w:rPr>
        <w:t>Disclosure Of Origin Or Source Of Genetic Resources And Associated Traditional Knowledge In Patent Applications (EU Proposal)</w:t>
      </w:r>
      <w:r w:rsidR="00555188">
        <w:rPr>
          <w:rFonts w:ascii="Arial" w:hAnsi="Arial" w:cs="Arial"/>
          <w:sz w:val="22"/>
          <w:szCs w:val="22"/>
        </w:rPr>
        <w:t>)</w:t>
      </w:r>
    </w:p>
    <w:p w:rsidR="00555188" w:rsidRPr="00555188" w:rsidRDefault="00555188" w:rsidP="00555188">
      <w:pPr>
        <w:pStyle w:val="ListParagraph"/>
        <w:numPr>
          <w:ilvl w:val="0"/>
          <w:numId w:val="5"/>
        </w:numPr>
        <w:rPr>
          <w:rFonts w:ascii="Arial" w:hAnsi="Arial" w:cs="Arial"/>
          <w:sz w:val="22"/>
          <w:szCs w:val="22"/>
        </w:rPr>
      </w:pPr>
      <w:r>
        <w:rPr>
          <w:rFonts w:ascii="Arial" w:hAnsi="Arial" w:cs="Arial"/>
          <w:sz w:val="22"/>
          <w:szCs w:val="22"/>
        </w:rPr>
        <w:t>WIPO/GRTKF/IC/11/10 (</w:t>
      </w:r>
      <w:r w:rsidRPr="00555188">
        <w:rPr>
          <w:rFonts w:ascii="Arial" w:hAnsi="Arial" w:cs="Arial"/>
          <w:sz w:val="22"/>
          <w:szCs w:val="22"/>
        </w:rPr>
        <w:t>Declaration of the Source of Genetic Resources and Traditional Knowledge in Patent Applications:  Proposals by Switzerland</w:t>
      </w:r>
      <w:r>
        <w:rPr>
          <w:rFonts w:ascii="Arial" w:hAnsi="Arial" w:cs="Arial"/>
          <w:sz w:val="22"/>
          <w:szCs w:val="22"/>
        </w:rPr>
        <w:t>)</w:t>
      </w:r>
    </w:p>
    <w:p w:rsidR="00DB14CD" w:rsidRPr="00555188" w:rsidRDefault="00555188" w:rsidP="00555188">
      <w:pPr>
        <w:pStyle w:val="ListParagraph"/>
        <w:numPr>
          <w:ilvl w:val="0"/>
          <w:numId w:val="5"/>
        </w:numPr>
        <w:rPr>
          <w:rFonts w:ascii="Arial" w:hAnsi="Arial" w:cs="Arial"/>
          <w:sz w:val="22"/>
          <w:szCs w:val="22"/>
        </w:rPr>
      </w:pPr>
      <w:r>
        <w:rPr>
          <w:rFonts w:ascii="Arial" w:hAnsi="Arial" w:cs="Arial"/>
          <w:sz w:val="22"/>
          <w:szCs w:val="22"/>
        </w:rPr>
        <w:lastRenderedPageBreak/>
        <w:t>WIPO/GRTKF/IC/19/11 (</w:t>
      </w:r>
      <w:r w:rsidRPr="00555188">
        <w:rPr>
          <w:rFonts w:ascii="Arial" w:hAnsi="Arial" w:cs="Arial"/>
          <w:sz w:val="22"/>
          <w:szCs w:val="22"/>
        </w:rPr>
        <w:t>Like-Minded Countries Contribution to the Objectives and Principles on the Protection of Genetic Resources and Preliminary Draft Articles on the Protection of Genetic Resources</w:t>
      </w:r>
      <w:r>
        <w:rPr>
          <w:rFonts w:ascii="Arial" w:hAnsi="Arial" w:cs="Arial"/>
          <w:sz w:val="22"/>
          <w:szCs w:val="22"/>
        </w:rPr>
        <w:t>).</w:t>
      </w:r>
    </w:p>
    <w:p w:rsidR="00E60AA0" w:rsidRDefault="00E60AA0" w:rsidP="00A743D5">
      <w:pPr>
        <w:spacing w:line="276" w:lineRule="auto"/>
        <w:rPr>
          <w:rFonts w:ascii="Arial" w:hAnsi="Arial" w:cs="Arial"/>
          <w:sz w:val="22"/>
          <w:szCs w:val="22"/>
        </w:rPr>
      </w:pPr>
    </w:p>
    <w:p w:rsidR="00E60AA0" w:rsidRPr="00E60AA0" w:rsidRDefault="00E60AA0" w:rsidP="00602F2E">
      <w:pPr>
        <w:rPr>
          <w:rFonts w:ascii="Arial" w:hAnsi="Arial" w:cs="Arial"/>
          <w:b/>
          <w:sz w:val="22"/>
          <w:szCs w:val="22"/>
          <w:u w:val="single"/>
        </w:rPr>
      </w:pPr>
      <w:r w:rsidRPr="00E60AA0">
        <w:rPr>
          <w:rFonts w:ascii="Arial" w:hAnsi="Arial" w:cs="Arial"/>
          <w:b/>
          <w:sz w:val="22"/>
          <w:szCs w:val="22"/>
          <w:u w:val="single"/>
        </w:rPr>
        <w:t>Overview of the Consolidated Document</w:t>
      </w:r>
    </w:p>
    <w:p w:rsidR="00E60AA0" w:rsidRDefault="00E60AA0" w:rsidP="00602F2E">
      <w:pPr>
        <w:rPr>
          <w:rFonts w:ascii="Arial" w:hAnsi="Arial" w:cs="Arial"/>
          <w:sz w:val="22"/>
          <w:szCs w:val="22"/>
        </w:rPr>
      </w:pPr>
    </w:p>
    <w:p w:rsidR="00B91D82" w:rsidRDefault="00E60AA0" w:rsidP="00602F2E">
      <w:pPr>
        <w:rPr>
          <w:rFonts w:ascii="Arial" w:hAnsi="Arial" w:cs="Arial"/>
          <w:sz w:val="22"/>
          <w:szCs w:val="22"/>
        </w:rPr>
      </w:pPr>
      <w:r>
        <w:rPr>
          <w:rFonts w:ascii="Arial" w:hAnsi="Arial" w:cs="Arial"/>
          <w:sz w:val="22"/>
          <w:szCs w:val="22"/>
        </w:rPr>
        <w:t>The consolidated document</w:t>
      </w:r>
      <w:r w:rsidR="00B91D82">
        <w:rPr>
          <w:rFonts w:ascii="Arial" w:hAnsi="Arial" w:cs="Arial"/>
          <w:sz w:val="22"/>
          <w:szCs w:val="22"/>
        </w:rPr>
        <w:t xml:space="preserve"> </w:t>
      </w:r>
      <w:r w:rsidR="00787DC9">
        <w:rPr>
          <w:rFonts w:ascii="Arial" w:hAnsi="Arial" w:cs="Arial"/>
          <w:sz w:val="22"/>
          <w:szCs w:val="22"/>
        </w:rPr>
        <w:t>(</w:t>
      </w:r>
      <w:r w:rsidR="00787DC9" w:rsidRPr="00DB14CD">
        <w:rPr>
          <w:rFonts w:ascii="Arial" w:hAnsi="Arial" w:cs="Arial"/>
          <w:sz w:val="22"/>
          <w:szCs w:val="22"/>
        </w:rPr>
        <w:t>WIPO/GRTKF/I</w:t>
      </w:r>
      <w:r w:rsidR="00787DC9">
        <w:rPr>
          <w:rFonts w:ascii="Arial" w:hAnsi="Arial" w:cs="Arial"/>
          <w:sz w:val="22"/>
          <w:szCs w:val="22"/>
        </w:rPr>
        <w:t xml:space="preserve">C/35/4) </w:t>
      </w:r>
      <w:r w:rsidR="00B91D82">
        <w:rPr>
          <w:rFonts w:ascii="Arial" w:hAnsi="Arial" w:cs="Arial"/>
          <w:sz w:val="22"/>
          <w:szCs w:val="22"/>
        </w:rPr>
        <w:t>address</w:t>
      </w:r>
      <w:r w:rsidR="00873377">
        <w:rPr>
          <w:rFonts w:ascii="Arial" w:hAnsi="Arial" w:cs="Arial"/>
          <w:sz w:val="22"/>
          <w:szCs w:val="22"/>
        </w:rPr>
        <w:t>es</w:t>
      </w:r>
      <w:r w:rsidR="00B91D82">
        <w:rPr>
          <w:rFonts w:ascii="Arial" w:hAnsi="Arial" w:cs="Arial"/>
          <w:sz w:val="22"/>
          <w:szCs w:val="22"/>
        </w:rPr>
        <w:t xml:space="preserve"> the policy objectives </w:t>
      </w:r>
      <w:r w:rsidR="00FD4593">
        <w:rPr>
          <w:rFonts w:ascii="Arial" w:hAnsi="Arial" w:cs="Arial"/>
          <w:sz w:val="22"/>
          <w:szCs w:val="22"/>
        </w:rPr>
        <w:t>of the instrument</w:t>
      </w:r>
      <w:r w:rsidR="00B91D82">
        <w:rPr>
          <w:rFonts w:ascii="Arial" w:hAnsi="Arial" w:cs="Arial"/>
          <w:sz w:val="22"/>
          <w:szCs w:val="22"/>
        </w:rPr>
        <w:t xml:space="preserve">, noting </w:t>
      </w:r>
      <w:r w:rsidR="00873377">
        <w:rPr>
          <w:rFonts w:ascii="Arial" w:hAnsi="Arial" w:cs="Arial"/>
          <w:sz w:val="22"/>
          <w:szCs w:val="22"/>
        </w:rPr>
        <w:t xml:space="preserve">that there are three alternatives and </w:t>
      </w:r>
      <w:r w:rsidR="00B91D82">
        <w:rPr>
          <w:rFonts w:ascii="Arial" w:hAnsi="Arial" w:cs="Arial"/>
          <w:sz w:val="22"/>
          <w:szCs w:val="22"/>
        </w:rPr>
        <w:t xml:space="preserve">these are not </w:t>
      </w:r>
      <w:r w:rsidR="00787DC9">
        <w:rPr>
          <w:rFonts w:ascii="Arial" w:hAnsi="Arial" w:cs="Arial"/>
          <w:sz w:val="22"/>
          <w:szCs w:val="22"/>
        </w:rPr>
        <w:t xml:space="preserve">yet </w:t>
      </w:r>
      <w:r w:rsidR="00B91D82">
        <w:rPr>
          <w:rFonts w:ascii="Arial" w:hAnsi="Arial" w:cs="Arial"/>
          <w:sz w:val="22"/>
          <w:szCs w:val="22"/>
        </w:rPr>
        <w:t xml:space="preserve">agreed.  </w:t>
      </w:r>
      <w:r w:rsidR="005D5380">
        <w:rPr>
          <w:rFonts w:ascii="Arial" w:hAnsi="Arial" w:cs="Arial"/>
          <w:sz w:val="22"/>
          <w:szCs w:val="22"/>
        </w:rPr>
        <w:t>K</w:t>
      </w:r>
      <w:r w:rsidR="00B91D82">
        <w:rPr>
          <w:rFonts w:ascii="Arial" w:hAnsi="Arial" w:cs="Arial"/>
          <w:sz w:val="22"/>
          <w:szCs w:val="22"/>
        </w:rPr>
        <w:t>ey policy elements included within these alternate positions comprise</w:t>
      </w:r>
      <w:r w:rsidR="00B91D82" w:rsidRPr="003859D4">
        <w:rPr>
          <w:rFonts w:ascii="Arial" w:hAnsi="Arial" w:cs="Arial"/>
          <w:sz w:val="22"/>
          <w:szCs w:val="22"/>
        </w:rPr>
        <w:t>:</w:t>
      </w:r>
      <w:r w:rsidR="00B91D82">
        <w:rPr>
          <w:rFonts w:ascii="Arial" w:hAnsi="Arial" w:cs="Arial"/>
          <w:sz w:val="22"/>
          <w:szCs w:val="22"/>
        </w:rPr>
        <w:t xml:space="preserve"> </w:t>
      </w:r>
    </w:p>
    <w:p w:rsidR="00B91D82" w:rsidRDefault="00B91D82" w:rsidP="00602F2E">
      <w:pPr>
        <w:rPr>
          <w:rFonts w:ascii="Arial" w:hAnsi="Arial" w:cs="Arial"/>
          <w:sz w:val="22"/>
          <w:szCs w:val="22"/>
        </w:rPr>
      </w:pPr>
    </w:p>
    <w:p w:rsidR="00B91D82" w:rsidRPr="000A520A" w:rsidRDefault="00B91D82" w:rsidP="00602F2E">
      <w:pPr>
        <w:numPr>
          <w:ilvl w:val="0"/>
          <w:numId w:val="1"/>
        </w:numPr>
        <w:rPr>
          <w:rFonts w:ascii="Arial" w:hAnsi="Arial" w:cs="Arial"/>
          <w:i/>
          <w:sz w:val="22"/>
          <w:szCs w:val="22"/>
        </w:rPr>
      </w:pPr>
      <w:r w:rsidRPr="000A520A">
        <w:rPr>
          <w:rFonts w:ascii="Arial" w:hAnsi="Arial" w:cs="Arial"/>
          <w:i/>
          <w:sz w:val="22"/>
          <w:szCs w:val="22"/>
        </w:rPr>
        <w:t xml:space="preserve">Enhance the transparency of the [IP] [patent] system relating to GRs and TK associated with GRs.  </w:t>
      </w:r>
    </w:p>
    <w:p w:rsidR="00B91D82" w:rsidRPr="000A520A" w:rsidRDefault="00B91D82" w:rsidP="00602F2E">
      <w:pPr>
        <w:numPr>
          <w:ilvl w:val="0"/>
          <w:numId w:val="1"/>
        </w:numPr>
        <w:rPr>
          <w:i/>
          <w:sz w:val="22"/>
          <w:szCs w:val="22"/>
        </w:rPr>
      </w:pPr>
      <w:r w:rsidRPr="000A520A">
        <w:rPr>
          <w:rFonts w:ascii="Arial" w:hAnsi="Arial" w:cs="Arial"/>
          <w:i/>
          <w:sz w:val="22"/>
          <w:szCs w:val="22"/>
        </w:rPr>
        <w:t>Facilitate mutual supportiveness with international agreements relating to GRs and TK associated with GRs.</w:t>
      </w:r>
    </w:p>
    <w:p w:rsidR="00B91D82" w:rsidRPr="000A520A" w:rsidRDefault="00B91D82" w:rsidP="00602F2E">
      <w:pPr>
        <w:numPr>
          <w:ilvl w:val="0"/>
          <w:numId w:val="1"/>
        </w:numPr>
        <w:rPr>
          <w:rFonts w:ascii="Arial" w:hAnsi="Arial" w:cs="Arial"/>
          <w:i/>
          <w:sz w:val="22"/>
          <w:szCs w:val="22"/>
        </w:rPr>
      </w:pPr>
      <w:r w:rsidRPr="000A520A">
        <w:rPr>
          <w:rFonts w:ascii="Arial" w:hAnsi="Arial" w:cs="Arial"/>
          <w:i/>
          <w:sz w:val="22"/>
          <w:szCs w:val="22"/>
        </w:rPr>
        <w:t>Facilitate the possibility of ABS through the disclosure of country of origin or source of GRs in separate systems such as the CBD.</w:t>
      </w:r>
    </w:p>
    <w:p w:rsidR="00B91D82" w:rsidRPr="008861FC" w:rsidRDefault="00B91D82" w:rsidP="00602F2E">
      <w:pPr>
        <w:numPr>
          <w:ilvl w:val="0"/>
          <w:numId w:val="1"/>
        </w:numPr>
        <w:rPr>
          <w:rFonts w:ascii="Arial" w:hAnsi="Arial" w:cs="Arial"/>
          <w:i/>
          <w:sz w:val="22"/>
          <w:szCs w:val="22"/>
        </w:rPr>
      </w:pPr>
      <w:r w:rsidRPr="000A520A">
        <w:rPr>
          <w:rFonts w:ascii="Arial" w:hAnsi="Arial" w:cs="Arial"/>
          <w:i/>
          <w:sz w:val="22"/>
          <w:szCs w:val="22"/>
        </w:rPr>
        <w:t>Ensure that IP/patent offices have access to the appropriate information on GRs and TK associated with GRs to prevent the granting of erroneous IP/patent rights</w:t>
      </w:r>
      <w:r w:rsidRPr="008861FC">
        <w:rPr>
          <w:rFonts w:ascii="Arial" w:hAnsi="Arial" w:cs="Arial"/>
          <w:i/>
          <w:sz w:val="22"/>
          <w:szCs w:val="22"/>
        </w:rPr>
        <w:t>.</w:t>
      </w:r>
    </w:p>
    <w:p w:rsidR="00B91D82" w:rsidRPr="00A076AE" w:rsidRDefault="00B91D82" w:rsidP="00602F2E">
      <w:pPr>
        <w:rPr>
          <w:rFonts w:ascii="Arial" w:hAnsi="Arial" w:cs="Arial"/>
          <w:sz w:val="22"/>
          <w:szCs w:val="22"/>
        </w:rPr>
      </w:pPr>
    </w:p>
    <w:p w:rsidR="00B91D82" w:rsidRDefault="00B91D82" w:rsidP="00602F2E">
      <w:pPr>
        <w:rPr>
          <w:rFonts w:ascii="Arial" w:hAnsi="Arial" w:cs="Arial"/>
          <w:sz w:val="22"/>
          <w:szCs w:val="22"/>
        </w:rPr>
      </w:pPr>
      <w:r>
        <w:rPr>
          <w:rFonts w:ascii="Arial" w:hAnsi="Arial" w:cs="Arial"/>
          <w:sz w:val="22"/>
          <w:szCs w:val="22"/>
        </w:rPr>
        <w:t xml:space="preserve">The two broad approaches incorporated within the </w:t>
      </w:r>
      <w:r w:rsidR="00E60AA0">
        <w:rPr>
          <w:rFonts w:ascii="Arial" w:hAnsi="Arial" w:cs="Arial"/>
          <w:sz w:val="22"/>
          <w:szCs w:val="22"/>
        </w:rPr>
        <w:t>consolidated</w:t>
      </w:r>
      <w:r>
        <w:rPr>
          <w:rFonts w:ascii="Arial" w:hAnsi="Arial" w:cs="Arial"/>
          <w:sz w:val="22"/>
          <w:szCs w:val="22"/>
        </w:rPr>
        <w:t xml:space="preserve"> document are: </w:t>
      </w:r>
    </w:p>
    <w:p w:rsidR="00B91D82" w:rsidRDefault="00B91D82" w:rsidP="00602F2E">
      <w:pPr>
        <w:rPr>
          <w:rFonts w:ascii="Arial" w:hAnsi="Arial" w:cs="Arial"/>
          <w:sz w:val="22"/>
          <w:szCs w:val="22"/>
        </w:rPr>
      </w:pPr>
    </w:p>
    <w:p w:rsidR="00B91D82" w:rsidRPr="00BD16DB" w:rsidRDefault="00B91D82" w:rsidP="00602F2E">
      <w:pPr>
        <w:numPr>
          <w:ilvl w:val="0"/>
          <w:numId w:val="2"/>
        </w:numPr>
        <w:rPr>
          <w:rFonts w:ascii="Arial" w:hAnsi="Arial" w:cs="Arial"/>
          <w:sz w:val="22"/>
          <w:szCs w:val="22"/>
        </w:rPr>
      </w:pPr>
      <w:r>
        <w:rPr>
          <w:rFonts w:ascii="Arial" w:hAnsi="Arial" w:cs="Arial"/>
          <w:b/>
          <w:sz w:val="22"/>
          <w:szCs w:val="22"/>
        </w:rPr>
        <w:t>Disclosure Requirement</w:t>
      </w:r>
      <w:r w:rsidRPr="00BD16DB">
        <w:rPr>
          <w:rFonts w:ascii="Arial" w:hAnsi="Arial" w:cs="Arial"/>
          <w:b/>
          <w:sz w:val="22"/>
          <w:szCs w:val="22"/>
        </w:rPr>
        <w:t xml:space="preserve">. </w:t>
      </w:r>
      <w:r>
        <w:rPr>
          <w:rFonts w:ascii="Arial" w:hAnsi="Arial" w:cs="Arial"/>
          <w:b/>
          <w:sz w:val="22"/>
          <w:szCs w:val="22"/>
        </w:rPr>
        <w:t xml:space="preserve"> </w:t>
      </w:r>
      <w:r w:rsidRPr="00BD16DB">
        <w:rPr>
          <w:rFonts w:ascii="Arial" w:hAnsi="Arial" w:cs="Arial"/>
          <w:sz w:val="22"/>
          <w:szCs w:val="22"/>
        </w:rPr>
        <w:t>Inclusion of</w:t>
      </w:r>
      <w:r w:rsidRPr="00BD16DB">
        <w:rPr>
          <w:rFonts w:ascii="Arial" w:hAnsi="Arial" w:cs="Arial"/>
          <w:b/>
          <w:sz w:val="22"/>
          <w:szCs w:val="22"/>
        </w:rPr>
        <w:t xml:space="preserve"> </w:t>
      </w:r>
      <w:r w:rsidRPr="00BD16DB">
        <w:rPr>
          <w:rFonts w:ascii="Arial" w:hAnsi="Arial" w:cs="Arial"/>
          <w:sz w:val="22"/>
          <w:szCs w:val="22"/>
        </w:rPr>
        <w:t>a</w:t>
      </w:r>
      <w:r>
        <w:rPr>
          <w:rFonts w:ascii="Arial" w:hAnsi="Arial" w:cs="Arial"/>
          <w:b/>
          <w:sz w:val="22"/>
          <w:szCs w:val="22"/>
        </w:rPr>
        <w:t xml:space="preserve"> </w:t>
      </w:r>
      <w:r w:rsidRPr="00BD16DB">
        <w:rPr>
          <w:rFonts w:ascii="Arial" w:hAnsi="Arial" w:cs="Arial"/>
          <w:sz w:val="22"/>
          <w:szCs w:val="22"/>
        </w:rPr>
        <w:t>disclosure requirement within IP/</w:t>
      </w:r>
      <w:r>
        <w:rPr>
          <w:rFonts w:ascii="Arial" w:hAnsi="Arial" w:cs="Arial"/>
          <w:sz w:val="22"/>
          <w:szCs w:val="22"/>
        </w:rPr>
        <w:t>p</w:t>
      </w:r>
      <w:r w:rsidRPr="00BD16DB">
        <w:rPr>
          <w:rFonts w:ascii="Arial" w:hAnsi="Arial" w:cs="Arial"/>
          <w:sz w:val="22"/>
          <w:szCs w:val="22"/>
        </w:rPr>
        <w:t xml:space="preserve">atent </w:t>
      </w:r>
      <w:r w:rsidR="005D5380">
        <w:rPr>
          <w:rFonts w:ascii="Arial" w:hAnsi="Arial" w:cs="Arial"/>
          <w:sz w:val="22"/>
          <w:szCs w:val="22"/>
        </w:rPr>
        <w:t>legislation</w:t>
      </w:r>
      <w:r w:rsidRPr="00BD16DB">
        <w:rPr>
          <w:rFonts w:ascii="Arial" w:hAnsi="Arial" w:cs="Arial"/>
          <w:sz w:val="22"/>
          <w:szCs w:val="22"/>
        </w:rPr>
        <w:t xml:space="preserve"> relating to the disclosure of </w:t>
      </w:r>
      <w:r>
        <w:rPr>
          <w:rFonts w:ascii="Arial" w:hAnsi="Arial" w:cs="Arial"/>
          <w:sz w:val="22"/>
          <w:szCs w:val="22"/>
        </w:rPr>
        <w:t xml:space="preserve">information (for example, information about </w:t>
      </w:r>
      <w:r w:rsidRPr="00BD16DB">
        <w:rPr>
          <w:rFonts w:ascii="Arial" w:hAnsi="Arial" w:cs="Arial"/>
          <w:sz w:val="22"/>
          <w:szCs w:val="22"/>
        </w:rPr>
        <w:t>the country of origin or source of GR</w:t>
      </w:r>
      <w:r>
        <w:rPr>
          <w:rFonts w:ascii="Arial" w:hAnsi="Arial" w:cs="Arial"/>
          <w:sz w:val="22"/>
          <w:szCs w:val="22"/>
        </w:rPr>
        <w:t>s</w:t>
      </w:r>
      <w:r w:rsidRPr="00BD16DB">
        <w:rPr>
          <w:rFonts w:ascii="Arial" w:hAnsi="Arial" w:cs="Arial"/>
          <w:sz w:val="22"/>
          <w:szCs w:val="22"/>
        </w:rPr>
        <w:t xml:space="preserve"> and TK associated with GR</w:t>
      </w:r>
      <w:r>
        <w:rPr>
          <w:rFonts w:ascii="Arial" w:hAnsi="Arial" w:cs="Arial"/>
          <w:sz w:val="22"/>
          <w:szCs w:val="22"/>
        </w:rPr>
        <w:t>s)</w:t>
      </w:r>
      <w:r w:rsidR="005D5380">
        <w:rPr>
          <w:rFonts w:ascii="Arial" w:hAnsi="Arial" w:cs="Arial"/>
          <w:sz w:val="22"/>
          <w:szCs w:val="22"/>
        </w:rPr>
        <w:t xml:space="preserve"> in applications</w:t>
      </w:r>
      <w:r>
        <w:rPr>
          <w:rFonts w:ascii="Arial" w:hAnsi="Arial" w:cs="Arial"/>
          <w:sz w:val="22"/>
          <w:szCs w:val="22"/>
        </w:rPr>
        <w:t>,</w:t>
      </w:r>
      <w:r w:rsidRPr="00BD16DB">
        <w:rPr>
          <w:rFonts w:ascii="Arial" w:hAnsi="Arial" w:cs="Arial"/>
          <w:sz w:val="22"/>
          <w:szCs w:val="22"/>
        </w:rPr>
        <w:t xml:space="preserve"> where the subject matter/claimed invention includes utilization of/is directly based </w:t>
      </w:r>
      <w:r>
        <w:rPr>
          <w:rFonts w:ascii="Arial" w:hAnsi="Arial" w:cs="Arial"/>
          <w:sz w:val="22"/>
          <w:szCs w:val="22"/>
        </w:rPr>
        <w:t xml:space="preserve">on </w:t>
      </w:r>
      <w:r w:rsidRPr="00BD16DB">
        <w:rPr>
          <w:rFonts w:ascii="Arial" w:hAnsi="Arial" w:cs="Arial"/>
          <w:sz w:val="22"/>
          <w:szCs w:val="22"/>
        </w:rPr>
        <w:t>GR</w:t>
      </w:r>
      <w:r>
        <w:rPr>
          <w:rFonts w:ascii="Arial" w:hAnsi="Arial" w:cs="Arial"/>
          <w:sz w:val="22"/>
          <w:szCs w:val="22"/>
        </w:rPr>
        <w:t>s</w:t>
      </w:r>
      <w:r w:rsidRPr="00BD16DB">
        <w:rPr>
          <w:rFonts w:ascii="Arial" w:hAnsi="Arial" w:cs="Arial"/>
          <w:sz w:val="22"/>
          <w:szCs w:val="22"/>
        </w:rPr>
        <w:t xml:space="preserve"> and TK associated with GR</w:t>
      </w:r>
      <w:r>
        <w:rPr>
          <w:rFonts w:ascii="Arial" w:hAnsi="Arial" w:cs="Arial"/>
          <w:sz w:val="22"/>
          <w:szCs w:val="22"/>
        </w:rPr>
        <w:t>s</w:t>
      </w:r>
      <w:r w:rsidRPr="00BD16DB">
        <w:rPr>
          <w:rFonts w:ascii="Arial" w:hAnsi="Arial" w:cs="Arial"/>
          <w:sz w:val="22"/>
          <w:szCs w:val="22"/>
        </w:rPr>
        <w:t>.</w:t>
      </w:r>
      <w:r>
        <w:rPr>
          <w:rFonts w:ascii="Arial" w:hAnsi="Arial" w:cs="Arial"/>
          <w:sz w:val="22"/>
          <w:szCs w:val="22"/>
        </w:rPr>
        <w:t xml:space="preserve">  Within this approach, </w:t>
      </w:r>
      <w:r w:rsidR="000B190D">
        <w:rPr>
          <w:rFonts w:ascii="Arial" w:hAnsi="Arial" w:cs="Arial"/>
          <w:sz w:val="22"/>
          <w:szCs w:val="22"/>
        </w:rPr>
        <w:t xml:space="preserve">defensive </w:t>
      </w:r>
      <w:r>
        <w:rPr>
          <w:rFonts w:ascii="Arial" w:hAnsi="Arial" w:cs="Arial"/>
          <w:sz w:val="22"/>
          <w:szCs w:val="22"/>
        </w:rPr>
        <w:t>measures are considered complementary measures and not an alternative approach to addressing policy objectives.</w:t>
      </w:r>
    </w:p>
    <w:p w:rsidR="00B91D82" w:rsidRDefault="00FD4593" w:rsidP="00602F2E">
      <w:pPr>
        <w:numPr>
          <w:ilvl w:val="0"/>
          <w:numId w:val="2"/>
        </w:numPr>
        <w:rPr>
          <w:rFonts w:ascii="Arial" w:hAnsi="Arial" w:cs="Arial"/>
          <w:sz w:val="22"/>
          <w:szCs w:val="22"/>
        </w:rPr>
      </w:pPr>
      <w:r>
        <w:rPr>
          <w:rFonts w:ascii="Arial" w:hAnsi="Arial" w:cs="Arial"/>
          <w:b/>
          <w:sz w:val="22"/>
          <w:szCs w:val="22"/>
        </w:rPr>
        <w:t>Defensive Measures</w:t>
      </w:r>
      <w:r w:rsidR="00B91D82">
        <w:rPr>
          <w:rFonts w:ascii="Arial" w:hAnsi="Arial" w:cs="Arial"/>
          <w:b/>
          <w:sz w:val="22"/>
          <w:szCs w:val="22"/>
        </w:rPr>
        <w:t xml:space="preserve">.  </w:t>
      </w:r>
      <w:r w:rsidR="00B91D82">
        <w:rPr>
          <w:rFonts w:ascii="Arial" w:hAnsi="Arial" w:cs="Arial"/>
          <w:sz w:val="22"/>
          <w:szCs w:val="22"/>
        </w:rPr>
        <w:t>Th</w:t>
      </w:r>
      <w:r>
        <w:rPr>
          <w:rFonts w:ascii="Arial" w:hAnsi="Arial" w:cs="Arial"/>
          <w:sz w:val="22"/>
          <w:szCs w:val="22"/>
        </w:rPr>
        <w:t xml:space="preserve">is </w:t>
      </w:r>
      <w:r w:rsidR="00B91D82">
        <w:rPr>
          <w:rFonts w:ascii="Arial" w:hAnsi="Arial" w:cs="Arial"/>
          <w:sz w:val="22"/>
          <w:szCs w:val="22"/>
        </w:rPr>
        <w:t>approach incorporates measures such as databases, voluntary codes and guidelines for IP/patent offices, third party dispute mechanisms and due diligence regimes within patent offices under national laws to ensure compliance with relevant ABS regimes</w:t>
      </w:r>
      <w:r w:rsidR="005E108D">
        <w:rPr>
          <w:rFonts w:ascii="Arial" w:hAnsi="Arial" w:cs="Arial"/>
          <w:sz w:val="22"/>
          <w:szCs w:val="22"/>
        </w:rPr>
        <w:t>.</w:t>
      </w:r>
      <w:r w:rsidR="00B91D82">
        <w:rPr>
          <w:rFonts w:ascii="Arial" w:hAnsi="Arial" w:cs="Arial"/>
          <w:sz w:val="22"/>
          <w:szCs w:val="22"/>
        </w:rPr>
        <w:t xml:space="preserve"> </w:t>
      </w:r>
    </w:p>
    <w:p w:rsidR="00B91D82" w:rsidRDefault="00B91D82" w:rsidP="00602F2E">
      <w:pPr>
        <w:rPr>
          <w:rFonts w:ascii="Arial" w:hAnsi="Arial" w:cs="Arial"/>
          <w:sz w:val="22"/>
          <w:szCs w:val="22"/>
        </w:rPr>
      </w:pPr>
    </w:p>
    <w:p w:rsidR="00E60AA0" w:rsidRPr="00F533CF" w:rsidRDefault="00A37994" w:rsidP="00602F2E">
      <w:pPr>
        <w:rPr>
          <w:rFonts w:ascii="Arial" w:hAnsi="Arial" w:cs="Arial"/>
          <w:b/>
          <w:sz w:val="22"/>
          <w:szCs w:val="22"/>
          <w:u w:val="single"/>
        </w:rPr>
      </w:pPr>
      <w:r w:rsidRPr="00F533CF">
        <w:rPr>
          <w:rFonts w:ascii="Arial" w:hAnsi="Arial" w:cs="Arial"/>
          <w:b/>
          <w:sz w:val="22"/>
          <w:szCs w:val="22"/>
          <w:u w:val="single"/>
        </w:rPr>
        <w:t>Key Issues for Consideration by IGC 35</w:t>
      </w:r>
    </w:p>
    <w:p w:rsidR="00E60AA0" w:rsidRDefault="00E60AA0" w:rsidP="00602F2E">
      <w:pPr>
        <w:rPr>
          <w:rFonts w:ascii="Arial" w:hAnsi="Arial" w:cs="Arial"/>
          <w:sz w:val="22"/>
          <w:szCs w:val="22"/>
        </w:rPr>
      </w:pPr>
    </w:p>
    <w:p w:rsidR="007B3192" w:rsidRDefault="007B3192" w:rsidP="001E11C0">
      <w:pPr>
        <w:rPr>
          <w:rFonts w:ascii="Arial" w:hAnsi="Arial" w:cs="Arial"/>
          <w:sz w:val="22"/>
          <w:szCs w:val="22"/>
        </w:rPr>
      </w:pPr>
      <w:r>
        <w:rPr>
          <w:rFonts w:ascii="Arial" w:hAnsi="Arial" w:cs="Arial"/>
          <w:sz w:val="22"/>
          <w:szCs w:val="22"/>
        </w:rPr>
        <w:t xml:space="preserve">The very first issue that needs to be considered is a determination of, and agreement on, the </w:t>
      </w:r>
      <w:r w:rsidRPr="001E11C0">
        <w:rPr>
          <w:rFonts w:ascii="Arial" w:hAnsi="Arial" w:cs="Arial"/>
          <w:b/>
          <w:sz w:val="22"/>
          <w:szCs w:val="22"/>
        </w:rPr>
        <w:t>objective</w:t>
      </w:r>
      <w:r w:rsidR="001E11C0">
        <w:rPr>
          <w:rFonts w:ascii="Arial" w:hAnsi="Arial" w:cs="Arial"/>
          <w:b/>
          <w:sz w:val="22"/>
          <w:szCs w:val="22"/>
        </w:rPr>
        <w:t>(</w:t>
      </w:r>
      <w:r w:rsidRPr="001E11C0">
        <w:rPr>
          <w:rFonts w:ascii="Arial" w:hAnsi="Arial" w:cs="Arial"/>
          <w:b/>
          <w:sz w:val="22"/>
          <w:szCs w:val="22"/>
        </w:rPr>
        <w:t>s</w:t>
      </w:r>
      <w:r w:rsidR="001E11C0">
        <w:rPr>
          <w:rFonts w:ascii="Arial" w:hAnsi="Arial" w:cs="Arial"/>
          <w:b/>
          <w:sz w:val="22"/>
          <w:szCs w:val="22"/>
        </w:rPr>
        <w:t>)</w:t>
      </w:r>
      <w:r>
        <w:rPr>
          <w:rFonts w:ascii="Arial" w:hAnsi="Arial" w:cs="Arial"/>
          <w:sz w:val="22"/>
          <w:szCs w:val="22"/>
        </w:rPr>
        <w:t xml:space="preserve"> of the instrument.  </w:t>
      </w:r>
      <w:r w:rsidR="001E11C0">
        <w:rPr>
          <w:rFonts w:ascii="Arial" w:hAnsi="Arial" w:cs="Arial"/>
          <w:sz w:val="22"/>
          <w:szCs w:val="22"/>
        </w:rPr>
        <w:t>O</w:t>
      </w:r>
      <w:r w:rsidR="001E11C0" w:rsidRPr="001E11C0">
        <w:rPr>
          <w:rFonts w:ascii="Arial" w:hAnsi="Arial" w:cs="Arial"/>
          <w:sz w:val="22"/>
          <w:szCs w:val="22"/>
        </w:rPr>
        <w:t>bjective</w:t>
      </w:r>
      <w:r w:rsidR="001E11C0">
        <w:rPr>
          <w:rFonts w:ascii="Arial" w:hAnsi="Arial" w:cs="Arial"/>
          <w:sz w:val="22"/>
          <w:szCs w:val="22"/>
        </w:rPr>
        <w:t>(</w:t>
      </w:r>
      <w:r w:rsidR="001E11C0" w:rsidRPr="001E11C0">
        <w:rPr>
          <w:rFonts w:ascii="Arial" w:hAnsi="Arial" w:cs="Arial"/>
          <w:sz w:val="22"/>
          <w:szCs w:val="22"/>
        </w:rPr>
        <w:t>s</w:t>
      </w:r>
      <w:r w:rsidR="001E11C0">
        <w:rPr>
          <w:rFonts w:ascii="Arial" w:hAnsi="Arial" w:cs="Arial"/>
          <w:sz w:val="22"/>
          <w:szCs w:val="22"/>
        </w:rPr>
        <w:t>)</w:t>
      </w:r>
      <w:r w:rsidR="001E11C0" w:rsidRPr="001E11C0">
        <w:rPr>
          <w:rFonts w:ascii="Arial" w:hAnsi="Arial" w:cs="Arial"/>
          <w:sz w:val="22"/>
          <w:szCs w:val="22"/>
        </w:rPr>
        <w:t>, whilst still not agreed, have been revised to focus on the IP</w:t>
      </w:r>
      <w:r w:rsidR="001E11C0">
        <w:rPr>
          <w:rFonts w:ascii="Arial" w:hAnsi="Arial" w:cs="Arial"/>
          <w:sz w:val="22"/>
          <w:szCs w:val="22"/>
        </w:rPr>
        <w:t>/patent</w:t>
      </w:r>
      <w:r w:rsidR="001E11C0" w:rsidRPr="001E11C0">
        <w:rPr>
          <w:rFonts w:ascii="Arial" w:hAnsi="Arial" w:cs="Arial"/>
          <w:sz w:val="22"/>
          <w:szCs w:val="22"/>
        </w:rPr>
        <w:t xml:space="preserve"> system.</w:t>
      </w:r>
      <w:r w:rsidR="001E11C0">
        <w:rPr>
          <w:rFonts w:ascii="Arial" w:hAnsi="Arial" w:cs="Arial"/>
          <w:sz w:val="22"/>
          <w:szCs w:val="22"/>
        </w:rPr>
        <w:t xml:space="preserve">  </w:t>
      </w:r>
      <w:r w:rsidR="001E11C0" w:rsidRPr="001E11C0">
        <w:rPr>
          <w:rFonts w:ascii="Arial" w:hAnsi="Arial" w:cs="Arial"/>
          <w:sz w:val="22"/>
          <w:szCs w:val="22"/>
        </w:rPr>
        <w:t xml:space="preserve">Recognition that the focus of GRs work </w:t>
      </w:r>
      <w:r w:rsidR="00F97606">
        <w:rPr>
          <w:rFonts w:ascii="Arial" w:hAnsi="Arial" w:cs="Arial"/>
          <w:sz w:val="22"/>
          <w:szCs w:val="22"/>
        </w:rPr>
        <w:t xml:space="preserve">at WIPO </w:t>
      </w:r>
      <w:r w:rsidR="001E11C0" w:rsidRPr="001E11C0">
        <w:rPr>
          <w:rFonts w:ascii="Arial" w:hAnsi="Arial" w:cs="Arial"/>
          <w:sz w:val="22"/>
          <w:szCs w:val="22"/>
        </w:rPr>
        <w:t>is on how the IP</w:t>
      </w:r>
      <w:r w:rsidR="001E11C0">
        <w:rPr>
          <w:rFonts w:ascii="Arial" w:hAnsi="Arial" w:cs="Arial"/>
          <w:sz w:val="22"/>
          <w:szCs w:val="22"/>
        </w:rPr>
        <w:t>/patent</w:t>
      </w:r>
      <w:r w:rsidR="001E11C0" w:rsidRPr="001E11C0">
        <w:rPr>
          <w:rFonts w:ascii="Arial" w:hAnsi="Arial" w:cs="Arial"/>
          <w:sz w:val="22"/>
          <w:szCs w:val="22"/>
        </w:rPr>
        <w:t xml:space="preserve"> system, through </w:t>
      </w:r>
      <w:r w:rsidR="000B190D">
        <w:rPr>
          <w:rFonts w:ascii="Arial" w:hAnsi="Arial" w:cs="Arial"/>
          <w:sz w:val="22"/>
          <w:szCs w:val="22"/>
        </w:rPr>
        <w:t xml:space="preserve">a disclosure requirement </w:t>
      </w:r>
      <w:r w:rsidR="001E11C0" w:rsidRPr="001E11C0">
        <w:rPr>
          <w:rFonts w:ascii="Arial" w:hAnsi="Arial" w:cs="Arial"/>
          <w:sz w:val="22"/>
          <w:szCs w:val="22"/>
        </w:rPr>
        <w:t xml:space="preserve">and/or </w:t>
      </w:r>
      <w:r w:rsidR="000B190D">
        <w:rPr>
          <w:rFonts w:ascii="Arial" w:hAnsi="Arial" w:cs="Arial"/>
          <w:sz w:val="22"/>
          <w:szCs w:val="22"/>
        </w:rPr>
        <w:t xml:space="preserve">defensive </w:t>
      </w:r>
      <w:r w:rsidR="001E11C0" w:rsidRPr="001E11C0">
        <w:rPr>
          <w:rFonts w:ascii="Arial" w:hAnsi="Arial" w:cs="Arial"/>
          <w:sz w:val="22"/>
          <w:szCs w:val="22"/>
        </w:rPr>
        <w:t>measures, can improve the implementation of the IP</w:t>
      </w:r>
      <w:r w:rsidR="001E11C0">
        <w:rPr>
          <w:rFonts w:ascii="Arial" w:hAnsi="Arial" w:cs="Arial"/>
          <w:sz w:val="22"/>
          <w:szCs w:val="22"/>
        </w:rPr>
        <w:t>/patent</w:t>
      </w:r>
      <w:r w:rsidR="001E11C0" w:rsidRPr="001E11C0">
        <w:rPr>
          <w:rFonts w:ascii="Arial" w:hAnsi="Arial" w:cs="Arial"/>
          <w:sz w:val="22"/>
          <w:szCs w:val="22"/>
        </w:rPr>
        <w:t xml:space="preserve"> system (by, for example, enhancing the</w:t>
      </w:r>
      <w:r w:rsidR="005D5380">
        <w:rPr>
          <w:rFonts w:ascii="Arial" w:hAnsi="Arial" w:cs="Arial"/>
          <w:sz w:val="22"/>
          <w:szCs w:val="22"/>
        </w:rPr>
        <w:t xml:space="preserve"> quality of granted patents).  Where possible within this focus, it might also</w:t>
      </w:r>
      <w:r w:rsidR="001E11C0" w:rsidRPr="001E11C0">
        <w:rPr>
          <w:rFonts w:ascii="Arial" w:hAnsi="Arial" w:cs="Arial"/>
          <w:sz w:val="22"/>
          <w:szCs w:val="22"/>
        </w:rPr>
        <w:t xml:space="preserve"> mutually support international agreements relating to GRs and TK associated with GRs</w:t>
      </w:r>
      <w:r w:rsidR="00801FDB">
        <w:rPr>
          <w:rFonts w:ascii="Arial" w:hAnsi="Arial" w:cs="Arial"/>
          <w:sz w:val="22"/>
          <w:szCs w:val="22"/>
        </w:rPr>
        <w:t>, such as the Convention on Biological Diversity (CBD) and its Nagoya Protocol</w:t>
      </w:r>
      <w:r w:rsidR="001E11C0">
        <w:rPr>
          <w:rFonts w:ascii="Arial" w:hAnsi="Arial" w:cs="Arial"/>
          <w:sz w:val="22"/>
          <w:szCs w:val="22"/>
        </w:rPr>
        <w:t xml:space="preserve">.  Bearing this in mind, </w:t>
      </w:r>
      <w:r w:rsidR="008841F8">
        <w:rPr>
          <w:rFonts w:ascii="Arial" w:hAnsi="Arial" w:cs="Arial"/>
          <w:sz w:val="22"/>
          <w:szCs w:val="22"/>
        </w:rPr>
        <w:t xml:space="preserve">Member States may wish to consider </w:t>
      </w:r>
      <w:r w:rsidR="00F80B7E">
        <w:rPr>
          <w:rFonts w:ascii="Arial" w:hAnsi="Arial" w:cs="Arial"/>
          <w:sz w:val="22"/>
          <w:szCs w:val="22"/>
        </w:rPr>
        <w:t xml:space="preserve">merging the </w:t>
      </w:r>
      <w:r w:rsidR="001E11C0">
        <w:rPr>
          <w:rFonts w:ascii="Arial" w:hAnsi="Arial" w:cs="Arial"/>
          <w:sz w:val="22"/>
          <w:szCs w:val="22"/>
        </w:rPr>
        <w:t>three alternatives of objective(s)</w:t>
      </w:r>
      <w:r w:rsidR="00873377">
        <w:rPr>
          <w:rFonts w:ascii="Arial" w:hAnsi="Arial" w:cs="Arial"/>
          <w:sz w:val="22"/>
          <w:szCs w:val="22"/>
        </w:rPr>
        <w:t xml:space="preserve"> in the consolidated document</w:t>
      </w:r>
      <w:r w:rsidR="001E11C0">
        <w:rPr>
          <w:rFonts w:ascii="Arial" w:hAnsi="Arial" w:cs="Arial"/>
          <w:sz w:val="22"/>
          <w:szCs w:val="22"/>
        </w:rPr>
        <w:t xml:space="preserve">.  </w:t>
      </w:r>
    </w:p>
    <w:p w:rsidR="001E11C0" w:rsidRDefault="001E11C0" w:rsidP="00602F2E">
      <w:pPr>
        <w:rPr>
          <w:rFonts w:ascii="Arial" w:hAnsi="Arial" w:cs="Arial"/>
          <w:sz w:val="22"/>
          <w:szCs w:val="22"/>
        </w:rPr>
      </w:pPr>
    </w:p>
    <w:p w:rsidR="00B91D82" w:rsidRDefault="00B91D82" w:rsidP="00602F2E">
      <w:pPr>
        <w:rPr>
          <w:rFonts w:ascii="Arial" w:hAnsi="Arial" w:cs="Arial"/>
          <w:sz w:val="22"/>
          <w:szCs w:val="22"/>
        </w:rPr>
      </w:pPr>
      <w:r>
        <w:rPr>
          <w:rFonts w:ascii="Arial" w:hAnsi="Arial" w:cs="Arial"/>
          <w:sz w:val="22"/>
          <w:szCs w:val="22"/>
        </w:rPr>
        <w:t xml:space="preserve">In relation to </w:t>
      </w:r>
      <w:r w:rsidRPr="00E05163">
        <w:rPr>
          <w:rFonts w:ascii="Arial" w:hAnsi="Arial" w:cs="Arial"/>
          <w:b/>
          <w:sz w:val="22"/>
          <w:szCs w:val="22"/>
        </w:rPr>
        <w:t>disclosure</w:t>
      </w:r>
      <w:r w:rsidR="00E05163" w:rsidRPr="00E05163">
        <w:rPr>
          <w:rFonts w:ascii="Arial" w:hAnsi="Arial" w:cs="Arial"/>
          <w:b/>
          <w:sz w:val="22"/>
          <w:szCs w:val="22"/>
        </w:rPr>
        <w:t xml:space="preserve"> requirements</w:t>
      </w:r>
      <w:r>
        <w:rPr>
          <w:rFonts w:ascii="Arial" w:hAnsi="Arial" w:cs="Arial"/>
          <w:sz w:val="22"/>
          <w:szCs w:val="22"/>
        </w:rPr>
        <w:t xml:space="preserve">, the </w:t>
      </w:r>
      <w:r w:rsidR="00E05163">
        <w:rPr>
          <w:rFonts w:ascii="Arial" w:hAnsi="Arial" w:cs="Arial"/>
          <w:sz w:val="22"/>
          <w:szCs w:val="22"/>
        </w:rPr>
        <w:t>consolidated document</w:t>
      </w:r>
      <w:r>
        <w:rPr>
          <w:rFonts w:ascii="Arial" w:hAnsi="Arial" w:cs="Arial"/>
          <w:sz w:val="22"/>
          <w:szCs w:val="22"/>
        </w:rPr>
        <w:t xml:space="preserve"> has been significantly refined with inclusion of an administrative mechanism option focused on ensuring transparency within the IP/patent system rather than solely a regime based around a substantive patentability requirement.</w:t>
      </w:r>
      <w:r w:rsidR="00E05163">
        <w:rPr>
          <w:rFonts w:ascii="Arial" w:hAnsi="Arial" w:cs="Arial"/>
          <w:sz w:val="22"/>
          <w:szCs w:val="22"/>
        </w:rPr>
        <w:t xml:space="preserve">  The key issues Member States may wish to focus on </w:t>
      </w:r>
      <w:r w:rsidR="00473BB6">
        <w:rPr>
          <w:rFonts w:ascii="Arial" w:hAnsi="Arial" w:cs="Arial"/>
          <w:sz w:val="22"/>
          <w:szCs w:val="22"/>
        </w:rPr>
        <w:t xml:space="preserve">at IGC 35 </w:t>
      </w:r>
      <w:r w:rsidR="00E05163">
        <w:rPr>
          <w:rFonts w:ascii="Arial" w:hAnsi="Arial" w:cs="Arial"/>
          <w:sz w:val="22"/>
          <w:szCs w:val="22"/>
        </w:rPr>
        <w:t>are:</w:t>
      </w:r>
    </w:p>
    <w:p w:rsidR="00F533CF" w:rsidRDefault="00F533CF" w:rsidP="00602F2E">
      <w:pPr>
        <w:rPr>
          <w:rFonts w:ascii="Arial" w:hAnsi="Arial" w:cs="Arial"/>
          <w:sz w:val="22"/>
          <w:szCs w:val="22"/>
        </w:rPr>
      </w:pPr>
    </w:p>
    <w:p w:rsidR="005A6410" w:rsidRDefault="005A6410" w:rsidP="00E05163">
      <w:pPr>
        <w:pStyle w:val="ListParagraph"/>
        <w:numPr>
          <w:ilvl w:val="0"/>
          <w:numId w:val="6"/>
        </w:numPr>
        <w:rPr>
          <w:rFonts w:ascii="Arial" w:hAnsi="Arial" w:cs="Arial"/>
          <w:sz w:val="22"/>
          <w:szCs w:val="22"/>
        </w:rPr>
      </w:pPr>
      <w:r>
        <w:rPr>
          <w:rFonts w:ascii="Arial" w:hAnsi="Arial" w:cs="Arial"/>
          <w:sz w:val="22"/>
          <w:szCs w:val="22"/>
        </w:rPr>
        <w:t xml:space="preserve">Should disclosure requirements </w:t>
      </w:r>
      <w:r w:rsidR="009C3992">
        <w:rPr>
          <w:rFonts w:ascii="Arial" w:hAnsi="Arial" w:cs="Arial"/>
          <w:sz w:val="22"/>
          <w:szCs w:val="22"/>
        </w:rPr>
        <w:t>be</w:t>
      </w:r>
      <w:r>
        <w:rPr>
          <w:rFonts w:ascii="Arial" w:hAnsi="Arial" w:cs="Arial"/>
          <w:sz w:val="22"/>
          <w:szCs w:val="22"/>
        </w:rPr>
        <w:t xml:space="preserve"> </w:t>
      </w:r>
      <w:r w:rsidRPr="005A6410">
        <w:rPr>
          <w:rFonts w:ascii="Arial" w:hAnsi="Arial" w:cs="Arial"/>
          <w:b/>
          <w:sz w:val="22"/>
          <w:szCs w:val="22"/>
        </w:rPr>
        <w:t>mandatory or voluntary</w:t>
      </w:r>
      <w:r>
        <w:rPr>
          <w:rFonts w:ascii="Arial" w:hAnsi="Arial" w:cs="Arial"/>
          <w:sz w:val="22"/>
          <w:szCs w:val="22"/>
        </w:rPr>
        <w:t>?</w:t>
      </w:r>
    </w:p>
    <w:p w:rsidR="00F011FA" w:rsidRDefault="00F011FA" w:rsidP="00E05163">
      <w:pPr>
        <w:pStyle w:val="ListParagraph"/>
        <w:numPr>
          <w:ilvl w:val="0"/>
          <w:numId w:val="6"/>
        </w:numPr>
        <w:rPr>
          <w:rFonts w:ascii="Arial" w:hAnsi="Arial" w:cs="Arial"/>
          <w:sz w:val="22"/>
          <w:szCs w:val="22"/>
        </w:rPr>
      </w:pPr>
      <w:r>
        <w:rPr>
          <w:rFonts w:ascii="Arial" w:hAnsi="Arial" w:cs="Arial"/>
          <w:sz w:val="22"/>
          <w:szCs w:val="22"/>
        </w:rPr>
        <w:t xml:space="preserve">In addition to GRs, should the instrument also apply to </w:t>
      </w:r>
      <w:r w:rsidRPr="005A6410">
        <w:rPr>
          <w:rFonts w:ascii="Arial" w:hAnsi="Arial" w:cs="Arial"/>
          <w:b/>
          <w:sz w:val="22"/>
          <w:szCs w:val="22"/>
        </w:rPr>
        <w:t>derivatives and TK associated with GRs</w:t>
      </w:r>
      <w:r>
        <w:rPr>
          <w:rFonts w:ascii="Arial" w:hAnsi="Arial" w:cs="Arial"/>
          <w:sz w:val="22"/>
          <w:szCs w:val="22"/>
        </w:rPr>
        <w:t>?</w:t>
      </w:r>
    </w:p>
    <w:p w:rsidR="00C574D4" w:rsidRDefault="00C574D4" w:rsidP="00E05163">
      <w:pPr>
        <w:pStyle w:val="ListParagraph"/>
        <w:numPr>
          <w:ilvl w:val="0"/>
          <w:numId w:val="6"/>
        </w:numPr>
        <w:rPr>
          <w:rFonts w:ascii="Arial" w:hAnsi="Arial" w:cs="Arial"/>
          <w:sz w:val="22"/>
          <w:szCs w:val="22"/>
        </w:rPr>
      </w:pPr>
      <w:r>
        <w:rPr>
          <w:rFonts w:ascii="Arial" w:hAnsi="Arial" w:cs="Arial"/>
          <w:sz w:val="22"/>
          <w:szCs w:val="22"/>
        </w:rPr>
        <w:lastRenderedPageBreak/>
        <w:t xml:space="preserve">What should </w:t>
      </w:r>
      <w:r w:rsidRPr="005A6410">
        <w:rPr>
          <w:rFonts w:ascii="Arial" w:hAnsi="Arial" w:cs="Arial"/>
          <w:b/>
          <w:sz w:val="22"/>
          <w:szCs w:val="22"/>
        </w:rPr>
        <w:t>trigger</w:t>
      </w:r>
      <w:r>
        <w:rPr>
          <w:rFonts w:ascii="Arial" w:hAnsi="Arial" w:cs="Arial"/>
          <w:sz w:val="22"/>
          <w:szCs w:val="22"/>
        </w:rPr>
        <w:t xml:space="preserve"> disclosure</w:t>
      </w:r>
      <w:r w:rsidR="005A6410">
        <w:rPr>
          <w:rFonts w:ascii="Arial" w:hAnsi="Arial" w:cs="Arial"/>
          <w:sz w:val="22"/>
          <w:szCs w:val="22"/>
        </w:rPr>
        <w:t>, “utilization of” subject matter, “directly based on” subject matter</w:t>
      </w:r>
      <w:r w:rsidR="00944915">
        <w:rPr>
          <w:rFonts w:ascii="Arial" w:hAnsi="Arial" w:cs="Arial"/>
          <w:sz w:val="22"/>
          <w:szCs w:val="22"/>
        </w:rPr>
        <w:t>,</w:t>
      </w:r>
      <w:r w:rsidR="005A6410">
        <w:rPr>
          <w:rFonts w:ascii="Arial" w:hAnsi="Arial" w:cs="Arial"/>
          <w:sz w:val="22"/>
          <w:szCs w:val="22"/>
        </w:rPr>
        <w:t xml:space="preserve"> or “directly based on the utilization of” subject matter?</w:t>
      </w:r>
    </w:p>
    <w:p w:rsidR="00F011FA" w:rsidRDefault="005A6410" w:rsidP="00E05163">
      <w:pPr>
        <w:pStyle w:val="ListParagraph"/>
        <w:numPr>
          <w:ilvl w:val="0"/>
          <w:numId w:val="6"/>
        </w:numPr>
        <w:rPr>
          <w:rFonts w:ascii="Arial" w:hAnsi="Arial" w:cs="Arial"/>
          <w:sz w:val="22"/>
          <w:szCs w:val="22"/>
        </w:rPr>
      </w:pPr>
      <w:r>
        <w:rPr>
          <w:rFonts w:ascii="Arial" w:hAnsi="Arial" w:cs="Arial"/>
          <w:sz w:val="22"/>
          <w:szCs w:val="22"/>
        </w:rPr>
        <w:t xml:space="preserve">What should be the </w:t>
      </w:r>
      <w:r w:rsidRPr="005A6410">
        <w:rPr>
          <w:rFonts w:ascii="Arial" w:hAnsi="Arial" w:cs="Arial"/>
          <w:b/>
          <w:sz w:val="22"/>
          <w:szCs w:val="22"/>
        </w:rPr>
        <w:t>content</w:t>
      </w:r>
      <w:r>
        <w:rPr>
          <w:rFonts w:ascii="Arial" w:hAnsi="Arial" w:cs="Arial"/>
          <w:sz w:val="22"/>
          <w:szCs w:val="22"/>
        </w:rPr>
        <w:t xml:space="preserve"> of disclosure?  For example, should it be the origin and/or source of the GR, and information regarding compliance with access and benefit-sharing requirements including prior informed consent?</w:t>
      </w:r>
    </w:p>
    <w:p w:rsidR="00E05163" w:rsidRDefault="00E05163" w:rsidP="00E05163">
      <w:pPr>
        <w:pStyle w:val="ListParagraph"/>
        <w:numPr>
          <w:ilvl w:val="0"/>
          <w:numId w:val="6"/>
        </w:numPr>
        <w:rPr>
          <w:rFonts w:ascii="Arial" w:hAnsi="Arial" w:cs="Arial"/>
          <w:sz w:val="22"/>
          <w:szCs w:val="22"/>
        </w:rPr>
      </w:pPr>
      <w:r>
        <w:rPr>
          <w:rFonts w:ascii="Arial" w:hAnsi="Arial" w:cs="Arial"/>
          <w:sz w:val="22"/>
          <w:szCs w:val="22"/>
        </w:rPr>
        <w:t xml:space="preserve">Should there be </w:t>
      </w:r>
      <w:r w:rsidRPr="004B657A">
        <w:rPr>
          <w:rFonts w:ascii="Arial" w:hAnsi="Arial" w:cs="Arial"/>
          <w:b/>
          <w:sz w:val="22"/>
          <w:szCs w:val="22"/>
        </w:rPr>
        <w:t>exceptions and limitations</w:t>
      </w:r>
      <w:r>
        <w:rPr>
          <w:rFonts w:ascii="Arial" w:hAnsi="Arial" w:cs="Arial"/>
          <w:sz w:val="22"/>
          <w:szCs w:val="22"/>
        </w:rPr>
        <w:t xml:space="preserve"> to a disclosure requirement, and if so, which ones</w:t>
      </w:r>
      <w:r w:rsidR="004B657A">
        <w:rPr>
          <w:rFonts w:ascii="Arial" w:hAnsi="Arial" w:cs="Arial"/>
          <w:sz w:val="22"/>
          <w:szCs w:val="22"/>
        </w:rPr>
        <w:t xml:space="preserve">?  </w:t>
      </w:r>
    </w:p>
    <w:p w:rsidR="004B657A" w:rsidRDefault="004B657A" w:rsidP="00E05163">
      <w:pPr>
        <w:pStyle w:val="ListParagraph"/>
        <w:numPr>
          <w:ilvl w:val="0"/>
          <w:numId w:val="6"/>
        </w:numPr>
        <w:rPr>
          <w:rFonts w:ascii="Arial" w:hAnsi="Arial" w:cs="Arial"/>
          <w:sz w:val="22"/>
          <w:szCs w:val="22"/>
        </w:rPr>
      </w:pPr>
      <w:r>
        <w:rPr>
          <w:rFonts w:ascii="Arial" w:hAnsi="Arial" w:cs="Arial"/>
          <w:sz w:val="22"/>
          <w:szCs w:val="22"/>
        </w:rPr>
        <w:t xml:space="preserve">Should issues concerning IP/patent </w:t>
      </w:r>
      <w:r w:rsidRPr="004B657A">
        <w:rPr>
          <w:rFonts w:ascii="Arial" w:hAnsi="Arial" w:cs="Arial"/>
          <w:b/>
          <w:sz w:val="22"/>
          <w:szCs w:val="22"/>
        </w:rPr>
        <w:t>subject matter eligibility</w:t>
      </w:r>
      <w:r>
        <w:rPr>
          <w:rFonts w:ascii="Arial" w:hAnsi="Arial" w:cs="Arial"/>
          <w:sz w:val="22"/>
          <w:szCs w:val="22"/>
        </w:rPr>
        <w:t xml:space="preserve"> for GRs and/or derivative</w:t>
      </w:r>
      <w:r w:rsidR="005D5380">
        <w:rPr>
          <w:rFonts w:ascii="Arial" w:hAnsi="Arial" w:cs="Arial"/>
          <w:sz w:val="22"/>
          <w:szCs w:val="22"/>
        </w:rPr>
        <w:t>s</w:t>
      </w:r>
      <w:r>
        <w:rPr>
          <w:rFonts w:ascii="Arial" w:hAnsi="Arial" w:cs="Arial"/>
          <w:sz w:val="22"/>
          <w:szCs w:val="22"/>
        </w:rPr>
        <w:t xml:space="preserve"> as found in nature and/or isolated therefrom be addressed in this</w:t>
      </w:r>
      <w:r w:rsidR="005D5380">
        <w:rPr>
          <w:rFonts w:ascii="Arial" w:hAnsi="Arial" w:cs="Arial"/>
          <w:sz w:val="22"/>
          <w:szCs w:val="22"/>
        </w:rPr>
        <w:t xml:space="preserve"> instrument, and</w:t>
      </w:r>
      <w:r w:rsidR="00307CAE">
        <w:rPr>
          <w:rFonts w:ascii="Arial" w:hAnsi="Arial" w:cs="Arial"/>
          <w:sz w:val="22"/>
          <w:szCs w:val="22"/>
        </w:rPr>
        <w:t>,</w:t>
      </w:r>
      <w:r w:rsidR="005D5380">
        <w:rPr>
          <w:rFonts w:ascii="Arial" w:hAnsi="Arial" w:cs="Arial"/>
          <w:sz w:val="22"/>
          <w:szCs w:val="22"/>
        </w:rPr>
        <w:t xml:space="preserve"> if so, where w</w:t>
      </w:r>
      <w:r>
        <w:rPr>
          <w:rFonts w:ascii="Arial" w:hAnsi="Arial" w:cs="Arial"/>
          <w:sz w:val="22"/>
          <w:szCs w:val="22"/>
        </w:rPr>
        <w:t xml:space="preserve">ould </w:t>
      </w:r>
      <w:r w:rsidR="005D5380">
        <w:rPr>
          <w:rFonts w:ascii="Arial" w:hAnsi="Arial" w:cs="Arial"/>
          <w:sz w:val="22"/>
          <w:szCs w:val="22"/>
        </w:rPr>
        <w:t xml:space="preserve">this </w:t>
      </w:r>
      <w:proofErr w:type="gramStart"/>
      <w:r>
        <w:rPr>
          <w:rFonts w:ascii="Arial" w:hAnsi="Arial" w:cs="Arial"/>
          <w:sz w:val="22"/>
          <w:szCs w:val="22"/>
        </w:rPr>
        <w:t>be</w:t>
      </w:r>
      <w:proofErr w:type="gramEnd"/>
      <w:r>
        <w:rPr>
          <w:rFonts w:ascii="Arial" w:hAnsi="Arial" w:cs="Arial"/>
          <w:sz w:val="22"/>
          <w:szCs w:val="22"/>
        </w:rPr>
        <w:t xml:space="preserve"> better</w:t>
      </w:r>
      <w:r w:rsidR="005D5380">
        <w:rPr>
          <w:rFonts w:ascii="Arial" w:hAnsi="Arial" w:cs="Arial"/>
          <w:sz w:val="22"/>
          <w:szCs w:val="22"/>
        </w:rPr>
        <w:t xml:space="preserve"> addressed</w:t>
      </w:r>
      <w:r>
        <w:rPr>
          <w:rFonts w:ascii="Arial" w:hAnsi="Arial" w:cs="Arial"/>
          <w:sz w:val="22"/>
          <w:szCs w:val="22"/>
        </w:rPr>
        <w:t>, in the preamble o</w:t>
      </w:r>
      <w:r w:rsidR="00307CAE">
        <w:rPr>
          <w:rFonts w:ascii="Arial" w:hAnsi="Arial" w:cs="Arial"/>
          <w:sz w:val="22"/>
          <w:szCs w:val="22"/>
        </w:rPr>
        <w:t>r</w:t>
      </w:r>
      <w:r>
        <w:rPr>
          <w:rFonts w:ascii="Arial" w:hAnsi="Arial" w:cs="Arial"/>
          <w:sz w:val="22"/>
          <w:szCs w:val="22"/>
        </w:rPr>
        <w:t xml:space="preserve"> in the main body of the instrument?</w:t>
      </w:r>
    </w:p>
    <w:p w:rsidR="004B657A" w:rsidRPr="00E05163" w:rsidRDefault="004B657A" w:rsidP="00E05163">
      <w:pPr>
        <w:pStyle w:val="ListParagraph"/>
        <w:numPr>
          <w:ilvl w:val="0"/>
          <w:numId w:val="6"/>
        </w:numPr>
        <w:rPr>
          <w:rFonts w:ascii="Arial" w:hAnsi="Arial" w:cs="Arial"/>
          <w:sz w:val="22"/>
          <w:szCs w:val="22"/>
        </w:rPr>
      </w:pPr>
      <w:r>
        <w:rPr>
          <w:rFonts w:ascii="Arial" w:hAnsi="Arial" w:cs="Arial"/>
          <w:sz w:val="22"/>
          <w:szCs w:val="22"/>
        </w:rPr>
        <w:t xml:space="preserve">What should be the </w:t>
      </w:r>
      <w:r w:rsidRPr="00473BB6">
        <w:rPr>
          <w:rFonts w:ascii="Arial" w:hAnsi="Arial" w:cs="Arial"/>
          <w:b/>
          <w:sz w:val="22"/>
          <w:szCs w:val="22"/>
        </w:rPr>
        <w:t>consequence of non-compliance</w:t>
      </w:r>
      <w:r>
        <w:rPr>
          <w:rFonts w:ascii="Arial" w:hAnsi="Arial" w:cs="Arial"/>
          <w:sz w:val="22"/>
          <w:szCs w:val="22"/>
        </w:rPr>
        <w:t xml:space="preserve">?  </w:t>
      </w:r>
      <w:r w:rsidR="00473BB6">
        <w:rPr>
          <w:rFonts w:ascii="Arial" w:hAnsi="Arial" w:cs="Arial"/>
          <w:sz w:val="22"/>
          <w:szCs w:val="22"/>
        </w:rPr>
        <w:t xml:space="preserve">Should non-compliance affect the validity of a granted patent and, if so, what </w:t>
      </w:r>
      <w:r w:rsidR="005D5380">
        <w:rPr>
          <w:rFonts w:ascii="Arial" w:hAnsi="Arial" w:cs="Arial"/>
          <w:sz w:val="22"/>
          <w:szCs w:val="22"/>
        </w:rPr>
        <w:t xml:space="preserve">would </w:t>
      </w:r>
      <w:r w:rsidR="00473BB6">
        <w:rPr>
          <w:rFonts w:ascii="Arial" w:hAnsi="Arial" w:cs="Arial"/>
          <w:sz w:val="22"/>
          <w:szCs w:val="22"/>
        </w:rPr>
        <w:t>the permissible condition for revocation be?</w:t>
      </w:r>
    </w:p>
    <w:p w:rsidR="00B91D82" w:rsidRDefault="00B91D82" w:rsidP="00602F2E">
      <w:pPr>
        <w:rPr>
          <w:rFonts w:ascii="Arial" w:hAnsi="Arial" w:cs="Arial"/>
          <w:sz w:val="22"/>
          <w:szCs w:val="22"/>
        </w:rPr>
      </w:pPr>
    </w:p>
    <w:p w:rsidR="005E108D" w:rsidRDefault="005E108D" w:rsidP="00602F2E">
      <w:pPr>
        <w:rPr>
          <w:rFonts w:ascii="Arial" w:hAnsi="Arial" w:cs="Arial"/>
          <w:sz w:val="22"/>
          <w:szCs w:val="22"/>
        </w:rPr>
      </w:pPr>
      <w:r>
        <w:rPr>
          <w:rFonts w:ascii="Arial" w:hAnsi="Arial" w:cs="Arial"/>
          <w:sz w:val="22"/>
          <w:szCs w:val="22"/>
        </w:rPr>
        <w:t xml:space="preserve">In relation to </w:t>
      </w:r>
      <w:r w:rsidR="009C3992" w:rsidRPr="009C3992">
        <w:rPr>
          <w:rFonts w:ascii="Arial" w:hAnsi="Arial" w:cs="Arial"/>
          <w:b/>
          <w:sz w:val="22"/>
          <w:szCs w:val="22"/>
        </w:rPr>
        <w:t>defensive</w:t>
      </w:r>
      <w:r w:rsidR="009C3992">
        <w:rPr>
          <w:rFonts w:ascii="Arial" w:hAnsi="Arial" w:cs="Arial"/>
          <w:sz w:val="22"/>
          <w:szCs w:val="22"/>
        </w:rPr>
        <w:t xml:space="preserve"> </w:t>
      </w:r>
      <w:r w:rsidRPr="0029615B">
        <w:rPr>
          <w:rFonts w:ascii="Arial" w:hAnsi="Arial" w:cs="Arial"/>
          <w:b/>
          <w:sz w:val="22"/>
          <w:szCs w:val="22"/>
        </w:rPr>
        <w:t>approaches</w:t>
      </w:r>
      <w:r w:rsidR="0029615B">
        <w:rPr>
          <w:rFonts w:ascii="Arial" w:hAnsi="Arial" w:cs="Arial"/>
          <w:sz w:val="22"/>
          <w:szCs w:val="22"/>
        </w:rPr>
        <w:t xml:space="preserve"> identified in the consolidated document, it is noted that some Member States are of the view that defensive measures only, without any additional disclosure requirements, would be the best way to achieve the objectives, while other Member States believe that disclosure requirements could be complemented by defensive measures.  </w:t>
      </w:r>
      <w:r w:rsidR="00AD0313">
        <w:rPr>
          <w:rFonts w:ascii="Arial" w:hAnsi="Arial" w:cs="Arial"/>
          <w:sz w:val="22"/>
          <w:szCs w:val="22"/>
        </w:rPr>
        <w:t xml:space="preserve">Against this backdrop, Member States may wish to consider the need for additional </w:t>
      </w:r>
      <w:r w:rsidR="00AD0313" w:rsidRPr="00AD0313">
        <w:rPr>
          <w:rFonts w:ascii="Arial" w:hAnsi="Arial" w:cs="Arial"/>
          <w:b/>
          <w:sz w:val="22"/>
          <w:szCs w:val="22"/>
        </w:rPr>
        <w:t>due diligence</w:t>
      </w:r>
      <w:r w:rsidR="00AD0313">
        <w:rPr>
          <w:rFonts w:ascii="Arial" w:hAnsi="Arial" w:cs="Arial"/>
          <w:sz w:val="22"/>
          <w:szCs w:val="22"/>
        </w:rPr>
        <w:t xml:space="preserve"> </w:t>
      </w:r>
      <w:r w:rsidR="00AD0313" w:rsidRPr="005471FC">
        <w:rPr>
          <w:rFonts w:ascii="Arial" w:hAnsi="Arial" w:cs="Arial"/>
          <w:b/>
          <w:sz w:val="22"/>
          <w:szCs w:val="22"/>
        </w:rPr>
        <w:t>measures</w:t>
      </w:r>
      <w:r w:rsidR="00AD0313">
        <w:rPr>
          <w:rFonts w:ascii="Arial" w:hAnsi="Arial" w:cs="Arial"/>
          <w:sz w:val="22"/>
          <w:szCs w:val="22"/>
        </w:rPr>
        <w:t xml:space="preserve"> under this international instrument.  There seems to be a broad view among Member States that </w:t>
      </w:r>
      <w:r w:rsidR="00AD0313" w:rsidRPr="00AD0313">
        <w:rPr>
          <w:rFonts w:ascii="Arial" w:hAnsi="Arial" w:cs="Arial"/>
          <w:b/>
          <w:sz w:val="22"/>
          <w:szCs w:val="22"/>
        </w:rPr>
        <w:t>databases</w:t>
      </w:r>
      <w:r w:rsidR="00AD0313">
        <w:rPr>
          <w:rFonts w:ascii="Arial" w:hAnsi="Arial" w:cs="Arial"/>
          <w:sz w:val="22"/>
          <w:szCs w:val="22"/>
        </w:rPr>
        <w:t xml:space="preserve">, whatever the approach (a disclosure requirement or not), have a key role to play in relation to </w:t>
      </w:r>
      <w:r w:rsidR="00307CAE">
        <w:rPr>
          <w:rFonts w:ascii="Arial" w:hAnsi="Arial" w:cs="Arial"/>
          <w:sz w:val="22"/>
          <w:szCs w:val="22"/>
        </w:rPr>
        <w:t xml:space="preserve">the </w:t>
      </w:r>
      <w:r w:rsidR="00AD0313">
        <w:rPr>
          <w:rFonts w:ascii="Arial" w:hAnsi="Arial" w:cs="Arial"/>
          <w:sz w:val="22"/>
          <w:szCs w:val="22"/>
        </w:rPr>
        <w:t xml:space="preserve">IP/patent system and GRs.  Member States may consider whether databases could be conceived as stand-alone defensive measures to achieve the policy objectives or only as supplementary measures to a disclosure requirement. </w:t>
      </w:r>
    </w:p>
    <w:p w:rsidR="00307CAE" w:rsidRDefault="00307CAE" w:rsidP="00602F2E">
      <w:pPr>
        <w:rPr>
          <w:rFonts w:ascii="Arial" w:hAnsi="Arial" w:cs="Arial"/>
          <w:sz w:val="22"/>
          <w:szCs w:val="22"/>
        </w:rPr>
      </w:pPr>
    </w:p>
    <w:p w:rsidR="00307CAE" w:rsidRDefault="00307CAE" w:rsidP="00602F2E">
      <w:pPr>
        <w:rPr>
          <w:rFonts w:ascii="Arial" w:hAnsi="Arial" w:cs="Arial"/>
          <w:sz w:val="22"/>
          <w:szCs w:val="22"/>
        </w:rPr>
      </w:pPr>
      <w:r>
        <w:rPr>
          <w:rFonts w:ascii="Arial" w:hAnsi="Arial" w:cs="Arial"/>
          <w:sz w:val="22"/>
          <w:szCs w:val="22"/>
        </w:rPr>
        <w:t xml:space="preserve">While the above is a brief and informal summary of the main policy/substantive issues, the IGC may also wish to consider which mechanisms and other processes within the IGC would best enable productive discussion of the issues and the reaching of agreement on them.  </w:t>
      </w:r>
      <w:r w:rsidR="00812238">
        <w:rPr>
          <w:rFonts w:ascii="Arial" w:hAnsi="Arial" w:cs="Arial"/>
          <w:sz w:val="22"/>
          <w:szCs w:val="22"/>
        </w:rPr>
        <w:t>The IGC has, for example, in the past used a mix of plenary and informal sessions</w:t>
      </w:r>
      <w:r w:rsidR="00CD074C">
        <w:rPr>
          <w:rFonts w:ascii="Arial" w:hAnsi="Arial" w:cs="Arial"/>
          <w:sz w:val="22"/>
          <w:szCs w:val="22"/>
        </w:rPr>
        <w:t>,</w:t>
      </w:r>
      <w:r w:rsidR="00812238">
        <w:rPr>
          <w:rFonts w:ascii="Arial" w:hAnsi="Arial" w:cs="Arial"/>
          <w:sz w:val="22"/>
          <w:szCs w:val="22"/>
        </w:rPr>
        <w:t xml:space="preserve"> and t</w:t>
      </w:r>
      <w:r>
        <w:rPr>
          <w:rFonts w:ascii="Arial" w:hAnsi="Arial" w:cs="Arial"/>
          <w:sz w:val="22"/>
          <w:szCs w:val="22"/>
        </w:rPr>
        <w:t xml:space="preserve">he </w:t>
      </w:r>
      <w:r w:rsidR="00812238">
        <w:rPr>
          <w:rFonts w:ascii="Arial" w:hAnsi="Arial" w:cs="Arial"/>
          <w:sz w:val="22"/>
          <w:szCs w:val="22"/>
        </w:rPr>
        <w:t xml:space="preserve">new mandate for the 2018-2019 </w:t>
      </w:r>
      <w:proofErr w:type="gramStart"/>
      <w:r w:rsidR="00812238">
        <w:rPr>
          <w:rFonts w:ascii="Arial" w:hAnsi="Arial" w:cs="Arial"/>
          <w:sz w:val="22"/>
          <w:szCs w:val="22"/>
        </w:rPr>
        <w:t>biennium</w:t>
      </w:r>
      <w:proofErr w:type="gramEnd"/>
      <w:r w:rsidR="00812238">
        <w:rPr>
          <w:rFonts w:ascii="Arial" w:hAnsi="Arial" w:cs="Arial"/>
          <w:sz w:val="22"/>
          <w:szCs w:val="22"/>
        </w:rPr>
        <w:t xml:space="preserve"> refers to the possible establishment of</w:t>
      </w:r>
      <w:r w:rsidR="00CD074C">
        <w:rPr>
          <w:rFonts w:ascii="Arial" w:hAnsi="Arial" w:cs="Arial"/>
          <w:sz w:val="22"/>
          <w:szCs w:val="22"/>
        </w:rPr>
        <w:t xml:space="preserve"> an</w:t>
      </w:r>
      <w:r w:rsidR="00812238">
        <w:rPr>
          <w:rFonts w:ascii="Arial" w:hAnsi="Arial" w:cs="Arial"/>
          <w:sz w:val="22"/>
          <w:szCs w:val="22"/>
        </w:rPr>
        <w:t xml:space="preserve"> </w:t>
      </w:r>
      <w:r w:rsidR="00812238" w:rsidRPr="00EF6121">
        <w:rPr>
          <w:rFonts w:ascii="Arial" w:hAnsi="Arial" w:cs="Arial"/>
          <w:i/>
          <w:sz w:val="22"/>
          <w:szCs w:val="22"/>
        </w:rPr>
        <w:t>ad hoc</w:t>
      </w:r>
      <w:r w:rsidR="00812238">
        <w:rPr>
          <w:rFonts w:ascii="Arial" w:hAnsi="Arial" w:cs="Arial"/>
          <w:sz w:val="22"/>
          <w:szCs w:val="22"/>
        </w:rPr>
        <w:t xml:space="preserve"> expert group</w:t>
      </w:r>
      <w:r w:rsidR="00CD074C">
        <w:rPr>
          <w:rFonts w:ascii="Arial" w:hAnsi="Arial" w:cs="Arial"/>
          <w:sz w:val="22"/>
          <w:szCs w:val="22"/>
        </w:rPr>
        <w:t>(</w:t>
      </w:r>
      <w:r w:rsidR="00812238">
        <w:rPr>
          <w:rFonts w:ascii="Arial" w:hAnsi="Arial" w:cs="Arial"/>
          <w:sz w:val="22"/>
          <w:szCs w:val="22"/>
        </w:rPr>
        <w:t>s</w:t>
      </w:r>
      <w:r w:rsidR="00CD074C">
        <w:rPr>
          <w:rFonts w:ascii="Arial" w:hAnsi="Arial" w:cs="Arial"/>
          <w:sz w:val="22"/>
          <w:szCs w:val="22"/>
        </w:rPr>
        <w:t>)</w:t>
      </w:r>
      <w:r w:rsidR="00812238">
        <w:rPr>
          <w:rFonts w:ascii="Arial" w:hAnsi="Arial" w:cs="Arial"/>
          <w:sz w:val="22"/>
          <w:szCs w:val="22"/>
        </w:rPr>
        <w:t xml:space="preserve"> to “address a specific legal, policy or technical issue”.   </w:t>
      </w:r>
    </w:p>
    <w:p w:rsidR="00F533CF" w:rsidRDefault="00F533CF" w:rsidP="00602F2E">
      <w:pPr>
        <w:rPr>
          <w:rFonts w:ascii="Arial" w:hAnsi="Arial" w:cs="Arial"/>
          <w:b/>
          <w:sz w:val="22"/>
          <w:szCs w:val="22"/>
          <w:u w:val="single"/>
        </w:rPr>
      </w:pPr>
    </w:p>
    <w:p w:rsidR="005165FC" w:rsidRPr="00E26E89" w:rsidRDefault="005165FC" w:rsidP="00602F2E">
      <w:pPr>
        <w:rPr>
          <w:rFonts w:ascii="Arial" w:hAnsi="Arial" w:cs="Arial"/>
          <w:b/>
          <w:sz w:val="22"/>
          <w:szCs w:val="22"/>
          <w:u w:val="single"/>
        </w:rPr>
      </w:pPr>
      <w:r w:rsidRPr="00E26E89">
        <w:rPr>
          <w:rFonts w:ascii="Arial" w:hAnsi="Arial" w:cs="Arial"/>
          <w:b/>
          <w:sz w:val="22"/>
          <w:szCs w:val="22"/>
          <w:u w:val="single"/>
        </w:rPr>
        <w:t>Other useful resources</w:t>
      </w:r>
    </w:p>
    <w:p w:rsidR="005165FC" w:rsidRPr="005B68B1" w:rsidRDefault="005165FC" w:rsidP="00602F2E">
      <w:pPr>
        <w:rPr>
          <w:rFonts w:ascii="Arial" w:hAnsi="Arial" w:cs="Arial"/>
          <w:sz w:val="22"/>
          <w:szCs w:val="22"/>
        </w:rPr>
      </w:pPr>
    </w:p>
    <w:p w:rsidR="005165FC" w:rsidRPr="00DB6C34" w:rsidRDefault="005165FC" w:rsidP="00602F2E">
      <w:pPr>
        <w:rPr>
          <w:rFonts w:ascii="Arial" w:hAnsi="Arial" w:cs="Arial"/>
          <w:sz w:val="22"/>
          <w:szCs w:val="22"/>
        </w:rPr>
      </w:pPr>
      <w:r w:rsidRPr="00235D0C">
        <w:rPr>
          <w:rFonts w:ascii="Arial" w:hAnsi="Arial" w:cs="Arial"/>
          <w:sz w:val="22"/>
          <w:szCs w:val="22"/>
        </w:rPr>
        <w:t xml:space="preserve">I note that there are some </w:t>
      </w:r>
      <w:r w:rsidR="00D04EE1">
        <w:rPr>
          <w:rFonts w:ascii="Arial" w:hAnsi="Arial" w:cs="Arial"/>
          <w:sz w:val="22"/>
          <w:szCs w:val="22"/>
        </w:rPr>
        <w:t xml:space="preserve">very </w:t>
      </w:r>
      <w:r w:rsidRPr="00235D0C">
        <w:rPr>
          <w:rFonts w:ascii="Arial" w:hAnsi="Arial" w:cs="Arial"/>
          <w:sz w:val="22"/>
          <w:szCs w:val="22"/>
        </w:rPr>
        <w:t xml:space="preserve">useful resources available on </w:t>
      </w:r>
      <w:r w:rsidRPr="005A7704">
        <w:rPr>
          <w:rFonts w:ascii="Arial" w:hAnsi="Arial" w:cs="Arial"/>
          <w:sz w:val="22"/>
          <w:szCs w:val="22"/>
        </w:rPr>
        <w:t xml:space="preserve">the </w:t>
      </w:r>
      <w:r w:rsidRPr="00903A40">
        <w:rPr>
          <w:rFonts w:ascii="Arial" w:hAnsi="Arial" w:cs="Arial"/>
          <w:sz w:val="22"/>
          <w:szCs w:val="22"/>
        </w:rPr>
        <w:t xml:space="preserve">WIPO website which </w:t>
      </w:r>
      <w:r>
        <w:rPr>
          <w:rFonts w:ascii="Arial" w:hAnsi="Arial" w:cs="Arial"/>
          <w:sz w:val="22"/>
          <w:szCs w:val="22"/>
        </w:rPr>
        <w:t>Member S</w:t>
      </w:r>
      <w:r w:rsidRPr="00FF1476">
        <w:rPr>
          <w:rFonts w:ascii="Arial" w:hAnsi="Arial" w:cs="Arial"/>
          <w:sz w:val="22"/>
          <w:szCs w:val="22"/>
        </w:rPr>
        <w:t xml:space="preserve">tates </w:t>
      </w:r>
      <w:r w:rsidRPr="005B68B1">
        <w:rPr>
          <w:rFonts w:ascii="Arial" w:hAnsi="Arial" w:cs="Arial"/>
          <w:sz w:val="22"/>
          <w:szCs w:val="22"/>
        </w:rPr>
        <w:t>may wish to use as reference materials in their preparations for</w:t>
      </w:r>
      <w:r w:rsidR="00437E95">
        <w:rPr>
          <w:rFonts w:ascii="Arial" w:hAnsi="Arial" w:cs="Arial"/>
          <w:sz w:val="22"/>
          <w:szCs w:val="22"/>
        </w:rPr>
        <w:t xml:space="preserve"> IGC 35</w:t>
      </w:r>
      <w:r>
        <w:rPr>
          <w:rFonts w:ascii="Arial" w:hAnsi="Arial" w:cs="Arial"/>
          <w:sz w:val="22"/>
          <w:szCs w:val="22"/>
        </w:rPr>
        <w:t>, such </w:t>
      </w:r>
      <w:r w:rsidRPr="005B68B1">
        <w:rPr>
          <w:rFonts w:ascii="Arial" w:hAnsi="Arial" w:cs="Arial"/>
          <w:sz w:val="22"/>
          <w:szCs w:val="22"/>
        </w:rPr>
        <w:t>as:</w:t>
      </w:r>
      <w:r w:rsidRPr="005B68B1">
        <w:rPr>
          <w:rFonts w:ascii="Arial" w:hAnsi="Arial" w:cs="Arial"/>
          <w:sz w:val="22"/>
          <w:szCs w:val="22"/>
        </w:rPr>
        <w:br/>
      </w:r>
    </w:p>
    <w:p w:rsidR="0057391C" w:rsidRPr="00F533CF" w:rsidRDefault="00437E95" w:rsidP="00F533CF">
      <w:pPr>
        <w:pStyle w:val="ListParagraph"/>
        <w:numPr>
          <w:ilvl w:val="0"/>
          <w:numId w:val="4"/>
        </w:numPr>
        <w:rPr>
          <w:rFonts w:ascii="Arial" w:hAnsi="Arial" w:cs="Arial"/>
          <w:sz w:val="22"/>
          <w:szCs w:val="22"/>
        </w:rPr>
      </w:pPr>
      <w:r w:rsidRPr="00437E95">
        <w:rPr>
          <w:rFonts w:ascii="Arial" w:hAnsi="Arial" w:cs="Arial"/>
          <w:sz w:val="22"/>
          <w:szCs w:val="22"/>
        </w:rPr>
        <w:t>Key Questions on Patent Disclosure Requirements for Genetic Resources and Traditional Knowledge</w:t>
      </w:r>
      <w:r w:rsidR="0057391C">
        <w:rPr>
          <w:rFonts w:ascii="Arial" w:hAnsi="Arial" w:cs="Arial"/>
          <w:sz w:val="22"/>
          <w:szCs w:val="22"/>
        </w:rPr>
        <w:t xml:space="preserve">, </w:t>
      </w:r>
      <w:hyperlink r:id="rId8" w:history="1">
        <w:r w:rsidR="0057391C" w:rsidRPr="00F03A99">
          <w:rPr>
            <w:rStyle w:val="Hyperlink"/>
            <w:rFonts w:ascii="Arial" w:hAnsi="Arial" w:cs="Arial"/>
            <w:sz w:val="22"/>
            <w:szCs w:val="22"/>
          </w:rPr>
          <w:t>http://www.wipo.int/publications/en/details.jsp?id=4194</w:t>
        </w:r>
      </w:hyperlink>
      <w:r w:rsidR="005165FC" w:rsidRPr="00437E95">
        <w:rPr>
          <w:rFonts w:ascii="Arial" w:hAnsi="Arial" w:cs="Arial"/>
          <w:sz w:val="22"/>
          <w:szCs w:val="22"/>
        </w:rPr>
        <w:t>;</w:t>
      </w:r>
      <w:r w:rsidR="0057391C">
        <w:rPr>
          <w:rFonts w:ascii="Arial" w:hAnsi="Arial" w:cs="Arial"/>
          <w:sz w:val="22"/>
          <w:szCs w:val="22"/>
        </w:rPr>
        <w:t xml:space="preserve"> </w:t>
      </w:r>
    </w:p>
    <w:p w:rsidR="0057391C" w:rsidRPr="00F533CF" w:rsidRDefault="0057391C" w:rsidP="0057391C">
      <w:pPr>
        <w:pStyle w:val="ListParagraph"/>
        <w:numPr>
          <w:ilvl w:val="0"/>
          <w:numId w:val="4"/>
        </w:numPr>
        <w:rPr>
          <w:rFonts w:ascii="Arial" w:hAnsi="Arial" w:cs="Arial"/>
          <w:sz w:val="22"/>
          <w:szCs w:val="22"/>
        </w:rPr>
      </w:pPr>
      <w:r>
        <w:rPr>
          <w:rFonts w:ascii="Arial" w:hAnsi="Arial" w:cs="Arial"/>
          <w:sz w:val="22"/>
          <w:szCs w:val="22"/>
        </w:rPr>
        <w:t xml:space="preserve">Disclosure Requirement Table, </w:t>
      </w:r>
      <w:hyperlink r:id="rId9" w:history="1">
        <w:r w:rsidRPr="00F03A99">
          <w:rPr>
            <w:rStyle w:val="Hyperlink"/>
            <w:rFonts w:ascii="Arial" w:hAnsi="Arial" w:cs="Arial"/>
            <w:sz w:val="22"/>
            <w:szCs w:val="22"/>
          </w:rPr>
          <w:t>http://www.wipo.int/export/sites/www/tk/en/documents/pdf/genetic_resources_disclosure.pdf</w:t>
        </w:r>
      </w:hyperlink>
      <w:r>
        <w:rPr>
          <w:rFonts w:ascii="Arial" w:hAnsi="Arial" w:cs="Arial"/>
          <w:sz w:val="22"/>
          <w:szCs w:val="22"/>
        </w:rPr>
        <w:t xml:space="preserve">; </w:t>
      </w:r>
    </w:p>
    <w:p w:rsidR="0057391C" w:rsidRPr="00F533CF" w:rsidRDefault="0057391C" w:rsidP="00F533CF">
      <w:pPr>
        <w:pStyle w:val="ListParagraph"/>
        <w:numPr>
          <w:ilvl w:val="0"/>
          <w:numId w:val="4"/>
        </w:numPr>
        <w:rPr>
          <w:rFonts w:ascii="Arial" w:hAnsi="Arial" w:cs="Arial"/>
          <w:sz w:val="22"/>
          <w:szCs w:val="22"/>
        </w:rPr>
      </w:pPr>
      <w:r>
        <w:rPr>
          <w:rFonts w:ascii="Arial" w:hAnsi="Arial" w:cs="Arial"/>
          <w:sz w:val="22"/>
          <w:szCs w:val="22"/>
        </w:rPr>
        <w:t xml:space="preserve">Brief 10:  Intellectual Property and Genetic Resources, </w:t>
      </w:r>
      <w:hyperlink r:id="rId10" w:history="1">
        <w:r w:rsidRPr="00F03A99">
          <w:rPr>
            <w:rStyle w:val="Hyperlink"/>
            <w:rFonts w:ascii="Arial" w:hAnsi="Arial" w:cs="Arial"/>
            <w:sz w:val="22"/>
            <w:szCs w:val="22"/>
          </w:rPr>
          <w:t>http://www.wipo.int/publications/en/details.jsp?id=4011</w:t>
        </w:r>
      </w:hyperlink>
      <w:r>
        <w:rPr>
          <w:rFonts w:ascii="Arial" w:hAnsi="Arial" w:cs="Arial"/>
          <w:sz w:val="22"/>
          <w:szCs w:val="22"/>
        </w:rPr>
        <w:t xml:space="preserve">; </w:t>
      </w:r>
    </w:p>
    <w:p w:rsidR="0057391C" w:rsidRPr="00F533CF" w:rsidRDefault="005165FC" w:rsidP="0057391C">
      <w:pPr>
        <w:pStyle w:val="ListParagraph"/>
        <w:numPr>
          <w:ilvl w:val="0"/>
          <w:numId w:val="4"/>
        </w:numPr>
        <w:rPr>
          <w:rFonts w:ascii="Arial" w:hAnsi="Arial" w:cs="Arial"/>
          <w:sz w:val="22"/>
          <w:szCs w:val="22"/>
        </w:rPr>
      </w:pPr>
      <w:r w:rsidRPr="0057391C">
        <w:rPr>
          <w:rFonts w:ascii="Arial" w:hAnsi="Arial" w:cs="Arial"/>
          <w:sz w:val="22"/>
          <w:szCs w:val="22"/>
        </w:rPr>
        <w:t xml:space="preserve">Regional, National, Local and Community Experiences, </w:t>
      </w:r>
      <w:hyperlink r:id="rId11" w:history="1">
        <w:r w:rsidRPr="0057391C">
          <w:rPr>
            <w:rStyle w:val="Hyperlink"/>
            <w:rFonts w:ascii="Arial" w:hAnsi="Arial" w:cs="Arial"/>
            <w:sz w:val="22"/>
            <w:szCs w:val="22"/>
          </w:rPr>
          <w:t>http://www.wipo.int/tk/en/resources/tk_experiences.html</w:t>
        </w:r>
      </w:hyperlink>
      <w:r w:rsidRPr="0057391C">
        <w:rPr>
          <w:rFonts w:ascii="Arial" w:hAnsi="Arial" w:cs="Arial"/>
          <w:sz w:val="22"/>
          <w:szCs w:val="22"/>
        </w:rPr>
        <w:t>;</w:t>
      </w:r>
    </w:p>
    <w:p w:rsidR="005165FC" w:rsidRPr="0057391C" w:rsidRDefault="005165FC" w:rsidP="0057391C">
      <w:pPr>
        <w:pStyle w:val="ListParagraph"/>
        <w:numPr>
          <w:ilvl w:val="0"/>
          <w:numId w:val="4"/>
        </w:numPr>
        <w:rPr>
          <w:rFonts w:ascii="Arial" w:hAnsi="Arial" w:cs="Arial"/>
          <w:sz w:val="22"/>
          <w:szCs w:val="22"/>
        </w:rPr>
      </w:pPr>
      <w:r w:rsidRPr="0057391C">
        <w:rPr>
          <w:rFonts w:ascii="Arial" w:hAnsi="Arial" w:cs="Arial"/>
          <w:sz w:val="22"/>
          <w:szCs w:val="22"/>
        </w:rPr>
        <w:t>Lectures and presentations on the selected topics,</w:t>
      </w:r>
    </w:p>
    <w:p w:rsidR="005165FC" w:rsidRDefault="0076219D" w:rsidP="00602F2E">
      <w:pPr>
        <w:ind w:firstLine="720"/>
        <w:rPr>
          <w:rFonts w:ascii="Arial" w:hAnsi="Arial" w:cs="Arial"/>
          <w:sz w:val="22"/>
          <w:szCs w:val="22"/>
        </w:rPr>
      </w:pPr>
      <w:hyperlink r:id="rId12" w:anchor="4" w:history="1">
        <w:r w:rsidR="0016060F" w:rsidRPr="000D3F9B">
          <w:rPr>
            <w:rStyle w:val="Hyperlink"/>
            <w:rFonts w:ascii="Arial" w:hAnsi="Arial" w:cs="Arial"/>
            <w:sz w:val="22"/>
            <w:szCs w:val="22"/>
          </w:rPr>
          <w:t>http://www.wipo.int/tk/en/resources/tk_experiences.html#4</w:t>
        </w:r>
      </w:hyperlink>
    </w:p>
    <w:p w:rsidR="005165FC" w:rsidRDefault="005165FC" w:rsidP="0057391C">
      <w:pPr>
        <w:numPr>
          <w:ilvl w:val="1"/>
          <w:numId w:val="4"/>
        </w:numPr>
        <w:rPr>
          <w:rFonts w:ascii="Arial" w:hAnsi="Arial" w:cs="Arial"/>
          <w:sz w:val="22"/>
          <w:szCs w:val="22"/>
        </w:rPr>
      </w:pPr>
      <w:r w:rsidRPr="003F52EC">
        <w:rPr>
          <w:rFonts w:ascii="Arial" w:hAnsi="Arial" w:cs="Arial"/>
          <w:sz w:val="22"/>
          <w:szCs w:val="22"/>
        </w:rPr>
        <w:t xml:space="preserve">Presentations on </w:t>
      </w:r>
      <w:r w:rsidR="0057391C">
        <w:rPr>
          <w:rFonts w:ascii="Arial" w:hAnsi="Arial" w:cs="Arial"/>
          <w:sz w:val="22"/>
          <w:szCs w:val="22"/>
        </w:rPr>
        <w:t>disclosure requirements</w:t>
      </w:r>
      <w:r>
        <w:rPr>
          <w:rFonts w:ascii="Arial" w:hAnsi="Arial" w:cs="Arial"/>
          <w:sz w:val="22"/>
          <w:szCs w:val="22"/>
        </w:rPr>
        <w:t xml:space="preserve">; </w:t>
      </w:r>
      <w:r w:rsidR="0057391C">
        <w:rPr>
          <w:rFonts w:ascii="Arial" w:hAnsi="Arial" w:cs="Arial"/>
          <w:sz w:val="22"/>
          <w:szCs w:val="22"/>
        </w:rPr>
        <w:t xml:space="preserve"> </w:t>
      </w:r>
      <w:r>
        <w:rPr>
          <w:rFonts w:ascii="Arial" w:hAnsi="Arial" w:cs="Arial"/>
          <w:sz w:val="22"/>
          <w:szCs w:val="22"/>
        </w:rPr>
        <w:t>and</w:t>
      </w:r>
    </w:p>
    <w:p w:rsidR="005165FC" w:rsidRDefault="005165FC" w:rsidP="00602F2E">
      <w:pPr>
        <w:numPr>
          <w:ilvl w:val="1"/>
          <w:numId w:val="4"/>
        </w:numPr>
        <w:rPr>
          <w:rFonts w:ascii="Arial" w:hAnsi="Arial" w:cs="Arial"/>
          <w:sz w:val="22"/>
          <w:szCs w:val="22"/>
        </w:rPr>
      </w:pPr>
      <w:r w:rsidRPr="003F52EC">
        <w:rPr>
          <w:rFonts w:ascii="Arial" w:hAnsi="Arial" w:cs="Arial"/>
          <w:sz w:val="22"/>
          <w:szCs w:val="22"/>
        </w:rPr>
        <w:t xml:space="preserve">Presentations on </w:t>
      </w:r>
      <w:r w:rsidR="0057391C">
        <w:rPr>
          <w:rFonts w:ascii="Arial" w:hAnsi="Arial" w:cs="Arial"/>
          <w:sz w:val="22"/>
          <w:szCs w:val="22"/>
        </w:rPr>
        <w:t>databases</w:t>
      </w:r>
      <w:r>
        <w:rPr>
          <w:rFonts w:ascii="Arial" w:hAnsi="Arial" w:cs="Arial"/>
          <w:sz w:val="22"/>
          <w:szCs w:val="22"/>
        </w:rPr>
        <w:t>.</w:t>
      </w:r>
    </w:p>
    <w:p w:rsidR="005165FC" w:rsidRDefault="005165FC" w:rsidP="00602F2E">
      <w:pPr>
        <w:rPr>
          <w:rFonts w:ascii="Arial" w:hAnsi="Arial" w:cs="Arial"/>
          <w:sz w:val="22"/>
          <w:szCs w:val="22"/>
        </w:rPr>
      </w:pPr>
    </w:p>
    <w:p w:rsidR="00A566DC" w:rsidRDefault="0016060F" w:rsidP="0016060F">
      <w:pPr>
        <w:jc w:val="center"/>
      </w:pPr>
      <w:r>
        <w:t>______</w:t>
      </w:r>
    </w:p>
    <w:sectPr w:rsidR="00A566DC" w:rsidSect="00237AFB">
      <w:headerReference w:type="even" r:id="rId13"/>
      <w:headerReference w:type="default" r:id="rId14"/>
      <w:pgSz w:w="11907" w:h="16839" w:code="9"/>
      <w:pgMar w:top="1440" w:right="1107"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DB" w:rsidRDefault="005B6BDB" w:rsidP="00B91D82">
      <w:r>
        <w:separator/>
      </w:r>
    </w:p>
  </w:endnote>
  <w:endnote w:type="continuationSeparator" w:id="0">
    <w:p w:rsidR="005B6BDB" w:rsidRDefault="005B6BDB" w:rsidP="00B9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DB" w:rsidRDefault="005B6BDB" w:rsidP="00B91D82">
      <w:r>
        <w:separator/>
      </w:r>
    </w:p>
  </w:footnote>
  <w:footnote w:type="continuationSeparator" w:id="0">
    <w:p w:rsidR="005B6BDB" w:rsidRDefault="005B6BDB" w:rsidP="00B91D82">
      <w:r>
        <w:continuationSeparator/>
      </w:r>
    </w:p>
  </w:footnote>
  <w:footnote w:id="1">
    <w:p w:rsidR="005165FC" w:rsidRPr="00C041D9" w:rsidRDefault="005165FC" w:rsidP="005165FC">
      <w:pPr>
        <w:pStyle w:val="FootnoteText"/>
        <w:rPr>
          <w:rFonts w:ascii="Arial" w:hAnsi="Arial" w:cs="Arial"/>
          <w:sz w:val="18"/>
          <w:szCs w:val="18"/>
        </w:rPr>
      </w:pPr>
      <w:r w:rsidRPr="00C041D9">
        <w:rPr>
          <w:rStyle w:val="FootnoteReference"/>
          <w:rFonts w:ascii="Arial" w:hAnsi="Arial" w:cs="Arial"/>
          <w:sz w:val="18"/>
          <w:szCs w:val="18"/>
        </w:rPr>
        <w:footnoteRef/>
      </w:r>
      <w:r w:rsidRPr="00C041D9">
        <w:rPr>
          <w:rFonts w:ascii="Arial" w:hAnsi="Arial" w:cs="Arial"/>
          <w:sz w:val="18"/>
          <w:szCs w:val="18"/>
        </w:rPr>
        <w:t xml:space="preserve"> Note from the WIPO Secretariat:  The Chair</w:t>
      </w:r>
      <w:r w:rsidR="009414CD">
        <w:rPr>
          <w:rFonts w:ascii="Arial" w:hAnsi="Arial" w:cs="Arial"/>
          <w:sz w:val="18"/>
          <w:szCs w:val="18"/>
        </w:rPr>
        <w:t>-</w:t>
      </w:r>
      <w:r w:rsidR="007C0376">
        <w:rPr>
          <w:rFonts w:ascii="Arial" w:hAnsi="Arial" w:cs="Arial"/>
          <w:sz w:val="18"/>
          <w:szCs w:val="18"/>
        </w:rPr>
        <w:t>designate</w:t>
      </w:r>
      <w:r w:rsidR="007C0376" w:rsidRPr="00C041D9">
        <w:rPr>
          <w:rFonts w:ascii="Arial" w:hAnsi="Arial" w:cs="Arial"/>
          <w:sz w:val="18"/>
          <w:szCs w:val="18"/>
        </w:rPr>
        <w:t xml:space="preserve"> </w:t>
      </w:r>
      <w:r w:rsidRPr="00C041D9">
        <w:rPr>
          <w:rFonts w:ascii="Arial" w:hAnsi="Arial" w:cs="Arial"/>
          <w:sz w:val="18"/>
          <w:szCs w:val="18"/>
        </w:rPr>
        <w:t>of the IGC, Mr. Ian Goss, has prepared this information note to assist Member States in their preparations for IGC 3</w:t>
      </w:r>
      <w:r w:rsidR="009414CD">
        <w:rPr>
          <w:rFonts w:ascii="Arial" w:hAnsi="Arial" w:cs="Arial"/>
          <w:sz w:val="18"/>
          <w:szCs w:val="18"/>
        </w:rPr>
        <w:t>5</w:t>
      </w:r>
      <w:r w:rsidRPr="00C041D9">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339730"/>
      <w:docPartObj>
        <w:docPartGallery w:val="Page Numbers (Top of Page)"/>
        <w:docPartUnique/>
      </w:docPartObj>
    </w:sdtPr>
    <w:sdtEndPr>
      <w:rPr>
        <w:rStyle w:val="PageNumber"/>
      </w:rPr>
    </w:sdtEndPr>
    <w:sdtContent>
      <w:p w:rsidR="00237AFB" w:rsidRDefault="00237AFB" w:rsidP="00F03A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37C0">
          <w:rPr>
            <w:rStyle w:val="PageNumber"/>
            <w:noProof/>
          </w:rPr>
          <w:t>1</w:t>
        </w:r>
        <w:r>
          <w:rPr>
            <w:rStyle w:val="PageNumber"/>
          </w:rPr>
          <w:fldChar w:fldCharType="end"/>
        </w:r>
      </w:p>
    </w:sdtContent>
  </w:sdt>
  <w:p w:rsidR="00237AFB" w:rsidRDefault="00237AFB" w:rsidP="00237A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66252408"/>
      <w:docPartObj>
        <w:docPartGallery w:val="Page Numbers (Top of Page)"/>
        <w:docPartUnique/>
      </w:docPartObj>
    </w:sdtPr>
    <w:sdtEndPr>
      <w:rPr>
        <w:rStyle w:val="PageNumber"/>
        <w:rFonts w:ascii="Arial" w:hAnsi="Arial" w:cs="Arial"/>
        <w:sz w:val="22"/>
        <w:szCs w:val="22"/>
      </w:rPr>
    </w:sdtEndPr>
    <w:sdtContent>
      <w:p w:rsidR="00237AFB" w:rsidRPr="00237AFB" w:rsidRDefault="00237AFB" w:rsidP="00F03A99">
        <w:pPr>
          <w:pStyle w:val="Header"/>
          <w:framePr w:wrap="none" w:vAnchor="text" w:hAnchor="margin" w:xAlign="right" w:y="1"/>
          <w:rPr>
            <w:rStyle w:val="PageNumber"/>
            <w:rFonts w:ascii="Arial" w:hAnsi="Arial" w:cs="Arial"/>
            <w:sz w:val="22"/>
            <w:szCs w:val="22"/>
          </w:rPr>
        </w:pPr>
        <w:r w:rsidRPr="00237AFB">
          <w:rPr>
            <w:rStyle w:val="PageNumber"/>
            <w:rFonts w:ascii="Arial" w:hAnsi="Arial" w:cs="Arial"/>
            <w:sz w:val="22"/>
            <w:szCs w:val="22"/>
          </w:rPr>
          <w:fldChar w:fldCharType="begin"/>
        </w:r>
        <w:r w:rsidRPr="00237AFB">
          <w:rPr>
            <w:rStyle w:val="PageNumber"/>
            <w:rFonts w:ascii="Arial" w:hAnsi="Arial" w:cs="Arial"/>
            <w:sz w:val="22"/>
            <w:szCs w:val="22"/>
          </w:rPr>
          <w:instrText xml:space="preserve"> PAGE </w:instrText>
        </w:r>
        <w:r w:rsidRPr="00237AFB">
          <w:rPr>
            <w:rStyle w:val="PageNumber"/>
            <w:rFonts w:ascii="Arial" w:hAnsi="Arial" w:cs="Arial"/>
            <w:sz w:val="22"/>
            <w:szCs w:val="22"/>
          </w:rPr>
          <w:fldChar w:fldCharType="separate"/>
        </w:r>
        <w:r w:rsidR="0076219D">
          <w:rPr>
            <w:rStyle w:val="PageNumber"/>
            <w:rFonts w:ascii="Arial" w:hAnsi="Arial" w:cs="Arial"/>
            <w:noProof/>
            <w:sz w:val="22"/>
            <w:szCs w:val="22"/>
          </w:rPr>
          <w:t>2</w:t>
        </w:r>
        <w:r w:rsidRPr="00237AFB">
          <w:rPr>
            <w:rStyle w:val="PageNumber"/>
            <w:rFonts w:ascii="Arial" w:hAnsi="Arial" w:cs="Arial"/>
            <w:sz w:val="22"/>
            <w:szCs w:val="22"/>
          </w:rPr>
          <w:fldChar w:fldCharType="end"/>
        </w:r>
      </w:p>
    </w:sdtContent>
  </w:sdt>
  <w:p w:rsidR="00237AFB" w:rsidRPr="00237AFB" w:rsidRDefault="00237AFB" w:rsidP="00237AFB">
    <w:pPr>
      <w:pStyle w:val="Header"/>
      <w:ind w:right="36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B32"/>
    <w:multiLevelType w:val="hybridMultilevel"/>
    <w:tmpl w:val="A72CE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7D2FCF"/>
    <w:multiLevelType w:val="hybridMultilevel"/>
    <w:tmpl w:val="C8F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A1034"/>
    <w:multiLevelType w:val="hybridMultilevel"/>
    <w:tmpl w:val="BA5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954E3F"/>
    <w:multiLevelType w:val="hybridMultilevel"/>
    <w:tmpl w:val="1EE8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9E"/>
    <w:rsid w:val="00011746"/>
    <w:rsid w:val="000B190D"/>
    <w:rsid w:val="0016060F"/>
    <w:rsid w:val="00172448"/>
    <w:rsid w:val="001776B3"/>
    <w:rsid w:val="001B61B2"/>
    <w:rsid w:val="001E11C0"/>
    <w:rsid w:val="00237AFB"/>
    <w:rsid w:val="00273D78"/>
    <w:rsid w:val="00274530"/>
    <w:rsid w:val="0029615B"/>
    <w:rsid w:val="00307CAE"/>
    <w:rsid w:val="00315A73"/>
    <w:rsid w:val="00351A3C"/>
    <w:rsid w:val="00437E95"/>
    <w:rsid w:val="00473BB6"/>
    <w:rsid w:val="004B657A"/>
    <w:rsid w:val="00503BBB"/>
    <w:rsid w:val="0050619E"/>
    <w:rsid w:val="005165FC"/>
    <w:rsid w:val="005471FC"/>
    <w:rsid w:val="00555188"/>
    <w:rsid w:val="0057391C"/>
    <w:rsid w:val="00576B85"/>
    <w:rsid w:val="005A6410"/>
    <w:rsid w:val="005B6BDB"/>
    <w:rsid w:val="005D5380"/>
    <w:rsid w:val="005E108D"/>
    <w:rsid w:val="005E7EC6"/>
    <w:rsid w:val="00602F2E"/>
    <w:rsid w:val="007223DC"/>
    <w:rsid w:val="0076219D"/>
    <w:rsid w:val="00787DC9"/>
    <w:rsid w:val="007B3192"/>
    <w:rsid w:val="007C0376"/>
    <w:rsid w:val="007C66A5"/>
    <w:rsid w:val="00801FDB"/>
    <w:rsid w:val="00812238"/>
    <w:rsid w:val="00823BE8"/>
    <w:rsid w:val="00862877"/>
    <w:rsid w:val="00873377"/>
    <w:rsid w:val="008841F8"/>
    <w:rsid w:val="0089735D"/>
    <w:rsid w:val="008F0CA5"/>
    <w:rsid w:val="009414CD"/>
    <w:rsid w:val="00944915"/>
    <w:rsid w:val="00966799"/>
    <w:rsid w:val="009C3992"/>
    <w:rsid w:val="00A37994"/>
    <w:rsid w:val="00A566DC"/>
    <w:rsid w:val="00A62720"/>
    <w:rsid w:val="00A743D5"/>
    <w:rsid w:val="00A91808"/>
    <w:rsid w:val="00AD0313"/>
    <w:rsid w:val="00B33741"/>
    <w:rsid w:val="00B5727A"/>
    <w:rsid w:val="00B91D82"/>
    <w:rsid w:val="00BB349E"/>
    <w:rsid w:val="00BF6C4A"/>
    <w:rsid w:val="00C574D4"/>
    <w:rsid w:val="00C637C0"/>
    <w:rsid w:val="00CC02CD"/>
    <w:rsid w:val="00CD074C"/>
    <w:rsid w:val="00CF329A"/>
    <w:rsid w:val="00D04EE1"/>
    <w:rsid w:val="00D67C02"/>
    <w:rsid w:val="00D8096E"/>
    <w:rsid w:val="00DB14CD"/>
    <w:rsid w:val="00DC2DB9"/>
    <w:rsid w:val="00E05163"/>
    <w:rsid w:val="00E60AA0"/>
    <w:rsid w:val="00ED04A4"/>
    <w:rsid w:val="00EE51AB"/>
    <w:rsid w:val="00EF6121"/>
    <w:rsid w:val="00EF7597"/>
    <w:rsid w:val="00F011FA"/>
    <w:rsid w:val="00F533CF"/>
    <w:rsid w:val="00F80B7E"/>
    <w:rsid w:val="00F910FC"/>
    <w:rsid w:val="00F97606"/>
    <w:rsid w:val="00FA2B62"/>
    <w:rsid w:val="00FB2497"/>
    <w:rsid w:val="00FD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8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82"/>
    <w:rPr>
      <w:sz w:val="20"/>
      <w:szCs w:val="20"/>
    </w:rPr>
  </w:style>
  <w:style w:type="character" w:customStyle="1" w:styleId="FootnoteTextChar">
    <w:name w:val="Footnote Text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
    <w:name w:val="Unresolved Mention"/>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8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91D82"/>
    <w:rPr>
      <w:sz w:val="20"/>
      <w:szCs w:val="20"/>
    </w:rPr>
  </w:style>
  <w:style w:type="character" w:customStyle="1" w:styleId="FootnoteTextChar">
    <w:name w:val="Footnote Text Char"/>
    <w:basedOn w:val="DefaultParagraphFont"/>
    <w:link w:val="FootnoteText"/>
    <w:rsid w:val="00B91D82"/>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91D82"/>
    <w:rPr>
      <w:vertAlign w:val="superscript"/>
    </w:rPr>
  </w:style>
  <w:style w:type="character" w:styleId="Hyperlink">
    <w:name w:val="Hyperlink"/>
    <w:rsid w:val="005165FC"/>
    <w:rPr>
      <w:color w:val="0000FF"/>
      <w:u w:val="single"/>
    </w:rPr>
  </w:style>
  <w:style w:type="paragraph" w:styleId="ListParagraph">
    <w:name w:val="List Paragraph"/>
    <w:basedOn w:val="Normal"/>
    <w:uiPriority w:val="34"/>
    <w:qFormat/>
    <w:rsid w:val="00DB14CD"/>
    <w:pPr>
      <w:ind w:left="720"/>
      <w:contextualSpacing/>
    </w:pPr>
  </w:style>
  <w:style w:type="character" w:customStyle="1" w:styleId="UnresolvedMention">
    <w:name w:val="Unresolved Mention"/>
    <w:basedOn w:val="DefaultParagraphFont"/>
    <w:uiPriority w:val="99"/>
    <w:semiHidden/>
    <w:unhideWhenUsed/>
    <w:rsid w:val="0057391C"/>
    <w:rPr>
      <w:color w:val="808080"/>
      <w:shd w:val="clear" w:color="auto" w:fill="E6E6E6"/>
    </w:rPr>
  </w:style>
  <w:style w:type="paragraph" w:styleId="Header">
    <w:name w:val="header"/>
    <w:basedOn w:val="Normal"/>
    <w:link w:val="HeaderChar"/>
    <w:uiPriority w:val="99"/>
    <w:unhideWhenUsed/>
    <w:rsid w:val="00237AFB"/>
    <w:pPr>
      <w:tabs>
        <w:tab w:val="center" w:pos="4680"/>
        <w:tab w:val="right" w:pos="9360"/>
      </w:tabs>
    </w:pPr>
  </w:style>
  <w:style w:type="character" w:customStyle="1" w:styleId="HeaderChar">
    <w:name w:val="Header Char"/>
    <w:basedOn w:val="DefaultParagraphFont"/>
    <w:link w:val="Header"/>
    <w:uiPriority w:val="99"/>
    <w:rsid w:val="00237AFB"/>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237AFB"/>
  </w:style>
  <w:style w:type="paragraph" w:styleId="Footer">
    <w:name w:val="footer"/>
    <w:basedOn w:val="Normal"/>
    <w:link w:val="FooterChar"/>
    <w:uiPriority w:val="99"/>
    <w:unhideWhenUsed/>
    <w:rsid w:val="00237AFB"/>
    <w:pPr>
      <w:tabs>
        <w:tab w:val="center" w:pos="4680"/>
        <w:tab w:val="right" w:pos="9360"/>
      </w:tabs>
    </w:pPr>
  </w:style>
  <w:style w:type="character" w:customStyle="1" w:styleId="FooterChar">
    <w:name w:val="Footer Char"/>
    <w:basedOn w:val="DefaultParagraphFont"/>
    <w:link w:val="Footer"/>
    <w:uiPriority w:val="99"/>
    <w:rsid w:val="00237AFB"/>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787DC9"/>
    <w:rPr>
      <w:sz w:val="16"/>
      <w:szCs w:val="16"/>
    </w:rPr>
  </w:style>
  <w:style w:type="paragraph" w:styleId="CommentText">
    <w:name w:val="annotation text"/>
    <w:basedOn w:val="Normal"/>
    <w:link w:val="CommentTextChar"/>
    <w:uiPriority w:val="99"/>
    <w:semiHidden/>
    <w:unhideWhenUsed/>
    <w:rsid w:val="00787DC9"/>
    <w:rPr>
      <w:sz w:val="20"/>
      <w:szCs w:val="20"/>
    </w:rPr>
  </w:style>
  <w:style w:type="character" w:customStyle="1" w:styleId="CommentTextChar">
    <w:name w:val="Comment Text Char"/>
    <w:basedOn w:val="DefaultParagraphFont"/>
    <w:link w:val="CommentText"/>
    <w:uiPriority w:val="99"/>
    <w:semiHidden/>
    <w:rsid w:val="00787D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87DC9"/>
    <w:rPr>
      <w:b/>
      <w:bCs/>
    </w:rPr>
  </w:style>
  <w:style w:type="character" w:customStyle="1" w:styleId="CommentSubjectChar">
    <w:name w:val="Comment Subject Char"/>
    <w:basedOn w:val="CommentTextChar"/>
    <w:link w:val="CommentSubject"/>
    <w:uiPriority w:val="99"/>
    <w:semiHidden/>
    <w:rsid w:val="00787DC9"/>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87DC9"/>
    <w:rPr>
      <w:rFonts w:ascii="Tahoma" w:hAnsi="Tahoma" w:cs="Tahoma"/>
      <w:sz w:val="16"/>
      <w:szCs w:val="16"/>
    </w:rPr>
  </w:style>
  <w:style w:type="character" w:customStyle="1" w:styleId="BalloonTextChar">
    <w:name w:val="Balloon Text Char"/>
    <w:basedOn w:val="DefaultParagraphFont"/>
    <w:link w:val="BalloonText"/>
    <w:uiPriority w:val="99"/>
    <w:semiHidden/>
    <w:rsid w:val="00787DC9"/>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2540">
      <w:bodyDiv w:val="1"/>
      <w:marLeft w:val="0"/>
      <w:marRight w:val="0"/>
      <w:marTop w:val="0"/>
      <w:marBottom w:val="0"/>
      <w:divBdr>
        <w:top w:val="none" w:sz="0" w:space="0" w:color="auto"/>
        <w:left w:val="none" w:sz="0" w:space="0" w:color="auto"/>
        <w:bottom w:val="none" w:sz="0" w:space="0" w:color="auto"/>
        <w:right w:val="none" w:sz="0" w:space="0" w:color="auto"/>
      </w:divBdr>
    </w:div>
    <w:div w:id="290794119">
      <w:bodyDiv w:val="1"/>
      <w:marLeft w:val="0"/>
      <w:marRight w:val="0"/>
      <w:marTop w:val="0"/>
      <w:marBottom w:val="0"/>
      <w:divBdr>
        <w:top w:val="none" w:sz="0" w:space="0" w:color="auto"/>
        <w:left w:val="none" w:sz="0" w:space="0" w:color="auto"/>
        <w:bottom w:val="none" w:sz="0" w:space="0" w:color="auto"/>
        <w:right w:val="none" w:sz="0" w:space="0" w:color="auto"/>
      </w:divBdr>
    </w:div>
    <w:div w:id="313417515">
      <w:bodyDiv w:val="1"/>
      <w:marLeft w:val="0"/>
      <w:marRight w:val="0"/>
      <w:marTop w:val="0"/>
      <w:marBottom w:val="0"/>
      <w:divBdr>
        <w:top w:val="none" w:sz="0" w:space="0" w:color="auto"/>
        <w:left w:val="none" w:sz="0" w:space="0" w:color="auto"/>
        <w:bottom w:val="none" w:sz="0" w:space="0" w:color="auto"/>
        <w:right w:val="none" w:sz="0" w:space="0" w:color="auto"/>
      </w:divBdr>
    </w:div>
    <w:div w:id="926157528">
      <w:bodyDiv w:val="1"/>
      <w:marLeft w:val="0"/>
      <w:marRight w:val="0"/>
      <w:marTop w:val="0"/>
      <w:marBottom w:val="0"/>
      <w:divBdr>
        <w:top w:val="none" w:sz="0" w:space="0" w:color="auto"/>
        <w:left w:val="none" w:sz="0" w:space="0" w:color="auto"/>
        <w:bottom w:val="none" w:sz="0" w:space="0" w:color="auto"/>
        <w:right w:val="none" w:sz="0" w:space="0" w:color="auto"/>
      </w:divBdr>
    </w:div>
    <w:div w:id="1204295041">
      <w:bodyDiv w:val="1"/>
      <w:marLeft w:val="0"/>
      <w:marRight w:val="0"/>
      <w:marTop w:val="0"/>
      <w:marBottom w:val="0"/>
      <w:divBdr>
        <w:top w:val="none" w:sz="0" w:space="0" w:color="auto"/>
        <w:left w:val="none" w:sz="0" w:space="0" w:color="auto"/>
        <w:bottom w:val="none" w:sz="0" w:space="0" w:color="auto"/>
        <w:right w:val="none" w:sz="0" w:space="0" w:color="auto"/>
      </w:divBdr>
    </w:div>
    <w:div w:id="1846435738">
      <w:bodyDiv w:val="1"/>
      <w:marLeft w:val="0"/>
      <w:marRight w:val="0"/>
      <w:marTop w:val="0"/>
      <w:marBottom w:val="0"/>
      <w:divBdr>
        <w:top w:val="none" w:sz="0" w:space="0" w:color="auto"/>
        <w:left w:val="none" w:sz="0" w:space="0" w:color="auto"/>
        <w:bottom w:val="none" w:sz="0" w:space="0" w:color="auto"/>
        <w:right w:val="none" w:sz="0" w:space="0" w:color="auto"/>
      </w:divBdr>
      <w:divsChild>
        <w:div w:id="1511526661">
          <w:marLeft w:val="0"/>
          <w:marRight w:val="0"/>
          <w:marTop w:val="0"/>
          <w:marBottom w:val="0"/>
          <w:divBdr>
            <w:top w:val="none" w:sz="0" w:space="0" w:color="auto"/>
            <w:left w:val="none" w:sz="0" w:space="0" w:color="auto"/>
            <w:bottom w:val="none" w:sz="0" w:space="0" w:color="auto"/>
            <w:right w:val="none" w:sz="0" w:space="0" w:color="auto"/>
          </w:divBdr>
          <w:divsChild>
            <w:div w:id="1522860615">
              <w:marLeft w:val="0"/>
              <w:marRight w:val="0"/>
              <w:marTop w:val="0"/>
              <w:marBottom w:val="0"/>
              <w:divBdr>
                <w:top w:val="none" w:sz="0" w:space="0" w:color="auto"/>
                <w:left w:val="none" w:sz="0" w:space="0" w:color="auto"/>
                <w:bottom w:val="none" w:sz="0" w:space="0" w:color="auto"/>
                <w:right w:val="none" w:sz="0" w:space="0" w:color="auto"/>
              </w:divBdr>
              <w:divsChild>
                <w:div w:id="19752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publications/en/details.jsp?id=419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po.int/tk/en/resources/tk_experienc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tk/en/resources/tk_experienc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publications/en/details.jsp?id=4011" TargetMode="External"/><Relationship Id="rId4" Type="http://schemas.openxmlformats.org/officeDocument/2006/relationships/settings" Target="settings.xml"/><Relationship Id="rId9" Type="http://schemas.openxmlformats.org/officeDocument/2006/relationships/hyperlink" Target="http://www.wipo.int/export/sites/www/tk/en/documents/pdf/genetic_resources_disclosur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3</cp:revision>
  <cp:lastPrinted>2018-02-20T08:14:00Z</cp:lastPrinted>
  <dcterms:created xsi:type="dcterms:W3CDTF">2018-03-13T17:28:00Z</dcterms:created>
  <dcterms:modified xsi:type="dcterms:W3CDTF">2018-03-13T17:29:00Z</dcterms:modified>
</cp:coreProperties>
</file>