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6B26F474" w14:textId="77777777">
        <w:tc>
          <w:tcPr>
            <w:tcW w:w="4513" w:type="dxa"/>
            <w:tcBorders>
              <w:bottom w:val="single" w:sz="4" w:space="0" w:color="auto"/>
            </w:tcBorders>
            <w:tcMar>
              <w:bottom w:w="170" w:type="dxa"/>
            </w:tcMar>
          </w:tcPr>
          <w:p w14:paraId="6ED27652" w14:textId="77777777" w:rsidR="00EC4E49" w:rsidRPr="008B2CC1" w:rsidRDefault="00EC4E49" w:rsidP="00916EE2">
            <w:bookmarkStart w:id="0" w:name="_GoBack"/>
            <w:bookmarkEnd w:id="0"/>
          </w:p>
        </w:tc>
        <w:tc>
          <w:tcPr>
            <w:tcW w:w="4337" w:type="dxa"/>
            <w:tcBorders>
              <w:bottom w:val="single" w:sz="4" w:space="0" w:color="auto"/>
            </w:tcBorders>
            <w:tcMar>
              <w:left w:w="0" w:type="dxa"/>
              <w:bottom w:w="170" w:type="dxa"/>
              <w:right w:w="0" w:type="dxa"/>
            </w:tcMar>
          </w:tcPr>
          <w:p w14:paraId="1B1213D7" w14:textId="77777777" w:rsidR="00EC4E49" w:rsidRPr="008B2CC1" w:rsidRDefault="000C61C6" w:rsidP="00916EE2">
            <w:r>
              <w:rPr>
                <w:noProof/>
                <w:lang w:eastAsia="en-US"/>
              </w:rPr>
              <w:drawing>
                <wp:inline distT="0" distB="0" distL="0" distR="0" wp14:anchorId="59B62097" wp14:editId="3B0D257C">
                  <wp:extent cx="1860550" cy="1327150"/>
                  <wp:effectExtent l="0" t="0" r="6350" b="635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150"/>
                          </a:xfrm>
                          <a:prstGeom prst="rect">
                            <a:avLst/>
                          </a:prstGeom>
                          <a:noFill/>
                          <a:ln>
                            <a:noFill/>
                          </a:ln>
                        </pic:spPr>
                      </pic:pic>
                    </a:graphicData>
                  </a:graphic>
                </wp:inline>
              </w:drawing>
            </w:r>
          </w:p>
        </w:tc>
        <w:tc>
          <w:tcPr>
            <w:tcW w:w="425" w:type="dxa"/>
            <w:tcBorders>
              <w:bottom w:val="single" w:sz="4" w:space="0" w:color="auto"/>
            </w:tcBorders>
            <w:tcMar>
              <w:bottom w:w="170" w:type="dxa"/>
            </w:tcMar>
          </w:tcPr>
          <w:p w14:paraId="1F8FCFE3" w14:textId="77777777" w:rsidR="00EC4E49" w:rsidRPr="008B2CC1" w:rsidRDefault="00EC4E49" w:rsidP="00916EE2">
            <w:pPr>
              <w:jc w:val="right"/>
            </w:pPr>
            <w:r w:rsidRPr="00605827">
              <w:rPr>
                <w:b/>
                <w:sz w:val="40"/>
                <w:szCs w:val="40"/>
              </w:rPr>
              <w:t>E</w:t>
            </w:r>
          </w:p>
        </w:tc>
      </w:tr>
      <w:tr w:rsidR="008B2CC1" w:rsidRPr="001832A6" w14:paraId="66947949" w14:textId="77777777">
        <w:trPr>
          <w:trHeight w:hRule="exact" w:val="340"/>
        </w:trPr>
        <w:tc>
          <w:tcPr>
            <w:tcW w:w="9356" w:type="dxa"/>
            <w:gridSpan w:val="3"/>
            <w:tcBorders>
              <w:top w:val="single" w:sz="4" w:space="0" w:color="auto"/>
            </w:tcBorders>
            <w:tcMar>
              <w:top w:w="170" w:type="dxa"/>
              <w:left w:w="0" w:type="dxa"/>
              <w:right w:w="0" w:type="dxa"/>
            </w:tcMar>
            <w:vAlign w:val="bottom"/>
          </w:tcPr>
          <w:p w14:paraId="507D00CC" w14:textId="47DBB44E" w:rsidR="008B2CC1" w:rsidRPr="0090731E" w:rsidRDefault="004E74AA" w:rsidP="000C61C6">
            <w:pPr>
              <w:jc w:val="right"/>
              <w:rPr>
                <w:rFonts w:ascii="Arial Black" w:hAnsi="Arial Black"/>
                <w:caps/>
                <w:sz w:val="15"/>
              </w:rPr>
            </w:pPr>
            <w:bookmarkStart w:id="1" w:name="Code"/>
            <w:bookmarkEnd w:id="1"/>
            <w:r>
              <w:rPr>
                <w:rFonts w:ascii="Arial Black" w:hAnsi="Arial Black"/>
                <w:caps/>
                <w:sz w:val="15"/>
              </w:rPr>
              <w:t>WIPO/GRTKF/IC/34/14</w:t>
            </w:r>
            <w:r w:rsidR="000C61C6">
              <w:rPr>
                <w:rFonts w:ascii="Arial Black" w:hAnsi="Arial Black"/>
                <w:caps/>
                <w:sz w:val="15"/>
              </w:rPr>
              <w:t xml:space="preserve"> prov</w:t>
            </w:r>
            <w:r w:rsidR="00AE1D54">
              <w:rPr>
                <w:rFonts w:ascii="Arial Black" w:hAnsi="Arial Black"/>
                <w:caps/>
                <w:sz w:val="15"/>
              </w:rPr>
              <w:t>.</w:t>
            </w:r>
            <w:r w:rsidR="008A3388">
              <w:rPr>
                <w:rFonts w:ascii="Arial Black" w:hAnsi="Arial Black"/>
                <w:caps/>
                <w:sz w:val="15"/>
              </w:rPr>
              <w:t xml:space="preserve"> 2</w:t>
            </w:r>
            <w:r w:rsidR="00AE1D54">
              <w:rPr>
                <w:rFonts w:ascii="Arial Black" w:hAnsi="Arial Black"/>
                <w:caps/>
                <w:sz w:val="15"/>
              </w:rPr>
              <w:t xml:space="preserve">  </w:t>
            </w:r>
          </w:p>
        </w:tc>
      </w:tr>
      <w:tr w:rsidR="008B2CC1" w:rsidRPr="001832A6" w14:paraId="6A525634" w14:textId="77777777">
        <w:trPr>
          <w:trHeight w:hRule="exact" w:val="170"/>
        </w:trPr>
        <w:tc>
          <w:tcPr>
            <w:tcW w:w="9356" w:type="dxa"/>
            <w:gridSpan w:val="3"/>
            <w:noWrap/>
            <w:tcMar>
              <w:left w:w="0" w:type="dxa"/>
              <w:right w:w="0" w:type="dxa"/>
            </w:tcMar>
            <w:vAlign w:val="bottom"/>
          </w:tcPr>
          <w:p w14:paraId="68FDC3ED" w14:textId="77777777"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EF0916">
              <w:rPr>
                <w:rFonts w:ascii="Arial Black" w:hAnsi="Arial Black"/>
                <w:caps/>
                <w:sz w:val="15"/>
              </w:rPr>
              <w:t xml:space="preserve">:  </w:t>
            </w:r>
            <w:bookmarkStart w:id="2" w:name="Original"/>
            <w:bookmarkEnd w:id="2"/>
            <w:r w:rsidR="000C61C6">
              <w:rPr>
                <w:rFonts w:ascii="Arial Black" w:hAnsi="Arial Black"/>
                <w:caps/>
                <w:sz w:val="15"/>
              </w:rPr>
              <w:t>ENGLISH</w:t>
            </w:r>
          </w:p>
        </w:tc>
      </w:tr>
      <w:tr w:rsidR="008B2CC1" w:rsidRPr="001832A6" w14:paraId="72A4F4C3" w14:textId="77777777">
        <w:trPr>
          <w:trHeight w:hRule="exact" w:val="198"/>
        </w:trPr>
        <w:tc>
          <w:tcPr>
            <w:tcW w:w="9356" w:type="dxa"/>
            <w:gridSpan w:val="3"/>
            <w:tcMar>
              <w:left w:w="0" w:type="dxa"/>
              <w:right w:w="0" w:type="dxa"/>
            </w:tcMar>
            <w:vAlign w:val="bottom"/>
          </w:tcPr>
          <w:p w14:paraId="73C1F370" w14:textId="684D9129" w:rsidR="008B2CC1" w:rsidRPr="0090731E" w:rsidRDefault="008B2CC1" w:rsidP="008A3388">
            <w:pPr>
              <w:jc w:val="right"/>
              <w:rPr>
                <w:rFonts w:ascii="Arial Black" w:hAnsi="Arial Black"/>
                <w:caps/>
                <w:sz w:val="15"/>
              </w:rPr>
            </w:pPr>
            <w:r w:rsidRPr="0090731E">
              <w:rPr>
                <w:rFonts w:ascii="Arial Black" w:hAnsi="Arial Black"/>
                <w:caps/>
                <w:sz w:val="15"/>
              </w:rPr>
              <w:t>DATE</w:t>
            </w:r>
            <w:r w:rsidR="00EF0916">
              <w:rPr>
                <w:rFonts w:ascii="Arial Black" w:hAnsi="Arial Black"/>
                <w:caps/>
                <w:sz w:val="15"/>
              </w:rPr>
              <w:t xml:space="preserve">:  </w:t>
            </w:r>
            <w:bookmarkStart w:id="3" w:name="Date"/>
            <w:bookmarkEnd w:id="3"/>
            <w:r w:rsidR="008A3388">
              <w:rPr>
                <w:rFonts w:ascii="Arial Black" w:hAnsi="Arial Black"/>
                <w:caps/>
                <w:sz w:val="15"/>
              </w:rPr>
              <w:t xml:space="preserve">September </w:t>
            </w:r>
            <w:r w:rsidR="00CB4035">
              <w:rPr>
                <w:rFonts w:ascii="Arial Black" w:hAnsi="Arial Black"/>
                <w:caps/>
                <w:sz w:val="15"/>
              </w:rPr>
              <w:t>1</w:t>
            </w:r>
            <w:r w:rsidR="008A3388">
              <w:rPr>
                <w:rFonts w:ascii="Arial Black" w:hAnsi="Arial Black"/>
                <w:caps/>
                <w:sz w:val="15"/>
              </w:rPr>
              <w:t>8</w:t>
            </w:r>
            <w:r w:rsidR="00180D49">
              <w:rPr>
                <w:rFonts w:ascii="Arial Black" w:hAnsi="Arial Black"/>
                <w:caps/>
                <w:sz w:val="15"/>
              </w:rPr>
              <w:t>, 2017</w:t>
            </w:r>
          </w:p>
        </w:tc>
      </w:tr>
    </w:tbl>
    <w:p w14:paraId="3D4EDE64" w14:textId="77777777" w:rsidR="008B2CC1" w:rsidRPr="008B2CC1" w:rsidRDefault="008B2CC1" w:rsidP="008B2CC1"/>
    <w:p w14:paraId="15B67E6B" w14:textId="77777777" w:rsidR="008B2CC1" w:rsidRPr="008B2CC1" w:rsidRDefault="008B2CC1" w:rsidP="008B2CC1"/>
    <w:p w14:paraId="151C8B6B" w14:textId="77777777" w:rsidR="008B2CC1" w:rsidRPr="008B2CC1" w:rsidRDefault="008B2CC1" w:rsidP="008B2CC1"/>
    <w:p w14:paraId="031D325C" w14:textId="77777777" w:rsidR="008B2CC1" w:rsidRPr="008B2CC1" w:rsidRDefault="008B2CC1" w:rsidP="008B2CC1"/>
    <w:p w14:paraId="1221A687" w14:textId="77777777" w:rsidR="008B2CC1" w:rsidRPr="008B2CC1" w:rsidRDefault="008B2CC1" w:rsidP="008B2CC1"/>
    <w:p w14:paraId="2FFE37E0" w14:textId="77777777" w:rsidR="003845C1" w:rsidRDefault="000C61C6" w:rsidP="003845C1">
      <w:r>
        <w:rPr>
          <w:b/>
          <w:sz w:val="28"/>
          <w:szCs w:val="28"/>
        </w:rPr>
        <w:t>Intergovernmental Committee o</w:t>
      </w:r>
      <w:r w:rsidRPr="00ED6734">
        <w:rPr>
          <w:b/>
          <w:sz w:val="28"/>
          <w:szCs w:val="28"/>
        </w:rPr>
        <w:t xml:space="preserve">n Intellectual Property </w:t>
      </w:r>
      <w:r>
        <w:rPr>
          <w:b/>
          <w:sz w:val="28"/>
          <w:szCs w:val="28"/>
        </w:rPr>
        <w:t>a</w:t>
      </w:r>
      <w:r w:rsidRPr="00ED6734">
        <w:rPr>
          <w:b/>
          <w:sz w:val="28"/>
          <w:szCs w:val="28"/>
        </w:rPr>
        <w:t xml:space="preserve">nd Genetic Resources, Traditional Knowledge </w:t>
      </w:r>
      <w:r>
        <w:rPr>
          <w:b/>
          <w:sz w:val="28"/>
          <w:szCs w:val="28"/>
        </w:rPr>
        <w:t>a</w:t>
      </w:r>
      <w:r w:rsidRPr="00ED6734">
        <w:rPr>
          <w:b/>
          <w:sz w:val="28"/>
          <w:szCs w:val="28"/>
        </w:rPr>
        <w:t>nd</w:t>
      </w:r>
      <w:r w:rsidR="007F5C67">
        <w:rPr>
          <w:b/>
          <w:sz w:val="28"/>
          <w:szCs w:val="28"/>
        </w:rPr>
        <w:t xml:space="preserve"> </w:t>
      </w:r>
      <w:r w:rsidR="00180D49">
        <w:rPr>
          <w:b/>
          <w:sz w:val="28"/>
          <w:szCs w:val="28"/>
        </w:rPr>
        <w:t>Folklore</w:t>
      </w:r>
    </w:p>
    <w:p w14:paraId="46B26B02" w14:textId="77777777" w:rsidR="003845C1" w:rsidRDefault="003845C1" w:rsidP="003845C1"/>
    <w:p w14:paraId="45C01560" w14:textId="77777777" w:rsidR="008B2CC1" w:rsidRPr="003845C1" w:rsidRDefault="006F088E" w:rsidP="008B2CC1">
      <w:pPr>
        <w:rPr>
          <w:b/>
          <w:sz w:val="24"/>
        </w:rPr>
      </w:pPr>
      <w:r>
        <w:rPr>
          <w:b/>
          <w:sz w:val="24"/>
        </w:rPr>
        <w:t>Thirty-</w:t>
      </w:r>
      <w:r w:rsidR="00730401">
        <w:rPr>
          <w:b/>
          <w:sz w:val="24"/>
        </w:rPr>
        <w:t>Fourth</w:t>
      </w:r>
      <w:r w:rsidR="000C61C6">
        <w:rPr>
          <w:b/>
          <w:sz w:val="24"/>
        </w:rPr>
        <w:t xml:space="preserve"> </w:t>
      </w:r>
      <w:proofErr w:type="gramStart"/>
      <w:r w:rsidR="003845C1" w:rsidRPr="003845C1">
        <w:rPr>
          <w:b/>
          <w:sz w:val="24"/>
        </w:rPr>
        <w:t>Session</w:t>
      </w:r>
      <w:proofErr w:type="gramEnd"/>
    </w:p>
    <w:p w14:paraId="7500E20F" w14:textId="77777777" w:rsidR="008B2CC1" w:rsidRPr="003845C1" w:rsidRDefault="000C61C6" w:rsidP="008B2CC1">
      <w:pPr>
        <w:rPr>
          <w:b/>
          <w:sz w:val="24"/>
        </w:rPr>
      </w:pPr>
      <w:r>
        <w:rPr>
          <w:b/>
          <w:sz w:val="24"/>
        </w:rPr>
        <w:t xml:space="preserve">Geneva, </w:t>
      </w:r>
      <w:r w:rsidR="00730401">
        <w:rPr>
          <w:b/>
          <w:sz w:val="24"/>
        </w:rPr>
        <w:t>June 12 to 16</w:t>
      </w:r>
      <w:r w:rsidR="00180D49">
        <w:rPr>
          <w:b/>
          <w:sz w:val="24"/>
        </w:rPr>
        <w:t>, 2017</w:t>
      </w:r>
    </w:p>
    <w:p w14:paraId="3DED3FA7" w14:textId="77777777" w:rsidR="008B2CC1" w:rsidRPr="008B2CC1" w:rsidRDefault="008B2CC1" w:rsidP="008B2CC1"/>
    <w:p w14:paraId="51AFBA37" w14:textId="77777777" w:rsidR="008B2CC1" w:rsidRPr="008B2CC1" w:rsidRDefault="008B2CC1" w:rsidP="008B2CC1"/>
    <w:p w14:paraId="5D87B3EF" w14:textId="77777777" w:rsidR="008B2CC1" w:rsidRPr="008B2CC1" w:rsidRDefault="008B2CC1" w:rsidP="008B2CC1"/>
    <w:p w14:paraId="3A0EBD81" w14:textId="02C6CCEE" w:rsidR="008B2CC1" w:rsidRPr="003845C1" w:rsidRDefault="000C61C6" w:rsidP="008B2CC1">
      <w:pPr>
        <w:rPr>
          <w:caps/>
          <w:sz w:val="24"/>
        </w:rPr>
      </w:pPr>
      <w:bookmarkStart w:id="4" w:name="TitleOfDoc"/>
      <w:bookmarkEnd w:id="4"/>
      <w:r>
        <w:rPr>
          <w:caps/>
          <w:sz w:val="24"/>
        </w:rPr>
        <w:t>DRAFT REPORT</w:t>
      </w:r>
    </w:p>
    <w:p w14:paraId="6288C3FF" w14:textId="77777777" w:rsidR="008B2CC1" w:rsidRPr="008B2CC1" w:rsidRDefault="008B2CC1" w:rsidP="008B2CC1"/>
    <w:p w14:paraId="33D3E814" w14:textId="77777777" w:rsidR="008B2CC1" w:rsidRPr="008B2CC1" w:rsidRDefault="000C61C6" w:rsidP="008B2CC1">
      <w:pPr>
        <w:rPr>
          <w:i/>
        </w:rPr>
      </w:pPr>
      <w:bookmarkStart w:id="5" w:name="Prepared"/>
      <w:bookmarkEnd w:id="5"/>
      <w:r>
        <w:rPr>
          <w:i/>
        </w:rPr>
        <w:t>Document prepared by the Secretariat</w:t>
      </w:r>
    </w:p>
    <w:p w14:paraId="637B03F5" w14:textId="77777777" w:rsidR="00AC205C" w:rsidRDefault="00AC205C"/>
    <w:p w14:paraId="0153ACCB" w14:textId="77777777" w:rsidR="000F5E56" w:rsidRDefault="000F5E56"/>
    <w:p w14:paraId="0218929C" w14:textId="77777777" w:rsidR="002928D3" w:rsidRDefault="002928D3"/>
    <w:p w14:paraId="03BD1A42" w14:textId="77777777" w:rsidR="002928D3" w:rsidRDefault="002928D3" w:rsidP="0053057A"/>
    <w:p w14:paraId="08A4FBB4" w14:textId="77777777" w:rsidR="000C61C6" w:rsidRDefault="000C61C6">
      <w:pPr>
        <w:sectPr w:rsidR="000C61C6">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p>
    <w:p w14:paraId="3C58E98D" w14:textId="77777777" w:rsidR="0049135D" w:rsidRDefault="009B459C" w:rsidP="008769AF">
      <w:pPr>
        <w:pStyle w:val="ListParagraph"/>
        <w:numPr>
          <w:ilvl w:val="0"/>
          <w:numId w:val="4"/>
        </w:numPr>
        <w:ind w:left="0" w:firstLine="0"/>
      </w:pPr>
      <w:r w:rsidRPr="009B459C">
        <w:lastRenderedPageBreak/>
        <w:t>Convened by the Director General of the World Intellectual Property Organization (“WIPO”), the Intergovernmental Committee on Intellectual Property and Genetic Resources, Traditional Knowledge and Folklore (“the Committe</w:t>
      </w:r>
      <w:r w:rsidR="003629C8">
        <w:t>e” or “the IGC”) held its Thirty-</w:t>
      </w:r>
      <w:r w:rsidR="00730401">
        <w:t>Fourth Session (“IGC 34</w:t>
      </w:r>
      <w:r w:rsidRPr="009B459C">
        <w:t xml:space="preserve">”) in Geneva, from </w:t>
      </w:r>
      <w:r w:rsidR="00730401">
        <w:t>June 12 to 16</w:t>
      </w:r>
      <w:r w:rsidR="00180D49">
        <w:t>, 2017</w:t>
      </w:r>
      <w:r w:rsidR="00AE1D54">
        <w:t xml:space="preserve">.  </w:t>
      </w:r>
    </w:p>
    <w:p w14:paraId="3A0499B4" w14:textId="77777777" w:rsidR="0049135D" w:rsidRDefault="0049135D" w:rsidP="0049135D">
      <w:pPr>
        <w:pStyle w:val="ListParagraph"/>
        <w:ind w:left="0"/>
      </w:pPr>
    </w:p>
    <w:p w14:paraId="5D895E7D" w14:textId="51B86D0C" w:rsidR="008414FB" w:rsidRDefault="009B459C" w:rsidP="008769AF">
      <w:pPr>
        <w:pStyle w:val="ListParagraph"/>
        <w:numPr>
          <w:ilvl w:val="0"/>
          <w:numId w:val="4"/>
        </w:numPr>
        <w:ind w:left="0" w:firstLine="0"/>
      </w:pPr>
      <w:r w:rsidRPr="009B459C">
        <w:t>The following States were represented</w:t>
      </w:r>
      <w:r w:rsidR="00EF0916">
        <w:t xml:space="preserve">:  </w:t>
      </w:r>
      <w:r w:rsidR="005D55CB">
        <w:t>Algeria, Angola, Argentina, Armenia, Australia, Austria, Bahamas, Bolivia (</w:t>
      </w:r>
      <w:proofErr w:type="spellStart"/>
      <w:r w:rsidR="005D55CB">
        <w:t>Plurinational</w:t>
      </w:r>
      <w:proofErr w:type="spellEnd"/>
      <w:r w:rsidR="005D55CB">
        <w:t xml:space="preserve"> State of), </w:t>
      </w:r>
      <w:r w:rsidR="0049135D">
        <w:t xml:space="preserve">Brazil, Cameroon, Canada, Chile, China, Cyprus, Colombia, Congo, Cuba, </w:t>
      </w:r>
      <w:r w:rsidR="008414FB">
        <w:t xml:space="preserve">Czech Republic, Democratic People’s Republic of Korea, </w:t>
      </w:r>
      <w:r w:rsidR="0049135D">
        <w:t xml:space="preserve">Denmark, Egypt, El Salvador, Ecuador, Estonia, Ethiopia, Fiji, Finland, Former Yugoslav Republic of Macedonia, France, </w:t>
      </w:r>
      <w:r w:rsidR="00326ED3">
        <w:t xml:space="preserve">Georgia, </w:t>
      </w:r>
      <w:r w:rsidR="008A3388">
        <w:t xml:space="preserve">Germany, </w:t>
      </w:r>
      <w:r w:rsidR="00326ED3">
        <w:t xml:space="preserve">Ghana, Guatemala, Hungary, India, Indonesia, </w:t>
      </w:r>
      <w:r w:rsidR="008414FB">
        <w:t xml:space="preserve">Lao People’s Democratic Republic, </w:t>
      </w:r>
      <w:r w:rsidR="00326ED3">
        <w:t xml:space="preserve">Iran (Islamic Republic of), Israel, Italy, Japan, Kenya, Kyrgyzstan, Lebanon, Lithuania, Malawi, Mexico, Morocco, Mozambique, Namibia, New Zealand, </w:t>
      </w:r>
      <w:r w:rsidR="00326ED3" w:rsidRPr="008414FB">
        <w:t xml:space="preserve">Niger, Nigeria, Oman, Pakistan, Paraguay, Peru, Philippines, Poland, Portugal, </w:t>
      </w:r>
      <w:r w:rsidR="008414FB" w:rsidRPr="008414FB">
        <w:t xml:space="preserve">Romania, </w:t>
      </w:r>
      <w:r w:rsidR="0049135D" w:rsidRPr="008414FB">
        <w:t xml:space="preserve">Russian Federation, </w:t>
      </w:r>
      <w:r w:rsidR="008414FB" w:rsidRPr="008414FB">
        <w:t xml:space="preserve">Republic of Korea, Republic of Moldova, </w:t>
      </w:r>
      <w:r w:rsidR="005D55CB" w:rsidRPr="008414FB">
        <w:t>Saudi Arabia,</w:t>
      </w:r>
      <w:r w:rsidR="008414FB" w:rsidRPr="008414FB">
        <w:t xml:space="preserve"> Senegal,</w:t>
      </w:r>
      <w:r w:rsidR="005D55CB" w:rsidRPr="008414FB">
        <w:t xml:space="preserve"> </w:t>
      </w:r>
      <w:r w:rsidR="008414FB" w:rsidRPr="008414FB">
        <w:t xml:space="preserve">Slovakia, Somalia, </w:t>
      </w:r>
      <w:r w:rsidR="00737182" w:rsidRPr="008414FB">
        <w:t>South Africa</w:t>
      </w:r>
      <w:r w:rsidR="0049135D" w:rsidRPr="008414FB">
        <w:t>,</w:t>
      </w:r>
      <w:r w:rsidR="00180D49" w:rsidRPr="008414FB">
        <w:t xml:space="preserve"> </w:t>
      </w:r>
      <w:r w:rsidR="0049135D" w:rsidRPr="008414FB">
        <w:t xml:space="preserve">Spain, </w:t>
      </w:r>
      <w:r w:rsidR="008414FB" w:rsidRPr="008414FB">
        <w:t xml:space="preserve">Sri Lanka, Switzerland, Tajikistan, Thailand, Togo, Trinidad and Tobago, Tunisia, Turkey, Turkmenistan, </w:t>
      </w:r>
      <w:r w:rsidR="00326ED3" w:rsidRPr="008414FB">
        <w:t xml:space="preserve">Uganda, </w:t>
      </w:r>
      <w:r w:rsidR="008414FB" w:rsidRPr="008414FB">
        <w:t xml:space="preserve">Ukraine, United Kingdom, </w:t>
      </w:r>
      <w:r w:rsidR="0049135D" w:rsidRPr="008414FB">
        <w:t xml:space="preserve">United States of America, </w:t>
      </w:r>
      <w:r w:rsidR="008414FB" w:rsidRPr="008414FB">
        <w:t>Uruguay, Viet Nam, Yemen and Zimbabwe (8</w:t>
      </w:r>
      <w:r w:rsidR="00A51D34">
        <w:t>7</w:t>
      </w:r>
      <w:r w:rsidRPr="008414FB">
        <w:t>)</w:t>
      </w:r>
      <w:r w:rsidR="00AE1D54" w:rsidRPr="008414FB">
        <w:t xml:space="preserve">.  </w:t>
      </w:r>
      <w:r w:rsidRPr="008414FB">
        <w:t>The European</w:t>
      </w:r>
      <w:r w:rsidRPr="009B459C">
        <w:t xml:space="preserve"> Union (“the EU”) and its Member States were also represented as a member of the Committee.</w:t>
      </w:r>
    </w:p>
    <w:p w14:paraId="79FAC1EA" w14:textId="77777777" w:rsidR="008414FB" w:rsidRDefault="008414FB" w:rsidP="008414FB">
      <w:pPr>
        <w:pStyle w:val="ListParagraph"/>
        <w:ind w:left="0"/>
      </w:pPr>
    </w:p>
    <w:p w14:paraId="23EE2C6A" w14:textId="77777777" w:rsidR="008414FB" w:rsidRDefault="009B459C" w:rsidP="008769AF">
      <w:pPr>
        <w:pStyle w:val="ListParagraph"/>
        <w:numPr>
          <w:ilvl w:val="0"/>
          <w:numId w:val="4"/>
        </w:numPr>
        <w:ind w:left="0" w:firstLine="0"/>
      </w:pPr>
      <w:r w:rsidRPr="008414FB">
        <w:t>The Permanent Observer Mission of Palestine participated in the meeting in an observer capacity</w:t>
      </w:r>
      <w:r w:rsidR="00AE1D54" w:rsidRPr="008414FB">
        <w:t xml:space="preserve">.  </w:t>
      </w:r>
    </w:p>
    <w:p w14:paraId="032AA279" w14:textId="77777777" w:rsidR="008414FB" w:rsidRDefault="008414FB" w:rsidP="008414FB">
      <w:pPr>
        <w:pStyle w:val="ListParagraph"/>
        <w:ind w:left="0"/>
      </w:pPr>
    </w:p>
    <w:p w14:paraId="15A7A5C5" w14:textId="77777777" w:rsidR="009E43B7" w:rsidRDefault="009B459C" w:rsidP="008769AF">
      <w:pPr>
        <w:pStyle w:val="ListParagraph"/>
        <w:numPr>
          <w:ilvl w:val="0"/>
          <w:numId w:val="4"/>
        </w:numPr>
        <w:ind w:left="0" w:firstLine="0"/>
      </w:pPr>
      <w:r w:rsidRPr="009B459C">
        <w:t>The following intergovernmental organizations (“IGOs”) took part as observers</w:t>
      </w:r>
      <w:r w:rsidR="00EF0916">
        <w:t xml:space="preserve">:  </w:t>
      </w:r>
      <w:r w:rsidR="009E43B7">
        <w:t>African Intellectual Property Organization (OAPI)</w:t>
      </w:r>
      <w:proofErr w:type="gramStart"/>
      <w:r w:rsidR="009E43B7">
        <w:t>;  European</w:t>
      </w:r>
      <w:proofErr w:type="gramEnd"/>
      <w:r w:rsidR="009E43B7">
        <w:t xml:space="preserve"> Patent Organization (EPO);  </w:t>
      </w:r>
      <w:r w:rsidR="006653FC">
        <w:t xml:space="preserve">General Secretariat of the Andean Community;  </w:t>
      </w:r>
      <w:proofErr w:type="spellStart"/>
      <w:r w:rsidR="009E43B7" w:rsidRPr="009E43B7">
        <w:t>Organisation</w:t>
      </w:r>
      <w:proofErr w:type="spellEnd"/>
      <w:r w:rsidR="009E43B7">
        <w:t xml:space="preserve"> </w:t>
      </w:r>
      <w:proofErr w:type="spellStart"/>
      <w:r w:rsidR="009E43B7" w:rsidRPr="009E43B7">
        <w:t>internationale</w:t>
      </w:r>
      <w:proofErr w:type="spellEnd"/>
      <w:r w:rsidR="009E43B7">
        <w:t xml:space="preserve"> de la </w:t>
      </w:r>
      <w:proofErr w:type="spellStart"/>
      <w:r w:rsidR="009E43B7" w:rsidRPr="009E43B7">
        <w:t>francophonie</w:t>
      </w:r>
      <w:proofErr w:type="spellEnd"/>
      <w:r w:rsidR="009E43B7">
        <w:t xml:space="preserve"> (OIF);  </w:t>
      </w:r>
      <w:r w:rsidR="009E43B7" w:rsidRPr="009E43B7">
        <w:t xml:space="preserve">Patent Office of the Cooperation Council for the Arab States of the Gulf (GCC Patent Office);  and </w:t>
      </w:r>
      <w:r w:rsidR="006653FC" w:rsidRPr="009E43B7">
        <w:t>South Centre (SC)</w:t>
      </w:r>
      <w:r w:rsidR="009E43B7" w:rsidRPr="009E43B7">
        <w:t xml:space="preserve"> (6</w:t>
      </w:r>
      <w:r w:rsidRPr="009E43B7">
        <w:t>).</w:t>
      </w:r>
    </w:p>
    <w:p w14:paraId="5B8F37AE" w14:textId="77777777" w:rsidR="009E43B7" w:rsidRDefault="009E43B7" w:rsidP="009E43B7">
      <w:pPr>
        <w:pStyle w:val="ListParagraph"/>
        <w:ind w:left="0"/>
      </w:pPr>
    </w:p>
    <w:p w14:paraId="2057F923" w14:textId="77777777" w:rsidR="00D97F1A" w:rsidRDefault="009B459C" w:rsidP="008769AF">
      <w:pPr>
        <w:pStyle w:val="ListParagraph"/>
        <w:numPr>
          <w:ilvl w:val="0"/>
          <w:numId w:val="4"/>
        </w:numPr>
        <w:ind w:left="0" w:firstLine="0"/>
      </w:pPr>
      <w:r w:rsidRPr="009B459C">
        <w:t>Representatives of the following non-governmental organizations (“NGOs”) took part as observers</w:t>
      </w:r>
      <w:r w:rsidR="00EF0916" w:rsidRPr="0006010B">
        <w:t xml:space="preserve">:  </w:t>
      </w:r>
      <w:r w:rsidR="009E43B7" w:rsidRPr="0006010B">
        <w:t xml:space="preserve">ADJMOR;  </w:t>
      </w:r>
      <w:proofErr w:type="spellStart"/>
      <w:r w:rsidR="0006010B" w:rsidRPr="0006010B">
        <w:t>Agencia</w:t>
      </w:r>
      <w:proofErr w:type="spellEnd"/>
      <w:r w:rsidR="0006010B" w:rsidRPr="0006010B">
        <w:t xml:space="preserve"> </w:t>
      </w:r>
      <w:proofErr w:type="spellStart"/>
      <w:r w:rsidR="0006010B" w:rsidRPr="0006010B">
        <w:t>Internacional</w:t>
      </w:r>
      <w:proofErr w:type="spellEnd"/>
      <w:r w:rsidR="0006010B" w:rsidRPr="0006010B">
        <w:t xml:space="preserve"> de </w:t>
      </w:r>
      <w:proofErr w:type="spellStart"/>
      <w:r w:rsidR="0006010B" w:rsidRPr="0006010B">
        <w:t>Prensa</w:t>
      </w:r>
      <w:proofErr w:type="spellEnd"/>
      <w:r w:rsidR="0006010B" w:rsidRPr="0006010B">
        <w:t xml:space="preserve"> </w:t>
      </w:r>
      <w:proofErr w:type="spellStart"/>
      <w:r w:rsidR="0006010B" w:rsidRPr="0006010B">
        <w:t>Indígena</w:t>
      </w:r>
      <w:proofErr w:type="spellEnd"/>
      <w:r w:rsidR="0006010B" w:rsidRPr="0006010B">
        <w:t xml:space="preserve"> (AIPIN);  Assembly of Armenians of Western Armenia;  Australian Centre for Intellectual Property in Agriculture (ACIPA);  Association for the International Collective Management of Audiovisual Works (AGICOA);  Brazilian Association of Intellectual Property (ABPI);  Center for Multidisciplinary Studies Aymara (CEM-Aymara);  </w:t>
      </w:r>
      <w:r w:rsidR="0006010B">
        <w:t>Centre for International Governance Innovation (CIGI);  Centre for Support of Indigenous Peoples of the North/Russian Indigenous Training Centre (CSIPN/RITC)</w:t>
      </w:r>
      <w:r w:rsidR="0006010B" w:rsidRPr="0006010B">
        <w:t xml:space="preserve">; </w:t>
      </w:r>
      <w:r w:rsidR="0006010B">
        <w:t xml:space="preserve"> </w:t>
      </w:r>
      <w:r w:rsidR="0006010B" w:rsidRPr="0006010B">
        <w:t xml:space="preserve">Civil Society Coalition (CSC); </w:t>
      </w:r>
      <w:r w:rsidR="0006010B">
        <w:t xml:space="preserve"> </w:t>
      </w:r>
      <w:proofErr w:type="spellStart"/>
      <w:r w:rsidR="0006010B" w:rsidRPr="0006010B">
        <w:t>Comisión</w:t>
      </w:r>
      <w:proofErr w:type="spellEnd"/>
      <w:r w:rsidR="0006010B" w:rsidRPr="0006010B">
        <w:t xml:space="preserve"> </w:t>
      </w:r>
      <w:proofErr w:type="spellStart"/>
      <w:r w:rsidR="0006010B" w:rsidRPr="0006010B">
        <w:t>Jurídica</w:t>
      </w:r>
      <w:proofErr w:type="spellEnd"/>
      <w:r w:rsidR="0006010B" w:rsidRPr="0006010B">
        <w:t xml:space="preserve"> para el </w:t>
      </w:r>
      <w:proofErr w:type="spellStart"/>
      <w:r w:rsidR="0006010B" w:rsidRPr="0006010B">
        <w:t>Autodesarrollo</w:t>
      </w:r>
      <w:proofErr w:type="spellEnd"/>
      <w:r w:rsidR="0006010B" w:rsidRPr="0006010B">
        <w:t xml:space="preserve"> de </w:t>
      </w:r>
      <w:proofErr w:type="spellStart"/>
      <w:r w:rsidR="0006010B" w:rsidRPr="0006010B">
        <w:t>los</w:t>
      </w:r>
      <w:proofErr w:type="spellEnd"/>
      <w:r w:rsidR="0006010B" w:rsidRPr="0006010B">
        <w:t xml:space="preserve"> Pueblos </w:t>
      </w:r>
      <w:proofErr w:type="spellStart"/>
      <w:r w:rsidR="0006010B" w:rsidRPr="0006010B">
        <w:t>Originarios</w:t>
      </w:r>
      <w:proofErr w:type="spellEnd"/>
      <w:r w:rsidR="0006010B" w:rsidRPr="0006010B">
        <w:t xml:space="preserve"> </w:t>
      </w:r>
      <w:proofErr w:type="spellStart"/>
      <w:r w:rsidR="0006010B" w:rsidRPr="0006010B">
        <w:t>Andinos</w:t>
      </w:r>
      <w:proofErr w:type="spellEnd"/>
      <w:r w:rsidR="0006010B" w:rsidRPr="0006010B">
        <w:t xml:space="preserve"> (CAPAJ); </w:t>
      </w:r>
      <w:r w:rsidR="0006010B">
        <w:t xml:space="preserve"> </w:t>
      </w:r>
      <w:proofErr w:type="spellStart"/>
      <w:r w:rsidR="0006010B" w:rsidRPr="0006010B">
        <w:t>CropLife</w:t>
      </w:r>
      <w:proofErr w:type="spellEnd"/>
      <w:r w:rsidR="0006010B" w:rsidRPr="0006010B">
        <w:t xml:space="preserve"> International (CROPLIFE); </w:t>
      </w:r>
      <w:r w:rsidR="0006010B">
        <w:t xml:space="preserve"> CS Consulting;  </w:t>
      </w:r>
      <w:r w:rsidR="0006010B" w:rsidRPr="0006010B">
        <w:t>France Freedoms - Danielle Mitterrand Foundation;</w:t>
      </w:r>
      <w:r w:rsidR="0006010B">
        <w:t xml:space="preserve"> </w:t>
      </w:r>
      <w:r w:rsidR="0006010B" w:rsidRPr="0006010B">
        <w:t xml:space="preserve"> </w:t>
      </w:r>
      <w:proofErr w:type="spellStart"/>
      <w:r w:rsidR="0006010B">
        <w:t>Gesellschaft</w:t>
      </w:r>
      <w:proofErr w:type="spellEnd"/>
      <w:r w:rsidR="0006010B">
        <w:t xml:space="preserve"> </w:t>
      </w:r>
      <w:proofErr w:type="spellStart"/>
      <w:r w:rsidR="0006010B">
        <w:t>für</w:t>
      </w:r>
      <w:proofErr w:type="spellEnd"/>
      <w:r w:rsidR="0006010B">
        <w:t xml:space="preserve"> </w:t>
      </w:r>
      <w:proofErr w:type="spellStart"/>
      <w:r w:rsidR="0006010B">
        <w:t>Internationale</w:t>
      </w:r>
      <w:proofErr w:type="spellEnd"/>
      <w:r w:rsidR="0006010B">
        <w:t xml:space="preserve"> </w:t>
      </w:r>
      <w:proofErr w:type="spellStart"/>
      <w:r w:rsidR="0006010B">
        <w:t>Zusammenarbeit</w:t>
      </w:r>
      <w:proofErr w:type="spellEnd"/>
      <w:r w:rsidR="0006010B">
        <w:t xml:space="preserve"> (GIZ) GmbH;  </w:t>
      </w:r>
      <w:r w:rsidR="0006010B" w:rsidRPr="0006010B">
        <w:t xml:space="preserve">Health and Environment Program (HEP); </w:t>
      </w:r>
      <w:r w:rsidR="0006010B">
        <w:t xml:space="preserve"> Himalayan Folklore and Biodiversity Study Program IPs Society for Wetland Biodiversity Conservation Nepal;  Independent Film and Television Alliance (I.F.T.A)</w:t>
      </w:r>
      <w:r w:rsidR="00690E95">
        <w:t xml:space="preserve">;  </w:t>
      </w:r>
      <w:r w:rsidR="008B77CA">
        <w:t xml:space="preserve">Indian Movement - Tupaj Amaru;  </w:t>
      </w:r>
      <w:r w:rsidR="0006010B" w:rsidRPr="008B77CA">
        <w:t>Indigenous Peoples’ Center for Documentation, Research and Information (</w:t>
      </w:r>
      <w:proofErr w:type="spellStart"/>
      <w:r w:rsidR="0006010B" w:rsidRPr="008B77CA">
        <w:t>DoCip</w:t>
      </w:r>
      <w:proofErr w:type="spellEnd"/>
      <w:r w:rsidR="0006010B" w:rsidRPr="008B77CA">
        <w:t xml:space="preserve">);  </w:t>
      </w:r>
      <w:r w:rsidR="008B77CA" w:rsidRPr="008B77CA">
        <w:t xml:space="preserve">Indigenous World Association (IWA);  </w:t>
      </w:r>
      <w:r w:rsidR="008B77CA">
        <w:t xml:space="preserve">International Association for the Protection of Intellectual Property (AIPPI);  </w:t>
      </w:r>
      <w:r w:rsidR="0006010B" w:rsidRPr="008B77CA">
        <w:t xml:space="preserve">International Federation of Library Associations and Institutions (IFLA);  </w:t>
      </w:r>
      <w:r w:rsidR="008B77CA">
        <w:t xml:space="preserve">International Publishers Association (IPA);  </w:t>
      </w:r>
      <w:r w:rsidR="0006010B" w:rsidRPr="008B77CA">
        <w:t xml:space="preserve">International Trade Center for Development (CECIDE);  </w:t>
      </w:r>
      <w:r w:rsidR="008B77CA">
        <w:t xml:space="preserve">International Trademark Association (INTA);  </w:t>
      </w:r>
      <w:r w:rsidR="0006010B" w:rsidRPr="008B77CA">
        <w:t>International Video Federation (IVF);</w:t>
      </w:r>
      <w:r w:rsidR="0006010B" w:rsidRPr="0006010B">
        <w:t xml:space="preserve"> </w:t>
      </w:r>
      <w:r w:rsidR="0006010B">
        <w:t xml:space="preserve"> </w:t>
      </w:r>
      <w:proofErr w:type="spellStart"/>
      <w:r w:rsidR="0006010B" w:rsidRPr="0006010B">
        <w:t>Instituto</w:t>
      </w:r>
      <w:proofErr w:type="spellEnd"/>
      <w:r w:rsidR="0006010B" w:rsidRPr="0006010B">
        <w:t xml:space="preserve"> </w:t>
      </w:r>
      <w:proofErr w:type="spellStart"/>
      <w:r w:rsidR="0006010B" w:rsidRPr="0006010B">
        <w:t>Indígena</w:t>
      </w:r>
      <w:proofErr w:type="spellEnd"/>
      <w:r w:rsidR="0006010B" w:rsidRPr="0006010B">
        <w:t xml:space="preserve"> </w:t>
      </w:r>
      <w:proofErr w:type="spellStart"/>
      <w:r w:rsidR="0006010B" w:rsidRPr="0006010B">
        <w:t>Brasileiro</w:t>
      </w:r>
      <w:proofErr w:type="spellEnd"/>
      <w:r w:rsidR="0006010B" w:rsidRPr="0006010B">
        <w:t xml:space="preserve"> da </w:t>
      </w:r>
      <w:proofErr w:type="spellStart"/>
      <w:r w:rsidR="0006010B" w:rsidRPr="0006010B">
        <w:t>Propriedade</w:t>
      </w:r>
      <w:proofErr w:type="spellEnd"/>
      <w:r w:rsidR="0006010B" w:rsidRPr="0006010B">
        <w:t xml:space="preserve"> </w:t>
      </w:r>
      <w:proofErr w:type="spellStart"/>
      <w:r w:rsidR="0006010B" w:rsidRPr="0006010B">
        <w:t>Intelectual</w:t>
      </w:r>
      <w:proofErr w:type="spellEnd"/>
      <w:r w:rsidR="0006010B" w:rsidRPr="0006010B">
        <w:t xml:space="preserve"> (</w:t>
      </w:r>
      <w:proofErr w:type="spellStart"/>
      <w:r w:rsidR="0006010B" w:rsidRPr="0006010B">
        <w:t>InBraPi</w:t>
      </w:r>
      <w:proofErr w:type="spellEnd"/>
      <w:r w:rsidR="0006010B" w:rsidRPr="0006010B">
        <w:t xml:space="preserve">); </w:t>
      </w:r>
      <w:r w:rsidR="008B77CA">
        <w:t xml:space="preserve"> </w:t>
      </w:r>
      <w:proofErr w:type="spellStart"/>
      <w:r w:rsidR="008B77CA">
        <w:t>Maasai</w:t>
      </w:r>
      <w:proofErr w:type="spellEnd"/>
      <w:r w:rsidR="008B77CA">
        <w:t xml:space="preserve"> Cultural Heritage Foundation (MCHF)</w:t>
      </w:r>
      <w:r w:rsidR="0006010B" w:rsidRPr="0006010B">
        <w:t xml:space="preserve">; </w:t>
      </w:r>
      <w:r w:rsidR="008B77CA">
        <w:t xml:space="preserve"> MALOCA </w:t>
      </w:r>
      <w:proofErr w:type="spellStart"/>
      <w:r w:rsidR="008B77CA">
        <w:t>Internationale</w:t>
      </w:r>
      <w:proofErr w:type="spellEnd"/>
      <w:r w:rsidR="008B77CA">
        <w:t xml:space="preserve">;  MARQUES - The Association of European Trademark Owners;  </w:t>
      </w:r>
      <w:r w:rsidR="0006010B" w:rsidRPr="0006010B">
        <w:t xml:space="preserve">Native American Rights Fund (NARF); </w:t>
      </w:r>
      <w:r w:rsidR="008B77CA">
        <w:t xml:space="preserve"> </w:t>
      </w:r>
      <w:r w:rsidR="0006010B" w:rsidRPr="0006010B">
        <w:t xml:space="preserve">Proyecto ETNOMAT, </w:t>
      </w:r>
      <w:proofErr w:type="spellStart"/>
      <w:r w:rsidR="0006010B" w:rsidRPr="0006010B">
        <w:t>Departamento</w:t>
      </w:r>
      <w:proofErr w:type="spellEnd"/>
      <w:r w:rsidR="0006010B" w:rsidRPr="0006010B">
        <w:t xml:space="preserve"> de </w:t>
      </w:r>
      <w:proofErr w:type="spellStart"/>
      <w:r w:rsidR="0006010B" w:rsidRPr="0006010B">
        <w:t>Antropología</w:t>
      </w:r>
      <w:proofErr w:type="spellEnd"/>
      <w:r w:rsidR="0006010B" w:rsidRPr="0006010B">
        <w:t xml:space="preserve"> Social, Universidad de Barcelona (</w:t>
      </w:r>
      <w:proofErr w:type="spellStart"/>
      <w:r w:rsidR="0006010B" w:rsidRPr="0006010B">
        <w:t>España</w:t>
      </w:r>
      <w:proofErr w:type="spellEnd"/>
      <w:r w:rsidR="0006010B" w:rsidRPr="0006010B">
        <w:t xml:space="preserve">); </w:t>
      </w:r>
      <w:r w:rsidR="008B77CA">
        <w:t xml:space="preserve"> Sámi Parliamentary Council (SPC);  </w:t>
      </w:r>
      <w:proofErr w:type="spellStart"/>
      <w:r w:rsidR="0006010B" w:rsidRPr="0006010B">
        <w:t>Società</w:t>
      </w:r>
      <w:proofErr w:type="spellEnd"/>
      <w:r w:rsidR="0006010B" w:rsidRPr="0006010B">
        <w:t xml:space="preserve"> </w:t>
      </w:r>
      <w:proofErr w:type="spellStart"/>
      <w:r w:rsidR="0006010B" w:rsidRPr="0006010B">
        <w:t>Italiana</w:t>
      </w:r>
      <w:proofErr w:type="spellEnd"/>
      <w:r w:rsidR="0006010B" w:rsidRPr="0006010B">
        <w:t xml:space="preserve"> per la </w:t>
      </w:r>
      <w:proofErr w:type="spellStart"/>
      <w:r w:rsidR="0006010B" w:rsidRPr="0006010B">
        <w:t>Museografia</w:t>
      </w:r>
      <w:proofErr w:type="spellEnd"/>
      <w:r w:rsidR="0006010B" w:rsidRPr="0006010B">
        <w:t xml:space="preserve"> e </w:t>
      </w:r>
      <w:proofErr w:type="spellStart"/>
      <w:r w:rsidR="0006010B" w:rsidRPr="0006010B">
        <w:t>i</w:t>
      </w:r>
      <w:proofErr w:type="spellEnd"/>
      <w:r w:rsidR="0006010B" w:rsidRPr="0006010B">
        <w:t xml:space="preserve"> </w:t>
      </w:r>
      <w:proofErr w:type="spellStart"/>
      <w:r w:rsidR="0006010B" w:rsidRPr="0006010B">
        <w:t>Beni</w:t>
      </w:r>
      <w:proofErr w:type="spellEnd"/>
      <w:r w:rsidR="0006010B" w:rsidRPr="0006010B">
        <w:t xml:space="preserve"> </w:t>
      </w:r>
      <w:proofErr w:type="spellStart"/>
      <w:r w:rsidR="0006010B" w:rsidRPr="0006010B">
        <w:t>Demoetnoantropologici</w:t>
      </w:r>
      <w:proofErr w:type="spellEnd"/>
      <w:r w:rsidR="0006010B" w:rsidRPr="0006010B">
        <w:t xml:space="preserve"> (SIMBDEA); </w:t>
      </w:r>
      <w:r w:rsidR="008B77CA">
        <w:t xml:space="preserve"> </w:t>
      </w:r>
      <w:proofErr w:type="spellStart"/>
      <w:r w:rsidR="008B77CA">
        <w:t>Tebtebba</w:t>
      </w:r>
      <w:proofErr w:type="spellEnd"/>
      <w:r w:rsidR="008B77CA">
        <w:t xml:space="preserve"> Foundation - Indigenous Peoples’ International Centre for Policy Research and Education;  </w:t>
      </w:r>
      <w:r w:rsidR="0006010B" w:rsidRPr="0006010B">
        <w:t xml:space="preserve">Tulalip Tribes of Washington </w:t>
      </w:r>
      <w:r w:rsidR="008B77CA">
        <w:t>Governmental Affairs Department;  and University of Lausanne (37</w:t>
      </w:r>
      <w:r w:rsidRPr="0006010B">
        <w:t>).</w:t>
      </w:r>
    </w:p>
    <w:p w14:paraId="69FD6EE8" w14:textId="77777777" w:rsidR="00D97F1A" w:rsidRDefault="00D97F1A" w:rsidP="00D97F1A">
      <w:pPr>
        <w:pStyle w:val="ListParagraph"/>
        <w:ind w:left="0"/>
      </w:pPr>
    </w:p>
    <w:p w14:paraId="3A94A727" w14:textId="77777777" w:rsidR="00D97F1A" w:rsidRDefault="009B459C" w:rsidP="008769AF">
      <w:pPr>
        <w:pStyle w:val="ListParagraph"/>
        <w:numPr>
          <w:ilvl w:val="0"/>
          <w:numId w:val="4"/>
        </w:numPr>
        <w:ind w:left="0" w:firstLine="0"/>
      </w:pPr>
      <w:r w:rsidRPr="009B459C">
        <w:lastRenderedPageBreak/>
        <w:t>The list of participants is annexed to this report</w:t>
      </w:r>
      <w:r w:rsidR="00AE1D54">
        <w:t xml:space="preserve">.  </w:t>
      </w:r>
    </w:p>
    <w:p w14:paraId="73DD5A15" w14:textId="77777777" w:rsidR="00D97F1A" w:rsidRDefault="00D97F1A" w:rsidP="00D97F1A">
      <w:pPr>
        <w:pStyle w:val="ListParagraph"/>
        <w:ind w:left="0"/>
      </w:pPr>
    </w:p>
    <w:p w14:paraId="0DD5CC72" w14:textId="77777777" w:rsidR="00D97F1A" w:rsidRDefault="009B459C" w:rsidP="008769AF">
      <w:pPr>
        <w:pStyle w:val="ListParagraph"/>
        <w:numPr>
          <w:ilvl w:val="0"/>
          <w:numId w:val="4"/>
        </w:numPr>
        <w:ind w:left="0" w:firstLine="0"/>
      </w:pPr>
      <w:r w:rsidRPr="009B459C">
        <w:t>Document WIPO/</w:t>
      </w:r>
      <w:r w:rsidR="00730401">
        <w:t>GRTKF/IC/34</w:t>
      </w:r>
      <w:r w:rsidRPr="009B459C">
        <w:t xml:space="preserve">/INF/2 provided an overview of the </w:t>
      </w:r>
      <w:r w:rsidR="00730401">
        <w:t>documents distributed for IGC 34</w:t>
      </w:r>
      <w:r w:rsidRPr="009B459C">
        <w:t>.</w:t>
      </w:r>
    </w:p>
    <w:p w14:paraId="5E10EBC8" w14:textId="77777777" w:rsidR="00D97F1A" w:rsidRDefault="00D97F1A" w:rsidP="00D97F1A">
      <w:pPr>
        <w:pStyle w:val="ListParagraph"/>
        <w:ind w:left="0"/>
      </w:pPr>
    </w:p>
    <w:p w14:paraId="4A32449A" w14:textId="77777777" w:rsidR="00D97F1A" w:rsidRDefault="009B459C" w:rsidP="008769AF">
      <w:pPr>
        <w:pStyle w:val="ListParagraph"/>
        <w:numPr>
          <w:ilvl w:val="0"/>
          <w:numId w:val="4"/>
        </w:numPr>
        <w:ind w:left="0" w:firstLine="0"/>
      </w:pPr>
      <w:r w:rsidRPr="009B459C">
        <w:t>The Secretariat noted the interventions made, and the proceedings of the session were communicated and recorded on webcast</w:t>
      </w:r>
      <w:r w:rsidR="00AE1D54">
        <w:t xml:space="preserve">.  </w:t>
      </w:r>
      <w:r w:rsidRPr="009B459C">
        <w:t>This report summarizes the discussions and provides the essence of interventions, without reflecting all the observations made in detail or necessarily following the chronological order of interventions.</w:t>
      </w:r>
    </w:p>
    <w:p w14:paraId="057EA5D6" w14:textId="77777777" w:rsidR="00D97F1A" w:rsidRDefault="00D97F1A" w:rsidP="00D97F1A">
      <w:pPr>
        <w:pStyle w:val="ListParagraph"/>
        <w:ind w:left="0"/>
      </w:pPr>
    </w:p>
    <w:p w14:paraId="66ACA6B5" w14:textId="77777777" w:rsidR="009B459C" w:rsidRPr="009B459C" w:rsidRDefault="009B459C" w:rsidP="008769AF">
      <w:pPr>
        <w:pStyle w:val="ListParagraph"/>
        <w:numPr>
          <w:ilvl w:val="0"/>
          <w:numId w:val="4"/>
        </w:numPr>
        <w:ind w:left="0" w:firstLine="0"/>
      </w:pPr>
      <w:r w:rsidRPr="009B459C">
        <w:t>Mr</w:t>
      </w:r>
      <w:r w:rsidR="008769AF">
        <w:t xml:space="preserve">. </w:t>
      </w:r>
      <w:r w:rsidRPr="009B459C">
        <w:t>Wend Wendland</w:t>
      </w:r>
      <w:r w:rsidR="00730401">
        <w:t xml:space="preserve"> of WIPO was Secretary to IGC 34</w:t>
      </w:r>
      <w:r w:rsidRPr="009B459C">
        <w:t>.</w:t>
      </w:r>
    </w:p>
    <w:p w14:paraId="08844ECA" w14:textId="77777777" w:rsidR="009B459C" w:rsidRPr="009B459C" w:rsidRDefault="009B459C" w:rsidP="009B459C">
      <w:pPr>
        <w:pStyle w:val="ListParagraph"/>
        <w:ind w:left="0"/>
      </w:pPr>
    </w:p>
    <w:p w14:paraId="56CF5779" w14:textId="77777777" w:rsidR="009B459C" w:rsidRPr="009B459C" w:rsidRDefault="009B459C" w:rsidP="009B459C">
      <w:pPr>
        <w:pStyle w:val="Heading1"/>
        <w:spacing w:before="0" w:after="0"/>
      </w:pPr>
      <w:r w:rsidRPr="009B459C">
        <w:t>AGENDA ITEM 1</w:t>
      </w:r>
      <w:r w:rsidR="00AE1D54">
        <w:t xml:space="preserve">:  </w:t>
      </w:r>
      <w:r w:rsidRPr="009B459C">
        <w:t>OPENING OF THE SESSION</w:t>
      </w:r>
    </w:p>
    <w:p w14:paraId="6B5BB0B8" w14:textId="77777777" w:rsidR="009B459C" w:rsidRPr="009B459C" w:rsidRDefault="009B459C" w:rsidP="009B459C">
      <w:pPr>
        <w:pStyle w:val="ListParagraph"/>
        <w:ind w:left="0"/>
      </w:pPr>
    </w:p>
    <w:p w14:paraId="37977509" w14:textId="77777777" w:rsidR="009B459C" w:rsidRPr="009B459C" w:rsidRDefault="009B459C" w:rsidP="00D97F1A">
      <w:pPr>
        <w:pStyle w:val="ListParagraph"/>
        <w:numPr>
          <w:ilvl w:val="0"/>
          <w:numId w:val="4"/>
        </w:numPr>
        <w:ind w:left="0" w:firstLine="0"/>
      </w:pPr>
      <w:r w:rsidRPr="009B459C">
        <w:t>The Chair of the IGC, Mr</w:t>
      </w:r>
      <w:r w:rsidR="008769AF">
        <w:t xml:space="preserve">. </w:t>
      </w:r>
      <w:r w:rsidRPr="009B459C">
        <w:t>Ian Goss from Australia, opened the session</w:t>
      </w:r>
      <w:r w:rsidR="00AE1D54">
        <w:t xml:space="preserve">.  </w:t>
      </w:r>
    </w:p>
    <w:p w14:paraId="4871AD37" w14:textId="77777777" w:rsidR="009B459C" w:rsidRPr="009B459C" w:rsidRDefault="009B459C" w:rsidP="00D97F1A">
      <w:pPr>
        <w:pStyle w:val="ListParagraph"/>
        <w:ind w:left="0"/>
      </w:pPr>
    </w:p>
    <w:p w14:paraId="4C0EF3BE" w14:textId="0E470BB1" w:rsidR="008769AF" w:rsidRPr="00D97F1A" w:rsidRDefault="00D97F1A" w:rsidP="003B17C3">
      <w:pPr>
        <w:pStyle w:val="ListParagraph"/>
        <w:numPr>
          <w:ilvl w:val="0"/>
          <w:numId w:val="4"/>
        </w:numPr>
        <w:ind w:left="0" w:firstLine="0"/>
      </w:pPr>
      <w:r>
        <w:t xml:space="preserve">The </w:t>
      </w:r>
      <w:r w:rsidRPr="00D97F1A">
        <w:t>Assistant Director General</w:t>
      </w:r>
      <w:r>
        <w:t>,</w:t>
      </w:r>
      <w:r w:rsidRPr="009B459C">
        <w:t xml:space="preserve"> </w:t>
      </w:r>
      <w:r w:rsidR="009B459C" w:rsidRPr="009B459C">
        <w:t>Mr</w:t>
      </w:r>
      <w:r w:rsidR="00AE1D54">
        <w:t xml:space="preserve">. </w:t>
      </w:r>
      <w:r w:rsidR="008769AF" w:rsidRPr="00D97F1A">
        <w:t xml:space="preserve">Minelik Alemu Getahun, </w:t>
      </w:r>
      <w:r>
        <w:t>on behalf of the</w:t>
      </w:r>
      <w:r w:rsidR="008769AF" w:rsidRPr="00D97F1A">
        <w:t xml:space="preserve"> Director General, </w:t>
      </w:r>
      <w:r>
        <w:t xml:space="preserve">Mr. Francis Gurry, delivered opening remarks.  </w:t>
      </w:r>
      <w:r w:rsidR="008769AF" w:rsidRPr="00D97F1A">
        <w:t xml:space="preserve">He recalled that, in October 2015, the General Assembly </w:t>
      </w:r>
      <w:r>
        <w:t xml:space="preserve">(“GA”) </w:t>
      </w:r>
      <w:r w:rsidR="008769AF" w:rsidRPr="00D97F1A">
        <w:t>had renewed the IGC</w:t>
      </w:r>
      <w:r>
        <w:t>’s mandate for the 2016/</w:t>
      </w:r>
      <w:r w:rsidR="008769AF" w:rsidRPr="00D97F1A">
        <w:t>2017 biennium.  The work program for the IGC for the biennium included two sessions on genetic resources (</w:t>
      </w:r>
      <w:r w:rsidR="003B17C3">
        <w:t>“</w:t>
      </w:r>
      <w:r w:rsidR="008769AF" w:rsidRPr="00D97F1A">
        <w:t>GRs</w:t>
      </w:r>
      <w:r w:rsidR="003B17C3">
        <w:t>”</w:t>
      </w:r>
      <w:r w:rsidR="008769AF" w:rsidRPr="00D97F1A">
        <w:t>) in 2016, two sessions on traditional knowledge (</w:t>
      </w:r>
      <w:r w:rsidR="003B17C3">
        <w:t>“</w:t>
      </w:r>
      <w:r w:rsidR="008769AF" w:rsidRPr="00D97F1A">
        <w:t>TK</w:t>
      </w:r>
      <w:r w:rsidR="003B17C3">
        <w:t>”</w:t>
      </w:r>
      <w:r w:rsidR="008769AF" w:rsidRPr="00D97F1A">
        <w:t>) in 2016 and two sessions on traditional cultural expressions (</w:t>
      </w:r>
      <w:r w:rsidR="003B17C3">
        <w:t>“</w:t>
      </w:r>
      <w:r w:rsidR="008769AF" w:rsidRPr="00D97F1A">
        <w:t>TCEs</w:t>
      </w:r>
      <w:r w:rsidR="003B17C3">
        <w:t>”</w:t>
      </w:r>
      <w:r w:rsidR="008769AF" w:rsidRPr="00D97F1A">
        <w:t>) in 2017.  The Secretariat had been requested to organize semin</w:t>
      </w:r>
      <w:r>
        <w:t>ars to build regional and cross-</w:t>
      </w:r>
      <w:r w:rsidR="008769AF" w:rsidRPr="00D97F1A">
        <w:t>regional knowledge with a focus on unresolved issues.  Accordingly, on June 8 and 9, 2017, a Seminar on Intellectual Property and Traditional Cultural Expressions</w:t>
      </w:r>
      <w:r>
        <w:t xml:space="preserve"> (“the Seminar”) had been organized</w:t>
      </w:r>
      <w:r w:rsidR="008769AF" w:rsidRPr="00D97F1A">
        <w:t xml:space="preserve">.  He expressed his gratitude and thanks to the knowledgeable and experienced </w:t>
      </w:r>
      <w:r>
        <w:t>moderators and speakers at the S</w:t>
      </w:r>
      <w:r w:rsidR="008769AF" w:rsidRPr="00D97F1A">
        <w:t xml:space="preserve">eminar for their valuable contributions.  He thanked the rapporteurs who </w:t>
      </w:r>
      <w:r>
        <w:t>would report on the S</w:t>
      </w:r>
      <w:r w:rsidR="008769AF" w:rsidRPr="00D97F1A">
        <w:t>eminar later.  He hoped that the participants had benefited from the exchange of experiences and discussions.  He acknowledged the tireless work by the Chair between the sessions</w:t>
      </w:r>
      <w:r w:rsidR="00B943E3">
        <w:t xml:space="preserve"> and </w:t>
      </w:r>
      <w:r w:rsidR="008769AF" w:rsidRPr="00D97F1A">
        <w:t xml:space="preserve">the contributions of the two Vice-Chairs who worked very closely with the Chair, </w:t>
      </w:r>
      <w:r>
        <w:t xml:space="preserve">namely, </w:t>
      </w:r>
      <w:r w:rsidR="008769AF" w:rsidRPr="00D97F1A">
        <w:t xml:space="preserve">Ambassador </w:t>
      </w:r>
      <w:r>
        <w:t>Robert Matheus Michael Tene from Indonesia and Mr. </w:t>
      </w:r>
      <w:proofErr w:type="spellStart"/>
      <w:r>
        <w:t>Jukka</w:t>
      </w:r>
      <w:proofErr w:type="spellEnd"/>
      <w:r>
        <w:t xml:space="preserve"> </w:t>
      </w:r>
      <w:proofErr w:type="spellStart"/>
      <w:r>
        <w:t>Liedes</w:t>
      </w:r>
      <w:proofErr w:type="spellEnd"/>
      <w:r>
        <w:t xml:space="preserve"> from Finland.  The R</w:t>
      </w:r>
      <w:r w:rsidR="008769AF" w:rsidRPr="00D97F1A">
        <w:t>egional</w:t>
      </w:r>
      <w:r>
        <w:t xml:space="preserve"> C</w:t>
      </w:r>
      <w:r w:rsidR="008769AF" w:rsidRPr="00D97F1A">
        <w:t xml:space="preserve">oordinators and many Member States had also remained engaged during those intersessional activities with the Chair and </w:t>
      </w:r>
      <w:r>
        <w:t xml:space="preserve">the </w:t>
      </w:r>
      <w:r w:rsidR="008769AF" w:rsidRPr="00D97F1A">
        <w:t>Vice-Chairs and continued to play a critical role.  IGC 34 had a dual mandate: TCEs and stocktaking.  He recalled that IGC 33 had advanced the work on</w:t>
      </w:r>
      <w:r>
        <w:t xml:space="preserve"> the draft a</w:t>
      </w:r>
      <w:r w:rsidR="008769AF" w:rsidRPr="00D97F1A">
        <w:t>rticles</w:t>
      </w:r>
      <w:r>
        <w:t>,</w:t>
      </w:r>
      <w:r w:rsidR="008769AF" w:rsidRPr="00D97F1A">
        <w:t xml:space="preserve"> discussed core issues identified in the mandate and agreed on an Indicative List of Outstanding/Pending Issues to be Tackled/Solved</w:t>
      </w:r>
      <w:r>
        <w:t xml:space="preserve"> (document </w:t>
      </w:r>
      <w:r w:rsidR="008769AF" w:rsidRPr="00D97F1A">
        <w:t xml:space="preserve">WIPO/GRTKF/IC/34/7). </w:t>
      </w:r>
      <w:r>
        <w:t>A</w:t>
      </w:r>
      <w:r w:rsidR="008769AF" w:rsidRPr="00D97F1A">
        <w:t xml:space="preserve"> lot of work needed to be taken for further convergence on outstanding and pending issues.  He called upon Member States to show flexibility and pragmatism and urged them to make an effort in the sense of compromise so</w:t>
      </w:r>
      <w:r>
        <w:t xml:space="preserve"> that the</w:t>
      </w:r>
      <w:r w:rsidR="008769AF" w:rsidRPr="00D97F1A">
        <w:t xml:space="preserve"> long-standing item could be brought to a successful conclusion.  He acknowledged the excellent contributions that indigenous experts continued to make in the process and encouraged them to participate as directly and effectively as possible.  IGC 34 was the last session under the current mandate.  Pursuant to that mandate and the work program adopted by the </w:t>
      </w:r>
      <w:r w:rsidR="000F6E5E">
        <w:t>GA</w:t>
      </w:r>
      <w:r w:rsidR="008769AF" w:rsidRPr="00D97F1A">
        <w:t xml:space="preserve">, IGC 34 </w:t>
      </w:r>
      <w:r w:rsidR="000F6E5E">
        <w:t>would also be</w:t>
      </w:r>
      <w:r w:rsidR="008769AF" w:rsidRPr="00D97F1A">
        <w:t xml:space="preserve"> a stocktaking session.  The IGC was invited to submit to the </w:t>
      </w:r>
      <w:r w:rsidR="000F6E5E">
        <w:t>GA</w:t>
      </w:r>
      <w:r w:rsidR="008769AF" w:rsidRPr="00D97F1A">
        <w:t xml:space="preserve"> the results of its work on an international legal instrume</w:t>
      </w:r>
      <w:r w:rsidR="000F6E5E">
        <w:t>nt(s) relating to IP, which would</w:t>
      </w:r>
      <w:r w:rsidR="008769AF" w:rsidRPr="00D97F1A">
        <w:t xml:space="preserve"> ensure the balanced and effective protection of GRs, TK and TCEs.  The IGC was also invited to consider th</w:t>
      </w:r>
      <w:r w:rsidR="000F6E5E">
        <w:t>e conversion of the IGC into a Standing C</w:t>
      </w:r>
      <w:r w:rsidR="008769AF" w:rsidRPr="00D97F1A">
        <w:t xml:space="preserve">ommittee, and, if so agreed, make recommendations to the </w:t>
      </w:r>
      <w:r w:rsidR="000F6E5E">
        <w:t>GA</w:t>
      </w:r>
      <w:r w:rsidR="008769AF" w:rsidRPr="00D97F1A">
        <w:t xml:space="preserve">.  As a next step, the </w:t>
      </w:r>
      <w:r w:rsidR="000F6E5E">
        <w:t>GA</w:t>
      </w:r>
      <w:r w:rsidR="008769AF" w:rsidRPr="00D97F1A">
        <w:t xml:space="preserve"> in October 2017 would take stock of the progress made and decide on whether to convene a diplomatic conference or continue its negotiations.  It would also consider the need for additional meetings, taking account of the budgetary</w:t>
      </w:r>
      <w:r w:rsidR="000F6E5E">
        <w:t xml:space="preserve"> process.  He acknowledged the G</w:t>
      </w:r>
      <w:r w:rsidR="008769AF" w:rsidRPr="00D97F1A">
        <w:t>overnment of Australia</w:t>
      </w:r>
      <w:r w:rsidR="00B943E3">
        <w:t xml:space="preserve">’s </w:t>
      </w:r>
      <w:r w:rsidR="008769AF" w:rsidRPr="00D97F1A">
        <w:t>donation</w:t>
      </w:r>
      <w:r w:rsidR="000F6E5E">
        <w:t xml:space="preserve"> to the WIPO Voluntary Fund at IGC 33</w:t>
      </w:r>
      <w:r w:rsidR="008769AF" w:rsidRPr="00D97F1A">
        <w:t xml:space="preserve">, which </w:t>
      </w:r>
      <w:r w:rsidR="000F6E5E">
        <w:t>ensured</w:t>
      </w:r>
      <w:r w:rsidR="008769AF" w:rsidRPr="00D97F1A">
        <w:t xml:space="preserve"> that the voices of indigenous and local communities (</w:t>
      </w:r>
      <w:r w:rsidR="00625654">
        <w:t>“</w:t>
      </w:r>
      <w:r w:rsidR="008769AF" w:rsidRPr="00D97F1A">
        <w:t>ILCs</w:t>
      </w:r>
      <w:r w:rsidR="00625654">
        <w:t>”</w:t>
      </w:r>
      <w:r w:rsidR="008769AF" w:rsidRPr="00D97F1A">
        <w:t>) could be delivered in person at the IGC.  He encouraged other Member States to identify ways to raise contributions to the Fund.  Delegations were reminded to ensure the participation of indigenous peoples and local communities (</w:t>
      </w:r>
      <w:r w:rsidR="00625654">
        <w:t>“</w:t>
      </w:r>
      <w:r w:rsidR="008769AF" w:rsidRPr="00D97F1A">
        <w:t>IPLCs</w:t>
      </w:r>
      <w:r w:rsidR="00625654">
        <w:t>”</w:t>
      </w:r>
      <w:r w:rsidR="008769AF" w:rsidRPr="00D97F1A">
        <w:t xml:space="preserve">) within the IGC negotiations and to enhance the importance of the Fund in facilitating that active participation.  The theme of </w:t>
      </w:r>
      <w:r w:rsidR="008769AF" w:rsidRPr="00D97F1A">
        <w:lastRenderedPageBreak/>
        <w:t xml:space="preserve">the Indigenous Panel for </w:t>
      </w:r>
      <w:r w:rsidR="000F6E5E">
        <w:t>IGC 34</w:t>
      </w:r>
      <w:r w:rsidR="008769AF" w:rsidRPr="00D97F1A">
        <w:t xml:space="preserve"> was “Outstanding/Pending Issues in the IGC Draft Articles on the Protection of Traditional Cultural Expressions:  Indigenous Peoples’ and </w:t>
      </w:r>
      <w:r w:rsidR="000F6E5E">
        <w:t>Local Communities’ Perspectives</w:t>
      </w:r>
      <w:r w:rsidR="008769AF" w:rsidRPr="00D97F1A">
        <w:t>”</w:t>
      </w:r>
      <w:r w:rsidR="000F6E5E">
        <w:t>.</w:t>
      </w:r>
      <w:r w:rsidR="008769AF" w:rsidRPr="00D97F1A">
        <w:t xml:space="preserve">  The keynote speaker was Mr. S. James Anaya, Dean and Thomson Professor of Law, University of Colorado Law School, United States of America, who continued to play a very active role, including with the submission of his technical assessment before the IGC</w:t>
      </w:r>
      <w:r w:rsidR="00B943E3">
        <w:t xml:space="preserve"> </w:t>
      </w:r>
      <w:r w:rsidR="003B17C3" w:rsidRPr="003B17C3">
        <w:t>(document</w:t>
      </w:r>
      <w:r w:rsidR="003B17C3" w:rsidRPr="003B17C3">
        <w:rPr>
          <w:rFonts w:hint="eastAsia"/>
        </w:rPr>
        <w:t xml:space="preserve"> </w:t>
      </w:r>
      <w:r w:rsidR="003B17C3" w:rsidRPr="003B17C3">
        <w:t>WIPO/GRTKF/IC/34/INF/8</w:t>
      </w:r>
      <w:r w:rsidR="00B943E3" w:rsidRPr="003B17C3">
        <w:t>)</w:t>
      </w:r>
      <w:r w:rsidR="008769AF" w:rsidRPr="00D97F1A">
        <w:t xml:space="preserve">.  The two respondents were Ms. Aroha </w:t>
      </w:r>
      <w:proofErr w:type="spellStart"/>
      <w:r w:rsidR="008769AF" w:rsidRPr="00D97F1A">
        <w:t>Te</w:t>
      </w:r>
      <w:proofErr w:type="spellEnd"/>
      <w:r w:rsidR="008769AF" w:rsidRPr="00D97F1A">
        <w:t xml:space="preserve"> </w:t>
      </w:r>
      <w:proofErr w:type="spellStart"/>
      <w:r w:rsidR="008769AF" w:rsidRPr="00D97F1A">
        <w:t>Pareake</w:t>
      </w:r>
      <w:proofErr w:type="spellEnd"/>
      <w:r w:rsidR="008769AF" w:rsidRPr="00D97F1A">
        <w:t xml:space="preserve"> Mead, </w:t>
      </w:r>
      <w:r w:rsidR="000F6E5E">
        <w:t>a member of</w:t>
      </w:r>
      <w:r w:rsidR="008769AF" w:rsidRPr="00D97F1A">
        <w:t xml:space="preserve"> </w:t>
      </w:r>
      <w:proofErr w:type="spellStart"/>
      <w:r w:rsidR="008769AF" w:rsidRPr="00D97F1A">
        <w:t>N</w:t>
      </w:r>
      <w:r w:rsidR="000F6E5E">
        <w:t>gati</w:t>
      </w:r>
      <w:proofErr w:type="spellEnd"/>
      <w:r w:rsidR="000F6E5E">
        <w:t xml:space="preserve"> Awa and </w:t>
      </w:r>
      <w:proofErr w:type="spellStart"/>
      <w:r w:rsidR="000F6E5E">
        <w:t>Ngati</w:t>
      </w:r>
      <w:proofErr w:type="spellEnd"/>
      <w:r w:rsidR="000F6E5E">
        <w:t xml:space="preserve"> </w:t>
      </w:r>
      <w:proofErr w:type="spellStart"/>
      <w:r w:rsidR="000F6E5E">
        <w:t>Porou</w:t>
      </w:r>
      <w:proofErr w:type="spellEnd"/>
      <w:r w:rsidR="000F6E5E">
        <w:t xml:space="preserve"> Tribes in</w:t>
      </w:r>
      <w:r w:rsidR="008769AF" w:rsidRPr="00D97F1A">
        <w:t xml:space="preserve"> New Zealand and Ms. Jennifer </w:t>
      </w:r>
      <w:proofErr w:type="spellStart"/>
      <w:r w:rsidR="008769AF" w:rsidRPr="00D97F1A">
        <w:t>Tauli</w:t>
      </w:r>
      <w:proofErr w:type="spellEnd"/>
      <w:r w:rsidR="008769AF" w:rsidRPr="00D97F1A">
        <w:t xml:space="preserve"> </w:t>
      </w:r>
      <w:proofErr w:type="spellStart"/>
      <w:r w:rsidR="008769AF" w:rsidRPr="00D97F1A">
        <w:t>Corpuz</w:t>
      </w:r>
      <w:proofErr w:type="spellEnd"/>
      <w:r w:rsidR="008769AF" w:rsidRPr="00D97F1A">
        <w:t xml:space="preserve">, </w:t>
      </w:r>
      <w:r w:rsidR="000F6E5E">
        <w:t>a member of</w:t>
      </w:r>
      <w:r w:rsidR="008769AF" w:rsidRPr="00D97F1A">
        <w:t xml:space="preserve"> </w:t>
      </w:r>
      <w:proofErr w:type="spellStart"/>
      <w:r w:rsidR="008769AF" w:rsidRPr="00D97F1A">
        <w:t>Kankana-ey</w:t>
      </w:r>
      <w:proofErr w:type="spellEnd"/>
      <w:r w:rsidR="008769AF" w:rsidRPr="00D97F1A">
        <w:t xml:space="preserve"> Igorot People of M</w:t>
      </w:r>
      <w:r w:rsidR="000F6E5E">
        <w:t>ountain Province in the</w:t>
      </w:r>
      <w:r w:rsidR="008769AF" w:rsidRPr="00D97F1A">
        <w:t xml:space="preserve"> Philippines</w:t>
      </w:r>
      <w:r w:rsidR="000F6E5E">
        <w:t xml:space="preserve">. </w:t>
      </w:r>
    </w:p>
    <w:p w14:paraId="74A994EA" w14:textId="77777777" w:rsidR="009B459C" w:rsidRPr="009B459C" w:rsidRDefault="009B459C" w:rsidP="000F6E5E">
      <w:pPr>
        <w:pStyle w:val="ListParagraph"/>
        <w:ind w:left="0"/>
      </w:pPr>
    </w:p>
    <w:p w14:paraId="28C2CD7F" w14:textId="3EB4AA61" w:rsidR="00B45F2D" w:rsidRPr="00B45F2D" w:rsidRDefault="00CD12E7" w:rsidP="00D97F1A">
      <w:pPr>
        <w:pStyle w:val="ListParagraph"/>
        <w:numPr>
          <w:ilvl w:val="0"/>
          <w:numId w:val="4"/>
        </w:numPr>
        <w:ind w:left="0" w:firstLine="0"/>
      </w:pPr>
      <w:r w:rsidRPr="005E78DA">
        <w:t xml:space="preserve">The Chair thanked the Vice-Chairs for their assistance, support and valuable contributions. </w:t>
      </w:r>
      <w:r w:rsidR="005A44A4" w:rsidRPr="005E78DA">
        <w:t xml:space="preserve"> </w:t>
      </w:r>
      <w:r w:rsidRPr="005E78DA">
        <w:t xml:space="preserve">They worked as a team and he regularly sought their guidance.  He thanked the </w:t>
      </w:r>
      <w:r w:rsidR="00A574E8" w:rsidRPr="005E78DA">
        <w:t xml:space="preserve">interpreters </w:t>
      </w:r>
      <w:r w:rsidR="00A574E8">
        <w:t xml:space="preserve">and the </w:t>
      </w:r>
      <w:r w:rsidRPr="005E78DA">
        <w:t>Secretariat</w:t>
      </w:r>
      <w:r w:rsidR="00A574E8">
        <w:t xml:space="preserve">, which </w:t>
      </w:r>
      <w:r w:rsidRPr="005E78DA">
        <w:t xml:space="preserve">worked quietly </w:t>
      </w:r>
      <w:r w:rsidR="00593B48" w:rsidRPr="005E78DA">
        <w:t>behind the scenes</w:t>
      </w:r>
      <w:r w:rsidRPr="005E78DA">
        <w:t xml:space="preserve"> </w:t>
      </w:r>
      <w:proofErr w:type="gramStart"/>
      <w:r w:rsidRPr="005E78DA">
        <w:t>yet</w:t>
      </w:r>
      <w:proofErr w:type="gramEnd"/>
      <w:r w:rsidRPr="005E78DA">
        <w:t xml:space="preserve"> had no small part in contributing to the success of the meetings.  He also thanked the Memb</w:t>
      </w:r>
      <w:r w:rsidR="00593B48" w:rsidRPr="005E78DA">
        <w:t>er States who had provided the f</w:t>
      </w:r>
      <w:r w:rsidRPr="005E78DA">
        <w:t>acilitators to help progress the IGC’s</w:t>
      </w:r>
      <w:r w:rsidR="005A44A4" w:rsidRPr="005E78DA">
        <w:t xml:space="preserve"> work.  The efforts</w:t>
      </w:r>
      <w:r w:rsidR="00593B48" w:rsidRPr="005E78DA">
        <w:t xml:space="preserve"> of the f</w:t>
      </w:r>
      <w:r w:rsidR="005A44A4" w:rsidRPr="005E78DA">
        <w:t xml:space="preserve">acilitators to try and narrow gaps </w:t>
      </w:r>
      <w:r w:rsidRPr="005E78DA">
        <w:t>could not be underest</w:t>
      </w:r>
      <w:r w:rsidR="00593B48" w:rsidRPr="005E78DA">
        <w:t>imated.  He had consulted with Regional C</w:t>
      </w:r>
      <w:r w:rsidRPr="005E78DA">
        <w:t xml:space="preserve">oordinators at the beginning of the session and </w:t>
      </w:r>
      <w:r w:rsidR="005A44A4" w:rsidRPr="005E78DA">
        <w:t xml:space="preserve">he </w:t>
      </w:r>
      <w:r w:rsidRPr="005E78DA">
        <w:t xml:space="preserve">thanked them for their constructive guidance.  They would </w:t>
      </w:r>
      <w:r w:rsidR="00593B48" w:rsidRPr="005E78DA">
        <w:t xml:space="preserve">also </w:t>
      </w:r>
      <w:r w:rsidRPr="005E78DA">
        <w:t xml:space="preserve">help </w:t>
      </w:r>
      <w:r w:rsidR="00A574E8">
        <w:t xml:space="preserve">to </w:t>
      </w:r>
      <w:r w:rsidRPr="005E78DA">
        <w:t xml:space="preserve">have a constructive working session.  </w:t>
      </w:r>
      <w:r w:rsidR="00593B48" w:rsidRPr="005E78DA">
        <w:t>He recalled that t</w:t>
      </w:r>
      <w:r w:rsidRPr="005E78DA">
        <w:t>he session was on live webcast on the WIPO website, which further improved openness and inclusiveness.  All participants were re</w:t>
      </w:r>
      <w:r w:rsidR="00593B48" w:rsidRPr="005E78DA">
        <w:t>quired to comply with the WIPO General Rules of P</w:t>
      </w:r>
      <w:r w:rsidRPr="005E78DA">
        <w:t xml:space="preserve">rocedure.  The meeting was to be conducted in </w:t>
      </w:r>
      <w:r w:rsidR="00593B48" w:rsidRPr="005E78DA">
        <w:t>a</w:t>
      </w:r>
      <w:r w:rsidRPr="005E78DA">
        <w:t xml:space="preserve"> spirit of constructive debate and discussion in which all participants were expected to take part with due respect to the order, fairness and decorum that governed the meeting.  As the Chair of the IGC, he reserved the right, where applicable, t</w:t>
      </w:r>
      <w:r w:rsidR="005A44A4" w:rsidRPr="005E78DA">
        <w:t>o call to order any participant</w:t>
      </w:r>
      <w:r w:rsidRPr="005E78DA">
        <w:t xml:space="preserve"> who might fail to observe the WIPO </w:t>
      </w:r>
      <w:r w:rsidR="00593B48" w:rsidRPr="005E78DA">
        <w:t>General R</w:t>
      </w:r>
      <w:r w:rsidRPr="005E78DA">
        <w:t xml:space="preserve">ules of </w:t>
      </w:r>
      <w:r w:rsidR="00593B48" w:rsidRPr="005E78DA">
        <w:t>P</w:t>
      </w:r>
      <w:r w:rsidRPr="005E78DA">
        <w:t>rocedure</w:t>
      </w:r>
      <w:r w:rsidR="00593B48" w:rsidRPr="005E78DA">
        <w:t xml:space="preserve"> and the usual rules of good conduct</w:t>
      </w:r>
      <w:r w:rsidR="005A44A4" w:rsidRPr="005E78DA">
        <w:t>.  I</w:t>
      </w:r>
      <w:r w:rsidRPr="005E78DA">
        <w:t xml:space="preserve">n recent months, there had been increased media interest in </w:t>
      </w:r>
      <w:r w:rsidR="00593B48" w:rsidRPr="005E78DA">
        <w:t>the work of the IGC.  The WIPO Press O</w:t>
      </w:r>
      <w:r w:rsidRPr="005E78DA">
        <w:t>ffice was responding positively to requests from journalist</w:t>
      </w:r>
      <w:r w:rsidR="00593B48" w:rsidRPr="005E78DA">
        <w:t xml:space="preserve">s to cover the IGC </w:t>
      </w:r>
      <w:r w:rsidR="005A44A4" w:rsidRPr="005E78DA">
        <w:t xml:space="preserve">in Geneva.  </w:t>
      </w:r>
      <w:r w:rsidRPr="005E78DA">
        <w:t xml:space="preserve">That might lead to journalists coming </w:t>
      </w:r>
      <w:r w:rsidR="00593B48" w:rsidRPr="005E78DA">
        <w:t xml:space="preserve">to </w:t>
      </w:r>
      <w:r w:rsidR="00A574E8">
        <w:t xml:space="preserve">film or take photographs of </w:t>
      </w:r>
      <w:r w:rsidR="00593B48" w:rsidRPr="005E78DA">
        <w:t xml:space="preserve">the IGC </w:t>
      </w:r>
      <w:r w:rsidRPr="005E78DA">
        <w:t>at work</w:t>
      </w:r>
      <w:r w:rsidR="00593B48" w:rsidRPr="005E78DA">
        <w:t>,</w:t>
      </w:r>
      <w:r w:rsidRPr="005E78DA">
        <w:t xml:space="preserve"> during plenary</w:t>
      </w:r>
      <w:r w:rsidR="00593B48" w:rsidRPr="005E78DA">
        <w:t>,</w:t>
      </w:r>
      <w:r w:rsidRPr="005E78DA">
        <w:t xml:space="preserve"> to illustrate their news stories.  Any journalist would be accompanied by WIPO’s press and media staff.  </w:t>
      </w:r>
      <w:r w:rsidR="00593B48" w:rsidRPr="005E78DA">
        <w:t>The f</w:t>
      </w:r>
      <w:r w:rsidRPr="005E78DA">
        <w:t xml:space="preserve">ilming would be discrete and would not </w:t>
      </w:r>
      <w:r w:rsidR="00A574E8">
        <w:t xml:space="preserve">include </w:t>
      </w:r>
      <w:r w:rsidRPr="005E78DA">
        <w:t>audio without the explicit permission of the delegation concerned.</w:t>
      </w:r>
      <w:r w:rsidRPr="00D97F1A">
        <w:t xml:space="preserve">  For example, at the session, a camera crew from the Canadian Broadcasting Corporation would do some short and discrete filming dur</w:t>
      </w:r>
      <w:r w:rsidR="005E78DA">
        <w:t>ing the IGC plenary.  This</w:t>
      </w:r>
      <w:r w:rsidRPr="00D97F1A">
        <w:t xml:space="preserve"> was a five-</w:t>
      </w:r>
      <w:r w:rsidR="005E78DA">
        <w:t>day session</w:t>
      </w:r>
      <w:r w:rsidRPr="00D97F1A">
        <w:t xml:space="preserve">.  He intended to use all of the time allocated as fully as possible.  Pursuant to the current mandate and under Agenda Item 7, IGC 34 should undertake negotiations on TCEs with a focus on narrowing existing gaps, reaching a common understanding on core issues and considering options for a draft legal instrument.  In addition, as </w:t>
      </w:r>
      <w:r w:rsidR="005E78DA">
        <w:t>detailed in the work program, under Agenda Item 8, IGC 34 should take stock of</w:t>
      </w:r>
      <w:r w:rsidRPr="00D97F1A">
        <w:t xml:space="preserve"> the progress made in the 2016</w:t>
      </w:r>
      <w:r w:rsidR="005E78DA">
        <w:t>/20</w:t>
      </w:r>
      <w:r w:rsidRPr="00D97F1A">
        <w:t xml:space="preserve">17 biennium and make a recommendation to the </w:t>
      </w:r>
      <w:r w:rsidR="005E78DA">
        <w:t>GA</w:t>
      </w:r>
      <w:r w:rsidRPr="00D97F1A">
        <w:t xml:space="preserve">.  As agreed in the methodology for the session, Agenda Item 8 would be opened first, followed by </w:t>
      </w:r>
      <w:r w:rsidR="005E78DA">
        <w:t xml:space="preserve">Agenda </w:t>
      </w:r>
      <w:r w:rsidRPr="00D97F1A">
        <w:t xml:space="preserve">Item 7. </w:t>
      </w:r>
      <w:r w:rsidR="005A44A4" w:rsidRPr="00D97F1A">
        <w:t xml:space="preserve"> </w:t>
      </w:r>
      <w:r w:rsidRPr="00D97F1A">
        <w:t xml:space="preserve">Under </w:t>
      </w:r>
      <w:r w:rsidR="00A177DC">
        <w:t xml:space="preserve">Agenda </w:t>
      </w:r>
      <w:r w:rsidRPr="00D97F1A">
        <w:t xml:space="preserve">Item 2, opening statements </w:t>
      </w:r>
      <w:r w:rsidR="00A177DC">
        <w:t xml:space="preserve">of </w:t>
      </w:r>
      <w:r w:rsidRPr="00D97F1A">
        <w:t>up to two minutes would be allowed by Regional Groups, the EU, the Like-Minded Countries (</w:t>
      </w:r>
      <w:r w:rsidR="00A177DC">
        <w:t xml:space="preserve">“the </w:t>
      </w:r>
      <w:r w:rsidRPr="00D97F1A">
        <w:t>LMCs</w:t>
      </w:r>
      <w:r w:rsidR="00A177DC">
        <w:t>”</w:t>
      </w:r>
      <w:r w:rsidRPr="00D97F1A">
        <w:t xml:space="preserve">) and the Indigenous Caucus.  Any other statements could be handed to the Secretariat in writing or be sent by email </w:t>
      </w:r>
      <w:r w:rsidR="00A177DC">
        <w:t xml:space="preserve">and they </w:t>
      </w:r>
      <w:r w:rsidRPr="00D97F1A">
        <w:t>would be reflected in the report.  Member States and observers were strongly encouraged to interact with each other informally</w:t>
      </w:r>
      <w:r w:rsidR="00A177DC">
        <w:t>,</w:t>
      </w:r>
      <w:r w:rsidRPr="00D97F1A">
        <w:t xml:space="preserve"> a</w:t>
      </w:r>
      <w:r w:rsidR="00A177DC">
        <w:t>s this</w:t>
      </w:r>
      <w:r w:rsidRPr="00D97F1A">
        <w:t xml:space="preserve"> increased the chances that Member States would be aware of and </w:t>
      </w:r>
      <w:r w:rsidR="00562437">
        <w:t xml:space="preserve">perhaps </w:t>
      </w:r>
      <w:r w:rsidRPr="00D97F1A">
        <w:t xml:space="preserve">support observers’ proposals.  He </w:t>
      </w:r>
      <w:r w:rsidR="00A177DC">
        <w:t>acknowledged the importance and value of</w:t>
      </w:r>
      <w:r w:rsidR="005A44A4" w:rsidRPr="00D97F1A">
        <w:t xml:space="preserve"> </w:t>
      </w:r>
      <w:r w:rsidRPr="00D97F1A">
        <w:t>indigenous representatives</w:t>
      </w:r>
      <w:r w:rsidR="00A177DC">
        <w:t xml:space="preserve">, as well as </w:t>
      </w:r>
      <w:r w:rsidRPr="00D97F1A">
        <w:t xml:space="preserve">other key stakeholders such as representatives of industry and civil society.  </w:t>
      </w:r>
      <w:r w:rsidR="00A177DC">
        <w:t xml:space="preserve">The IGC </w:t>
      </w:r>
      <w:r w:rsidRPr="00D97F1A">
        <w:t xml:space="preserve">should reach an agreed decision on each agenda item </w:t>
      </w:r>
      <w:r w:rsidR="00A177DC">
        <w:t>as it went along</w:t>
      </w:r>
      <w:r w:rsidRPr="00D97F1A">
        <w:t>.  On Friday, June 16, the decisions as already agreed would be circulated for formal confirmation by the IGC.  The report of the session would be prepared after the session and circulated to all delegations for comment.  It would be presented in all six languages for adoption</w:t>
      </w:r>
      <w:r w:rsidR="00D608DA">
        <w:t xml:space="preserve"> at the next session of the IGC</w:t>
      </w:r>
      <w:r w:rsidRPr="00D97F1A">
        <w:t xml:space="preserve">.  </w:t>
      </w:r>
      <w:r w:rsidR="00D608DA">
        <w:t>The Chair noted that he had prepared three notes</w:t>
      </w:r>
      <w:r w:rsidR="00562437">
        <w:t xml:space="preserve"> on</w:t>
      </w:r>
      <w:r w:rsidR="00D608DA">
        <w:t xml:space="preserve">:  (1) </w:t>
      </w:r>
      <w:r w:rsidRPr="00D97F1A">
        <w:t>TCEs</w:t>
      </w:r>
      <w:r w:rsidR="00D608DA">
        <w:t xml:space="preserve"> which followed</w:t>
      </w:r>
      <w:r w:rsidRPr="00D97F1A">
        <w:t xml:space="preserve"> on his previous note </w:t>
      </w:r>
      <w:r w:rsidR="00D608DA">
        <w:t>prepared for IGC 33</w:t>
      </w:r>
      <w:proofErr w:type="gramStart"/>
      <w:r w:rsidR="00D608DA">
        <w:t>;  (</w:t>
      </w:r>
      <w:proofErr w:type="gramEnd"/>
      <w:r w:rsidR="00D608DA">
        <w:t xml:space="preserve">2) </w:t>
      </w:r>
      <w:r w:rsidRPr="00D97F1A">
        <w:t xml:space="preserve">the stocktaking and </w:t>
      </w:r>
      <w:r w:rsidR="00D608DA">
        <w:t xml:space="preserve">making a recommendation to the GA;  and (3) </w:t>
      </w:r>
      <w:r w:rsidRPr="00D97F1A">
        <w:t>the methodology for the meeting.  The first two notes were provided to assist preparations</w:t>
      </w:r>
      <w:r w:rsidR="00562437">
        <w:t>. H</w:t>
      </w:r>
      <w:r w:rsidRPr="00D97F1A">
        <w:t xml:space="preserve">owever, they had no status and did not prejudge </w:t>
      </w:r>
      <w:r w:rsidR="005A44A4" w:rsidRPr="00D97F1A">
        <w:t>any Member State</w:t>
      </w:r>
      <w:r w:rsidR="00D608DA">
        <w:t>’s</w:t>
      </w:r>
      <w:r w:rsidRPr="00D97F1A">
        <w:t xml:space="preserve"> positions.  The third note had been discuss</w:t>
      </w:r>
      <w:r w:rsidR="00D608DA">
        <w:t>ed with and agreed on by R</w:t>
      </w:r>
      <w:r w:rsidRPr="00D97F1A">
        <w:t xml:space="preserve">egional </w:t>
      </w:r>
      <w:r w:rsidR="00D608DA">
        <w:t>C</w:t>
      </w:r>
      <w:r w:rsidRPr="00D97F1A">
        <w:t xml:space="preserve">oordinators and interested members.  </w:t>
      </w:r>
      <w:r w:rsidR="00B72678">
        <w:t>H</w:t>
      </w:r>
      <w:r w:rsidRPr="00D97F1A">
        <w:t xml:space="preserve">e congratulated the Secretariat, </w:t>
      </w:r>
      <w:r w:rsidR="00D2051D">
        <w:t xml:space="preserve">the </w:t>
      </w:r>
      <w:r w:rsidRPr="00D97F1A">
        <w:t>mo</w:t>
      </w:r>
      <w:r w:rsidR="005A44A4" w:rsidRPr="00D97F1A">
        <w:t xml:space="preserve">derators and </w:t>
      </w:r>
      <w:r w:rsidR="00D2051D">
        <w:t>the presenters of</w:t>
      </w:r>
      <w:r w:rsidR="005A44A4" w:rsidRPr="00D97F1A">
        <w:t xml:space="preserve"> the S</w:t>
      </w:r>
      <w:r w:rsidRPr="00D97F1A">
        <w:t xml:space="preserve">eminar.  It had provided an excellent forum to discuss </w:t>
      </w:r>
      <w:r w:rsidRPr="00D97F1A">
        <w:lastRenderedPageBreak/>
        <w:t xml:space="preserve">the issues to be dealt with </w:t>
      </w:r>
      <w:r w:rsidR="00D2051D">
        <w:t>in the IGC</w:t>
      </w:r>
      <w:r w:rsidRPr="00D97F1A">
        <w:t xml:space="preserve">.  </w:t>
      </w:r>
      <w:r w:rsidR="00B72678">
        <w:t xml:space="preserve">Last, he </w:t>
      </w:r>
      <w:r w:rsidR="00D2051D">
        <w:t>mentioned</w:t>
      </w:r>
      <w:r w:rsidR="00B72678">
        <w:t xml:space="preserve"> the informal LMCs Roundtable on the Protection of Traditional Cultural Expressions (“the Roundtable”).  </w:t>
      </w:r>
      <w:r w:rsidRPr="00D97F1A">
        <w:t>He strongl</w:t>
      </w:r>
      <w:r w:rsidR="00B72678">
        <w:t>y supported those activities because i</w:t>
      </w:r>
      <w:r w:rsidRPr="00D97F1A">
        <w:t>t was often at those meetings that the real work was done, particularly establishing a shared understanding of different positions.  A shared understanding was critical if the IGC was to deliver an outcome that balanced the interests of all Member States and those of the key stakeholders, in particular I</w:t>
      </w:r>
      <w:r w:rsidR="00B72678">
        <w:t>P</w:t>
      </w:r>
      <w:r w:rsidRPr="00D97F1A">
        <w:t xml:space="preserve">LCs and users.  </w:t>
      </w:r>
    </w:p>
    <w:p w14:paraId="5452379C" w14:textId="77777777" w:rsidR="00B45F2D" w:rsidRDefault="00B45F2D" w:rsidP="00B45F2D"/>
    <w:p w14:paraId="712C3788" w14:textId="77777777" w:rsidR="009B459C" w:rsidRPr="009B459C" w:rsidRDefault="009B459C" w:rsidP="009B459C">
      <w:pPr>
        <w:pStyle w:val="Heading1"/>
        <w:spacing w:before="0"/>
      </w:pPr>
      <w:r w:rsidRPr="009B459C">
        <w:t>AGENDA ITEM 2</w:t>
      </w:r>
      <w:r w:rsidR="00AE1D54">
        <w:t xml:space="preserve">:  </w:t>
      </w:r>
      <w:r w:rsidRPr="009B459C">
        <w:t>ADOPTION OF THE AGENDA</w:t>
      </w:r>
    </w:p>
    <w:p w14:paraId="485B50C5" w14:textId="77777777" w:rsidR="009B459C" w:rsidRPr="00FC53D5" w:rsidRDefault="009B459C" w:rsidP="00FC53D5">
      <w:pPr>
        <w:pStyle w:val="ListParagraph"/>
        <w:ind w:left="5533"/>
        <w:rPr>
          <w:i/>
        </w:rPr>
      </w:pPr>
    </w:p>
    <w:p w14:paraId="723672D9" w14:textId="77777777" w:rsidR="009B459C" w:rsidRPr="00FC53D5" w:rsidRDefault="009B459C" w:rsidP="00FC53D5">
      <w:pPr>
        <w:pStyle w:val="ListParagraph"/>
        <w:ind w:left="5533"/>
        <w:rPr>
          <w:i/>
        </w:rPr>
      </w:pPr>
      <w:r w:rsidRPr="00FC53D5">
        <w:rPr>
          <w:i/>
        </w:rPr>
        <w:t>Decision on Agenda Item 2:</w:t>
      </w:r>
    </w:p>
    <w:p w14:paraId="2DE0F481" w14:textId="77777777" w:rsidR="009B459C" w:rsidRPr="00FC53D5" w:rsidRDefault="009B459C" w:rsidP="00FC53D5">
      <w:pPr>
        <w:pStyle w:val="ListParagraph"/>
        <w:ind w:left="5533"/>
        <w:rPr>
          <w:i/>
        </w:rPr>
      </w:pPr>
    </w:p>
    <w:p w14:paraId="2A10D481" w14:textId="4AEFE001" w:rsidR="009B459C" w:rsidRPr="00FC53D5" w:rsidRDefault="00E73B13" w:rsidP="00FC53D5">
      <w:pPr>
        <w:pStyle w:val="ListParagraph"/>
        <w:numPr>
          <w:ilvl w:val="0"/>
          <w:numId w:val="4"/>
        </w:numPr>
        <w:ind w:left="5533" w:firstLine="0"/>
        <w:rPr>
          <w:i/>
        </w:rPr>
      </w:pPr>
      <w:r w:rsidRPr="00FC53D5">
        <w:rPr>
          <w:i/>
        </w:rPr>
        <w:t>The Chair submitted the draft agenda circulated as WIPO/GRTKF/IC/34/1 Prov. 2 for adoption and it was adopted</w:t>
      </w:r>
      <w:r w:rsidR="00AE1D54" w:rsidRPr="00FC53D5">
        <w:rPr>
          <w:i/>
        </w:rPr>
        <w:t xml:space="preserve">.  </w:t>
      </w:r>
    </w:p>
    <w:p w14:paraId="62B511F5" w14:textId="77777777" w:rsidR="009B459C" w:rsidRPr="009B459C" w:rsidRDefault="009B459C" w:rsidP="009B459C">
      <w:pPr>
        <w:pStyle w:val="ListParagraph"/>
        <w:ind w:left="0"/>
      </w:pPr>
    </w:p>
    <w:p w14:paraId="577ECD94" w14:textId="77777777" w:rsidR="007302BA" w:rsidRDefault="009B459C" w:rsidP="002B722B">
      <w:pPr>
        <w:pStyle w:val="ListParagraph"/>
        <w:numPr>
          <w:ilvl w:val="0"/>
          <w:numId w:val="4"/>
        </w:numPr>
        <w:ind w:left="0" w:firstLine="0"/>
      </w:pPr>
      <w:r w:rsidRPr="009B459C">
        <w:t>The Chair opened the floor for opening statements.</w:t>
      </w:r>
    </w:p>
    <w:p w14:paraId="36A17DFC" w14:textId="77777777" w:rsidR="002B722B" w:rsidRDefault="002B722B" w:rsidP="002B722B"/>
    <w:p w14:paraId="6C6AF081" w14:textId="11080678" w:rsidR="00533148" w:rsidRPr="00533148" w:rsidRDefault="006A7604" w:rsidP="002B722B">
      <w:pPr>
        <w:pStyle w:val="ListParagraph"/>
        <w:numPr>
          <w:ilvl w:val="0"/>
          <w:numId w:val="4"/>
        </w:numPr>
        <w:ind w:left="0" w:firstLine="0"/>
      </w:pPr>
      <w:r w:rsidRPr="002B722B">
        <w:t>[Note from the Secretariat:  Many delegations thanked the Chair, Vice-Chairs and Secretariat and expressed their gratitude for the prepara</w:t>
      </w:r>
      <w:r w:rsidR="001A3F29">
        <w:t>tion of the session and of the S</w:t>
      </w:r>
      <w:r w:rsidRPr="002B722B">
        <w:t>eminar, as well as for the preparation of the documents.</w:t>
      </w:r>
      <w:r w:rsidR="00562437">
        <w:t xml:space="preserve"> </w:t>
      </w:r>
      <w:r w:rsidR="003B17C3">
        <w:rPr>
          <w:rFonts w:hint="eastAsia"/>
        </w:rPr>
        <w:t xml:space="preserve"> </w:t>
      </w:r>
      <w:r w:rsidR="00562437">
        <w:t>These statements are not included in this report</w:t>
      </w:r>
      <w:r w:rsidRPr="002B722B">
        <w:t>]</w:t>
      </w:r>
      <w:r w:rsidR="00562437">
        <w:t>.</w:t>
      </w:r>
      <w:r w:rsidR="00533148" w:rsidRPr="002B722B">
        <w:t xml:space="preserve">  The Delegation of Indonesia,</w:t>
      </w:r>
      <w:r w:rsidR="007A00FC">
        <w:t xml:space="preserve"> speaking on behalf of the Asia</w:t>
      </w:r>
      <w:r w:rsidR="007A00FC">
        <w:noBreakHyphen/>
      </w:r>
      <w:r w:rsidR="00533148" w:rsidRPr="002B722B">
        <w:t>Pacific Group, supported the methodology and the work program.  It appreciat</w:t>
      </w:r>
      <w:r w:rsidR="00652744">
        <w:t>ed</w:t>
      </w:r>
      <w:r w:rsidR="00533148" w:rsidRPr="002B722B">
        <w:t xml:space="preserve"> the Chair’s Information Note on </w:t>
      </w:r>
      <w:r w:rsidR="001A3F29">
        <w:t>TCEs</w:t>
      </w:r>
      <w:r w:rsidR="00533148" w:rsidRPr="002B722B">
        <w:t xml:space="preserve">, as well as the Information Note regarding the discussions under Agenda Item 8.  Apart from undertaking negotiations on the </w:t>
      </w:r>
      <w:r w:rsidR="001A3F29">
        <w:t>TCE</w:t>
      </w:r>
      <w:r w:rsidR="00652744">
        <w:t>s</w:t>
      </w:r>
      <w:r w:rsidR="001A3F29">
        <w:t xml:space="preserve"> text</w:t>
      </w:r>
      <w:r w:rsidR="00533148" w:rsidRPr="002B722B">
        <w:t xml:space="preserve">, </w:t>
      </w:r>
      <w:r w:rsidR="001A3F29">
        <w:t>IGC</w:t>
      </w:r>
      <w:r w:rsidR="00533148" w:rsidRPr="002B722B">
        <w:t> </w:t>
      </w:r>
      <w:r w:rsidR="001A3F29">
        <w:t xml:space="preserve">34 </w:t>
      </w:r>
      <w:r w:rsidR="00533148" w:rsidRPr="002B722B">
        <w:t xml:space="preserve">would also take stock of the progress made in the current mandate.  With regard to the </w:t>
      </w:r>
      <w:r w:rsidR="0040072A">
        <w:t>TCE</w:t>
      </w:r>
      <w:r w:rsidR="00652744">
        <w:t>s</w:t>
      </w:r>
      <w:r w:rsidR="0040072A">
        <w:t xml:space="preserve"> text</w:t>
      </w:r>
      <w:r w:rsidR="00533148" w:rsidRPr="002B722B">
        <w:t>, it favored discussions on the core issues in order to arrive at common landing zones on the issues of objectives, beneficiaries, subject matter, scope of protection</w:t>
      </w:r>
      <w:r w:rsidR="0040072A">
        <w:t>,</w:t>
      </w:r>
      <w:r w:rsidR="00533148" w:rsidRPr="002B722B">
        <w:t xml:space="preserve"> and exceptions and limitations.  How TCEs would be defined would lay down the foundation of the IGC’s work.  </w:t>
      </w:r>
      <w:r w:rsidR="0040072A">
        <w:t>Most of the G</w:t>
      </w:r>
      <w:r w:rsidR="00533148" w:rsidRPr="002B722B">
        <w:t>roup’s members believed that the definit</w:t>
      </w:r>
      <w:r w:rsidR="0040072A">
        <w:t>ion of TCEs should be inclusive and</w:t>
      </w:r>
      <w:r w:rsidR="00533148" w:rsidRPr="002B722B">
        <w:t xml:space="preserve"> comprehensive</w:t>
      </w:r>
      <w:r w:rsidR="0040072A">
        <w:t>,</w:t>
      </w:r>
      <w:r w:rsidR="00533148" w:rsidRPr="002B722B">
        <w:t xml:space="preserve"> capture the unique characteristics of TCEs, and not require separate elig</w:t>
      </w:r>
      <w:r w:rsidR="0040072A">
        <w:t>ibility criteria.  Most of the G</w:t>
      </w:r>
      <w:r w:rsidR="00533148" w:rsidRPr="002B722B">
        <w:t>roup’s members were also in favor of a differential level of protection for TCEs and believed such an approach offered</w:t>
      </w:r>
      <w:r w:rsidR="00D25FE8">
        <w:t xml:space="preserve"> the opportunity to balance the</w:t>
      </w:r>
      <w:r w:rsidR="00533148" w:rsidRPr="002B722B">
        <w:t xml:space="preserve"> relationship with the public domain as well as balance the rights and interests of owners, users and the wider public interest.  But some members had a different position.  The rights based on the characteristics of the TCEs could be a way forward towards narrowing existing gaps with the ultimate objective of reaching an agreement on an international instrument that would ensure the balanced and effective protection of TCEs in addition to the protection of GRs and TK.  On the issues of beneficiaries, the main beneficiaries of the instrument w</w:t>
      </w:r>
      <w:r w:rsidR="00D25FE8">
        <w:t>ere ILCs.  Though some members of the Group had a different position</w:t>
      </w:r>
      <w:r w:rsidR="00533148" w:rsidRPr="002B722B">
        <w:t>, most members were of the view that it was pertinent to address the role of other beneficiaries in accordance with national law, as there were certain circumstances in which TCEs could not be specifically attributable to a particular ILC.  On the scope of protection, most of the group was in favor of providing maximal possible protection for TCEs depending on the nature and characteristics of the TCEs, where</w:t>
      </w:r>
      <w:r w:rsidR="00D25FE8">
        <w:t xml:space="preserve"> both economic and moral rights-</w:t>
      </w:r>
      <w:r w:rsidR="00533148" w:rsidRPr="002B722B">
        <w:t>based models could be appropriate for various TCEs.  But some members had different positions.  On exceptions and limitations, it was of fundamental importance that the provision should be considered in a balanced way between the specific situations of each Member State and t</w:t>
      </w:r>
      <w:r w:rsidR="00D25FE8">
        <w:t>he substantive interests of TCE</w:t>
      </w:r>
      <w:r w:rsidR="00533148" w:rsidRPr="002B722B">
        <w:t xml:space="preserve"> holders.  Given differing national circumstances, there should be flexibility for Member States to decide on appropriate limitations and exceptions.  With regard to Agenda Item 8, </w:t>
      </w:r>
      <w:r w:rsidR="00D25FE8">
        <w:t xml:space="preserve">though </w:t>
      </w:r>
      <w:r w:rsidR="00533148" w:rsidRPr="002B722B">
        <w:t>some m</w:t>
      </w:r>
      <w:r w:rsidR="00D25FE8">
        <w:t>embers had a different position, m</w:t>
      </w:r>
      <w:r w:rsidR="00533148" w:rsidRPr="002B722B">
        <w:t xml:space="preserve">ost members of the group reiterated that there was a need for a legally binding instrument(s) providing effective protection to GRs, TK and TCEs.  It hoped to be able to come up with a recommendation to the </w:t>
      </w:r>
      <w:r w:rsidR="00D25FE8">
        <w:t>GA</w:t>
      </w:r>
      <w:r w:rsidR="00533148" w:rsidRPr="002B722B">
        <w:t xml:space="preserve"> that would g</w:t>
      </w:r>
      <w:r w:rsidR="00D25FE8">
        <w:t xml:space="preserve">uide the future work of the IGC </w:t>
      </w:r>
      <w:r w:rsidR="00533148" w:rsidRPr="002B722B">
        <w:t xml:space="preserve">based on the progress made under the current mandate.  </w:t>
      </w:r>
      <w:r w:rsidR="00D25FE8">
        <w:t>It assured of the G</w:t>
      </w:r>
      <w:r w:rsidR="00533148" w:rsidRPr="002B722B">
        <w:t xml:space="preserve">roup’s full support and cooperation in rendering the meeting a success.  It </w:t>
      </w:r>
      <w:r w:rsidR="00533148" w:rsidRPr="002B722B">
        <w:lastRenderedPageBreak/>
        <w:t xml:space="preserve">remained committed to negotiating constructively for a mutually acceptable outcome.  It was hopeful that discussions would lead to visible progress in the work of the IGC.  </w:t>
      </w:r>
    </w:p>
    <w:p w14:paraId="5D997B66" w14:textId="77777777" w:rsidR="006A7604" w:rsidRPr="006A7604" w:rsidRDefault="006A7604" w:rsidP="002B722B"/>
    <w:p w14:paraId="641FDFAE" w14:textId="62E96BB4" w:rsidR="00B45F2D" w:rsidRPr="00B45F2D" w:rsidRDefault="00585ED7" w:rsidP="002B722B">
      <w:pPr>
        <w:pStyle w:val="ListParagraph"/>
        <w:numPr>
          <w:ilvl w:val="0"/>
          <w:numId w:val="4"/>
        </w:numPr>
        <w:ind w:left="0" w:firstLine="0"/>
      </w:pPr>
      <w:r w:rsidRPr="002B722B">
        <w:t xml:space="preserve">The Delegation of Senegal, speaking on behalf of the African Group, looked forward to </w:t>
      </w:r>
      <w:r w:rsidR="00BB3A10">
        <w:t>the discussion</w:t>
      </w:r>
      <w:r w:rsidRPr="002B722B">
        <w:t xml:space="preserve"> under Agenda Item 8.  </w:t>
      </w:r>
      <w:r w:rsidR="00BB3A10">
        <w:t>IGC 34</w:t>
      </w:r>
      <w:r w:rsidRPr="002B722B">
        <w:t xml:space="preserve"> was at a particul</w:t>
      </w:r>
      <w:r w:rsidR="00BB3A10">
        <w:t>arly important turning point because it</w:t>
      </w:r>
      <w:r w:rsidRPr="002B722B">
        <w:t xml:space="preserve"> was not just taking stock of the </w:t>
      </w:r>
      <w:r w:rsidR="00BB3A10">
        <w:t>progress made</w:t>
      </w:r>
      <w:r w:rsidRPr="002B722B">
        <w:t xml:space="preserve"> on three issues but also looking at new recommendations to the </w:t>
      </w:r>
      <w:r w:rsidR="00BB3A10">
        <w:t>GA</w:t>
      </w:r>
      <w:r w:rsidRPr="002B722B">
        <w:t xml:space="preserve">.  Under </w:t>
      </w:r>
      <w:r w:rsidR="00BB3A10">
        <w:t xml:space="preserve">Agenda Item 6, the Group took note of document </w:t>
      </w:r>
      <w:r w:rsidRPr="002B722B">
        <w:t xml:space="preserve">WIPO/GRTKF/IC/34/INF/4 on the Voluntary Fund and thanked the delegations for their contributions.  Under </w:t>
      </w:r>
      <w:r w:rsidR="00BB3A10">
        <w:t>Agenda I</w:t>
      </w:r>
      <w:r w:rsidRPr="002B722B">
        <w:t xml:space="preserve">tem 7, it hoped </w:t>
      </w:r>
      <w:r w:rsidR="00BB3A10">
        <w:t>that IGC 34</w:t>
      </w:r>
      <w:r w:rsidRPr="002B722B">
        <w:t xml:space="preserve"> would help resolve pending issues and ensure convergence of opinions on key articles.  It underscored the importance</w:t>
      </w:r>
      <w:r w:rsidR="00BB3A10">
        <w:t xml:space="preserve"> of the regular work of the IGC </w:t>
      </w:r>
      <w:r w:rsidRPr="002B722B">
        <w:t>on substanti</w:t>
      </w:r>
      <w:r w:rsidR="00BB3A10">
        <w:t xml:space="preserve">al questions concerning GRs, TK </w:t>
      </w:r>
      <w:r w:rsidRPr="002B722B">
        <w:t xml:space="preserve">and TCEs.  That heritage was deeply linked to the social identity of communities and was not just an intrinsic </w:t>
      </w:r>
      <w:r w:rsidR="00BB3A10">
        <w:t>social and economic</w:t>
      </w:r>
      <w:r w:rsidRPr="002B722B">
        <w:t xml:space="preserve"> value</w:t>
      </w:r>
      <w:r w:rsidR="00BB3A10">
        <w:t xml:space="preserve"> but </w:t>
      </w:r>
      <w:r w:rsidRPr="002B722B">
        <w:t xml:space="preserve">also a rich form of innovation.  Thus that heritage was recognized across the world in terms of human </w:t>
      </w:r>
      <w:r w:rsidR="00BB3A10">
        <w:t>rights and biological diversity, and</w:t>
      </w:r>
      <w:r w:rsidRPr="002B722B">
        <w:t xml:space="preserve"> it had to be preserved and</w:t>
      </w:r>
      <w:r w:rsidR="00652744">
        <w:t>,</w:t>
      </w:r>
      <w:r w:rsidRPr="002B722B">
        <w:t xml:space="preserve"> therefore</w:t>
      </w:r>
      <w:r w:rsidR="00652744">
        <w:t>,</w:t>
      </w:r>
      <w:r w:rsidRPr="002B722B">
        <w:t xml:space="preserve"> it required strong IP protection.  Legally binding </w:t>
      </w:r>
      <w:r w:rsidR="00BB3A10">
        <w:t>instruments</w:t>
      </w:r>
      <w:r w:rsidRPr="002B722B">
        <w:t xml:space="preserve"> were the most appropriate to</w:t>
      </w:r>
      <w:r w:rsidR="00BB3A10">
        <w:t xml:space="preserve"> achieve optimal protection.  The Group recommended that the IGC </w:t>
      </w:r>
      <w:r w:rsidRPr="002B722B">
        <w:t xml:space="preserve">convene a diplomatic conference.  </w:t>
      </w:r>
      <w:r w:rsidR="00C22E97">
        <w:t>In order to allow the IGC to focus on the substantive issues rather than the mandate, the Group wished to make the IGC a Standing C</w:t>
      </w:r>
      <w:r w:rsidRPr="002B722B">
        <w:t xml:space="preserve">ommittee, as stipulated in document WO/GA/47/16.  It promised to work constructively and actively for the success of </w:t>
      </w:r>
      <w:r w:rsidR="00C22E97">
        <w:t>IGC 34</w:t>
      </w:r>
      <w:r w:rsidRPr="002B722B">
        <w:t xml:space="preserve">.  </w:t>
      </w:r>
    </w:p>
    <w:p w14:paraId="35D4F811" w14:textId="77777777" w:rsidR="00B45F2D" w:rsidRPr="00B45F2D" w:rsidRDefault="00B45F2D" w:rsidP="002B722B"/>
    <w:p w14:paraId="463D868E" w14:textId="79285B00" w:rsidR="001752BE" w:rsidRPr="001752BE" w:rsidRDefault="00B45F2D" w:rsidP="002B722B">
      <w:pPr>
        <w:pStyle w:val="ListParagraph"/>
        <w:numPr>
          <w:ilvl w:val="0"/>
          <w:numId w:val="4"/>
        </w:numPr>
        <w:ind w:left="0" w:firstLine="0"/>
      </w:pPr>
      <w:r w:rsidRPr="002B722B">
        <w:t xml:space="preserve">The Delegation of Colombia, speaking on behalf of the Group of Latin American and Caribbean Countries (“GRULAC”), said that the proposed working methodology would ensure that </w:t>
      </w:r>
      <w:r w:rsidR="00C22E97">
        <w:t>IGC 34</w:t>
      </w:r>
      <w:r w:rsidRPr="002B722B">
        <w:t xml:space="preserve">, which had a thematic and evaluation character, be as productive as possible.  It recognized that activities such as the Seminar </w:t>
      </w:r>
      <w:r w:rsidR="00C22E97">
        <w:t>and the R</w:t>
      </w:r>
      <w:r w:rsidRPr="002B722B">
        <w:t xml:space="preserve">oundtable contributed to building knowledge and consensus on issues relating to TCEs.  </w:t>
      </w:r>
      <w:r w:rsidR="00C22E97">
        <w:t>IGC 34 would complete</w:t>
      </w:r>
      <w:r w:rsidRPr="002B722B">
        <w:t xml:space="preserve"> the </w:t>
      </w:r>
      <w:r w:rsidR="00C22E97">
        <w:t>mandate for the 2016/20</w:t>
      </w:r>
      <w:r w:rsidRPr="002B722B">
        <w:t>17 biennium</w:t>
      </w:r>
      <w:r w:rsidR="00C22E97">
        <w:t xml:space="preserve"> with</w:t>
      </w:r>
      <w:r w:rsidRPr="002B722B">
        <w:t xml:space="preserve"> the continuation of the consideration of the core and outstanding issues in the area of TCEs, and </w:t>
      </w:r>
      <w:r w:rsidR="00C22E97">
        <w:t>taking stock of</w:t>
      </w:r>
      <w:r w:rsidRPr="002B722B">
        <w:t xml:space="preserve"> the progress made and </w:t>
      </w:r>
      <w:r w:rsidR="00C22E97">
        <w:t>drafting</w:t>
      </w:r>
      <w:r w:rsidRPr="002B722B">
        <w:t xml:space="preserve"> a recommendation to the </w:t>
      </w:r>
      <w:r w:rsidR="00C22E97">
        <w:t>GA</w:t>
      </w:r>
      <w:r w:rsidRPr="002B722B">
        <w:t xml:space="preserve">.  The IGC had to present the results of the work on one or several international legal instruments </w:t>
      </w:r>
      <w:r w:rsidR="000D756F">
        <w:t>relating to</w:t>
      </w:r>
      <w:r w:rsidRPr="002B722B">
        <w:t xml:space="preserve"> IP, which would ensure </w:t>
      </w:r>
      <w:r w:rsidR="000D756F">
        <w:t>the effective</w:t>
      </w:r>
      <w:r w:rsidRPr="002B722B">
        <w:t xml:space="preserve"> and balanced protection of GRs, TK and TCEs.  It highlighted the usefulness of the </w:t>
      </w:r>
      <w:r w:rsidR="000D756F">
        <w:t>Chair’s</w:t>
      </w:r>
      <w:r w:rsidRPr="002B722B">
        <w:t xml:space="preserve"> Information Notes, which would facilitate the work during the week.  In the </w:t>
      </w:r>
      <w:r w:rsidR="000D756F">
        <w:t xml:space="preserve">Information </w:t>
      </w:r>
      <w:r w:rsidRPr="002B722B">
        <w:t xml:space="preserve">Note on Agenda Item 8, the Chair had provided a number of issues for reflection.  </w:t>
      </w:r>
      <w:r w:rsidR="000D756F">
        <w:t>The Group recalled</w:t>
      </w:r>
      <w:r w:rsidRPr="002B722B">
        <w:t xml:space="preserve"> all the efforts, background and achievements at the multilateral level in the fields of GRs, TK and TCEs which had been under discussion since the 1960s.  </w:t>
      </w:r>
      <w:r w:rsidR="000D756F">
        <w:t>When</w:t>
      </w:r>
      <w:r w:rsidRPr="002B722B">
        <w:t xml:space="preserve"> the IGC had been established in 2000, delegations had made the commitment to consider the IP issues that arose in those areas with the aim of </w:t>
      </w:r>
      <w:r w:rsidR="00BC0F5B">
        <w:t>reaching</w:t>
      </w:r>
      <w:r w:rsidRPr="002B722B">
        <w:t xml:space="preserve"> an agreement on one or various international legal instruments to ensure their protection.  For GRULAC and all its members, the negotiations were of vital importance, bearing in mind the environment, biodiversity, culture and wealth of TK and TCEs that required protection.  It was of great importance that the </w:t>
      </w:r>
      <w:r w:rsidR="00BC0F5B" w:rsidRPr="002B722B">
        <w:t xml:space="preserve">text-based </w:t>
      </w:r>
      <w:r w:rsidR="00BC0F5B">
        <w:t>negotiations</w:t>
      </w:r>
      <w:r w:rsidRPr="002B722B">
        <w:t xml:space="preserve"> should continue under a renewed mandate, which should include an action plan with indicative dates and detailed activities to allow streamlining the work and the negotiations underway, and should indicate to the </w:t>
      </w:r>
      <w:r w:rsidR="00BC0F5B">
        <w:t>GA</w:t>
      </w:r>
      <w:r w:rsidRPr="002B722B">
        <w:t xml:space="preserve"> the text(s) that would be presented with the aim of deciding on whether to convene a diplomatic conference.  </w:t>
      </w:r>
      <w:r w:rsidR="00BC0F5B">
        <w:t>The work of the f</w:t>
      </w:r>
      <w:r w:rsidRPr="002B722B">
        <w:t>acilitators was extremely valuable and it was pleased to see Ms. Margo Bagley</w:t>
      </w:r>
      <w:r w:rsidR="00F27404">
        <w:t xml:space="preserve"> of Mozambique</w:t>
      </w:r>
      <w:r w:rsidRPr="002B722B">
        <w:t xml:space="preserve"> and Ms. Marcela Paiva </w:t>
      </w:r>
      <w:r w:rsidR="00F27404">
        <w:t xml:space="preserve">of Chile </w:t>
      </w:r>
      <w:r w:rsidRPr="002B722B">
        <w:t xml:space="preserve">in those positions again.  It welcomed Ms. </w:t>
      </w:r>
      <w:proofErr w:type="spellStart"/>
      <w:r w:rsidRPr="002B722B">
        <w:t>E</w:t>
      </w:r>
      <w:r w:rsidR="00BC0F5B">
        <w:t>ma</w:t>
      </w:r>
      <w:proofErr w:type="spellEnd"/>
      <w:r w:rsidR="00BC0F5B">
        <w:t xml:space="preserve"> </w:t>
      </w:r>
      <w:proofErr w:type="spellStart"/>
      <w:r w:rsidR="00BC0F5B">
        <w:t>Hao’uli</w:t>
      </w:r>
      <w:proofErr w:type="spellEnd"/>
      <w:r w:rsidR="00BC0F5B">
        <w:t xml:space="preserve"> </w:t>
      </w:r>
      <w:r w:rsidR="00F27404">
        <w:t xml:space="preserve">of New Zealand </w:t>
      </w:r>
      <w:r w:rsidR="00BC0F5B">
        <w:t>as a new f</w:t>
      </w:r>
      <w:r w:rsidRPr="002B722B">
        <w:t>acilitator.  The experience and profe</w:t>
      </w:r>
      <w:r w:rsidR="00BC0F5B">
        <w:t>ssional qualities of all three f</w:t>
      </w:r>
      <w:r w:rsidRPr="002B722B">
        <w:t xml:space="preserve">acilitators would continue to contribute to the work of the IGC.  It was important to build on the work already carried out by the IGC.  It assured of its commitment to make progress.  </w:t>
      </w:r>
    </w:p>
    <w:p w14:paraId="415FE262" w14:textId="77777777" w:rsidR="001752BE" w:rsidRPr="001752BE" w:rsidRDefault="001752BE" w:rsidP="002B722B"/>
    <w:p w14:paraId="167C998E" w14:textId="63D83F2C" w:rsidR="00000C01" w:rsidRPr="00000C01" w:rsidRDefault="001752BE" w:rsidP="002B722B">
      <w:pPr>
        <w:pStyle w:val="ListParagraph"/>
        <w:numPr>
          <w:ilvl w:val="0"/>
          <w:numId w:val="4"/>
        </w:numPr>
        <w:ind w:left="0" w:firstLine="0"/>
      </w:pPr>
      <w:r w:rsidRPr="002B722B">
        <w:t xml:space="preserve">The Delegation of Tajikistan, speaking on behalf of the Central Asia, Caucasus and Eastern European Countries Group (“CACEEC”), recognized that </w:t>
      </w:r>
      <w:r w:rsidR="00F27404">
        <w:t>it</w:t>
      </w:r>
      <w:r w:rsidRPr="002B722B">
        <w:t xml:space="preserve"> was very important to come up with </w:t>
      </w:r>
      <w:r w:rsidR="00F27404">
        <w:t xml:space="preserve">an </w:t>
      </w:r>
      <w:r w:rsidRPr="002B722B">
        <w:t>IP-related i</w:t>
      </w:r>
      <w:r w:rsidR="00F27404">
        <w:t>nternational legal instrument</w:t>
      </w:r>
      <w:r w:rsidRPr="002B722B">
        <w:t xml:space="preserve"> to ensure the balanced and effective protection of TCEs.  It had high expectations and firmly believed that</w:t>
      </w:r>
      <w:r w:rsidR="00F27404">
        <w:t>,</w:t>
      </w:r>
      <w:r w:rsidRPr="002B722B">
        <w:t xml:space="preserve"> under the Chair’s skillful guidance and leadership</w:t>
      </w:r>
      <w:r w:rsidR="00F27404">
        <w:t>,</w:t>
      </w:r>
      <w:r w:rsidRPr="002B722B">
        <w:t xml:space="preserve"> Member States would find common ground</w:t>
      </w:r>
      <w:r w:rsidR="00F27404">
        <w:t>s</w:t>
      </w:r>
      <w:r w:rsidRPr="002B722B">
        <w:t xml:space="preserve"> on core issues by </w:t>
      </w:r>
      <w:r w:rsidRPr="002B722B">
        <w:lastRenderedPageBreak/>
        <w:t>narrowing existing gaps.  It stood ready to discuss the Draft Articles on TCEs with a focus on addressing unresolved issues and considering options</w:t>
      </w:r>
      <w:r w:rsidR="00F27404">
        <w:t xml:space="preserve"> for a draft legal instrument</w:t>
      </w:r>
      <w:r w:rsidRPr="002B722B">
        <w:t xml:space="preserve">.  It hoped that the work of the IGC would be productive and deliver recommendations to the </w:t>
      </w:r>
      <w:r w:rsidR="00F27404">
        <w:t>GA</w:t>
      </w:r>
      <w:r w:rsidRPr="002B722B">
        <w:t xml:space="preserve">. </w:t>
      </w:r>
      <w:r w:rsidR="00F03832">
        <w:t xml:space="preserve"> </w:t>
      </w:r>
      <w:r w:rsidRPr="002B722B">
        <w:t xml:space="preserve">IGC </w:t>
      </w:r>
      <w:r w:rsidR="00F03832">
        <w:t xml:space="preserve">34 </w:t>
      </w:r>
      <w:r w:rsidRPr="002B722B">
        <w:t xml:space="preserve">had a substantive agenda.  </w:t>
      </w:r>
      <w:r w:rsidR="00F03832">
        <w:t>The members of the G</w:t>
      </w:r>
      <w:r w:rsidRPr="002B722B">
        <w:t>roup would make interventions in their national capacity in the course of the session.  It as</w:t>
      </w:r>
      <w:r w:rsidR="00C30913">
        <w:t>sured of the G</w:t>
      </w:r>
      <w:r w:rsidRPr="002B722B">
        <w:t xml:space="preserve">roup’s engagement in a constructive manner for a successful completion of the work.  </w:t>
      </w:r>
    </w:p>
    <w:p w14:paraId="451B88CB" w14:textId="77777777" w:rsidR="00000C01" w:rsidRDefault="00000C01" w:rsidP="002B722B"/>
    <w:p w14:paraId="4C5BB407" w14:textId="7BECED53" w:rsidR="00B453C5" w:rsidRPr="00B453C5" w:rsidRDefault="00000C01" w:rsidP="002B722B">
      <w:pPr>
        <w:pStyle w:val="ListParagraph"/>
        <w:numPr>
          <w:ilvl w:val="0"/>
          <w:numId w:val="4"/>
        </w:numPr>
        <w:ind w:left="0" w:firstLine="0"/>
      </w:pPr>
      <w:r w:rsidRPr="002B722B">
        <w:t>The Delegation of Georgia, speaking on behalf of the Central European and Baltic States Group (“CEBS”), said that IGC</w:t>
      </w:r>
      <w:r w:rsidR="00B2723F">
        <w:t xml:space="preserve"> 33</w:t>
      </w:r>
      <w:r w:rsidRPr="002B722B">
        <w:t xml:space="preserve"> had restarted discussions on the core issues regarding the balanced and effective protection of TCEs.  Nevertheless, a common understanding had not been achieved.  In the framework of WIPO, the IGC had to </w:t>
      </w:r>
      <w:r w:rsidR="00B453C5" w:rsidRPr="002B722B">
        <w:t>find</w:t>
      </w:r>
      <w:r w:rsidRPr="002B722B">
        <w:t xml:space="preserve"> a common understanding on the overarching objectives </w:t>
      </w:r>
      <w:r w:rsidR="00B453C5" w:rsidRPr="002B722B">
        <w:t>and on</w:t>
      </w:r>
      <w:r w:rsidRPr="002B722B">
        <w:t xml:space="preserve"> what was realistically achievable in order to have a focused and productive discussion on e</w:t>
      </w:r>
      <w:r w:rsidR="00B2723F">
        <w:t>lements such as beneficiaries and</w:t>
      </w:r>
      <w:r w:rsidRPr="002B722B">
        <w:t xml:space="preserve"> subject matter.  It favored an evidence-based approach so as to draw lessons from the experiences and discussions that had taken place in various Member States while elaborating legislation protecting TCEs at the national level and also from existing efforts </w:t>
      </w:r>
      <w:r w:rsidR="00B453C5" w:rsidRPr="002B722B">
        <w:t>to</w:t>
      </w:r>
      <w:r w:rsidRPr="002B722B">
        <w:t xml:space="preserve"> </w:t>
      </w:r>
      <w:r w:rsidR="00B453C5" w:rsidRPr="002B722B">
        <w:t>safeguard</w:t>
      </w:r>
      <w:r w:rsidR="00B2723F">
        <w:t xml:space="preserve"> TCEs at</w:t>
      </w:r>
      <w:r w:rsidRPr="002B722B">
        <w:t xml:space="preserve"> the international level.  </w:t>
      </w:r>
      <w:r w:rsidR="00B453C5" w:rsidRPr="002B722B">
        <w:t>Potential consequences and c</w:t>
      </w:r>
      <w:r w:rsidRPr="002B722B">
        <w:t xml:space="preserve">rucial aspects </w:t>
      </w:r>
      <w:r w:rsidR="00B453C5" w:rsidRPr="002B722B">
        <w:t>such as</w:t>
      </w:r>
      <w:r w:rsidRPr="002B722B">
        <w:t xml:space="preserve"> legal certainty</w:t>
      </w:r>
      <w:r w:rsidR="00652744">
        <w:t xml:space="preserve"> and</w:t>
      </w:r>
      <w:r w:rsidR="00B453C5" w:rsidRPr="002B722B">
        <w:t xml:space="preserve"> economic, social and cultural impacts</w:t>
      </w:r>
      <w:r w:rsidRPr="002B722B">
        <w:t xml:space="preserve"> should be carefully considered before reaching an agreement on any particular outcome. </w:t>
      </w:r>
      <w:r w:rsidR="00B453C5" w:rsidRPr="002B722B">
        <w:t xml:space="preserve"> </w:t>
      </w:r>
      <w:r w:rsidRPr="002B722B">
        <w:t>The Seminar</w:t>
      </w:r>
      <w:r w:rsidR="00B453C5" w:rsidRPr="002B722B">
        <w:t xml:space="preserve"> </w:t>
      </w:r>
      <w:r w:rsidRPr="002B722B">
        <w:t xml:space="preserve">had been </w:t>
      </w:r>
      <w:r w:rsidR="00B453C5" w:rsidRPr="002B722B">
        <w:t>very interesting in light of active exchanges of views during the roundtables, which would fuel evidence-based discussions</w:t>
      </w:r>
      <w:r w:rsidRPr="002B722B">
        <w:t>.</w:t>
      </w:r>
    </w:p>
    <w:p w14:paraId="75165A0A" w14:textId="77777777" w:rsidR="00B453C5" w:rsidRPr="00B453C5" w:rsidRDefault="00B453C5" w:rsidP="002B722B"/>
    <w:p w14:paraId="7589283E" w14:textId="56DB4047" w:rsidR="00337ED5" w:rsidRPr="00337ED5" w:rsidRDefault="00E1011A" w:rsidP="002B722B">
      <w:pPr>
        <w:pStyle w:val="ListParagraph"/>
        <w:numPr>
          <w:ilvl w:val="0"/>
          <w:numId w:val="4"/>
        </w:numPr>
        <w:ind w:left="0" w:firstLine="0"/>
      </w:pPr>
      <w:r w:rsidRPr="00E1011A">
        <w:t xml:space="preserve">The Delegation of China said </w:t>
      </w:r>
      <w:r w:rsidR="00316E72">
        <w:t>that IGC 34</w:t>
      </w:r>
      <w:r w:rsidRPr="00E1011A">
        <w:t xml:space="preserve"> was the sixth and last session under the current mandate.  During the past five meetings, all parties had conducted useful text-based negotiations on GRs, TK and TCEs.  Those discussions had narrowed the </w:t>
      </w:r>
      <w:r w:rsidR="00316E72">
        <w:t>gaps</w:t>
      </w:r>
      <w:r w:rsidRPr="00E1011A">
        <w:t>.  Related work had been pushed forward and progress had been made.  It was convinced that those efforts and work would be very useful to reach</w:t>
      </w:r>
      <w:r w:rsidR="00652744">
        <w:t>ing</w:t>
      </w:r>
      <w:r w:rsidRPr="00E1011A">
        <w:t xml:space="preserve"> consensus on key issues and to push forward to establish international legal</w:t>
      </w:r>
      <w:r w:rsidR="00316E72">
        <w:t>ly</w:t>
      </w:r>
      <w:r w:rsidRPr="00E1011A">
        <w:t xml:space="preserve"> </w:t>
      </w:r>
      <w:r w:rsidR="00316E72" w:rsidRPr="00E1011A">
        <w:t xml:space="preserve">binding </w:t>
      </w:r>
      <w:r w:rsidRPr="00E1011A">
        <w:t xml:space="preserve">instruments.  </w:t>
      </w:r>
      <w:r w:rsidR="00316E72">
        <w:t>IGC 34</w:t>
      </w:r>
      <w:r w:rsidRPr="00E1011A">
        <w:t xml:space="preserve"> would continue</w:t>
      </w:r>
      <w:r w:rsidR="00316E72">
        <w:t xml:space="preserve"> the discussion related to TCEs </w:t>
      </w:r>
      <w:r w:rsidRPr="00E1011A">
        <w:t xml:space="preserve">in order to narrow </w:t>
      </w:r>
      <w:r w:rsidR="00316E72">
        <w:t>gaps</w:t>
      </w:r>
      <w:r w:rsidRPr="00E1011A">
        <w:t xml:space="preserve"> and reach consensus.  At the same time, the meeting would also evaluate the progress </w:t>
      </w:r>
      <w:r w:rsidR="00316E72">
        <w:t xml:space="preserve">made </w:t>
      </w:r>
      <w:r w:rsidRPr="00E1011A">
        <w:t xml:space="preserve">and discuss </w:t>
      </w:r>
      <w:r w:rsidR="00316E72">
        <w:t>future work</w:t>
      </w:r>
      <w:r w:rsidRPr="00E1011A">
        <w:t xml:space="preserve">.  In the area of TCEs, </w:t>
      </w:r>
      <w:r w:rsidR="00316E72">
        <w:t>i</w:t>
      </w:r>
      <w:r w:rsidRPr="00E1011A">
        <w:t xml:space="preserve">n 2014, China had </w:t>
      </w:r>
      <w:r w:rsidR="00316E72">
        <w:t>drafted</w:t>
      </w:r>
      <w:r w:rsidRPr="00E1011A">
        <w:t xml:space="preserve"> a provisional regulation on copyright protection of</w:t>
      </w:r>
      <w:r w:rsidR="00A263F3" w:rsidRPr="00A263F3">
        <w:t xml:space="preserve"> </w:t>
      </w:r>
      <w:r w:rsidR="00A263F3" w:rsidRPr="00AF685D">
        <w:t>folk literary and artistic works</w:t>
      </w:r>
      <w:r w:rsidRPr="00E1011A">
        <w:t xml:space="preserve">.  </w:t>
      </w:r>
      <w:r w:rsidR="00BE136F">
        <w:t>P</w:t>
      </w:r>
      <w:r w:rsidRPr="00E1011A">
        <w:t xml:space="preserve">ublic consultations had been conducted.  </w:t>
      </w:r>
      <w:r w:rsidR="00BE136F">
        <w:t>The Delegation</w:t>
      </w:r>
      <w:r w:rsidRPr="00E1011A">
        <w:t xml:space="preserve"> was ready to work with all delegations to conduct sub</w:t>
      </w:r>
      <w:r w:rsidR="00BE136F">
        <w:t xml:space="preserve">stantial discussions on the </w:t>
      </w:r>
      <w:r w:rsidRPr="00E1011A">
        <w:t xml:space="preserve">Draft Articles </w:t>
      </w:r>
      <w:r w:rsidR="00BE136F">
        <w:t xml:space="preserve">on the TCEs </w:t>
      </w:r>
      <w:r w:rsidRPr="00E1011A">
        <w:t xml:space="preserve">in the spirit of cooperation, inclusiveness, flexibility and pragmatism in order to </w:t>
      </w:r>
      <w:r w:rsidR="00BE136F">
        <w:t>narrow gaps</w:t>
      </w:r>
      <w:r w:rsidRPr="00E1011A">
        <w:t xml:space="preserve"> and reach consensus.  It was convinced that </w:t>
      </w:r>
      <w:r w:rsidR="00BE136F">
        <w:t>IGC 34</w:t>
      </w:r>
      <w:r w:rsidRPr="00E1011A">
        <w:t xml:space="preserve"> would successfully finish all agenda items.  </w:t>
      </w:r>
    </w:p>
    <w:p w14:paraId="29D9C10B" w14:textId="77777777" w:rsidR="00337ED5" w:rsidRPr="00337ED5" w:rsidRDefault="00337ED5" w:rsidP="002B722B"/>
    <w:p w14:paraId="21CF99D7" w14:textId="4913C783" w:rsidR="00205349" w:rsidRPr="00205349" w:rsidRDefault="00337ED5" w:rsidP="002B722B">
      <w:pPr>
        <w:pStyle w:val="ListParagraph"/>
        <w:numPr>
          <w:ilvl w:val="0"/>
          <w:numId w:val="4"/>
        </w:numPr>
        <w:ind w:left="0" w:firstLine="0"/>
      </w:pPr>
      <w:r w:rsidRPr="002B722B">
        <w:t xml:space="preserve">The Delegation of Japan, speaking on behalf of Group B, noted that the Seminar had contributed to sharing national experiences in an evidence-based approach and to understanding core issues.  Since the webcast was available online, it hoped that it would constitute resourceful materials for all stakeholders.  It encouraged the IGC to focus on substantive TCE discussions with the aim of gaining a common understanding of core issues and to work cooperatively under </w:t>
      </w:r>
      <w:r w:rsidR="00466DC0">
        <w:t xml:space="preserve">Agenda </w:t>
      </w:r>
      <w:r w:rsidRPr="002B722B">
        <w:t>Item 8.  The IGC’s work should be designed in a meaningful and practical manner by supporting innovation and creativity and ensuring legal certainty while highlighti</w:t>
      </w:r>
      <w:r w:rsidR="00466DC0">
        <w:t xml:space="preserve">ng the unique nature of GRs, TK </w:t>
      </w:r>
      <w:r w:rsidRPr="002B722B">
        <w:t xml:space="preserve">and TCEs.  At the same time, there was some overlap between those topics.  Therefore, the IGC should avoid developing divergent approaches between the overlapping issues within the three texts.  It was hopeful that Member States would develop a common understanding on core </w:t>
      </w:r>
      <w:r w:rsidR="00466DC0">
        <w:t>issues supported by an evidence</w:t>
      </w:r>
      <w:r w:rsidR="00466DC0">
        <w:noBreakHyphen/>
      </w:r>
      <w:r w:rsidRPr="002B722B">
        <w:t>based approach so that meaningful advancement could be achieved.  Sharing experiences contributed to achieving a common understanding on core issues and thei</w:t>
      </w:r>
      <w:r w:rsidR="00466DC0">
        <w:t xml:space="preserve">r relationship with existing IP </w:t>
      </w:r>
      <w:r w:rsidRPr="002B722B">
        <w:t xml:space="preserve">systems.  It was confident that the IGC would be able to make progress on TCEs.  </w:t>
      </w:r>
      <w:r w:rsidR="00466DC0">
        <w:t>The Group</w:t>
      </w:r>
      <w:r w:rsidRPr="002B722B">
        <w:t xml:space="preserve"> remained committed to contributing constructively toward achieving a mutually acceptable result.</w:t>
      </w:r>
    </w:p>
    <w:p w14:paraId="344D9497" w14:textId="77777777" w:rsidR="00205349" w:rsidRPr="00205349" w:rsidRDefault="00205349" w:rsidP="002B722B"/>
    <w:p w14:paraId="1F4A2346" w14:textId="60DEE40F" w:rsidR="00EA2DB1" w:rsidRPr="00EA2DB1" w:rsidRDefault="00205349" w:rsidP="002B722B">
      <w:pPr>
        <w:pStyle w:val="ListParagraph"/>
        <w:numPr>
          <w:ilvl w:val="0"/>
          <w:numId w:val="4"/>
        </w:numPr>
        <w:ind w:left="0" w:firstLine="0"/>
      </w:pPr>
      <w:r w:rsidRPr="002B722B">
        <w:t xml:space="preserve">The Delegation of the EU, speaking on behalf of the EU and its Member States, said that the objectives for </w:t>
      </w:r>
      <w:r w:rsidR="005E0F75">
        <w:t>IGC 34</w:t>
      </w:r>
      <w:r w:rsidRPr="002B722B">
        <w:t xml:space="preserve"> were clear: </w:t>
      </w:r>
      <w:r w:rsidR="005E0F75">
        <w:t xml:space="preserve"> (1) </w:t>
      </w:r>
      <w:r w:rsidRPr="002B722B">
        <w:t xml:space="preserve">to hold further discussions on TCEs and </w:t>
      </w:r>
      <w:r w:rsidR="005E0F75">
        <w:t>(2) to</w:t>
      </w:r>
      <w:r w:rsidRPr="002B722B">
        <w:t xml:space="preserve"> engage in stocktaking discussions on recommendations on the future of the IGC.  In line with the </w:t>
      </w:r>
      <w:r w:rsidRPr="002B722B">
        <w:lastRenderedPageBreak/>
        <w:t xml:space="preserve">methodology, it welcomed that there would be no overlap between the formal and informal discussions on </w:t>
      </w:r>
      <w:r w:rsidR="005E0F75">
        <w:t xml:space="preserve">Agenda </w:t>
      </w:r>
      <w:r w:rsidRPr="002B722B">
        <w:t xml:space="preserve">Items 7 and 8.  It strongly encouraged delegations to engage on the subject of TCEs based on facts and best practices, and it welcomed concrete examples as a very helpful contribution to the debate.  In order to enable and inform a substantive debate that furthered mutual understanding of the facts and information available and its relevance to the </w:t>
      </w:r>
      <w:r w:rsidR="005E0F75">
        <w:t>IGC’s</w:t>
      </w:r>
      <w:r w:rsidRPr="002B722B">
        <w:t xml:space="preserve"> mandate, it had in previous sessions submitted a working document which requested the WIPO Secretariat to undertake a study of recently adopted legislation and initiatives on TCEs in general in the Member States of WIPO.  That proposal should be taken into consideration when discussing the future mandate of the IGC.  It recalled that the content of TCEs might already be protected by copyright and related rights, geographical indications and</w:t>
      </w:r>
      <w:r w:rsidR="005E0F75">
        <w:t xml:space="preserve"> trademarks.  Those existing IP </w:t>
      </w:r>
      <w:r w:rsidRPr="002B722B">
        <w:t>systems were readily available for potential beneficiaries.  Member States should support awareness-raising activities, encourage the use of those existing legal frameworks and improve access to those frameworks.  It welcomed discussions on those topics</w:t>
      </w:r>
      <w:r w:rsidR="00EA2DB1" w:rsidRPr="002B722B">
        <w:t>.</w:t>
      </w:r>
    </w:p>
    <w:p w14:paraId="7A37F3AA" w14:textId="77777777" w:rsidR="00EA2DB1" w:rsidRPr="00EA2DB1" w:rsidRDefault="00EA2DB1" w:rsidP="002B722B"/>
    <w:p w14:paraId="4F8BCCA6" w14:textId="280C78D3" w:rsidR="00B5432B" w:rsidRPr="00B5432B" w:rsidRDefault="00EA2DB1" w:rsidP="002B722B">
      <w:pPr>
        <w:pStyle w:val="ListParagraph"/>
        <w:numPr>
          <w:ilvl w:val="0"/>
          <w:numId w:val="4"/>
        </w:numPr>
        <w:ind w:left="0" w:firstLine="0"/>
      </w:pPr>
      <w:r w:rsidRPr="002B722B">
        <w:t xml:space="preserve">The Delegation of Indonesia, speaking on behalf of the </w:t>
      </w:r>
      <w:r w:rsidR="007B2C9A">
        <w:t>LMCs</w:t>
      </w:r>
      <w:r w:rsidRPr="002B722B">
        <w:t xml:space="preserve">, said that the IGC could narrow existing gaps and reach </w:t>
      </w:r>
      <w:r w:rsidR="007B2C9A">
        <w:t>a common understanding on</w:t>
      </w:r>
      <w:r w:rsidRPr="002B722B">
        <w:t xml:space="preserve"> the issues at hand.  It supported the working methodology and work program proposed by the Chair.  It assured</w:t>
      </w:r>
      <w:r w:rsidR="00D545E8" w:rsidRPr="002B722B">
        <w:t xml:space="preserve"> of</w:t>
      </w:r>
      <w:r w:rsidRPr="002B722B">
        <w:t xml:space="preserve"> its full support and cooperation in rendering the session a success.  It reaffirmed its commitment to engage constructively for a mutually acceptable outcome.  It extended its appreciation for the participation and valuable contributions from all Member States and regional groups that </w:t>
      </w:r>
      <w:r w:rsidR="00D545E8" w:rsidRPr="002B722B">
        <w:t xml:space="preserve">had </w:t>
      </w:r>
      <w:r w:rsidRPr="002B722B">
        <w:t xml:space="preserve">participated in the </w:t>
      </w:r>
      <w:r w:rsidR="007B2C9A">
        <w:t>R</w:t>
      </w:r>
      <w:r w:rsidRPr="002B722B">
        <w:t>oundtable</w:t>
      </w:r>
      <w:r w:rsidR="00D545E8" w:rsidRPr="002B722B">
        <w:t xml:space="preserve">, </w:t>
      </w:r>
      <w:r w:rsidR="007B2C9A">
        <w:t>the</w:t>
      </w:r>
      <w:r w:rsidR="00D545E8" w:rsidRPr="002B722B">
        <w:t xml:space="preserve"> </w:t>
      </w:r>
      <w:r w:rsidRPr="002B722B">
        <w:t>objectives</w:t>
      </w:r>
      <w:r w:rsidR="007B2C9A">
        <w:t xml:space="preserve"> of which</w:t>
      </w:r>
      <w:r w:rsidRPr="002B722B">
        <w:t xml:space="preserve"> had been achieved.  It thanked the Secretariat for the successful convening of the Seminar that provided much useful insights on the issues, including discussion on cor</w:t>
      </w:r>
      <w:r w:rsidR="007B2C9A">
        <w:t>e issues, practical experiences</w:t>
      </w:r>
      <w:r w:rsidRPr="002B722B">
        <w:t xml:space="preserve"> and reflections on the way forward.  The issue </w:t>
      </w:r>
      <w:r w:rsidR="007B2C9A">
        <w:t>discussed by</w:t>
      </w:r>
      <w:r w:rsidRPr="002B722B">
        <w:t xml:space="preserve"> the IGC was </w:t>
      </w:r>
      <w:r w:rsidR="00D545E8" w:rsidRPr="002B722B">
        <w:t>important</w:t>
      </w:r>
      <w:r w:rsidRPr="002B722B">
        <w:t xml:space="preserve"> not only for all Me</w:t>
      </w:r>
      <w:r w:rsidR="007B2C9A">
        <w:t xml:space="preserve">mber States but </w:t>
      </w:r>
      <w:r w:rsidR="003E64AA">
        <w:t xml:space="preserve">also </w:t>
      </w:r>
      <w:r w:rsidRPr="002B722B">
        <w:t>for ILCs that creat</w:t>
      </w:r>
      <w:r w:rsidR="007B2C9A">
        <w:t>ed and developed TK and TCEs</w:t>
      </w:r>
      <w:r w:rsidRPr="002B722B">
        <w:t xml:space="preserve"> as well as innov</w:t>
      </w:r>
      <w:r w:rsidR="007B2C9A">
        <w:t xml:space="preserve">ation long before the modern IP </w:t>
      </w:r>
      <w:r w:rsidRPr="002B722B">
        <w:t>system had first been asked of it.  All communities had</w:t>
      </w:r>
      <w:r w:rsidR="00D545E8" w:rsidRPr="002B722B">
        <w:t xml:space="preserve"> the right to maintain, control</w:t>
      </w:r>
      <w:r w:rsidRPr="002B722B">
        <w:t xml:space="preserve"> and develop IP over their cultural heritage.  The IGC needed to push for greater recognition of bo</w:t>
      </w:r>
      <w:r w:rsidR="00D545E8" w:rsidRPr="002B722B">
        <w:t xml:space="preserve">th moral and economic rights on </w:t>
      </w:r>
      <w:r w:rsidRPr="002B722B">
        <w:t xml:space="preserve">traditional and cultural heritage, including GRs, TK and TCEs.  Substantial </w:t>
      </w:r>
      <w:r w:rsidR="00D545E8" w:rsidRPr="002B722B">
        <w:t xml:space="preserve">and significant </w:t>
      </w:r>
      <w:r w:rsidRPr="002B722B">
        <w:t xml:space="preserve">progress had been made within the IGC on GRs and TK at </w:t>
      </w:r>
      <w:r w:rsidR="00D545E8" w:rsidRPr="002B722B">
        <w:t>the previous sessions within the biennium</w:t>
      </w:r>
      <w:r w:rsidRPr="002B722B">
        <w:t xml:space="preserve">.  It was confident that </w:t>
      </w:r>
      <w:r w:rsidR="007B2C9A">
        <w:t>IGC 34</w:t>
      </w:r>
      <w:r w:rsidRPr="002B722B">
        <w:t xml:space="preserve"> would build on the progress made at </w:t>
      </w:r>
      <w:r w:rsidR="007B2C9A">
        <w:t>IGC 33</w:t>
      </w:r>
      <w:r w:rsidRPr="002B722B">
        <w:t xml:space="preserve"> and would also yield progress towards TCEs.  The </w:t>
      </w:r>
      <w:r w:rsidR="00D545E8" w:rsidRPr="002B722B">
        <w:t>IGC had to</w:t>
      </w:r>
      <w:r w:rsidRPr="002B722B">
        <w:t xml:space="preserve"> not onl</w:t>
      </w:r>
      <w:r w:rsidR="00D545E8" w:rsidRPr="002B722B">
        <w:t>y</w:t>
      </w:r>
      <w:r w:rsidRPr="002B722B">
        <w:t xml:space="preserve"> undertake negotiations on the Draft Articles on TCEs but also to take stock and make recommendations to the </w:t>
      </w:r>
      <w:r w:rsidR="007B2C9A">
        <w:t>GA</w:t>
      </w:r>
      <w:r w:rsidRPr="002B722B">
        <w:t xml:space="preserve">.  At the conclusion of </w:t>
      </w:r>
      <w:r w:rsidR="007B2C9A">
        <w:t>IGC 34</w:t>
      </w:r>
      <w:r w:rsidRPr="002B722B">
        <w:t xml:space="preserve">, the IGC would have completed its work program approved under the current mandate.  It hoped that the session would be able to come up with recommendations </w:t>
      </w:r>
      <w:r w:rsidR="007B2C9A">
        <w:t>to the GA</w:t>
      </w:r>
      <w:r w:rsidRPr="002B722B">
        <w:t xml:space="preserve"> that would guide the future work of the IGC based on the progress made under the current mandate.  Noting the importance of effective protection for GRs, TK and TCEs, the IGC should move forward together taking the next step with a view to adopting a legally binding instrument(s)</w:t>
      </w:r>
      <w:r w:rsidR="007B2C9A">
        <w:t>,</w:t>
      </w:r>
      <w:r w:rsidRPr="002B722B">
        <w:t xml:space="preserve"> </w:t>
      </w:r>
      <w:r w:rsidR="007B2C9A" w:rsidRPr="002B722B">
        <w:t>providing effective protection of GRs, TK and TCEs</w:t>
      </w:r>
      <w:r w:rsidR="007B2C9A">
        <w:t>,</w:t>
      </w:r>
      <w:r w:rsidR="007B2C9A" w:rsidRPr="002B722B">
        <w:t xml:space="preserve"> </w:t>
      </w:r>
      <w:r w:rsidRPr="002B722B">
        <w:t>and co</w:t>
      </w:r>
      <w:r w:rsidR="007B2C9A">
        <w:t>nvening a diplomatic conference</w:t>
      </w:r>
      <w:r w:rsidRPr="002B722B">
        <w:t xml:space="preserve">. </w:t>
      </w:r>
    </w:p>
    <w:p w14:paraId="4136DAF0" w14:textId="77777777" w:rsidR="00B5432B" w:rsidRPr="00B5432B" w:rsidRDefault="00B5432B" w:rsidP="002B722B"/>
    <w:p w14:paraId="707A12D5" w14:textId="3BC43FF9" w:rsidR="00FF2161" w:rsidRPr="00FF2161" w:rsidRDefault="00B5432B" w:rsidP="002B722B">
      <w:pPr>
        <w:pStyle w:val="ListParagraph"/>
        <w:numPr>
          <w:ilvl w:val="0"/>
          <w:numId w:val="4"/>
        </w:numPr>
        <w:ind w:left="0" w:firstLine="0"/>
      </w:pPr>
      <w:r w:rsidRPr="002B722B">
        <w:t xml:space="preserve">The representative of </w:t>
      </w:r>
      <w:proofErr w:type="spellStart"/>
      <w:r w:rsidRPr="002B722B">
        <w:t>Tebtebba</w:t>
      </w:r>
      <w:proofErr w:type="spellEnd"/>
      <w:r w:rsidRPr="002B722B">
        <w:t xml:space="preserve"> Foundation, speaking on behalf of the Indigenous Caucus, was pleased to report that the number of indigenous representatives had increased.  She thanked the </w:t>
      </w:r>
      <w:r w:rsidR="009B090D">
        <w:t>G</w:t>
      </w:r>
      <w:r w:rsidRPr="002B722B">
        <w:t xml:space="preserve">overnment </w:t>
      </w:r>
      <w:r w:rsidR="009B090D">
        <w:t>of Australia</w:t>
      </w:r>
      <w:r w:rsidR="009B090D" w:rsidRPr="002B722B">
        <w:t xml:space="preserve"> </w:t>
      </w:r>
      <w:r w:rsidRPr="002B722B">
        <w:t xml:space="preserve">for its generous contribution to the Voluntary Fund as well as the efforts of the Secretariat to enable their participation in </w:t>
      </w:r>
      <w:r w:rsidR="009B090D">
        <w:t>IGC 34</w:t>
      </w:r>
      <w:r w:rsidRPr="002B722B">
        <w:t xml:space="preserve"> and in the Seminar.  She thanked all the governments that had contributed to the </w:t>
      </w:r>
      <w:r w:rsidR="009B090D">
        <w:t xml:space="preserve">Voluntary </w:t>
      </w:r>
      <w:r w:rsidRPr="002B722B">
        <w:t xml:space="preserve">Fund in the past and hoped that they could contribute again.  The Indigenous Caucus had been able to spend one whole day for preparations instead of the half-day usually allotted.  She hoped that the support extended for a whole day of discussions would be a continuing practice for future IGCs.  The IGC had a very dense work program.  </w:t>
      </w:r>
      <w:r w:rsidR="009B090D">
        <w:t>Indigenous representatives were</w:t>
      </w:r>
      <w:r w:rsidRPr="002B722B">
        <w:t xml:space="preserve"> ready to engage constructively in the plenary</w:t>
      </w:r>
      <w:r w:rsidR="003E64AA">
        <w:t xml:space="preserve"> and</w:t>
      </w:r>
      <w:r w:rsidRPr="002B722B">
        <w:t xml:space="preserve"> </w:t>
      </w:r>
      <w:proofErr w:type="spellStart"/>
      <w:r w:rsidRPr="002B722B">
        <w:t>informal</w:t>
      </w:r>
      <w:r w:rsidR="009B090D">
        <w:t>s</w:t>
      </w:r>
      <w:proofErr w:type="spellEnd"/>
      <w:r w:rsidRPr="002B722B">
        <w:t>, as well as in the contact groups that might be formed in order to achieve the objectives of narrowing existing gaps and reaching</w:t>
      </w:r>
      <w:r w:rsidR="009B090D">
        <w:t xml:space="preserve"> an agreement on a legally binding instrument(s)</w:t>
      </w:r>
      <w:r w:rsidRPr="002B722B">
        <w:t xml:space="preserve"> that effectively protected GRs, TK and TCEs from misappropriation.  She recalled the strong leadersh</w:t>
      </w:r>
      <w:r w:rsidR="009B090D">
        <w:t>ip of the LMCs at IGC 33 and</w:t>
      </w:r>
      <w:r w:rsidRPr="002B722B">
        <w:t xml:space="preserve"> </w:t>
      </w:r>
      <w:r w:rsidR="009B090D">
        <w:t>their</w:t>
      </w:r>
      <w:r w:rsidRPr="002B722B">
        <w:t xml:space="preserve"> careful consideration and critical support for indigenous peoples’ positions and proposals.  She hoped that that could be </w:t>
      </w:r>
      <w:r w:rsidR="003E64AA">
        <w:t xml:space="preserve">maintained </w:t>
      </w:r>
      <w:r w:rsidRPr="002B722B">
        <w:t xml:space="preserve">and looked forward to continued support for </w:t>
      </w:r>
      <w:r w:rsidR="009B090D">
        <w:t>the</w:t>
      </w:r>
      <w:r w:rsidRPr="002B722B">
        <w:t xml:space="preserve"> proposals</w:t>
      </w:r>
      <w:r w:rsidR="009B090D">
        <w:t xml:space="preserve"> of </w:t>
      </w:r>
      <w:r w:rsidR="009B090D">
        <w:lastRenderedPageBreak/>
        <w:t>indigenous representatives, who</w:t>
      </w:r>
      <w:r w:rsidRPr="002B722B">
        <w:t xml:space="preserve"> had undertaken extensive consultations with their peoples during the intersessional period and would be pleased to put forth their written proposals under Agenda Item 7 and comment</w:t>
      </w:r>
      <w:r w:rsidR="003E64AA">
        <w:t>s</w:t>
      </w:r>
      <w:r w:rsidRPr="002B722B">
        <w:t xml:space="preserve"> under </w:t>
      </w:r>
      <w:r w:rsidR="009B090D">
        <w:t xml:space="preserve">Agenda </w:t>
      </w:r>
      <w:r w:rsidRPr="002B722B">
        <w:t xml:space="preserve">Item 8.  </w:t>
      </w:r>
      <w:r w:rsidR="009B090D">
        <w:t>Indigenous peoples</w:t>
      </w:r>
      <w:r w:rsidRPr="002B722B">
        <w:t xml:space="preserve"> viewed their GRs, TK and TCEs in a holistic manner and hoped that the three draft texts could be likewise treated holistically and with consistency as the IGC moved towards the conclusion of its negotiations.  She called for consistency in the use of terms across the three instru</w:t>
      </w:r>
      <w:r w:rsidR="009B090D">
        <w:t>ments, particularly the use of “indigenous peoples”</w:t>
      </w:r>
      <w:r w:rsidRPr="002B722B">
        <w:t xml:space="preserve"> when ref</w:t>
      </w:r>
      <w:r w:rsidR="009B090D">
        <w:t>erring to the owners of GRs, TK</w:t>
      </w:r>
      <w:r w:rsidRPr="002B722B">
        <w:t xml:space="preserve"> </w:t>
      </w:r>
      <w:r w:rsidR="009B090D">
        <w:t xml:space="preserve">and TCEs.  The IGC </w:t>
      </w:r>
      <w:r w:rsidRPr="002B722B">
        <w:t xml:space="preserve">had made significant progress in developing the draft texts.  It was important that the mandate be renewed with a view to convening a diplomatic conference within the following two years.  The IGC needed to conclude its work so that the alarming rate at which misappropriation of TK had been taking place could be effectively addressed.  </w:t>
      </w:r>
      <w:r w:rsidR="009B090D">
        <w:t>2017</w:t>
      </w:r>
      <w:r w:rsidRPr="002B722B">
        <w:t xml:space="preserve"> was the tenth anniversary of the adoption of the United Nations Declaration on the Rights of Indigenous Peoples (</w:t>
      </w:r>
      <w:r w:rsidR="009B090D">
        <w:t>“</w:t>
      </w:r>
      <w:r w:rsidRPr="002B722B">
        <w:t>UNDRIP</w:t>
      </w:r>
      <w:r w:rsidR="009B090D">
        <w:t>”</w:t>
      </w:r>
      <w:r w:rsidRPr="002B722B">
        <w:t>).  She recalled the core principles for indigenous peoples, which she hoped could contribu</w:t>
      </w:r>
      <w:r w:rsidR="009B090D">
        <w:t xml:space="preserve">te to the discussion </w:t>
      </w:r>
      <w:r w:rsidRPr="002B722B">
        <w:t xml:space="preserve">on core issues: </w:t>
      </w:r>
      <w:r w:rsidR="009B090D">
        <w:t xml:space="preserve"> (1) Indigenous peoples had</w:t>
      </w:r>
      <w:r w:rsidRPr="002B722B">
        <w:t xml:space="preserve"> the right t</w:t>
      </w:r>
      <w:r w:rsidR="009B090D">
        <w:t>o self</w:t>
      </w:r>
      <w:r w:rsidR="009B090D">
        <w:noBreakHyphen/>
      </w:r>
      <w:r w:rsidRPr="002B722B">
        <w:t xml:space="preserve">determination. </w:t>
      </w:r>
      <w:r w:rsidR="009B090D">
        <w:t xml:space="preserve"> (2) Indigenous peoples had</w:t>
      </w:r>
      <w:r w:rsidRPr="002B722B">
        <w:t xml:space="preserve"> the right to own and</w:t>
      </w:r>
      <w:r w:rsidR="009B090D">
        <w:t xml:space="preserve"> control both disclosed and non</w:t>
      </w:r>
      <w:r w:rsidR="009B090D">
        <w:noBreakHyphen/>
      </w:r>
      <w:r w:rsidRPr="002B722B">
        <w:t>disclo</w:t>
      </w:r>
      <w:r w:rsidR="009B090D">
        <w:t>sed GRs, TK and TCEs.  They had</w:t>
      </w:r>
      <w:r w:rsidRPr="002B722B">
        <w:t xml:space="preserve"> the right to uphold their responsibilitie</w:t>
      </w:r>
      <w:r w:rsidR="009B090D">
        <w:t>s with respect to their GRs, TK and TCEs, and</w:t>
      </w:r>
      <w:r w:rsidRPr="002B722B">
        <w:t xml:space="preserve"> to non-diminution of their rights and also the right to be provided redress through effective mechanisms, including restitution and criminal penalties.    </w:t>
      </w:r>
    </w:p>
    <w:p w14:paraId="659ABD64" w14:textId="77777777" w:rsidR="00261224" w:rsidRPr="00261224" w:rsidRDefault="00261224" w:rsidP="002B722B"/>
    <w:p w14:paraId="7C608529" w14:textId="603ABDAB" w:rsidR="000A48A3" w:rsidRDefault="00261224" w:rsidP="002B722B">
      <w:pPr>
        <w:pStyle w:val="ListParagraph"/>
        <w:numPr>
          <w:ilvl w:val="0"/>
          <w:numId w:val="4"/>
        </w:numPr>
        <w:ind w:left="0" w:firstLine="0"/>
      </w:pPr>
      <w:r w:rsidRPr="002B722B">
        <w:t xml:space="preserve">[Note from the Secretariat: the following opening statements were submitted to the Secretariat in writing only.]  </w:t>
      </w:r>
      <w:r>
        <w:t>The D</w:t>
      </w:r>
      <w:r w:rsidRPr="0069218F">
        <w:t xml:space="preserve">elegation of Japan </w:t>
      </w:r>
      <w:r>
        <w:t>said that the IGC had</w:t>
      </w:r>
      <w:r w:rsidRPr="0069218F">
        <w:t xml:space="preserve"> been discussing th</w:t>
      </w:r>
      <w:r>
        <w:t>e</w:t>
      </w:r>
      <w:r w:rsidRPr="0069218F">
        <w:t xml:space="preserve"> is</w:t>
      </w:r>
      <w:r>
        <w:t>sue of TCEs over the years.  D</w:t>
      </w:r>
      <w:r w:rsidRPr="0069218F">
        <w:t xml:space="preserve">ue recognition </w:t>
      </w:r>
      <w:r>
        <w:t>had to</w:t>
      </w:r>
      <w:r w:rsidRPr="0069218F">
        <w:t xml:space="preserve"> be g</w:t>
      </w:r>
      <w:r>
        <w:t>iven to the progress m</w:t>
      </w:r>
      <w:r w:rsidRPr="0069218F">
        <w:t xml:space="preserve">ade so far.  Nevertheless, even with many years of discussion, </w:t>
      </w:r>
      <w:r>
        <w:t xml:space="preserve">the IGC had </w:t>
      </w:r>
      <w:r w:rsidRPr="0069218F">
        <w:t xml:space="preserve">not been able to find a common understanding on the fundamental issues, namely, objectives, beneficiaries, subject </w:t>
      </w:r>
      <w:r>
        <w:t>matt</w:t>
      </w:r>
      <w:r w:rsidR="00573D7B">
        <w:t>er</w:t>
      </w:r>
      <w:r>
        <w:t xml:space="preserve"> and scope of protection, </w:t>
      </w:r>
      <w:r w:rsidRPr="0069218F">
        <w:t>because many gaps still remain</w:t>
      </w:r>
      <w:r>
        <w:t>ed</w:t>
      </w:r>
      <w:r w:rsidRPr="0069218F">
        <w:t xml:space="preserve"> in </w:t>
      </w:r>
      <w:r w:rsidR="00BA40AF">
        <w:t xml:space="preserve">States </w:t>
      </w:r>
      <w:r w:rsidRPr="0069218F">
        <w:t>understanding those issues.  In order to re</w:t>
      </w:r>
      <w:r>
        <w:t>solve that situation, it</w:t>
      </w:r>
      <w:r w:rsidRPr="0069218F">
        <w:t xml:space="preserve"> welcome</w:t>
      </w:r>
      <w:r>
        <w:t>d</w:t>
      </w:r>
      <w:r w:rsidRPr="0069218F">
        <w:t xml:space="preserve"> </w:t>
      </w:r>
      <w:r>
        <w:t>the</w:t>
      </w:r>
      <w:r w:rsidRPr="0069218F">
        <w:t xml:space="preserve"> opportunity to deepen </w:t>
      </w:r>
      <w:r>
        <w:t>the</w:t>
      </w:r>
      <w:r w:rsidRPr="0069218F">
        <w:t xml:space="preserve"> understanding of the core issues detailed</w:t>
      </w:r>
      <w:r>
        <w:t xml:space="preserve"> in the current</w:t>
      </w:r>
      <w:r w:rsidRPr="0069218F">
        <w:t xml:space="preserve"> mandate.  </w:t>
      </w:r>
      <w:r>
        <w:t>S</w:t>
      </w:r>
      <w:r w:rsidRPr="0069218F">
        <w:t xml:space="preserve">haring concrete examples of national experiences and practices </w:t>
      </w:r>
      <w:r>
        <w:t>could help</w:t>
      </w:r>
      <w:r w:rsidRPr="0069218F">
        <w:t xml:space="preserve"> draw a line between “traditional” cultural expressions</w:t>
      </w:r>
      <w:r w:rsidR="00BA40AF">
        <w:t>,</w:t>
      </w:r>
      <w:r w:rsidRPr="0069218F">
        <w:t xml:space="preserve"> on </w:t>
      </w:r>
      <w:r>
        <w:t>the one hand</w:t>
      </w:r>
      <w:r w:rsidR="00BA40AF">
        <w:t>,</w:t>
      </w:r>
      <w:r w:rsidRPr="0069218F">
        <w:t xml:space="preserve"> and “contemporary” cultural expressions</w:t>
      </w:r>
      <w:r w:rsidR="00BA40AF">
        <w:t>,</w:t>
      </w:r>
      <w:r w:rsidRPr="0069218F">
        <w:t xml:space="preserve"> on the other.</w:t>
      </w:r>
      <w:r w:rsidRPr="0069218F" w:rsidDel="004D3484">
        <w:t xml:space="preserve"> </w:t>
      </w:r>
      <w:r>
        <w:t xml:space="preserve"> It fully supported </w:t>
      </w:r>
      <w:r w:rsidRPr="0069218F">
        <w:t>the discussions on the proposal made by the Delegation of the U</w:t>
      </w:r>
      <w:r w:rsidR="00573D7B">
        <w:t xml:space="preserve">nited </w:t>
      </w:r>
      <w:r w:rsidRPr="0069218F">
        <w:t>S</w:t>
      </w:r>
      <w:r w:rsidR="00573D7B">
        <w:t>tates of America (“USA”) in document </w:t>
      </w:r>
      <w:r w:rsidRPr="0069218F">
        <w:t xml:space="preserve">WIPO/GRTKF/IC/34/12.  </w:t>
      </w:r>
      <w:r>
        <w:t>That</w:t>
      </w:r>
      <w:r w:rsidRPr="0069218F">
        <w:t xml:space="preserve"> kind of exercise </w:t>
      </w:r>
      <w:r>
        <w:t>could</w:t>
      </w:r>
      <w:r w:rsidRPr="0069218F">
        <w:t xml:space="preserve"> complement and even facilitate </w:t>
      </w:r>
      <w:r>
        <w:t>the</w:t>
      </w:r>
      <w:r w:rsidR="00573D7B">
        <w:t xml:space="preserve"> text</w:t>
      </w:r>
      <w:r w:rsidR="00573D7B">
        <w:noBreakHyphen/>
      </w:r>
      <w:r w:rsidRPr="0069218F">
        <w:t xml:space="preserve">based negotiations.  </w:t>
      </w:r>
      <w:r w:rsidR="00573D7B">
        <w:t>The Delegation</w:t>
      </w:r>
      <w:r w:rsidRPr="0069218F">
        <w:t xml:space="preserve"> was ready to engage with a constructive spirit.</w:t>
      </w:r>
    </w:p>
    <w:p w14:paraId="1DE172F4" w14:textId="77777777" w:rsidR="000A48A3" w:rsidRDefault="000A48A3" w:rsidP="002B722B"/>
    <w:p w14:paraId="6D03B442" w14:textId="1AD41BAA" w:rsidR="00337ED5" w:rsidRPr="00337ED5" w:rsidRDefault="000A48A3" w:rsidP="002B722B">
      <w:pPr>
        <w:pStyle w:val="ListParagraph"/>
        <w:numPr>
          <w:ilvl w:val="0"/>
          <w:numId w:val="4"/>
        </w:numPr>
        <w:ind w:left="0" w:firstLine="0"/>
      </w:pPr>
      <w:r>
        <w:t xml:space="preserve">The Delegation of the Republic of Korea </w:t>
      </w:r>
      <w:r w:rsidR="00DE1EA3" w:rsidRPr="002D2A7F">
        <w:t>said the Chair’s</w:t>
      </w:r>
      <w:r w:rsidRPr="000A48A3">
        <w:rPr>
          <w:rFonts w:hint="eastAsia"/>
        </w:rPr>
        <w:t xml:space="preserve"> effort </w:t>
      </w:r>
      <w:r w:rsidR="00DE1EA3" w:rsidRPr="002D2A7F">
        <w:t>would</w:t>
      </w:r>
      <w:r w:rsidRPr="000A48A3">
        <w:rPr>
          <w:rFonts w:hint="eastAsia"/>
        </w:rPr>
        <w:t xml:space="preserve"> greatly help navigate different </w:t>
      </w:r>
      <w:r w:rsidRPr="002B722B">
        <w:rPr>
          <w:rFonts w:hint="eastAsia"/>
        </w:rPr>
        <w:t>views</w:t>
      </w:r>
      <w:r w:rsidR="00573D7B">
        <w:rPr>
          <w:rFonts w:hint="eastAsia"/>
        </w:rPr>
        <w:t xml:space="preserve"> and positions of</w:t>
      </w:r>
      <w:r w:rsidRPr="000A48A3">
        <w:rPr>
          <w:rFonts w:hint="eastAsia"/>
        </w:rPr>
        <w:t xml:space="preserve"> Member States and interested parties. </w:t>
      </w:r>
      <w:r w:rsidR="00DE1EA3" w:rsidRPr="002D2A7F">
        <w:t xml:space="preserve"> It</w:t>
      </w:r>
      <w:r w:rsidR="00DE1EA3">
        <w:rPr>
          <w:rFonts w:hint="eastAsia"/>
        </w:rPr>
        <w:t xml:space="preserve"> welcomed</w:t>
      </w:r>
      <w:r w:rsidRPr="000A48A3">
        <w:rPr>
          <w:rFonts w:hint="eastAsia"/>
        </w:rPr>
        <w:t xml:space="preserve"> </w:t>
      </w:r>
      <w:r w:rsidR="00DE1EA3" w:rsidRPr="002D2A7F">
        <w:t>the</w:t>
      </w:r>
      <w:r w:rsidRPr="000A48A3">
        <w:rPr>
          <w:rFonts w:hint="eastAsia"/>
        </w:rPr>
        <w:t xml:space="preserve"> opportunity to gather and discuss key issues once again wi</w:t>
      </w:r>
      <w:r w:rsidR="00DE1EA3">
        <w:rPr>
          <w:rFonts w:hint="eastAsia"/>
        </w:rPr>
        <w:t>th other Member States and hoped</w:t>
      </w:r>
      <w:r w:rsidRPr="000A48A3">
        <w:rPr>
          <w:rFonts w:hint="eastAsia"/>
        </w:rPr>
        <w:t xml:space="preserve"> </w:t>
      </w:r>
      <w:r w:rsidR="00573D7B">
        <w:t xml:space="preserve">that </w:t>
      </w:r>
      <w:r w:rsidRPr="000A48A3">
        <w:rPr>
          <w:rFonts w:hint="eastAsia"/>
        </w:rPr>
        <w:t xml:space="preserve">the </w:t>
      </w:r>
      <w:r w:rsidR="00DE1EA3" w:rsidRPr="002D2A7F">
        <w:t>IGC would</w:t>
      </w:r>
      <w:r w:rsidRPr="000A48A3">
        <w:rPr>
          <w:rFonts w:hint="eastAsia"/>
        </w:rPr>
        <w:t xml:space="preserve"> achieve mutual understandings in th</w:t>
      </w:r>
      <w:r w:rsidR="00DE1EA3" w:rsidRPr="002D2A7F">
        <w:t>o</w:t>
      </w:r>
      <w:r w:rsidRPr="000A48A3">
        <w:rPr>
          <w:rFonts w:hint="eastAsia"/>
        </w:rPr>
        <w:t xml:space="preserve">se areas in order to understand </w:t>
      </w:r>
      <w:r w:rsidR="00DE1EA3" w:rsidRPr="002D2A7F">
        <w:t xml:space="preserve">the </w:t>
      </w:r>
      <w:r w:rsidRPr="000A48A3">
        <w:rPr>
          <w:rFonts w:hint="eastAsia"/>
        </w:rPr>
        <w:t>current status of existing IP systems.</w:t>
      </w:r>
    </w:p>
    <w:p w14:paraId="42273BF7" w14:textId="77777777" w:rsidR="00D067F7" w:rsidRPr="009B459C" w:rsidRDefault="00D067F7" w:rsidP="007302BA">
      <w:pPr>
        <w:pStyle w:val="ListParagraph"/>
        <w:ind w:left="0"/>
      </w:pPr>
    </w:p>
    <w:p w14:paraId="76345376" w14:textId="77777777" w:rsidR="009B459C" w:rsidRPr="009B459C" w:rsidRDefault="009B459C" w:rsidP="003B4B38">
      <w:pPr>
        <w:pStyle w:val="Heading1"/>
        <w:spacing w:before="0"/>
      </w:pPr>
      <w:r w:rsidRPr="009B459C">
        <w:t>AGENDA ITEM 3</w:t>
      </w:r>
      <w:r w:rsidR="00EF0916">
        <w:t xml:space="preserve">:  </w:t>
      </w:r>
      <w:r w:rsidRPr="009B459C">
        <w:t xml:space="preserve">ADOPTION OF THE REPORT OF THE </w:t>
      </w:r>
      <w:r w:rsidR="00144BF5">
        <w:t>Thirty-THIRD</w:t>
      </w:r>
      <w:r w:rsidRPr="009B459C">
        <w:t xml:space="preserve"> SESSION</w:t>
      </w:r>
    </w:p>
    <w:p w14:paraId="5072C2D0" w14:textId="77777777" w:rsidR="007113DB" w:rsidRPr="009B459C" w:rsidRDefault="007113DB" w:rsidP="003B4B38">
      <w:pPr>
        <w:pStyle w:val="ListParagraph"/>
        <w:ind w:left="0"/>
      </w:pPr>
    </w:p>
    <w:p w14:paraId="5DA88399" w14:textId="77777777" w:rsidR="009B459C" w:rsidRPr="00FC53D5" w:rsidRDefault="009B459C" w:rsidP="00FC53D5">
      <w:pPr>
        <w:pStyle w:val="ListParagraph"/>
        <w:ind w:left="5533"/>
        <w:rPr>
          <w:i/>
        </w:rPr>
      </w:pPr>
      <w:r w:rsidRPr="00FC53D5">
        <w:rPr>
          <w:i/>
        </w:rPr>
        <w:t>Decision on Agenda Item 3:</w:t>
      </w:r>
    </w:p>
    <w:p w14:paraId="24CD5CD9" w14:textId="77777777" w:rsidR="009B459C" w:rsidRPr="00FC53D5" w:rsidRDefault="009B459C" w:rsidP="00FC53D5">
      <w:pPr>
        <w:pStyle w:val="ListParagraph"/>
        <w:ind w:left="5533"/>
        <w:rPr>
          <w:i/>
        </w:rPr>
      </w:pPr>
    </w:p>
    <w:p w14:paraId="756FC99E" w14:textId="16CE2DC5" w:rsidR="009B459C" w:rsidRPr="00FC53D5" w:rsidRDefault="00E73B13" w:rsidP="00FC53D5">
      <w:pPr>
        <w:pStyle w:val="ListParagraph"/>
        <w:numPr>
          <w:ilvl w:val="0"/>
          <w:numId w:val="4"/>
        </w:numPr>
        <w:ind w:left="5533" w:firstLine="0"/>
        <w:rPr>
          <w:i/>
        </w:rPr>
      </w:pPr>
      <w:r w:rsidRPr="00FC53D5">
        <w:rPr>
          <w:i/>
        </w:rPr>
        <w:t>The Chair submitted the draft report of the Thirty-Third Session of the Committee (WIPO/GRTKF/IC/33/7 Prov. 2) for adoption and it was adopted.</w:t>
      </w:r>
    </w:p>
    <w:p w14:paraId="5C96BBF7" w14:textId="77777777" w:rsidR="00C20C01" w:rsidRDefault="00C20C01" w:rsidP="00C20C01">
      <w:pPr>
        <w:pStyle w:val="ListParagraph"/>
        <w:ind w:left="0"/>
        <w:rPr>
          <w:rFonts w:cs="Times New Roman"/>
        </w:rPr>
      </w:pPr>
    </w:p>
    <w:p w14:paraId="1DB5DF74" w14:textId="6BA7738C" w:rsidR="00C20C01" w:rsidRPr="002B722B" w:rsidRDefault="00BE1B6C" w:rsidP="002B722B">
      <w:pPr>
        <w:pStyle w:val="ListParagraph"/>
        <w:numPr>
          <w:ilvl w:val="0"/>
          <w:numId w:val="4"/>
        </w:numPr>
        <w:ind w:left="0" w:firstLine="0"/>
      </w:pPr>
      <w:r w:rsidRPr="002B722B">
        <w:t xml:space="preserve">The Chair </w:t>
      </w:r>
      <w:r w:rsidR="00BA40AF">
        <w:t xml:space="preserve">reminded participants that IGC reports were </w:t>
      </w:r>
      <w:r>
        <w:t>not verbatim report</w:t>
      </w:r>
      <w:r w:rsidR="00BA40AF">
        <w:t>s</w:t>
      </w:r>
      <w:r>
        <w:t xml:space="preserve">.  </w:t>
      </w:r>
      <w:r w:rsidR="00BA40AF">
        <w:t>They</w:t>
      </w:r>
      <w:r w:rsidRPr="002B722B">
        <w:t xml:space="preserve"> summarized the discussion</w:t>
      </w:r>
      <w:r w:rsidR="00BA40AF">
        <w:t>s</w:t>
      </w:r>
      <w:r w:rsidRPr="002B722B">
        <w:t xml:space="preserve"> without </w:t>
      </w:r>
      <w:r w:rsidR="00BA40AF">
        <w:t xml:space="preserve">necessarily </w:t>
      </w:r>
      <w:r w:rsidRPr="002B722B">
        <w:t xml:space="preserve">reflecting all the observations in detail. </w:t>
      </w:r>
      <w:r>
        <w:t xml:space="preserve"> </w:t>
      </w:r>
    </w:p>
    <w:p w14:paraId="654A2E1E" w14:textId="77777777" w:rsidR="00C20C01" w:rsidRPr="002B722B" w:rsidRDefault="00C20C01" w:rsidP="002B722B"/>
    <w:p w14:paraId="69D831F4" w14:textId="5290DDD6" w:rsidR="00C20C01" w:rsidRPr="00C74BDD" w:rsidRDefault="00BE1B6C" w:rsidP="002B722B">
      <w:pPr>
        <w:pStyle w:val="ListParagraph"/>
        <w:numPr>
          <w:ilvl w:val="0"/>
          <w:numId w:val="4"/>
        </w:numPr>
        <w:ind w:left="0" w:firstLine="0"/>
      </w:pPr>
      <w:r w:rsidRPr="002B722B">
        <w:t xml:space="preserve">The representative of the Assembly of Armenians of Western Armenia </w:t>
      </w:r>
      <w:r w:rsidR="00BA40AF">
        <w:t xml:space="preserve">stated </w:t>
      </w:r>
      <w:r w:rsidRPr="002B722B">
        <w:t>that the</w:t>
      </w:r>
      <w:r>
        <w:t xml:space="preserve"> report of</w:t>
      </w:r>
      <w:r w:rsidR="00C74BDD">
        <w:t xml:space="preserve"> IGC 33 did not include a</w:t>
      </w:r>
      <w:r w:rsidRPr="002B722B">
        <w:t xml:space="preserve"> statement </w:t>
      </w:r>
      <w:r w:rsidR="0008372D">
        <w:t>she</w:t>
      </w:r>
      <w:r w:rsidR="00BA40AF">
        <w:t xml:space="preserve"> had </w:t>
      </w:r>
      <w:r w:rsidRPr="002B722B">
        <w:t>made at that session</w:t>
      </w:r>
      <w:r w:rsidRPr="00C74BDD">
        <w:t>.</w:t>
      </w:r>
      <w:r w:rsidR="00BA40AF" w:rsidRPr="00C74BDD">
        <w:t xml:space="preserve"> </w:t>
      </w:r>
      <w:r w:rsidR="0008372D" w:rsidRPr="00C74BDD">
        <w:t xml:space="preserve"> </w:t>
      </w:r>
      <w:r w:rsidR="00BA40AF" w:rsidRPr="00C74BDD">
        <w:t xml:space="preserve">[Note from the </w:t>
      </w:r>
      <w:r w:rsidR="00BA40AF" w:rsidRPr="00C74BDD">
        <w:lastRenderedPageBreak/>
        <w:t xml:space="preserve">Secretariat: </w:t>
      </w:r>
      <w:r w:rsidR="0008372D" w:rsidRPr="00C74BDD">
        <w:t xml:space="preserve"> </w:t>
      </w:r>
      <w:r w:rsidR="00BA40AF" w:rsidRPr="00C74BDD">
        <w:t xml:space="preserve">the statement referred to was made by the </w:t>
      </w:r>
      <w:r w:rsidR="00C74BDD" w:rsidRPr="00C74BDD">
        <w:t>representative</w:t>
      </w:r>
      <w:r w:rsidR="00BA40AF" w:rsidRPr="00C74BDD">
        <w:t xml:space="preserve"> during the Indigenous Panel, the report of which was prepared, as usual, by the Panel’s Chair (see below). The Panel reports are summaries and not verbatim.]</w:t>
      </w:r>
    </w:p>
    <w:p w14:paraId="26013D8D" w14:textId="77777777" w:rsidR="00C92807" w:rsidRDefault="00C92807"/>
    <w:p w14:paraId="18A310E2" w14:textId="77777777" w:rsidR="009B459C" w:rsidRPr="009B459C" w:rsidRDefault="009B459C" w:rsidP="00D041DA">
      <w:pPr>
        <w:pStyle w:val="Heading1"/>
        <w:spacing w:before="0"/>
      </w:pPr>
      <w:r w:rsidRPr="009B459C">
        <w:t>AGENDA ITEM 4</w:t>
      </w:r>
      <w:r w:rsidR="00EF0916">
        <w:t xml:space="preserve">:  </w:t>
      </w:r>
      <w:r w:rsidRPr="009B459C">
        <w:t>ACCREDITATION OF CERTAIN ORGANIZATIONS</w:t>
      </w:r>
    </w:p>
    <w:p w14:paraId="42CB6C98" w14:textId="77777777" w:rsidR="009B459C" w:rsidRPr="009B459C" w:rsidRDefault="009B459C" w:rsidP="00D041DA">
      <w:pPr>
        <w:pStyle w:val="ListParagraph"/>
        <w:ind w:left="0"/>
      </w:pPr>
    </w:p>
    <w:p w14:paraId="1111C96E" w14:textId="77777777" w:rsidR="009B459C" w:rsidRPr="00FC53D5" w:rsidRDefault="009B459C" w:rsidP="00FC53D5">
      <w:pPr>
        <w:pStyle w:val="ListParagraph"/>
        <w:ind w:left="5533"/>
        <w:rPr>
          <w:i/>
        </w:rPr>
      </w:pPr>
      <w:r w:rsidRPr="00FC53D5">
        <w:rPr>
          <w:i/>
        </w:rPr>
        <w:t>Decision on Agenda Item 4:</w:t>
      </w:r>
    </w:p>
    <w:p w14:paraId="72693C00" w14:textId="77777777" w:rsidR="009B459C" w:rsidRPr="00FC53D5" w:rsidRDefault="009B459C" w:rsidP="00FC53D5">
      <w:pPr>
        <w:pStyle w:val="ListParagraph"/>
        <w:ind w:left="5533"/>
        <w:rPr>
          <w:i/>
        </w:rPr>
      </w:pPr>
    </w:p>
    <w:p w14:paraId="277D2FD8" w14:textId="4249C24A" w:rsidR="003C4338" w:rsidRPr="00FC53D5" w:rsidRDefault="00E73B13" w:rsidP="00FC53D5">
      <w:pPr>
        <w:pStyle w:val="ListParagraph"/>
        <w:numPr>
          <w:ilvl w:val="0"/>
          <w:numId w:val="4"/>
        </w:numPr>
        <w:ind w:left="5533" w:firstLine="0"/>
        <w:rPr>
          <w:i/>
        </w:rPr>
      </w:pPr>
      <w:r w:rsidRPr="00FC53D5">
        <w:rPr>
          <w:i/>
        </w:rPr>
        <w:t xml:space="preserve">The Committee unanimously approved the accreditation of the five organizations listed in the Annex to document WIPO/GRTKF/IC/34/2 as ad hoc observers, namely:  </w:t>
      </w:r>
      <w:proofErr w:type="spellStart"/>
      <w:r w:rsidRPr="00FC53D5">
        <w:rPr>
          <w:i/>
        </w:rPr>
        <w:t>Federación</w:t>
      </w:r>
      <w:proofErr w:type="spellEnd"/>
      <w:r w:rsidRPr="00FC53D5">
        <w:rPr>
          <w:i/>
        </w:rPr>
        <w:t xml:space="preserve"> </w:t>
      </w:r>
      <w:proofErr w:type="spellStart"/>
      <w:r w:rsidRPr="00FC53D5">
        <w:rPr>
          <w:i/>
        </w:rPr>
        <w:t>Indígena</w:t>
      </w:r>
      <w:proofErr w:type="spellEnd"/>
      <w:r w:rsidRPr="00FC53D5">
        <w:rPr>
          <w:i/>
        </w:rPr>
        <w:t xml:space="preserve"> </w:t>
      </w:r>
      <w:proofErr w:type="spellStart"/>
      <w:r w:rsidRPr="00FC53D5">
        <w:rPr>
          <w:i/>
        </w:rPr>
        <w:t>Empresarial</w:t>
      </w:r>
      <w:proofErr w:type="spellEnd"/>
      <w:r w:rsidRPr="00FC53D5">
        <w:rPr>
          <w:i/>
        </w:rPr>
        <w:t xml:space="preserve"> y </w:t>
      </w:r>
      <w:proofErr w:type="spellStart"/>
      <w:r w:rsidRPr="00FC53D5">
        <w:rPr>
          <w:i/>
        </w:rPr>
        <w:t>Comunidades</w:t>
      </w:r>
      <w:proofErr w:type="spellEnd"/>
      <w:r w:rsidRPr="00FC53D5">
        <w:rPr>
          <w:i/>
        </w:rPr>
        <w:t xml:space="preserve"> Locales de </w:t>
      </w:r>
      <w:proofErr w:type="spellStart"/>
      <w:r w:rsidRPr="00FC53D5">
        <w:rPr>
          <w:i/>
        </w:rPr>
        <w:t>México</w:t>
      </w:r>
      <w:proofErr w:type="spellEnd"/>
      <w:r w:rsidRPr="00FC53D5">
        <w:rPr>
          <w:i/>
        </w:rPr>
        <w:t xml:space="preserve">, </w:t>
      </w:r>
      <w:proofErr w:type="spellStart"/>
      <w:r w:rsidRPr="00FC53D5">
        <w:rPr>
          <w:i/>
        </w:rPr>
        <w:t>Asociación</w:t>
      </w:r>
      <w:proofErr w:type="spellEnd"/>
      <w:r w:rsidRPr="00FC53D5">
        <w:rPr>
          <w:i/>
        </w:rPr>
        <w:t xml:space="preserve"> Civil (CIELO)</w:t>
      </w:r>
      <w:proofErr w:type="gramStart"/>
      <w:r w:rsidRPr="00FC53D5">
        <w:rPr>
          <w:i/>
        </w:rPr>
        <w:t>;  Indigenous</w:t>
      </w:r>
      <w:proofErr w:type="gramEnd"/>
      <w:r w:rsidRPr="00FC53D5">
        <w:rPr>
          <w:i/>
        </w:rPr>
        <w:t xml:space="preserve"> Movement for Peace Advancement and Conflict Transformation (IMPACT);  DAGBAKA Action pour un Monde Equitable (DAPME) NGO;  Promotion des </w:t>
      </w:r>
      <w:proofErr w:type="spellStart"/>
      <w:r w:rsidRPr="00FC53D5">
        <w:rPr>
          <w:i/>
        </w:rPr>
        <w:t>Yaelima</w:t>
      </w:r>
      <w:proofErr w:type="spellEnd"/>
      <w:r w:rsidRPr="00FC53D5">
        <w:rPr>
          <w:i/>
        </w:rPr>
        <w:t xml:space="preserve"> de </w:t>
      </w:r>
      <w:proofErr w:type="spellStart"/>
      <w:r w:rsidRPr="00FC53D5">
        <w:rPr>
          <w:i/>
        </w:rPr>
        <w:t>Dekese</w:t>
      </w:r>
      <w:proofErr w:type="spellEnd"/>
      <w:r w:rsidRPr="00FC53D5">
        <w:rPr>
          <w:i/>
        </w:rPr>
        <w:t xml:space="preserve"> (PROYADE);  and Social Economic and Governance Promotion Centre (SEGP).</w:t>
      </w:r>
    </w:p>
    <w:p w14:paraId="08A14624" w14:textId="77777777" w:rsidR="00144BF5" w:rsidRDefault="00144BF5" w:rsidP="00BE2F67">
      <w:pPr>
        <w:pStyle w:val="Heading1"/>
        <w:spacing w:before="0"/>
      </w:pPr>
    </w:p>
    <w:p w14:paraId="2E0C904C" w14:textId="77777777" w:rsidR="00144BF5" w:rsidRPr="00144BF5" w:rsidRDefault="00144BF5" w:rsidP="00144BF5">
      <w:pPr>
        <w:pStyle w:val="Heading1"/>
        <w:spacing w:before="0"/>
        <w:rPr>
          <w:i/>
        </w:rPr>
      </w:pPr>
      <w:r>
        <w:t xml:space="preserve">AGENDA ITEM 5:  REPORTING ON THE </w:t>
      </w:r>
      <w:r w:rsidRPr="00144BF5">
        <w:rPr>
          <w:i/>
        </w:rPr>
        <w:t>sEMINAR ON INTELLECTUAL PROPERTY AND TRADITIONAL CULTURAL EXPRESSIONS (jUNE 8 AND 9, 2017)</w:t>
      </w:r>
    </w:p>
    <w:p w14:paraId="33087672" w14:textId="77777777" w:rsidR="00144BF5" w:rsidRDefault="00144BF5" w:rsidP="00BE2F67">
      <w:pPr>
        <w:pStyle w:val="Heading1"/>
        <w:spacing w:before="0"/>
      </w:pPr>
    </w:p>
    <w:p w14:paraId="66B4CE26" w14:textId="77777777" w:rsidR="006B7E86" w:rsidRPr="0027344E" w:rsidRDefault="006B7E86" w:rsidP="002B722B">
      <w:pPr>
        <w:pStyle w:val="ListParagraph"/>
        <w:numPr>
          <w:ilvl w:val="0"/>
          <w:numId w:val="4"/>
        </w:numPr>
        <w:ind w:left="0" w:firstLine="0"/>
      </w:pPr>
      <w:r w:rsidRPr="0027344E">
        <w:t>The Chair invited the rapporteurs from the Seminar to deliver their reports.</w:t>
      </w:r>
    </w:p>
    <w:p w14:paraId="415586BC" w14:textId="77777777" w:rsidR="006B7E86" w:rsidRDefault="006B7E86" w:rsidP="002B722B"/>
    <w:p w14:paraId="091EA89A" w14:textId="77777777" w:rsidR="006B7E86" w:rsidRPr="002B722B" w:rsidRDefault="00376DB5" w:rsidP="002B722B">
      <w:pPr>
        <w:pStyle w:val="ListParagraph"/>
        <w:numPr>
          <w:ilvl w:val="0"/>
          <w:numId w:val="4"/>
        </w:numPr>
        <w:ind w:left="0" w:firstLine="0"/>
      </w:pPr>
      <w:r w:rsidRPr="002B722B">
        <w:t xml:space="preserve">Mr. Ahmed Al-Shehhi, Specialist of Organizations and Cultural Relations, Ministry of Heritage and Culture, Muscat, Oman, reported on the Keynote Address </w:t>
      </w:r>
      <w:r>
        <w:t>“</w:t>
      </w:r>
      <w:r w:rsidR="00730B2D" w:rsidRPr="002B722B">
        <w:t>Existing International Intellectual Property Instruments and Traditional Cultural Expressions:  Which Gaps Exist and Which, If Any, Should be Filled?</w:t>
      </w:r>
      <w:r w:rsidRPr="00730B2D">
        <w:t>”</w:t>
      </w:r>
      <w:r>
        <w:t xml:space="preserve"> </w:t>
      </w:r>
      <w:r w:rsidRPr="002B722B">
        <w:t xml:space="preserve">and Roundtable 1 </w:t>
      </w:r>
      <w:r>
        <w:t>“</w:t>
      </w:r>
      <w:r w:rsidR="00792A9A">
        <w:t>Key Policy Issues on Intellectual Property and Traditional Cultural Expressions: Session One</w:t>
      </w:r>
      <w:r>
        <w:t>”</w:t>
      </w:r>
      <w:r w:rsidRPr="002B722B">
        <w:t xml:space="preserve"> </w:t>
      </w:r>
      <w:r w:rsidR="006B7E86">
        <w:t>as below:</w:t>
      </w:r>
    </w:p>
    <w:p w14:paraId="7836C84D" w14:textId="77777777" w:rsidR="006B7E86" w:rsidRDefault="006B7E86" w:rsidP="006B7E86">
      <w:pPr>
        <w:pStyle w:val="ListParagraph"/>
        <w:ind w:left="0"/>
      </w:pPr>
    </w:p>
    <w:p w14:paraId="64FD8355" w14:textId="564616C2" w:rsidR="00AF685D" w:rsidRPr="00AF685D" w:rsidRDefault="00AF685D" w:rsidP="00AF685D">
      <w:pPr>
        <w:ind w:left="567"/>
      </w:pPr>
      <w:r w:rsidRPr="00AF685D">
        <w:t xml:space="preserve">“Prof. Peter </w:t>
      </w:r>
      <w:proofErr w:type="spellStart"/>
      <w:r w:rsidRPr="00AF685D">
        <w:t>Jaszi</w:t>
      </w:r>
      <w:proofErr w:type="spellEnd"/>
      <w:r w:rsidR="004B62A0">
        <w:t xml:space="preserve"> presented a keynote speech on ‘gap-filling’</w:t>
      </w:r>
      <w:r w:rsidRPr="00AF685D">
        <w:t xml:space="preserve"> in the domain of </w:t>
      </w:r>
      <w:r w:rsidR="00763182">
        <w:t xml:space="preserve">the </w:t>
      </w:r>
      <w:r w:rsidRPr="00AF685D">
        <w:t xml:space="preserve">international legal protection for TCEs. </w:t>
      </w:r>
      <w:r w:rsidR="00A263F3">
        <w:t xml:space="preserve"> </w:t>
      </w:r>
      <w:r w:rsidRPr="00AF685D">
        <w:t xml:space="preserve">He prefaced the identification of gaps with three caveats: </w:t>
      </w:r>
      <w:r w:rsidR="00A263F3">
        <w:t xml:space="preserve"> </w:t>
      </w:r>
      <w:r w:rsidRPr="00AF685D">
        <w:t>first, the general rule that, especial</w:t>
      </w:r>
      <w:r w:rsidR="00A263F3">
        <w:t>ly in IP, not every identified ‘gap’</w:t>
      </w:r>
      <w:r w:rsidRPr="00AF685D">
        <w:t xml:space="preserve"> in the law’s covera</w:t>
      </w:r>
      <w:r w:rsidR="00A263F3">
        <w:t>ge necessary should be ‘filled’</w:t>
      </w:r>
      <w:r w:rsidRPr="00AF685D">
        <w:t xml:space="preserve">; </w:t>
      </w:r>
      <w:r w:rsidR="00A263F3">
        <w:t xml:space="preserve"> </w:t>
      </w:r>
      <w:r w:rsidRPr="00AF685D">
        <w:t>second, the principle that, while national leg</w:t>
      </w:r>
      <w:r w:rsidR="00A263F3">
        <w:t>islation and international law we</w:t>
      </w:r>
      <w:r w:rsidRPr="00AF685D">
        <w:t xml:space="preserve">re closely intertwined, adequate protection for TCEs must be addressed multilaterally, since so many of the specific problems raised by </w:t>
      </w:r>
      <w:proofErr w:type="spellStart"/>
      <w:r w:rsidRPr="00AF685D">
        <w:t>demandeurs</w:t>
      </w:r>
      <w:proofErr w:type="spellEnd"/>
      <w:r w:rsidRPr="00AF685D">
        <w:t xml:space="preserve"> occur in the global information economy; </w:t>
      </w:r>
      <w:r w:rsidR="00A263F3">
        <w:t xml:space="preserve"> </w:t>
      </w:r>
      <w:r w:rsidRPr="00AF685D">
        <w:t>and, third, his choice not to prejudge the question of whether and to what extent a new instru</w:t>
      </w:r>
      <w:r w:rsidR="00A263F3">
        <w:t>ment that specifically addressed TCEs might</w:t>
      </w:r>
      <w:r w:rsidRPr="00AF685D">
        <w:t xml:space="preserve"> be an essential part of the solution. </w:t>
      </w:r>
      <w:r w:rsidR="00A263F3">
        <w:t xml:space="preserve"> </w:t>
      </w:r>
      <w:r w:rsidRPr="00AF685D">
        <w:t>After pointing to some structural gaps</w:t>
      </w:r>
      <w:r w:rsidR="00A263F3">
        <w:t xml:space="preserve"> that we</w:t>
      </w:r>
      <w:r w:rsidRPr="00AF685D">
        <w:t xml:space="preserve">re consequences of historical differences, he identified four functional gaps: </w:t>
      </w:r>
      <w:r w:rsidR="00A263F3">
        <w:t xml:space="preserve"> </w:t>
      </w:r>
      <w:r w:rsidRPr="00AF685D">
        <w:t>(1) attribution, i.e. that the sources of TCEs be fully and appropriately acknowledged</w:t>
      </w:r>
      <w:proofErr w:type="gramStart"/>
      <w:r w:rsidRPr="00AF685D">
        <w:t xml:space="preserve">; </w:t>
      </w:r>
      <w:r w:rsidR="00A263F3">
        <w:t xml:space="preserve"> </w:t>
      </w:r>
      <w:r w:rsidRPr="00AF685D">
        <w:t>(</w:t>
      </w:r>
      <w:proofErr w:type="gramEnd"/>
      <w:r w:rsidRPr="00AF685D">
        <w:t>2)</w:t>
      </w:r>
      <w:r w:rsidR="00A263F3">
        <w:t xml:space="preserve"> control, i.e. concern that TCEs might</w:t>
      </w:r>
      <w:r w:rsidRPr="00AF685D">
        <w:t xml:space="preserve"> be employed without consent in ways that would be offensive or hurtful to the </w:t>
      </w:r>
      <w:r w:rsidR="00A263F3">
        <w:t>peoples and groups who we</w:t>
      </w:r>
      <w:r w:rsidRPr="00AF685D">
        <w:t xml:space="preserve">re their custodians; </w:t>
      </w:r>
      <w:r w:rsidR="00A263F3">
        <w:t xml:space="preserve"> </w:t>
      </w:r>
      <w:r w:rsidRPr="00AF685D">
        <w:t xml:space="preserve">(3) remuneration; </w:t>
      </w:r>
      <w:r w:rsidR="00A263F3">
        <w:t xml:space="preserve"> </w:t>
      </w:r>
      <w:r w:rsidRPr="00AF685D">
        <w:t xml:space="preserve">and (4) limitations on protection. </w:t>
      </w:r>
      <w:r w:rsidR="00A263F3">
        <w:t xml:space="preserve"> </w:t>
      </w:r>
      <w:r w:rsidRPr="00AF685D">
        <w:t xml:space="preserve">He then examined if existing regimes, e.g. the Berne Convention, could be modified to meet those aspirations. </w:t>
      </w:r>
      <w:r w:rsidR="00A263F3">
        <w:t xml:space="preserve"> </w:t>
      </w:r>
      <w:r w:rsidRPr="00AF685D">
        <w:t>He concluded that doctrinal gaps lie in some of copyright’s most fundamental assumptio</w:t>
      </w:r>
      <w:r>
        <w:t>ns, such as authorship and the ‘fixity’</w:t>
      </w:r>
      <w:r w:rsidRPr="00AF685D">
        <w:t xml:space="preserve"> of a work, and the doctrinal gap between copyright and c</w:t>
      </w:r>
      <w:r w:rsidR="00A263F3">
        <w:t>omprehensive protection for TCE</w:t>
      </w:r>
      <w:r w:rsidRPr="00AF685D">
        <w:t xml:space="preserve">s was wide. </w:t>
      </w:r>
      <w:r w:rsidR="00A263F3">
        <w:t xml:space="preserve"> </w:t>
      </w:r>
      <w:r w:rsidRPr="00AF685D">
        <w:t>On the issue of how gaps might be filled, he questioned whether the potentia</w:t>
      </w:r>
      <w:r w:rsidR="00A263F3">
        <w:t>l for partial protection of TCE</w:t>
      </w:r>
      <w:r w:rsidRPr="00AF685D">
        <w:t xml:space="preserve">s under copyright (and related rights) was being fully exploited, </w:t>
      </w:r>
      <w:r w:rsidRPr="00AF685D">
        <w:lastRenderedPageBreak/>
        <w:t xml:space="preserve">especially for relatively </w:t>
      </w:r>
      <w:r w:rsidR="00A263F3">
        <w:t>new expressions of old culture we</w:t>
      </w:r>
      <w:r w:rsidRPr="00AF685D">
        <w:t xml:space="preserve">re likely to be the most attractive from the standpoint of would-be exploiters. </w:t>
      </w:r>
      <w:r w:rsidR="00A263F3">
        <w:t xml:space="preserve"> </w:t>
      </w:r>
      <w:r w:rsidRPr="00AF685D">
        <w:t>However, this would still leave some gaps unfilled and he concluded with a few lessons, which those contemplating future regimes for TCE protection could learn from the positive values expressed in the existing copyright doctrine.</w:t>
      </w:r>
    </w:p>
    <w:p w14:paraId="6CA452A8" w14:textId="77777777" w:rsidR="00AF685D" w:rsidRPr="00AF685D" w:rsidRDefault="00AF685D" w:rsidP="00AF685D">
      <w:pPr>
        <w:ind w:left="567"/>
      </w:pPr>
    </w:p>
    <w:p w14:paraId="7703DDC1" w14:textId="2D513E39" w:rsidR="00AF685D" w:rsidRPr="00AF685D" w:rsidRDefault="00AF685D" w:rsidP="00AF685D">
      <w:pPr>
        <w:ind w:left="567"/>
      </w:pPr>
      <w:r w:rsidRPr="00AF685D">
        <w:t>Roundtable 1 discussed Key Policy Issues on IP and TCEs.</w:t>
      </w:r>
      <w:r>
        <w:t xml:space="preserve">  Professor Ruth </w:t>
      </w:r>
      <w:proofErr w:type="spellStart"/>
      <w:r>
        <w:t>Okediji</w:t>
      </w:r>
      <w:proofErr w:type="spellEnd"/>
      <w:r>
        <w:t xml:space="preserve"> was the moderator. </w:t>
      </w:r>
    </w:p>
    <w:p w14:paraId="6A5F3683" w14:textId="77777777" w:rsidR="00AF685D" w:rsidRPr="00AF685D" w:rsidRDefault="00AF685D" w:rsidP="00AF685D">
      <w:pPr>
        <w:ind w:left="567"/>
      </w:pPr>
    </w:p>
    <w:p w14:paraId="61BB341A" w14:textId="0B3DA3E1" w:rsidR="00AF685D" w:rsidRPr="00AF685D" w:rsidRDefault="00AF685D" w:rsidP="00AF685D">
      <w:pPr>
        <w:ind w:left="567"/>
      </w:pPr>
      <w:r w:rsidRPr="00AF685D">
        <w:t xml:space="preserve">Professor Paul </w:t>
      </w:r>
      <w:proofErr w:type="spellStart"/>
      <w:r w:rsidRPr="00AF685D">
        <w:t>Kuruk</w:t>
      </w:r>
      <w:proofErr w:type="spellEnd"/>
      <w:r w:rsidRPr="00AF685D">
        <w:t xml:space="preserve"> identified as key character</w:t>
      </w:r>
      <w:r w:rsidR="00A263F3">
        <w:t>istics of TCEs the following:  t</w:t>
      </w:r>
      <w:r w:rsidRPr="00AF685D">
        <w:t>hey were products of creative intellectual activity</w:t>
      </w:r>
      <w:proofErr w:type="gramStart"/>
      <w:r w:rsidRPr="00AF685D">
        <w:t xml:space="preserve">; </w:t>
      </w:r>
      <w:r w:rsidR="00A263F3">
        <w:t xml:space="preserve"> </w:t>
      </w:r>
      <w:r w:rsidRPr="00AF685D">
        <w:t>they</w:t>
      </w:r>
      <w:proofErr w:type="gramEnd"/>
      <w:r w:rsidRPr="00AF685D">
        <w:t xml:space="preserve"> were handed down from one generation to another, either orally or by imitation; </w:t>
      </w:r>
      <w:r w:rsidR="00A263F3">
        <w:t xml:space="preserve"> they reflected a community’</w:t>
      </w:r>
      <w:r w:rsidRPr="00AF685D">
        <w:t xml:space="preserve">s cultural heritage and social identity and they were constantly evolving, developing and being recreated within the community.  He stressed that indigenous and traditional communities had expressed a number of concerns regarding commercial uses of TCEs without their consent, as well as regarding the unauthorized public disclosure and use of secret knowledge, images and other sensitive information pertaining to those communities.  Communities had also objected the use of indigenous names in symbols under circumstances perceived to be demeaning.  Issues of authenticity and misrepresentation had also been raised.  </w:t>
      </w:r>
      <w:r w:rsidR="00A263F3">
        <w:t>He</w:t>
      </w:r>
      <w:r w:rsidRPr="00AF685D">
        <w:t xml:space="preserve"> noted that IP instruments were being used as a policy response to the concerns of indigenous and traditional communities.  He also acknowledged the limitations of IP law regarding TCEs, such as ownership, originality and duration.  A</w:t>
      </w:r>
      <w:r w:rsidR="00A263F3">
        <w:t>s regards the use of the terms ‘protection’ or ‘safeguarding’</w:t>
      </w:r>
      <w:r w:rsidRPr="00AF685D">
        <w:t xml:space="preserve"> in the context of the </w:t>
      </w:r>
      <w:r w:rsidR="00A263F3">
        <w:t>IGC, he believed that the term ‘protection’</w:t>
      </w:r>
      <w:r w:rsidRPr="00AF685D">
        <w:t xml:space="preserve"> was more appropriate, since it dealt with subject matter and policy objectives identified as central to the needs of the stakeholders and also because the use of that term was supported by decisions and preferences expressed by the WIPO </w:t>
      </w:r>
      <w:r w:rsidR="00A263F3">
        <w:t>GA</w:t>
      </w:r>
      <w:r w:rsidRPr="00AF685D">
        <w:t xml:space="preserve"> and by the IGC.</w:t>
      </w:r>
    </w:p>
    <w:p w14:paraId="65CAB497" w14:textId="77777777" w:rsidR="00AF685D" w:rsidRPr="00AF685D" w:rsidRDefault="00AF685D" w:rsidP="00AF685D">
      <w:pPr>
        <w:ind w:left="567"/>
      </w:pPr>
    </w:p>
    <w:p w14:paraId="2C7EFB52" w14:textId="5F2FEDF3" w:rsidR="00AF685D" w:rsidRPr="00AF685D" w:rsidRDefault="00AF685D" w:rsidP="00AF685D">
      <w:pPr>
        <w:ind w:left="567"/>
      </w:pPr>
      <w:r w:rsidRPr="00AF685D">
        <w:t>M</w:t>
      </w:r>
      <w:r w:rsidR="00A263F3">
        <w:t xml:space="preserve">s. </w:t>
      </w:r>
      <w:proofErr w:type="spellStart"/>
      <w:r w:rsidR="00A263F3">
        <w:t>Shuang</w:t>
      </w:r>
      <w:proofErr w:type="spellEnd"/>
      <w:r w:rsidR="00A263F3">
        <w:t xml:space="preserve"> Hu talked about China’</w:t>
      </w:r>
      <w:r w:rsidRPr="00AF685D">
        <w:t>s policy to pro</w:t>
      </w:r>
      <w:r w:rsidR="00A263F3">
        <w:t>tect TCEs.  She explained that p</w:t>
      </w:r>
      <w:r w:rsidRPr="00AF685D">
        <w:t>rovisional regulations on the copyright protection of folk literary and artistic works of China h</w:t>
      </w:r>
      <w:r w:rsidR="00A263F3">
        <w:t>ave been drafted to implement Article 6 of the Copyright L</w:t>
      </w:r>
      <w:r w:rsidRPr="00AF685D">
        <w:t xml:space="preserve">aw.  The objectives of these Draft Provisional regulations were to provide copyright protection for folk literary and artistic works, to guarantee the proper use of these works and to encourage their inheritance and development.  A definition and list of types of folk </w:t>
      </w:r>
      <w:r w:rsidR="00DA44D8">
        <w:t>literary and artistic works had been included in the draft p</w:t>
      </w:r>
      <w:r w:rsidRPr="00AF685D">
        <w:t>rovisional regulations.  Folk literary and artistic works in the regulations referred to literary and artistic works that were created and transmitted from generation to generation, in a collective context, by unspecified members of a particular nation, ethnic group or community, and embodied the traditional ideas and cultural values of the nation, ethnic group or community.  Folk literary and artistic works included folk tales, songs, drama, dances, paintings and sculptures, among others.  Ms. Hu clarified that folk literary and artistic works shared some features with works in copyright law, but also had certain particul</w:t>
      </w:r>
      <w:r w:rsidR="001F2E17">
        <w:t>arities.  She pointed out that Article 10 of a Draft Amendment of the Copyright L</w:t>
      </w:r>
      <w:r w:rsidRPr="00AF685D">
        <w:t xml:space="preserve">aw stated that measures for the </w:t>
      </w:r>
      <w:r w:rsidR="001F2E17" w:rsidRPr="00AF685D">
        <w:t xml:space="preserve">copyright </w:t>
      </w:r>
      <w:r w:rsidRPr="00AF685D">
        <w:t>protection of works of expressions of folklore should be established separately by the State Council.</w:t>
      </w:r>
    </w:p>
    <w:p w14:paraId="1E7C32F0" w14:textId="77777777" w:rsidR="00AF685D" w:rsidRPr="00AF685D" w:rsidRDefault="00AF685D" w:rsidP="00AF685D">
      <w:pPr>
        <w:ind w:left="567"/>
      </w:pPr>
    </w:p>
    <w:p w14:paraId="1DBAD2DE" w14:textId="7EBA5050" w:rsidR="00AF685D" w:rsidRPr="00AF685D" w:rsidRDefault="00AF685D" w:rsidP="00AF685D">
      <w:pPr>
        <w:ind w:left="567"/>
      </w:pPr>
      <w:r w:rsidRPr="00AF685D">
        <w:t>Mr. Gihan Indraguptha shared the experiences of Sri Lanka and of the G15 regarding TK and TCEs.  He ex</w:t>
      </w:r>
      <w:r w:rsidR="00A20665">
        <w:t>plained that the Sri Lankan IP L</w:t>
      </w:r>
      <w:r w:rsidRPr="00AF685D">
        <w:t xml:space="preserve">aw had been adopted in 2003. </w:t>
      </w:r>
      <w:r w:rsidR="00A20665">
        <w:t xml:space="preserve"> Before</w:t>
      </w:r>
      <w:r w:rsidRPr="00AF685D">
        <w:t xml:space="preserve"> 2013, </w:t>
      </w:r>
      <w:r w:rsidR="00A20665">
        <w:t>there had been</w:t>
      </w:r>
      <w:r w:rsidRPr="00AF685D">
        <w:t xml:space="preserve"> no basic comprehension of the links between </w:t>
      </w:r>
      <w:r w:rsidR="00A20665">
        <w:t>IP</w:t>
      </w:r>
      <w:r w:rsidRPr="00AF685D">
        <w:t xml:space="preserve">, TK and TCEs.  An assessment was conducted in 2013 and two options were identified:  to wait for an international instrument to be adopted and then ratify it and internalize it, or to do something in the meantime. </w:t>
      </w:r>
      <w:r w:rsidR="00A20665">
        <w:t xml:space="preserve"> </w:t>
      </w:r>
      <w:r w:rsidRPr="00AF685D">
        <w:t xml:space="preserve">Sri Lanka had increased its capacity through institutional capacity-building that had included different government agencies. </w:t>
      </w:r>
      <w:r w:rsidR="00A20665">
        <w:t xml:space="preserve"> </w:t>
      </w:r>
      <w:r w:rsidRPr="00AF685D">
        <w:t>Sri Lanka approached GRs, TK and TCEs separately.  He mentioned that a National policy on TK and TCEs was being drafted.  Regarding the experience of the G15, which was a group of developing countries from Asia, Africa and Latin America, he explained that, since 20</w:t>
      </w:r>
      <w:r w:rsidR="00A20665">
        <w:t xml:space="preserve">13, it had </w:t>
      </w:r>
      <w:r w:rsidR="00A20665">
        <w:lastRenderedPageBreak/>
        <w:t>decided to focus on four</w:t>
      </w:r>
      <w:r w:rsidRPr="00AF685D">
        <w:t xml:space="preserve"> key areas, one of them being IP.  Two </w:t>
      </w:r>
      <w:r w:rsidR="00A20665">
        <w:t>workshop</w:t>
      </w:r>
      <w:r w:rsidRPr="00AF685D">
        <w:t>s of the G15 had take</w:t>
      </w:r>
      <w:r w:rsidR="00A20665">
        <w:t>n place in the last years on tho</w:t>
      </w:r>
      <w:r w:rsidRPr="00AF685D">
        <w:t>se issues, one in Algeria and another one in Sri Lanka on national policy development.</w:t>
      </w:r>
    </w:p>
    <w:p w14:paraId="23385289" w14:textId="77777777" w:rsidR="00AF685D" w:rsidRPr="00AF685D" w:rsidRDefault="00AF685D" w:rsidP="00AF685D">
      <w:pPr>
        <w:ind w:left="567"/>
      </w:pPr>
    </w:p>
    <w:p w14:paraId="42C31AFA" w14:textId="1F1899F3" w:rsidR="00AF685D" w:rsidRPr="00AF685D" w:rsidRDefault="00AF685D" w:rsidP="00AF685D">
      <w:pPr>
        <w:ind w:left="567"/>
      </w:pPr>
      <w:r w:rsidRPr="00AF685D">
        <w:t>Ms. Terri Janke presented an example related to a boomerang to illustrate the imp</w:t>
      </w:r>
      <w:r w:rsidR="00A20665">
        <w:t>lications of considering a TCE ‘</w:t>
      </w:r>
      <w:r w:rsidRPr="00AF685D">
        <w:t>publ</w:t>
      </w:r>
      <w:r w:rsidR="00A20665">
        <w:t>icly available’ or ‘generic’</w:t>
      </w:r>
      <w:r w:rsidRPr="00AF685D">
        <w:t>.  She explained that the styles and shapes of boomerangs differ depending on the clan of origin.  She stressed that many boomerangs remained symbols for indigenous peopl</w:t>
      </w:r>
      <w:r w:rsidR="00A20665">
        <w:t>es.  She mentioned a campaign (Fake arts hurt</w:t>
      </w:r>
      <w:r w:rsidRPr="00AF685D">
        <w:t xml:space="preserve"> culture) that had been put in place to create awareness regarding fake art and its implications (Artists a</w:t>
      </w:r>
      <w:r w:rsidR="00A20665">
        <w:t>re cheated/Buyers are cheated/</w:t>
      </w:r>
      <w:r w:rsidRPr="00AF685D">
        <w:t>Culture is cheated).  These fake items undermine</w:t>
      </w:r>
      <w:r w:rsidR="00A20665">
        <w:t>d</w:t>
      </w:r>
      <w:r w:rsidRPr="00AF685D">
        <w:t xml:space="preserve"> the cultural integrity of indigenous peoples.  Ms. Janke also referred to the amendments introduced in 2016 to the Victorian Aboriginal Heritage Act.  She showed a number of examples considered by some as inspiration and by others as copies.  She explained that indigenous cultural protocols, such as the Australia Council for the Art</w:t>
      </w:r>
      <w:r w:rsidR="00A20665">
        <w:t>s P</w:t>
      </w:r>
      <w:r w:rsidRPr="00AF685D">
        <w:t xml:space="preserve">rotocols for working with indigenous artists, encouraged consent and communication with indigenous peoples when using their TCEs, and had been widely used in Australia.  These protocols have been very strong at encouraging collaboration, such as in the Shell art example.  She advocated for a national indigenous cultural authority which would be owned, controlled and managed by indigenous peoples, and could play a key </w:t>
      </w:r>
      <w:r w:rsidR="00A20665">
        <w:t>role in the facilitation of TCE</w:t>
      </w:r>
      <w:r w:rsidRPr="00AF685D">
        <w:t xml:space="preserve"> rights, while benefitting indigenous peoples, users and consumers.</w:t>
      </w:r>
    </w:p>
    <w:p w14:paraId="51EEAE0E" w14:textId="77777777" w:rsidR="00AF685D" w:rsidRPr="00AF685D" w:rsidRDefault="00AF685D" w:rsidP="00AF685D">
      <w:pPr>
        <w:ind w:left="567"/>
      </w:pPr>
    </w:p>
    <w:p w14:paraId="4C9822A1" w14:textId="11641F08" w:rsidR="00AF685D" w:rsidRPr="00AF685D" w:rsidRDefault="00AF685D" w:rsidP="00AF685D">
      <w:pPr>
        <w:ind w:left="567"/>
      </w:pPr>
      <w:r w:rsidRPr="00AF685D">
        <w:t xml:space="preserve">Mr. Bertrand </w:t>
      </w:r>
      <w:proofErr w:type="spellStart"/>
      <w:r w:rsidRPr="00AF685D">
        <w:t>Moullier</w:t>
      </w:r>
      <w:proofErr w:type="spellEnd"/>
      <w:r w:rsidRPr="00AF685D">
        <w:t xml:space="preserve"> explained that the film industry needed legal certainty and predictability, in particular because of the high costs involved when producing a film.  He wondered whether the framework provided by copyright was sufficient for IPLCs.  He showed concern that new rights to protect TCEs could end up with legal uncertainty and affect creativity, at least for some time.  He presented the example of </w:t>
      </w:r>
      <w:r w:rsidR="00A20665">
        <w:t>‘</w:t>
      </w:r>
      <w:r w:rsidRPr="00AF685D">
        <w:t>Ten Canoes</w:t>
      </w:r>
      <w:r w:rsidR="00A20665">
        <w:t>’</w:t>
      </w:r>
      <w:r w:rsidRPr="00AF685D">
        <w:t xml:space="preserve">, a film that had been made by Rolf de </w:t>
      </w:r>
      <w:proofErr w:type="spellStart"/>
      <w:r w:rsidRPr="00AF685D">
        <w:t>Heer</w:t>
      </w:r>
      <w:proofErr w:type="spellEnd"/>
      <w:r w:rsidRPr="00AF685D">
        <w:t xml:space="preserve"> and the people of Ramingining.  He also presented another example to illustrate what could be considered misappropriation, while at the same time showing concern that over regulation may amount to censorship and diminish freedom of expression.  Mr. </w:t>
      </w:r>
      <w:proofErr w:type="spellStart"/>
      <w:r w:rsidRPr="00AF685D">
        <w:t>Moullier</w:t>
      </w:r>
      <w:proofErr w:type="spellEnd"/>
      <w:r w:rsidRPr="00AF685D">
        <w:t xml:space="preserve"> stressed that he believed in the value of best practi</w:t>
      </w:r>
      <w:r w:rsidR="00A20665">
        <w:t>ces and referred to a filmmaker’</w:t>
      </w:r>
      <w:r w:rsidRPr="00AF685D">
        <w:t>s guide to working with indigenous people, culture and concepts, prepared by Terri Janke and published by Screen Australia.</w:t>
      </w:r>
    </w:p>
    <w:p w14:paraId="037568A3" w14:textId="77777777" w:rsidR="00AF685D" w:rsidRPr="00AF685D" w:rsidRDefault="00AF685D" w:rsidP="00AF685D">
      <w:pPr>
        <w:ind w:left="567"/>
      </w:pPr>
    </w:p>
    <w:p w14:paraId="4A3BE924" w14:textId="43F3914F" w:rsidR="00AF685D" w:rsidRPr="00AF685D" w:rsidRDefault="000633C7" w:rsidP="00AF685D">
      <w:pPr>
        <w:ind w:left="567"/>
      </w:pPr>
      <w:proofErr w:type="spellStart"/>
      <w:r>
        <w:t>Proefessor</w:t>
      </w:r>
      <w:proofErr w:type="spellEnd"/>
      <w:r w:rsidR="00AF685D" w:rsidRPr="00AF685D">
        <w:t xml:space="preserve"> </w:t>
      </w:r>
      <w:proofErr w:type="spellStart"/>
      <w:r w:rsidR="00AF685D" w:rsidRPr="00AF685D">
        <w:t>Okediji</w:t>
      </w:r>
      <w:proofErr w:type="spellEnd"/>
      <w:r w:rsidR="00AF685D" w:rsidRPr="00AF685D">
        <w:t xml:space="preserve"> asked the speakers a number of questions and took questions from the audience.</w:t>
      </w:r>
    </w:p>
    <w:p w14:paraId="776BDF32" w14:textId="77777777" w:rsidR="00AF685D" w:rsidRPr="00AF685D" w:rsidRDefault="00AF685D" w:rsidP="00AF685D">
      <w:pPr>
        <w:ind w:left="567"/>
      </w:pPr>
    </w:p>
    <w:p w14:paraId="005E6832" w14:textId="5CF5724C" w:rsidR="00AF685D" w:rsidRPr="00AF685D" w:rsidRDefault="000633C7" w:rsidP="00AF685D">
      <w:pPr>
        <w:ind w:left="567"/>
      </w:pPr>
      <w:r>
        <w:t>Ms. Janke responded that the n</w:t>
      </w:r>
      <w:r w:rsidR="00AF685D" w:rsidRPr="00AF685D">
        <w:t>ational indigenous cultural authority she had referred to could be a global model.  WIPO could as</w:t>
      </w:r>
      <w:r>
        <w:t>sist with the governance.  The Draft A</w:t>
      </w:r>
      <w:r w:rsidR="00AF685D" w:rsidRPr="00AF685D">
        <w:t>rticle</w:t>
      </w:r>
      <w:r>
        <w:t>s</w:t>
      </w:r>
      <w:r w:rsidR="00AF685D" w:rsidRPr="00AF685D">
        <w:t xml:space="preserve"> dealing with a competent authority should include functions such as facilitation, capacity-building and awareness-raising.  She highlighted that something need</w:t>
      </w:r>
      <w:r w:rsidR="00763182">
        <w:t>ed</w:t>
      </w:r>
      <w:r w:rsidR="00AF685D" w:rsidRPr="00AF685D">
        <w:t xml:space="preserve"> to be done at an international level, because misappropriation mostly happened outside of the borders.</w:t>
      </w:r>
    </w:p>
    <w:p w14:paraId="40CFF059" w14:textId="77777777" w:rsidR="00AF685D" w:rsidRPr="00AF685D" w:rsidRDefault="00AF685D" w:rsidP="00AF685D">
      <w:pPr>
        <w:ind w:left="567"/>
      </w:pPr>
    </w:p>
    <w:p w14:paraId="04446A4B" w14:textId="19FF9C76" w:rsidR="00AF685D" w:rsidRPr="00AF685D" w:rsidRDefault="00AF685D" w:rsidP="00AF685D">
      <w:pPr>
        <w:ind w:left="567"/>
      </w:pPr>
      <w:r w:rsidRPr="00AF685D">
        <w:t xml:space="preserve">Professor </w:t>
      </w:r>
      <w:proofErr w:type="spellStart"/>
      <w:r w:rsidRPr="00AF685D">
        <w:t>Kuruk</w:t>
      </w:r>
      <w:proofErr w:type="spellEnd"/>
      <w:r w:rsidRPr="00AF685D">
        <w:t xml:space="preserve"> clarified that protection and safeguarding could be complementary.  He believed that a stronger framework than</w:t>
      </w:r>
      <w:r w:rsidR="000633C7">
        <w:t xml:space="preserve"> the one provided by the Draft A</w:t>
      </w:r>
      <w:r w:rsidRPr="00AF685D">
        <w:t xml:space="preserve">rticles was needed and wondered, for instance, whether transboundary cooperation was sufficient.  He considered that national treatment had limitations and the principle of reciprocity was relevant and should be considered.  He also expressed concern regarding the </w:t>
      </w:r>
      <w:r w:rsidR="000633C7">
        <w:t>use of qualifiers in the Draft A</w:t>
      </w:r>
      <w:r w:rsidRPr="00AF685D">
        <w:t>rticles that did not allow for effective protection.</w:t>
      </w:r>
    </w:p>
    <w:p w14:paraId="4FAE6695" w14:textId="77777777" w:rsidR="00AF685D" w:rsidRPr="00AF685D" w:rsidRDefault="00AF685D" w:rsidP="00AF685D">
      <w:pPr>
        <w:ind w:left="567"/>
      </w:pPr>
    </w:p>
    <w:p w14:paraId="70A249D4" w14:textId="77777777" w:rsidR="00AF685D" w:rsidRPr="00AF685D" w:rsidRDefault="00AF685D" w:rsidP="00AF685D">
      <w:pPr>
        <w:ind w:left="567"/>
      </w:pPr>
      <w:r w:rsidRPr="00AF685D">
        <w:t>Mr. Indraguptha stressed the need to have the IGC process producing a legally binding instrument.</w:t>
      </w:r>
    </w:p>
    <w:p w14:paraId="1CF732D8" w14:textId="77777777" w:rsidR="00AF685D" w:rsidRPr="00AF685D" w:rsidRDefault="00AF685D" w:rsidP="00AF685D">
      <w:pPr>
        <w:ind w:left="567"/>
      </w:pPr>
    </w:p>
    <w:p w14:paraId="52664070" w14:textId="77777777" w:rsidR="00AF685D" w:rsidRPr="00AF685D" w:rsidRDefault="00AF685D" w:rsidP="00AF685D">
      <w:pPr>
        <w:ind w:left="567"/>
      </w:pPr>
      <w:r w:rsidRPr="00AF685D">
        <w:t xml:space="preserve">Mr. </w:t>
      </w:r>
      <w:proofErr w:type="spellStart"/>
      <w:r w:rsidRPr="00AF685D">
        <w:t>Moullier</w:t>
      </w:r>
      <w:proofErr w:type="spellEnd"/>
      <w:r w:rsidRPr="00AF685D">
        <w:t xml:space="preserve"> wondered whether formalities were needed or whether best practice approaches were not better solutions.</w:t>
      </w:r>
    </w:p>
    <w:p w14:paraId="37C2FCD4" w14:textId="77777777" w:rsidR="00AF685D" w:rsidRPr="00AF685D" w:rsidRDefault="00AF685D" w:rsidP="00AF685D">
      <w:pPr>
        <w:ind w:left="567"/>
      </w:pPr>
    </w:p>
    <w:p w14:paraId="4E6A1952" w14:textId="7C5F3EA0" w:rsidR="00AF685D" w:rsidRPr="00AF685D" w:rsidRDefault="00AF685D" w:rsidP="00AF685D">
      <w:pPr>
        <w:ind w:left="567"/>
      </w:pPr>
      <w:r w:rsidRPr="00AF685D">
        <w:t>Ms. Hu stressed the need to strike a balance between rights holders and the public, as well as the need to make common efforts with other countries to find a common solution.  She also acknowled</w:t>
      </w:r>
      <w:r w:rsidR="000633C7">
        <w:t>ged the need to protect ethnic</w:t>
      </w:r>
      <w:r w:rsidRPr="00AF685D">
        <w:t xml:space="preserve"> groups where they existed but explained that in China that notion</w:t>
      </w:r>
      <w:r w:rsidR="000633C7">
        <w:t xml:space="preserve"> of IPLCs</w:t>
      </w:r>
      <w:r w:rsidRPr="00AF685D">
        <w:t xml:space="preserve"> did not exist.</w:t>
      </w:r>
    </w:p>
    <w:p w14:paraId="575A437E" w14:textId="77777777" w:rsidR="00AF685D" w:rsidRPr="00AF685D" w:rsidRDefault="00AF685D" w:rsidP="00AF685D">
      <w:pPr>
        <w:ind w:left="567"/>
      </w:pPr>
    </w:p>
    <w:p w14:paraId="68AF2031" w14:textId="2D90EF82" w:rsidR="006B7E86" w:rsidRDefault="000633C7" w:rsidP="00AF685D">
      <w:pPr>
        <w:ind w:left="567"/>
      </w:pPr>
      <w:r>
        <w:t>Professor</w:t>
      </w:r>
      <w:r w:rsidR="00AF685D" w:rsidRPr="00AF685D">
        <w:t xml:space="preserve"> </w:t>
      </w:r>
      <w:proofErr w:type="spellStart"/>
      <w:r w:rsidR="00AF685D" w:rsidRPr="00AF685D">
        <w:t>Okediji</w:t>
      </w:r>
      <w:proofErr w:type="spellEnd"/>
      <w:r w:rsidR="00AF685D" w:rsidRPr="00AF685D">
        <w:t xml:space="preserve"> concluded by noting that nobody in the panel had said that protection of TCEs was unimportant or unnecessary.  Nobody had said the outstanding issues were unresolvable.  She believed it was possible to find a way to protect TCEs.</w:t>
      </w:r>
      <w:r w:rsidR="006B7E86" w:rsidRPr="00AF685D">
        <w:t>”</w:t>
      </w:r>
    </w:p>
    <w:p w14:paraId="2172D923" w14:textId="77777777" w:rsidR="006B7E86" w:rsidRDefault="006B7E86" w:rsidP="006B7E86">
      <w:pPr>
        <w:pStyle w:val="ListParagraph"/>
        <w:ind w:left="0"/>
      </w:pPr>
    </w:p>
    <w:p w14:paraId="4E00C551" w14:textId="77777777" w:rsidR="006B7E86" w:rsidRDefault="00376DB5" w:rsidP="002B722B">
      <w:pPr>
        <w:pStyle w:val="ListParagraph"/>
        <w:numPr>
          <w:ilvl w:val="0"/>
          <w:numId w:val="4"/>
        </w:numPr>
        <w:ind w:left="0" w:firstLine="0"/>
      </w:pPr>
      <w:r w:rsidRPr="002B722B">
        <w:t xml:space="preserve">Dr. </w:t>
      </w:r>
      <w:proofErr w:type="spellStart"/>
      <w:r w:rsidRPr="002B722B">
        <w:t>Sumit</w:t>
      </w:r>
      <w:proofErr w:type="spellEnd"/>
      <w:r w:rsidRPr="002B722B">
        <w:t xml:space="preserve"> Seth, First Secretary, Permanent Mission of India to the United Nations, Geneva, Switzerland</w:t>
      </w:r>
      <w:r>
        <w:t>, reported on Roundtable 2</w:t>
      </w:r>
      <w:r w:rsidR="006B7E86">
        <w:t xml:space="preserve"> “</w:t>
      </w:r>
      <w:r w:rsidR="003748EA">
        <w:t>Protection of Traditional Cultural Expressions: Practical Experiences, Initiatives and Projects</w:t>
      </w:r>
      <w:r w:rsidR="006B7E86">
        <w:t>” as below:</w:t>
      </w:r>
    </w:p>
    <w:p w14:paraId="0E9E97B6" w14:textId="77777777" w:rsidR="006B7E86" w:rsidRDefault="006B7E86" w:rsidP="006B7E86">
      <w:pPr>
        <w:pStyle w:val="ListParagraph"/>
        <w:ind w:left="0"/>
      </w:pPr>
    </w:p>
    <w:p w14:paraId="1EEFA755" w14:textId="5EACB5CA" w:rsidR="00AF685D" w:rsidRPr="00AF685D" w:rsidRDefault="00AF685D" w:rsidP="00AF685D">
      <w:pPr>
        <w:ind w:left="567"/>
      </w:pPr>
      <w:r w:rsidRPr="00AF685D">
        <w:t>“Roundtable 2 was moderated by Mr</w:t>
      </w:r>
      <w:r w:rsidR="00D410C0">
        <w:t xml:space="preserve">. Pierre El </w:t>
      </w:r>
      <w:proofErr w:type="spellStart"/>
      <w:r w:rsidR="00D410C0">
        <w:t>Khoury</w:t>
      </w:r>
      <w:proofErr w:type="spellEnd"/>
      <w:r w:rsidRPr="00AF685D">
        <w:t xml:space="preserve">. </w:t>
      </w:r>
    </w:p>
    <w:p w14:paraId="310E91F8" w14:textId="77777777" w:rsidR="00AF685D" w:rsidRPr="00AF685D" w:rsidRDefault="00AF685D" w:rsidP="00AF685D">
      <w:pPr>
        <w:ind w:left="567"/>
      </w:pPr>
    </w:p>
    <w:p w14:paraId="6AF330C8" w14:textId="577BB31B" w:rsidR="00AF685D" w:rsidRPr="00AF685D" w:rsidRDefault="00AF685D" w:rsidP="00AF685D">
      <w:pPr>
        <w:ind w:left="567"/>
      </w:pPr>
      <w:r w:rsidRPr="00AF685D">
        <w:t>Mr</w:t>
      </w:r>
      <w:r w:rsidR="00D410C0">
        <w:t>.</w:t>
      </w:r>
      <w:r w:rsidRPr="00AF685D">
        <w:t xml:space="preserve"> Peter </w:t>
      </w:r>
      <w:proofErr w:type="spellStart"/>
      <w:r w:rsidRPr="00AF685D">
        <w:t>Kamau</w:t>
      </w:r>
      <w:proofErr w:type="spellEnd"/>
      <w:r w:rsidRPr="00AF685D">
        <w:t xml:space="preserve"> presented three Kenyan practical experiences, initiatives and projects for the protection of TCEs. </w:t>
      </w:r>
      <w:r w:rsidR="00D410C0">
        <w:t xml:space="preserve"> </w:t>
      </w:r>
      <w:r w:rsidRPr="00AF685D">
        <w:t xml:space="preserve">The first was digitizing traditional culture of the </w:t>
      </w:r>
      <w:proofErr w:type="spellStart"/>
      <w:r w:rsidRPr="00AF685D">
        <w:t>Masaai</w:t>
      </w:r>
      <w:proofErr w:type="spellEnd"/>
      <w:r w:rsidRPr="00AF685D">
        <w:t xml:space="preserve">, where, following a request from a </w:t>
      </w:r>
      <w:proofErr w:type="spellStart"/>
      <w:r w:rsidRPr="00AF685D">
        <w:t>Maasai</w:t>
      </w:r>
      <w:proofErr w:type="spellEnd"/>
      <w:r w:rsidRPr="00AF685D">
        <w:t xml:space="preserve"> community, WIPO launched a pilot program with the community and the National Museums of Kenya, which enabled the community to create a piece of its own intellectual property in the form of photographs, sound recordings and community databases. The second practical example was bringing IP and branding to basket weaving in Kenya through a multi-step IP-related branding project focusing on </w:t>
      </w:r>
      <w:proofErr w:type="spellStart"/>
      <w:r w:rsidRPr="00AF685D">
        <w:t>Taita</w:t>
      </w:r>
      <w:proofErr w:type="spellEnd"/>
      <w:r w:rsidRPr="00AF685D">
        <w:t xml:space="preserve"> Baskets, with the aim of having a collective mark to protect and promote their baskets. The third was the Protection of Traditional Knowledge and Cultural Expressions Act of Kenya of 2016, which set out a system to ensure that the rights are effectively protected. He summar</w:t>
      </w:r>
      <w:r w:rsidR="00A94BDB">
        <w:t>ized the eight sections of the A</w:t>
      </w:r>
      <w:r w:rsidRPr="00AF685D">
        <w:t>ct, focusing in-depth on the provi</w:t>
      </w:r>
      <w:r w:rsidR="00A94BDB">
        <w:t>sions on Section III, entitled ‘</w:t>
      </w:r>
      <w:r w:rsidRPr="00AF685D">
        <w:t>Prot</w:t>
      </w:r>
      <w:r w:rsidR="00A94BDB">
        <w:t>ection of Cultural Expressions’</w:t>
      </w:r>
      <w:r w:rsidRPr="00AF685D">
        <w:t xml:space="preserve"> in the Act. </w:t>
      </w:r>
    </w:p>
    <w:p w14:paraId="38A83A47" w14:textId="77777777" w:rsidR="00AF685D" w:rsidRPr="00AF685D" w:rsidRDefault="00AF685D" w:rsidP="00AF685D">
      <w:pPr>
        <w:ind w:left="567"/>
      </w:pPr>
    </w:p>
    <w:p w14:paraId="4B3FFF4E" w14:textId="1FC9470B" w:rsidR="00AF685D" w:rsidRPr="00AF685D" w:rsidRDefault="00AF685D" w:rsidP="00AF685D">
      <w:pPr>
        <w:ind w:left="567"/>
      </w:pPr>
      <w:r w:rsidRPr="00AF685D">
        <w:t xml:space="preserve">Ms. Leena </w:t>
      </w:r>
      <w:proofErr w:type="spellStart"/>
      <w:r w:rsidRPr="00AF685D">
        <w:t>Marsio</w:t>
      </w:r>
      <w:proofErr w:type="spellEnd"/>
      <w:r w:rsidRPr="00AF685D">
        <w:t xml:space="preserve"> reported on the Wiki-Inventory of Living Heritage in Finland. </w:t>
      </w:r>
      <w:r w:rsidR="00A94BDB">
        <w:t xml:space="preserve"> </w:t>
      </w:r>
      <w:r w:rsidRPr="00AF685D">
        <w:t>She demonstrated the Wiki-Inventory as a participatory system of community</w:t>
      </w:r>
      <w:r w:rsidR="00A94BDB">
        <w:t>-based inventorying, which gave</w:t>
      </w:r>
      <w:r w:rsidRPr="00AF685D">
        <w:t xml:space="preserve"> a possibility for communities in Finland to make known their heritage. </w:t>
      </w:r>
      <w:r w:rsidR="00A94BDB">
        <w:t xml:space="preserve"> It so far included</w:t>
      </w:r>
      <w:r w:rsidRPr="00AF685D">
        <w:t xml:space="preserve"> 120 examples </w:t>
      </w:r>
      <w:r w:rsidR="00A94BDB">
        <w:t>from 150 communities, which had</w:t>
      </w:r>
      <w:r w:rsidRPr="00AF685D">
        <w:t xml:space="preserve"> been collected through s</w:t>
      </w:r>
      <w:r w:rsidR="00A94BDB">
        <w:t>eminars and other means. There were eight</w:t>
      </w:r>
      <w:r w:rsidRPr="00AF685D">
        <w:t xml:space="preserve"> categories in safeguarding and transmitting the living heritage. </w:t>
      </w:r>
      <w:r w:rsidR="00A94BDB">
        <w:t xml:space="preserve"> All content was</w:t>
      </w:r>
      <w:r w:rsidRPr="00AF685D">
        <w:t xml:space="preserve"> provided and maintained by vario</w:t>
      </w:r>
      <w:r w:rsidR="00A94BDB">
        <w:t>us communities, while the Wiki wa</w:t>
      </w:r>
      <w:r w:rsidRPr="00AF685D">
        <w:t xml:space="preserve">s moderated by the National Board of Antiquities. </w:t>
      </w:r>
      <w:r w:rsidR="00A94BDB">
        <w:t xml:space="preserve"> There wa</w:t>
      </w:r>
      <w:r w:rsidRPr="00AF685D">
        <w:t>s a choice between four different licenses for pho</w:t>
      </w:r>
      <w:r w:rsidR="00A94BDB">
        <w:t>tos and videos and the content was updated every three</w:t>
      </w:r>
      <w:r w:rsidRPr="00AF685D">
        <w:t xml:space="preserve"> years. </w:t>
      </w:r>
      <w:r w:rsidR="00A94BDB">
        <w:t xml:space="preserve"> There wa</w:t>
      </w:r>
      <w:r w:rsidRPr="00AF685D">
        <w:t>s the possibi</w:t>
      </w:r>
      <w:r w:rsidR="00A94BDB">
        <w:t>lity to apply for the National I</w:t>
      </w:r>
      <w:r w:rsidRPr="00AF685D">
        <w:t xml:space="preserve">nventory and from there to international </w:t>
      </w:r>
      <w:r w:rsidR="00A94BDB" w:rsidRPr="00AF685D">
        <w:t xml:space="preserve">intangible cultural heritage </w:t>
      </w:r>
      <w:r w:rsidR="00A94BDB">
        <w:t>(“</w:t>
      </w:r>
      <w:r w:rsidRPr="00AF685D">
        <w:t>ICH</w:t>
      </w:r>
      <w:r w:rsidR="00A94BDB">
        <w:t>”)</w:t>
      </w:r>
      <w:r w:rsidRPr="00AF685D">
        <w:t xml:space="preserve"> lists under UNESCO. </w:t>
      </w:r>
      <w:r w:rsidR="00A94BDB">
        <w:t xml:space="preserve"> There wa</w:t>
      </w:r>
      <w:r w:rsidRPr="00AF685D">
        <w:t xml:space="preserve">s ongoing work in progress for making the Wiki a tool for the Sami on their craft traditions. </w:t>
      </w:r>
    </w:p>
    <w:p w14:paraId="28D096AD" w14:textId="77777777" w:rsidR="00AF685D" w:rsidRPr="00AF685D" w:rsidRDefault="00AF685D" w:rsidP="00AF685D">
      <w:pPr>
        <w:ind w:left="567"/>
      </w:pPr>
    </w:p>
    <w:p w14:paraId="65313F5D" w14:textId="6F06D6CE" w:rsidR="00AF685D" w:rsidRPr="00AF685D" w:rsidRDefault="00AF685D" w:rsidP="00AF685D">
      <w:pPr>
        <w:ind w:left="567"/>
      </w:pPr>
      <w:r w:rsidRPr="00AF685D">
        <w:t>Ms</w:t>
      </w:r>
      <w:r w:rsidR="00A94BDB">
        <w:t>.</w:t>
      </w:r>
      <w:r w:rsidRPr="00AF685D">
        <w:t xml:space="preserve"> Cecilia </w:t>
      </w:r>
      <w:proofErr w:type="spellStart"/>
      <w:r w:rsidRPr="00AF685D">
        <w:t>Picache</w:t>
      </w:r>
      <w:proofErr w:type="spellEnd"/>
      <w:r w:rsidRPr="00AF685D">
        <w:t xml:space="preserve"> presented the experience of the Philippines with inventory-making of </w:t>
      </w:r>
      <w:r w:rsidR="00A94BDB">
        <w:t>ICH</w:t>
      </w:r>
      <w:r w:rsidRPr="00AF685D">
        <w:t>.</w:t>
      </w:r>
      <w:r w:rsidR="00A94BDB">
        <w:t xml:space="preserve"> </w:t>
      </w:r>
      <w:r w:rsidRPr="00AF685D">
        <w:t xml:space="preserve"> She referred to the Philippines National Cultural Heri</w:t>
      </w:r>
      <w:r w:rsidR="00A94BDB">
        <w:t>tage Act of 2009, which provided</w:t>
      </w:r>
      <w:r w:rsidRPr="00AF685D">
        <w:t xml:space="preserve"> for the protection and conservation of the national cultural heritage, strengthening the National Commission for Culture and the Arts and its affiliated cultural agencies. </w:t>
      </w:r>
      <w:r w:rsidR="00A94BDB">
        <w:t xml:space="preserve"> </w:t>
      </w:r>
      <w:r w:rsidRPr="00AF685D">
        <w:t>Secti</w:t>
      </w:r>
      <w:r w:rsidR="00A94BDB">
        <w:t>on 3 of the Act defined that ICH should</w:t>
      </w:r>
      <w:r w:rsidRPr="00AF685D">
        <w:t xml:space="preserve"> refer to the practices, representations, expressions, knowledge, skills. </w:t>
      </w:r>
      <w:r w:rsidR="00A94BDB">
        <w:t xml:space="preserve"> Section 19 wa</w:t>
      </w:r>
      <w:r w:rsidRPr="00AF685D">
        <w:t>s entitled Natio</w:t>
      </w:r>
      <w:r w:rsidR="00A94BDB">
        <w:t>nal Inventory of ICH and assigned</w:t>
      </w:r>
      <w:r w:rsidRPr="00AF685D">
        <w:t xml:space="preserve"> national responsibilities. </w:t>
      </w:r>
      <w:r w:rsidR="00A94BDB">
        <w:t xml:space="preserve"> </w:t>
      </w:r>
      <w:r w:rsidRPr="00AF685D">
        <w:t>She speci</w:t>
      </w:r>
      <w:r w:rsidR="00A94BDB">
        <w:t>fied that the Inventory included</w:t>
      </w:r>
      <w:r w:rsidRPr="00AF685D">
        <w:t xml:space="preserve"> tangible and intangible heritage, such as rice terraces and rituals.</w:t>
      </w:r>
      <w:r w:rsidR="00A94BDB">
        <w:t xml:space="preserve"> </w:t>
      </w:r>
      <w:r w:rsidRPr="00AF685D">
        <w:t xml:space="preserve"> At present </w:t>
      </w:r>
      <w:r w:rsidR="00A94BDB">
        <w:t>there we</w:t>
      </w:r>
      <w:r w:rsidRPr="00AF685D">
        <w:t xml:space="preserve">re 41 entries on oral traditions, 10 performing arts, 246 rituals/social practices, 26 knowledges concerning nature and 39 </w:t>
      </w:r>
      <w:proofErr w:type="spellStart"/>
      <w:r w:rsidR="00A94BDB" w:rsidRPr="00AF685D">
        <w:t>craftsmanship</w:t>
      </w:r>
      <w:r w:rsidR="00A94BDB">
        <w:t>s</w:t>
      </w:r>
      <w:proofErr w:type="spellEnd"/>
      <w:r w:rsidRPr="00AF685D">
        <w:t xml:space="preserve">. </w:t>
      </w:r>
      <w:r w:rsidR="00A94BDB">
        <w:t xml:space="preserve"> </w:t>
      </w:r>
      <w:proofErr w:type="gramStart"/>
      <w:r w:rsidRPr="00AF685D">
        <w:t>Approaches to inventory making include</w:t>
      </w:r>
      <w:r w:rsidR="00A94BDB">
        <w:t>d</w:t>
      </w:r>
      <w:r w:rsidRPr="00AF685D">
        <w:t xml:space="preserve"> field research and documentation.</w:t>
      </w:r>
      <w:proofErr w:type="gramEnd"/>
      <w:r w:rsidRPr="00AF685D">
        <w:t xml:space="preserve"> </w:t>
      </w:r>
      <w:r w:rsidR="00A94BDB">
        <w:t xml:space="preserve"> </w:t>
      </w:r>
      <w:r w:rsidRPr="00AF685D">
        <w:t>She concluded with the Summa</w:t>
      </w:r>
      <w:r w:rsidR="00A94BDB">
        <w:t xml:space="preserve">ry Inventory Form and with the </w:t>
      </w:r>
      <w:r w:rsidRPr="00AF685D">
        <w:t>Na</w:t>
      </w:r>
      <w:r w:rsidR="00A94BDB">
        <w:t>tional Portal Cultural Databank</w:t>
      </w:r>
      <w:r w:rsidRPr="00AF685D">
        <w:t xml:space="preserve"> and information sharing practices.</w:t>
      </w:r>
    </w:p>
    <w:p w14:paraId="43020CD3" w14:textId="77777777" w:rsidR="00AF685D" w:rsidRPr="00AF685D" w:rsidRDefault="00AF685D" w:rsidP="00AF685D">
      <w:pPr>
        <w:ind w:left="567"/>
      </w:pPr>
    </w:p>
    <w:p w14:paraId="793FA0A1" w14:textId="5E38933D" w:rsidR="00AF685D" w:rsidRPr="00AF685D" w:rsidRDefault="00AF685D" w:rsidP="00AF685D">
      <w:pPr>
        <w:ind w:left="567"/>
      </w:pPr>
      <w:r w:rsidRPr="00AF685D">
        <w:lastRenderedPageBreak/>
        <w:t>Mr. Ken Van Vey described the work of the Indian Arts and Crafts Board (</w:t>
      </w:r>
      <w:r w:rsidR="001468DA">
        <w:t>“</w:t>
      </w:r>
      <w:r w:rsidRPr="00AF685D">
        <w:t>IACB</w:t>
      </w:r>
      <w:r w:rsidR="001468DA">
        <w:t>”</w:t>
      </w:r>
      <w:r w:rsidRPr="00AF685D">
        <w:t xml:space="preserve">) of the </w:t>
      </w:r>
      <w:r w:rsidR="001468DA">
        <w:t>USA</w:t>
      </w:r>
      <w:r w:rsidRPr="00AF685D">
        <w:t xml:space="preserve">, which was created by Congress to promote the economic development of American Indians and Alaska Natives through the expansion of the Indian arts and crafts market. </w:t>
      </w:r>
      <w:r w:rsidR="001468DA">
        <w:t xml:space="preserve"> A top priority of the IACB wa</w:t>
      </w:r>
      <w:r w:rsidRPr="00AF685D">
        <w:t>s the implementation and enforcement of the Indian Arts and Crafts Act of 1990, a truth-</w:t>
      </w:r>
      <w:r w:rsidR="001468DA">
        <w:t>in-advertising law that provided</w:t>
      </w:r>
      <w:r w:rsidRPr="00AF685D">
        <w:t xml:space="preserve"> criminal and civil penal</w:t>
      </w:r>
      <w:r w:rsidR="001468DA">
        <w:t>ties for marketing products as ‘Indian-made’ when such products we</w:t>
      </w:r>
      <w:r w:rsidRPr="00AF685D">
        <w:t xml:space="preserve">re not made by Indians. </w:t>
      </w:r>
      <w:r w:rsidR="001468DA">
        <w:t xml:space="preserve"> The Act prohibited</w:t>
      </w:r>
      <w:r w:rsidRPr="00AF685D">
        <w:t xml:space="preserve"> the offer or display for sale, or sale of any art or craft product i</w:t>
      </w:r>
      <w:r w:rsidR="001468DA">
        <w:t>n a manner that falsely suggested it wa</w:t>
      </w:r>
      <w:r w:rsidRPr="00AF685D">
        <w:t xml:space="preserve">s American Indian or Alaska Native made. </w:t>
      </w:r>
      <w:r w:rsidR="001468DA">
        <w:t xml:space="preserve"> Criminal penalties might</w:t>
      </w:r>
      <w:r w:rsidRPr="00AF685D">
        <w:t xml:space="preserve"> include individual fines and imprisonment up to 15 years or corporate penalties. </w:t>
      </w:r>
      <w:r w:rsidR="001468DA">
        <w:t xml:space="preserve"> </w:t>
      </w:r>
      <w:r w:rsidRPr="00AF685D">
        <w:t>Civil penalties include</w:t>
      </w:r>
      <w:r w:rsidR="001468DA">
        <w:t>d</w:t>
      </w:r>
      <w:r w:rsidRPr="00AF685D">
        <w:t xml:space="preserve"> injunctive or other equitable relief, treble damages or punitive damages. </w:t>
      </w:r>
      <w:r w:rsidR="001468DA">
        <w:t xml:space="preserve"> </w:t>
      </w:r>
      <w:r w:rsidRPr="00AF685D">
        <w:t>Types of art and c</w:t>
      </w:r>
      <w:r w:rsidR="001468DA">
        <w:t>raft products misrepresented might</w:t>
      </w:r>
      <w:r w:rsidRPr="00AF685D">
        <w:t xml:space="preserve"> be both traditional and non-traditional styles of jewelry, beadwork, weavings, clothing, carvings, basketry and fine art. </w:t>
      </w:r>
      <w:r w:rsidR="001468DA">
        <w:t xml:space="preserve"> </w:t>
      </w:r>
      <w:r w:rsidRPr="00AF685D">
        <w:t>He provided examples of cases relating to TCEs and concluded by referring to possible additional protection through copyright, t</w:t>
      </w:r>
      <w:r w:rsidR="001468DA">
        <w:t>rademark, State Laws and custom</w:t>
      </w:r>
      <w:r w:rsidRPr="00AF685D">
        <w:t xml:space="preserve"> regulations and to a brochure on IP for Native Americans, including copyright and trademark protection. </w:t>
      </w:r>
    </w:p>
    <w:p w14:paraId="7C3D0F99" w14:textId="77777777" w:rsidR="00AF685D" w:rsidRPr="00AF685D" w:rsidRDefault="00AF685D" w:rsidP="00AF685D">
      <w:pPr>
        <w:ind w:left="567"/>
      </w:pPr>
    </w:p>
    <w:p w14:paraId="752EC814" w14:textId="090E5CB2" w:rsidR="006B7E86" w:rsidRDefault="00AF685D" w:rsidP="00AF685D">
      <w:pPr>
        <w:ind w:left="567"/>
      </w:pPr>
      <w:r w:rsidRPr="00AF685D">
        <w:t>Dr. Jane Anderson presented ‘Loc</w:t>
      </w:r>
      <w:r w:rsidR="001468DA">
        <w:t>al Contexts’, which was</w:t>
      </w:r>
      <w:r w:rsidRPr="00AF685D">
        <w:t xml:space="preserve"> an initiative to support Native, First Nations, Aboriginal, and Indigenous communities in the management of their IP and cultural heritage specifically within the d</w:t>
      </w:r>
      <w:r w:rsidR="001468DA">
        <w:t>igital environment.  It provided</w:t>
      </w:r>
      <w:r w:rsidRPr="00AF685D">
        <w:t xml:space="preserve"> legal, extra-legal, and educational strategies for navigating copyright law and the public domain status of this valuable cultural heritage. </w:t>
      </w:r>
      <w:r w:rsidR="001468DA">
        <w:t xml:space="preserve"> It developed</w:t>
      </w:r>
      <w:r w:rsidRPr="00AF685D">
        <w:t xml:space="preserve"> strategic resources and practical solutions. </w:t>
      </w:r>
      <w:r w:rsidR="001468DA">
        <w:t xml:space="preserve"> </w:t>
      </w:r>
      <w:r w:rsidRPr="00AF685D">
        <w:t>She summarized the pr</w:t>
      </w:r>
      <w:r w:rsidR="001468DA">
        <w:t>oblems that the initiative sought</w:t>
      </w:r>
      <w:r w:rsidRPr="00AF685D">
        <w:t xml:space="preserve"> to address, its alternative licensing and labelling approaches, in particular the TK Label. </w:t>
      </w:r>
      <w:r w:rsidR="001468DA">
        <w:t xml:space="preserve"> </w:t>
      </w:r>
      <w:r w:rsidRPr="00AF685D">
        <w:t xml:space="preserve">She described the functioning of the TK Labels and </w:t>
      </w:r>
      <w:proofErr w:type="gramStart"/>
      <w:r w:rsidRPr="00AF685D">
        <w:t>work</w:t>
      </w:r>
      <w:proofErr w:type="gramEnd"/>
      <w:r w:rsidRPr="00AF685D">
        <w:t xml:space="preserve"> for communities to customize the TK Label themselves.  After providing numerous examples of the application of the initiative, she concluded with an outlook on next steps which might include enhancing the Tribal Partner Coalition for TK Label development, building a model for institutional implementation, testing TK labels in other digital context</w:t>
      </w:r>
      <w:r w:rsidR="001468DA">
        <w:t>, creating a TK Label citation</w:t>
      </w:r>
      <w:r w:rsidRPr="00AF685D">
        <w:t xml:space="preserve"> guide and developing a new TK notice for biodiversity collections.</w:t>
      </w:r>
      <w:r w:rsidR="006B7E86" w:rsidRPr="00AF685D">
        <w:t>”</w:t>
      </w:r>
    </w:p>
    <w:p w14:paraId="1EBE927E" w14:textId="77777777" w:rsidR="006B7E86" w:rsidRDefault="006B7E86" w:rsidP="003748EA"/>
    <w:p w14:paraId="10069C8E" w14:textId="1204437B" w:rsidR="006B7E86" w:rsidRDefault="005803FF" w:rsidP="002B722B">
      <w:pPr>
        <w:pStyle w:val="ListParagraph"/>
        <w:numPr>
          <w:ilvl w:val="0"/>
          <w:numId w:val="4"/>
        </w:numPr>
        <w:ind w:left="0" w:firstLine="0"/>
      </w:pPr>
      <w:r w:rsidRPr="002B722B">
        <w:t>Ms. Bernadette Butler, Minister-Counsellor, Permanent Mission of the Commonwealth of the Bahamas to the United Nations Office and other international organizations, Geneva, Switzerland</w:t>
      </w:r>
      <w:r>
        <w:t>, reported on Roundtable 3</w:t>
      </w:r>
      <w:r w:rsidR="006B7E86">
        <w:t xml:space="preserve"> “</w:t>
      </w:r>
      <w:r w:rsidR="00997D7B">
        <w:t xml:space="preserve">Key Policy Issues on Intellectual Property and Traditional Cultural Expressions: </w:t>
      </w:r>
      <w:r w:rsidR="00773B17">
        <w:t xml:space="preserve"> </w:t>
      </w:r>
      <w:r w:rsidR="00997D7B">
        <w:t>Session Two</w:t>
      </w:r>
      <w:r w:rsidR="006B7E86">
        <w:t>” as below:</w:t>
      </w:r>
    </w:p>
    <w:p w14:paraId="68B0B093" w14:textId="77777777" w:rsidR="006B7E86" w:rsidRDefault="006B7E86" w:rsidP="006B7E86">
      <w:pPr>
        <w:pStyle w:val="ListParagraph"/>
        <w:ind w:left="0"/>
      </w:pPr>
    </w:p>
    <w:p w14:paraId="396E752A" w14:textId="4F2EBBE7" w:rsidR="00822F68" w:rsidRDefault="00AF685D" w:rsidP="00822F68">
      <w:pPr>
        <w:ind w:left="567"/>
        <w:rPr>
          <w:lang w:val="en-GB"/>
        </w:rPr>
      </w:pPr>
      <w:r w:rsidRPr="00404018">
        <w:t>“</w:t>
      </w:r>
      <w:r w:rsidR="00822F68" w:rsidRPr="00822F68">
        <w:rPr>
          <w:lang w:val="en-GB"/>
        </w:rPr>
        <w:t xml:space="preserve">Roundtable </w:t>
      </w:r>
      <w:r w:rsidR="00822F68">
        <w:rPr>
          <w:lang w:val="en-GB"/>
        </w:rPr>
        <w:t>3</w:t>
      </w:r>
      <w:r w:rsidR="00822F68" w:rsidRPr="00822F68">
        <w:rPr>
          <w:lang w:val="en-GB"/>
        </w:rPr>
        <w:t xml:space="preserve"> was a continuation of the discussion started during Roundtable </w:t>
      </w:r>
      <w:r w:rsidR="00822F68">
        <w:rPr>
          <w:lang w:val="en-GB"/>
        </w:rPr>
        <w:t>1</w:t>
      </w:r>
      <w:r w:rsidR="00822F68" w:rsidRPr="00822F68">
        <w:rPr>
          <w:lang w:val="en-GB"/>
        </w:rPr>
        <w:t xml:space="preserve"> on ‘Key Policy Issues on Intellectual Property and Tradition Cultural Expressions’</w:t>
      </w:r>
      <w:r w:rsidR="00822F68" w:rsidRPr="00822F68">
        <w:rPr>
          <w:i/>
          <w:lang w:val="en-GB"/>
        </w:rPr>
        <w:t>.</w:t>
      </w:r>
      <w:r w:rsidR="00822F68" w:rsidRPr="00822F68">
        <w:rPr>
          <w:lang w:val="en-GB"/>
        </w:rPr>
        <w:t xml:space="preserve"> </w:t>
      </w:r>
      <w:r w:rsidR="00822F68">
        <w:rPr>
          <w:lang w:val="en-GB"/>
        </w:rPr>
        <w:t xml:space="preserve"> Ms. Terr</w:t>
      </w:r>
      <w:r w:rsidR="00AD61CD">
        <w:rPr>
          <w:lang w:val="en-GB"/>
        </w:rPr>
        <w:t>i</w:t>
      </w:r>
      <w:r w:rsidR="00822F68">
        <w:rPr>
          <w:lang w:val="en-GB"/>
        </w:rPr>
        <w:t xml:space="preserve"> Ja</w:t>
      </w:r>
      <w:r w:rsidR="00822F68" w:rsidRPr="00822F68">
        <w:rPr>
          <w:lang w:val="en-GB"/>
        </w:rPr>
        <w:t>nke, a renowned attorney and advocate for indigenous rights moderated the session, and there were five distinguished speakers.</w:t>
      </w:r>
    </w:p>
    <w:p w14:paraId="059844FF" w14:textId="77777777" w:rsidR="00822F68" w:rsidRPr="00822F68" w:rsidRDefault="00822F68" w:rsidP="00822F68">
      <w:pPr>
        <w:ind w:left="567"/>
        <w:rPr>
          <w:lang w:val="en-GB"/>
        </w:rPr>
      </w:pPr>
    </w:p>
    <w:p w14:paraId="5D91971C" w14:textId="4BBDC9A8" w:rsidR="00822F68" w:rsidRDefault="00822F68" w:rsidP="00822F68">
      <w:pPr>
        <w:ind w:left="567"/>
        <w:rPr>
          <w:lang w:val="en-GB"/>
        </w:rPr>
      </w:pPr>
      <w:r w:rsidRPr="00822F68">
        <w:rPr>
          <w:lang w:val="en-GB"/>
        </w:rPr>
        <w:t xml:space="preserve">The first speaker, Ms. Paola Moreno </w:t>
      </w:r>
      <w:proofErr w:type="spellStart"/>
      <w:r w:rsidRPr="00822F68">
        <w:rPr>
          <w:lang w:val="en-GB"/>
        </w:rPr>
        <w:t>Latorre</w:t>
      </w:r>
      <w:proofErr w:type="spellEnd"/>
      <w:r w:rsidRPr="00822F68">
        <w:rPr>
          <w:lang w:val="en-GB"/>
        </w:rPr>
        <w:t xml:space="preserve">, Advisor on Intellectual Property, Department of Economic, Social and Environmental Issues, Ministry of Foreign Affairs, Bogota, Colombia, spoke about Colombia’s experiences with </w:t>
      </w:r>
      <w:r>
        <w:rPr>
          <w:lang w:val="en-GB"/>
        </w:rPr>
        <w:t>regard to the protection of TCE</w:t>
      </w:r>
      <w:r w:rsidRPr="00822F68">
        <w:rPr>
          <w:lang w:val="en-GB"/>
        </w:rPr>
        <w:t xml:space="preserve">s from an </w:t>
      </w:r>
      <w:r>
        <w:rPr>
          <w:lang w:val="en-GB"/>
        </w:rPr>
        <w:t>IP</w:t>
      </w:r>
      <w:r w:rsidRPr="00822F68">
        <w:rPr>
          <w:lang w:val="en-GB"/>
        </w:rPr>
        <w:t xml:space="preserve"> pers</w:t>
      </w:r>
      <w:r>
        <w:rPr>
          <w:lang w:val="en-GB"/>
        </w:rPr>
        <w:t>pective.  She explained that TCEs could</w:t>
      </w:r>
      <w:r w:rsidRPr="00822F68">
        <w:rPr>
          <w:lang w:val="en-GB"/>
        </w:rPr>
        <w:t xml:space="preserve"> be registered as appellations of origin, and that Andean Community Decision 486</w:t>
      </w:r>
      <w:r>
        <w:rPr>
          <w:lang w:val="en-GB"/>
        </w:rPr>
        <w:t>/00 recognised</w:t>
      </w:r>
      <w:r w:rsidRPr="00822F68">
        <w:rPr>
          <w:lang w:val="en-GB"/>
        </w:rPr>
        <w:t xml:space="preserve"> them as geographical indications, thereby offering protection to traditional products.  She further stated that </w:t>
      </w:r>
      <w:r>
        <w:rPr>
          <w:lang w:val="en-GB"/>
        </w:rPr>
        <w:t>technical and legal assistance wa</w:t>
      </w:r>
      <w:r w:rsidRPr="00822F68">
        <w:rPr>
          <w:lang w:val="en-GB"/>
        </w:rPr>
        <w:t xml:space="preserve">s given to </w:t>
      </w:r>
      <w:r>
        <w:rPr>
          <w:lang w:val="en-GB"/>
        </w:rPr>
        <w:t>IPLCs</w:t>
      </w:r>
      <w:r w:rsidRPr="00822F68">
        <w:rPr>
          <w:lang w:val="en-GB"/>
        </w:rPr>
        <w:t xml:space="preserve"> that wished to promote and register their handicrafts as appellations of origin.  Th</w:t>
      </w:r>
      <w:r>
        <w:rPr>
          <w:lang w:val="en-GB"/>
        </w:rPr>
        <w:t>is system, along with awareness</w:t>
      </w:r>
      <w:r>
        <w:rPr>
          <w:lang w:val="en-GB"/>
        </w:rPr>
        <w:noBreakHyphen/>
        <w:t>raising had</w:t>
      </w:r>
      <w:r w:rsidRPr="00822F68">
        <w:rPr>
          <w:lang w:val="en-GB"/>
        </w:rPr>
        <w:t xml:space="preserve"> helped to prevent misappropriation of Colombian traditional products.  However, challenges remain</w:t>
      </w:r>
      <w:r w:rsidR="00CA579C">
        <w:rPr>
          <w:lang w:val="en-GB"/>
        </w:rPr>
        <w:t>ed</w:t>
      </w:r>
      <w:r w:rsidRPr="00822F68">
        <w:rPr>
          <w:lang w:val="en-GB"/>
        </w:rPr>
        <w:t>, which she argued could only be addressed wit</w:t>
      </w:r>
      <w:r w:rsidR="00CA579C">
        <w:rPr>
          <w:lang w:val="en-GB"/>
        </w:rPr>
        <w:t>h the establishment of a rights</w:t>
      </w:r>
      <w:r w:rsidR="00CA579C">
        <w:rPr>
          <w:lang w:val="en-GB"/>
        </w:rPr>
        <w:noBreakHyphen/>
      </w:r>
      <w:r w:rsidRPr="00822F68">
        <w:rPr>
          <w:lang w:val="en-GB"/>
        </w:rPr>
        <w:t xml:space="preserve">based international </w:t>
      </w:r>
      <w:r w:rsidRPr="00822F68">
        <w:rPr>
          <w:i/>
          <w:lang w:val="en-GB"/>
        </w:rPr>
        <w:t>sui generis</w:t>
      </w:r>
      <w:r w:rsidRPr="00822F68">
        <w:rPr>
          <w:lang w:val="en-GB"/>
        </w:rPr>
        <w:t xml:space="preserve"> protection system for TCEs, which would further contribute to the empowerment of IPLCs, facilitate the commercial use of TCEs, and support the preservation of </w:t>
      </w:r>
      <w:r w:rsidR="00CA579C">
        <w:rPr>
          <w:lang w:val="en-GB"/>
        </w:rPr>
        <w:t>ICH</w:t>
      </w:r>
      <w:r w:rsidRPr="00822F68">
        <w:rPr>
          <w:lang w:val="en-GB"/>
        </w:rPr>
        <w:t>.</w:t>
      </w:r>
    </w:p>
    <w:p w14:paraId="4AEE0C3F" w14:textId="77777777" w:rsidR="00CA579C" w:rsidRPr="00822F68" w:rsidRDefault="00CA579C" w:rsidP="00822F68">
      <w:pPr>
        <w:ind w:left="567"/>
        <w:rPr>
          <w:lang w:val="en-GB"/>
        </w:rPr>
      </w:pPr>
    </w:p>
    <w:p w14:paraId="355EF89F" w14:textId="79010509" w:rsidR="00822F68" w:rsidRDefault="00822F68" w:rsidP="00822F68">
      <w:pPr>
        <w:ind w:left="567"/>
        <w:rPr>
          <w:lang w:val="en-GB"/>
        </w:rPr>
      </w:pPr>
      <w:r w:rsidRPr="00822F68">
        <w:rPr>
          <w:lang w:val="en-GB"/>
        </w:rPr>
        <w:lastRenderedPageBreak/>
        <w:t xml:space="preserve">The second speaker, Mr. </w:t>
      </w:r>
      <w:proofErr w:type="spellStart"/>
      <w:r w:rsidRPr="00822F68">
        <w:rPr>
          <w:lang w:val="en-GB"/>
        </w:rPr>
        <w:t>Erry</w:t>
      </w:r>
      <w:proofErr w:type="spellEnd"/>
      <w:r w:rsidRPr="00822F68">
        <w:rPr>
          <w:lang w:val="en-GB"/>
        </w:rPr>
        <w:t xml:space="preserve"> </w:t>
      </w:r>
      <w:proofErr w:type="spellStart"/>
      <w:r w:rsidRPr="00822F68">
        <w:rPr>
          <w:lang w:val="en-GB"/>
        </w:rPr>
        <w:t>Wahyu</w:t>
      </w:r>
      <w:proofErr w:type="spellEnd"/>
      <w:r w:rsidRPr="00822F68">
        <w:rPr>
          <w:lang w:val="en-GB"/>
        </w:rPr>
        <w:t xml:space="preserve"> </w:t>
      </w:r>
      <w:proofErr w:type="spellStart"/>
      <w:r w:rsidRPr="00822F68">
        <w:rPr>
          <w:lang w:val="en-GB"/>
        </w:rPr>
        <w:t>Prasetyo</w:t>
      </w:r>
      <w:proofErr w:type="spellEnd"/>
      <w:r w:rsidRPr="00822F68">
        <w:rPr>
          <w:lang w:val="en-GB"/>
        </w:rPr>
        <w:t xml:space="preserve">, Third Secretary, Permanent Mission of the Republic of Indonesia to the United Nations Office and other International Organisations, Geneva, who spoke in his personal capacity, emphasised that protection of TCEs was a vital issue for IPLCs and nations, as TCEs were at the very heart of their cultural identity.  He argued that an IP approach to the issue of the protection of TCEs was justified since </w:t>
      </w:r>
      <w:r w:rsidR="00CA579C">
        <w:rPr>
          <w:lang w:val="en-GB"/>
        </w:rPr>
        <w:t>IP r</w:t>
      </w:r>
      <w:r w:rsidRPr="00822F68">
        <w:rPr>
          <w:lang w:val="en-GB"/>
        </w:rPr>
        <w:t>ights protected the investment in creativity and time that were involved in the development of TCEs.  Mr. Prasetyo stated that the overarching objective should be to provide the TCE holders with a means to control the use of their TCEs outside of the customary context, and prevent their misappropriation and misuse.  He stated further that the beneficiaries should be IPLCs and, wherever circumstances required, nations.  Mr. Prasetyo gave the example of Indonesia, where, for historical</w:t>
      </w:r>
      <w:r w:rsidR="00CA579C">
        <w:rPr>
          <w:lang w:val="en-GB"/>
        </w:rPr>
        <w:t xml:space="preserve"> reasons, the concept of IPLCs wa</w:t>
      </w:r>
      <w:r w:rsidRPr="00822F68">
        <w:rPr>
          <w:lang w:val="en-GB"/>
        </w:rPr>
        <w:t>s not relevant,</w:t>
      </w:r>
      <w:r w:rsidR="00CA579C">
        <w:rPr>
          <w:lang w:val="en-GB"/>
        </w:rPr>
        <w:t xml:space="preserve"> rather the concept of nations wa</w:t>
      </w:r>
      <w:r w:rsidRPr="00822F68">
        <w:rPr>
          <w:lang w:val="en-GB"/>
        </w:rPr>
        <w:t>s relevant.  He said that the sort of protection that was sought, which was distinct from preservation, should include moral and economic rights, should apply to the different types of TCEs, should accommodate their evolving character, and should be based on fairness, justice and mutual respect.</w:t>
      </w:r>
    </w:p>
    <w:p w14:paraId="372B121F" w14:textId="77777777" w:rsidR="00CA579C" w:rsidRPr="00822F68" w:rsidRDefault="00CA579C" w:rsidP="00822F68">
      <w:pPr>
        <w:ind w:left="567"/>
        <w:rPr>
          <w:lang w:val="en-GB"/>
        </w:rPr>
      </w:pPr>
    </w:p>
    <w:p w14:paraId="1774B15F" w14:textId="625278E7" w:rsidR="00822F68" w:rsidRDefault="00822F68" w:rsidP="00822F68">
      <w:pPr>
        <w:ind w:left="567"/>
        <w:rPr>
          <w:lang w:val="en-GB"/>
        </w:rPr>
      </w:pPr>
      <w:r w:rsidRPr="00822F68">
        <w:rPr>
          <w:lang w:val="en-GB"/>
        </w:rPr>
        <w:t xml:space="preserve">The third speaker, Mr. Amadou Tankoano, Professor of Law, Faculty of Law and Political Science, Abdou, </w:t>
      </w:r>
      <w:proofErr w:type="spellStart"/>
      <w:r w:rsidRPr="00822F68">
        <w:rPr>
          <w:lang w:val="en-GB"/>
        </w:rPr>
        <w:t>Moumouni</w:t>
      </w:r>
      <w:proofErr w:type="spellEnd"/>
      <w:r w:rsidRPr="00822F68">
        <w:rPr>
          <w:lang w:val="en-GB"/>
        </w:rPr>
        <w:t xml:space="preserve"> University, Niamey, Niger, made the case in support of an undefined duration of protection for TCEs, in contrast to the limited duration that was granted under copyright, as far as economic rights were concerned.  He bolstered his argument with the following points – namely, that TCEs were rooted in the cultural identity of the traditional communities, and were not merely economic assets</w:t>
      </w:r>
      <w:proofErr w:type="gramStart"/>
      <w:r w:rsidRPr="00822F68">
        <w:rPr>
          <w:lang w:val="en-GB"/>
        </w:rPr>
        <w:t xml:space="preserve">; </w:t>
      </w:r>
      <w:r w:rsidR="00CA579C">
        <w:rPr>
          <w:lang w:val="en-GB"/>
        </w:rPr>
        <w:t xml:space="preserve"> </w:t>
      </w:r>
      <w:r w:rsidRPr="00822F68">
        <w:rPr>
          <w:lang w:val="en-GB"/>
        </w:rPr>
        <w:t>that</w:t>
      </w:r>
      <w:proofErr w:type="gramEnd"/>
      <w:r w:rsidRPr="00822F68">
        <w:rPr>
          <w:lang w:val="en-GB"/>
        </w:rPr>
        <w:t xml:space="preserve"> TCEs con</w:t>
      </w:r>
      <w:r w:rsidR="00CA579C">
        <w:rPr>
          <w:lang w:val="en-GB"/>
        </w:rPr>
        <w:t>stituted a heritage whose trans</w:t>
      </w:r>
      <w:r w:rsidR="00CA579C">
        <w:rPr>
          <w:lang w:val="en-GB"/>
        </w:rPr>
        <w:noBreakHyphen/>
      </w:r>
      <w:r w:rsidRPr="00822F68">
        <w:rPr>
          <w:lang w:val="en-GB"/>
        </w:rPr>
        <w:t xml:space="preserve">generational evolution was continuous; </w:t>
      </w:r>
      <w:r w:rsidR="00CA579C">
        <w:rPr>
          <w:lang w:val="en-GB"/>
        </w:rPr>
        <w:t xml:space="preserve"> and that IP rights</w:t>
      </w:r>
      <w:r w:rsidRPr="00822F68">
        <w:rPr>
          <w:lang w:val="en-GB"/>
        </w:rPr>
        <w:t xml:space="preserve"> of l</w:t>
      </w:r>
      <w:r w:rsidR="00CA579C">
        <w:rPr>
          <w:lang w:val="en-GB"/>
        </w:rPr>
        <w:t>imited duration suited the life</w:t>
      </w:r>
      <w:r w:rsidR="00CA579C">
        <w:rPr>
          <w:lang w:val="en-GB"/>
        </w:rPr>
        <w:noBreakHyphen/>
      </w:r>
      <w:r w:rsidRPr="00822F68">
        <w:rPr>
          <w:lang w:val="en-GB"/>
        </w:rPr>
        <w:t>span of individuals, but not communities, who were the custodians of TCEs.  However, Professor Tankoano stressed that indefinite protection should not be interpreted as permanent protection.</w:t>
      </w:r>
    </w:p>
    <w:p w14:paraId="10F512D5" w14:textId="77777777" w:rsidR="00CA579C" w:rsidRPr="00822F68" w:rsidRDefault="00CA579C" w:rsidP="00822F68">
      <w:pPr>
        <w:ind w:left="567"/>
        <w:rPr>
          <w:lang w:val="en-GB"/>
        </w:rPr>
      </w:pPr>
    </w:p>
    <w:p w14:paraId="72C55988" w14:textId="5726A140" w:rsidR="00822F68" w:rsidRDefault="00822F68" w:rsidP="00822F68">
      <w:pPr>
        <w:ind w:left="567"/>
        <w:rPr>
          <w:lang w:val="en-GB"/>
        </w:rPr>
      </w:pPr>
      <w:r w:rsidRPr="00822F68">
        <w:rPr>
          <w:lang w:val="en-GB"/>
        </w:rPr>
        <w:t xml:space="preserve">The fourth speaker, Mr. Preston </w:t>
      </w:r>
      <w:proofErr w:type="spellStart"/>
      <w:r w:rsidRPr="00822F68">
        <w:rPr>
          <w:lang w:val="en-GB"/>
        </w:rPr>
        <w:t>Hardison</w:t>
      </w:r>
      <w:proofErr w:type="spellEnd"/>
      <w:r w:rsidRPr="00822F68">
        <w:rPr>
          <w:lang w:val="en-GB"/>
        </w:rPr>
        <w:t>, Policy Analyst, representing the Tulalip Tribes, USA, stated that protection of TCEs required a more critical examination of concepts with respect to the multiple relevant legal domains.  He said that WIPO Member States were bound by the obligations made in other fora, notably in terms of human rights, and therefore, any WIPO legal instrument should include a</w:t>
      </w:r>
      <w:r w:rsidR="00CA579C">
        <w:rPr>
          <w:lang w:val="en-GB"/>
        </w:rPr>
        <w:t xml:space="preserve"> non</w:t>
      </w:r>
      <w:r w:rsidR="00CA579C">
        <w:rPr>
          <w:lang w:val="en-GB"/>
        </w:rPr>
        <w:noBreakHyphen/>
      </w:r>
      <w:r w:rsidRPr="00822F68">
        <w:rPr>
          <w:lang w:val="en-GB"/>
        </w:rPr>
        <w:t xml:space="preserve">derogation provision in this regard. </w:t>
      </w:r>
      <w:r w:rsidR="00CA579C">
        <w:rPr>
          <w:lang w:val="en-GB"/>
        </w:rPr>
        <w:t xml:space="preserve"> </w:t>
      </w:r>
      <w:r w:rsidRPr="00822F68">
        <w:rPr>
          <w:lang w:val="en-GB"/>
        </w:rPr>
        <w:t xml:space="preserve">He pointed out that </w:t>
      </w:r>
      <w:r w:rsidR="00CA579C">
        <w:rPr>
          <w:lang w:val="en-GB"/>
        </w:rPr>
        <w:t>20 A</w:t>
      </w:r>
      <w:r w:rsidRPr="00822F68">
        <w:rPr>
          <w:lang w:val="en-GB"/>
        </w:rPr>
        <w:t xml:space="preserve">rticles of </w:t>
      </w:r>
      <w:r w:rsidRPr="00CA579C">
        <w:rPr>
          <w:lang w:val="en-GB"/>
        </w:rPr>
        <w:t xml:space="preserve">the </w:t>
      </w:r>
      <w:r w:rsidR="00CA579C" w:rsidRPr="00CA579C">
        <w:rPr>
          <w:lang w:val="en-GB"/>
        </w:rPr>
        <w:t>UNDRIP</w:t>
      </w:r>
      <w:r w:rsidRPr="00CA579C">
        <w:rPr>
          <w:lang w:val="en-GB"/>
        </w:rPr>
        <w:t xml:space="preserve"> were</w:t>
      </w:r>
      <w:r w:rsidRPr="00822F68">
        <w:rPr>
          <w:lang w:val="en-GB"/>
        </w:rPr>
        <w:t xml:space="preserve"> relevant in defining the rights of indigenous peoples with regard to their TCEs.  Mr. </w:t>
      </w:r>
      <w:proofErr w:type="spellStart"/>
      <w:r w:rsidRPr="00822F68">
        <w:rPr>
          <w:lang w:val="en-GB"/>
        </w:rPr>
        <w:t>Hardison</w:t>
      </w:r>
      <w:proofErr w:type="spellEnd"/>
      <w:r w:rsidRPr="00822F68">
        <w:rPr>
          <w:lang w:val="en-GB"/>
        </w:rPr>
        <w:t xml:space="preserve"> argued that effective protection should be based on the right of consent and control by the TCE holders over their TCEs, and that protection should not </w:t>
      </w:r>
      <w:r w:rsidRPr="00CA579C">
        <w:rPr>
          <w:lang w:val="en-GB"/>
        </w:rPr>
        <w:t>allow unlawful appropriation</w:t>
      </w:r>
      <w:r w:rsidRPr="00822F68">
        <w:rPr>
          <w:lang w:val="en-GB"/>
        </w:rPr>
        <w:t xml:space="preserve"> to t</w:t>
      </w:r>
      <w:r w:rsidR="00CA579C">
        <w:rPr>
          <w:lang w:val="en-GB"/>
        </w:rPr>
        <w:t>ake place, where national laws we</w:t>
      </w:r>
      <w:r w:rsidRPr="00822F68">
        <w:rPr>
          <w:lang w:val="en-GB"/>
        </w:rPr>
        <w:t>re silent on the protection of TCEs, or in circumstances wher</w:t>
      </w:r>
      <w:r w:rsidR="00CA579C">
        <w:rPr>
          <w:lang w:val="en-GB"/>
        </w:rPr>
        <w:t>e there was a ‘</w:t>
      </w:r>
      <w:r w:rsidRPr="00822F68">
        <w:rPr>
          <w:lang w:val="en-GB"/>
        </w:rPr>
        <w:t>failure to take reasonable measures</w:t>
      </w:r>
      <w:r w:rsidR="00CA579C">
        <w:rPr>
          <w:lang w:val="en-GB"/>
        </w:rPr>
        <w:t>’</w:t>
      </w:r>
      <w:r w:rsidRPr="00822F68">
        <w:rPr>
          <w:lang w:val="en-GB"/>
        </w:rPr>
        <w:t xml:space="preserve">, on the part of IPLCs. </w:t>
      </w:r>
      <w:r w:rsidRPr="00822F68">
        <w:rPr>
          <w:i/>
          <w:lang w:val="en-GB"/>
        </w:rPr>
        <w:t xml:space="preserve"> </w:t>
      </w:r>
      <w:r w:rsidRPr="00822F68">
        <w:rPr>
          <w:lang w:val="en-GB"/>
        </w:rPr>
        <w:t xml:space="preserve">Mr. </w:t>
      </w:r>
      <w:proofErr w:type="spellStart"/>
      <w:r w:rsidRPr="00822F68">
        <w:rPr>
          <w:lang w:val="en-GB"/>
        </w:rPr>
        <w:t>Hardison</w:t>
      </w:r>
      <w:proofErr w:type="spellEnd"/>
      <w:r w:rsidRPr="00822F68">
        <w:rPr>
          <w:lang w:val="en-GB"/>
        </w:rPr>
        <w:t xml:space="preserve"> stated that the right of consent and control extended beyond the moral rights of the copyright system, and that time frames that would require eligible TCEs to have been practiced in a particular community for a certain period of time would subj</w:t>
      </w:r>
      <w:r w:rsidR="00CA579C">
        <w:rPr>
          <w:lang w:val="en-GB"/>
        </w:rPr>
        <w:t>ect new TCEs to a period of non</w:t>
      </w:r>
      <w:r w:rsidR="00CA579C">
        <w:rPr>
          <w:lang w:val="en-GB"/>
        </w:rPr>
        <w:noBreakHyphen/>
      </w:r>
      <w:r w:rsidRPr="00822F68">
        <w:rPr>
          <w:lang w:val="en-GB"/>
        </w:rPr>
        <w:t>protection, which would in turn deter communities from evolving.  He believed that the tiered approach had merits, but, unless revisited, might derogate fro</w:t>
      </w:r>
      <w:r w:rsidR="00CA579C">
        <w:rPr>
          <w:lang w:val="en-GB"/>
        </w:rPr>
        <w:t>m the right of self</w:t>
      </w:r>
      <w:r w:rsidR="00CA579C">
        <w:rPr>
          <w:lang w:val="en-GB"/>
        </w:rPr>
        <w:noBreakHyphen/>
      </w:r>
      <w:r w:rsidRPr="00822F68">
        <w:rPr>
          <w:lang w:val="en-GB"/>
        </w:rPr>
        <w:t xml:space="preserve">determination that indigenous peoples had been granted by international and national law. </w:t>
      </w:r>
      <w:r w:rsidR="00CA579C">
        <w:rPr>
          <w:lang w:val="en-GB"/>
        </w:rPr>
        <w:t xml:space="preserve"> </w:t>
      </w:r>
      <w:r w:rsidRPr="00822F68">
        <w:rPr>
          <w:lang w:val="en-GB"/>
        </w:rPr>
        <w:t xml:space="preserve">Mr. </w:t>
      </w:r>
      <w:proofErr w:type="spellStart"/>
      <w:r w:rsidRPr="00822F68">
        <w:rPr>
          <w:lang w:val="en-GB"/>
        </w:rPr>
        <w:t>Hardison</w:t>
      </w:r>
      <w:proofErr w:type="spellEnd"/>
      <w:r w:rsidRPr="00822F68">
        <w:rPr>
          <w:lang w:val="en-GB"/>
        </w:rPr>
        <w:t xml:space="preserve"> was of the view that a tiered approach might reflect a distorted view of the balance of rights and interests between stakeholders, who did not have equal standing.  Mr. </w:t>
      </w:r>
      <w:proofErr w:type="spellStart"/>
      <w:r w:rsidRPr="00822F68">
        <w:rPr>
          <w:lang w:val="en-GB"/>
        </w:rPr>
        <w:t>Hardi</w:t>
      </w:r>
      <w:r w:rsidR="00CA579C">
        <w:rPr>
          <w:lang w:val="en-GB"/>
        </w:rPr>
        <w:t>son</w:t>
      </w:r>
      <w:proofErr w:type="spellEnd"/>
      <w:r w:rsidR="00CA579C">
        <w:rPr>
          <w:lang w:val="en-GB"/>
        </w:rPr>
        <w:t xml:space="preserve"> also stated that the rights</w:t>
      </w:r>
      <w:r w:rsidR="00CA579C">
        <w:rPr>
          <w:lang w:val="en-GB"/>
        </w:rPr>
        <w:noBreakHyphen/>
        <w:t>based approach and the measures</w:t>
      </w:r>
      <w:r w:rsidR="00CA579C">
        <w:rPr>
          <w:lang w:val="en-GB"/>
        </w:rPr>
        <w:noBreakHyphen/>
      </w:r>
      <w:r w:rsidRPr="00822F68">
        <w:rPr>
          <w:lang w:val="en-GB"/>
        </w:rPr>
        <w:t>based approach were not mutually exclusive.</w:t>
      </w:r>
    </w:p>
    <w:p w14:paraId="000509E5" w14:textId="77777777" w:rsidR="00CA579C" w:rsidRPr="00822F68" w:rsidRDefault="00CA579C" w:rsidP="00822F68">
      <w:pPr>
        <w:ind w:left="567"/>
        <w:rPr>
          <w:lang w:val="en-GB"/>
        </w:rPr>
      </w:pPr>
    </w:p>
    <w:p w14:paraId="1808B650" w14:textId="6102A9A6" w:rsidR="00822F68" w:rsidRDefault="00822F68" w:rsidP="00822F68">
      <w:pPr>
        <w:ind w:left="567"/>
        <w:rPr>
          <w:lang w:val="en-GB"/>
        </w:rPr>
      </w:pPr>
      <w:r w:rsidRPr="00822F68">
        <w:rPr>
          <w:lang w:val="en-GB"/>
        </w:rPr>
        <w:t xml:space="preserve">The fifth and final speaker, Ms. Marion Heathcote, Principal, Davies Collison Cave Pty Ltd, Sydney, Australia, gave examples about how increasing awareness among brand owners and consumers, with regard to refraining from the offensive use of TCEs had been increasing over the years.  She argued that most instances of offensive use were based on ignorance rather than arrogance; and the examples she provided of offensive use were </w:t>
      </w:r>
      <w:r w:rsidRPr="00822F68">
        <w:rPr>
          <w:lang w:val="en-GB"/>
        </w:rPr>
        <w:lastRenderedPageBreak/>
        <w:t xml:space="preserve">discontinued with an apology after public outcry, usually through the influence of the use of social media.  She stated that driven by the consumers, brand owners were well aware that a brand had become more than a distinctive trademark: </w:t>
      </w:r>
      <w:r w:rsidR="00CA579C">
        <w:rPr>
          <w:lang w:val="en-GB"/>
        </w:rPr>
        <w:t xml:space="preserve"> </w:t>
      </w:r>
      <w:r w:rsidRPr="00822F68">
        <w:rPr>
          <w:lang w:val="en-GB"/>
        </w:rPr>
        <w:t xml:space="preserve">it bore a vision of the world that ought to be accountable in terms of sustainability and solidarity.  She further stated that </w:t>
      </w:r>
      <w:r w:rsidR="00CA579C">
        <w:rPr>
          <w:lang w:val="en-GB"/>
        </w:rPr>
        <w:t>t</w:t>
      </w:r>
      <w:r w:rsidRPr="00CA579C">
        <w:rPr>
          <w:lang w:val="en-GB"/>
        </w:rPr>
        <w:t>he International Trademark Association (INTA)</w:t>
      </w:r>
      <w:r w:rsidRPr="00822F68">
        <w:rPr>
          <w:i/>
          <w:lang w:val="en-GB"/>
        </w:rPr>
        <w:t xml:space="preserve"> </w:t>
      </w:r>
      <w:r w:rsidR="00CA579C">
        <w:rPr>
          <w:lang w:val="en-GB"/>
        </w:rPr>
        <w:t>was</w:t>
      </w:r>
      <w:r w:rsidRPr="00822F68">
        <w:rPr>
          <w:lang w:val="en-GB"/>
        </w:rPr>
        <w:t xml:space="preserve"> keeping a close e</w:t>
      </w:r>
      <w:r w:rsidR="00CA579C">
        <w:rPr>
          <w:lang w:val="en-GB"/>
        </w:rPr>
        <w:t>ye on the IGC proceedings, and wa</w:t>
      </w:r>
      <w:r w:rsidRPr="00822F68">
        <w:rPr>
          <w:lang w:val="en-GB"/>
        </w:rPr>
        <w:t>s engaged in educating and preparing guidelines for its members to follow on the respectful use of TCEs.  She emphasised that ‘Brand Owners’ were concerned about fairness, transparency and certainty with regard to their businesses.  However, she p</w:t>
      </w:r>
      <w:r w:rsidR="00CA579C">
        <w:rPr>
          <w:lang w:val="en-GB"/>
        </w:rPr>
        <w:t>ointed out that in the absence of</w:t>
      </w:r>
      <w:r w:rsidRPr="00822F68">
        <w:rPr>
          <w:lang w:val="en-GB"/>
        </w:rPr>
        <w:t xml:space="preserve"> int</w:t>
      </w:r>
      <w:r w:rsidR="00CA579C">
        <w:rPr>
          <w:lang w:val="en-GB"/>
        </w:rPr>
        <w:t>ernational legal norms, forward</w:t>
      </w:r>
      <w:r w:rsidR="00CA579C">
        <w:rPr>
          <w:lang w:val="en-GB"/>
        </w:rPr>
        <w:noBreakHyphen/>
        <w:t>looking and self</w:t>
      </w:r>
      <w:r w:rsidR="00CA579C">
        <w:rPr>
          <w:lang w:val="en-GB"/>
        </w:rPr>
        <w:noBreakHyphen/>
      </w:r>
      <w:r w:rsidRPr="00822F68">
        <w:rPr>
          <w:lang w:val="en-GB"/>
        </w:rPr>
        <w:t xml:space="preserve">regulated solutions that were based on goodwill and mutual respect should ensure respect for the rights of IPLCs, and respond to the expectations of consumers.  She also advised that in 2017, </w:t>
      </w:r>
      <w:r w:rsidRPr="00CA579C">
        <w:rPr>
          <w:lang w:val="en-GB"/>
        </w:rPr>
        <w:t xml:space="preserve">the </w:t>
      </w:r>
      <w:r w:rsidR="00CA579C" w:rsidRPr="00CA579C">
        <w:rPr>
          <w:lang w:val="en-GB"/>
        </w:rPr>
        <w:t xml:space="preserve">INTA </w:t>
      </w:r>
      <w:r w:rsidR="00CA579C">
        <w:rPr>
          <w:lang w:val="en-GB"/>
        </w:rPr>
        <w:t>would</w:t>
      </w:r>
      <w:r w:rsidRPr="00822F68">
        <w:rPr>
          <w:lang w:val="en-GB"/>
        </w:rPr>
        <w:t xml:space="preserve"> be hosting six events with regard to this issue.</w:t>
      </w:r>
    </w:p>
    <w:p w14:paraId="3E3322F7" w14:textId="77777777" w:rsidR="00CA579C" w:rsidRPr="00822F68" w:rsidRDefault="00CA579C" w:rsidP="00822F68">
      <w:pPr>
        <w:ind w:left="567"/>
        <w:rPr>
          <w:lang w:val="en-GB"/>
        </w:rPr>
      </w:pPr>
    </w:p>
    <w:p w14:paraId="2146D0F0" w14:textId="77777777" w:rsidR="00822F68" w:rsidRPr="00822F68" w:rsidRDefault="00822F68" w:rsidP="00822F68">
      <w:pPr>
        <w:ind w:left="567"/>
        <w:rPr>
          <w:lang w:val="en-GB"/>
        </w:rPr>
      </w:pPr>
      <w:r w:rsidRPr="00822F68">
        <w:rPr>
          <w:lang w:val="en-GB"/>
        </w:rPr>
        <w:t>A very interactive question and answer period followed the presentations.  Some of the issues raised included, among other things, a discussion on:</w:t>
      </w:r>
    </w:p>
    <w:p w14:paraId="34CA51AB" w14:textId="77777777" w:rsidR="00822F68" w:rsidRPr="00822F68" w:rsidRDefault="00822F68" w:rsidP="00822F68">
      <w:pPr>
        <w:numPr>
          <w:ilvl w:val="0"/>
          <w:numId w:val="14"/>
        </w:numPr>
        <w:rPr>
          <w:lang w:val="en-GB"/>
        </w:rPr>
      </w:pPr>
      <w:r w:rsidRPr="00822F68">
        <w:rPr>
          <w:lang w:val="en-GB"/>
        </w:rPr>
        <w:t>The limitation that moral rights would offer in terms of the protection of TCEs, when viewed in light of the diversity of the aspiration of IPLCs, and the need to prevent and redress harm.</w:t>
      </w:r>
    </w:p>
    <w:p w14:paraId="50ABD5BA" w14:textId="77777777" w:rsidR="00822F68" w:rsidRPr="00822F68" w:rsidRDefault="00822F68" w:rsidP="00822F68">
      <w:pPr>
        <w:numPr>
          <w:ilvl w:val="0"/>
          <w:numId w:val="14"/>
        </w:numPr>
        <w:rPr>
          <w:lang w:val="en-GB"/>
        </w:rPr>
      </w:pPr>
      <w:r w:rsidRPr="00822F68">
        <w:rPr>
          <w:lang w:val="en-GB"/>
        </w:rPr>
        <w:t>The use of social media as a tool to increase awareness on these issues.</w:t>
      </w:r>
    </w:p>
    <w:p w14:paraId="6B331AC8" w14:textId="77777777" w:rsidR="00822F68" w:rsidRPr="00822F68" w:rsidRDefault="00822F68" w:rsidP="00822F68">
      <w:pPr>
        <w:numPr>
          <w:ilvl w:val="0"/>
          <w:numId w:val="14"/>
        </w:numPr>
        <w:rPr>
          <w:lang w:val="en-GB"/>
        </w:rPr>
      </w:pPr>
      <w:r w:rsidRPr="00822F68">
        <w:rPr>
          <w:lang w:val="en-GB"/>
        </w:rPr>
        <w:t>The use of trademarks, geographical indications and collective marks to protect TCEs, and the attendant costs.</w:t>
      </w:r>
    </w:p>
    <w:p w14:paraId="22975F2C" w14:textId="77777777" w:rsidR="00822F68" w:rsidRPr="00822F68" w:rsidRDefault="00822F68" w:rsidP="00822F68">
      <w:pPr>
        <w:numPr>
          <w:ilvl w:val="0"/>
          <w:numId w:val="14"/>
        </w:numPr>
        <w:rPr>
          <w:lang w:val="en-GB"/>
        </w:rPr>
      </w:pPr>
      <w:r w:rsidRPr="00822F68">
        <w:rPr>
          <w:lang w:val="en-GB"/>
        </w:rPr>
        <w:t>The requirement for administrative and legal assistance for IPLCs.</w:t>
      </w:r>
    </w:p>
    <w:p w14:paraId="242ADFD8" w14:textId="0D34B9AB" w:rsidR="00822F68" w:rsidRPr="00822F68" w:rsidRDefault="00822F68" w:rsidP="00822F68">
      <w:pPr>
        <w:numPr>
          <w:ilvl w:val="0"/>
          <w:numId w:val="14"/>
        </w:numPr>
        <w:rPr>
          <w:lang w:val="en-GB"/>
        </w:rPr>
      </w:pPr>
      <w:r w:rsidRPr="00822F68">
        <w:rPr>
          <w:lang w:val="en-GB"/>
        </w:rPr>
        <w:t xml:space="preserve">The registration of TCEs as trademarks, and the suitability </w:t>
      </w:r>
      <w:r w:rsidR="00CA579C">
        <w:rPr>
          <w:lang w:val="en-GB"/>
        </w:rPr>
        <w:t>of this scheme for TCEs, which we</w:t>
      </w:r>
      <w:r w:rsidRPr="00822F68">
        <w:rPr>
          <w:lang w:val="en-GB"/>
        </w:rPr>
        <w:t>re dynamic in nature.</w:t>
      </w:r>
    </w:p>
    <w:p w14:paraId="1BDA388A" w14:textId="77777777" w:rsidR="00822F68" w:rsidRPr="00822F68" w:rsidRDefault="00822F68" w:rsidP="00822F68">
      <w:pPr>
        <w:numPr>
          <w:ilvl w:val="0"/>
          <w:numId w:val="14"/>
        </w:numPr>
        <w:rPr>
          <w:lang w:val="en-GB"/>
        </w:rPr>
      </w:pPr>
      <w:r w:rsidRPr="00822F68">
        <w:rPr>
          <w:lang w:val="en-GB"/>
        </w:rPr>
        <w:t>The usefulness of existing protocols and codes of conduct that offered practical means to regulate the use of TCEs by third parties.</w:t>
      </w:r>
    </w:p>
    <w:p w14:paraId="5D72F20F" w14:textId="35B4EBCC" w:rsidR="006B7E86" w:rsidRPr="00404018" w:rsidRDefault="00822F68" w:rsidP="00CA579C">
      <w:pPr>
        <w:numPr>
          <w:ilvl w:val="0"/>
          <w:numId w:val="14"/>
        </w:numPr>
      </w:pPr>
      <w:r w:rsidRPr="00822F68">
        <w:rPr>
          <w:lang w:val="en-GB"/>
        </w:rPr>
        <w:t xml:space="preserve">The proposal that all protocols should rely on the principle of </w:t>
      </w:r>
      <w:r w:rsidR="00792E5D" w:rsidRPr="002B722B">
        <w:t>free</w:t>
      </w:r>
      <w:r w:rsidR="00792E5D">
        <w:t>,</w:t>
      </w:r>
      <w:r w:rsidR="00792E5D" w:rsidRPr="002B722B">
        <w:t xml:space="preserve"> prior and informed consent</w:t>
      </w:r>
      <w:r w:rsidR="00792E5D">
        <w:t xml:space="preserve"> (“FPIC”) </w:t>
      </w:r>
      <w:r w:rsidRPr="00822F68">
        <w:rPr>
          <w:lang w:val="en-GB"/>
        </w:rPr>
        <w:t>on the part of IPLCs.</w:t>
      </w:r>
      <w:r w:rsidR="006B7E86" w:rsidRPr="00404018">
        <w:t>”</w:t>
      </w:r>
    </w:p>
    <w:p w14:paraId="1DBD108E" w14:textId="77777777" w:rsidR="006B7E86" w:rsidRDefault="006B7E86" w:rsidP="006B7E86"/>
    <w:p w14:paraId="7930C8A9" w14:textId="77777777" w:rsidR="006B7E86" w:rsidRDefault="00E34738" w:rsidP="002B722B">
      <w:pPr>
        <w:pStyle w:val="ListParagraph"/>
        <w:numPr>
          <w:ilvl w:val="0"/>
          <w:numId w:val="4"/>
        </w:numPr>
        <w:ind w:left="0" w:firstLine="0"/>
      </w:pPr>
      <w:r w:rsidRPr="002B722B">
        <w:t xml:space="preserve">Ms. </w:t>
      </w:r>
      <w:proofErr w:type="spellStart"/>
      <w:r w:rsidRPr="002B722B">
        <w:t>Liene</w:t>
      </w:r>
      <w:proofErr w:type="spellEnd"/>
      <w:r w:rsidRPr="002B722B">
        <w:t xml:space="preserve"> </w:t>
      </w:r>
      <w:proofErr w:type="spellStart"/>
      <w:r w:rsidRPr="002B722B">
        <w:t>Grike</w:t>
      </w:r>
      <w:proofErr w:type="spellEnd"/>
      <w:r w:rsidRPr="002B722B">
        <w:t xml:space="preserve">, Adviser, Economic and Intellectual Property Affairs, Permanent Mission of the Republic of Latvia to the United Nations Office and other international organizations, Geneva, Switzerland, reported on Roundtable 4 </w:t>
      </w:r>
      <w:r>
        <w:t>“</w:t>
      </w:r>
      <w:r w:rsidR="00614EB9">
        <w:t>Past International Developments Related to Intellectual Property: What Lessons for Negotiating an International Instrument on Traditional Cultural Expressions?</w:t>
      </w:r>
      <w:r>
        <w:t xml:space="preserve">” </w:t>
      </w:r>
      <w:r w:rsidRPr="002B722B">
        <w:t xml:space="preserve">and the Closing Address </w:t>
      </w:r>
      <w:r>
        <w:t>“</w:t>
      </w:r>
      <w:r w:rsidR="00406A6E">
        <w:t>Reflections on the Way Forward</w:t>
      </w:r>
      <w:r>
        <w:t xml:space="preserve">” </w:t>
      </w:r>
      <w:r w:rsidR="006B7E86">
        <w:t>as below:</w:t>
      </w:r>
    </w:p>
    <w:p w14:paraId="5F8EFA9F" w14:textId="77777777" w:rsidR="006B7E86" w:rsidRDefault="006B7E86" w:rsidP="006B7E86">
      <w:pPr>
        <w:pStyle w:val="ListParagraph"/>
        <w:ind w:left="0"/>
      </w:pPr>
    </w:p>
    <w:p w14:paraId="7803CC24" w14:textId="68135A68" w:rsidR="00E73B13" w:rsidRDefault="006B3F2C" w:rsidP="00E73B13">
      <w:pPr>
        <w:ind w:left="567"/>
      </w:pPr>
      <w:r>
        <w:t>“Mr. Pedro Roffe</w:t>
      </w:r>
      <w:r w:rsidRPr="006B3F2C">
        <w:t xml:space="preserve"> </w:t>
      </w:r>
      <w:r>
        <w:t>(</w:t>
      </w:r>
      <w:r w:rsidRPr="00E73B13">
        <w:t>Senior Fellow, International Centre for Trade and Sustainable Development (ICTSD), Geneva, Switzerland</w:t>
      </w:r>
      <w:r>
        <w:t>), as the moderator,</w:t>
      </w:r>
      <w:r w:rsidR="00E73B13" w:rsidRPr="00E73B13">
        <w:t xml:space="preserve"> observed that the world was experiencing technology mutations that were accelerating. </w:t>
      </w:r>
      <w:r>
        <w:t xml:space="preserve"> </w:t>
      </w:r>
      <w:r w:rsidR="00E73B13" w:rsidRPr="00E73B13">
        <w:t xml:space="preserve">Nevertheless, new ideas and designs often built upon previous discoveries TK and TCEs. </w:t>
      </w:r>
      <w:r>
        <w:t xml:space="preserve"> </w:t>
      </w:r>
      <w:r w:rsidR="00E73B13" w:rsidRPr="00E73B13">
        <w:t>He was convinced that the recent and past normative developments could be useful and provide guidance to the IGC.</w:t>
      </w:r>
    </w:p>
    <w:p w14:paraId="586CF3B8" w14:textId="77777777" w:rsidR="00E73B13" w:rsidRPr="00E73B13" w:rsidRDefault="00E73B13" w:rsidP="00E73B13">
      <w:pPr>
        <w:ind w:left="567"/>
      </w:pPr>
    </w:p>
    <w:p w14:paraId="44BB8241" w14:textId="2FA5E506" w:rsidR="00E73B13" w:rsidRDefault="00E73B13" w:rsidP="00E73B13">
      <w:pPr>
        <w:ind w:left="567"/>
      </w:pPr>
      <w:r w:rsidRPr="00E73B13">
        <w:t>Comparing extracts from both IGC draft texts and the Nagoya Protocol on Access to Genetic Resources and the Fair and Equitable Sharing of Benefits Arising from their Utilization to the Convention on Biological Diversity</w:t>
      </w:r>
      <w:r w:rsidR="006B3F2C">
        <w:t xml:space="preserve"> (“the Nagoya Protocol”)</w:t>
      </w:r>
      <w:r w:rsidRPr="00E73B13">
        <w:t xml:space="preserve">, Mr. Marco D’Alessandro (Policy Advisor, Legal and International Affairs Division, Swiss Federal Institute of Intellectual Property, Bern, Switzerland) highlighted the lessons that the IGC could learn from the Nagoya Protocol. </w:t>
      </w:r>
      <w:r w:rsidR="006B3F2C">
        <w:t xml:space="preserve"> </w:t>
      </w:r>
      <w:r w:rsidRPr="00E73B13">
        <w:t xml:space="preserve">Mr. D’Alessandro proposed that IPLCs be the beneficiaries in the TCEs and TK context, in accordance with the formulation that had been adopted within the framework of the Nagoya Protocol. </w:t>
      </w:r>
      <w:r w:rsidR="006B3F2C">
        <w:t xml:space="preserve"> </w:t>
      </w:r>
      <w:r w:rsidRPr="00E73B13">
        <w:t xml:space="preserve">On the issue of misappropriation, he also proposed that </w:t>
      </w:r>
      <w:r w:rsidR="006B3F2C">
        <w:t>the IGC could consider using a ‘positive approach’ which put</w:t>
      </w:r>
      <w:r w:rsidRPr="00E73B13">
        <w:t xml:space="preserve"> emphasis on the appropriate use of TK and TCEs within the IP system, instead of t</w:t>
      </w:r>
      <w:r w:rsidR="006B3F2C">
        <w:t>heir misappropriation or misuse.</w:t>
      </w:r>
      <w:r w:rsidRPr="00E73B13">
        <w:t xml:space="preserve"> </w:t>
      </w:r>
      <w:r w:rsidR="006B3F2C">
        <w:t xml:space="preserve"> O</w:t>
      </w:r>
      <w:r w:rsidRPr="00E73B13">
        <w:t xml:space="preserve">n the issue of existing rights and international </w:t>
      </w:r>
      <w:r w:rsidRPr="00E73B13">
        <w:lastRenderedPageBreak/>
        <w:t>instruments, he pro</w:t>
      </w:r>
      <w:r w:rsidR="006B3F2C">
        <w:t>posed that the IGC undertake a ‘measure-based approach’ that recognized</w:t>
      </w:r>
      <w:r w:rsidRPr="00E73B13">
        <w:t xml:space="preserve"> existing rights and highlighted the dynamics experienced in the Nagoya Protocol that led to its adoption. </w:t>
      </w:r>
      <w:r w:rsidR="006B3F2C">
        <w:t xml:space="preserve"> </w:t>
      </w:r>
      <w:r w:rsidRPr="00E73B13">
        <w:t>He advised that the IGC should focus on key issues, fact-based discussions including national experiences, work with technical and legal expert groups and aim for instrument(s) that benefit</w:t>
      </w:r>
      <w:r w:rsidR="006B3F2C">
        <w:t>ed</w:t>
      </w:r>
      <w:r w:rsidRPr="00E73B13">
        <w:t xml:space="preserve"> all stakeholders.</w:t>
      </w:r>
    </w:p>
    <w:p w14:paraId="66CEC224" w14:textId="77777777" w:rsidR="00E73B13" w:rsidRPr="00E73B13" w:rsidRDefault="00E73B13" w:rsidP="00E73B13">
      <w:pPr>
        <w:ind w:left="567"/>
      </w:pPr>
    </w:p>
    <w:p w14:paraId="6880D725" w14:textId="05B4C4EE" w:rsidR="00E73B13" w:rsidRDefault="00E73B13" w:rsidP="00E73B13">
      <w:pPr>
        <w:ind w:left="567"/>
      </w:pPr>
      <w:r w:rsidRPr="00E73B13">
        <w:t xml:space="preserve">Ms. Ruth </w:t>
      </w:r>
      <w:proofErr w:type="spellStart"/>
      <w:r w:rsidRPr="00E73B13">
        <w:t>Okediji</w:t>
      </w:r>
      <w:proofErr w:type="spellEnd"/>
      <w:r w:rsidRPr="00E73B13">
        <w:t xml:space="preserve"> (William L. Prosser Professor of Law, University of Minnesota Law School, Minneapolis, Minnesota, United States of America / Member, National Copyright Reform Committee, Nigerian Copyright Commission, Abuja, Nigeria) shared lessons that the IGC could learn from the negotiations of the Marrakesh Treaty to Facilitate Access to Published Works for Persons Who Are Blind, Visually Impaired or Otherwise Print Disabled</w:t>
      </w:r>
      <w:r w:rsidR="00471D2C">
        <w:t xml:space="preserve"> (“the Marrakesh Treaty”)</w:t>
      </w:r>
      <w:r w:rsidRPr="00E73B13">
        <w:t xml:space="preserve">. </w:t>
      </w:r>
      <w:r w:rsidR="006B3F2C">
        <w:t xml:space="preserve"> </w:t>
      </w:r>
      <w:r w:rsidRPr="00E73B13">
        <w:t>As exemplified by other negotiations of international treaties, she pointed out that the challenges that the IGC faced were n</w:t>
      </w:r>
      <w:r w:rsidR="006B3F2C">
        <w:t>ot unique and all processes had</w:t>
      </w:r>
      <w:r w:rsidRPr="00E73B13">
        <w:t xml:space="preserve"> had difficulties. </w:t>
      </w:r>
      <w:r w:rsidR="006B3F2C">
        <w:t xml:space="preserve"> Road signed</w:t>
      </w:r>
      <w:r w:rsidRPr="00E73B13">
        <w:t xml:space="preserve"> to Marrakesh, which could guide the IGC negotiations to possible success, included defining the problem simply and clearly</w:t>
      </w:r>
      <w:proofErr w:type="gramStart"/>
      <w:r w:rsidRPr="00E73B13">
        <w:t xml:space="preserve">; </w:t>
      </w:r>
      <w:r w:rsidR="006B3F2C">
        <w:t xml:space="preserve"> </w:t>
      </w:r>
      <w:r w:rsidRPr="00E73B13">
        <w:t>framing</w:t>
      </w:r>
      <w:proofErr w:type="gramEnd"/>
      <w:r w:rsidRPr="00E73B13">
        <w:t xml:space="preserve"> the problem that was clear to all stakeholders; </w:t>
      </w:r>
      <w:r w:rsidR="006B3F2C">
        <w:t xml:space="preserve"> </w:t>
      </w:r>
      <w:r w:rsidRPr="00E73B13">
        <w:t>design</w:t>
      </w:r>
      <w:r w:rsidR="006B3F2C">
        <w:t>ing the right solution which could</w:t>
      </w:r>
      <w:r w:rsidRPr="00E73B13">
        <w:t xml:space="preserve"> navigate international treaties and agreeing upon key principles; </w:t>
      </w:r>
      <w:r w:rsidR="006B3F2C">
        <w:t xml:space="preserve"> </w:t>
      </w:r>
      <w:r w:rsidRPr="00E73B13">
        <w:t xml:space="preserve">ensuring that WIPO was the right institution for the instrument(s); </w:t>
      </w:r>
      <w:r w:rsidR="00AB6CDD">
        <w:t xml:space="preserve"> </w:t>
      </w:r>
      <w:r w:rsidRPr="00E73B13">
        <w:t xml:space="preserve">identifying points of convergence; </w:t>
      </w:r>
      <w:r w:rsidR="006B3F2C">
        <w:t xml:space="preserve"> </w:t>
      </w:r>
      <w:r w:rsidRPr="00E73B13">
        <w:t xml:space="preserve">building coalitions and using the art of persuasion. </w:t>
      </w:r>
      <w:r w:rsidR="006B3F2C">
        <w:t xml:space="preserve"> </w:t>
      </w:r>
      <w:r w:rsidRPr="00E73B13">
        <w:t>She encouraged participants of the IGC not to bargain over positions but to focus on principles and interests of the beneficiaries.</w:t>
      </w:r>
    </w:p>
    <w:p w14:paraId="24FAD94A" w14:textId="77777777" w:rsidR="00E73B13" w:rsidRPr="00E73B13" w:rsidRDefault="00E73B13" w:rsidP="00E73B13">
      <w:pPr>
        <w:ind w:left="567"/>
      </w:pPr>
    </w:p>
    <w:p w14:paraId="31CA96FC" w14:textId="4EEB7525" w:rsidR="00E73B13" w:rsidRDefault="00E73B13" w:rsidP="00E73B13">
      <w:pPr>
        <w:ind w:left="567"/>
      </w:pPr>
      <w:r w:rsidRPr="00E73B13">
        <w:t xml:space="preserve">Mr. Rieks Smeets (Consultant for Intangible Heritage, former secretary of UNESCO’s Intangible Heritage Convention, Leiden, The Netherlands) drew lessons from the preparation and adoption of </w:t>
      </w:r>
      <w:r w:rsidR="006B3F2C">
        <w:t xml:space="preserve">the </w:t>
      </w:r>
      <w:r w:rsidRPr="00E73B13">
        <w:t xml:space="preserve">UNESCO Conventions, focusing on the 2005 Convention on the Protection and Promotion of the Diversity of Cultural Expressions and the 2003 Convention for the Safeguarding of the Intangible Cultural Heritage, since they were the most relevant to the work of the IGC due to the similarity of subject matter. </w:t>
      </w:r>
      <w:r w:rsidR="006B3F2C">
        <w:t xml:space="preserve"> </w:t>
      </w:r>
      <w:r w:rsidRPr="00E73B13">
        <w:t xml:space="preserve">He laid out the reasons for the quick progress in negotiating and finalizing those conventions, reasons which the IGC could learn from. </w:t>
      </w:r>
      <w:r w:rsidR="006B3F2C">
        <w:t xml:space="preserve"> </w:t>
      </w:r>
      <w:r w:rsidRPr="00E73B13">
        <w:t xml:space="preserve">These included preliminary drafts that had been prepared and definitions and objectives had been agreed upon beforehand; </w:t>
      </w:r>
      <w:r w:rsidR="006B3F2C">
        <w:t xml:space="preserve"> supportive S</w:t>
      </w:r>
      <w:r w:rsidRPr="00E73B13">
        <w:t xml:space="preserve">tates that paid for the organization of meetings and mobilized support; </w:t>
      </w:r>
      <w:r w:rsidR="006B3F2C">
        <w:t xml:space="preserve"> </w:t>
      </w:r>
      <w:r w:rsidRPr="00E73B13">
        <w:t>compromises were found by not defining all notions used and by leaving some problem</w:t>
      </w:r>
      <w:r w:rsidR="00471D2C">
        <w:t>atic issues for treatment in operational directives</w:t>
      </w:r>
      <w:r w:rsidRPr="00E73B13">
        <w:t xml:space="preserve"> and</w:t>
      </w:r>
      <w:r w:rsidR="00AD61CD">
        <w:t>,</w:t>
      </w:r>
      <w:r w:rsidRPr="00E73B13">
        <w:t xml:space="preserve"> lastly</w:t>
      </w:r>
      <w:r w:rsidR="00AD61CD">
        <w:t>,</w:t>
      </w:r>
      <w:r w:rsidRPr="00E73B13">
        <w:t xml:space="preserve"> a secretariat that proactively supported the negotiating sessions. </w:t>
      </w:r>
    </w:p>
    <w:p w14:paraId="466EA92D" w14:textId="77777777" w:rsidR="00E73B13" w:rsidRPr="00E73B13" w:rsidRDefault="00E73B13" w:rsidP="00E73B13">
      <w:pPr>
        <w:ind w:left="567"/>
      </w:pPr>
    </w:p>
    <w:p w14:paraId="440F14A4" w14:textId="4391C0F8" w:rsidR="00E73B13" w:rsidRDefault="00E73B13" w:rsidP="00E73B13">
      <w:pPr>
        <w:ind w:left="567"/>
      </w:pPr>
      <w:r w:rsidRPr="00E73B13">
        <w:t xml:space="preserve">Ms. Aroha </w:t>
      </w:r>
      <w:proofErr w:type="spellStart"/>
      <w:r w:rsidRPr="00E73B13">
        <w:t>Te</w:t>
      </w:r>
      <w:proofErr w:type="spellEnd"/>
      <w:r w:rsidRPr="00E73B13">
        <w:t xml:space="preserve"> </w:t>
      </w:r>
      <w:proofErr w:type="spellStart"/>
      <w:r w:rsidRPr="00E73B13">
        <w:t>Pareake</w:t>
      </w:r>
      <w:proofErr w:type="spellEnd"/>
      <w:r w:rsidRPr="00E73B13">
        <w:t xml:space="preserve"> Mead (Member of the </w:t>
      </w:r>
      <w:proofErr w:type="spellStart"/>
      <w:r w:rsidRPr="00E73B13">
        <w:t>Ngati</w:t>
      </w:r>
      <w:proofErr w:type="spellEnd"/>
      <w:r w:rsidRPr="00E73B13">
        <w:t xml:space="preserve"> Awa and </w:t>
      </w:r>
      <w:proofErr w:type="spellStart"/>
      <w:r w:rsidRPr="00E73B13">
        <w:t>Ngati</w:t>
      </w:r>
      <w:proofErr w:type="spellEnd"/>
      <w:r w:rsidRPr="00E73B13">
        <w:t xml:space="preserve"> </w:t>
      </w:r>
      <w:proofErr w:type="spellStart"/>
      <w:r w:rsidRPr="00E73B13">
        <w:t>Porou</w:t>
      </w:r>
      <w:proofErr w:type="spellEnd"/>
      <w:r w:rsidRPr="00E73B13">
        <w:t xml:space="preserve"> Tr</w:t>
      </w:r>
      <w:r w:rsidR="00471D2C">
        <w:t xml:space="preserve">ibes, Wellington, New Zealand) </w:t>
      </w:r>
      <w:r w:rsidRPr="00E73B13">
        <w:t xml:space="preserve">shed an indigenous perspective on the lessons learned from the negotiations for the 1993 </w:t>
      </w:r>
      <w:proofErr w:type="spellStart"/>
      <w:r w:rsidRPr="00E73B13">
        <w:t>Mataatua</w:t>
      </w:r>
      <w:proofErr w:type="spellEnd"/>
      <w:r w:rsidRPr="00E73B13">
        <w:t xml:space="preserve"> Declaration on the Cultural and Intellectual Property Rights of Indigenous Peoples and the UNDRIP. </w:t>
      </w:r>
      <w:r w:rsidR="00471D2C">
        <w:t xml:space="preserve"> </w:t>
      </w:r>
      <w:r w:rsidRPr="00E73B13">
        <w:t xml:space="preserve">She discussed the roadmap that led to the finalization of both declarations and the lessons that the IGC could take from them. </w:t>
      </w:r>
      <w:r w:rsidR="00471D2C">
        <w:t xml:space="preserve"> </w:t>
      </w:r>
      <w:r w:rsidRPr="00E73B13">
        <w:t xml:space="preserve">These included a strong commitment to successfully complete the negotiations, the essential need for full indigenous participation, good faith, leadership, vision and consensus. </w:t>
      </w:r>
      <w:r w:rsidR="00471D2C">
        <w:t xml:space="preserve"> </w:t>
      </w:r>
      <w:r w:rsidRPr="00E73B13">
        <w:t>She recalled that the adoption of the IGC instrument(s), like the UNDRIP, would just the beginning of a process:</w:t>
      </w:r>
      <w:r w:rsidR="00471D2C">
        <w:t xml:space="preserve"> </w:t>
      </w:r>
      <w:r w:rsidRPr="00E73B13">
        <w:t xml:space="preserve"> the real work to be done would be to ensure implementation. </w:t>
      </w:r>
    </w:p>
    <w:p w14:paraId="1E5CED28" w14:textId="77777777" w:rsidR="00E73B13" w:rsidRPr="00E73B13" w:rsidRDefault="00E73B13" w:rsidP="00E73B13">
      <w:pPr>
        <w:ind w:left="567"/>
      </w:pPr>
    </w:p>
    <w:p w14:paraId="1197C247" w14:textId="543E549B" w:rsidR="00E73B13" w:rsidRDefault="00471D2C" w:rsidP="00E73B13">
      <w:pPr>
        <w:ind w:left="567"/>
      </w:pPr>
      <w:r>
        <w:t>Mr. Daniel R. Pinto</w:t>
      </w:r>
      <w:r w:rsidR="00E73B13" w:rsidRPr="00E73B13">
        <w:t xml:space="preserve"> (Counselor, Head of the Intellectual Property Division, Ministry of Foreign Relations, </w:t>
      </w:r>
      <w:proofErr w:type="gramStart"/>
      <w:r w:rsidR="00E73B13" w:rsidRPr="00E73B13">
        <w:t>Brasília</w:t>
      </w:r>
      <w:proofErr w:type="gramEnd"/>
      <w:r w:rsidR="00E73B13" w:rsidRPr="00E73B13">
        <w:t xml:space="preserve">, Brazil) presented on the perspective and approach of Brazil to the IGC process. </w:t>
      </w:r>
      <w:r>
        <w:t xml:space="preserve"> </w:t>
      </w:r>
      <w:r w:rsidR="00E73B13" w:rsidRPr="00E73B13">
        <w:t xml:space="preserve">He recalled in broad lines the history of the IGC, highlighted the rationale that justified the urgency of its work. </w:t>
      </w:r>
      <w:r>
        <w:t xml:space="preserve"> </w:t>
      </w:r>
      <w:r w:rsidR="00E73B13" w:rsidRPr="00E73B13">
        <w:t xml:space="preserve">He urged the IGC to look inward to junctures when the process had been close to agreement, and why it had failed. </w:t>
      </w:r>
      <w:r>
        <w:t xml:space="preserve"> </w:t>
      </w:r>
      <w:r w:rsidR="00E73B13" w:rsidRPr="00E73B13">
        <w:t xml:space="preserve">He also called upon the IGC to draw on the body of knowledge and expertise that it had been built up and, more particularly continue supporting exchanges on best practices. </w:t>
      </w:r>
      <w:r>
        <w:t xml:space="preserve"> </w:t>
      </w:r>
      <w:r w:rsidR="00E73B13" w:rsidRPr="00E73B13">
        <w:t xml:space="preserve">For the sake of efficiency, the IGC should be given longer timeframe to conduct and conclude </w:t>
      </w:r>
      <w:r w:rsidR="00E73B13" w:rsidRPr="00E73B13">
        <w:lastRenderedPageBreak/>
        <w:t xml:space="preserve">negotiations and learn from successful negotiations such as the Nagoya Protocol and the Marrakesh Treaty. </w:t>
      </w:r>
    </w:p>
    <w:p w14:paraId="6E02C7C8" w14:textId="77777777" w:rsidR="00E73B13" w:rsidRPr="00E73B13" w:rsidRDefault="00E73B13" w:rsidP="00E73B13">
      <w:pPr>
        <w:ind w:left="567"/>
      </w:pPr>
    </w:p>
    <w:p w14:paraId="0604EA73" w14:textId="6E4248F0" w:rsidR="00E73B13" w:rsidRPr="00E73B13" w:rsidRDefault="00E73B13" w:rsidP="00E73B13">
      <w:pPr>
        <w:ind w:left="567"/>
      </w:pPr>
      <w:r w:rsidRPr="00E73B13">
        <w:t xml:space="preserve">Following the presentations, the participants discussed, </w:t>
      </w:r>
      <w:r w:rsidRPr="00471D2C">
        <w:rPr>
          <w:i/>
        </w:rPr>
        <w:t>inter alia</w:t>
      </w:r>
      <w:r w:rsidR="00471D2C">
        <w:rPr>
          <w:i/>
        </w:rPr>
        <w:t xml:space="preserve">: </w:t>
      </w:r>
      <w:r w:rsidRPr="00E73B13">
        <w:t xml:space="preserve"> the relevance of various treaties as far as the negotiations taking place in th</w:t>
      </w:r>
      <w:r w:rsidR="00471D2C">
        <w:t xml:space="preserve">e IGC were concerned and their </w:t>
      </w:r>
      <w:r w:rsidRPr="00E73B13">
        <w:t xml:space="preserve">impact in a national and regional context; </w:t>
      </w:r>
      <w:r w:rsidR="00471D2C">
        <w:t xml:space="preserve"> </w:t>
      </w:r>
      <w:r w:rsidRPr="00E73B13">
        <w:t xml:space="preserve">the need for increased participation of IPLCs and to find other mechanisms, other than monetary, that could be put in place to </w:t>
      </w:r>
      <w:r w:rsidR="00471D2C">
        <w:t>enable such participation</w:t>
      </w:r>
      <w:r w:rsidRPr="00E73B13">
        <w:t>;</w:t>
      </w:r>
      <w:r w:rsidR="00471D2C">
        <w:t xml:space="preserve"> </w:t>
      </w:r>
      <w:r w:rsidRPr="00E73B13">
        <w:t xml:space="preserve"> the need for a gender based approach in the IGC texts given the key role that traditionally women played in the developing and using TK and TCEs.</w:t>
      </w:r>
    </w:p>
    <w:p w14:paraId="05A2EA4A" w14:textId="77777777" w:rsidR="00E73B13" w:rsidRPr="00E73B13" w:rsidRDefault="00E73B13" w:rsidP="00E73B13">
      <w:pPr>
        <w:ind w:left="567"/>
      </w:pPr>
    </w:p>
    <w:p w14:paraId="5602C850" w14:textId="77777777" w:rsidR="00E73B13" w:rsidRDefault="00E73B13" w:rsidP="00E73B13">
      <w:pPr>
        <w:ind w:left="567"/>
      </w:pPr>
      <w:r w:rsidRPr="00E73B13">
        <w:t xml:space="preserve">Ambassador Philip Richard O. Owade, before offering his reflections on the way forward, recalled the different stages that the IGC had reached in the negotiations of an international legal instrument(s) on the protection of GRs, TK and TCEs since their initiation in 2009. </w:t>
      </w:r>
    </w:p>
    <w:p w14:paraId="7BB742F5" w14:textId="77777777" w:rsidR="00E73B13" w:rsidRPr="00E73B13" w:rsidRDefault="00E73B13" w:rsidP="00E73B13">
      <w:pPr>
        <w:ind w:left="567"/>
      </w:pPr>
    </w:p>
    <w:p w14:paraId="43CB7E14" w14:textId="6E1E87DF" w:rsidR="00E73B13" w:rsidRDefault="00E73B13" w:rsidP="00E73B13">
      <w:pPr>
        <w:ind w:left="567"/>
      </w:pPr>
      <w:r w:rsidRPr="00E73B13">
        <w:t>Ambassador Owade had been the Chair of the IGC from its 16th session until its 19th session during its 2010/2011 mandate.  He recalled that his tenure as a Chair had seen some progress made, more particularly in the work</w:t>
      </w:r>
      <w:r w:rsidR="00062F47">
        <w:t>ing</w:t>
      </w:r>
      <w:r w:rsidRPr="00E73B13">
        <w:t xml:space="preserve"> methodology, with the introduction of facilitators and the organization of inter-sessional working groups, as well as in a better understanding of the relevant issues, like the need to differentiate the kinds of TK and TCEs to consider, and inter-related issues.  He commended the progress made on the texts under the highly capable leadership of Am</w:t>
      </w:r>
      <w:r w:rsidR="00471D2C">
        <w:t>bassador Wayne McCook and</w:t>
      </w:r>
      <w:r w:rsidRPr="00E73B13">
        <w:t xml:space="preserve"> Mr.</w:t>
      </w:r>
      <w:r w:rsidR="00471D2C">
        <w:t xml:space="preserve"> Ian</w:t>
      </w:r>
      <w:r w:rsidRPr="00E73B13">
        <w:t xml:space="preserve"> Goss.</w:t>
      </w:r>
    </w:p>
    <w:p w14:paraId="4090A239" w14:textId="77777777" w:rsidR="00E73B13" w:rsidRPr="00E73B13" w:rsidRDefault="00E73B13" w:rsidP="00E73B13">
      <w:pPr>
        <w:ind w:left="567"/>
      </w:pPr>
    </w:p>
    <w:p w14:paraId="70B09702" w14:textId="39F9D952" w:rsidR="00E73B13" w:rsidRDefault="00E73B13" w:rsidP="00E73B13">
      <w:pPr>
        <w:ind w:left="567"/>
      </w:pPr>
      <w:r w:rsidRPr="00E73B13">
        <w:t>The seminars that had been organized in 2015</w:t>
      </w:r>
      <w:r w:rsidR="00062F47">
        <w:t xml:space="preserve"> and</w:t>
      </w:r>
      <w:r w:rsidRPr="00E73B13">
        <w:t xml:space="preserve"> 2016 until the present seminar, had positively contributed to enrich the IGC with exchanges of experiences and views.  During the present 2016/2017 mandate, Ambassador Owade saw good progress made on the texts on GRs, TK and TCEs respectively, particularly in outlining the different positions, identifying options regarding the beneficiaries and the scope of protection in accordance with the different types of TK and TCEs.  Good spirit and efforts to compromise facilitated that result.  Nevertheless, despite the progress made, it must be recognized that important gaps and divergent positions remained on key issues.  The texts, which were still very detailed, needed to be simplified and avoid duplication.  A more high-level approach, that would leave the details to national law, as flagged by Ms. Ruth </w:t>
      </w:r>
      <w:proofErr w:type="spellStart"/>
      <w:r w:rsidRPr="00E73B13">
        <w:t>Okediji</w:t>
      </w:r>
      <w:proofErr w:type="spellEnd"/>
      <w:r w:rsidRPr="00E73B13">
        <w:t xml:space="preserve"> in her presentation, was indeed desirable. </w:t>
      </w:r>
    </w:p>
    <w:p w14:paraId="07AC29DF" w14:textId="77777777" w:rsidR="00E73B13" w:rsidRPr="00E73B13" w:rsidRDefault="00E73B13" w:rsidP="00E73B13">
      <w:pPr>
        <w:ind w:left="567"/>
      </w:pPr>
    </w:p>
    <w:p w14:paraId="419E2E73" w14:textId="43BE3772" w:rsidR="00E73B13" w:rsidRDefault="00E73B13" w:rsidP="00E73B13">
      <w:pPr>
        <w:ind w:left="567"/>
      </w:pPr>
      <w:r w:rsidRPr="00E73B13">
        <w:t>The way forward could include:  a renewal of the current mandate in similar terms, that would include a program of work on the three texts in parallel</w:t>
      </w:r>
      <w:proofErr w:type="gramStart"/>
      <w:r w:rsidRPr="00E73B13">
        <w:t xml:space="preserve">; </w:t>
      </w:r>
      <w:r w:rsidR="00471D2C">
        <w:t xml:space="preserve"> </w:t>
      </w:r>
      <w:r w:rsidRPr="00E73B13">
        <w:t>a</w:t>
      </w:r>
      <w:proofErr w:type="gramEnd"/>
      <w:r w:rsidRPr="00E73B13">
        <w:t xml:space="preserve"> renewal of the mandate under different terms that would possibly fast-track the text(s) that were more mature;  the convening of a diplomatic conference;  </w:t>
      </w:r>
      <w:r w:rsidR="00471D2C">
        <w:t xml:space="preserve">and </w:t>
      </w:r>
      <w:r w:rsidRPr="00E73B13">
        <w:t>th</w:t>
      </w:r>
      <w:r w:rsidR="00471D2C">
        <w:t>e conversion of the IGC into a Standing C</w:t>
      </w:r>
      <w:r w:rsidRPr="00E73B13">
        <w:t xml:space="preserve">ommittee.  Those options were not necessarily exclusive of each other. </w:t>
      </w:r>
    </w:p>
    <w:p w14:paraId="72CEF639" w14:textId="77777777" w:rsidR="00E73B13" w:rsidRPr="00E73B13" w:rsidRDefault="00E73B13" w:rsidP="00E73B13">
      <w:pPr>
        <w:ind w:left="567"/>
      </w:pPr>
    </w:p>
    <w:p w14:paraId="6C68BC07" w14:textId="5DE37114" w:rsidR="00E73B13" w:rsidRDefault="00E73B13" w:rsidP="00E73B13">
      <w:pPr>
        <w:ind w:left="567"/>
      </w:pPr>
      <w:r w:rsidRPr="00E73B13">
        <w:t>Ambassador Owade emphasized that the IGC process was important for the IP system and for WIPO, and needed to be taken seriously.  The IGC</w:t>
      </w:r>
      <w:r w:rsidR="00471D2C">
        <w:t>’s</w:t>
      </w:r>
      <w:r w:rsidRPr="00E73B13">
        <w:t xml:space="preserve"> mandate asked for a balanced and fair result.  Such achievement would reinforce the credibility and integrity of the IP system.  Positions were well known.  Numerous experiences had been exchanged, and indigenous panels had served to share and reflect indigenous perspectives on the issues.  A rich searchable library of information had been produced by the Secretariat.</w:t>
      </w:r>
    </w:p>
    <w:p w14:paraId="08C8DAFA" w14:textId="77777777" w:rsidR="00E73B13" w:rsidRPr="00E73B13" w:rsidRDefault="00E73B13" w:rsidP="00E73B13">
      <w:pPr>
        <w:ind w:left="567"/>
      </w:pPr>
    </w:p>
    <w:p w14:paraId="0B319017" w14:textId="608B3B40" w:rsidR="006B7E86" w:rsidRDefault="00E73B13" w:rsidP="00E73B13">
      <w:pPr>
        <w:ind w:left="567"/>
      </w:pPr>
      <w:r w:rsidRPr="00E73B13">
        <w:t xml:space="preserve">Time had come to make a step back, clarify the policy objectives of the instruments, regarding particularly the kind of mischiefs that the instrument(s) should address at the international level, and design an efficient process that would achieve those policy objectives.  Ambassador Owade made a solemn appeal to Member States to focus on the process.  In his own experience of international negotiations on sensitive matters, he had learned that there was always a way through, even upon seemingly intractable problems, </w:t>
      </w:r>
      <w:r w:rsidRPr="00E73B13">
        <w:lastRenderedPageBreak/>
        <w:t>provided that political will was there to move the talks forward.  He commended the personal involvement of the WIPO Director General, Mr. Francis Gurry, and the commitment of the Director of the Traditional Knowledge Division, Mr. Wend Wendland, as well as the sacrifices of the present Chair, Mr. Goss, in leading the process.  Protection of TK, TCEs and GRs were not only a priority for Africa, but also for the other regions.  It was time for Member States to resolve those issues for the sake of humanity, as there was more that united us than divided us. Ambassador Owade stated that success was doable.</w:t>
      </w:r>
      <w:r w:rsidR="006B7E86" w:rsidRPr="00E73B13">
        <w:t>”</w:t>
      </w:r>
    </w:p>
    <w:p w14:paraId="07716C2B" w14:textId="77777777" w:rsidR="00225129" w:rsidRDefault="00225129" w:rsidP="00225129"/>
    <w:p w14:paraId="254F6EBC" w14:textId="77777777" w:rsidR="00225129" w:rsidRDefault="00225129" w:rsidP="002B722B">
      <w:pPr>
        <w:pStyle w:val="ListParagraph"/>
        <w:numPr>
          <w:ilvl w:val="0"/>
          <w:numId w:val="4"/>
        </w:numPr>
        <w:ind w:left="0" w:firstLine="0"/>
      </w:pPr>
      <w:r w:rsidRPr="009B459C">
        <w:t>The Chair thanked the rapporteurs for their clear, balanced and informative reports.  The Chair opened the floor for any question</w:t>
      </w:r>
      <w:r>
        <w:t>s/comments</w:t>
      </w:r>
      <w:r w:rsidRPr="009B459C">
        <w:t xml:space="preserve">.  </w:t>
      </w:r>
      <w:r w:rsidR="00E6065B">
        <w:t>There were none.</w:t>
      </w:r>
    </w:p>
    <w:p w14:paraId="7357F637" w14:textId="77777777" w:rsidR="006B7E86" w:rsidRPr="006B7E86" w:rsidRDefault="006B7E86" w:rsidP="006B7E86"/>
    <w:p w14:paraId="108D869B" w14:textId="6231491D" w:rsidR="00144BF5" w:rsidRPr="00FC53D5" w:rsidRDefault="00144BF5" w:rsidP="00FC53D5">
      <w:pPr>
        <w:pStyle w:val="ListParagraph"/>
        <w:ind w:left="5533"/>
        <w:rPr>
          <w:i/>
        </w:rPr>
      </w:pPr>
      <w:r w:rsidRPr="00FC53D5">
        <w:rPr>
          <w:i/>
        </w:rPr>
        <w:t>Decision</w:t>
      </w:r>
      <w:r w:rsidR="00E73B13" w:rsidRPr="00FC53D5">
        <w:rPr>
          <w:i/>
        </w:rPr>
        <w:t>s</w:t>
      </w:r>
      <w:r w:rsidRPr="00FC53D5">
        <w:rPr>
          <w:i/>
        </w:rPr>
        <w:t xml:space="preserve"> on Agenda Item 5:</w:t>
      </w:r>
    </w:p>
    <w:p w14:paraId="2071AE12" w14:textId="77777777" w:rsidR="00144BF5" w:rsidRPr="00FC53D5" w:rsidRDefault="00144BF5" w:rsidP="00FC53D5">
      <w:pPr>
        <w:pStyle w:val="ListParagraph"/>
        <w:ind w:left="5533"/>
        <w:rPr>
          <w:i/>
        </w:rPr>
      </w:pPr>
    </w:p>
    <w:p w14:paraId="23AF13A5" w14:textId="77777777" w:rsidR="00E73B13" w:rsidRPr="00FC53D5" w:rsidRDefault="00E73B13" w:rsidP="00FC53D5">
      <w:pPr>
        <w:pStyle w:val="ListParagraph"/>
        <w:numPr>
          <w:ilvl w:val="0"/>
          <w:numId w:val="4"/>
        </w:numPr>
        <w:ind w:left="5533" w:firstLine="0"/>
        <w:rPr>
          <w:i/>
        </w:rPr>
      </w:pPr>
      <w:r w:rsidRPr="00FC53D5">
        <w:rPr>
          <w:i/>
        </w:rPr>
        <w:t xml:space="preserve">The Committee took note of the oral reports from the rapporteurs:  Mr. Ahmed Al-Shehhi, Specialist of Organizations and Cultural Relations, Ministry of Heritage and Culture, Muscat, Oman;  Dr. </w:t>
      </w:r>
      <w:proofErr w:type="spellStart"/>
      <w:r w:rsidRPr="00FC53D5">
        <w:rPr>
          <w:i/>
        </w:rPr>
        <w:t>Sumit</w:t>
      </w:r>
      <w:proofErr w:type="spellEnd"/>
      <w:r w:rsidRPr="00FC53D5">
        <w:rPr>
          <w:i/>
        </w:rPr>
        <w:t xml:space="preserve"> Seth, First Secretary, Permanent Mission of India to the United Nations, Geneva, Switzerland;  Ms. Bernadette Butler, Minister-Counsellor, Permanent Mission of the Commonwealth of the Bahamas to the United Nations Office and other international organizations, Geneva, Switzerland;  and Ms. </w:t>
      </w:r>
      <w:proofErr w:type="spellStart"/>
      <w:r w:rsidRPr="00FC53D5">
        <w:rPr>
          <w:i/>
        </w:rPr>
        <w:t>Liene</w:t>
      </w:r>
      <w:proofErr w:type="spellEnd"/>
      <w:r w:rsidRPr="00FC53D5">
        <w:rPr>
          <w:i/>
        </w:rPr>
        <w:t xml:space="preserve"> </w:t>
      </w:r>
      <w:proofErr w:type="spellStart"/>
      <w:r w:rsidRPr="00FC53D5">
        <w:rPr>
          <w:i/>
        </w:rPr>
        <w:t>Grike</w:t>
      </w:r>
      <w:proofErr w:type="spellEnd"/>
      <w:r w:rsidRPr="00FC53D5">
        <w:rPr>
          <w:i/>
        </w:rPr>
        <w:t xml:space="preserve">, Adviser, Economic and Intellectual Property Affairs, Permanent Mission of the Republic of Latvia to the United Nations Office and other international organizations, Geneva, Switzerland. </w:t>
      </w:r>
    </w:p>
    <w:p w14:paraId="17CEB8A7" w14:textId="77777777" w:rsidR="00E73B13" w:rsidRPr="00FC53D5" w:rsidRDefault="00E73B13" w:rsidP="00FC53D5">
      <w:pPr>
        <w:ind w:left="5533"/>
        <w:rPr>
          <w:i/>
        </w:rPr>
      </w:pPr>
    </w:p>
    <w:p w14:paraId="442FA023" w14:textId="7BFE366A" w:rsidR="00144BF5" w:rsidRPr="00FC53D5" w:rsidRDefault="00E73B13" w:rsidP="00FC53D5">
      <w:pPr>
        <w:pStyle w:val="ListParagraph"/>
        <w:numPr>
          <w:ilvl w:val="0"/>
          <w:numId w:val="4"/>
        </w:numPr>
        <w:ind w:left="5533" w:firstLine="0"/>
        <w:rPr>
          <w:i/>
        </w:rPr>
      </w:pPr>
      <w:r w:rsidRPr="00FC53D5">
        <w:rPr>
          <w:i/>
        </w:rPr>
        <w:t>The Committee also took note of document WIPO/GRTKF/IC/34/INF/9.</w:t>
      </w:r>
    </w:p>
    <w:p w14:paraId="721F3002" w14:textId="77777777" w:rsidR="00144BF5" w:rsidRDefault="00144BF5" w:rsidP="00BE2F67">
      <w:pPr>
        <w:pStyle w:val="Heading1"/>
        <w:spacing w:before="0"/>
      </w:pPr>
    </w:p>
    <w:p w14:paraId="3181C001" w14:textId="77777777" w:rsidR="009B459C" w:rsidRPr="009B459C" w:rsidRDefault="00144BF5" w:rsidP="00BE2F67">
      <w:pPr>
        <w:pStyle w:val="Heading1"/>
        <w:spacing w:before="0"/>
      </w:pPr>
      <w:r>
        <w:t>AGENDA ITEM 6</w:t>
      </w:r>
      <w:r w:rsidR="00A73439">
        <w:t xml:space="preserve">:  </w:t>
      </w:r>
      <w:r w:rsidR="009B459C" w:rsidRPr="009B459C">
        <w:t>PARTICIPATION OF INDIGENOUS AND LOCAL COMMUNITIES</w:t>
      </w:r>
    </w:p>
    <w:p w14:paraId="59AFA2D4" w14:textId="77777777" w:rsidR="009B459C" w:rsidRPr="00BE2F67" w:rsidRDefault="009B459C" w:rsidP="00BE2F67">
      <w:pPr>
        <w:pStyle w:val="ListParagraph"/>
        <w:ind w:left="0"/>
      </w:pPr>
    </w:p>
    <w:p w14:paraId="42068F42" w14:textId="38CDE5E8" w:rsidR="00FE6758" w:rsidRPr="00FE6758" w:rsidRDefault="00CA0ADE" w:rsidP="002B722B">
      <w:pPr>
        <w:pStyle w:val="ListParagraph"/>
        <w:numPr>
          <w:ilvl w:val="0"/>
          <w:numId w:val="4"/>
        </w:numPr>
        <w:ind w:left="0" w:firstLine="0"/>
      </w:pPr>
      <w:r w:rsidRPr="002B722B">
        <w:t>The Chair provided an update on the operatio</w:t>
      </w:r>
      <w:r w:rsidR="0046752E">
        <w:t>n</w:t>
      </w:r>
      <w:r w:rsidR="00BE1B6C">
        <w:t xml:space="preserve"> of the Voluntary Fund.  </w:t>
      </w:r>
      <w:r w:rsidRPr="002B722B">
        <w:t>At IGC 33, there had been a weakening of representation by indigenous observers, who were critical to the integrity of the IGC.  There was a</w:t>
      </w:r>
      <w:r w:rsidR="0046752E">
        <w:t xml:space="preserve"> significant increase at IGC 34. </w:t>
      </w:r>
      <w:r w:rsidRPr="002B722B">
        <w:t xml:space="preserve"> </w:t>
      </w:r>
      <w:r w:rsidR="0046752E">
        <w:t>The G</w:t>
      </w:r>
      <w:r w:rsidR="0046752E" w:rsidRPr="002B722B">
        <w:t>overnment of Aust</w:t>
      </w:r>
      <w:r w:rsidR="0046752E">
        <w:t xml:space="preserve">ralia had provided some funding, </w:t>
      </w:r>
      <w:r w:rsidRPr="002B722B">
        <w:t>but the</w:t>
      </w:r>
      <w:r w:rsidR="0046752E">
        <w:t xml:space="preserve"> Voluntary</w:t>
      </w:r>
      <w:r w:rsidRPr="002B722B">
        <w:t xml:space="preserve"> Fund still needed to be maintained.  He called upon delegates to consult internally and to contribute to the </w:t>
      </w:r>
      <w:r w:rsidR="0046752E">
        <w:t xml:space="preserve">Voluntary </w:t>
      </w:r>
      <w:r w:rsidR="00B66B97">
        <w:t>Fund</w:t>
      </w:r>
      <w:r w:rsidRPr="002B722B">
        <w:t xml:space="preserve">.  </w:t>
      </w:r>
      <w:r w:rsidR="00B66B97" w:rsidRPr="00B66B97">
        <w:t>The importance of the Fund to the c</w:t>
      </w:r>
      <w:r w:rsidR="00B66B97">
        <w:t>redibility of the IGC, which had</w:t>
      </w:r>
      <w:r w:rsidR="00B66B97" w:rsidRPr="00B66B97">
        <w:t xml:space="preserve"> repeatedly committed itself to supporti</w:t>
      </w:r>
      <w:r w:rsidR="00B66B97">
        <w:t>ng indigenous participation, could not be overemphasized.</w:t>
      </w:r>
      <w:r w:rsidR="00B66B97" w:rsidRPr="00B66B97">
        <w:t xml:space="preserve">  </w:t>
      </w:r>
      <w:r w:rsidR="00B66B97">
        <w:t>He drew attention to document </w:t>
      </w:r>
      <w:r w:rsidRPr="002B722B">
        <w:t>WIPO/GRTK</w:t>
      </w:r>
      <w:r w:rsidR="00B66B97">
        <w:t>F/IC/34/INF/4, which provided</w:t>
      </w:r>
      <w:r w:rsidRPr="002B722B">
        <w:t xml:space="preserve"> information on the current state of contributions and applica</w:t>
      </w:r>
      <w:r w:rsidR="00B66B97">
        <w:t>tions for support, and document </w:t>
      </w:r>
      <w:r w:rsidRPr="002B722B">
        <w:t xml:space="preserve">WIPO/GRTKF/IC/34/3, concerning the appointment of members of the Advisory Board.  </w:t>
      </w:r>
      <w:r w:rsidR="00FB2CB9">
        <w:t>The IGC would later be invited to elect members of the Board.  The Chair proposed that His Excellency</w:t>
      </w:r>
      <w:r w:rsidRPr="002B722B">
        <w:t xml:space="preserve"> Ambassador Tene</w:t>
      </w:r>
      <w:r w:rsidR="00FB2CB9">
        <w:t>, the Vice-Chair serve as Chair of</w:t>
      </w:r>
      <w:r w:rsidRPr="002B722B">
        <w:t xml:space="preserve"> the Advisory Board. </w:t>
      </w:r>
      <w:r w:rsidR="0080604D" w:rsidRPr="002B722B">
        <w:t xml:space="preserve"> </w:t>
      </w:r>
      <w:r w:rsidRPr="002B722B">
        <w:t>The outcomes of the Board</w:t>
      </w:r>
      <w:r w:rsidR="00FB2CB9">
        <w:t>’s</w:t>
      </w:r>
      <w:r w:rsidRPr="002B722B">
        <w:t xml:space="preserve"> deliberation</w:t>
      </w:r>
      <w:r w:rsidR="00B66B97">
        <w:t>s would be reported</w:t>
      </w:r>
      <w:r w:rsidR="00FB2CB9">
        <w:t xml:space="preserve"> on</w:t>
      </w:r>
      <w:r w:rsidR="00B66B97">
        <w:t xml:space="preserve"> in document </w:t>
      </w:r>
      <w:r w:rsidRPr="002B722B">
        <w:t xml:space="preserve">WIPO/GRTKF/IC/INF/6.  </w:t>
      </w:r>
      <w:r w:rsidR="00B66B97">
        <w:t xml:space="preserve">There was a small amount left, for about </w:t>
      </w:r>
      <w:r w:rsidR="00B66B97">
        <w:lastRenderedPageBreak/>
        <w:t xml:space="preserve">five more participants at IGC 35.  </w:t>
      </w:r>
      <w:r w:rsidR="0080604D" w:rsidRPr="002B722B">
        <w:t xml:space="preserve">He pleaded Member States to consider providing funds to ensure the credibility of the IGC in relation to indigenous representation.  </w:t>
      </w:r>
    </w:p>
    <w:p w14:paraId="10B2B491" w14:textId="77777777" w:rsidR="00FE6758" w:rsidRPr="00FE6758" w:rsidRDefault="00FE6758" w:rsidP="002B722B"/>
    <w:p w14:paraId="32C5CD22" w14:textId="334EBCA5" w:rsidR="008D3D28" w:rsidRPr="008D3D28" w:rsidRDefault="00FE6758" w:rsidP="002B722B">
      <w:pPr>
        <w:pStyle w:val="ListParagraph"/>
        <w:numPr>
          <w:ilvl w:val="0"/>
          <w:numId w:val="4"/>
        </w:numPr>
        <w:ind w:left="0" w:firstLine="0"/>
      </w:pPr>
      <w:r w:rsidRPr="002B722B">
        <w:t xml:space="preserve">The representative of IWA, speaking on behalf of the Indigenous Caucus, indicated the increase in the number of indigenous representatives </w:t>
      </w:r>
      <w:r w:rsidR="00062F47">
        <w:t xml:space="preserve">due </w:t>
      </w:r>
      <w:r w:rsidRPr="002B722B">
        <w:t xml:space="preserve">in large part to the </w:t>
      </w:r>
      <w:r w:rsidR="00B66B97">
        <w:t>Government of Australia</w:t>
      </w:r>
      <w:r w:rsidRPr="002B722B">
        <w:t xml:space="preserve"> as well as other governments that had contributed to the Fund in the past.  She was pleased to learn that the Voluntary Fund would bring </w:t>
      </w:r>
      <w:r w:rsidR="00062F47">
        <w:t xml:space="preserve">about </w:t>
      </w:r>
      <w:r w:rsidRPr="002B722B">
        <w:t xml:space="preserve">five indigenous representatives to IGC 35, and hoped that </w:t>
      </w:r>
      <w:r w:rsidR="00B66B97">
        <w:t xml:space="preserve">the </w:t>
      </w:r>
      <w:r w:rsidRPr="002B722B">
        <w:t xml:space="preserve">number could increase in the future, always with a goal of full and effective participation.  However, the Fund would be close to depleted after IGC 35, and she called on Member States to contribute, particularly those Member States who had not yet contributed.  </w:t>
      </w:r>
      <w:r w:rsidR="00FB2CB9">
        <w:t>S</w:t>
      </w:r>
      <w:r w:rsidRPr="002B722B">
        <w:t>he highlighted Articles 18 and 19</w:t>
      </w:r>
      <w:r w:rsidR="00FB2CB9" w:rsidRPr="00FB2CB9">
        <w:t xml:space="preserve"> </w:t>
      </w:r>
      <w:r w:rsidR="00FB2CB9" w:rsidRPr="002B722B">
        <w:t xml:space="preserve">of </w:t>
      </w:r>
      <w:r w:rsidR="00FB2CB9">
        <w:t xml:space="preserve">the </w:t>
      </w:r>
      <w:r w:rsidR="00FB2CB9" w:rsidRPr="002B722B">
        <w:t>UNDRIP</w:t>
      </w:r>
      <w:r w:rsidRPr="002B722B">
        <w:t>.  Article 18 set forth the</w:t>
      </w:r>
      <w:r w:rsidR="003C1DC5" w:rsidRPr="002B722B">
        <w:t>ir</w:t>
      </w:r>
      <w:r w:rsidRPr="002B722B">
        <w:t xml:space="preserve"> right to participate in decision-making in matters</w:t>
      </w:r>
      <w:r w:rsidR="003C1DC5" w:rsidRPr="002B722B">
        <w:t xml:space="preserve"> that </w:t>
      </w:r>
      <w:r w:rsidR="00062F47">
        <w:t>affected them</w:t>
      </w:r>
      <w:r w:rsidRPr="002B722B">
        <w:t>.  Artic</w:t>
      </w:r>
      <w:r w:rsidR="00B66B97">
        <w:t>le 19 complemented that with a S</w:t>
      </w:r>
      <w:r w:rsidRPr="002B722B">
        <w:t>tate</w:t>
      </w:r>
      <w:r w:rsidR="00B66B97">
        <w:t>’s</w:t>
      </w:r>
      <w:r w:rsidRPr="002B722B">
        <w:t xml:space="preserve"> obligation to consult and cooperate in good faith with indigenous peoples in order to obtain </w:t>
      </w:r>
      <w:r w:rsidR="00B66B97">
        <w:t>FPIC</w:t>
      </w:r>
      <w:r w:rsidRPr="002B722B">
        <w:t xml:space="preserve"> before adopting and implementing legislative or administrative measures.</w:t>
      </w:r>
      <w:r w:rsidR="003C1DC5" w:rsidRPr="002B722B">
        <w:t xml:space="preserve"> </w:t>
      </w:r>
      <w:r w:rsidRPr="002B722B">
        <w:t xml:space="preserve"> Article 42 provided that specialized agencies of the UN, such as WIPO, promote respect for and full application of the provisions of the </w:t>
      </w:r>
      <w:r w:rsidR="00B66B97">
        <w:t>UNDRIP</w:t>
      </w:r>
      <w:r w:rsidRPr="002B722B">
        <w:t>.  She thanked the Secretariat, which had supported their participation in the</w:t>
      </w:r>
      <w:r w:rsidR="003C1DC5" w:rsidRPr="002B722B">
        <w:t xml:space="preserve"> process.  A</w:t>
      </w:r>
      <w:r w:rsidRPr="002B722B">
        <w:t xml:space="preserve"> full day of preparation for the session had made a substantive difference in their participation, as did the increase in the number of indigenous representatives.  With those increases, they had been better able to prepare for constructive engagement in plenary, </w:t>
      </w:r>
      <w:proofErr w:type="spellStart"/>
      <w:r w:rsidRPr="002B722B">
        <w:t>informal</w:t>
      </w:r>
      <w:r w:rsidR="00E15FA9">
        <w:t>s</w:t>
      </w:r>
      <w:proofErr w:type="spellEnd"/>
      <w:r w:rsidRPr="002B722B">
        <w:t xml:space="preserve"> and contact group</w:t>
      </w:r>
      <w:r w:rsidR="00E15FA9">
        <w:t>s, if any</w:t>
      </w:r>
      <w:r w:rsidRPr="002B722B">
        <w:t>.  She hoped</w:t>
      </w:r>
      <w:r w:rsidR="00E15FA9">
        <w:t xml:space="preserve"> that</w:t>
      </w:r>
      <w:r w:rsidRPr="002B722B">
        <w:t xml:space="preserve"> the practice of having a full day for preparation would continue in the future.  The work would intensify in the next round of negotiations, and full and effective participation of indigenous peoples</w:t>
      </w:r>
      <w:r w:rsidR="00E15FA9">
        <w:t xml:space="preserve"> would be needed</w:t>
      </w:r>
      <w:r w:rsidRPr="002B722B">
        <w:t>.  As ben</w:t>
      </w:r>
      <w:r w:rsidR="00E15FA9">
        <w:t>eficiaries of the protection,</w:t>
      </w:r>
      <w:r w:rsidRPr="002B722B">
        <w:t xml:space="preserve"> </w:t>
      </w:r>
      <w:r w:rsidR="00E15FA9" w:rsidRPr="002B722B">
        <w:t xml:space="preserve">the need to ensure participation in all aspects of those negotiations </w:t>
      </w:r>
      <w:r w:rsidRPr="002B722B">
        <w:t>became i</w:t>
      </w:r>
      <w:r w:rsidR="00E15FA9">
        <w:t>ncreasingly important</w:t>
      </w:r>
      <w:r w:rsidRPr="002B722B">
        <w:t>.  Those could include appointment of indigenous facilitators, increased representation in any working group, participation in</w:t>
      </w:r>
      <w:r w:rsidR="003C1DC5" w:rsidRPr="002B722B">
        <w:t xml:space="preserve"> an indigenous expert workshop</w:t>
      </w:r>
      <w:r w:rsidRPr="002B722B">
        <w:t xml:space="preserve"> and the possibili</w:t>
      </w:r>
      <w:r w:rsidR="00E15FA9">
        <w:t>ty of appointing indigenous co-C</w:t>
      </w:r>
      <w:r w:rsidRPr="002B722B">
        <w:t xml:space="preserve">hairs for working groups.  Over the years the numerous ways in which indigenous peoples’ increased participation could inform and enrich the process had been demonstrated, and she sincerely hoped to build on that participation in the future.  </w:t>
      </w:r>
    </w:p>
    <w:p w14:paraId="695B5C81" w14:textId="77777777" w:rsidR="008D3D28" w:rsidRPr="008D3D28" w:rsidRDefault="008D3D28" w:rsidP="002B722B"/>
    <w:p w14:paraId="70F8A1D1" w14:textId="7422902B" w:rsidR="008D3D28" w:rsidRPr="008D3D28" w:rsidRDefault="008D3D28" w:rsidP="002B722B">
      <w:pPr>
        <w:pStyle w:val="ListParagraph"/>
        <w:numPr>
          <w:ilvl w:val="0"/>
          <w:numId w:val="4"/>
        </w:numPr>
        <w:ind w:left="0" w:firstLine="0"/>
      </w:pPr>
      <w:r w:rsidRPr="002B722B">
        <w:t xml:space="preserve">The Chair observed that </w:t>
      </w:r>
      <w:r w:rsidR="00153A21">
        <w:t>the indigenous representatives</w:t>
      </w:r>
      <w:r w:rsidRPr="002B722B">
        <w:t xml:space="preserve"> contributed significantly and added value.  He asked Member States to carefully consider providing additional funds.</w:t>
      </w:r>
    </w:p>
    <w:p w14:paraId="0D64D0C8" w14:textId="77777777" w:rsidR="00CA0ADE" w:rsidRPr="00CA0ADE" w:rsidRDefault="00CA0ADE" w:rsidP="002B722B"/>
    <w:p w14:paraId="6FAA33E3" w14:textId="6EA7CED8" w:rsidR="00CA0ADE" w:rsidRPr="00CA0ADE" w:rsidRDefault="00CA0ADE" w:rsidP="002B722B">
      <w:pPr>
        <w:pStyle w:val="ListParagraph"/>
        <w:numPr>
          <w:ilvl w:val="0"/>
          <w:numId w:val="4"/>
        </w:numPr>
        <w:ind w:left="0" w:firstLine="0"/>
      </w:pPr>
      <w:r w:rsidRPr="002B722B">
        <w:t xml:space="preserve">[Note from the Secretariat: </w:t>
      </w:r>
      <w:r w:rsidR="00153A21">
        <w:t xml:space="preserve"> </w:t>
      </w:r>
      <w:r w:rsidRPr="002B722B">
        <w:t>the following statement</w:t>
      </w:r>
      <w:r w:rsidR="008D16CC" w:rsidRPr="002B722B">
        <w:t xml:space="preserve"> was</w:t>
      </w:r>
      <w:r w:rsidRPr="002B722B">
        <w:t xml:space="preserve"> submitted to the Secretariat in writing only]. </w:t>
      </w:r>
      <w:r w:rsidR="0049135D" w:rsidRPr="002B722B">
        <w:t xml:space="preserve"> </w:t>
      </w:r>
      <w:r w:rsidRPr="002B722B">
        <w:t>The Delegation of Colombia, speaking on behalf of GRULAC, thanked the Delegation of Australia for its contribution</w:t>
      </w:r>
      <w:r w:rsidR="00AC60C8">
        <w:t>, which</w:t>
      </w:r>
      <w:r w:rsidRPr="002B722B">
        <w:t xml:space="preserve"> had allowed concretizing the funding of representatives for those sessions, whose contributions were more than welcomed and enriched the debate.  It stressed the need to make a collective effort to allow concretizing additional resources to feed the Fund.  Finally, it welcomed the appointment of the Advisory Board and wished them success in their work.  </w:t>
      </w:r>
    </w:p>
    <w:p w14:paraId="6F95843F" w14:textId="77777777" w:rsidR="00CA0ADE" w:rsidRDefault="00CA0ADE" w:rsidP="002B722B"/>
    <w:p w14:paraId="55FF5D98" w14:textId="4FE9B0CE" w:rsidR="00BE2F67" w:rsidRPr="002B722B" w:rsidRDefault="00B0369F" w:rsidP="002B722B">
      <w:pPr>
        <w:pStyle w:val="ListParagraph"/>
        <w:numPr>
          <w:ilvl w:val="0"/>
          <w:numId w:val="4"/>
        </w:numPr>
        <w:ind w:left="0" w:firstLine="0"/>
      </w:pPr>
      <w:r w:rsidRPr="00BD0B02">
        <w:t>[Note from the Secretariat]</w:t>
      </w:r>
      <w:r w:rsidR="00EF0916" w:rsidRPr="00BD0B02">
        <w:t xml:space="preserve">:  </w:t>
      </w:r>
      <w:r w:rsidR="00144BF5" w:rsidRPr="00BD0B02">
        <w:t>The Indigenous Panel at IGC 34</w:t>
      </w:r>
      <w:r w:rsidRPr="00BD0B02">
        <w:t xml:space="preserve"> addressed </w:t>
      </w:r>
      <w:r w:rsidR="00BE2F67" w:rsidRPr="00BD0B02">
        <w:t>the following topic</w:t>
      </w:r>
      <w:r w:rsidR="00EF0916" w:rsidRPr="00BD0B02">
        <w:t xml:space="preserve">:  </w:t>
      </w:r>
      <w:r w:rsidR="00BE2F67" w:rsidRPr="00BD0B02">
        <w:t>“</w:t>
      </w:r>
      <w:r w:rsidR="00BD0B02" w:rsidRPr="00BD0B02">
        <w:t>Outstanding/Pending Issues in the IGC Draft Articles on the Protection of Traditional Cultural Expressions:  Indigenous Peoples’ and Local Communities’ Perspectives</w:t>
      </w:r>
      <w:r w:rsidR="00BD0B02" w:rsidRPr="002B722B">
        <w:t>”</w:t>
      </w:r>
      <w:r w:rsidR="00AE1D54" w:rsidRPr="00BD0B02">
        <w:t xml:space="preserve">.  </w:t>
      </w:r>
      <w:r w:rsidR="00BE2F67" w:rsidRPr="00BD0B02">
        <w:t xml:space="preserve">The keynote speaker </w:t>
      </w:r>
      <w:r w:rsidRPr="00BD0B02">
        <w:t>was</w:t>
      </w:r>
      <w:r w:rsidR="00E17893" w:rsidRPr="00BD0B02">
        <w:t xml:space="preserve"> </w:t>
      </w:r>
      <w:r w:rsidR="00BD0B02" w:rsidRPr="002B722B">
        <w:t xml:space="preserve">Mr. S. James Anaya, Dean and Thomson Professor of Law, University of Colorado Law School, </w:t>
      </w:r>
      <w:r w:rsidR="00835F6A">
        <w:t>USA</w:t>
      </w:r>
      <w:r w:rsidR="00AE1D54" w:rsidRPr="00306574">
        <w:t xml:space="preserve">.  </w:t>
      </w:r>
      <w:r w:rsidRPr="00306574">
        <w:t xml:space="preserve">The </w:t>
      </w:r>
      <w:r w:rsidR="00BE2F67" w:rsidRPr="00306574">
        <w:t>two other panelists</w:t>
      </w:r>
      <w:r w:rsidRPr="00306574">
        <w:t xml:space="preserve"> were</w:t>
      </w:r>
      <w:r w:rsidR="00AE1D54" w:rsidRPr="00306574">
        <w:t xml:space="preserve">:  </w:t>
      </w:r>
      <w:r w:rsidR="00BD0B02" w:rsidRPr="002B722B">
        <w:t xml:space="preserve">Ms. Aroha </w:t>
      </w:r>
      <w:proofErr w:type="spellStart"/>
      <w:r w:rsidR="00BD0B02" w:rsidRPr="002B722B">
        <w:t>Te</w:t>
      </w:r>
      <w:proofErr w:type="spellEnd"/>
      <w:r w:rsidR="00BD0B02" w:rsidRPr="002B722B">
        <w:t xml:space="preserve"> </w:t>
      </w:r>
      <w:proofErr w:type="spellStart"/>
      <w:r w:rsidR="00BD0B02" w:rsidRPr="002B722B">
        <w:t>Pareake</w:t>
      </w:r>
      <w:proofErr w:type="spellEnd"/>
      <w:r w:rsidR="00BD0B02" w:rsidRPr="002B722B">
        <w:t xml:space="preserve"> Mead, Member, </w:t>
      </w:r>
      <w:proofErr w:type="spellStart"/>
      <w:r w:rsidR="00BD0B02" w:rsidRPr="002B722B">
        <w:t>Ngati</w:t>
      </w:r>
      <w:proofErr w:type="spellEnd"/>
      <w:r w:rsidR="00BD0B02" w:rsidRPr="002B722B">
        <w:t xml:space="preserve"> Awa and </w:t>
      </w:r>
      <w:proofErr w:type="spellStart"/>
      <w:r w:rsidR="00BD0B02" w:rsidRPr="002B722B">
        <w:t>Ngati</w:t>
      </w:r>
      <w:proofErr w:type="spellEnd"/>
      <w:r w:rsidR="00BD0B02" w:rsidRPr="002B722B">
        <w:t xml:space="preserve"> </w:t>
      </w:r>
      <w:proofErr w:type="spellStart"/>
      <w:r w:rsidR="00BD0B02" w:rsidRPr="002B722B">
        <w:t>Porou</w:t>
      </w:r>
      <w:proofErr w:type="spellEnd"/>
      <w:r w:rsidR="00BD0B02" w:rsidRPr="002B722B">
        <w:t xml:space="preserve"> Tribes, New Zealand</w:t>
      </w:r>
      <w:r w:rsidR="00835F6A">
        <w:t>,</w:t>
      </w:r>
      <w:r w:rsidR="00BD0B02" w:rsidRPr="00306574">
        <w:t xml:space="preserve"> and </w:t>
      </w:r>
      <w:r w:rsidR="00BD0B02" w:rsidRPr="002B722B">
        <w:t xml:space="preserve">Ms. Jennifer </w:t>
      </w:r>
      <w:proofErr w:type="spellStart"/>
      <w:r w:rsidR="00BD0B02" w:rsidRPr="002B722B">
        <w:t>Tauli</w:t>
      </w:r>
      <w:proofErr w:type="spellEnd"/>
      <w:r w:rsidR="00BD0B02" w:rsidRPr="002B722B">
        <w:t xml:space="preserve"> </w:t>
      </w:r>
      <w:proofErr w:type="spellStart"/>
      <w:r w:rsidR="00BD0B02" w:rsidRPr="002B722B">
        <w:t>Corpuz</w:t>
      </w:r>
      <w:proofErr w:type="spellEnd"/>
      <w:r w:rsidR="00BD0B02" w:rsidRPr="002B722B">
        <w:t xml:space="preserve">, Member, </w:t>
      </w:r>
      <w:proofErr w:type="spellStart"/>
      <w:r w:rsidR="00BD0B02" w:rsidRPr="002B722B">
        <w:t>Kankana-ey</w:t>
      </w:r>
      <w:proofErr w:type="spellEnd"/>
      <w:r w:rsidR="00BD0B02" w:rsidRPr="002B722B">
        <w:t xml:space="preserve"> Igorot People of Mountain Province, Philippines</w:t>
      </w:r>
      <w:r w:rsidR="00AE1D54" w:rsidRPr="00306574">
        <w:t xml:space="preserve">.  </w:t>
      </w:r>
      <w:r w:rsidRPr="00306574">
        <w:t>T</w:t>
      </w:r>
      <w:r w:rsidR="00BE2F67" w:rsidRPr="00306574">
        <w:t>he Chair of the Panel</w:t>
      </w:r>
      <w:r w:rsidRPr="00306574">
        <w:t xml:space="preserve"> was</w:t>
      </w:r>
      <w:r w:rsidR="00BE2F67" w:rsidRPr="00306574">
        <w:t xml:space="preserve"> </w:t>
      </w:r>
      <w:r w:rsidR="00DC1A1D" w:rsidRPr="00306574">
        <w:t xml:space="preserve">Mr. </w:t>
      </w:r>
      <w:r w:rsidR="00EF50F0" w:rsidRPr="00306574">
        <w:t xml:space="preserve">Antonio </w:t>
      </w:r>
      <w:r w:rsidR="00835F6A">
        <w:t>Q’</w:t>
      </w:r>
      <w:r w:rsidR="00DC1A1D" w:rsidRPr="00306574">
        <w:t xml:space="preserve">apaj Conde </w:t>
      </w:r>
      <w:proofErr w:type="spellStart"/>
      <w:r w:rsidR="00DC1A1D" w:rsidRPr="00306574">
        <w:t>Choque</w:t>
      </w:r>
      <w:proofErr w:type="spellEnd"/>
      <w:r w:rsidR="00EF50F0" w:rsidRPr="00306574">
        <w:t xml:space="preserve">, </w:t>
      </w:r>
      <w:r w:rsidR="00EF50F0" w:rsidRPr="002B722B">
        <w:t xml:space="preserve">Aymara Centre for </w:t>
      </w:r>
      <w:proofErr w:type="spellStart"/>
      <w:r w:rsidR="00EF50F0" w:rsidRPr="002B722B">
        <w:t>Multidisciplanary</w:t>
      </w:r>
      <w:proofErr w:type="spellEnd"/>
      <w:r w:rsidR="00EF50F0" w:rsidRPr="002B722B">
        <w:t xml:space="preserve"> Studies, Bolivia (</w:t>
      </w:r>
      <w:proofErr w:type="spellStart"/>
      <w:r w:rsidR="00EF50F0" w:rsidRPr="002B722B">
        <w:t>Plurinational</w:t>
      </w:r>
      <w:proofErr w:type="spellEnd"/>
      <w:r w:rsidR="00EF50F0" w:rsidRPr="002B722B">
        <w:t xml:space="preserve"> State of)</w:t>
      </w:r>
      <w:r w:rsidR="00AE1D54" w:rsidRPr="00306574">
        <w:t xml:space="preserve">.  </w:t>
      </w:r>
      <w:r w:rsidR="00BE2F67" w:rsidRPr="00306574">
        <w:t xml:space="preserve">The presentations were made according </w:t>
      </w:r>
      <w:r w:rsidR="00DC1A1D" w:rsidRPr="00306574">
        <w:t>to the program (WIPO/GRTKF/IC/34</w:t>
      </w:r>
      <w:r w:rsidR="00BE2F67" w:rsidRPr="00306574">
        <w:t xml:space="preserve">/INF/5) and </w:t>
      </w:r>
      <w:r w:rsidRPr="00306574">
        <w:t>are</w:t>
      </w:r>
      <w:r w:rsidR="00BE2F67" w:rsidRPr="00306574">
        <w:t xml:space="preserve"> available on the TK website as received</w:t>
      </w:r>
      <w:r w:rsidR="00AE1D54" w:rsidRPr="00306574">
        <w:t xml:space="preserve">.  </w:t>
      </w:r>
      <w:r w:rsidR="00BE2F67" w:rsidRPr="002B722B">
        <w:t xml:space="preserve">The Chair of the Panel submitted a written report on the Panel to the WIPO Secretariat which is </w:t>
      </w:r>
      <w:r w:rsidR="0092580A" w:rsidRPr="002B722B">
        <w:t xml:space="preserve">reproduced, as </w:t>
      </w:r>
      <w:r w:rsidR="00BE2F67" w:rsidRPr="002B722B">
        <w:t>summarized, below</w:t>
      </w:r>
      <w:r w:rsidR="00AE1D54" w:rsidRPr="002B722B">
        <w:t xml:space="preserve">:  </w:t>
      </w:r>
    </w:p>
    <w:p w14:paraId="40B68209" w14:textId="77777777" w:rsidR="00BE2F67" w:rsidRPr="002B722B" w:rsidRDefault="00BE2F67" w:rsidP="002B722B"/>
    <w:p w14:paraId="53C7417D" w14:textId="77777777" w:rsidR="00923F98" w:rsidRDefault="00BE2F67" w:rsidP="00923F98">
      <w:pPr>
        <w:ind w:left="567"/>
      </w:pPr>
      <w:r w:rsidRPr="00923F98">
        <w:lastRenderedPageBreak/>
        <w:t>“</w:t>
      </w:r>
      <w:r w:rsidR="00923F98">
        <w:t>Professor</w:t>
      </w:r>
      <w:r w:rsidR="00923F98" w:rsidRPr="00923F98">
        <w:t xml:space="preserve"> James Anaya’s present</w:t>
      </w:r>
      <w:r w:rsidR="00923F98">
        <w:t>ation began by introducing the indigenous p</w:t>
      </w:r>
      <w:r w:rsidR="00923F98" w:rsidRPr="00923F98">
        <w:t>eoples’ aspiration to (</w:t>
      </w:r>
      <w:proofErr w:type="spellStart"/>
      <w:r w:rsidR="00923F98" w:rsidRPr="00923F98">
        <w:t>i</w:t>
      </w:r>
      <w:proofErr w:type="spellEnd"/>
      <w:r w:rsidR="00923F98" w:rsidRPr="00923F98">
        <w:t>) maintain their cultural integrity over their TCEs beyond any economic con</w:t>
      </w:r>
      <w:r w:rsidR="00923F98">
        <w:t>sideration, and (ii) benefit</w:t>
      </w:r>
      <w:r w:rsidR="00923F98" w:rsidRPr="00923F98">
        <w:t xml:space="preserve"> economically from the use of their TCEs when that bene</w:t>
      </w:r>
      <w:r w:rsidR="00923F98">
        <w:t>fitting wa</w:t>
      </w:r>
      <w:r w:rsidR="00923F98" w:rsidRPr="00923F98">
        <w:t>s consistent</w:t>
      </w:r>
      <w:r w:rsidR="00923F98">
        <w:t xml:space="preserve"> with their cultural integrity (</w:t>
      </w:r>
      <w:r w:rsidR="00923F98" w:rsidRPr="003B17C3">
        <w:t>WIPO/GRTKF/IC/34/INF/8</w:t>
      </w:r>
      <w:r w:rsidR="00923F98">
        <w:t xml:space="preserve">). </w:t>
      </w:r>
      <w:r w:rsidR="00923F98" w:rsidRPr="00923F98">
        <w:t xml:space="preserve"> </w:t>
      </w:r>
      <w:r w:rsidR="00923F98">
        <w:t>He</w:t>
      </w:r>
      <w:r w:rsidR="00923F98" w:rsidRPr="00923F98">
        <w:t xml:space="preserve"> highlighted that the </w:t>
      </w:r>
      <w:r w:rsidR="00923F98">
        <w:t>IP regime fundamentally promoted</w:t>
      </w:r>
      <w:r w:rsidR="00923F98" w:rsidRPr="00923F98">
        <w:t xml:space="preserve"> economical reward for authors in return to a consumer access to the author’s work. </w:t>
      </w:r>
      <w:r w:rsidR="00923F98">
        <w:t xml:space="preserve"> The work of the IGC was</w:t>
      </w:r>
      <w:r w:rsidR="00923F98" w:rsidRPr="00923F98">
        <w:t xml:space="preserve"> crucial to find and expand the </w:t>
      </w:r>
      <w:r w:rsidR="00923F98">
        <w:t>IP regime to meet indigenous p</w:t>
      </w:r>
      <w:r w:rsidR="00923F98" w:rsidRPr="00923F98">
        <w:t xml:space="preserve">eoples’ aspirations on the protection of their TCEs. </w:t>
      </w:r>
      <w:r w:rsidR="00923F98">
        <w:t xml:space="preserve"> Professor</w:t>
      </w:r>
      <w:r w:rsidR="00923F98" w:rsidRPr="00923F98">
        <w:t xml:space="preserve"> Anaya examined core issues: </w:t>
      </w:r>
    </w:p>
    <w:p w14:paraId="6F47C62A" w14:textId="77777777" w:rsidR="00923F98" w:rsidRDefault="00923F98" w:rsidP="00923F98">
      <w:pPr>
        <w:pStyle w:val="ListParagraph"/>
        <w:numPr>
          <w:ilvl w:val="0"/>
          <w:numId w:val="15"/>
        </w:numPr>
      </w:pPr>
      <w:r>
        <w:t>On beneficiaries</w:t>
      </w:r>
      <w:r w:rsidRPr="00923F98">
        <w:t>, he asserted that the term “indigenous peoples” is considerable with the c</w:t>
      </w:r>
      <w:r>
        <w:t>ontemporary human rights regime</w:t>
      </w:r>
      <w:r w:rsidRPr="00923F98">
        <w:t xml:space="preserve">; </w:t>
      </w:r>
    </w:p>
    <w:p w14:paraId="2B88EEA0" w14:textId="77777777" w:rsidR="009F2417" w:rsidRDefault="00923F98" w:rsidP="00923F98">
      <w:pPr>
        <w:pStyle w:val="ListParagraph"/>
        <w:numPr>
          <w:ilvl w:val="0"/>
          <w:numId w:val="15"/>
        </w:numPr>
      </w:pPr>
      <w:r>
        <w:t>O</w:t>
      </w:r>
      <w:r w:rsidRPr="00923F98">
        <w:t>n scope of protection, he pointed out that the dif</w:t>
      </w:r>
      <w:r>
        <w:t>fering levels of protection or ‘tiered approach’, which might</w:t>
      </w:r>
      <w:r w:rsidRPr="00923F98">
        <w:t xml:space="preserve"> respond to an </w:t>
      </w:r>
      <w:r>
        <w:t>IP approach, did</w:t>
      </w:r>
      <w:r w:rsidRPr="00923F98">
        <w:t xml:space="preserve"> not respond to a human rights approach that recognize</w:t>
      </w:r>
      <w:r>
        <w:t>d indigenous p</w:t>
      </w:r>
      <w:r w:rsidRPr="00923F98">
        <w:t xml:space="preserve">eoples’ TCEs as integral parts of their cultures and societies. </w:t>
      </w:r>
      <w:r>
        <w:t xml:space="preserve"> </w:t>
      </w:r>
      <w:r w:rsidRPr="00923F98">
        <w:t xml:space="preserve">In this frame, the </w:t>
      </w:r>
      <w:r>
        <w:t xml:space="preserve">IP </w:t>
      </w:r>
      <w:r w:rsidRPr="00923F98">
        <w:t>regime should protect T</w:t>
      </w:r>
      <w:r>
        <w:t>CEs from (</w:t>
      </w:r>
      <w:proofErr w:type="spellStart"/>
      <w:r>
        <w:t>i</w:t>
      </w:r>
      <w:proofErr w:type="spellEnd"/>
      <w:r>
        <w:t>) illegal possession</w:t>
      </w:r>
      <w:r w:rsidRPr="00923F98">
        <w:t xml:space="preserve"> </w:t>
      </w:r>
      <w:r>
        <w:t>(</w:t>
      </w:r>
      <w:r w:rsidRPr="00923F98">
        <w:t xml:space="preserve">States should establish civil and criminal procedure to address TCEs which </w:t>
      </w:r>
      <w:r>
        <w:t>were accessed without indigenous p</w:t>
      </w:r>
      <w:r w:rsidRPr="00923F98">
        <w:t>eoples’ authorization</w:t>
      </w:r>
      <w:r>
        <w:t>);  and (ii) false marketing</w:t>
      </w:r>
      <w:r w:rsidRPr="00923F98">
        <w:t xml:space="preserve"> </w:t>
      </w:r>
      <w:r>
        <w:t>(</w:t>
      </w:r>
      <w:r w:rsidRPr="00923F98">
        <w:t>States should establish legal mechanism to address false marketing of products labeled as indigenous origin</w:t>
      </w:r>
      <w:r w:rsidR="009F2417">
        <w:t>)</w:t>
      </w:r>
      <w:r w:rsidRPr="00923F98">
        <w:t xml:space="preserve">; </w:t>
      </w:r>
    </w:p>
    <w:p w14:paraId="5D04E454" w14:textId="77777777" w:rsidR="009F2417" w:rsidRDefault="009F2417" w:rsidP="00923F98">
      <w:pPr>
        <w:pStyle w:val="ListParagraph"/>
        <w:numPr>
          <w:ilvl w:val="0"/>
          <w:numId w:val="15"/>
        </w:numPr>
      </w:pPr>
      <w:r>
        <w:t>T</w:t>
      </w:r>
      <w:r w:rsidR="00923F98" w:rsidRPr="00923F98">
        <w:t>erm of protection should be frame</w:t>
      </w:r>
      <w:r>
        <w:t>d based on the right to culture.  C</w:t>
      </w:r>
      <w:r w:rsidR="00923F98" w:rsidRPr="00923F98">
        <w:t>onsequently TCEs shoul</w:t>
      </w:r>
      <w:r>
        <w:t>d be protected as long as they we</w:t>
      </w:r>
      <w:r w:rsidR="00923F98" w:rsidRPr="00923F98">
        <w:t>re relevant to t</w:t>
      </w:r>
      <w:r>
        <w:t>he indigenous peoples’ cultures;</w:t>
      </w:r>
      <w:r w:rsidR="00923F98" w:rsidRPr="00923F98">
        <w:t xml:space="preserve"> </w:t>
      </w:r>
    </w:p>
    <w:p w14:paraId="6F7742E2" w14:textId="2BB42E16" w:rsidR="009F2417" w:rsidRDefault="009F2417" w:rsidP="00923F98">
      <w:pPr>
        <w:pStyle w:val="ListParagraph"/>
        <w:numPr>
          <w:ilvl w:val="0"/>
          <w:numId w:val="15"/>
        </w:numPr>
      </w:pPr>
      <w:r>
        <w:t>Exception or limitation</w:t>
      </w:r>
      <w:r w:rsidR="00923F98" w:rsidRPr="00923F98">
        <w:t xml:space="preserve"> should be defined and concretely formulated in the instruments, and </w:t>
      </w:r>
      <w:r w:rsidRPr="00923F98">
        <w:t>compliance</w:t>
      </w:r>
      <w:r>
        <w:t xml:space="preserve"> with human rights law;</w:t>
      </w:r>
      <w:r w:rsidR="00923F98" w:rsidRPr="00923F98">
        <w:t xml:space="preserve"> </w:t>
      </w:r>
      <w:r>
        <w:t xml:space="preserve"> </w:t>
      </w:r>
    </w:p>
    <w:p w14:paraId="197EFA5A" w14:textId="77777777" w:rsidR="009F2417" w:rsidRDefault="009F2417" w:rsidP="00923F98">
      <w:pPr>
        <w:pStyle w:val="ListParagraph"/>
        <w:numPr>
          <w:ilvl w:val="0"/>
          <w:numId w:val="15"/>
        </w:numPr>
      </w:pPr>
      <w:r>
        <w:t>T</w:t>
      </w:r>
      <w:r w:rsidR="00923F98" w:rsidRPr="00923F98">
        <w:t>he instrument should contain a concept of misapprop</w:t>
      </w:r>
      <w:r>
        <w:t>riation of TCEs</w:t>
      </w:r>
      <w:r w:rsidR="00923F98" w:rsidRPr="00923F98">
        <w:t xml:space="preserve">. </w:t>
      </w:r>
    </w:p>
    <w:p w14:paraId="3EC20EE9" w14:textId="0EC20CAF" w:rsidR="00923F98" w:rsidRPr="00923F98" w:rsidRDefault="00923F98" w:rsidP="009F2417">
      <w:pPr>
        <w:ind w:left="567"/>
      </w:pPr>
      <w:r w:rsidRPr="00923F98">
        <w:t>Finally, he emphasized t</w:t>
      </w:r>
      <w:r w:rsidR="00381B54">
        <w:t>hat issues in front of the IGC we</w:t>
      </w:r>
      <w:r w:rsidRPr="00923F98">
        <w:t xml:space="preserve">re not only technical issues but issues of social justice.  </w:t>
      </w:r>
    </w:p>
    <w:p w14:paraId="35C2CC8D" w14:textId="77777777" w:rsidR="00923F98" w:rsidRPr="00923F98" w:rsidRDefault="00923F98" w:rsidP="00923F98">
      <w:pPr>
        <w:ind w:left="567"/>
      </w:pPr>
    </w:p>
    <w:p w14:paraId="0D2E07C8" w14:textId="32F429AD" w:rsidR="00923F98" w:rsidRPr="00923F98" w:rsidRDefault="00923F98" w:rsidP="00923F98">
      <w:pPr>
        <w:ind w:left="567"/>
      </w:pPr>
      <w:r w:rsidRPr="00923F98">
        <w:t xml:space="preserve">The second speaker was Ms. Aroha </w:t>
      </w:r>
      <w:proofErr w:type="spellStart"/>
      <w:r w:rsidRPr="00923F98">
        <w:t>Te</w:t>
      </w:r>
      <w:proofErr w:type="spellEnd"/>
      <w:r w:rsidRPr="00923F98">
        <w:t xml:space="preserve"> </w:t>
      </w:r>
      <w:proofErr w:type="spellStart"/>
      <w:r w:rsidRPr="00923F98">
        <w:t>Pareake</w:t>
      </w:r>
      <w:proofErr w:type="spellEnd"/>
      <w:r w:rsidRPr="00923F98">
        <w:t xml:space="preserve"> Mead. </w:t>
      </w:r>
      <w:r w:rsidR="00381B54">
        <w:t xml:space="preserve"> </w:t>
      </w:r>
      <w:r w:rsidRPr="00923F98">
        <w:t xml:space="preserve">She underlined the important contributions that indigenous peoples had made to the IGC. </w:t>
      </w:r>
      <w:r w:rsidR="00381B54">
        <w:t xml:space="preserve"> </w:t>
      </w:r>
      <w:r w:rsidRPr="00923F98">
        <w:t xml:space="preserve">It was vital therefore for the IGC legitimacy to ensure indigenous peoples’ participation. </w:t>
      </w:r>
      <w:r w:rsidR="00381B54">
        <w:t xml:space="preserve"> She</w:t>
      </w:r>
      <w:r w:rsidRPr="00923F98">
        <w:t xml:space="preserve"> presented the </w:t>
      </w:r>
      <w:proofErr w:type="spellStart"/>
      <w:r w:rsidRPr="00923F98">
        <w:t>Mataatua</w:t>
      </w:r>
      <w:proofErr w:type="spellEnd"/>
      <w:r w:rsidRPr="00923F98">
        <w:t xml:space="preserve"> Declaration on the Cultural and Intellectual Property Righ</w:t>
      </w:r>
      <w:r w:rsidR="00381B54">
        <w:t>ts of Indigenous Peoples (1993), which</w:t>
      </w:r>
      <w:r w:rsidRPr="00923F98">
        <w:t xml:space="preserve"> affirm</w:t>
      </w:r>
      <w:r w:rsidR="00381B54">
        <w:t>ed that indigenous peoples we</w:t>
      </w:r>
      <w:r w:rsidRPr="00923F98">
        <w:t xml:space="preserve">re capable of managing their TK, </w:t>
      </w:r>
      <w:r w:rsidR="00381B54">
        <w:t xml:space="preserve">and </w:t>
      </w:r>
      <w:r w:rsidRPr="00923F98">
        <w:t>th</w:t>
      </w:r>
      <w:r w:rsidR="00381B54">
        <w:t>ey we</w:t>
      </w:r>
      <w:r w:rsidRPr="00923F98">
        <w:t>re wi</w:t>
      </w:r>
      <w:r w:rsidR="00381B54">
        <w:t>lling to share as long as they we</w:t>
      </w:r>
      <w:r w:rsidRPr="00923F98">
        <w:t>re able to contr</w:t>
      </w:r>
      <w:r w:rsidR="00381B54">
        <w:t>ol it as primary beneficiaries we</w:t>
      </w:r>
      <w:r w:rsidRPr="00923F98">
        <w:t xml:space="preserve">re the direct descendant of such knowledge. </w:t>
      </w:r>
      <w:r w:rsidR="00381B54">
        <w:t xml:space="preserve"> She also</w:t>
      </w:r>
      <w:r w:rsidRPr="00923F98">
        <w:t xml:space="preserve"> presented the Maori Trademark of qualit</w:t>
      </w:r>
      <w:r w:rsidR="0008372D">
        <w:t xml:space="preserve">y and authenticity ‘Toi </w:t>
      </w:r>
      <w:proofErr w:type="spellStart"/>
      <w:r w:rsidR="0008372D">
        <w:t>Iho</w:t>
      </w:r>
      <w:proofErr w:type="spellEnd"/>
      <w:r w:rsidR="0008372D">
        <w:t>’</w:t>
      </w:r>
      <w:r w:rsidR="00381B54">
        <w:t>, which</w:t>
      </w:r>
      <w:r w:rsidRPr="00923F98">
        <w:t xml:space="preserve"> helped Maori artists to protect their TCEs. </w:t>
      </w:r>
      <w:r w:rsidR="00381B54">
        <w:t xml:space="preserve"> She highlighted that indigenous p</w:t>
      </w:r>
      <w:r w:rsidRPr="00923F98">
        <w:t xml:space="preserve">eoples suffered from misappropriation and offensive use of their TCEs all over the world. </w:t>
      </w:r>
      <w:r w:rsidR="00381B54">
        <w:t xml:space="preserve"> Indigenous peoples had</w:t>
      </w:r>
      <w:r w:rsidRPr="00923F98">
        <w:t xml:space="preserve"> a big expectation in the IGC process to prevent </w:t>
      </w:r>
      <w:proofErr w:type="gramStart"/>
      <w:r w:rsidRPr="00923F98">
        <w:t>misappropriation,</w:t>
      </w:r>
      <w:proofErr w:type="gramEnd"/>
      <w:r w:rsidRPr="00923F98">
        <w:t xml:space="preserve"> therefore the term misappropriation should be reflected in the instrument(s). </w:t>
      </w:r>
      <w:r w:rsidR="00381B54">
        <w:t xml:space="preserve"> </w:t>
      </w:r>
      <w:r w:rsidRPr="00923F98">
        <w:t xml:space="preserve">She particular referred to misappropriation in the fashion industry. </w:t>
      </w:r>
    </w:p>
    <w:p w14:paraId="39ED2CDE" w14:textId="77777777" w:rsidR="00923F98" w:rsidRPr="00923F98" w:rsidRDefault="00923F98" w:rsidP="00923F98">
      <w:pPr>
        <w:ind w:left="567"/>
      </w:pPr>
    </w:p>
    <w:p w14:paraId="0E92FDCC" w14:textId="77777777" w:rsidR="00271B50" w:rsidRDefault="00923F98" w:rsidP="00923F98">
      <w:pPr>
        <w:ind w:left="567"/>
      </w:pPr>
      <w:r w:rsidRPr="00271B50">
        <w:t xml:space="preserve">The third panelist was Ms. Jennifer </w:t>
      </w:r>
      <w:proofErr w:type="spellStart"/>
      <w:r w:rsidRPr="00271B50">
        <w:t>Tauli</w:t>
      </w:r>
      <w:proofErr w:type="spellEnd"/>
      <w:r w:rsidRPr="00271B50">
        <w:t xml:space="preserve"> Corpus. </w:t>
      </w:r>
      <w:r w:rsidR="00271B50">
        <w:t xml:space="preserve"> </w:t>
      </w:r>
      <w:r w:rsidRPr="00271B50">
        <w:t>She bri</w:t>
      </w:r>
      <w:r w:rsidR="00271B50">
        <w:t>efly introduced the context of indigenous p</w:t>
      </w:r>
      <w:r w:rsidRPr="00271B50">
        <w:t xml:space="preserve">eoples in the Philippines. </w:t>
      </w:r>
      <w:r w:rsidR="00271B50">
        <w:t xml:space="preserve"> </w:t>
      </w:r>
      <w:r w:rsidRPr="00271B50">
        <w:t>She a</w:t>
      </w:r>
      <w:r w:rsidR="00271B50">
        <w:t xml:space="preserve">ddressed that the IP </w:t>
      </w:r>
      <w:r w:rsidRPr="00271B50">
        <w:t xml:space="preserve">system should adjust to address the indigenous peoples’ aspirations to control their knowledge. </w:t>
      </w:r>
      <w:r w:rsidR="00271B50">
        <w:t xml:space="preserve"> </w:t>
      </w:r>
      <w:r w:rsidRPr="00271B50">
        <w:t>She touched</w:t>
      </w:r>
      <w:r w:rsidRPr="00923F98">
        <w:t xml:space="preserve"> on the co</w:t>
      </w:r>
      <w:r w:rsidR="00271B50">
        <w:t>re issues that the IGC discussed</w:t>
      </w:r>
      <w:r w:rsidRPr="00923F98">
        <w:t xml:space="preserve">. </w:t>
      </w:r>
      <w:r w:rsidR="00271B50">
        <w:t xml:space="preserve"> </w:t>
      </w:r>
      <w:r w:rsidRPr="00923F98">
        <w:t xml:space="preserve">On beneficiaries, she recalled the indigenous peoples’ position to have in the instrument </w:t>
      </w:r>
      <w:r w:rsidR="00271B50">
        <w:t>IPLCs</w:t>
      </w:r>
      <w:r w:rsidRPr="00923F98">
        <w:t xml:space="preserve"> as beneficiaries. </w:t>
      </w:r>
      <w:r w:rsidR="00271B50">
        <w:t xml:space="preserve"> </w:t>
      </w:r>
      <w:r w:rsidRPr="00923F98">
        <w:t xml:space="preserve">She also recognized the role of competent national authorities in the administration of rights. </w:t>
      </w:r>
      <w:r w:rsidR="00271B50">
        <w:t xml:space="preserve"> </w:t>
      </w:r>
      <w:r w:rsidRPr="00923F98">
        <w:t xml:space="preserve">On the scope of protection, she affirmed that tiered approach could bring a balance to some contentious issues. </w:t>
      </w:r>
      <w:r w:rsidR="00271B50">
        <w:t xml:space="preserve"> There were some knowledge that indigenous p</w:t>
      </w:r>
      <w:r w:rsidRPr="00923F98">
        <w:t>eoples could share freely such as ecological knowledge t</w:t>
      </w:r>
      <w:r w:rsidR="00271B50">
        <w:t>o mitigate climate change, but indigenous p</w:t>
      </w:r>
      <w:r w:rsidRPr="00923F98">
        <w:t>eoples must be the ones who determine</w:t>
      </w:r>
      <w:r w:rsidR="00271B50">
        <w:t>d</w:t>
      </w:r>
      <w:r w:rsidRPr="00923F98">
        <w:t xml:space="preserve"> how and what indigenous peoples would like to share. </w:t>
      </w:r>
      <w:r w:rsidR="00271B50">
        <w:t xml:space="preserve"> </w:t>
      </w:r>
      <w:r w:rsidRPr="00923F98">
        <w:t>She provide</w:t>
      </w:r>
      <w:r w:rsidR="00271B50">
        <w:t xml:space="preserve">d different examples of TK and </w:t>
      </w:r>
      <w:r w:rsidRPr="00923F98">
        <w:t>T</w:t>
      </w:r>
      <w:r w:rsidR="00271B50">
        <w:t>C</w:t>
      </w:r>
      <w:r w:rsidRPr="00923F98">
        <w:t xml:space="preserve">Es in the Philippines. </w:t>
      </w:r>
      <w:r w:rsidR="00271B50">
        <w:t xml:space="preserve"> She</w:t>
      </w:r>
      <w:r w:rsidRPr="00923F98">
        <w:t xml:space="preserve"> recalled some contribution from the Seminar: </w:t>
      </w:r>
    </w:p>
    <w:p w14:paraId="26A6EDA2" w14:textId="77777777" w:rsidR="00271B50" w:rsidRDefault="00271B50" w:rsidP="00271B50">
      <w:pPr>
        <w:pStyle w:val="ListParagraph"/>
        <w:numPr>
          <w:ilvl w:val="0"/>
          <w:numId w:val="16"/>
        </w:numPr>
      </w:pPr>
      <w:r>
        <w:lastRenderedPageBreak/>
        <w:t>The safeguarding work wa</w:t>
      </w:r>
      <w:r w:rsidR="00923F98" w:rsidRPr="00923F98">
        <w:t xml:space="preserve">s </w:t>
      </w:r>
      <w:r>
        <w:t>the mandate of UNESCO, and the IGC had</w:t>
      </w:r>
      <w:r w:rsidR="00923F98" w:rsidRPr="00923F98">
        <w:t xml:space="preserve"> a different mandate; </w:t>
      </w:r>
    </w:p>
    <w:p w14:paraId="5ADF16BD" w14:textId="73157815" w:rsidR="00923F98" w:rsidRPr="00923F98" w:rsidRDefault="00271B50" w:rsidP="00271B50">
      <w:pPr>
        <w:pStyle w:val="ListParagraph"/>
        <w:numPr>
          <w:ilvl w:val="0"/>
          <w:numId w:val="16"/>
        </w:numPr>
      </w:pPr>
      <w:r>
        <w:t>Indigenous peoples’ participation wa</w:t>
      </w:r>
      <w:r w:rsidR="00923F98" w:rsidRPr="00923F98">
        <w:t>s critical to the IGC process, and the IGC should be able to inc</w:t>
      </w:r>
      <w:r>
        <w:t>orporate any language from the human r</w:t>
      </w:r>
      <w:r w:rsidR="00923F98" w:rsidRPr="00923F98">
        <w:t>ights instr</w:t>
      </w:r>
      <w:r>
        <w:t>uments, without any restriction</w:t>
      </w:r>
      <w:r w:rsidR="00923F98" w:rsidRPr="00923F98">
        <w:t xml:space="preserve">. </w:t>
      </w:r>
    </w:p>
    <w:p w14:paraId="3B78458D" w14:textId="77777777" w:rsidR="00923F98" w:rsidRPr="00923F98" w:rsidRDefault="00923F98" w:rsidP="00923F98">
      <w:pPr>
        <w:ind w:left="567"/>
      </w:pPr>
      <w:r w:rsidRPr="00923F98">
        <w:t xml:space="preserve"> </w:t>
      </w:r>
    </w:p>
    <w:p w14:paraId="34A769BD" w14:textId="34838863" w:rsidR="00BE2F67" w:rsidRDefault="00923F98" w:rsidP="00923F98">
      <w:pPr>
        <w:ind w:left="567"/>
      </w:pPr>
      <w:r w:rsidRPr="00923F98">
        <w:t>Mr. Conde closed the Indigenous Panel by thanking the panelists, the Member States and the WIPO Secretariat.</w:t>
      </w:r>
      <w:r w:rsidR="00BE2F67" w:rsidRPr="00923F98">
        <w:t>”</w:t>
      </w:r>
    </w:p>
    <w:p w14:paraId="159042AB" w14:textId="77777777" w:rsidR="009B459C" w:rsidRPr="00BE2F67" w:rsidRDefault="009B459C" w:rsidP="002B722B"/>
    <w:p w14:paraId="5A5A46C7" w14:textId="41E2D2D0" w:rsidR="000A49FE" w:rsidRDefault="00582C5C" w:rsidP="002B722B">
      <w:pPr>
        <w:pStyle w:val="ListParagraph"/>
        <w:numPr>
          <w:ilvl w:val="0"/>
          <w:numId w:val="4"/>
        </w:numPr>
        <w:ind w:left="0" w:firstLine="0"/>
      </w:pPr>
      <w:r>
        <w:t>[Note from the Secretariat]</w:t>
      </w:r>
      <w:r w:rsidR="00EF0916">
        <w:t xml:space="preserve">:  </w:t>
      </w:r>
      <w:r w:rsidR="00BE2F67">
        <w:t xml:space="preserve">The Advisory Board of the WIPO Voluntary Fund met on </w:t>
      </w:r>
      <w:r w:rsidR="003E7C2D">
        <w:t>June </w:t>
      </w:r>
      <w:r w:rsidR="004102E7">
        <w:t>14</w:t>
      </w:r>
      <w:r w:rsidR="000C33F7">
        <w:t>, 2017</w:t>
      </w:r>
      <w:r w:rsidR="00BE2F67">
        <w:t xml:space="preserve"> to select and nominate a number of participants representing </w:t>
      </w:r>
      <w:r w:rsidR="00A31C7E">
        <w:t>IPLCs</w:t>
      </w:r>
      <w:r w:rsidR="00BE2F67">
        <w:t xml:space="preserve"> to receive funding for their participation </w:t>
      </w:r>
      <w:r w:rsidR="00BE2F67" w:rsidRPr="002B722B">
        <w:t>at the next session of the IGC</w:t>
      </w:r>
      <w:r w:rsidR="00AE1D54">
        <w:t xml:space="preserve">.  </w:t>
      </w:r>
      <w:r w:rsidR="00BE2F67">
        <w:t>The Board’s recommenda</w:t>
      </w:r>
      <w:r w:rsidR="00A31C7E">
        <w:t>tions were reported in document </w:t>
      </w:r>
      <w:r w:rsidR="00BE2F67" w:rsidRPr="005F6028">
        <w:t>WIPO/GRTKF/IC/</w:t>
      </w:r>
      <w:r w:rsidR="004102E7">
        <w:t>34</w:t>
      </w:r>
      <w:r w:rsidR="00BE2F67" w:rsidRPr="005F6028">
        <w:t>/INF/6</w:t>
      </w:r>
      <w:r w:rsidR="00BE2F67">
        <w:t xml:space="preserve"> which was issued before the end of the session.</w:t>
      </w:r>
    </w:p>
    <w:p w14:paraId="545A2406" w14:textId="77777777" w:rsidR="000A49FE" w:rsidRPr="00FC53D5" w:rsidRDefault="000A49FE" w:rsidP="00FC53D5">
      <w:pPr>
        <w:pStyle w:val="ListParagraph"/>
        <w:ind w:left="5533"/>
        <w:rPr>
          <w:i/>
        </w:rPr>
      </w:pPr>
    </w:p>
    <w:p w14:paraId="2124CAF4" w14:textId="77777777" w:rsidR="004A6AA7" w:rsidRPr="00FC53D5" w:rsidRDefault="004A6AA7" w:rsidP="00FC53D5">
      <w:pPr>
        <w:pStyle w:val="ListParagraph"/>
        <w:ind w:left="5533"/>
        <w:rPr>
          <w:i/>
        </w:rPr>
      </w:pPr>
      <w:r w:rsidRPr="00FC53D5">
        <w:rPr>
          <w:i/>
        </w:rPr>
        <w:t xml:space="preserve">Decisions on </w:t>
      </w:r>
      <w:r w:rsidR="004102E7" w:rsidRPr="00FC53D5">
        <w:rPr>
          <w:i/>
        </w:rPr>
        <w:t>Agenda Item 6</w:t>
      </w:r>
      <w:r w:rsidR="004A36B3" w:rsidRPr="00FC53D5">
        <w:rPr>
          <w:i/>
        </w:rPr>
        <w:t>:</w:t>
      </w:r>
    </w:p>
    <w:p w14:paraId="1B8AC524" w14:textId="77777777" w:rsidR="006F58BA" w:rsidRPr="00FC53D5" w:rsidRDefault="006F58BA" w:rsidP="00FC53D5">
      <w:pPr>
        <w:pStyle w:val="ListParagraph"/>
        <w:ind w:left="5533"/>
        <w:rPr>
          <w:i/>
        </w:rPr>
      </w:pPr>
    </w:p>
    <w:p w14:paraId="609FE0EC" w14:textId="77777777" w:rsidR="00E73B13" w:rsidRPr="00FC53D5" w:rsidRDefault="00E73B13" w:rsidP="00FC53D5">
      <w:pPr>
        <w:pStyle w:val="ListParagraph"/>
        <w:numPr>
          <w:ilvl w:val="0"/>
          <w:numId w:val="4"/>
        </w:numPr>
        <w:ind w:left="5533" w:firstLine="0"/>
        <w:rPr>
          <w:i/>
        </w:rPr>
      </w:pPr>
      <w:r w:rsidRPr="00FC53D5">
        <w:rPr>
          <w:i/>
        </w:rPr>
        <w:t>The Committee took note of documents WIPO/GRTKF/IC/34/3, WIPO/GRTKF/IC/34/INF/4 and WIPO/GRTKF/IC/34/INF/6.</w:t>
      </w:r>
    </w:p>
    <w:p w14:paraId="1D3575D6" w14:textId="77777777" w:rsidR="00E73B13" w:rsidRPr="00FC53D5" w:rsidRDefault="00E73B13" w:rsidP="00FC53D5">
      <w:pPr>
        <w:ind w:left="5533"/>
        <w:rPr>
          <w:i/>
        </w:rPr>
      </w:pPr>
    </w:p>
    <w:p w14:paraId="70849EC4" w14:textId="77777777" w:rsidR="00E73B13" w:rsidRPr="00FC53D5" w:rsidRDefault="00E73B13" w:rsidP="00FC53D5">
      <w:pPr>
        <w:pStyle w:val="ListParagraph"/>
        <w:numPr>
          <w:ilvl w:val="0"/>
          <w:numId w:val="4"/>
        </w:numPr>
        <w:ind w:left="5533" w:firstLine="0"/>
        <w:rPr>
          <w:i/>
        </w:rPr>
      </w:pPr>
      <w:r w:rsidRPr="00FC53D5">
        <w:rPr>
          <w:i/>
        </w:rPr>
        <w:t>The Committee strongly encouraged and called upon members of the Committee and all interested public or private entities to contribute to the WIPO Voluntary Fund for Accredited Indigenous and Local Communities.</w:t>
      </w:r>
    </w:p>
    <w:p w14:paraId="0FCAB111" w14:textId="77777777" w:rsidR="00E73B13" w:rsidRPr="00FC53D5" w:rsidRDefault="00E73B13" w:rsidP="00FC53D5">
      <w:pPr>
        <w:ind w:left="5533"/>
        <w:rPr>
          <w:i/>
        </w:rPr>
      </w:pPr>
    </w:p>
    <w:p w14:paraId="2ACBA7A9" w14:textId="77777777" w:rsidR="00E73B13" w:rsidRPr="00FC53D5" w:rsidRDefault="00E73B13" w:rsidP="00FC53D5">
      <w:pPr>
        <w:pStyle w:val="ListParagraph"/>
        <w:numPr>
          <w:ilvl w:val="0"/>
          <w:numId w:val="4"/>
        </w:numPr>
        <w:ind w:left="5533" w:firstLine="0"/>
        <w:rPr>
          <w:i/>
        </w:rPr>
      </w:pPr>
      <w:r w:rsidRPr="00FC53D5">
        <w:rPr>
          <w:i/>
        </w:rPr>
        <w:t xml:space="preserve">The Chair proposed, and the Committee elected by acclamation, the following eight members of the Advisory Board to serve in an individual capacity:  Mr. </w:t>
      </w:r>
      <w:proofErr w:type="spellStart"/>
      <w:r w:rsidRPr="00FC53D5">
        <w:rPr>
          <w:i/>
        </w:rPr>
        <w:t>Hamadi</w:t>
      </w:r>
      <w:proofErr w:type="spellEnd"/>
      <w:r w:rsidRPr="00FC53D5">
        <w:rPr>
          <w:i/>
        </w:rPr>
        <w:t xml:space="preserve"> Ag Mohamed Abba, Representative, ADJMOR, Mali;  Mr. </w:t>
      </w:r>
      <w:proofErr w:type="spellStart"/>
      <w:r w:rsidRPr="00FC53D5">
        <w:rPr>
          <w:i/>
        </w:rPr>
        <w:t>Abdoul</w:t>
      </w:r>
      <w:proofErr w:type="spellEnd"/>
      <w:r w:rsidRPr="00FC53D5">
        <w:rPr>
          <w:i/>
        </w:rPr>
        <w:t xml:space="preserve"> Aziz </w:t>
      </w:r>
      <w:proofErr w:type="spellStart"/>
      <w:r w:rsidRPr="00FC53D5">
        <w:rPr>
          <w:i/>
        </w:rPr>
        <w:t>Dieng</w:t>
      </w:r>
      <w:proofErr w:type="spellEnd"/>
      <w:r w:rsidRPr="00FC53D5">
        <w:rPr>
          <w:i/>
        </w:rPr>
        <w:t xml:space="preserve">, Technical  Advisor, Ministry of Culture and Communication, Senegal;  Mr. </w:t>
      </w:r>
      <w:proofErr w:type="spellStart"/>
      <w:r w:rsidRPr="00FC53D5">
        <w:rPr>
          <w:i/>
        </w:rPr>
        <w:t>Parviz</w:t>
      </w:r>
      <w:proofErr w:type="spellEnd"/>
      <w:r w:rsidRPr="00FC53D5">
        <w:rPr>
          <w:i/>
        </w:rPr>
        <w:t xml:space="preserve"> </w:t>
      </w:r>
      <w:proofErr w:type="spellStart"/>
      <w:r w:rsidRPr="00FC53D5">
        <w:rPr>
          <w:i/>
        </w:rPr>
        <w:t>Emomov</w:t>
      </w:r>
      <w:proofErr w:type="spellEnd"/>
      <w:r w:rsidRPr="00FC53D5">
        <w:rPr>
          <w:i/>
        </w:rPr>
        <w:t xml:space="preserve">, Second Secretary, Permanent Mission of Tajikistan, Geneva;  Ms. Aideen Fitzgerald, Policy Officer, International Policy and Cooperation Section, IP Australia, Australia;  Ms. June Lorenzo, Representative, Indigenous World Association (IWA), United States of America;  Ms. Ñusta Maldonado, Third Secretary, Permanent Mission of Ecuador, Geneva;  Mr. Kamal Kumar Rai, Representative, Himalayan Folklore and Biodiversity Study Program, IPs Society for Wetland Biodiversity Conservation, Nepal; and Ms. </w:t>
      </w:r>
      <w:proofErr w:type="spellStart"/>
      <w:r w:rsidRPr="00FC53D5">
        <w:rPr>
          <w:i/>
        </w:rPr>
        <w:t>Ofa</w:t>
      </w:r>
      <w:proofErr w:type="spellEnd"/>
      <w:r w:rsidRPr="00FC53D5">
        <w:rPr>
          <w:i/>
        </w:rPr>
        <w:t xml:space="preserve"> </w:t>
      </w:r>
      <w:proofErr w:type="spellStart"/>
      <w:r w:rsidRPr="00FC53D5">
        <w:rPr>
          <w:i/>
        </w:rPr>
        <w:t>Veiqaravi</w:t>
      </w:r>
      <w:proofErr w:type="spellEnd"/>
      <w:r w:rsidRPr="00FC53D5">
        <w:rPr>
          <w:i/>
        </w:rPr>
        <w:t xml:space="preserve"> </w:t>
      </w:r>
      <w:proofErr w:type="spellStart"/>
      <w:r w:rsidRPr="00FC53D5">
        <w:rPr>
          <w:i/>
        </w:rPr>
        <w:t>Solimailagi</w:t>
      </w:r>
      <w:proofErr w:type="spellEnd"/>
      <w:r w:rsidRPr="00FC53D5">
        <w:rPr>
          <w:i/>
        </w:rPr>
        <w:t xml:space="preserve">, Senior </w:t>
      </w:r>
      <w:r w:rsidRPr="00FC53D5">
        <w:rPr>
          <w:i/>
        </w:rPr>
        <w:lastRenderedPageBreak/>
        <w:t>Legal Officer, Office of the Attorney-General, Suva, Fiji.</w:t>
      </w:r>
    </w:p>
    <w:p w14:paraId="72E19085" w14:textId="77777777" w:rsidR="00E73B13" w:rsidRPr="00FC53D5" w:rsidRDefault="00E73B13" w:rsidP="00FC53D5">
      <w:pPr>
        <w:ind w:left="5533"/>
        <w:rPr>
          <w:i/>
        </w:rPr>
      </w:pPr>
    </w:p>
    <w:p w14:paraId="61EBCBF2" w14:textId="77777777" w:rsidR="00E73B13" w:rsidRPr="00FC53D5" w:rsidRDefault="00E73B13" w:rsidP="00FC53D5">
      <w:pPr>
        <w:pStyle w:val="ListParagraph"/>
        <w:numPr>
          <w:ilvl w:val="0"/>
          <w:numId w:val="4"/>
        </w:numPr>
        <w:ind w:left="5533" w:firstLine="0"/>
        <w:rPr>
          <w:i/>
        </w:rPr>
      </w:pPr>
      <w:r w:rsidRPr="00FC53D5">
        <w:rPr>
          <w:i/>
        </w:rPr>
        <w:t>The Chair of the Committee nominated Ambassador Robert Matheus Michael Tene, Vice-Chair of the Committee, to serve as Chair of the Advisory Board.</w:t>
      </w:r>
    </w:p>
    <w:p w14:paraId="35B9A908" w14:textId="77777777" w:rsidR="006F58BA" w:rsidRPr="00E73B13" w:rsidRDefault="006F58BA" w:rsidP="00E73B13"/>
    <w:p w14:paraId="4A79FA0B" w14:textId="77777777" w:rsidR="009B459C" w:rsidRPr="009B459C" w:rsidRDefault="004102E7" w:rsidP="009F53CA">
      <w:pPr>
        <w:pStyle w:val="Heading1"/>
        <w:spacing w:before="0"/>
      </w:pPr>
      <w:r>
        <w:t>AGENDA ITEM 7</w:t>
      </w:r>
      <w:r w:rsidR="00AE1D54">
        <w:t xml:space="preserve">:  </w:t>
      </w:r>
      <w:r w:rsidR="00D2769C">
        <w:t xml:space="preserve">Traditional </w:t>
      </w:r>
      <w:r w:rsidR="000C33F7">
        <w:t>Cultural expressions</w:t>
      </w:r>
    </w:p>
    <w:p w14:paraId="447A611F" w14:textId="77777777" w:rsidR="00243105" w:rsidRPr="00243105" w:rsidRDefault="00243105" w:rsidP="00243105">
      <w:pPr>
        <w:pStyle w:val="ListParagraph"/>
        <w:ind w:left="0"/>
        <w:rPr>
          <w:bCs/>
        </w:rPr>
      </w:pPr>
    </w:p>
    <w:p w14:paraId="58B1EE25" w14:textId="63ED9830" w:rsidR="005C2E7E" w:rsidRPr="005C2E7E" w:rsidRDefault="00003757" w:rsidP="002B1245">
      <w:pPr>
        <w:pStyle w:val="ListParagraph"/>
        <w:numPr>
          <w:ilvl w:val="0"/>
          <w:numId w:val="4"/>
        </w:numPr>
        <w:ind w:left="0" w:firstLine="0"/>
      </w:pPr>
      <w:r w:rsidRPr="002B722B">
        <w:t>The Ch</w:t>
      </w:r>
      <w:r w:rsidR="00577782">
        <w:t>air recalled that he had consulted with Regional C</w:t>
      </w:r>
      <w:r w:rsidRPr="002B722B">
        <w:t>oordinators and interested delegations on the work program and working methodology that</w:t>
      </w:r>
      <w:r w:rsidR="00577782">
        <w:t xml:space="preserve"> had been circulated.  Regarding the outcomes</w:t>
      </w:r>
      <w:r w:rsidRPr="002B722B">
        <w:t xml:space="preserve"> of IGC 34</w:t>
      </w:r>
      <w:r w:rsidR="00577782">
        <w:t>, a revised version of document </w:t>
      </w:r>
      <w:r w:rsidRPr="002B722B">
        <w:t>WIPO/GRTKF/IC/</w:t>
      </w:r>
      <w:r w:rsidR="00F47285" w:rsidRPr="002B722B">
        <w:t>34/</w:t>
      </w:r>
      <w:r w:rsidRPr="002B722B">
        <w:t>6 would be produced, using the same methodology as in previous sessions.  Rev</w:t>
      </w:r>
      <w:r w:rsidR="002B722B">
        <w:t>.</w:t>
      </w:r>
      <w:r w:rsidRPr="002B722B">
        <w:t xml:space="preserve"> 1 would be prepared and presented by Wednesday morning.  Time would be given for comments and further suggestions, including textual proposals.  Rev</w:t>
      </w:r>
      <w:r w:rsidR="002B722B">
        <w:t>.</w:t>
      </w:r>
      <w:r w:rsidRPr="002B722B">
        <w:t xml:space="preserve"> 2 would be prepared and presented by Thursday morning and time would be given for general comments to be included in the report.  By the end of Thursday, the plenary would be invited to note Rev</w:t>
      </w:r>
      <w:r w:rsidR="002B722B">
        <w:t>.</w:t>
      </w:r>
      <w:r w:rsidRPr="002B722B">
        <w:t xml:space="preserve"> 2 and transmit it as a bundle with the other documents under Agenda Item 8 to the </w:t>
      </w:r>
      <w:r w:rsidR="00577782">
        <w:t>GA</w:t>
      </w:r>
      <w:r w:rsidRPr="002B722B">
        <w:t xml:space="preserve">. </w:t>
      </w:r>
      <w:r w:rsidR="00F47285" w:rsidRPr="002B722B">
        <w:t xml:space="preserve"> </w:t>
      </w:r>
      <w:r w:rsidRPr="002B722B">
        <w:t xml:space="preserve">Agenda Item 7 would be closed by the end of Thursday.  Agenda Item 8 would be </w:t>
      </w:r>
      <w:r w:rsidR="00577782">
        <w:t>re-</w:t>
      </w:r>
      <w:r w:rsidRPr="002B722B">
        <w:t>opened on Friday morn</w:t>
      </w:r>
      <w:r w:rsidR="00577782">
        <w:t xml:space="preserve">ing.  </w:t>
      </w:r>
      <w:r w:rsidRPr="002B722B">
        <w:t>In plenary</w:t>
      </w:r>
      <w:r w:rsidR="00577782">
        <w:t>,</w:t>
      </w:r>
      <w:r w:rsidRPr="002B722B">
        <w:t xml:space="preserve"> delegations would be invited to provide comments on the core issues, including the issues identified in the mandate.  The Chair intended to introduce the core issues </w:t>
      </w:r>
      <w:r w:rsidR="000C647C">
        <w:t>not in</w:t>
      </w:r>
      <w:r w:rsidR="00577782">
        <w:t xml:space="preserve"> a sequential article by </w:t>
      </w:r>
      <w:r w:rsidRPr="002B722B">
        <w:t xml:space="preserve">article manner, providing commentary to promote discussion.  The plenary remained a decision-making body, and its discussions would be reported as </w:t>
      </w:r>
      <w:r w:rsidR="00577782">
        <w:t xml:space="preserve">usual.   He planned on moving </w:t>
      </w:r>
      <w:r w:rsidRPr="002B722B">
        <w:t xml:space="preserve">to </w:t>
      </w:r>
      <w:proofErr w:type="spellStart"/>
      <w:r w:rsidRPr="002B722B">
        <w:t>informals</w:t>
      </w:r>
      <w:proofErr w:type="spellEnd"/>
      <w:r w:rsidRPr="002B722B">
        <w:t xml:space="preserve"> </w:t>
      </w:r>
      <w:r w:rsidR="00577782">
        <w:t>quickly</w:t>
      </w:r>
      <w:r w:rsidRPr="002B722B">
        <w:t xml:space="preserve">, depending on progress.  He or a Vice-Chair would chair </w:t>
      </w:r>
      <w:proofErr w:type="spellStart"/>
      <w:r w:rsidRPr="002B722B">
        <w:t>informals</w:t>
      </w:r>
      <w:proofErr w:type="spellEnd"/>
      <w:r w:rsidRPr="002B722B">
        <w:t xml:space="preserve"> wit</w:t>
      </w:r>
      <w:r w:rsidR="00577782">
        <w:t>h the active assistance of the f</w:t>
      </w:r>
      <w:r w:rsidRPr="002B722B">
        <w:t xml:space="preserve">acilitators.  For those </w:t>
      </w:r>
      <w:proofErr w:type="spellStart"/>
      <w:r w:rsidRPr="002B722B">
        <w:t>informals</w:t>
      </w:r>
      <w:proofErr w:type="spellEnd"/>
      <w:r w:rsidRPr="002B722B">
        <w:t>, each regional group would be represented by a maximum of six delegates, one of whom should pr</w:t>
      </w:r>
      <w:r w:rsidR="00577782">
        <w:t>eferably be the Regional C</w:t>
      </w:r>
      <w:r w:rsidRPr="002B722B">
        <w:t>oordinator, n</w:t>
      </w:r>
      <w:r w:rsidR="00577782">
        <w:t>oting that the presence of the Regional C</w:t>
      </w:r>
      <w:r w:rsidRPr="002B722B">
        <w:t xml:space="preserve">oordinator in the </w:t>
      </w:r>
      <w:proofErr w:type="spellStart"/>
      <w:r w:rsidRPr="002B722B">
        <w:t>informal</w:t>
      </w:r>
      <w:r w:rsidR="00577782">
        <w:t>s</w:t>
      </w:r>
      <w:proofErr w:type="spellEnd"/>
      <w:r w:rsidRPr="002B722B">
        <w:t xml:space="preserve"> aided the communication of what occurred to the remainder of the groups.  In order to increase transparency, other Member States’ representatives would be permitted to sit in on the </w:t>
      </w:r>
      <w:proofErr w:type="spellStart"/>
      <w:r w:rsidRPr="002B722B">
        <w:t>informals</w:t>
      </w:r>
      <w:proofErr w:type="spellEnd"/>
      <w:r w:rsidRPr="002B722B">
        <w:t xml:space="preserve"> without speaking rights.  Indigenous representatives would be invited to nominate two representatives to participate and two additional representatives to observe without speaking rights.  The delegates forming the </w:t>
      </w:r>
      <w:proofErr w:type="spellStart"/>
      <w:r w:rsidRPr="002B722B">
        <w:t>informals</w:t>
      </w:r>
      <w:proofErr w:type="spellEnd"/>
      <w:r w:rsidRPr="002B722B">
        <w:t xml:space="preserve"> might take the floor and make textual proposals.  Proposals from indigenous representatives could remain in the text only if supported by a Member State, as confirmed in plenary.  </w:t>
      </w:r>
      <w:r w:rsidR="004C7557">
        <w:t>There would be</w:t>
      </w:r>
      <w:r w:rsidRPr="002B722B">
        <w:t xml:space="preserve"> no live draft</w:t>
      </w:r>
      <w:r w:rsidR="004C7557">
        <w:t>ing.  Any text proposed by the f</w:t>
      </w:r>
      <w:r w:rsidRPr="002B722B">
        <w:t xml:space="preserve">acilitators would be noted and would only go forward if supported by a Member State.  Depending on progress made in the plenary and </w:t>
      </w:r>
      <w:proofErr w:type="spellStart"/>
      <w:r w:rsidRPr="002B722B">
        <w:t>informals</w:t>
      </w:r>
      <w:proofErr w:type="spellEnd"/>
      <w:r w:rsidRPr="002B722B">
        <w:t xml:space="preserve">, the Chair might establish one or more small </w:t>
      </w:r>
      <w:r w:rsidRPr="004C7557">
        <w:rPr>
          <w:i/>
        </w:rPr>
        <w:t>ad hoc</w:t>
      </w:r>
      <w:r w:rsidRPr="002B722B">
        <w:t xml:space="preserve"> contact groups, as described in further detail in the methodology paper.  </w:t>
      </w:r>
      <w:r w:rsidR="004C7557" w:rsidRPr="002B722B">
        <w:t xml:space="preserve">Ms. </w:t>
      </w:r>
      <w:proofErr w:type="spellStart"/>
      <w:r w:rsidR="004C7557" w:rsidRPr="002B722B">
        <w:t>Ema</w:t>
      </w:r>
      <w:proofErr w:type="spellEnd"/>
      <w:r w:rsidR="004C7557" w:rsidRPr="002B722B">
        <w:t xml:space="preserve"> </w:t>
      </w:r>
      <w:proofErr w:type="spellStart"/>
      <w:r w:rsidR="004C7557" w:rsidRPr="00F47285">
        <w:t>Hao’uli</w:t>
      </w:r>
      <w:proofErr w:type="spellEnd"/>
      <w:r w:rsidR="004C7557">
        <w:t xml:space="preserve"> from New Zealand</w:t>
      </w:r>
      <w:r w:rsidR="004C7557" w:rsidRPr="002B722B">
        <w:t xml:space="preserve"> and Ms. Margo Bagley</w:t>
      </w:r>
      <w:r w:rsidR="004C7557">
        <w:t xml:space="preserve"> from Mozambique would be the f</w:t>
      </w:r>
      <w:r w:rsidRPr="002B722B">
        <w:t xml:space="preserve">acilitators to assist in </w:t>
      </w:r>
      <w:proofErr w:type="spellStart"/>
      <w:r w:rsidRPr="002B722B">
        <w:t>informals</w:t>
      </w:r>
      <w:proofErr w:type="spellEnd"/>
      <w:r w:rsidRPr="002B722B">
        <w:t xml:space="preserve"> by following the sessions closely and keeping tra</w:t>
      </w:r>
      <w:r w:rsidR="00F47285" w:rsidRPr="002B722B">
        <w:t xml:space="preserve">ck of views, decisions, and </w:t>
      </w:r>
      <w:r w:rsidRPr="002B722B">
        <w:t xml:space="preserve">proposals, including drafting proposals.  </w:t>
      </w:r>
      <w:r w:rsidR="004C7557" w:rsidRPr="002B722B">
        <w:t>To enable more focused and in</w:t>
      </w:r>
      <w:r w:rsidR="004C7557">
        <w:t>cremental consideration of the f</w:t>
      </w:r>
      <w:r w:rsidR="004C7557" w:rsidRPr="002B722B">
        <w:t>acilitators’ work by delegates as the week progressed, they might introduce and present on the screen progressive work o</w:t>
      </w:r>
      <w:r w:rsidR="004C7557">
        <w:t>n core issues as</w:t>
      </w:r>
      <w:r w:rsidR="004C7557" w:rsidRPr="002B722B">
        <w:t xml:space="preserve"> </w:t>
      </w:r>
      <w:r w:rsidR="004C7557">
        <w:t>“work</w:t>
      </w:r>
      <w:r w:rsidR="00D458B0">
        <w:noBreakHyphen/>
      </w:r>
      <w:r w:rsidR="004C7557">
        <w:t>in</w:t>
      </w:r>
      <w:r w:rsidR="00D458B0">
        <w:noBreakHyphen/>
      </w:r>
      <w:r w:rsidR="004C7557" w:rsidRPr="002B722B">
        <w:t>progress</w:t>
      </w:r>
      <w:r w:rsidR="004C7557">
        <w:t>”</w:t>
      </w:r>
      <w:r w:rsidR="004C7557" w:rsidRPr="002B722B">
        <w:t xml:space="preserve">.  Anything they presented had no status until it was noted by the plenary.  </w:t>
      </w:r>
      <w:r w:rsidRPr="002B722B">
        <w:t xml:space="preserve">They might take the floor and make proposals, review all materials, undertake drafting and prepare the revisions.  </w:t>
      </w:r>
      <w:r w:rsidR="004C7557">
        <w:t>The Chair</w:t>
      </w:r>
      <w:r w:rsidRPr="002B722B">
        <w:t xml:space="preserve"> had prepared an Information Note with an annex that placed side-by-side the Draft Articles on TCEs and TK for ease of comparison.  He hoped that would be a useful tool to help delegations compare the text</w:t>
      </w:r>
      <w:r w:rsidR="00F47285" w:rsidRPr="002B722B">
        <w:t>s</w:t>
      </w:r>
      <w:r w:rsidRPr="002B722B">
        <w:t xml:space="preserve"> and identify areas where progress made in the TK text might also benefit the TCE text.  There were differences, so while there were cross</w:t>
      </w:r>
      <w:r w:rsidR="004C7557">
        <w:t>-</w:t>
      </w:r>
      <w:r w:rsidRPr="002B722B">
        <w:t xml:space="preserve">cutting issues, there were also areas where there might not be a commonality.  The </w:t>
      </w:r>
      <w:r w:rsidR="004C7557">
        <w:t xml:space="preserve">Information </w:t>
      </w:r>
      <w:r w:rsidRPr="002B722B">
        <w:t xml:space="preserve">Note was informal and had no status, and any views were his alone and without prejudice.  He wished to focus the discussions first on the following core issues: </w:t>
      </w:r>
      <w:r w:rsidR="004C7557">
        <w:t xml:space="preserve"> </w:t>
      </w:r>
      <w:r w:rsidRPr="002B722B">
        <w:t xml:space="preserve">policy objectives, subject matter, beneficiaries, scope of protection, exceptions and limitations, the </w:t>
      </w:r>
      <w:r w:rsidRPr="002B722B">
        <w:lastRenderedPageBreak/>
        <w:t>relationship with the public</w:t>
      </w:r>
      <w:r w:rsidR="004C7557">
        <w:t xml:space="preserve"> domain, and the definition of “misappropriation”,</w:t>
      </w:r>
      <w:r w:rsidRPr="002B722B">
        <w:t xml:space="preserve"> and then </w:t>
      </w:r>
      <w:r w:rsidR="00F47285" w:rsidRPr="002B722B">
        <w:t xml:space="preserve">move </w:t>
      </w:r>
      <w:r w:rsidRPr="002B722B">
        <w:t xml:space="preserve">on </w:t>
      </w:r>
      <w:r w:rsidR="00F47285" w:rsidRPr="002B722B">
        <w:t xml:space="preserve">to </w:t>
      </w:r>
      <w:r w:rsidRPr="002B722B">
        <w:t>other issues, including administration of rights/interests, term of protection, formalities, sanctions, remedies and exercise of rights, transitional measures, relationship with other international agreements, national treatment, tran</w:t>
      </w:r>
      <w:r w:rsidR="004C7557">
        <w:t>sboundary cooperation, capacity</w:t>
      </w:r>
      <w:r w:rsidR="00D458B0">
        <w:noBreakHyphen/>
      </w:r>
      <w:r w:rsidR="004C7557">
        <w:t>building and awareness</w:t>
      </w:r>
      <w:r w:rsidR="00D458B0">
        <w:noBreakHyphen/>
        <w:t>raising and non</w:t>
      </w:r>
      <w:r w:rsidR="00D458B0">
        <w:noBreakHyphen/>
      </w:r>
      <w:r w:rsidRPr="002B722B">
        <w:t xml:space="preserve">derogation. </w:t>
      </w:r>
      <w:r w:rsidR="002B1245">
        <w:t xml:space="preserve"> </w:t>
      </w:r>
      <w:r w:rsidR="005A648C" w:rsidRPr="002B722B">
        <w:t xml:space="preserve">The Chair opened the floor </w:t>
      </w:r>
      <w:r w:rsidR="002B722B">
        <w:t xml:space="preserve">for comments </w:t>
      </w:r>
      <w:r w:rsidR="005A648C" w:rsidRPr="002B722B">
        <w:t xml:space="preserve">on </w:t>
      </w:r>
      <w:r w:rsidR="002B722B">
        <w:t>“</w:t>
      </w:r>
      <w:r w:rsidR="005A648C" w:rsidRPr="002B722B">
        <w:t>Policy Objectives</w:t>
      </w:r>
      <w:r w:rsidR="002B722B">
        <w:t>”</w:t>
      </w:r>
      <w:r w:rsidR="005A648C" w:rsidRPr="002B722B">
        <w:t xml:space="preserve">. </w:t>
      </w:r>
    </w:p>
    <w:p w14:paraId="3D09D7AF" w14:textId="77777777" w:rsidR="005C2E7E" w:rsidRPr="002B722B" w:rsidRDefault="005C2E7E" w:rsidP="002B722B"/>
    <w:p w14:paraId="3DA43109" w14:textId="57C068CB" w:rsidR="0003499B" w:rsidRPr="0003499B" w:rsidRDefault="005C2E7E" w:rsidP="002B722B">
      <w:pPr>
        <w:pStyle w:val="ListParagraph"/>
        <w:numPr>
          <w:ilvl w:val="0"/>
          <w:numId w:val="4"/>
        </w:numPr>
        <w:ind w:left="0" w:firstLine="0"/>
      </w:pPr>
      <w:r w:rsidRPr="002B722B">
        <w:t xml:space="preserve">The Delegation of the EU, speaking on behalf of the EU and its Member States, thanked the Chair for guiding the discussion on outstanding issues, namely policy objectives, subject matter, scope of protection, beneficiaries, </w:t>
      </w:r>
      <w:r w:rsidR="007547E8">
        <w:t xml:space="preserve">use, </w:t>
      </w:r>
      <w:r w:rsidRPr="002B722B">
        <w:t>administration of rights and interests, exceptions and limitations, and relationship with the public dom</w:t>
      </w:r>
      <w:r w:rsidR="00D458B0">
        <w:t>ain.  It looked forward to fact</w:t>
      </w:r>
      <w:r w:rsidR="00D458B0">
        <w:noBreakHyphen/>
      </w:r>
      <w:r w:rsidRPr="002B722B">
        <w:t xml:space="preserve">based discussions on each of those.  </w:t>
      </w:r>
      <w:r w:rsidR="00D458B0">
        <w:t>Regarding</w:t>
      </w:r>
      <w:r w:rsidRPr="002B722B">
        <w:t xml:space="preserve"> objectives, the IGC had to take into consideration the current IP framework, which should be promoted whenever appl</w:t>
      </w:r>
      <w:r w:rsidR="00D458B0">
        <w:t>icable.  It supported awareness</w:t>
      </w:r>
      <w:r w:rsidR="00D458B0">
        <w:noBreakHyphen/>
      </w:r>
      <w:r w:rsidRPr="002B722B">
        <w:t>raising activities so as to provide conditions that facilitated access of TCEs to IP rights, such as copyright</w:t>
      </w:r>
      <w:r w:rsidR="00D458B0">
        <w:t xml:space="preserve"> and related rights, trademarks,</w:t>
      </w:r>
      <w:r w:rsidRPr="002B722B">
        <w:t xml:space="preserve"> and geographical indications.  TCEs might also be</w:t>
      </w:r>
      <w:r w:rsidR="00D458B0">
        <w:t xml:space="preserve"> protected under producer</w:t>
      </w:r>
      <w:r w:rsidR="00D458B0">
        <w:noBreakHyphen/>
      </w:r>
      <w:r w:rsidRPr="002B722B">
        <w:t>related rights, as the World Performances and Phonograms Treaty (</w:t>
      </w:r>
      <w:r w:rsidR="002B722B">
        <w:t>“</w:t>
      </w:r>
      <w:r w:rsidRPr="002B722B">
        <w:t>WPPT</w:t>
      </w:r>
      <w:r w:rsidR="002B722B">
        <w:t>”</w:t>
      </w:r>
      <w:r w:rsidRPr="002B722B">
        <w:t xml:space="preserve">) and the Beijing Treaty on Audiovisual Performances covered expressions of folklore.  Much work had already been undertaken at the international level to safeguard TCEs or expressions of folklore, including Article 15.4 of the Berne Convention and UNESCO instruments.    </w:t>
      </w:r>
    </w:p>
    <w:p w14:paraId="5EFA05A7" w14:textId="77777777" w:rsidR="0003499B" w:rsidRPr="0003499B" w:rsidRDefault="0003499B" w:rsidP="002B722B"/>
    <w:p w14:paraId="38B7BA46" w14:textId="06C583B0" w:rsidR="0003499B" w:rsidRPr="0003499B" w:rsidRDefault="0003499B" w:rsidP="002B722B">
      <w:pPr>
        <w:pStyle w:val="ListParagraph"/>
        <w:numPr>
          <w:ilvl w:val="0"/>
          <w:numId w:val="4"/>
        </w:numPr>
        <w:ind w:left="0" w:firstLine="0"/>
      </w:pPr>
      <w:r w:rsidRPr="002B722B">
        <w:t>The Delegation of Indonesia, speaking on behalf of the LMCs, preferred Alt 1.  However, in a</w:t>
      </w:r>
      <w:r w:rsidR="00AB1BB8">
        <w:t xml:space="preserve">cknowledging the nature of </w:t>
      </w:r>
      <w:r w:rsidRPr="002B722B">
        <w:t>TCEs, it was ready to engage constructively to make sure that the policy objectives be focused more on the IP system, safeguarding specific moral and economic rights.  It noted the statement by the Delegation of the EU</w:t>
      </w:r>
      <w:r w:rsidR="00AB1BB8">
        <w:t>, on behalf of the EU and its Member States,</w:t>
      </w:r>
      <w:r w:rsidRPr="002B722B">
        <w:t xml:space="preserve"> to take note of the applicability of the existing IP system b</w:t>
      </w:r>
      <w:r w:rsidR="00AB1BB8">
        <w:t>ut also noted the limitations of</w:t>
      </w:r>
      <w:r w:rsidRPr="002B722B">
        <w:t xml:space="preserve"> the current IP system in protecting TCEs.  </w:t>
      </w:r>
    </w:p>
    <w:p w14:paraId="7B71EAC4" w14:textId="77777777" w:rsidR="0003499B" w:rsidRPr="002B722B" w:rsidRDefault="0003499B" w:rsidP="002B722B"/>
    <w:p w14:paraId="5C484B26" w14:textId="04BC98E9" w:rsidR="00D03265" w:rsidRPr="00D03265" w:rsidRDefault="0003499B" w:rsidP="002B722B">
      <w:pPr>
        <w:pStyle w:val="ListParagraph"/>
        <w:numPr>
          <w:ilvl w:val="0"/>
          <w:numId w:val="4"/>
        </w:numPr>
        <w:ind w:left="0" w:firstLine="0"/>
      </w:pPr>
      <w:r w:rsidRPr="002B722B">
        <w:t>The representative of the Tulalip Tribes, speaking on behalf of the Indigenous Caucus, said that policy objectives should focus on protection, not safeguarding, as safeguarding was not within the IGC</w:t>
      </w:r>
      <w:r w:rsidR="009A5A1C">
        <w:t>’s</w:t>
      </w:r>
      <w:r w:rsidRPr="002B722B">
        <w:t xml:space="preserve"> mandate.  The objectives should not facilitate the transfer of TCEs to third parties where they might be subject to distortion, manipulation, hybridization or other abuses.  That should only occur with </w:t>
      </w:r>
      <w:r w:rsidR="009A5A1C">
        <w:t>FPIC</w:t>
      </w:r>
      <w:r w:rsidRPr="002B722B">
        <w:t xml:space="preserve"> and in a manner that protected cultural integrity.  The mandate called to protect rights, obligations, and aspirations of indigenous peoples in regards to their TCEs, which were crucial to their</w:t>
      </w:r>
      <w:r w:rsidR="009A5A1C">
        <w:t xml:space="preserve"> social, cultural, spiritual</w:t>
      </w:r>
      <w:r w:rsidRPr="002B722B">
        <w:t xml:space="preserve"> and economic relationships.  There had to be protection for all TCEs, whether they were secret, sacred, closely held, publicly expressed, or widely available.  TCEs were not the servant of the cultural industries.  Indigenous peoples created and innovated according to their own motivations.  The instrument should not establish objectives that created obligations for indigenous peoples to make their TCEs available to third parties for the good of society as a whole or for the common heritage of humankind.  That might occur and indigenous peoples might wish that to occur, but it should not be an objective for it to occur without their consent. </w:t>
      </w:r>
    </w:p>
    <w:p w14:paraId="5C77EB03" w14:textId="77777777" w:rsidR="00D03265" w:rsidRPr="00D03265" w:rsidRDefault="00D03265" w:rsidP="002B722B"/>
    <w:p w14:paraId="7F7FB5BE" w14:textId="4D8A3E2F" w:rsidR="0082076E" w:rsidRPr="0082076E" w:rsidRDefault="00D03265" w:rsidP="002B722B">
      <w:pPr>
        <w:pStyle w:val="ListParagraph"/>
        <w:numPr>
          <w:ilvl w:val="0"/>
          <w:numId w:val="4"/>
        </w:numPr>
        <w:ind w:left="0" w:firstLine="0"/>
      </w:pPr>
      <w:r w:rsidRPr="002B722B">
        <w:t xml:space="preserve">The Delegation of Georgia, speaking on behalf </w:t>
      </w:r>
      <w:r w:rsidR="007547E8">
        <w:t>of CEBS, looked forward to fact</w:t>
      </w:r>
      <w:r w:rsidR="007547E8">
        <w:noBreakHyphen/>
      </w:r>
      <w:r w:rsidRPr="002B722B">
        <w:t>based discussions on the policy objectives, subject matter, scope of protection, beneficiaries, use, administration of rights, exceptions and limitations</w:t>
      </w:r>
      <w:r w:rsidR="007547E8">
        <w:t>,</w:t>
      </w:r>
      <w:r w:rsidRPr="002B722B">
        <w:t xml:space="preserve"> and relationship with the public domain.  It was crucial to have a meaningful discussion on the overall objectives of the instrument and to find a common understanding of the predominant objectives and a realistically achievable outco</w:t>
      </w:r>
      <w:r w:rsidR="007547E8">
        <w:t>me.  While favoring an evidence</w:t>
      </w:r>
      <w:r w:rsidR="007547E8">
        <w:noBreakHyphen/>
      </w:r>
      <w:r w:rsidRPr="002B722B">
        <w:t>based approach, the IGC could draw lessons from the experiences of various Member States’ national legislation in place protecting TCEs and from existing efforts</w:t>
      </w:r>
      <w:r w:rsidR="007547E8">
        <w:t xml:space="preserve"> for the safeguarding of TCEs at</w:t>
      </w:r>
      <w:r w:rsidRPr="002B722B">
        <w:t xml:space="preserve"> the international level.  Potential consequences should be carefully considered before reaching an agreement on any particular outcome.  Other instruments outside and within WIPO addressing the question of the TCEs exist</w:t>
      </w:r>
      <w:r w:rsidR="007547E8">
        <w:t xml:space="preserve">ed, and </w:t>
      </w:r>
      <w:r w:rsidRPr="002B722B">
        <w:t>the issues discussed in WIPO would be complementary to exis</w:t>
      </w:r>
      <w:r w:rsidR="007547E8">
        <w:t>ting instruments.  Therefore, CEBS supported the</w:t>
      </w:r>
      <w:r w:rsidRPr="002B722B">
        <w:t xml:space="preserve"> request to undertake a compilation study of national experiences and domestic </w:t>
      </w:r>
      <w:r w:rsidRPr="002B722B">
        <w:lastRenderedPageBreak/>
        <w:t>legislation and initiatives in relation to the TCEs put forward by the Delegation of the EU</w:t>
      </w:r>
      <w:r w:rsidR="007547E8">
        <w:t>, on behalf of the EU and its Member States</w:t>
      </w:r>
      <w:r w:rsidRPr="002B722B">
        <w:t xml:space="preserve"> at IGC 33 in order to achieve </w:t>
      </w:r>
      <w:r w:rsidR="007547E8">
        <w:t xml:space="preserve">a </w:t>
      </w:r>
      <w:r w:rsidRPr="002B722B">
        <w:t>common understanding on core issues, to assess where TCEs should be positioned within the existing international IP framework</w:t>
      </w:r>
      <w:r w:rsidR="007547E8">
        <w:t>,</w:t>
      </w:r>
      <w:r w:rsidRPr="002B722B">
        <w:t xml:space="preserve"> and to focus on re</w:t>
      </w:r>
      <w:r w:rsidR="007547E8">
        <w:t xml:space="preserve">cently </w:t>
      </w:r>
      <w:r w:rsidRPr="002B722B">
        <w:t xml:space="preserve">adopted legislation and initiatives on TCEs among WIPO Member States. </w:t>
      </w:r>
      <w:r w:rsidR="007547E8">
        <w:t xml:space="preserve"> </w:t>
      </w:r>
    </w:p>
    <w:p w14:paraId="1F3771AF" w14:textId="77777777" w:rsidR="00760B7D" w:rsidRPr="002B722B" w:rsidRDefault="00760B7D" w:rsidP="002B722B"/>
    <w:p w14:paraId="2D110D3C" w14:textId="6540D37F" w:rsidR="00760B7D" w:rsidRPr="00760B7D" w:rsidRDefault="00760B7D" w:rsidP="002B722B">
      <w:pPr>
        <w:pStyle w:val="ListParagraph"/>
        <w:numPr>
          <w:ilvl w:val="0"/>
          <w:numId w:val="4"/>
        </w:numPr>
        <w:ind w:left="0" w:firstLine="0"/>
      </w:pPr>
      <w:r w:rsidRPr="002B722B">
        <w:t xml:space="preserve">The Delegation of Senegal, speaking on behalf of the African Group, believed the </w:t>
      </w:r>
      <w:r w:rsidR="00122509">
        <w:t>objective</w:t>
      </w:r>
      <w:r w:rsidRPr="002B722B">
        <w:t xml:space="preserve">s should be focused on finding the most appropriate ways to prevent misappropriation and misuse of TCEs with due regard to their specificity.  It was important to control the use.  It preferred Alt 1, but throughout the week, it would try to shed more light thereon and constructively engage in the discussions to have a positive outcome. </w:t>
      </w:r>
    </w:p>
    <w:p w14:paraId="0235754B" w14:textId="77777777" w:rsidR="00760B7D" w:rsidRPr="002B722B" w:rsidRDefault="00760B7D" w:rsidP="002B722B"/>
    <w:p w14:paraId="57E15E17" w14:textId="520F16A9" w:rsidR="00760B7D" w:rsidRPr="00760B7D" w:rsidRDefault="00760B7D" w:rsidP="002B722B">
      <w:pPr>
        <w:pStyle w:val="ListParagraph"/>
        <w:numPr>
          <w:ilvl w:val="0"/>
          <w:numId w:val="4"/>
        </w:numPr>
        <w:ind w:left="0" w:firstLine="0"/>
      </w:pPr>
      <w:r w:rsidRPr="002B722B">
        <w:t>The Delegation of Egypt said there were two terms that one should be careful wit</w:t>
      </w:r>
      <w:r w:rsidR="00E168BB">
        <w:t>h.  The first was “safeguarding</w:t>
      </w:r>
      <w:r w:rsidRPr="002B722B">
        <w:t>”</w:t>
      </w:r>
      <w:r w:rsidR="00E168BB">
        <w:t>,</w:t>
      </w:r>
      <w:r w:rsidRPr="002B722B">
        <w:t xml:space="preserve"> which was usually used in </w:t>
      </w:r>
      <w:r w:rsidR="00E168BB">
        <w:t>the UNESCO C</w:t>
      </w:r>
      <w:r w:rsidRPr="002B722B">
        <w:t>onventions and rela</w:t>
      </w:r>
      <w:r w:rsidR="00E168BB">
        <w:t>ted to the work of archives, but</w:t>
      </w:r>
      <w:r w:rsidRPr="002B722B">
        <w:t xml:space="preserve"> not in WIPO conventions, where </w:t>
      </w:r>
      <w:r w:rsidR="00E168BB" w:rsidRPr="002B722B">
        <w:t xml:space="preserve">“protection” </w:t>
      </w:r>
      <w:r w:rsidR="00E168BB">
        <w:t>was</w:t>
      </w:r>
      <w:r w:rsidRPr="002B722B">
        <w:t xml:space="preserve"> usually used instead.  The second was “interests” which </w:t>
      </w:r>
      <w:r w:rsidR="00E168BB">
        <w:t>had to be replaced with “rights</w:t>
      </w:r>
      <w:r w:rsidRPr="002B722B">
        <w:t>”</w:t>
      </w:r>
      <w:r w:rsidR="00E168BB">
        <w:t>.</w:t>
      </w:r>
      <w:r w:rsidRPr="002B722B">
        <w:t xml:space="preserve">  </w:t>
      </w:r>
    </w:p>
    <w:p w14:paraId="7BE379C3" w14:textId="77777777" w:rsidR="00760B7D" w:rsidRPr="002B722B" w:rsidRDefault="00760B7D" w:rsidP="002B722B"/>
    <w:p w14:paraId="60C323C6" w14:textId="2DD789D4" w:rsidR="007C13AE" w:rsidRPr="007C13AE" w:rsidRDefault="00760B7D" w:rsidP="002B722B">
      <w:pPr>
        <w:pStyle w:val="ListParagraph"/>
        <w:numPr>
          <w:ilvl w:val="0"/>
          <w:numId w:val="4"/>
        </w:numPr>
        <w:ind w:left="0" w:firstLine="0"/>
      </w:pPr>
      <w:r w:rsidRPr="002B722B">
        <w:t>The Delegation of the Islamic Republic of Iran associated itself with the statements delivered by the Delegation of Indonesia</w:t>
      </w:r>
      <w:r w:rsidR="00D541EA">
        <w:t>,</w:t>
      </w:r>
      <w:r w:rsidRPr="002B722B">
        <w:t xml:space="preserve"> on behalf of </w:t>
      </w:r>
      <w:r w:rsidR="00D541EA">
        <w:t>the LMCs and the Asia</w:t>
      </w:r>
      <w:r w:rsidR="00D541EA">
        <w:noBreakHyphen/>
      </w:r>
      <w:r w:rsidRPr="002B722B">
        <w:t xml:space="preserve">Pacific Group.  It supported Alt 1, which was drafted according to the main objective of the instrument.  It was ready to engage constructively in the </w:t>
      </w:r>
      <w:proofErr w:type="spellStart"/>
      <w:r w:rsidRPr="002B722B">
        <w:t>informal</w:t>
      </w:r>
      <w:r w:rsidR="00E21D5F">
        <w:t>s</w:t>
      </w:r>
      <w:proofErr w:type="spellEnd"/>
      <w:r w:rsidRPr="002B722B">
        <w:t xml:space="preserve"> in order to bridge gaps.  </w:t>
      </w:r>
    </w:p>
    <w:p w14:paraId="39405F89" w14:textId="77777777" w:rsidR="007C13AE" w:rsidRPr="002B722B" w:rsidRDefault="007C13AE" w:rsidP="002B722B"/>
    <w:p w14:paraId="759DE73A" w14:textId="71C57E21" w:rsidR="002828E2" w:rsidRPr="002828E2" w:rsidRDefault="007C13AE" w:rsidP="002B722B">
      <w:pPr>
        <w:pStyle w:val="ListParagraph"/>
        <w:numPr>
          <w:ilvl w:val="0"/>
          <w:numId w:val="4"/>
        </w:numPr>
        <w:ind w:left="0" w:firstLine="0"/>
      </w:pPr>
      <w:r w:rsidRPr="000611E5">
        <w:t xml:space="preserve">The Delegation of Ghana said that, with respect to Alt 1, it did not cause much harm to delete </w:t>
      </w:r>
      <w:r w:rsidR="000611E5">
        <w:t xml:space="preserve">two </w:t>
      </w:r>
      <w:r w:rsidRPr="000611E5">
        <w:t xml:space="preserve">paragraphs 1(d) </w:t>
      </w:r>
      <w:r w:rsidRPr="002B722B">
        <w:t xml:space="preserve">because they largely expressed definitional issues as to what TCEs would be about.  There was no doubt whatsoever they were products of intellectual productive activities, they therefore were creations and innovations, so it did not add much to identify the first paragraph 1(d) as a policy objective and the second paragraph </w:t>
      </w:r>
      <w:r w:rsidR="000611E5">
        <w:t>1</w:t>
      </w:r>
      <w:r w:rsidRPr="002B722B">
        <w:t xml:space="preserve">(d) to encourage creation and innovation.  In Alt 1, paragraph 2, the objective about preventing the grant of erroneous IP rights reminded of provisions discussed in relation to GRs, and that concern was more significant in the context of GRs than TCEs.  When it came to misappropriation, there were times where indigenous communities would lose their rights to TCEs when people acquired copyright protection with respect to those types of TCEs, but the objective in paragraph 1(a) regarding the prevention of misappropriation would take care of all that.  To make Alt 1 very brief and concise, it proposed </w:t>
      </w:r>
      <w:r w:rsidR="000611E5">
        <w:t>to delete</w:t>
      </w:r>
      <w:r w:rsidRPr="002B722B">
        <w:t xml:space="preserve"> paragraph</w:t>
      </w:r>
      <w:r w:rsidR="000611E5">
        <w:t>s</w:t>
      </w:r>
      <w:r w:rsidRPr="002B722B">
        <w:t xml:space="preserve"> </w:t>
      </w:r>
      <w:r w:rsidR="000611E5">
        <w:t>1</w:t>
      </w:r>
      <w:r w:rsidRPr="002B722B">
        <w:t xml:space="preserve">(d) and 2.  Alt 2 would run counter to what the </w:t>
      </w:r>
      <w:r w:rsidR="000611E5">
        <w:t>IGC was there to do.  In Alt 2</w:t>
      </w:r>
      <w:r w:rsidRPr="002B722B">
        <w:t>(a), “unlawful appropriation” was really used in relation to the subject</w:t>
      </w:r>
      <w:r w:rsidR="000611E5">
        <w:t xml:space="preserve"> matter, and the definition of “unlawful appropriation” </w:t>
      </w:r>
      <w:r w:rsidRPr="002B722B">
        <w:t>tended to do a very good job of cutting and pasting certain qualifying la</w:t>
      </w:r>
      <w:r w:rsidR="000611E5">
        <w:t>nguage from the definitions of “misappropriation”.</w:t>
      </w:r>
      <w:r w:rsidRPr="002B722B">
        <w:t xml:space="preserve">  That ran counter to the objectives of the instrument identified for TCEs.  As an example of unlawful appropriation, cases wher</w:t>
      </w:r>
      <w:r w:rsidR="000611E5">
        <w:t>e one purchased TCEs or reverse</w:t>
      </w:r>
      <w:r w:rsidR="000611E5">
        <w:noBreakHyphen/>
      </w:r>
      <w:r w:rsidRPr="002B722B">
        <w:t>engineered TCEs were what indigenous communities wanted to protect.  Therefore, it would not be helpful to state an objective that ran counter to that specific objecti</w:t>
      </w:r>
      <w:r w:rsidR="000611E5">
        <w:t>ve.  For Alt 2</w:t>
      </w:r>
      <w:r w:rsidRPr="002B722B">
        <w:t xml:space="preserve">(b), it proposed </w:t>
      </w:r>
      <w:r w:rsidR="000611E5">
        <w:t>to delete</w:t>
      </w:r>
      <w:r w:rsidRPr="002B722B">
        <w:t xml:space="preserve"> it for the same reasons identified in relation to Alt 1.  </w:t>
      </w:r>
      <w:r w:rsidR="000611E5">
        <w:t>Alt</w:t>
      </w:r>
      <w:r w:rsidRPr="002B722B">
        <w:t xml:space="preserve"> 2(c) was problematic because</w:t>
      </w:r>
      <w:r w:rsidR="000611E5">
        <w:t>,</w:t>
      </w:r>
      <w:r w:rsidRPr="002B722B">
        <w:t xml:space="preserve"> although it seemed to be neutral, it condoned practices that indigenous groups had complained about.  In fact, the same was also true for </w:t>
      </w:r>
      <w:r w:rsidR="000611E5">
        <w:t>Alt</w:t>
      </w:r>
      <w:r w:rsidRPr="002B722B">
        <w:t xml:space="preserve"> 2(d), on securing the rights gained by third parties.  So if somebody illegally acquired TCEs, one should not try to protect those illegally obtained rights.  It understood the spirit in which Alt 3 had been proposed, but one could safely omit Alt 3 without doing much harm because the issues tackled in Alt 3 were all captured under Alt 1, which tackled and addressed all of the key elements of concern. </w:t>
      </w:r>
    </w:p>
    <w:p w14:paraId="45BCA1D1" w14:textId="77777777" w:rsidR="002828E2" w:rsidRPr="002828E2" w:rsidRDefault="002828E2" w:rsidP="002B722B"/>
    <w:p w14:paraId="7098B19B" w14:textId="12AB84ED" w:rsidR="002828E2" w:rsidRPr="002828E2" w:rsidRDefault="002828E2" w:rsidP="002B722B">
      <w:pPr>
        <w:pStyle w:val="ListParagraph"/>
        <w:numPr>
          <w:ilvl w:val="0"/>
          <w:numId w:val="4"/>
        </w:numPr>
        <w:ind w:left="0" w:firstLine="0"/>
      </w:pPr>
      <w:r w:rsidRPr="002B722B">
        <w:t>The Delegation of Colombia said that Alt 1, which recogn</w:t>
      </w:r>
      <w:r w:rsidR="00085F6B">
        <w:t>ized the beneficiaries, enabled</w:t>
      </w:r>
      <w:r w:rsidRPr="002B722B">
        <w:t xml:space="preserve"> to have the means to prevent misappropriation.  It also looked at Alt 3 because it had a balanced focus and would be the one that would bring together the </w:t>
      </w:r>
      <w:r w:rsidR="00085F6B">
        <w:t>diverse</w:t>
      </w:r>
      <w:r w:rsidRPr="002B722B">
        <w:t xml:space="preserve"> views and narrow the gaps. </w:t>
      </w:r>
    </w:p>
    <w:p w14:paraId="2CE2699E" w14:textId="77777777" w:rsidR="002828E2" w:rsidRPr="002B722B" w:rsidRDefault="002828E2" w:rsidP="002B722B"/>
    <w:p w14:paraId="04FA91DE" w14:textId="2CF462E6" w:rsidR="00E6337B" w:rsidRPr="00E6337B" w:rsidRDefault="002828E2" w:rsidP="002B722B">
      <w:pPr>
        <w:pStyle w:val="ListParagraph"/>
        <w:numPr>
          <w:ilvl w:val="0"/>
          <w:numId w:val="4"/>
        </w:numPr>
        <w:ind w:left="0" w:firstLine="0"/>
      </w:pPr>
      <w:r w:rsidRPr="002B722B">
        <w:t xml:space="preserve">The Chair </w:t>
      </w:r>
      <w:r w:rsidR="00BF5621">
        <w:t>introduced the issue o</w:t>
      </w:r>
      <w:r w:rsidR="000C647C">
        <w:t>f</w:t>
      </w:r>
      <w:r w:rsidRPr="002B722B">
        <w:t xml:space="preserve"> subject matter.  In the current text, Article 3 provided that “the instrument applies to traditional cultural expressions” or that “the subject matter of the </w:t>
      </w:r>
      <w:r w:rsidRPr="002B722B">
        <w:lastRenderedPageBreak/>
        <w:t>instrument is t</w:t>
      </w:r>
      <w:r w:rsidR="00BF5621">
        <w:t>raditional cultural expressions</w:t>
      </w:r>
      <w:r w:rsidRPr="002B722B">
        <w:t>”</w:t>
      </w:r>
      <w:r w:rsidR="00BF5621">
        <w:t>.</w:t>
      </w:r>
      <w:r w:rsidRPr="002B722B">
        <w:t xml:space="preserve">  A definition of that term was also provided in the </w:t>
      </w:r>
      <w:r w:rsidR="00BF5621">
        <w:t>“</w:t>
      </w:r>
      <w:r w:rsidRPr="002B722B">
        <w:t>Use of Terms</w:t>
      </w:r>
      <w:r w:rsidR="00BF5621">
        <w:t>”</w:t>
      </w:r>
      <w:r w:rsidRPr="002B722B">
        <w:t xml:space="preserve"> section.  The IGC could determine the best place of the definition of the subject matter.  Articles 2 and 3 made reference to a criterion that specified which TCEs that fell under the definitions would be protectable.  Member States still had divergent views on a number of key elements of the eligibility criteria, and further discussion was needed.  There was also the question as to whether criteria for eligibility were necessary at all in Article 3, as in the view of some delegations, in elaborating </w:t>
      </w:r>
      <w:proofErr w:type="gramStart"/>
      <w:r w:rsidRPr="002B722B">
        <w:t>rights,</w:t>
      </w:r>
      <w:proofErr w:type="gramEnd"/>
      <w:r w:rsidRPr="002B722B">
        <w:t xml:space="preserve"> it could be left to the scope of protection and to the exceptions and limitations to define what was ultimately protected.  There were two different approaches to that issue and it would be useful to narrow the gaps in one of those directions. </w:t>
      </w:r>
      <w:r w:rsidR="00BF5621">
        <w:t xml:space="preserve"> He opened the floor for comments.  </w:t>
      </w:r>
    </w:p>
    <w:p w14:paraId="1B42E2E8" w14:textId="77777777" w:rsidR="00AC0915" w:rsidRPr="00E6337B" w:rsidRDefault="00AC0915" w:rsidP="00AC0915"/>
    <w:p w14:paraId="7007A7EF" w14:textId="77777777" w:rsidR="00AC0915" w:rsidRPr="00E6337B" w:rsidRDefault="00AC0915" w:rsidP="00AC0915">
      <w:pPr>
        <w:pStyle w:val="ListParagraph"/>
        <w:numPr>
          <w:ilvl w:val="0"/>
          <w:numId w:val="4"/>
        </w:numPr>
        <w:ind w:left="0" w:firstLine="0"/>
      </w:pPr>
      <w:r w:rsidRPr="002B722B">
        <w:t>The Delegation of the Islamic Republic of Iran favored Alt 1 in conjunction with the definition of TCEs proposed by the</w:t>
      </w:r>
      <w:r>
        <w:t xml:space="preserve"> Delegation of Indonesia, on behalf of the</w:t>
      </w:r>
      <w:r w:rsidRPr="002B722B">
        <w:t xml:space="preserve"> LMCs</w:t>
      </w:r>
      <w:r>
        <w:t>, at IGC 33,</w:t>
      </w:r>
      <w:r w:rsidRPr="002B722B">
        <w:t xml:space="preserve"> in Article 2.  It did not support the inclusion of any criteria for eligibility in that article.  It asked to delete the word “safeguarding” from the title.  The IGC was not mandated to safeguard TCEs but rather to protect TCEs. </w:t>
      </w:r>
    </w:p>
    <w:p w14:paraId="0EFAF96C" w14:textId="77777777" w:rsidR="00E6337B" w:rsidRPr="002B722B" w:rsidRDefault="00E6337B" w:rsidP="002B722B"/>
    <w:p w14:paraId="4D3F559D" w14:textId="70C26ADE" w:rsidR="00EB3216" w:rsidRPr="00EB3216" w:rsidRDefault="00E6337B" w:rsidP="002B722B">
      <w:pPr>
        <w:pStyle w:val="ListParagraph"/>
        <w:numPr>
          <w:ilvl w:val="0"/>
          <w:numId w:val="4"/>
        </w:numPr>
        <w:ind w:left="0" w:firstLine="0"/>
      </w:pPr>
      <w:r w:rsidRPr="002B722B">
        <w:t>The Delegation of Indonesia, speaking on behalf of the LMCs, preferred Alt 1 in conjunction with the TCE definitions provided by the LMCs at IGC 33, as reflected in Article 2.  It supported the subject matter if it mentioned TCEs.  Eligibility criteria were not acceptable at that point since the scope of protection had already elaborated the rights and ultimately defined what and which TCEs were to be protected and to what extent.  Regarding the title of the article, if it was just “Elig</w:t>
      </w:r>
      <w:r w:rsidR="00AC0915">
        <w:t>ibility Criteria for Protection</w:t>
      </w:r>
      <w:r w:rsidRPr="002B722B">
        <w:t>” without defining the protection, it would not make sense, so it preferred “S</w:t>
      </w:r>
      <w:r w:rsidR="00AC0915">
        <w:t>ubject Matter of the Instrument</w:t>
      </w:r>
      <w:r w:rsidRPr="002B722B">
        <w:t>”</w:t>
      </w:r>
      <w:r w:rsidR="00AC0915">
        <w:t>.</w:t>
      </w:r>
      <w:r w:rsidRPr="002B722B">
        <w:t xml:space="preserve">  In line with the statement </w:t>
      </w:r>
      <w:r w:rsidR="00AC0915">
        <w:t xml:space="preserve">made </w:t>
      </w:r>
      <w:r w:rsidRPr="002B722B">
        <w:t xml:space="preserve">by the Delegation of the Islamic Republic of Iran, “safeguarding” was not acceptable because that would fall outside the mandates of WIPO and of the IGC to protect TCEs.  </w:t>
      </w:r>
    </w:p>
    <w:p w14:paraId="4B995C7A" w14:textId="77777777" w:rsidR="00E4415C" w:rsidRPr="002B722B" w:rsidRDefault="00E4415C" w:rsidP="002B722B"/>
    <w:p w14:paraId="557D95F3" w14:textId="5AF3696E" w:rsidR="00466059" w:rsidRPr="00466059" w:rsidRDefault="00E4415C" w:rsidP="002B722B">
      <w:pPr>
        <w:pStyle w:val="ListParagraph"/>
        <w:numPr>
          <w:ilvl w:val="0"/>
          <w:numId w:val="4"/>
        </w:numPr>
        <w:ind w:left="0" w:firstLine="0"/>
      </w:pPr>
      <w:r w:rsidRPr="002B722B">
        <w:t>The Delegation of Ghana proposed retaining “protection” because that was the word that related to the mandate.  “Safeguarding” was used in the sense of preserving something for continuity for the benefit of future generations, as UNESCO had been working on.  Conversely, the IGC</w:t>
      </w:r>
      <w:r w:rsidR="007226C8">
        <w:t>’s</w:t>
      </w:r>
      <w:r w:rsidRPr="002B722B">
        <w:t xml:space="preserve"> mandate was about “protection” in the IP sense, as relating to measures to prevent the unauthorized uses of TCEs, unauthorized commercial exploitation, culturally offensive or derogatory uses, activities of people who acquired IP rights in TCEs, and so on.  Historically, the IGC and the </w:t>
      </w:r>
      <w:r w:rsidR="007A00FC">
        <w:t>GA</w:t>
      </w:r>
      <w:r w:rsidRPr="002B722B">
        <w:t xml:space="preserve"> had always used “protection” in referring to the IGC’s work.  Back in 2000, the </w:t>
      </w:r>
      <w:r w:rsidR="007A00FC">
        <w:t>GA</w:t>
      </w:r>
      <w:r w:rsidRPr="002B722B">
        <w:t xml:space="preserve"> had ta</w:t>
      </w:r>
      <w:r w:rsidR="007226C8">
        <w:t>lked about measures to “protect</w:t>
      </w:r>
      <w:r w:rsidRPr="002B722B">
        <w:t>”</w:t>
      </w:r>
      <w:r w:rsidR="007226C8">
        <w:t>.</w:t>
      </w:r>
      <w:r w:rsidRPr="002B722B">
        <w:t xml:space="preserve">  Once the IGC had started</w:t>
      </w:r>
      <w:r w:rsidR="007226C8">
        <w:t xml:space="preserve"> text</w:t>
      </w:r>
      <w:r w:rsidR="007226C8">
        <w:noBreakHyphen/>
        <w:t>based negotiation</w:t>
      </w:r>
      <w:r w:rsidRPr="002B722B">
        <w:t xml:space="preserve"> in 2008, </w:t>
      </w:r>
      <w:r w:rsidR="007226C8">
        <w:t>it</w:t>
      </w:r>
      <w:r w:rsidRPr="002B722B">
        <w:t xml:space="preserve"> had talked about coming up wit</w:t>
      </w:r>
      <w:r w:rsidR="007226C8">
        <w:t>h specific programs to “protect</w:t>
      </w:r>
      <w:r w:rsidRPr="002B722B">
        <w:t>”</w:t>
      </w:r>
      <w:r w:rsidR="007226C8">
        <w:t>.</w:t>
      </w:r>
      <w:r w:rsidRPr="002B722B">
        <w:t xml:space="preserve">  “Safeguarding” had not been used.  There were numerous references of consistent reference to protection, never safeguarding.  As to eligibility criteria, one of the criteria identified was that TCEs had to be around for at least 50 years before they were deserving of protection.  It reflected a very profound misunderstanding of the nature of TCEs and how they were created.  When thinking about TCEs, originally there was an individual who had created it, but over time, the group would have taken it over and in true repetition, making constant variations of that subject matter, TCEs changed, were passed from generation to generation, and it would be difficult to place time limits to actually know when a vari</w:t>
      </w:r>
      <w:r w:rsidR="007226C8">
        <w:t>ant of TCE had been created.  For</w:t>
      </w:r>
      <w:r w:rsidRPr="002B722B">
        <w:t xml:space="preserve"> IP rights, there was no requirement for an inventor to wait for 40 or 70 years before applying for a patent.  The same parties who adv</w:t>
      </w:r>
      <w:r w:rsidR="007226C8">
        <w:t>ocated the acquisition of third</w:t>
      </w:r>
      <w:r w:rsidR="007226C8">
        <w:noBreakHyphen/>
      </w:r>
      <w:r w:rsidRPr="002B722B">
        <w:t xml:space="preserve">party rights in TCEs of indigenous communities expected that </w:t>
      </w:r>
      <w:r w:rsidR="007226C8">
        <w:t>once they made adaptations or ca</w:t>
      </w:r>
      <w:r w:rsidRPr="002B722B">
        <w:t>me up with derivatives of TCEs, they should be immediately protected, but they failed to understand that by their own logic, if one were to come up with an adaptation of TCEs</w:t>
      </w:r>
      <w:r w:rsidR="007226C8">
        <w:t>, he or she</w:t>
      </w:r>
      <w:r w:rsidRPr="002B722B">
        <w:t xml:space="preserve"> would also have to wait for 50 years.  For all those reasons, the IGC should delete t</w:t>
      </w:r>
      <w:r w:rsidR="007226C8">
        <w:t xml:space="preserve">he references to “safeguarding” </w:t>
      </w:r>
      <w:r w:rsidRPr="002B722B">
        <w:t xml:space="preserve">and “eligibility criteria” as clearly inconsistent with TCEs.    </w:t>
      </w:r>
    </w:p>
    <w:p w14:paraId="4DEE7F1E" w14:textId="77777777" w:rsidR="00466059" w:rsidRPr="00466059" w:rsidRDefault="00466059" w:rsidP="00500199"/>
    <w:p w14:paraId="518F74B2" w14:textId="3682D5E4" w:rsidR="00466059" w:rsidRPr="00466059" w:rsidRDefault="00466059" w:rsidP="002B722B">
      <w:pPr>
        <w:pStyle w:val="ListParagraph"/>
        <w:numPr>
          <w:ilvl w:val="0"/>
          <w:numId w:val="4"/>
        </w:numPr>
        <w:ind w:left="0" w:firstLine="0"/>
      </w:pPr>
      <w:r w:rsidRPr="002B722B">
        <w:t xml:space="preserve">The Chair noted the discussion on </w:t>
      </w:r>
      <w:r w:rsidR="00CD7C27">
        <w:t>“</w:t>
      </w:r>
      <w:r w:rsidRPr="002B722B">
        <w:t>safeguarding</w:t>
      </w:r>
      <w:r w:rsidR="00CD7C27">
        <w:t>”</w:t>
      </w:r>
      <w:r w:rsidRPr="002B722B">
        <w:t xml:space="preserve"> and that the term had been introduced </w:t>
      </w:r>
      <w:r w:rsidR="007226C8">
        <w:t>at IGC 33</w:t>
      </w:r>
      <w:r w:rsidRPr="002B722B">
        <w:t>.  He asked the Member States who had introduced it to consider their position on that specific term.</w:t>
      </w:r>
    </w:p>
    <w:p w14:paraId="077C9F7E" w14:textId="77777777" w:rsidR="00466059" w:rsidRPr="002B722B" w:rsidRDefault="00466059" w:rsidP="00500199"/>
    <w:p w14:paraId="52FF5B8C" w14:textId="5571AACB" w:rsidR="00466059" w:rsidRPr="00466059" w:rsidRDefault="00466059" w:rsidP="002B722B">
      <w:pPr>
        <w:pStyle w:val="ListParagraph"/>
        <w:numPr>
          <w:ilvl w:val="0"/>
          <w:numId w:val="4"/>
        </w:numPr>
        <w:ind w:left="0" w:firstLine="0"/>
      </w:pPr>
      <w:r w:rsidRPr="002B722B">
        <w:t>The Delegation of Senegal, speaking on behalf of the African Group, wished to have Alt 1 alongside the definition in Article 2.  The title had to be “S</w:t>
      </w:r>
      <w:r w:rsidR="005C57E6">
        <w:t>ubject Matter of the Instrument</w:t>
      </w:r>
      <w:r w:rsidRPr="002B722B">
        <w:t>”</w:t>
      </w:r>
      <w:r w:rsidR="005C57E6">
        <w:t xml:space="preserve">. </w:t>
      </w:r>
      <w:r w:rsidRPr="002B722B">
        <w:t xml:space="preserve"> The text did not have to speak about eligibility criteria because it was in the definition, the scope of protection, the limitations and exceptions and the legal framework for protection.  </w:t>
      </w:r>
      <w:r w:rsidR="005C57E6">
        <w:t>Regarding “safeguarding</w:t>
      </w:r>
      <w:r w:rsidRPr="002B722B">
        <w:t>”</w:t>
      </w:r>
      <w:r w:rsidR="005C57E6">
        <w:t>,</w:t>
      </w:r>
      <w:r w:rsidRPr="002B722B">
        <w:t xml:space="preserve"> the WIPO Convention did not mention safeguarding.  </w:t>
      </w:r>
    </w:p>
    <w:p w14:paraId="2967DB3C" w14:textId="77777777" w:rsidR="00466059" w:rsidRPr="002B722B" w:rsidRDefault="00466059" w:rsidP="00500199"/>
    <w:p w14:paraId="10524A51" w14:textId="0597123D" w:rsidR="00625BBB" w:rsidRPr="00625BBB" w:rsidRDefault="00466059" w:rsidP="002B722B">
      <w:pPr>
        <w:pStyle w:val="ListParagraph"/>
        <w:numPr>
          <w:ilvl w:val="0"/>
          <w:numId w:val="4"/>
        </w:numPr>
        <w:ind w:left="0" w:firstLine="0"/>
      </w:pPr>
      <w:r w:rsidRPr="002B722B">
        <w:t xml:space="preserve">The Delegation of Egypt said that the title should </w:t>
      </w:r>
      <w:r w:rsidR="00C9778A">
        <w:t>be</w:t>
      </w:r>
      <w:r w:rsidRPr="002B722B">
        <w:t xml:space="preserve"> “Subject Matter of Protection” and</w:t>
      </w:r>
      <w:r w:rsidR="00C9778A">
        <w:t xml:space="preserve"> asked to delete “safeguarding” and “eligibility criteria</w:t>
      </w:r>
      <w:r w:rsidRPr="002B722B">
        <w:t>”</w:t>
      </w:r>
      <w:r w:rsidR="00C9778A">
        <w:t>.</w:t>
      </w:r>
      <w:r w:rsidRPr="002B722B">
        <w:t xml:space="preserve">  It supported Alt 1.  The aim was to protect TCEs.    </w:t>
      </w:r>
    </w:p>
    <w:p w14:paraId="3FF9BDC6" w14:textId="77777777" w:rsidR="00625BBB" w:rsidRPr="002B722B" w:rsidRDefault="00625BBB" w:rsidP="00500199"/>
    <w:p w14:paraId="6AF21F2E" w14:textId="49BCA429" w:rsidR="00625BBB" w:rsidRPr="00625BBB" w:rsidRDefault="00625BBB" w:rsidP="002B722B">
      <w:pPr>
        <w:pStyle w:val="ListParagraph"/>
        <w:numPr>
          <w:ilvl w:val="0"/>
          <w:numId w:val="4"/>
        </w:numPr>
        <w:ind w:left="0" w:firstLine="0"/>
      </w:pPr>
      <w:r w:rsidRPr="002B722B">
        <w:t xml:space="preserve">The representative of Tupaj Amaru supported </w:t>
      </w:r>
      <w:r w:rsidR="00CD7C27">
        <w:t xml:space="preserve">the </w:t>
      </w:r>
      <w:r w:rsidR="00CB525F">
        <w:t>statement made by the Delegation</w:t>
      </w:r>
      <w:r w:rsidRPr="002B722B">
        <w:t xml:space="preserve"> of Egypt.  He said </w:t>
      </w:r>
      <w:r w:rsidR="00CB525F">
        <w:t xml:space="preserve">that </w:t>
      </w:r>
      <w:r w:rsidRPr="002B722B">
        <w:t xml:space="preserve">Article 2 covered the political and legal content.  </w:t>
      </w:r>
      <w:r w:rsidR="00CB525F">
        <w:t>S</w:t>
      </w:r>
      <w:r w:rsidRPr="002B722B">
        <w:t xml:space="preserve">ince that document had been written up, there had always been a definition of subject matter.  A clear and specific definition was essential to move forward.  He had proposed several times that TK constituted the product of collective intellectual activity of indigenous peoples, creations of the human mind, evolving with the world and society and was an intrinsic part of </w:t>
      </w:r>
      <w:r w:rsidR="00CB525F">
        <w:t>ICH</w:t>
      </w:r>
      <w:r w:rsidRPr="002B722B">
        <w:t xml:space="preserve"> of IPLCs.  He proposed the following definition: “1. Subject matter protec</w:t>
      </w:r>
      <w:r w:rsidR="001B32F4">
        <w:t>ted.  The legal protection of traditional knowledge</w:t>
      </w:r>
      <w:r w:rsidRPr="002B722B">
        <w:t xml:space="preserve"> of indigenous peoples and local communities as defined under Article 1, against acts and practices of illicit use or misappropriation would </w:t>
      </w:r>
      <w:r w:rsidR="001B32F4">
        <w:t>apply to, among others, traditional knowledge</w:t>
      </w:r>
      <w:r w:rsidRPr="002B722B">
        <w:t xml:space="preserve"> that constitutes the collective cultural heritage that is ancestral, spiritual, immaterial or intangible and considered as secret, sacred of coll</w:t>
      </w:r>
      <w:r w:rsidR="001B32F4">
        <w:t>ective or community life.  2. Traditional knowledge</w:t>
      </w:r>
      <w:r w:rsidRPr="002B722B">
        <w:t xml:space="preserve"> is intrinsically tied to their use and the management of natural resources and the context duly considered as traditional for the sustainable use and preservation of b</w:t>
      </w:r>
      <w:r w:rsidR="001B32F4">
        <w:t>iodiversity and food safety.  Traditional knowledge</w:t>
      </w:r>
      <w:r w:rsidRPr="002B722B">
        <w:t xml:space="preserve"> that maintains a relationship with the land, the territory, flora and fauna, as well as other resources, is the traditional property of indigenous peoples.”  </w:t>
      </w:r>
    </w:p>
    <w:p w14:paraId="65A32823" w14:textId="77777777" w:rsidR="00625BBB" w:rsidRPr="00625BBB" w:rsidRDefault="00625BBB" w:rsidP="00500199"/>
    <w:p w14:paraId="3F47AD71" w14:textId="5DD4E521" w:rsidR="00661E7A" w:rsidRPr="00661E7A" w:rsidRDefault="00625BBB" w:rsidP="002B722B">
      <w:pPr>
        <w:pStyle w:val="ListParagraph"/>
        <w:numPr>
          <w:ilvl w:val="0"/>
          <w:numId w:val="4"/>
        </w:numPr>
        <w:ind w:left="0" w:firstLine="0"/>
      </w:pPr>
      <w:r w:rsidRPr="002B722B">
        <w:t xml:space="preserve">The Chair </w:t>
      </w:r>
      <w:r w:rsidR="001B32F4">
        <w:t>noted that there was no support from a</w:t>
      </w:r>
      <w:r w:rsidR="00661E7A" w:rsidRPr="002B722B">
        <w:t xml:space="preserve"> </w:t>
      </w:r>
      <w:r w:rsidRPr="002B722B">
        <w:t xml:space="preserve">Member State </w:t>
      </w:r>
      <w:r w:rsidR="001B32F4">
        <w:t>for the</w:t>
      </w:r>
      <w:r w:rsidRPr="002B722B">
        <w:t xml:space="preserve"> proposal</w:t>
      </w:r>
      <w:r w:rsidR="001B32F4">
        <w:t xml:space="preserve"> made by the representative of Tupaj Amaru</w:t>
      </w:r>
      <w:r w:rsidRPr="002B722B">
        <w:t>.</w:t>
      </w:r>
    </w:p>
    <w:p w14:paraId="3BD5A304" w14:textId="77777777" w:rsidR="00661E7A" w:rsidRPr="002B722B" w:rsidRDefault="00661E7A" w:rsidP="00500199"/>
    <w:p w14:paraId="0DDB9790" w14:textId="567695EA" w:rsidR="00C60412" w:rsidRDefault="00661E7A" w:rsidP="002B722B">
      <w:pPr>
        <w:pStyle w:val="ListParagraph"/>
        <w:numPr>
          <w:ilvl w:val="0"/>
          <w:numId w:val="4"/>
        </w:numPr>
        <w:ind w:left="0" w:firstLine="0"/>
      </w:pPr>
      <w:r w:rsidRPr="002B722B">
        <w:t>The Delegation of New Zealand had two suggestions to better narrow the differences in the article.  First, the issue was to have eligibility with scope as well as with exceptions, so one way to understand would be to take a practical example of a TCE</w:t>
      </w:r>
      <w:r w:rsidR="00025097">
        <w:t>,</w:t>
      </w:r>
      <w:r w:rsidRPr="002B722B">
        <w:t xml:space="preserve"> run a flowchart through all of those different tiers and see what would be left with and the different options</w:t>
      </w:r>
      <w:r w:rsidR="00D47C96" w:rsidRPr="002B722B">
        <w:t>,</w:t>
      </w:r>
      <w:r w:rsidRPr="002B722B">
        <w:t xml:space="preserve"> because it might be that one would apply all those tiers and actually what was protected was the same, in which case the IGC was arguing about differences that did not matter; </w:t>
      </w:r>
      <w:r w:rsidR="00025097">
        <w:t xml:space="preserve"> </w:t>
      </w:r>
      <w:r w:rsidRPr="002B722B">
        <w:t>or one could find out that what was actually protected would have differences.  Second, the IGC could take a look at existing IP laws, whether at a domestic or international level, and understand the many layers.  That might help understand why the propo</w:t>
      </w:r>
      <w:r w:rsidR="00586A88">
        <w:t>nents of having eligibility, definition, scope of protection and</w:t>
      </w:r>
      <w:r w:rsidRPr="002B722B">
        <w:t xml:space="preserve"> exceptions needed to have all those things.    </w:t>
      </w:r>
    </w:p>
    <w:p w14:paraId="3C523140" w14:textId="77777777" w:rsidR="00C60412" w:rsidRPr="002B722B" w:rsidRDefault="00C60412" w:rsidP="00500199"/>
    <w:p w14:paraId="38383818" w14:textId="20A1DDA6" w:rsidR="00E03B81" w:rsidRPr="00C02C3F" w:rsidRDefault="00C60412" w:rsidP="002B722B">
      <w:pPr>
        <w:pStyle w:val="ListParagraph"/>
        <w:numPr>
          <w:ilvl w:val="0"/>
          <w:numId w:val="4"/>
        </w:numPr>
        <w:ind w:left="0" w:firstLine="0"/>
      </w:pPr>
      <w:r w:rsidRPr="00C02C3F">
        <w:t xml:space="preserve">The Delegation of Japan preferred Alt 2.  Enhanced clarity was essential, so </w:t>
      </w:r>
      <w:r w:rsidR="00C02C3F" w:rsidRPr="00C02C3F">
        <w:t>the IGC</w:t>
      </w:r>
      <w:r w:rsidRPr="00C02C3F">
        <w:t xml:space="preserve"> should avoid possible disputes on whether protection shoul</w:t>
      </w:r>
      <w:r w:rsidR="00C02C3F">
        <w:t>d be provided to certain TCEs at</w:t>
      </w:r>
      <w:r w:rsidRPr="00C02C3F">
        <w:t xml:space="preserve"> the international level.  The wording “from generation to generation” as stipulated in </w:t>
      </w:r>
      <w:r w:rsidR="00B24A21">
        <w:t>Alt</w:t>
      </w:r>
      <w:r w:rsidRPr="00C02C3F">
        <w:t xml:space="preserve"> </w:t>
      </w:r>
      <w:r w:rsidR="00B24A21">
        <w:t>2</w:t>
      </w:r>
      <w:r w:rsidRPr="00C02C3F">
        <w:t xml:space="preserve">(c) did not add definitive characteristics to the subject matter of TCEs.  It recalled the question as to whether the subject matter should extend to any cultural expressions that would arise in the future and meet the criteria of TCEs.  The IGC needed to determine under which circumstances contemporary cultural expressions could become TCEs.  In that regard, time elements such as “minimum 50 years or five generations” stipulated in </w:t>
      </w:r>
      <w:r w:rsidR="00B24A21">
        <w:t>Alt</w:t>
      </w:r>
      <w:r w:rsidRPr="00C02C3F">
        <w:t xml:space="preserve"> </w:t>
      </w:r>
      <w:r w:rsidR="00B24A21">
        <w:t>2</w:t>
      </w:r>
      <w:r w:rsidRPr="00C02C3F">
        <w:t xml:space="preserve">(d) should be included as an objective criterion.  </w:t>
      </w:r>
    </w:p>
    <w:p w14:paraId="5FCCD45F" w14:textId="77777777" w:rsidR="00E03B81" w:rsidRPr="002B722B" w:rsidRDefault="00E03B81" w:rsidP="00500199"/>
    <w:p w14:paraId="4FFC30AE" w14:textId="66A61ABF" w:rsidR="00E03B81" w:rsidRPr="00E03B81" w:rsidRDefault="00E03B81" w:rsidP="002B722B">
      <w:pPr>
        <w:pStyle w:val="ListParagraph"/>
        <w:numPr>
          <w:ilvl w:val="0"/>
          <w:numId w:val="4"/>
        </w:numPr>
        <w:ind w:left="0" w:firstLine="0"/>
      </w:pPr>
      <w:r w:rsidRPr="002B722B">
        <w:t xml:space="preserve">The Delegation of Chile encouraged all delegations to consider its proposal in Alt 3 in order to bridge the gaps between Alt 1 and </w:t>
      </w:r>
      <w:r w:rsidR="00E1506A">
        <w:t xml:space="preserve">Alt </w:t>
      </w:r>
      <w:r w:rsidRPr="002B722B">
        <w:t xml:space="preserve">2. </w:t>
      </w:r>
    </w:p>
    <w:p w14:paraId="18E459D5" w14:textId="77777777" w:rsidR="00E03B81" w:rsidRPr="002B722B" w:rsidRDefault="00E03B81" w:rsidP="00500199"/>
    <w:p w14:paraId="0B56F2F6" w14:textId="21003486" w:rsidR="00F36A5F" w:rsidRPr="00F36A5F" w:rsidRDefault="00E03B81" w:rsidP="002B722B">
      <w:pPr>
        <w:pStyle w:val="ListParagraph"/>
        <w:numPr>
          <w:ilvl w:val="0"/>
          <w:numId w:val="4"/>
        </w:numPr>
        <w:ind w:left="0" w:firstLine="0"/>
      </w:pPr>
      <w:r w:rsidRPr="002B722B">
        <w:lastRenderedPageBreak/>
        <w:t xml:space="preserve">The Delegation of Uganda </w:t>
      </w:r>
      <w:r w:rsidR="00B72956">
        <w:t>supported the statements made by the Delegation of Senegal, on behalf of</w:t>
      </w:r>
      <w:r w:rsidRPr="002B722B">
        <w:t xml:space="preserve"> the African Group</w:t>
      </w:r>
      <w:r w:rsidR="00B72956">
        <w:t>,</w:t>
      </w:r>
      <w:r w:rsidRPr="002B722B">
        <w:t xml:space="preserve"> and </w:t>
      </w:r>
      <w:r w:rsidR="00B72956">
        <w:t xml:space="preserve">the Delegation of Indonesia, on behalf of </w:t>
      </w:r>
      <w:r w:rsidRPr="002B722B">
        <w:t>the LMCs</w:t>
      </w:r>
      <w:r w:rsidR="00B72956">
        <w:t>, on supporting Alt 1.  Regarding</w:t>
      </w:r>
      <w:r w:rsidRPr="002B722B">
        <w:t xml:space="preserve"> Alt 2 and the eligibility criteria, setting time limits within which TCEs should have been known before enjoying protection significantly contradicted the objectives of the envisioned instrument, i.e. to protect creativity and innovation.  The IGC could not seek to promote creativity and innovation for those TCEs while at the same time limiting protection to all the works that were five decades old.  TCEs were dynamic and constantly evolving due to changing circumstances, for example, climate change and the interests of the beneficiaries.  It would expand with practical examples of TCEs that had evolved over time in East Africa during </w:t>
      </w:r>
      <w:proofErr w:type="spellStart"/>
      <w:r w:rsidRPr="002B722B">
        <w:t>informal</w:t>
      </w:r>
      <w:r w:rsidR="00B4570D">
        <w:t>s</w:t>
      </w:r>
      <w:proofErr w:type="spellEnd"/>
      <w:r w:rsidRPr="002B722B">
        <w:t xml:space="preserve">. </w:t>
      </w:r>
    </w:p>
    <w:p w14:paraId="21B36BC9" w14:textId="77777777" w:rsidR="00F36A5F" w:rsidRPr="002B722B" w:rsidRDefault="00F36A5F" w:rsidP="00500199"/>
    <w:p w14:paraId="7B3ABC22" w14:textId="4865E6BD" w:rsidR="00E93C08" w:rsidRPr="00E93C08" w:rsidRDefault="00F36A5F" w:rsidP="002B722B">
      <w:pPr>
        <w:pStyle w:val="ListParagraph"/>
        <w:numPr>
          <w:ilvl w:val="0"/>
          <w:numId w:val="4"/>
        </w:numPr>
        <w:ind w:left="0" w:firstLine="0"/>
      </w:pPr>
      <w:r w:rsidRPr="002B722B">
        <w:t>The Delegatio</w:t>
      </w:r>
      <w:r w:rsidR="00B4570D">
        <w:t>n of Indonesia</w:t>
      </w:r>
      <w:r w:rsidRPr="002B722B">
        <w:t xml:space="preserve"> r</w:t>
      </w:r>
      <w:r w:rsidR="00B4570D">
        <w:t>ecalled that TCEs were evolving</w:t>
      </w:r>
      <w:r w:rsidRPr="002B722B">
        <w:t xml:space="preserve"> and the word “traditional” did not mean </w:t>
      </w:r>
      <w:r w:rsidR="00B4570D">
        <w:t xml:space="preserve">that </w:t>
      </w:r>
      <w:r w:rsidRPr="002B722B">
        <w:t xml:space="preserve">TCEs were old. </w:t>
      </w:r>
      <w:r w:rsidR="00B4570D">
        <w:t xml:space="preserve"> </w:t>
      </w:r>
      <w:r w:rsidRPr="002B722B">
        <w:t>Making a distinction between traditional and contemporary cultural expressions did not really justify that there should be a timeframe in the eligibility criteria because if something was directly lin</w:t>
      </w:r>
      <w:r w:rsidR="00B4570D">
        <w:t>ked to a cultural expression and</w:t>
      </w:r>
      <w:r w:rsidRPr="002B722B">
        <w:t xml:space="preserve"> it was new, it </w:t>
      </w:r>
      <w:r w:rsidR="00B4570D">
        <w:t>was still a cultural expression.</w:t>
      </w:r>
      <w:r w:rsidRPr="002B722B">
        <w:t xml:space="preserve"> </w:t>
      </w:r>
      <w:r w:rsidR="00B4570D">
        <w:t xml:space="preserve"> No one could </w:t>
      </w:r>
      <w:r w:rsidRPr="002B722B">
        <w:t xml:space="preserve">call it a contemporary cultural expression. TCEs were not necessarily old or ancient.    </w:t>
      </w:r>
    </w:p>
    <w:p w14:paraId="17505472" w14:textId="77777777" w:rsidR="00E93C08" w:rsidRPr="002B722B" w:rsidRDefault="00E93C08" w:rsidP="00500199"/>
    <w:p w14:paraId="7FC4690F" w14:textId="4B727B7C" w:rsidR="00822401" w:rsidRPr="00822401" w:rsidRDefault="00E93C08" w:rsidP="002B722B">
      <w:pPr>
        <w:pStyle w:val="ListParagraph"/>
        <w:numPr>
          <w:ilvl w:val="0"/>
          <w:numId w:val="4"/>
        </w:numPr>
        <w:ind w:left="0" w:firstLine="0"/>
      </w:pPr>
      <w:r w:rsidRPr="002B722B">
        <w:t>The representative of Tupaj Amaru could not accept the article as it stood because it had the effect of making the identity of indigenous peoples more vulnerable to cedin</w:t>
      </w:r>
      <w:r w:rsidR="00B4570D">
        <w:t>g their rights to third parties</w:t>
      </w:r>
      <w:r w:rsidRPr="002B722B">
        <w:t xml:space="preserve">.  Indigenous peoples were then deprived of their spiritual and material rights.  Article 3 should revert to its original title, </w:t>
      </w:r>
      <w:r w:rsidR="00B4570D">
        <w:t xml:space="preserve">which was </w:t>
      </w:r>
      <w:r w:rsidRPr="002B722B">
        <w:t xml:space="preserve">“Scope of Protection.”  Article 3 had completely modified the text without the participation of indigenous peoples.  He proposed deleting Article 3, replacing it with: </w:t>
      </w:r>
      <w:r w:rsidR="00B4570D">
        <w:t xml:space="preserve"> </w:t>
      </w:r>
      <w:r w:rsidRPr="002B722B">
        <w:t xml:space="preserve">“For this instrument, the contracting parties would recognize for the rights </w:t>
      </w:r>
      <w:r w:rsidR="00B4570D">
        <w:t>holders, the beneficiaries of traditional knowledge</w:t>
      </w:r>
      <w:r w:rsidRPr="002B722B">
        <w:t xml:space="preserve"> rights, in compliance with Article 2: </w:t>
      </w:r>
      <w:r w:rsidR="00B4570D">
        <w:t xml:space="preserve"> </w:t>
      </w:r>
      <w:r w:rsidRPr="002B722B">
        <w:t>(a) the exclusive rights to control, preserve, develop</w:t>
      </w:r>
      <w:r w:rsidR="00B4570D">
        <w:t>, exploit, and practice their traditional knowledge and traditional cultural expressions</w:t>
      </w:r>
      <w:r w:rsidRPr="002B722B">
        <w:t xml:space="preserve">; </w:t>
      </w:r>
      <w:r w:rsidR="00B4570D">
        <w:t xml:space="preserve"> and </w:t>
      </w:r>
      <w:r w:rsidRPr="002B722B">
        <w:t xml:space="preserve">(b) authorize the utilization, with prior informed consent of the beneficiaries or </w:t>
      </w:r>
      <w:r w:rsidR="00B4570D">
        <w:t>reject their use and abuse of traditional knowledge</w:t>
      </w:r>
      <w:r w:rsidRPr="002B722B">
        <w:t xml:space="preserve">.” </w:t>
      </w:r>
    </w:p>
    <w:p w14:paraId="2CFF67E0" w14:textId="77777777" w:rsidR="00822401" w:rsidRPr="002B722B" w:rsidRDefault="00822401" w:rsidP="00500199"/>
    <w:p w14:paraId="5775388B" w14:textId="77777777" w:rsidR="00B4570D" w:rsidRDefault="00B4570D" w:rsidP="002B722B">
      <w:pPr>
        <w:pStyle w:val="ListParagraph"/>
        <w:numPr>
          <w:ilvl w:val="0"/>
          <w:numId w:val="4"/>
        </w:numPr>
        <w:ind w:left="0" w:firstLine="0"/>
      </w:pPr>
      <w:r w:rsidRPr="002B722B">
        <w:t xml:space="preserve">The Chair </w:t>
      </w:r>
      <w:r>
        <w:t>noted that there was no support from a</w:t>
      </w:r>
      <w:r w:rsidRPr="002B722B">
        <w:t xml:space="preserve"> Member State </w:t>
      </w:r>
      <w:r>
        <w:t>for the</w:t>
      </w:r>
      <w:r w:rsidRPr="002B722B">
        <w:t xml:space="preserve"> proposal</w:t>
      </w:r>
      <w:r>
        <w:t xml:space="preserve"> made by the representative of Tupaj Amaru</w:t>
      </w:r>
      <w:r w:rsidR="00822401" w:rsidRPr="002B722B">
        <w:t xml:space="preserve">.  </w:t>
      </w:r>
    </w:p>
    <w:p w14:paraId="751A70EF" w14:textId="77777777" w:rsidR="00B4570D" w:rsidRDefault="00B4570D" w:rsidP="00B4570D"/>
    <w:p w14:paraId="5D40C6ED" w14:textId="5454587B" w:rsidR="000A5889" w:rsidRPr="000A5889" w:rsidRDefault="00B4570D" w:rsidP="002B722B">
      <w:pPr>
        <w:pStyle w:val="ListParagraph"/>
        <w:numPr>
          <w:ilvl w:val="0"/>
          <w:numId w:val="4"/>
        </w:numPr>
        <w:ind w:left="0" w:firstLine="0"/>
      </w:pPr>
      <w:r>
        <w:t>The Chair introduced the issue o</w:t>
      </w:r>
      <w:r w:rsidR="00CD7C27">
        <w:t>f</w:t>
      </w:r>
      <w:r w:rsidR="00822401" w:rsidRPr="002B722B">
        <w:t xml:space="preserve"> </w:t>
      </w:r>
      <w:r>
        <w:t>beneficiaries.  He said</w:t>
      </w:r>
      <w:r w:rsidR="00822401" w:rsidRPr="002B722B">
        <w:t xml:space="preserve"> IGC</w:t>
      </w:r>
      <w:r>
        <w:t xml:space="preserve"> 33</w:t>
      </w:r>
      <w:r w:rsidR="00822401" w:rsidRPr="002B722B">
        <w:t xml:space="preserve"> had made quite a bit of progress on beneficiaries, recognizing the need to narrow the positions in that area, and i</w:t>
      </w:r>
      <w:r>
        <w:t>mportantly on the term "nations</w:t>
      </w:r>
      <w:r w:rsidR="00822401" w:rsidRPr="002B722B">
        <w:t>"</w:t>
      </w:r>
      <w:r>
        <w:t xml:space="preserve">. </w:t>
      </w:r>
      <w:r w:rsidR="00822401" w:rsidRPr="002B722B">
        <w:t xml:space="preserve"> Language</w:t>
      </w:r>
      <w:r>
        <w:t>s</w:t>
      </w:r>
      <w:r w:rsidR="00822401" w:rsidRPr="002B722B">
        <w:t xml:space="preserve"> had been formulated to provide some policy space for Member States in that area.  “Indigenous peoples” was still bracketed, and he asked Member States whose current position was to have indigenous “people” but not “peoples” to reconsider their views on the</w:t>
      </w:r>
      <w:r>
        <w:t xml:space="preserve"> inclusion of the term “peoples</w:t>
      </w:r>
      <w:r w:rsidR="00822401" w:rsidRPr="002B722B">
        <w:t>”</w:t>
      </w:r>
      <w:r>
        <w:t>.</w:t>
      </w:r>
      <w:r w:rsidR="00822401" w:rsidRPr="002B722B">
        <w:t xml:space="preserve">  There was also an opportunity to combine those alternatives into a single article.</w:t>
      </w:r>
      <w:r w:rsidR="00340132">
        <w:t xml:space="preserve">  The Chair opened the floor for comments. </w:t>
      </w:r>
    </w:p>
    <w:p w14:paraId="191C680A" w14:textId="77777777" w:rsidR="000A5889" w:rsidRPr="002B722B" w:rsidRDefault="000A5889" w:rsidP="00500199"/>
    <w:p w14:paraId="71CFF75C" w14:textId="4BECDDA2" w:rsidR="00F45E6C" w:rsidRPr="00F45E6C" w:rsidRDefault="000A5889" w:rsidP="002B722B">
      <w:pPr>
        <w:pStyle w:val="ListParagraph"/>
        <w:numPr>
          <w:ilvl w:val="0"/>
          <w:numId w:val="4"/>
        </w:numPr>
        <w:ind w:left="0" w:firstLine="0"/>
      </w:pPr>
      <w:r w:rsidRPr="002B722B">
        <w:t>The Delegation of Indonesia, speaking on behalf of the LMCs, preferred Alt 3.  There was no dispute that the main beneficiaries of the instrument were ILCs</w:t>
      </w:r>
      <w:proofErr w:type="gramStart"/>
      <w:r w:rsidRPr="002B722B">
        <w:t xml:space="preserve">; </w:t>
      </w:r>
      <w:r w:rsidR="00B4570D">
        <w:t xml:space="preserve"> </w:t>
      </w:r>
      <w:r w:rsidRPr="002B722B">
        <w:t>however</w:t>
      </w:r>
      <w:proofErr w:type="gramEnd"/>
      <w:r w:rsidRPr="002B722B">
        <w:t xml:space="preserve">, </w:t>
      </w:r>
      <w:r w:rsidR="00B4570D">
        <w:t>the IGC</w:t>
      </w:r>
      <w:r w:rsidRPr="002B722B">
        <w:t xml:space="preserve"> had to take into account the nature of the TCE</w:t>
      </w:r>
      <w:r w:rsidR="00B4570D">
        <w:t xml:space="preserve">s themselves. </w:t>
      </w:r>
      <w:r w:rsidRPr="002B722B">
        <w:t xml:space="preserve"> </w:t>
      </w:r>
      <w:r w:rsidR="00B4570D">
        <w:t>T</w:t>
      </w:r>
      <w:r w:rsidRPr="002B722B">
        <w:t xml:space="preserve">here might be a situation where TCEs were not confined to specific ILCs, or where TCEs were not specifically attributable to an ILC.  The provision should address that concern and should include “other beneficiaries as defined by the national law of each Member State.”  There was an opportunity to combine Alt 2 and </w:t>
      </w:r>
      <w:r w:rsidR="00964383">
        <w:t xml:space="preserve">Alt </w:t>
      </w:r>
      <w:r w:rsidRPr="002B722B">
        <w:t xml:space="preserve">3 and it stood ready to engage with the proponents of Alt 2.  However, only mentioning situations where there were no indigenous peoples in order to have other beneficiaries would not address the situation where TCEs were not confined to a specific ILC. </w:t>
      </w:r>
    </w:p>
    <w:p w14:paraId="5251794F" w14:textId="77777777" w:rsidR="00F45E6C" w:rsidRPr="002B722B" w:rsidRDefault="00F45E6C" w:rsidP="00500199"/>
    <w:p w14:paraId="1AA7B354" w14:textId="6DF0E618" w:rsidR="00F45E6C" w:rsidRPr="00F45E6C" w:rsidRDefault="00F45E6C" w:rsidP="002B722B">
      <w:pPr>
        <w:pStyle w:val="ListParagraph"/>
        <w:numPr>
          <w:ilvl w:val="0"/>
          <w:numId w:val="4"/>
        </w:numPr>
        <w:ind w:left="0" w:firstLine="0"/>
      </w:pPr>
      <w:r w:rsidRPr="002B722B">
        <w:t>The Delegation of Senegal, speaking on behalf of the African Group, preferred Alt 3 for t</w:t>
      </w:r>
      <w:r w:rsidR="005865CE">
        <w:t xml:space="preserve">wo reasons:  (1) </w:t>
      </w:r>
      <w:r w:rsidRPr="002B722B">
        <w:t>the objective of the instrument was to rally th</w:t>
      </w:r>
      <w:r w:rsidR="005865CE">
        <w:t>e largest number of signatories</w:t>
      </w:r>
      <w:proofErr w:type="gramStart"/>
      <w:r w:rsidR="005865CE">
        <w:t>;  and</w:t>
      </w:r>
      <w:proofErr w:type="gramEnd"/>
      <w:r w:rsidR="005865CE">
        <w:t xml:space="preserve"> (2)</w:t>
      </w:r>
      <w:r w:rsidRPr="002B722B">
        <w:t xml:space="preserve"> there were cases where it should be left to Member States to freely consider within their national context how the beneficiaries would be identified.  It was sometimes difficult to identify beneficiaries and there were cases where beneficiaries were not clearly identified.  </w:t>
      </w:r>
    </w:p>
    <w:p w14:paraId="2E975903" w14:textId="77777777" w:rsidR="00F45E6C" w:rsidRPr="002B722B" w:rsidRDefault="00F45E6C" w:rsidP="00500199"/>
    <w:p w14:paraId="7F3E841B" w14:textId="4535F56A" w:rsidR="00EE27EA" w:rsidRPr="00EE27EA" w:rsidRDefault="00F45E6C" w:rsidP="002B722B">
      <w:pPr>
        <w:pStyle w:val="ListParagraph"/>
        <w:numPr>
          <w:ilvl w:val="0"/>
          <w:numId w:val="4"/>
        </w:numPr>
        <w:ind w:left="0" w:firstLine="0"/>
      </w:pPr>
      <w:r w:rsidRPr="002B722B">
        <w:t>The Delegation of the Islamic Re</w:t>
      </w:r>
      <w:r w:rsidR="00606BB7">
        <w:t xml:space="preserve">public of Iran did not support the inclusion of the word “safeguarding” </w:t>
      </w:r>
      <w:r w:rsidRPr="002B722B">
        <w:t xml:space="preserve">in all articles.  It supported Alt 3, which included the main beneficiaries, namely </w:t>
      </w:r>
      <w:r w:rsidR="00606BB7">
        <w:t>IPLCs, while preserving space at</w:t>
      </w:r>
      <w:r w:rsidRPr="002B722B">
        <w:t xml:space="preserve"> the national level to determine other beneficiaries under national law.  It acknowledged that the main beneficiaries were IPLCs but not exclusively.  Therefore, it was essential to recognize the role of each State in identifying the beneficiaries under its jurisdiction.  It concurred with the Chair concerning Alt 2 and </w:t>
      </w:r>
      <w:r w:rsidR="00606BB7">
        <w:t xml:space="preserve">Alt </w:t>
      </w:r>
      <w:r w:rsidRPr="002B722B">
        <w:t xml:space="preserve">3.  There were not so many substantial differences and it was in favor of merging those into one in the </w:t>
      </w:r>
      <w:proofErr w:type="spellStart"/>
      <w:r w:rsidRPr="002B722B">
        <w:t>informals</w:t>
      </w:r>
      <w:proofErr w:type="spellEnd"/>
      <w:r w:rsidRPr="002B722B">
        <w:t xml:space="preserve">.  </w:t>
      </w:r>
    </w:p>
    <w:p w14:paraId="1C5EEC9B" w14:textId="77777777" w:rsidR="00EE27EA" w:rsidRPr="002B722B" w:rsidRDefault="00EE27EA" w:rsidP="00500199"/>
    <w:p w14:paraId="00A7C643" w14:textId="46B16039" w:rsidR="0007579F" w:rsidRPr="0007579F" w:rsidRDefault="00895B4C" w:rsidP="002B722B">
      <w:pPr>
        <w:pStyle w:val="ListParagraph"/>
        <w:numPr>
          <w:ilvl w:val="0"/>
          <w:numId w:val="4"/>
        </w:numPr>
        <w:ind w:left="0" w:firstLine="0"/>
      </w:pPr>
      <w:r>
        <w:t>The Delegation of China state</w:t>
      </w:r>
      <w:r w:rsidR="00CE2CB6">
        <w:t>d</w:t>
      </w:r>
      <w:r w:rsidR="00EE27EA" w:rsidRPr="002B722B">
        <w:t xml:space="preserve"> that the article had to recognize the different composition of beneficiaries in different countries.  In some countries, there was no such notion of </w:t>
      </w:r>
      <w:r>
        <w:t>“</w:t>
      </w:r>
      <w:r w:rsidR="00EE27EA" w:rsidRPr="002B722B">
        <w:t>indigenous peoples</w:t>
      </w:r>
      <w:r>
        <w:t>”</w:t>
      </w:r>
      <w:r w:rsidR="00EE27EA" w:rsidRPr="002B722B">
        <w:t xml:space="preserve">.  </w:t>
      </w:r>
      <w:r w:rsidR="00CE2CB6">
        <w:t>That fact</w:t>
      </w:r>
      <w:r w:rsidR="00EE27EA" w:rsidRPr="002B722B">
        <w:t xml:space="preserve"> had to </w:t>
      </w:r>
      <w:r w:rsidR="00CE2CB6">
        <w:t xml:space="preserve">be </w:t>
      </w:r>
      <w:r w:rsidR="00EE27EA" w:rsidRPr="002B722B">
        <w:t>take</w:t>
      </w:r>
      <w:r w:rsidR="00CE2CB6">
        <w:t>n</w:t>
      </w:r>
      <w:r w:rsidR="00EE27EA" w:rsidRPr="002B722B">
        <w:t xml:space="preserve"> into account.  It supported the combination of Alt 2 and </w:t>
      </w:r>
      <w:r>
        <w:t xml:space="preserve">Alt </w:t>
      </w:r>
      <w:r w:rsidR="00EE27EA" w:rsidRPr="002B722B">
        <w:t xml:space="preserve">3. </w:t>
      </w:r>
    </w:p>
    <w:p w14:paraId="3F6DA48C" w14:textId="77777777" w:rsidR="0007579F" w:rsidRPr="002B722B" w:rsidRDefault="0007579F" w:rsidP="00500199"/>
    <w:p w14:paraId="6C4E6F24" w14:textId="1A41421D" w:rsidR="00956CB6" w:rsidRPr="00956CB6" w:rsidRDefault="0007579F" w:rsidP="002B722B">
      <w:pPr>
        <w:pStyle w:val="ListParagraph"/>
        <w:numPr>
          <w:ilvl w:val="0"/>
          <w:numId w:val="4"/>
        </w:numPr>
        <w:ind w:left="0" w:firstLine="0"/>
      </w:pPr>
      <w:r w:rsidRPr="002B722B">
        <w:t>The representative of</w:t>
      </w:r>
      <w:r w:rsidR="00DC5694">
        <w:t xml:space="preserve"> Tupaj Amaru was</w:t>
      </w:r>
      <w:r w:rsidRPr="002B722B">
        <w:t xml:space="preserve"> against Alt 3 because without indigenous people there would be no TK or customs. </w:t>
      </w:r>
      <w:r w:rsidR="00DC5694">
        <w:t xml:space="preserve"> </w:t>
      </w:r>
      <w:r w:rsidRPr="002B722B">
        <w:t xml:space="preserve">The beneficiaries were those who benefited from collective rights to TK, in other words, IPLCs and their </w:t>
      </w:r>
      <w:r w:rsidR="00DC5694" w:rsidRPr="002B722B">
        <w:t>descendants</w:t>
      </w:r>
      <w:r w:rsidRPr="002B722B">
        <w:t>.  Those communities would continue to exist.  It did not matter what they were calle</w:t>
      </w:r>
      <w:r w:rsidR="00DC5694">
        <w:t xml:space="preserve">d. </w:t>
      </w:r>
      <w:r w:rsidRPr="002B722B">
        <w:t xml:space="preserve"> </w:t>
      </w:r>
      <w:r w:rsidR="00DC5694">
        <w:t>They</w:t>
      </w:r>
      <w:r w:rsidRPr="002B722B">
        <w:t xml:space="preserve"> could be traditional communities, not necessarily indigenous peoples.  The name was not so important, but indigenous peoples were threatened with vanishing together with their secrets and traditions.  The discussion was about people who together collected, preserved, and transmitted that cultural heritage from generation to generation.  </w:t>
      </w:r>
      <w:r w:rsidR="00DC5694">
        <w:t>T</w:t>
      </w:r>
      <w:r w:rsidRPr="002B722B">
        <w:t xml:space="preserve">hose rights holders or property owners had the right to a fair and equitable share of the benefits that flew from the use of their TK, their innovation, and their </w:t>
      </w:r>
      <w:r w:rsidR="00DC5694">
        <w:t>various traditional practices of preserving biological diversity and of</w:t>
      </w:r>
      <w:r w:rsidRPr="002B722B">
        <w:t xml:space="preserve"> the sustainable use of the various components thereof. </w:t>
      </w:r>
    </w:p>
    <w:p w14:paraId="180AAD0B" w14:textId="77777777" w:rsidR="00956CB6" w:rsidRPr="00956CB6" w:rsidRDefault="00956CB6" w:rsidP="00500199"/>
    <w:p w14:paraId="6C9D474D" w14:textId="1F78D80B" w:rsidR="006E7AD4" w:rsidRPr="006E7AD4" w:rsidRDefault="00956CB6" w:rsidP="002B722B">
      <w:pPr>
        <w:pStyle w:val="ListParagraph"/>
        <w:numPr>
          <w:ilvl w:val="0"/>
          <w:numId w:val="4"/>
        </w:numPr>
        <w:ind w:left="0" w:firstLine="0"/>
      </w:pPr>
      <w:r w:rsidRPr="002B722B">
        <w:t>The Delegation of Ghana</w:t>
      </w:r>
      <w:r w:rsidR="008C5E00">
        <w:t xml:space="preserve"> supported the statements made by the Delegation of Senegal, on behalf of</w:t>
      </w:r>
      <w:r w:rsidR="008C5E00" w:rsidRPr="002B722B">
        <w:t xml:space="preserve"> the African Group</w:t>
      </w:r>
      <w:r w:rsidR="008C5E00">
        <w:t>,</w:t>
      </w:r>
      <w:r w:rsidR="008C5E00" w:rsidRPr="002B722B">
        <w:t xml:space="preserve"> and </w:t>
      </w:r>
      <w:r w:rsidR="008C5E00">
        <w:t xml:space="preserve">the Delegation of Indonesia, on behalf of </w:t>
      </w:r>
      <w:r w:rsidR="008C5E00" w:rsidRPr="002B722B">
        <w:t>the LMCs</w:t>
      </w:r>
      <w:r w:rsidRPr="002B722B">
        <w:t xml:space="preserve"> regarding Alt 3.  Alt 1 and </w:t>
      </w:r>
      <w:r w:rsidR="0077194D">
        <w:t xml:space="preserve">Alt </w:t>
      </w:r>
      <w:r w:rsidRPr="002B722B">
        <w:t xml:space="preserve">2 contained restrictions that were not found in Alt 3.  Alt 3 was broad, comprehensive, and could be applied flexibly by any member of the IGC that wished to adopt it.  The best way to facilitate consensus was to have a holistic, broad definition that could be flexibly applied by all Member States.  It asked what issue Alt 1 was designed to address.  The concern there was about indigenous peoples.  It said that the concern in Alt 2 was to make sure to recognize other beneficiaries, only when indigenous peoples were not found.  </w:t>
      </w:r>
      <w:r w:rsidR="0077194D">
        <w:t>T</w:t>
      </w:r>
      <w:r w:rsidRPr="002B722B">
        <w:t xml:space="preserve">he broad provision in Alt 3 could cover cases where there were no indigenous peoples within a territory.  It wondered why </w:t>
      </w:r>
      <w:r w:rsidR="0077194D">
        <w:t>some Member States</w:t>
      </w:r>
      <w:r w:rsidRPr="002B722B">
        <w:t xml:space="preserve"> would introduce restrictions in Alt 1 and </w:t>
      </w:r>
      <w:r w:rsidR="0077194D">
        <w:t xml:space="preserve">Alt </w:t>
      </w:r>
      <w:r w:rsidRPr="002B722B">
        <w:t xml:space="preserve">2.  They served no genuine purpose other than to delay the process. Alt 1 and </w:t>
      </w:r>
      <w:r w:rsidR="0077194D">
        <w:t xml:space="preserve">Alt </w:t>
      </w:r>
      <w:r w:rsidRPr="002B722B">
        <w:t xml:space="preserve">2 </w:t>
      </w:r>
      <w:r w:rsidR="0077194D">
        <w:t xml:space="preserve">should be deleted </w:t>
      </w:r>
      <w:r w:rsidRPr="002B722B">
        <w:t xml:space="preserve">without causing much harm.    </w:t>
      </w:r>
    </w:p>
    <w:p w14:paraId="68C539AD" w14:textId="77777777" w:rsidR="006E7AD4" w:rsidRPr="002B722B" w:rsidRDefault="006E7AD4" w:rsidP="00500199"/>
    <w:p w14:paraId="7142807B" w14:textId="18B23B8E" w:rsidR="006E7AD4" w:rsidRPr="006E7AD4" w:rsidRDefault="006E7AD4" w:rsidP="002B722B">
      <w:pPr>
        <w:pStyle w:val="ListParagraph"/>
        <w:numPr>
          <w:ilvl w:val="0"/>
          <w:numId w:val="4"/>
        </w:numPr>
        <w:ind w:left="0" w:firstLine="0"/>
      </w:pPr>
      <w:r w:rsidRPr="002B722B">
        <w:t>The Delegation of Georgia, speaking on behalf of CEBS, preferred Alt 1, because some countries had prohibitions and restrictions in recognizi</w:t>
      </w:r>
      <w:r w:rsidR="003D2718">
        <w:t>ng the rights of some people.</w:t>
      </w:r>
    </w:p>
    <w:p w14:paraId="1F47D856" w14:textId="77777777" w:rsidR="006E7AD4" w:rsidRPr="002B722B" w:rsidRDefault="006E7AD4" w:rsidP="00500199"/>
    <w:p w14:paraId="22431337" w14:textId="67D21F8F" w:rsidR="006E7AD4" w:rsidRPr="006E7AD4" w:rsidRDefault="006E7AD4" w:rsidP="002B722B">
      <w:pPr>
        <w:pStyle w:val="ListParagraph"/>
        <w:numPr>
          <w:ilvl w:val="0"/>
          <w:numId w:val="4"/>
        </w:numPr>
        <w:ind w:left="0" w:firstLine="0"/>
      </w:pPr>
      <w:r w:rsidRPr="002B722B">
        <w:t xml:space="preserve">The Chair </w:t>
      </w:r>
      <w:r w:rsidR="00B0129D">
        <w:t>wondered</w:t>
      </w:r>
      <w:r w:rsidRPr="002B722B">
        <w:t xml:space="preserve"> if the Delegation of Georgia</w:t>
      </w:r>
      <w:r w:rsidR="00B0129D">
        <w:t>, on behalf of CEBS,</w:t>
      </w:r>
      <w:r w:rsidRPr="002B722B">
        <w:t xml:space="preserve"> wa</w:t>
      </w:r>
      <w:r w:rsidR="00B0129D">
        <w:t>nted to bracket the whole word “peoples” instead of “s”.</w:t>
      </w:r>
    </w:p>
    <w:p w14:paraId="0244F2C3" w14:textId="77777777" w:rsidR="006E7AD4" w:rsidRPr="002B722B" w:rsidRDefault="006E7AD4" w:rsidP="00500199"/>
    <w:p w14:paraId="2A21C4C9" w14:textId="77777777" w:rsidR="006E7AD4" w:rsidRPr="006E7AD4" w:rsidRDefault="006E7AD4" w:rsidP="002B722B">
      <w:pPr>
        <w:pStyle w:val="ListParagraph"/>
        <w:numPr>
          <w:ilvl w:val="0"/>
          <w:numId w:val="4"/>
        </w:numPr>
        <w:ind w:left="0" w:firstLine="0"/>
      </w:pPr>
      <w:r w:rsidRPr="002B722B">
        <w:t>The Delegation of Georgia</w:t>
      </w:r>
      <w:r w:rsidR="009E1A24" w:rsidRPr="002B722B">
        <w:t>, speaking on behalf of CEBS,</w:t>
      </w:r>
      <w:r w:rsidRPr="002B722B">
        <w:t xml:space="preserve"> said that in Alt 1 the word “peoples” was bracketed.  </w:t>
      </w:r>
    </w:p>
    <w:p w14:paraId="6C87115C" w14:textId="77777777" w:rsidR="006E7AD4" w:rsidRPr="002B722B" w:rsidRDefault="006E7AD4" w:rsidP="00500199"/>
    <w:p w14:paraId="14B1EC10" w14:textId="3AFE678D" w:rsidR="006E7AD4" w:rsidRPr="006E7AD4" w:rsidRDefault="006E7AD4" w:rsidP="002B722B">
      <w:pPr>
        <w:pStyle w:val="ListParagraph"/>
        <w:numPr>
          <w:ilvl w:val="0"/>
          <w:numId w:val="4"/>
        </w:numPr>
        <w:ind w:left="0" w:firstLine="0"/>
      </w:pPr>
      <w:r w:rsidRPr="002B722B">
        <w:t xml:space="preserve">The Delegation of Australia said that the definition of beneficiaries should not be left so wide as to encompass all possible beneficiaries.  Alt 2 and </w:t>
      </w:r>
      <w:r w:rsidR="00115508">
        <w:t xml:space="preserve">Alt </w:t>
      </w:r>
      <w:r w:rsidRPr="002B722B">
        <w:t>3 could possibly be better formulated to ensure that when read</w:t>
      </w:r>
      <w:r w:rsidR="00115508">
        <w:t>ing</w:t>
      </w:r>
      <w:r w:rsidRPr="002B722B">
        <w:t xml:space="preserve"> with Articles 3 and 5, only other beneficiaries that were entrusted with the responsibility to protect and transmit TCEs in a traditional context might be recognized as beneficiaries.  It was necessary to carve out unintended beneficiaries to ensure greater certainty in the text and to close some of the gaps.  Looking at some of the wording in Alt 1 and how </w:t>
      </w:r>
      <w:r w:rsidR="00115508">
        <w:t xml:space="preserve">it could be worked </w:t>
      </w:r>
      <w:r w:rsidRPr="002B722B">
        <w:t>with the other alternati</w:t>
      </w:r>
      <w:r w:rsidR="00115508">
        <w:t>ves could provide that kind of certainty</w:t>
      </w:r>
      <w:r w:rsidRPr="002B722B">
        <w:t xml:space="preserve">.    </w:t>
      </w:r>
    </w:p>
    <w:p w14:paraId="08B9DC2F" w14:textId="77777777" w:rsidR="006E7AD4" w:rsidRPr="002B722B" w:rsidRDefault="006E7AD4" w:rsidP="00500199"/>
    <w:p w14:paraId="5D40BDA8" w14:textId="0036912F" w:rsidR="00397B0B" w:rsidRPr="00397B0B" w:rsidRDefault="006E7AD4" w:rsidP="002B722B">
      <w:pPr>
        <w:pStyle w:val="ListParagraph"/>
        <w:numPr>
          <w:ilvl w:val="0"/>
          <w:numId w:val="4"/>
        </w:numPr>
        <w:ind w:left="0" w:firstLine="0"/>
      </w:pPr>
      <w:r w:rsidRPr="002B722B">
        <w:t xml:space="preserve">The Delegation of Egypt supported Alt 3 because it was balanced and was likely to ensure an appropriate application, as the text did not exclude any beneficiaries.  Moreover, it could help solve all practical problems that might crop up. </w:t>
      </w:r>
    </w:p>
    <w:p w14:paraId="17B8B3EB" w14:textId="77777777" w:rsidR="00397B0B" w:rsidRPr="002B722B" w:rsidRDefault="00397B0B" w:rsidP="00500199"/>
    <w:p w14:paraId="23DB08B4" w14:textId="47AC7B75" w:rsidR="0060349E" w:rsidRPr="0060349E" w:rsidRDefault="00397B0B" w:rsidP="002B722B">
      <w:pPr>
        <w:pStyle w:val="ListParagraph"/>
        <w:numPr>
          <w:ilvl w:val="0"/>
          <w:numId w:val="4"/>
        </w:numPr>
        <w:ind w:left="0" w:firstLine="0"/>
      </w:pPr>
      <w:r w:rsidRPr="002B722B">
        <w:t xml:space="preserve">The Delegation of Indonesia referred to the title of the draft instrument and said that there was </w:t>
      </w:r>
      <w:r w:rsidR="00E20778">
        <w:t xml:space="preserve">an </w:t>
      </w:r>
      <w:r w:rsidRPr="002B722B">
        <w:t>agreement that the s</w:t>
      </w:r>
      <w:r w:rsidR="00E20778">
        <w:t>ubject matter of protection was</w:t>
      </w:r>
      <w:r w:rsidRPr="002B722B">
        <w:t xml:space="preserve"> TCEs, even though the IGC was still debating whether they should meet eligibility criteria or not.  While the main beneficiaries of protection were ILCs, </w:t>
      </w:r>
      <w:r w:rsidR="00E20778">
        <w:t>no one could</w:t>
      </w:r>
      <w:r w:rsidRPr="002B722B">
        <w:t xml:space="preserve"> ignore that there were TCEs that were not owned by ILCs.  If </w:t>
      </w:r>
      <w:r w:rsidR="00E20778">
        <w:t>some delegations</w:t>
      </w:r>
      <w:r w:rsidRPr="002B722B">
        <w:t xml:space="preserve"> could not give room to protect those kinds of TCEs, it would be against the policy objectives, the title of the draft instrument, and the article on the subject matter of protection. </w:t>
      </w:r>
      <w:r w:rsidR="00E20778">
        <w:t xml:space="preserve"> The Delegation</w:t>
      </w:r>
      <w:r w:rsidRPr="002B722B">
        <w:t xml:space="preserve"> wanted to make sure that there was a way to protect the TCEs that were not confined to one particular ILC within one national territory. It thanked the Delegation of Australia and looked forward to discussing further to make sure </w:t>
      </w:r>
      <w:proofErr w:type="gramStart"/>
      <w:r w:rsidRPr="002B722B">
        <w:t>that language</w:t>
      </w:r>
      <w:r w:rsidR="00E20778">
        <w:t>s</w:t>
      </w:r>
      <w:proofErr w:type="gramEnd"/>
      <w:r w:rsidRPr="002B722B">
        <w:t xml:space="preserve"> in Alt 2 and </w:t>
      </w:r>
      <w:r w:rsidR="00E20778">
        <w:t xml:space="preserve">Alt </w:t>
      </w:r>
      <w:r w:rsidRPr="002B722B">
        <w:t xml:space="preserve">3 could actually carve out some other beneficiaries that were not acting for the protection of TCEs. </w:t>
      </w:r>
    </w:p>
    <w:p w14:paraId="24E99C10" w14:textId="77777777" w:rsidR="0060349E" w:rsidRPr="0060349E" w:rsidRDefault="0060349E" w:rsidP="00500199"/>
    <w:p w14:paraId="3114CDE8" w14:textId="124A8E3A" w:rsidR="00C17EE9" w:rsidRPr="00C17EE9" w:rsidRDefault="0060349E" w:rsidP="002B722B">
      <w:pPr>
        <w:pStyle w:val="ListParagraph"/>
        <w:numPr>
          <w:ilvl w:val="0"/>
          <w:numId w:val="4"/>
        </w:numPr>
        <w:ind w:left="0" w:firstLine="0"/>
      </w:pPr>
      <w:r w:rsidRPr="002B722B">
        <w:t>The representative of INBRAPI said</w:t>
      </w:r>
      <w:r w:rsidR="00961063">
        <w:t xml:space="preserve"> that</w:t>
      </w:r>
      <w:r w:rsidRPr="002B722B">
        <w:t xml:space="preserve"> the IGC had been discussing the issue of beneficiaries for seven years.  She asked the Member States who defended Alt 1, for the sake of legal certainty, who were the peoples referred to, if those were the peoples or the nations themselves.  She asked if the IGC was creating an instrument that would protect everyone with no distinction.  She asked what the word “protected” meant at the end of Alt 1.  In Alt 2, other problems arose.  IPLCs were there because their rights were not being recognized.  If there was no con</w:t>
      </w:r>
      <w:r w:rsidR="00BF3CE9">
        <w:t>cept of indigenous peoples,</w:t>
      </w:r>
      <w:r w:rsidRPr="002B722B">
        <w:t xml:space="preserve"> there might be a local community identified, as mentioned by the Delegation of </w:t>
      </w:r>
      <w:proofErr w:type="gramStart"/>
      <w:r w:rsidRPr="002B722B">
        <w:t>Brazil,</w:t>
      </w:r>
      <w:proofErr w:type="gramEnd"/>
      <w:r w:rsidRPr="002B722B">
        <w:t xml:space="preserve"> or groups that were not indigenous but local communities and they had specific rights that could be protected under national law.  She did not understand that there was no distinction between indigenous peoples and other beneficiaries.  Several Member States had mentioned that Alt 3 was a possible solution because it included IPLCs and other beneficiaries “as may be determined under national law.”  She </w:t>
      </w:r>
      <w:r w:rsidR="00BF3CE9">
        <w:t>wondered</w:t>
      </w:r>
      <w:r w:rsidRPr="002B722B">
        <w:t xml:space="preserve"> what would h</w:t>
      </w:r>
      <w:r w:rsidR="00606623">
        <w:t>appen if national law changed,</w:t>
      </w:r>
      <w:r w:rsidRPr="002B722B">
        <w:t xml:space="preserve"> did not recognize the rights, was not adopted, or was not good legislation.  IPLCs included different segments and groups, and those</w:t>
      </w:r>
      <w:r w:rsidR="00606623">
        <w:t xml:space="preserve"> peoples were the beneficiaries</w:t>
      </w:r>
      <w:r w:rsidRPr="002B722B">
        <w:t xml:space="preserve">.  If those groups were not identified, the State had its own role in identifying the rights.  The IGC was specifically trying to protect the rights of TCEs created by IPLCs.  She asked for examples of other TCEs that did not come from IPLCs so as to clarify many of the questions raised.    </w:t>
      </w:r>
    </w:p>
    <w:p w14:paraId="062C0AB0" w14:textId="77777777" w:rsidR="00C17EE9" w:rsidRPr="00C17EE9" w:rsidRDefault="00C17EE9" w:rsidP="00500199"/>
    <w:p w14:paraId="62A2A766" w14:textId="7AF8545A" w:rsidR="00D73CA7" w:rsidRPr="00D73CA7" w:rsidRDefault="00C17EE9" w:rsidP="002B722B">
      <w:pPr>
        <w:pStyle w:val="ListParagraph"/>
        <w:numPr>
          <w:ilvl w:val="0"/>
          <w:numId w:val="4"/>
        </w:numPr>
        <w:ind w:left="0" w:firstLine="0"/>
      </w:pPr>
      <w:r w:rsidRPr="002B722B">
        <w:t xml:space="preserve">The Delegation of Nigeria </w:t>
      </w:r>
      <w:r w:rsidR="00606623">
        <w:t>supported</w:t>
      </w:r>
      <w:r w:rsidRPr="002B722B">
        <w:t xml:space="preserve"> Alt 3 for the reasons presented by the Delegation of Senegal</w:t>
      </w:r>
      <w:r w:rsidR="00415A6F">
        <w:t>,</w:t>
      </w:r>
      <w:r w:rsidRPr="002B722B">
        <w:t xml:space="preserve"> on behalf of the African Group</w:t>
      </w:r>
      <w:r w:rsidR="00415A6F">
        <w:t>,</w:t>
      </w:r>
      <w:r w:rsidRPr="002B722B">
        <w:t xml:space="preserve"> the Delegation of </w:t>
      </w:r>
      <w:r w:rsidR="001B0ED2" w:rsidRPr="002B722B">
        <w:t xml:space="preserve">Ghana, </w:t>
      </w:r>
      <w:r w:rsidR="00415A6F">
        <w:t xml:space="preserve">the Delegation of </w:t>
      </w:r>
      <w:r w:rsidRPr="002B722B">
        <w:t>Egypt</w:t>
      </w:r>
      <w:r w:rsidR="001B0ED2" w:rsidRPr="002B722B">
        <w:t xml:space="preserve"> and </w:t>
      </w:r>
      <w:r w:rsidR="00415A6F">
        <w:t xml:space="preserve">the Delegation of </w:t>
      </w:r>
      <w:r w:rsidR="001B0ED2" w:rsidRPr="002B722B">
        <w:t>Indonesia</w:t>
      </w:r>
      <w:r w:rsidR="00415A6F">
        <w:t>,</w:t>
      </w:r>
      <w:r w:rsidR="001B0ED2" w:rsidRPr="002B722B">
        <w:t xml:space="preserve"> on behalf of the LMCs</w:t>
      </w:r>
      <w:r w:rsidRPr="002B722B">
        <w:t>.  When looking at Alt 3, there were three categories clearly covered, indigenous p</w:t>
      </w:r>
      <w:r w:rsidR="0044538D">
        <w:t>eoples, local communities, and</w:t>
      </w:r>
      <w:r w:rsidRPr="002B722B">
        <w:t xml:space="preserve"> the open category of other beneficiaries.  The practicality of that was really important because when looking at other regimes, like the Nagoya Protocol, there had been so many instances where it was not abl</w:t>
      </w:r>
      <w:r w:rsidR="0044538D">
        <w:t>e to identify with any certain</w:t>
      </w:r>
      <w:r w:rsidRPr="002B722B">
        <w:t xml:space="preserve"> beneficiaries and there was sometimes a </w:t>
      </w:r>
      <w:r w:rsidR="001B0ED2" w:rsidRPr="002B722B">
        <w:t>trans</w:t>
      </w:r>
      <w:r w:rsidRPr="002B722B">
        <w:t>boundary</w:t>
      </w:r>
      <w:r w:rsidR="001B0ED2" w:rsidRPr="002B722B">
        <w:t xml:space="preserve"> connection</w:t>
      </w:r>
      <w:r w:rsidRPr="002B722B">
        <w:t xml:space="preserve"> between </w:t>
      </w:r>
      <w:r w:rsidR="0044538D">
        <w:t>ILCs</w:t>
      </w:r>
      <w:r w:rsidRPr="002B722B">
        <w:t xml:space="preserve">.  It could retain Alt 3 without any of the sentiments being conversed in Alt 1 and </w:t>
      </w:r>
      <w:r w:rsidR="0044538D">
        <w:t xml:space="preserve">Alt </w:t>
      </w:r>
      <w:r w:rsidRPr="002B722B">
        <w:t xml:space="preserve">2.  </w:t>
      </w:r>
    </w:p>
    <w:p w14:paraId="14FCED5E" w14:textId="77777777" w:rsidR="00D73CA7" w:rsidRPr="002B722B" w:rsidRDefault="00D73CA7" w:rsidP="00500199"/>
    <w:p w14:paraId="462AE58C" w14:textId="4394463C" w:rsidR="003F3B60" w:rsidRPr="003F3B60" w:rsidRDefault="00D73CA7" w:rsidP="002B722B">
      <w:pPr>
        <w:pStyle w:val="ListParagraph"/>
        <w:numPr>
          <w:ilvl w:val="0"/>
          <w:numId w:val="4"/>
        </w:numPr>
        <w:ind w:left="0" w:firstLine="0"/>
      </w:pPr>
      <w:r w:rsidRPr="002B722B">
        <w:t>The representative of the Tulalip Tribes preferred Alt 1.  The issue of “develop” was open depending on the discussions on beneficiaries.  He shared the concerns of the Delegation of Australia of having an open-ended, ill-defined group of beneficiaries.  There were arguments on both ends:</w:t>
      </w:r>
      <w:r w:rsidR="001C0C6A">
        <w:t xml:space="preserve"> </w:t>
      </w:r>
      <w:r w:rsidRPr="002B722B">
        <w:t xml:space="preserve"> it could be beneficial in some cases and in others it could be threatening.  One threat was the volume of TCEs at stake.  He asked what volume would occupy the TCEs of just IPLCs in the IP system.  It would probably not be all that great.  But once it would be up to the State to define</w:t>
      </w:r>
      <w:r w:rsidR="001C0C6A">
        <w:t xml:space="preserve"> beneficiaries</w:t>
      </w:r>
      <w:r w:rsidRPr="002B722B">
        <w:t xml:space="preserve">, that volume could become very large and could create some very big problems for the IP system. </w:t>
      </w:r>
      <w:r w:rsidR="001C0C6A">
        <w:t xml:space="preserve"> </w:t>
      </w:r>
      <w:r w:rsidRPr="002B722B">
        <w:t>He was concerned that</w:t>
      </w:r>
      <w:r w:rsidR="008F7588">
        <w:t>,</w:t>
      </w:r>
      <w:r w:rsidRPr="002B722B">
        <w:t xml:space="preserve"> if there w</w:t>
      </w:r>
      <w:r w:rsidR="001C0C6A">
        <w:t xml:space="preserve">ere others that were potential </w:t>
      </w:r>
      <w:r w:rsidR="008F7588">
        <w:t>“</w:t>
      </w:r>
      <w:r w:rsidR="001C0C6A">
        <w:t>beneficiarie</w:t>
      </w:r>
      <w:r w:rsidRPr="002B722B">
        <w:t>s</w:t>
      </w:r>
      <w:r w:rsidR="008F7588">
        <w:t>”</w:t>
      </w:r>
      <w:r w:rsidRPr="002B722B">
        <w:t xml:space="preserve"> but who could n</w:t>
      </w:r>
      <w:r w:rsidR="001C0C6A">
        <w:t>ot really be associated with a</w:t>
      </w:r>
      <w:r w:rsidR="008F7588">
        <w:t xml:space="preserve"> TCE but were claiming the</w:t>
      </w:r>
      <w:r w:rsidRPr="002B722B">
        <w:t xml:space="preserve"> TCE that was held by indigenous peoples (and that had happened because of the historical movement of TCEs)</w:t>
      </w:r>
      <w:r w:rsidR="008F7588">
        <w:t>,</w:t>
      </w:r>
      <w:r w:rsidRPr="002B722B">
        <w:t xml:space="preserve"> that could set up a conflict between the different claimants. </w:t>
      </w:r>
      <w:r w:rsidR="008F7588">
        <w:t xml:space="preserve"> </w:t>
      </w:r>
      <w:r w:rsidRPr="002B722B">
        <w:t xml:space="preserve">He had </w:t>
      </w:r>
      <w:r w:rsidRPr="002B722B">
        <w:lastRenderedPageBreak/>
        <w:t xml:space="preserve">outstanding concerns over those countries that did have IPLCs who were holders of TCEs that were not being recognized.  He was happy to discuss that.  He did recognize the problem that having an open-ended category was trying to solve, but he hoped that those words might help others understand his concerns.    </w:t>
      </w:r>
    </w:p>
    <w:p w14:paraId="76B500C0" w14:textId="77777777" w:rsidR="003F3B60" w:rsidRPr="003F3B60" w:rsidRDefault="003F3B60" w:rsidP="00500199"/>
    <w:p w14:paraId="18EABE3D" w14:textId="401C2196" w:rsidR="00D36434" w:rsidRPr="00D36434" w:rsidRDefault="003F3B60" w:rsidP="002B722B">
      <w:pPr>
        <w:pStyle w:val="ListParagraph"/>
        <w:numPr>
          <w:ilvl w:val="0"/>
          <w:numId w:val="4"/>
        </w:numPr>
        <w:ind w:left="0" w:firstLine="0"/>
      </w:pPr>
      <w:r w:rsidRPr="002B722B">
        <w:t xml:space="preserve">The Delegation of Mexico supported Alt 3, which had merit given that not only did it recognize indigenous peoples as the main beneficiaries, it also opened space to include local communities and even other beneficiaries that might come under national legislation.  It appealed to delegations </w:t>
      </w:r>
      <w:proofErr w:type="gramStart"/>
      <w:r w:rsidRPr="002B722B">
        <w:t>who</w:t>
      </w:r>
      <w:proofErr w:type="gramEnd"/>
      <w:r w:rsidRPr="002B722B">
        <w:t xml:space="preserve"> had other types of beneficiaries to consider the flexibility that the option would provide in implementing an instrument trying to br</w:t>
      </w:r>
      <w:r w:rsidR="009D2D07">
        <w:t xml:space="preserve">ing together different systems and </w:t>
      </w:r>
      <w:r w:rsidRPr="002B722B">
        <w:t xml:space="preserve">different opinions. </w:t>
      </w:r>
      <w:r w:rsidR="009D2D07">
        <w:t xml:space="preserve"> Alt 3 was inclusive and</w:t>
      </w:r>
      <w:r w:rsidRPr="002B722B">
        <w:t xml:space="preserve"> provided the necessary space and flexibility that most delegations needed. </w:t>
      </w:r>
    </w:p>
    <w:p w14:paraId="0090E0A3" w14:textId="77777777" w:rsidR="00D36434" w:rsidRPr="002B722B" w:rsidRDefault="00D36434" w:rsidP="00500199"/>
    <w:p w14:paraId="510682B7" w14:textId="7C9D7871" w:rsidR="00316193" w:rsidRPr="00316193" w:rsidRDefault="00D36434" w:rsidP="002B722B">
      <w:pPr>
        <w:pStyle w:val="ListParagraph"/>
        <w:numPr>
          <w:ilvl w:val="0"/>
          <w:numId w:val="4"/>
        </w:numPr>
        <w:ind w:left="0" w:firstLine="0"/>
      </w:pPr>
      <w:r w:rsidRPr="002B722B">
        <w:t xml:space="preserve">The representative of </w:t>
      </w:r>
      <w:r w:rsidR="006950C1">
        <w:t>Tupaj Amaru said that Article 5</w:t>
      </w:r>
      <w:r w:rsidRPr="002B722B">
        <w:t xml:space="preserve"> was not an article, rather a declara</w:t>
      </w:r>
      <w:r w:rsidR="006950C1">
        <w:t>tion or a</w:t>
      </w:r>
      <w:r w:rsidRPr="002B722B">
        <w:t xml:space="preserve"> statement.  It had no content. </w:t>
      </w:r>
      <w:r w:rsidR="006950C1">
        <w:t xml:space="preserve"> </w:t>
      </w:r>
      <w:r w:rsidRPr="002B722B">
        <w:t xml:space="preserve">It did not even mention indigenous peoples in the article.  Member States should specify what they were trying to protect and how far they were willing to go in that protection. </w:t>
      </w:r>
    </w:p>
    <w:p w14:paraId="01D1747C" w14:textId="77777777" w:rsidR="00316193" w:rsidRPr="002B722B" w:rsidRDefault="00316193" w:rsidP="00500199"/>
    <w:p w14:paraId="5B6E7B5B" w14:textId="784919A3" w:rsidR="003D0F2E" w:rsidRPr="003D0F2E" w:rsidRDefault="009E1A24" w:rsidP="002B722B">
      <w:pPr>
        <w:pStyle w:val="ListParagraph"/>
        <w:numPr>
          <w:ilvl w:val="0"/>
          <w:numId w:val="4"/>
        </w:numPr>
        <w:ind w:left="0" w:firstLine="0"/>
      </w:pPr>
      <w:r w:rsidRPr="002B722B">
        <w:t>The representative of CEM</w:t>
      </w:r>
      <w:r w:rsidR="00316193" w:rsidRPr="002B722B">
        <w:t xml:space="preserve">-Aymara echoed the statements made by the representatives of INBRAPI and the Tulalip Tribes on the issue of beneficiaries.  He preferred Alt 1.  He saw the logic in the IP system trying to protect creators in the case of copyright or inventors in the case of patent law.  Under that instrument, it was the indigenous peoples who needed protection.  He understood the concerns around </w:t>
      </w:r>
      <w:r w:rsidR="00250D3B">
        <w:t xml:space="preserve">some </w:t>
      </w:r>
      <w:r w:rsidR="00316193" w:rsidRPr="002B722B">
        <w:t xml:space="preserve">TCEs that were difficult to associate with some peoples.  There were various types of indigenous </w:t>
      </w:r>
      <w:proofErr w:type="gramStart"/>
      <w:r w:rsidR="00316193" w:rsidRPr="002B722B">
        <w:t>people</w:t>
      </w:r>
      <w:r w:rsidR="00250D3B">
        <w:t>s</w:t>
      </w:r>
      <w:proofErr w:type="gramEnd"/>
      <w:r w:rsidR="00250D3B">
        <w:t xml:space="preserve"> who might have </w:t>
      </w:r>
      <w:r w:rsidR="00316193" w:rsidRPr="002B722B">
        <w:t>TCE</w:t>
      </w:r>
      <w:r w:rsidR="00250D3B">
        <w:t>s</w:t>
      </w:r>
      <w:r w:rsidR="00316193" w:rsidRPr="002B722B">
        <w:t>, and there were boundaries betwee</w:t>
      </w:r>
      <w:r w:rsidR="00250D3B">
        <w:t xml:space="preserve">n them, but the rights that </w:t>
      </w:r>
      <w:r w:rsidR="00316193" w:rsidRPr="002B722B">
        <w:t>could</w:t>
      </w:r>
      <w:r w:rsidR="00250D3B">
        <w:t xml:space="preserve"> be identified</w:t>
      </w:r>
      <w:r w:rsidR="00316193" w:rsidRPr="002B722B">
        <w:t xml:space="preserve"> in those TCEs could be discussed under Article 6 when looking at the administration of rights.  That might be where the space existed to look at the role of Member States to ensure that those rights were exercised and protected, once IPLCs were identified as the beneficiaries. </w:t>
      </w:r>
      <w:r w:rsidR="00250D3B">
        <w:t xml:space="preserve"> </w:t>
      </w:r>
      <w:r w:rsidR="00316193" w:rsidRPr="002B722B">
        <w:t xml:space="preserve">He had concerns with regard to having </w:t>
      </w:r>
      <w:r w:rsidR="00250D3B">
        <w:t>“peoples”</w:t>
      </w:r>
      <w:r w:rsidR="00316193" w:rsidRPr="002B722B">
        <w:t> in brackets</w:t>
      </w:r>
      <w:r w:rsidR="00250D3B">
        <w:t xml:space="preserve"> in Alt 1.  The term “indigenous peoples” </w:t>
      </w:r>
      <w:r w:rsidR="00316193" w:rsidRPr="002B722B">
        <w:t xml:space="preserve">was already recognized </w:t>
      </w:r>
      <w:r w:rsidR="00250D3B">
        <w:t>under international human right</w:t>
      </w:r>
      <w:r w:rsidR="00316193" w:rsidRPr="002B722B">
        <w:t xml:space="preserve"> law. </w:t>
      </w:r>
      <w:r w:rsidR="00250D3B">
        <w:t xml:space="preserve"> </w:t>
      </w:r>
      <w:r w:rsidR="002C4DAB">
        <w:t xml:space="preserve">The term “peoples” </w:t>
      </w:r>
      <w:r w:rsidR="00316193" w:rsidRPr="002B722B">
        <w:t xml:space="preserve">showed the nature and the quality </w:t>
      </w:r>
      <w:r w:rsidR="0080746C">
        <w:t>of which they were a part.  Indigenous peoples had their territory and</w:t>
      </w:r>
      <w:r w:rsidR="00316193" w:rsidRPr="002B722B">
        <w:t xml:space="preserve"> their own laws.  All of that covered their right to self-determination, and it certainl</w:t>
      </w:r>
      <w:r w:rsidR="0080746C">
        <w:t>y did fit better with the term “</w:t>
      </w:r>
      <w:r w:rsidR="00316193" w:rsidRPr="002B722B">
        <w:t>peop</w:t>
      </w:r>
      <w:r w:rsidR="0080746C">
        <w:t>les”.</w:t>
      </w:r>
    </w:p>
    <w:p w14:paraId="387F48C0" w14:textId="77777777" w:rsidR="003D0F2E" w:rsidRPr="003D0F2E" w:rsidRDefault="003D0F2E" w:rsidP="00500199"/>
    <w:p w14:paraId="0616AD71" w14:textId="77777777" w:rsidR="003D0F2E" w:rsidRPr="003D0F2E" w:rsidRDefault="003D0F2E" w:rsidP="002B722B">
      <w:pPr>
        <w:pStyle w:val="ListParagraph"/>
        <w:numPr>
          <w:ilvl w:val="0"/>
          <w:numId w:val="4"/>
        </w:numPr>
        <w:ind w:left="0" w:firstLine="0"/>
      </w:pPr>
      <w:r w:rsidRPr="002B722B">
        <w:t xml:space="preserve">The Delegation of Colombia supported Alt 3, which broadly included IPLCs directly and also added the opportunity for all Member States to include other beneficiaries under their national legislation.  </w:t>
      </w:r>
    </w:p>
    <w:p w14:paraId="2F088AAA" w14:textId="77777777" w:rsidR="003D0F2E" w:rsidRPr="002B722B" w:rsidRDefault="003D0F2E" w:rsidP="00500199"/>
    <w:p w14:paraId="75BC6197" w14:textId="42D3398E" w:rsidR="00E52912" w:rsidRPr="00E52912" w:rsidRDefault="003D0F2E" w:rsidP="002B722B">
      <w:pPr>
        <w:pStyle w:val="ListParagraph"/>
        <w:numPr>
          <w:ilvl w:val="0"/>
          <w:numId w:val="4"/>
        </w:numPr>
        <w:ind w:left="0" w:firstLine="0"/>
      </w:pPr>
      <w:r w:rsidRPr="00391C71">
        <w:t xml:space="preserve">The Chair </w:t>
      </w:r>
      <w:r w:rsidR="005B3244" w:rsidRPr="00391C71">
        <w:t>introduced the issue o</w:t>
      </w:r>
      <w:r w:rsidR="00CD7C27">
        <w:t>f</w:t>
      </w:r>
      <w:r w:rsidR="005B3244" w:rsidRPr="00391C71">
        <w:t xml:space="preserve"> scope of p</w:t>
      </w:r>
      <w:r w:rsidR="00F54AAD" w:rsidRPr="00391C71">
        <w:t xml:space="preserve">rotection. </w:t>
      </w:r>
      <w:r w:rsidR="00391C71" w:rsidRPr="00391C71">
        <w:t xml:space="preserve"> </w:t>
      </w:r>
      <w:r w:rsidRPr="00391C71">
        <w:t>There were quite a number of alternatives within that article.  The aim was to try and create clarity within the different positions and approaches.  There was the tiered approach, which proposed differentiated protection.  That suggested that economic rights could be appropriate for some sort of TCEs whereas moral rights-based models could, for example, be appropriate for TCEs</w:t>
      </w:r>
      <w:r w:rsidRPr="002B722B">
        <w:t xml:space="preserve"> that were publicly available and widely known but still attributed specifically to IPLCs. </w:t>
      </w:r>
      <w:r w:rsidR="00391C71">
        <w:t xml:space="preserve"> </w:t>
      </w:r>
      <w:r w:rsidRPr="002B722B">
        <w:t xml:space="preserve">TCEs were tiered according to their quality, level of control, and the degree of diffusion of the TCEs.  The IGC should carefully consider what criteria were appropriate and should be used in order to determine the tiers.  In doing so, consideration should be given to the practicality and legal implication of the proposed tiers.  </w:t>
      </w:r>
      <w:r w:rsidR="00391C71">
        <w:t>T</w:t>
      </w:r>
      <w:r w:rsidRPr="002B722B">
        <w:t xml:space="preserve">he criteria that might be relevant in the TK context might not necessarily apply in the TCE context.  Another approach gave States maximum flexibility to determine the scope of protection.  Alt 4, Option 2, paragraph 3, effectively constituted an exception, and he invited proponents to move it to Article 7.  He opened the floor for </w:t>
      </w:r>
      <w:r w:rsidR="00391C71">
        <w:t>comments</w:t>
      </w:r>
      <w:r w:rsidRPr="002B722B">
        <w:t xml:space="preserve">. </w:t>
      </w:r>
    </w:p>
    <w:p w14:paraId="56F8C2C8" w14:textId="77777777" w:rsidR="00E52912" w:rsidRPr="00E52912" w:rsidRDefault="00E52912" w:rsidP="00500199"/>
    <w:p w14:paraId="20556646" w14:textId="3103121D" w:rsidR="00E52912" w:rsidRPr="00E52912" w:rsidRDefault="00E52912" w:rsidP="002B722B">
      <w:pPr>
        <w:pStyle w:val="ListParagraph"/>
        <w:numPr>
          <w:ilvl w:val="0"/>
          <w:numId w:val="4"/>
        </w:numPr>
        <w:ind w:left="0" w:firstLine="0"/>
      </w:pPr>
      <w:r w:rsidRPr="002B722B">
        <w:t>The representative of Tupaj Amaru could not accept Article 5</w:t>
      </w:r>
      <w:r w:rsidR="006B08AA">
        <w:t xml:space="preserve"> because it </w:t>
      </w:r>
      <w:r w:rsidRPr="002B722B">
        <w:t xml:space="preserve">was not a provision.  He </w:t>
      </w:r>
      <w:r w:rsidR="006B08AA">
        <w:t>wondered</w:t>
      </w:r>
      <w:r w:rsidRPr="002B722B">
        <w:t xml:space="preserve"> how the judges could understand what it was referring to.  He had a proposal to submit:</w:t>
      </w:r>
      <w:r w:rsidR="006B08AA">
        <w:t xml:space="preserve"> </w:t>
      </w:r>
      <w:r w:rsidRPr="002B722B">
        <w:t xml:space="preserve"> “For this instrument, contracting parties would recognize the exclusive rights of beneficiaries and rights holders of TK in conformity with Article 3</w:t>
      </w:r>
      <w:r w:rsidR="006B08AA">
        <w:t xml:space="preserve">: </w:t>
      </w:r>
      <w:r w:rsidRPr="002B722B">
        <w:t xml:space="preserve"> (a) to cont</w:t>
      </w:r>
      <w:r w:rsidR="006B08AA">
        <w:t xml:space="preserve">rol, </w:t>
      </w:r>
      <w:r w:rsidR="006B08AA">
        <w:lastRenderedPageBreak/>
        <w:t>preserve, develop, exploit</w:t>
      </w:r>
      <w:r w:rsidRPr="002B722B">
        <w:t xml:space="preserve"> and exercise their TK and their TCEs; </w:t>
      </w:r>
      <w:r w:rsidR="006B08AA">
        <w:t xml:space="preserve"> </w:t>
      </w:r>
      <w:r w:rsidRPr="002B722B">
        <w:t>(b) to authorize the utilization with prior informed content of the ben</w:t>
      </w:r>
      <w:r w:rsidR="00A85D9B">
        <w:t>eficiaries, or deny access, use</w:t>
      </w:r>
      <w:r w:rsidRPr="002B722B">
        <w:t xml:space="preserve"> and abuse of their TK; </w:t>
      </w:r>
      <w:r w:rsidR="00A85D9B">
        <w:t xml:space="preserve"> (c)</w:t>
      </w:r>
      <w:r w:rsidRPr="002B722B">
        <w:t xml:space="preserve"> to fair and equitable </w:t>
      </w:r>
      <w:r w:rsidR="00A85D9B">
        <w:t>share</w:t>
      </w:r>
      <w:r w:rsidRPr="002B722B">
        <w:t xml:space="preserve"> the benefits derived from the use of that TK, as laid out in mutually agreed terms; </w:t>
      </w:r>
      <w:r w:rsidR="00A85D9B">
        <w:t xml:space="preserve"> </w:t>
      </w:r>
      <w:r w:rsidRPr="002B722B">
        <w:t xml:space="preserve">(d) </w:t>
      </w:r>
      <w:r w:rsidR="00A85D9B">
        <w:t xml:space="preserve">to </w:t>
      </w:r>
      <w:r w:rsidRPr="002B722B">
        <w:t>prohibit misappropriation and misuse of all types of fraudulent appropriation or</w:t>
      </w:r>
      <w:r w:rsidR="00A85D9B">
        <w:t xml:space="preserve"> misappropriation, exploitation</w:t>
      </w:r>
      <w:r w:rsidRPr="002B722B">
        <w:t xml:space="preserve"> or misuse of their TK without their prior informed consent and in violation of their customary laws.</w:t>
      </w:r>
      <w:r w:rsidR="00A85D9B">
        <w:t>”</w:t>
      </w:r>
    </w:p>
    <w:p w14:paraId="07414953" w14:textId="77777777" w:rsidR="00E52912" w:rsidRPr="002B722B" w:rsidRDefault="00E52912" w:rsidP="00500199"/>
    <w:p w14:paraId="6EA6A9F9" w14:textId="0E811367" w:rsidR="00BB37E9" w:rsidRPr="00BB37E9" w:rsidRDefault="00155025" w:rsidP="002B722B">
      <w:pPr>
        <w:pStyle w:val="ListParagraph"/>
        <w:numPr>
          <w:ilvl w:val="0"/>
          <w:numId w:val="4"/>
        </w:numPr>
        <w:ind w:left="0" w:firstLine="0"/>
      </w:pPr>
      <w:r w:rsidRPr="002B722B">
        <w:t xml:space="preserve">The Chair </w:t>
      </w:r>
      <w:r>
        <w:t>noted that there was no support from a</w:t>
      </w:r>
      <w:r w:rsidRPr="002B722B">
        <w:t xml:space="preserve"> Member State </w:t>
      </w:r>
      <w:r>
        <w:t>for the</w:t>
      </w:r>
      <w:r w:rsidRPr="002B722B">
        <w:t xml:space="preserve"> proposal</w:t>
      </w:r>
      <w:r>
        <w:t xml:space="preserve"> made by the representative of Tupaj Amaru</w:t>
      </w:r>
      <w:r w:rsidRPr="002B722B">
        <w:t>.</w:t>
      </w:r>
    </w:p>
    <w:p w14:paraId="0AD3B7D6" w14:textId="77777777" w:rsidR="00BB37E9" w:rsidRPr="002B722B" w:rsidRDefault="00BB37E9" w:rsidP="00500199"/>
    <w:p w14:paraId="77404250" w14:textId="67184E13" w:rsidR="005058D7" w:rsidRPr="005058D7" w:rsidRDefault="00BB37E9" w:rsidP="002B722B">
      <w:pPr>
        <w:pStyle w:val="ListParagraph"/>
        <w:numPr>
          <w:ilvl w:val="0"/>
          <w:numId w:val="4"/>
        </w:numPr>
        <w:ind w:left="0" w:firstLine="0"/>
      </w:pPr>
      <w:r w:rsidRPr="002B722B">
        <w:t xml:space="preserve">The representative of the Tulalip Tribes, speaking on behalf of the Indigenous Caucus, said </w:t>
      </w:r>
      <w:r w:rsidR="00015B2D">
        <w:t xml:space="preserve">that </w:t>
      </w:r>
      <w:r w:rsidRPr="002B722B">
        <w:t>he remained open to the tiered approach, but modifications were necessary to ensure that it would not diminish the rights associated with widespread TCEs.  It would have to take account of the spiritual nature of those expressions, cultural laws, human rights, other rights, and the intentions and aspirations of indigenous peoples who were the o</w:t>
      </w:r>
      <w:r w:rsidR="00015B2D">
        <w:t>wners of such expressions.  The fact that</w:t>
      </w:r>
      <w:r w:rsidRPr="002B722B">
        <w:t xml:space="preserve"> a TCE was widespread did not diminish those characteristics.  All the provisions of the instrument had to be subject to the principle of non-derogation. </w:t>
      </w:r>
      <w:r w:rsidR="00015B2D">
        <w:t xml:space="preserve"> </w:t>
      </w:r>
      <w:r w:rsidRPr="002B722B">
        <w:t>States should accept the moral interests and rights and human rights and obligations of indigenous peoples.  Those were expressed in</w:t>
      </w:r>
      <w:r w:rsidR="00015B2D">
        <w:t xml:space="preserve"> </w:t>
      </w:r>
      <w:r w:rsidRPr="002B722B">
        <w:t>Art</w:t>
      </w:r>
      <w:r w:rsidR="00015B2D">
        <w:t>icles 3, 11, 13, 20, 25, 28, 31</w:t>
      </w:r>
      <w:r w:rsidRPr="002B722B">
        <w:t xml:space="preserve"> and 45</w:t>
      </w:r>
      <w:r w:rsidR="00015B2D" w:rsidRPr="00015B2D">
        <w:t xml:space="preserve"> </w:t>
      </w:r>
      <w:r w:rsidR="00015B2D" w:rsidRPr="002B722B">
        <w:t>of UNDRIP</w:t>
      </w:r>
      <w:r w:rsidRPr="002B722B">
        <w:t>, as well as other international standards.  States must protect the rights of indigenous peoples to define their TCEs and the forms of protections that applied.  He was open to discussing the tiered approach, but it could only go forward if pr</w:t>
      </w:r>
      <w:r w:rsidR="00015B2D">
        <w:t>otections of indigenous peoples’</w:t>
      </w:r>
      <w:r w:rsidRPr="002B722B">
        <w:t xml:space="preserve"> rights were ensured in such an approach.    </w:t>
      </w:r>
    </w:p>
    <w:p w14:paraId="773CF264" w14:textId="77777777" w:rsidR="005058D7" w:rsidRPr="005058D7" w:rsidRDefault="005058D7" w:rsidP="00500199"/>
    <w:p w14:paraId="782BE5EE" w14:textId="124E37A8" w:rsidR="00A669D5" w:rsidRPr="00A669D5" w:rsidRDefault="005058D7" w:rsidP="002B722B">
      <w:pPr>
        <w:pStyle w:val="ListParagraph"/>
        <w:numPr>
          <w:ilvl w:val="0"/>
          <w:numId w:val="4"/>
        </w:numPr>
        <w:ind w:left="0" w:firstLine="0"/>
      </w:pPr>
      <w:r w:rsidRPr="002B722B">
        <w:t>The Delegation of Indonesia, speaking on behalf of the LMCs, agreed with the Chair’s remarks regarding the tiered approach and the different nature of TK and TCEs.  It had invited the IGC to take a practical view of the rights as expressed by the character of the TCE in question and the character of their use, where different kinds or levels of rights or measures would be available to right holders depending on the nature and characteristic of the TCEs.  As to the level of rights by the character of the TCE, core elements</w:t>
      </w:r>
      <w:r w:rsidR="00015B2D" w:rsidRPr="00015B2D">
        <w:t xml:space="preserve"> </w:t>
      </w:r>
      <w:r w:rsidR="00015B2D" w:rsidRPr="002B722B">
        <w:t>would</w:t>
      </w:r>
      <w:r w:rsidR="00015B2D">
        <w:t xml:space="preserve"> be</w:t>
      </w:r>
      <w:r w:rsidR="00015B2D" w:rsidRPr="002B722B">
        <w:t xml:space="preserve"> provide</w:t>
      </w:r>
      <w:r w:rsidR="00015B2D">
        <w:t>d</w:t>
      </w:r>
      <w:r w:rsidRPr="002B722B">
        <w:t xml:space="preserve">, namely the subject matter of protection, beneficiaries, scope of protection, and exceptions and limitations.  Taking into account the different nature of TK and TCEs, at IGC 33 it had proposed language that was reflected in Articles 2 and 5, and it had supported Alt 2 while also considering the language in Alt 3.  It wanted to be more constructive and to have a more practical tiered approach.  It could support Alt 3. </w:t>
      </w:r>
    </w:p>
    <w:p w14:paraId="4720C230" w14:textId="77777777" w:rsidR="00A669D5" w:rsidRPr="002B722B" w:rsidRDefault="00A669D5" w:rsidP="00500199"/>
    <w:p w14:paraId="4EC6867A" w14:textId="64448DEC" w:rsidR="00A669D5" w:rsidRPr="009901A1" w:rsidRDefault="00A669D5" w:rsidP="002B722B">
      <w:pPr>
        <w:pStyle w:val="ListParagraph"/>
        <w:numPr>
          <w:ilvl w:val="0"/>
          <w:numId w:val="4"/>
        </w:numPr>
        <w:ind w:left="0" w:firstLine="0"/>
      </w:pPr>
      <w:r w:rsidRPr="009901A1">
        <w:t>The Delegation of Senegal, speaking on behalf of the Afr</w:t>
      </w:r>
      <w:r w:rsidR="009901A1" w:rsidRPr="009901A1">
        <w:t>ican Group, said that at IGC 33</w:t>
      </w:r>
      <w:r w:rsidRPr="009901A1">
        <w:t xml:space="preserve"> it had expressed a preference for Alt 2.  At the same time, it had indicated that Alt 3 deserved deeper consideration and </w:t>
      </w:r>
      <w:r w:rsidR="009901A1" w:rsidRPr="009901A1">
        <w:t>had</w:t>
      </w:r>
      <w:r w:rsidRPr="009901A1">
        <w:t xml:space="preserve"> some interest.  It changed its preference to Alt 3.  It </w:t>
      </w:r>
      <w:r w:rsidR="009901A1" w:rsidRPr="009901A1">
        <w:t>requested</w:t>
      </w:r>
      <w:r w:rsidRPr="009901A1">
        <w:t xml:space="preserve"> to go over the different alternatives to see which ones were no longer supported by States in order to eliminate some of them to simplify the text.  </w:t>
      </w:r>
    </w:p>
    <w:p w14:paraId="3121C466" w14:textId="77777777" w:rsidR="00A669D5" w:rsidRPr="002B722B" w:rsidRDefault="00A669D5" w:rsidP="00500199"/>
    <w:p w14:paraId="77783ADE" w14:textId="2313277B" w:rsidR="00A669D5" w:rsidRPr="00A669D5" w:rsidRDefault="00A669D5" w:rsidP="002B722B">
      <w:pPr>
        <w:pStyle w:val="ListParagraph"/>
        <w:numPr>
          <w:ilvl w:val="0"/>
          <w:numId w:val="4"/>
        </w:numPr>
        <w:ind w:left="0" w:firstLine="0"/>
      </w:pPr>
      <w:r w:rsidRPr="002B722B">
        <w:t xml:space="preserve">The Delegation of the Islamic Republic of Iran associated itself with the statement </w:t>
      </w:r>
      <w:r w:rsidR="009901A1">
        <w:t>made</w:t>
      </w:r>
      <w:r w:rsidRPr="002B722B">
        <w:t xml:space="preserve"> by the Delegation of Indonesia</w:t>
      </w:r>
      <w:r w:rsidR="009901A1">
        <w:t xml:space="preserve">, on behalf of the LMCs.  It </w:t>
      </w:r>
      <w:r w:rsidRPr="002B722B">
        <w:t xml:space="preserve">preferred Alt 3, which addressed the </w:t>
      </w:r>
      <w:r w:rsidR="009901A1">
        <w:t>economic and moral rights of</w:t>
      </w:r>
      <w:r w:rsidRPr="002B722B">
        <w:t xml:space="preserve"> beneficiaries and also could be considered as a middle way and landing zone which captured the concerns of Member States.  Under </w:t>
      </w:r>
      <w:r w:rsidR="009901A1">
        <w:t>Alt 3</w:t>
      </w:r>
      <w:r w:rsidRPr="002B722B">
        <w:t>, policy space had been given to Member States.  Alt 3 was the most efficient way forward</w:t>
      </w:r>
      <w:r w:rsidR="009901A1">
        <w:t xml:space="preserve"> to bridge the gaps between </w:t>
      </w:r>
      <w:r w:rsidRPr="002B722B">
        <w:t xml:space="preserve">Member States.    </w:t>
      </w:r>
    </w:p>
    <w:p w14:paraId="5A77513B" w14:textId="77777777" w:rsidR="00A669D5" w:rsidRPr="002B722B" w:rsidRDefault="00A669D5" w:rsidP="00500199"/>
    <w:p w14:paraId="2E742491" w14:textId="77777777" w:rsidR="008C5767" w:rsidRPr="008C5767" w:rsidRDefault="00A669D5" w:rsidP="002B722B">
      <w:pPr>
        <w:pStyle w:val="ListParagraph"/>
        <w:numPr>
          <w:ilvl w:val="0"/>
          <w:numId w:val="4"/>
        </w:numPr>
        <w:ind w:left="0" w:firstLine="0"/>
      </w:pPr>
      <w:r w:rsidRPr="002B722B">
        <w:t xml:space="preserve">The Delegation of the EU, speaking on behalf of the EU and its Member States, recalled that the public domain should be safeguarded and that the promotion of innovation and creativity remained its essential priorities, as it fitted the prerogatives of WIPO.    </w:t>
      </w:r>
    </w:p>
    <w:p w14:paraId="38ABAA3D" w14:textId="77777777" w:rsidR="008C5767" w:rsidRPr="002B722B" w:rsidRDefault="008C5767" w:rsidP="00500199"/>
    <w:p w14:paraId="2CAEBEA7" w14:textId="51D30BE5" w:rsidR="00CD03A4" w:rsidRPr="00CD03A4" w:rsidRDefault="008C5767" w:rsidP="002B722B">
      <w:pPr>
        <w:pStyle w:val="ListParagraph"/>
        <w:numPr>
          <w:ilvl w:val="0"/>
          <w:numId w:val="4"/>
        </w:numPr>
        <w:ind w:left="0" w:firstLine="0"/>
      </w:pPr>
      <w:r w:rsidRPr="002B722B">
        <w:t xml:space="preserve">The Chair opened the discussion on exceptions and limitations.  The article contained three alternatives.  Alt 1 and </w:t>
      </w:r>
      <w:r w:rsidR="00CF59D0">
        <w:t xml:space="preserve">Alt </w:t>
      </w:r>
      <w:r w:rsidRPr="002B722B">
        <w:t xml:space="preserve">2 did not refer to the duality of general exceptions and specific </w:t>
      </w:r>
      <w:r w:rsidRPr="002B722B">
        <w:lastRenderedPageBreak/>
        <w:t xml:space="preserve">exceptions. </w:t>
      </w:r>
      <w:r w:rsidR="00CF59D0">
        <w:t xml:space="preserve"> </w:t>
      </w:r>
      <w:r w:rsidRPr="002B722B">
        <w:t xml:space="preserve">Alt 3 was divided into general and specific exceptions. </w:t>
      </w:r>
      <w:r w:rsidR="00CF59D0">
        <w:t xml:space="preserve"> </w:t>
      </w:r>
      <w:r w:rsidRPr="002B722B">
        <w:t xml:space="preserve">He opened the floor for comments.  </w:t>
      </w:r>
    </w:p>
    <w:p w14:paraId="46D4D400" w14:textId="77777777" w:rsidR="00CD03A4" w:rsidRPr="002B722B" w:rsidRDefault="00CD03A4" w:rsidP="00500199"/>
    <w:p w14:paraId="6DD5DAD7" w14:textId="66E60CEE" w:rsidR="00CD03A4" w:rsidRPr="00CD03A4" w:rsidRDefault="00CD03A4" w:rsidP="002B722B">
      <w:pPr>
        <w:pStyle w:val="ListParagraph"/>
        <w:numPr>
          <w:ilvl w:val="0"/>
          <w:numId w:val="4"/>
        </w:numPr>
        <w:ind w:left="0" w:firstLine="0"/>
      </w:pPr>
      <w:r w:rsidRPr="002B722B">
        <w:t>The Delegation of Indonesia, sp</w:t>
      </w:r>
      <w:r w:rsidR="007A00FC">
        <w:t>eaking on behalf of the Asia</w:t>
      </w:r>
      <w:r w:rsidR="007A00FC">
        <w:noBreakHyphen/>
      </w:r>
      <w:r w:rsidRPr="002B722B">
        <w:t xml:space="preserve">Pacific Group, said that it was of fundamental importance to ensure that the provision be considered in a balanced way depending on the specific situations of each Member State and the substantive interest of the rights holders.  There should be flexibility for Member States to decide on appropriate limitations and exceptions. </w:t>
      </w:r>
    </w:p>
    <w:p w14:paraId="403957F3" w14:textId="77777777" w:rsidR="00CD03A4" w:rsidRPr="002B722B" w:rsidRDefault="00CD03A4" w:rsidP="00500199"/>
    <w:p w14:paraId="72EFEA34" w14:textId="7F4721D6" w:rsidR="00CD03A4" w:rsidRPr="00CD03A4" w:rsidRDefault="00CD03A4" w:rsidP="002B722B">
      <w:pPr>
        <w:pStyle w:val="ListParagraph"/>
        <w:numPr>
          <w:ilvl w:val="0"/>
          <w:numId w:val="4"/>
        </w:numPr>
        <w:ind w:left="0" w:firstLine="0"/>
      </w:pPr>
      <w:r w:rsidRPr="002B722B">
        <w:t xml:space="preserve">The Delegation of Senegal, speaking on behalf of the African Group, preferred Alt 1, which provided three essential conditions to limit the breadth of exceptions and limitations, which still had to be the exception. </w:t>
      </w:r>
    </w:p>
    <w:p w14:paraId="78F8C06D" w14:textId="77777777" w:rsidR="00CD03A4" w:rsidRPr="002B722B" w:rsidRDefault="00CD03A4" w:rsidP="00500199"/>
    <w:p w14:paraId="79FB1965" w14:textId="618E2D4C" w:rsidR="00CD03A4" w:rsidRPr="00CD03A4" w:rsidRDefault="00CD03A4" w:rsidP="002B722B">
      <w:pPr>
        <w:pStyle w:val="ListParagraph"/>
        <w:numPr>
          <w:ilvl w:val="0"/>
          <w:numId w:val="4"/>
        </w:numPr>
        <w:ind w:left="0" w:firstLine="0"/>
      </w:pPr>
      <w:r w:rsidRPr="002B722B">
        <w:t xml:space="preserve">The Delegation of Indonesia, speaking on behalf of the LMCs, said </w:t>
      </w:r>
      <w:r w:rsidR="00E72195">
        <w:t xml:space="preserve">that </w:t>
      </w:r>
      <w:r w:rsidRPr="002B722B">
        <w:t>it had introduced Alt 1 at IGC 33.  Therefore, exceptions and limitations should not be too extensive so as not to compromise the scope of protect</w:t>
      </w:r>
      <w:r w:rsidR="00E72195">
        <w:t>ion, which in turn</w:t>
      </w:r>
      <w:r w:rsidRPr="002B722B">
        <w:t xml:space="preserve"> compromised the draft instrument. </w:t>
      </w:r>
    </w:p>
    <w:p w14:paraId="310A2503" w14:textId="77777777" w:rsidR="00CD03A4" w:rsidRPr="002B722B" w:rsidRDefault="00CD03A4" w:rsidP="00500199"/>
    <w:p w14:paraId="6D3ABE87" w14:textId="77777777" w:rsidR="0082548E" w:rsidRPr="0082548E" w:rsidRDefault="00CD03A4" w:rsidP="002B722B">
      <w:pPr>
        <w:pStyle w:val="ListParagraph"/>
        <w:numPr>
          <w:ilvl w:val="0"/>
          <w:numId w:val="4"/>
        </w:numPr>
        <w:ind w:left="0" w:firstLine="0"/>
      </w:pPr>
      <w:r w:rsidRPr="002B722B">
        <w:t xml:space="preserve">The Delegation of Egypt was in favor of Alt 1 because the text was quite traditional and provided for a three-step text, which was a well-known approach in most IP conventions as well as in WTO agreements.  That particular system would take into consideration the interests of one and all.    </w:t>
      </w:r>
    </w:p>
    <w:p w14:paraId="01AC241A" w14:textId="77777777" w:rsidR="0082548E" w:rsidRPr="002B722B" w:rsidRDefault="0082548E" w:rsidP="00500199"/>
    <w:p w14:paraId="43F1B204" w14:textId="2B52FB38" w:rsidR="00E04A46" w:rsidRPr="00D373E7" w:rsidRDefault="0082548E" w:rsidP="002B722B">
      <w:pPr>
        <w:pStyle w:val="ListParagraph"/>
        <w:numPr>
          <w:ilvl w:val="0"/>
          <w:numId w:val="4"/>
        </w:numPr>
        <w:ind w:left="0" w:firstLine="0"/>
      </w:pPr>
      <w:r w:rsidRPr="00D373E7">
        <w:t xml:space="preserve">The representative of the Tulalip Tribes said </w:t>
      </w:r>
      <w:r w:rsidR="00D373E7" w:rsidRPr="00D373E7">
        <w:t xml:space="preserve">that </w:t>
      </w:r>
      <w:r w:rsidRPr="00D373E7">
        <w:t xml:space="preserve">he could work with Alt 1, with some </w:t>
      </w:r>
      <w:r w:rsidR="00D373E7" w:rsidRPr="00D373E7">
        <w:t>text and brackets to be removed</w:t>
      </w:r>
      <w:r w:rsidRPr="00D373E7">
        <w:t xml:space="preserve"> and a few small other changes.  On Alt 3, for those members that claimed that they were not really supportive of </w:t>
      </w:r>
      <w:r w:rsidRPr="00D373E7">
        <w:rPr>
          <w:i/>
        </w:rPr>
        <w:t>sui generis</w:t>
      </w:r>
      <w:r w:rsidR="00D373E7" w:rsidRPr="00D373E7">
        <w:t xml:space="preserve"> regimes, there were</w:t>
      </w:r>
      <w:r w:rsidRPr="00D373E7">
        <w:t xml:space="preserve"> actually </w:t>
      </w:r>
      <w:proofErr w:type="gramStart"/>
      <w:r w:rsidRPr="00D373E7">
        <w:t>quite a</w:t>
      </w:r>
      <w:proofErr w:type="gramEnd"/>
      <w:r w:rsidRPr="00D373E7">
        <w:t xml:space="preserve"> large </w:t>
      </w:r>
      <w:r w:rsidRPr="00D373E7">
        <w:rPr>
          <w:i/>
        </w:rPr>
        <w:t xml:space="preserve">sui generis </w:t>
      </w:r>
      <w:r w:rsidRPr="00D373E7">
        <w:t>regime</w:t>
      </w:r>
      <w:r w:rsidR="00D373E7" w:rsidRPr="00D373E7">
        <w:t>s that were</w:t>
      </w:r>
      <w:r w:rsidRPr="00D373E7">
        <w:t xml:space="preserve"> being proposed.  What </w:t>
      </w:r>
      <w:proofErr w:type="gramStart"/>
      <w:r w:rsidRPr="00D373E7">
        <w:t>was</w:t>
      </w:r>
      <w:proofErr w:type="gramEnd"/>
      <w:r w:rsidRPr="00D373E7">
        <w:t xml:space="preserve"> stipulated in international law were those wide, broad exceptions and limitations without constraint, and they were essentially creating a designation of certain actions that would allow access to TCEs without acknowledgm</w:t>
      </w:r>
      <w:r w:rsidR="00D373E7" w:rsidRPr="00D373E7">
        <w:t>ent and without benefit-</w:t>
      </w:r>
      <w:r w:rsidRPr="00D373E7">
        <w:t>sharing.  Essentially, if those exceptions</w:t>
      </w:r>
      <w:r w:rsidR="00D373E7" w:rsidRPr="00D373E7">
        <w:t xml:space="preserve"> were adopted</w:t>
      </w:r>
      <w:r w:rsidRPr="00D373E7">
        <w:t xml:space="preserve">, it would </w:t>
      </w:r>
      <w:r w:rsidR="00D373E7" w:rsidRPr="00D373E7">
        <w:t>put</w:t>
      </w:r>
      <w:r w:rsidRPr="00D373E7">
        <w:t xml:space="preserve"> wide amounts of TCEs into the public domain, and for that reason, he rejected </w:t>
      </w:r>
      <w:r w:rsidR="00D373E7">
        <w:t>Alt 3 completely.</w:t>
      </w:r>
    </w:p>
    <w:p w14:paraId="2A47229E" w14:textId="77777777" w:rsidR="00E04A46" w:rsidRPr="002B722B" w:rsidRDefault="00E04A46" w:rsidP="00500199"/>
    <w:p w14:paraId="0607C5BE" w14:textId="72ED1B82" w:rsidR="00E04A46" w:rsidRPr="00E04A46" w:rsidRDefault="00E04A46" w:rsidP="002B722B">
      <w:pPr>
        <w:pStyle w:val="ListParagraph"/>
        <w:numPr>
          <w:ilvl w:val="0"/>
          <w:numId w:val="4"/>
        </w:numPr>
        <w:ind w:left="0" w:firstLine="0"/>
      </w:pPr>
      <w:r w:rsidRPr="002B722B">
        <w:t>The Delegation of the Islamic Republic of Iran supported Alt 1, which had been drafted according to agreed international language, as i</w:t>
      </w:r>
      <w:r w:rsidR="00D373E7">
        <w:t>llustrated in other instruments</w:t>
      </w:r>
      <w:r w:rsidRPr="002B722B">
        <w:t xml:space="preserve"> and drafted by the LMCs.    </w:t>
      </w:r>
    </w:p>
    <w:p w14:paraId="7339C24B" w14:textId="77777777" w:rsidR="00E04A46" w:rsidRPr="002B722B" w:rsidRDefault="00E04A46" w:rsidP="00500199"/>
    <w:p w14:paraId="09DFA0E6" w14:textId="6772DC25" w:rsidR="00CA7069" w:rsidRPr="00CA7069" w:rsidRDefault="00E04A46" w:rsidP="002B722B">
      <w:pPr>
        <w:pStyle w:val="ListParagraph"/>
        <w:numPr>
          <w:ilvl w:val="0"/>
          <w:numId w:val="4"/>
        </w:numPr>
        <w:ind w:left="0" w:firstLine="0"/>
      </w:pPr>
      <w:r w:rsidRPr="002B722B">
        <w:t>The Chair opened the discussion on the relationship with the public dom</w:t>
      </w:r>
      <w:r w:rsidR="00432D8A">
        <w:t xml:space="preserve">ain.  A definition of the term “public domain” </w:t>
      </w:r>
      <w:r w:rsidRPr="002B722B">
        <w:t xml:space="preserve">had been introduced in the TCE text at IGC 27.  That concept linked to the understanding of the related </w:t>
      </w:r>
      <w:r w:rsidR="00432D8A">
        <w:t>concept of “publicly available”,</w:t>
      </w:r>
      <w:r w:rsidRPr="002B722B">
        <w:t xml:space="preserve"> referred to in Article 5.  Defining the public domain was a challenging exercise with significant and wide-reaching public policy ramifications going beyond the scope of the IGC.  The IGC could reflect </w:t>
      </w:r>
      <w:r w:rsidR="00432D8A">
        <w:t xml:space="preserve">upon whether the definition of “publicly available” </w:t>
      </w:r>
      <w:r w:rsidRPr="002B722B">
        <w:t xml:space="preserve">was relevant in the TCE context.  </w:t>
      </w:r>
    </w:p>
    <w:p w14:paraId="632C4F86" w14:textId="77777777" w:rsidR="00CA7069" w:rsidRPr="002B722B" w:rsidRDefault="00CA7069" w:rsidP="00500199"/>
    <w:p w14:paraId="35F3BBD2" w14:textId="29445B2C" w:rsidR="00CA7069" w:rsidRPr="00CA7069" w:rsidRDefault="00CA7069" w:rsidP="002B722B">
      <w:pPr>
        <w:pStyle w:val="ListParagraph"/>
        <w:numPr>
          <w:ilvl w:val="0"/>
          <w:numId w:val="4"/>
        </w:numPr>
        <w:ind w:left="0" w:firstLine="0"/>
      </w:pPr>
      <w:r w:rsidRPr="002B722B">
        <w:t>The Delegation of Senegal, speaking on behalf of the African Group, said</w:t>
      </w:r>
      <w:r w:rsidR="007B1468">
        <w:t xml:space="preserve"> that</w:t>
      </w:r>
      <w:r w:rsidRPr="002B722B">
        <w:t xml:space="preserve"> th</w:t>
      </w:r>
      <w:r w:rsidR="007B1468">
        <w:t>e IGC should not try to define “public domain” for two reasons:  (1)</w:t>
      </w:r>
      <w:r w:rsidRPr="002B722B">
        <w:t xml:space="preserve"> it was a challenge that would have consequences going beyond the IGC fram</w:t>
      </w:r>
      <w:r w:rsidR="006D1907">
        <w:t>ework</w:t>
      </w:r>
      <w:proofErr w:type="gramStart"/>
      <w:r w:rsidR="006D1907">
        <w:t>;  and</w:t>
      </w:r>
      <w:proofErr w:type="gramEnd"/>
      <w:r w:rsidR="006D1907">
        <w:t xml:space="preserve"> (2) </w:t>
      </w:r>
      <w:r w:rsidRPr="002B722B">
        <w:t>there was no IP instrument</w:t>
      </w:r>
      <w:r w:rsidR="006D1907">
        <w:t xml:space="preserve"> in present nomenclature where “public domain”</w:t>
      </w:r>
      <w:r w:rsidRPr="002B722B">
        <w:t xml:space="preserve"> was defined. </w:t>
      </w:r>
    </w:p>
    <w:p w14:paraId="62792F98" w14:textId="77777777" w:rsidR="00CA7069" w:rsidRPr="002B722B" w:rsidRDefault="00CA7069" w:rsidP="00500199"/>
    <w:p w14:paraId="5E23BEEC" w14:textId="4A7BD35B" w:rsidR="00CA7069" w:rsidRPr="00CA7069" w:rsidRDefault="00CA7069" w:rsidP="002B722B">
      <w:pPr>
        <w:pStyle w:val="ListParagraph"/>
        <w:numPr>
          <w:ilvl w:val="0"/>
          <w:numId w:val="4"/>
        </w:numPr>
        <w:ind w:left="0" w:firstLine="0"/>
      </w:pPr>
      <w:r w:rsidRPr="002B722B">
        <w:t xml:space="preserve">The Delegation of Indonesia, speaking on behalf of the LMCs, said that while the concept of </w:t>
      </w:r>
      <w:r w:rsidR="006D1907">
        <w:t>“</w:t>
      </w:r>
      <w:r w:rsidRPr="002B722B">
        <w:t>public domain</w:t>
      </w:r>
      <w:r w:rsidR="006D1907">
        <w:t>”</w:t>
      </w:r>
      <w:r w:rsidRPr="002B722B">
        <w:t xml:space="preserve"> was relevant to understanding the inter</w:t>
      </w:r>
      <w:r w:rsidR="006D1907">
        <w:t>face between IP and TCEs and</w:t>
      </w:r>
      <w:r w:rsidRPr="002B722B">
        <w:t xml:space="preserve"> design</w:t>
      </w:r>
      <w:r w:rsidR="006D1907">
        <w:t>ing</w:t>
      </w:r>
      <w:r w:rsidRPr="002B722B">
        <w:t xml:space="preserve"> a balanced and effective IP-like system for the protection of TCEs, the merits of developing and including a specific definition of “public domain” within the instrument were unclear.  There was a need to safeguard the public domain, but there w</w:t>
      </w:r>
      <w:r w:rsidR="006D1907">
        <w:t xml:space="preserve">as no reason or need to define “public domain” </w:t>
      </w:r>
      <w:r w:rsidRPr="002B722B">
        <w:t>for the reasons laid out by the Delegation of Senegal</w:t>
      </w:r>
      <w:r w:rsidR="006D1907">
        <w:t>,</w:t>
      </w:r>
      <w:r w:rsidRPr="002B722B">
        <w:t xml:space="preserve"> on behalf of the African Group.  </w:t>
      </w:r>
    </w:p>
    <w:p w14:paraId="1C60425F" w14:textId="77777777" w:rsidR="00CA7069" w:rsidRPr="002B722B" w:rsidRDefault="00CA7069" w:rsidP="00500199"/>
    <w:p w14:paraId="33DEF9CC" w14:textId="1B2D2C87" w:rsidR="00970F56" w:rsidRPr="00970F56" w:rsidRDefault="00CA7069" w:rsidP="002B722B">
      <w:pPr>
        <w:pStyle w:val="ListParagraph"/>
        <w:numPr>
          <w:ilvl w:val="0"/>
          <w:numId w:val="4"/>
        </w:numPr>
        <w:ind w:left="0" w:firstLine="0"/>
      </w:pPr>
      <w:r w:rsidRPr="002B722B">
        <w:t xml:space="preserve">The representative of INBRAPI said that </w:t>
      </w:r>
      <w:r w:rsidR="00747693">
        <w:t>o</w:t>
      </w:r>
      <w:r w:rsidRPr="002B722B">
        <w:t xml:space="preserve">ne of the reasons why there was misuse, misappropriation, exploitation or illicit exploitation of TCEs was </w:t>
      </w:r>
      <w:r w:rsidR="00747693">
        <w:t>that</w:t>
      </w:r>
      <w:r w:rsidRPr="002B722B">
        <w:t xml:space="preserve"> the concept of </w:t>
      </w:r>
      <w:r w:rsidR="00747693">
        <w:t>“</w:t>
      </w:r>
      <w:r w:rsidRPr="002B722B">
        <w:t>public domain</w:t>
      </w:r>
      <w:r w:rsidR="00747693">
        <w:t>”</w:t>
      </w:r>
      <w:r w:rsidRPr="002B722B">
        <w:t xml:space="preserve"> had been wrongly applied to TCEs.  In the public domain</w:t>
      </w:r>
      <w:r w:rsidR="00747693">
        <w:t>,</w:t>
      </w:r>
      <w:r w:rsidRPr="002B722B">
        <w:t xml:space="preserve"> no right holder was identifiable, so when </w:t>
      </w:r>
      <w:r w:rsidR="00747693">
        <w:t xml:space="preserve">the concept of “public domain” </w:t>
      </w:r>
      <w:r w:rsidRPr="002B722B">
        <w:t xml:space="preserve">applied to TCEs, it was denying the rights of those who had created them.  Dealing with the public domain had to be done with many reservations.  The protection of TCEs could not be considered isolated from established rights and principles, such as FPIC and fair and equitable sharing </w:t>
      </w:r>
      <w:r w:rsidR="000D4E6C">
        <w:t>of</w:t>
      </w:r>
      <w:r w:rsidRPr="002B722B">
        <w:t xml:space="preserve"> the benefits.  When a</w:t>
      </w:r>
      <w:r w:rsidR="000D4E6C">
        <w:t>pplying the tiered approach, it</w:t>
      </w:r>
      <w:r w:rsidRPr="002B722B">
        <w:t xml:space="preserve"> had to </w:t>
      </w:r>
      <w:r w:rsidR="000D4E6C">
        <w:t xml:space="preserve">be </w:t>
      </w:r>
      <w:r w:rsidRPr="002B722B">
        <w:t>ask</w:t>
      </w:r>
      <w:r w:rsidR="000D4E6C">
        <w:t>ed</w:t>
      </w:r>
      <w:r w:rsidRPr="002B722B">
        <w:t xml:space="preserve"> whether the TCEs were publicly available, </w:t>
      </w:r>
      <w:r w:rsidR="000D4E6C">
        <w:t>whether there was no right</w:t>
      </w:r>
      <w:r w:rsidRPr="002B722B">
        <w:t xml:space="preserve"> holder, or </w:t>
      </w:r>
      <w:r w:rsidR="000D4E6C">
        <w:t>whether</w:t>
      </w:r>
      <w:r w:rsidRPr="002B722B">
        <w:t xml:space="preserve"> indigenous peoples had no control over them.  </w:t>
      </w:r>
      <w:r w:rsidR="000D4E6C">
        <w:t>The IGC</w:t>
      </w:r>
      <w:r w:rsidRPr="002B722B">
        <w:t xml:space="preserve"> could not focus on the public domain</w:t>
      </w:r>
      <w:r w:rsidR="000D4E6C">
        <w:t>, but</w:t>
      </w:r>
      <w:r w:rsidRPr="002B722B">
        <w:t xml:space="preserve"> not focus on the problems that the public domain had created for TCEs.  </w:t>
      </w:r>
    </w:p>
    <w:p w14:paraId="0C21E54C" w14:textId="77777777" w:rsidR="00970F56" w:rsidRPr="002B722B" w:rsidRDefault="00970F56" w:rsidP="00500199"/>
    <w:p w14:paraId="0B665474" w14:textId="032D3FB1" w:rsidR="00473B9B" w:rsidRPr="00473B9B" w:rsidRDefault="00970F56" w:rsidP="002B722B">
      <w:pPr>
        <w:pStyle w:val="ListParagraph"/>
        <w:numPr>
          <w:ilvl w:val="0"/>
          <w:numId w:val="4"/>
        </w:numPr>
        <w:ind w:left="0" w:firstLine="0"/>
      </w:pPr>
      <w:r w:rsidRPr="002B722B">
        <w:t>The Delegation of Ecuador sai</w:t>
      </w:r>
      <w:r w:rsidR="00B02073">
        <w:t>d that, alongside the statement made</w:t>
      </w:r>
      <w:r w:rsidRPr="002B722B">
        <w:t xml:space="preserve"> by the Delegation of Indonesia</w:t>
      </w:r>
      <w:r w:rsidR="00B02073">
        <w:t>,</w:t>
      </w:r>
      <w:r w:rsidRPr="002B722B">
        <w:t xml:space="preserve"> on behalf of the LMCs, the public domain was incompatible with TCEs.  Unlike the scientific domain, TCEs had a </w:t>
      </w:r>
      <w:r w:rsidR="00B02073">
        <w:t>link to peoples with an identity.  The identities</w:t>
      </w:r>
      <w:r w:rsidRPr="002B722B">
        <w:t xml:space="preserve"> of all those </w:t>
      </w:r>
      <w:r w:rsidR="00B02073">
        <w:t xml:space="preserve">different </w:t>
      </w:r>
      <w:r w:rsidRPr="002B722B">
        <w:t>groups had to be differentiated, and that was why TCEs were broadly dispersed throughout cultures.  It did not mean that they should be part of the public domain.  They had to be managed.  In the IP framework</w:t>
      </w:r>
      <w:r w:rsidR="00B02073">
        <w:t>,</w:t>
      </w:r>
      <w:r w:rsidRPr="002B722B">
        <w:t xml:space="preserve"> something entered the public domain once the period of </w:t>
      </w:r>
      <w:r w:rsidR="00B02073">
        <w:t>protection had lapsed.  TCEs,</w:t>
      </w:r>
      <w:r w:rsidRPr="002B722B">
        <w:t xml:space="preserve"> the collective nature of their creation and their link to the culture went beyond a time period.  It could not be linked to the public domain. </w:t>
      </w:r>
      <w:r w:rsidR="00B02073">
        <w:t xml:space="preserve"> </w:t>
      </w:r>
      <w:r w:rsidRPr="002B722B">
        <w:t xml:space="preserve">When looking at the tiered </w:t>
      </w:r>
      <w:r w:rsidR="00B02073">
        <w:t>approach, the IGC</w:t>
      </w:r>
      <w:r w:rsidRPr="002B722B">
        <w:t xml:space="preserve"> had to look at the rights of the peoples,</w:t>
      </w:r>
      <w:r w:rsidR="00B02073">
        <w:t xml:space="preserve"> and</w:t>
      </w:r>
      <w:r w:rsidRPr="002B722B">
        <w:t xml:space="preserve"> their knowledge.</w:t>
      </w:r>
      <w:r w:rsidR="00B02073">
        <w:t xml:space="preserve">  The IGC</w:t>
      </w:r>
      <w:r w:rsidRPr="002B722B">
        <w:t xml:space="preserve"> had to be very careful with the public domain. </w:t>
      </w:r>
    </w:p>
    <w:p w14:paraId="6FC29053" w14:textId="77777777" w:rsidR="00473B9B" w:rsidRPr="002B722B" w:rsidRDefault="00473B9B" w:rsidP="00500199"/>
    <w:p w14:paraId="1627A41C" w14:textId="48C9C531" w:rsidR="00473B9B" w:rsidRPr="00473B9B" w:rsidRDefault="00473B9B" w:rsidP="002B722B">
      <w:pPr>
        <w:pStyle w:val="ListParagraph"/>
        <w:numPr>
          <w:ilvl w:val="0"/>
          <w:numId w:val="4"/>
        </w:numPr>
        <w:ind w:left="0" w:firstLine="0"/>
      </w:pPr>
      <w:r w:rsidRPr="002B722B">
        <w:t>The Delegation of Brazil associated itself with the statement of the Delegation of Indonesia</w:t>
      </w:r>
      <w:r w:rsidR="00C944C4">
        <w:t>,</w:t>
      </w:r>
      <w:r w:rsidRPr="002B722B">
        <w:t xml:space="preserve"> on behalf of the LMCs</w:t>
      </w:r>
      <w:r w:rsidR="0041269F">
        <w:t>,</w:t>
      </w:r>
      <w:r w:rsidRPr="002B722B">
        <w:t xml:space="preserve"> and with the concerns raised by the representative of INBR</w:t>
      </w:r>
      <w:r w:rsidR="0041269F">
        <w:t xml:space="preserve">API.  The common definition of “public domain” </w:t>
      </w:r>
      <w:r w:rsidRPr="002B722B">
        <w:t xml:space="preserve">was not in the mandate of the IGC and would not in any way contribute to making progress in the discussion on TCEs.  </w:t>
      </w:r>
    </w:p>
    <w:p w14:paraId="09CF85A4" w14:textId="77777777" w:rsidR="00473B9B" w:rsidRPr="002B722B" w:rsidRDefault="00473B9B" w:rsidP="00500199"/>
    <w:p w14:paraId="79469248" w14:textId="4BEE3971" w:rsidR="00473B9B" w:rsidRPr="00473B9B" w:rsidRDefault="00473B9B" w:rsidP="002B722B">
      <w:pPr>
        <w:pStyle w:val="ListParagraph"/>
        <w:numPr>
          <w:ilvl w:val="0"/>
          <w:numId w:val="4"/>
        </w:numPr>
        <w:ind w:left="0" w:firstLine="0"/>
      </w:pPr>
      <w:r w:rsidRPr="002B722B">
        <w:t xml:space="preserve">The Chair </w:t>
      </w:r>
      <w:r w:rsidR="0041269F">
        <w:t>introduced the issue on</w:t>
      </w:r>
      <w:r w:rsidRPr="002B722B">
        <w:t xml:space="preserve"> the definition of “misappropriation”.  He suggested avoiding a definition, but he took onboard the comments made by </w:t>
      </w:r>
      <w:r w:rsidR="0041269F">
        <w:t>Professor</w:t>
      </w:r>
      <w:r w:rsidRPr="002B722B">
        <w:t xml:space="preserve"> James Anaya</w:t>
      </w:r>
      <w:r w:rsidR="0041269F">
        <w:t xml:space="preserve"> during the Indigenous Panel, who</w:t>
      </w:r>
      <w:r w:rsidRPr="002B722B">
        <w:t xml:space="preserve"> had put forward a very succinct defi</w:t>
      </w:r>
      <w:r w:rsidR="0041269F">
        <w:t>nition: “access without consent</w:t>
      </w:r>
      <w:r w:rsidRPr="002B722B">
        <w:t>”</w:t>
      </w:r>
      <w:r w:rsidR="0041269F">
        <w:t>,</w:t>
      </w:r>
      <w:r w:rsidRPr="002B722B">
        <w:t xml:space="preserve"> which could be turned into </w:t>
      </w:r>
      <w:r w:rsidR="0041269F">
        <w:t>“access and use without consent</w:t>
      </w:r>
      <w:r w:rsidRPr="002B722B">
        <w:t>”</w:t>
      </w:r>
      <w:r w:rsidR="0041269F">
        <w:t>.</w:t>
      </w:r>
      <w:r w:rsidRPr="002B722B">
        <w:t xml:space="preserve">  That was probably worth discussing in the </w:t>
      </w:r>
      <w:proofErr w:type="spellStart"/>
      <w:r w:rsidRPr="002B722B">
        <w:t>informals</w:t>
      </w:r>
      <w:proofErr w:type="spellEnd"/>
      <w:r w:rsidRPr="002B722B">
        <w:t>.  He said</w:t>
      </w:r>
      <w:r w:rsidR="0041269F">
        <w:t xml:space="preserve"> that</w:t>
      </w:r>
      <w:r w:rsidRPr="002B722B">
        <w:t xml:space="preserve"> the IGC had completed the subs</w:t>
      </w:r>
      <w:r w:rsidR="0041269F">
        <w:t>tantive core issues in plenary.</w:t>
      </w:r>
    </w:p>
    <w:p w14:paraId="2366CCB8" w14:textId="08D20554" w:rsidR="00666018" w:rsidRPr="002B722B" w:rsidRDefault="00666018" w:rsidP="00500199"/>
    <w:p w14:paraId="39C86C5C" w14:textId="2E393FBB" w:rsidR="00070998" w:rsidRPr="0041269F" w:rsidRDefault="00155025" w:rsidP="002B722B">
      <w:pPr>
        <w:pStyle w:val="ListParagraph"/>
        <w:numPr>
          <w:ilvl w:val="0"/>
          <w:numId w:val="4"/>
        </w:numPr>
        <w:ind w:left="0" w:firstLine="0"/>
      </w:pPr>
      <w:r w:rsidRPr="0041269F">
        <w:t xml:space="preserve">[Note from the Secretariat:  The following took place on the next day, June 13, 2017.]  </w:t>
      </w:r>
      <w:r w:rsidR="00666018" w:rsidRPr="0041269F">
        <w:t>The Chair said</w:t>
      </w:r>
      <w:r w:rsidR="000A5D72">
        <w:t xml:space="preserve"> that</w:t>
      </w:r>
      <w:r w:rsidR="00666018" w:rsidRPr="0041269F">
        <w:t xml:space="preserve"> it was important to start </w:t>
      </w:r>
      <w:r w:rsidR="000A5D72">
        <w:t>to narrow</w:t>
      </w:r>
      <w:r w:rsidR="00666018" w:rsidRPr="0041269F">
        <w:t xml:space="preserve"> po</w:t>
      </w:r>
      <w:r w:rsidR="000A5D72">
        <w:t>sitions rather than just state</w:t>
      </w:r>
      <w:r w:rsidR="00666018" w:rsidRPr="0041269F">
        <w:t xml:space="preserve"> positions in relation to preferences. </w:t>
      </w:r>
      <w:r w:rsidR="000A5D72">
        <w:t xml:space="preserve"> </w:t>
      </w:r>
      <w:r w:rsidR="00666018" w:rsidRPr="0041269F">
        <w:t xml:space="preserve">He </w:t>
      </w:r>
      <w:r w:rsidR="000A5D72">
        <w:t xml:space="preserve">noted that the facilitators had reflected on the discussion that had taken place the day before and would present some initial proposals and thoughts based on those discussions.  He emphasized that the material presented was simply work-in-progress, and it had no status and was not a revision.  The Chair invited the facilitators to present their work. </w:t>
      </w:r>
    </w:p>
    <w:p w14:paraId="58F1E421" w14:textId="77777777" w:rsidR="00070998" w:rsidRPr="00070998" w:rsidRDefault="00070998" w:rsidP="00500199"/>
    <w:p w14:paraId="52C9B69B" w14:textId="4997798B" w:rsidR="00A65622" w:rsidRPr="00A65622" w:rsidRDefault="000A5D72" w:rsidP="002B722B">
      <w:pPr>
        <w:pStyle w:val="ListParagraph"/>
        <w:numPr>
          <w:ilvl w:val="0"/>
          <w:numId w:val="4"/>
        </w:numPr>
        <w:ind w:left="0" w:firstLine="0"/>
      </w:pPr>
      <w:r>
        <w:t xml:space="preserve">Ms. </w:t>
      </w:r>
      <w:r w:rsidR="00070998" w:rsidRPr="002B722B">
        <w:t>Bagley</w:t>
      </w:r>
      <w:r>
        <w:t>, speaking on behalf of the facilitators,</w:t>
      </w:r>
      <w:r w:rsidR="00070998" w:rsidRPr="002B722B">
        <w:t xml:space="preserve"> said they had made progress on the drafts and had captured Member State</w:t>
      </w:r>
      <w:r>
        <w:t>s’</w:t>
      </w:r>
      <w:r w:rsidR="00070998" w:rsidRPr="002B722B">
        <w:t xml:space="preserve"> positions to simplify and move forward on the text. </w:t>
      </w:r>
      <w:r>
        <w:t xml:space="preserve"> </w:t>
      </w:r>
      <w:r w:rsidR="00070998" w:rsidRPr="002B722B">
        <w:t xml:space="preserve">There were only two suggested changes.  The first related to Article 4 </w:t>
      </w:r>
      <w:r>
        <w:t>on b</w:t>
      </w:r>
      <w:r w:rsidR="00070998" w:rsidRPr="002B722B">
        <w:t>eneficiaries.  The Delegation of Australia had suggested modifying Alt 3 with language from Alt 1 to better address concerns of over-bread</w:t>
      </w:r>
      <w:r>
        <w:t>th in the phrase “beneficiaries</w:t>
      </w:r>
      <w:r w:rsidR="00070998" w:rsidRPr="002B722B">
        <w:t>”</w:t>
      </w:r>
      <w:r>
        <w:t>,</w:t>
      </w:r>
      <w:r w:rsidR="00070998" w:rsidRPr="002B722B">
        <w:t xml:space="preserve"> so new Alt 4 </w:t>
      </w:r>
      <w:r>
        <w:t>reflected the f</w:t>
      </w:r>
      <w:r w:rsidR="00070998" w:rsidRPr="002B722B">
        <w:t xml:space="preserve">acilitators’ attempt to capture that suggestion.  It read: </w:t>
      </w:r>
      <w:r>
        <w:t xml:space="preserve"> </w:t>
      </w:r>
      <w:r w:rsidR="00070998" w:rsidRPr="002B722B">
        <w:t xml:space="preserve">“The beneficiaries of this instrument are indigenous peoples, local communities, and other beneficiaries, who hold, express, create, maintain, use, and develop traditional cultural expressions, as may be determined under national law.”  That captured elements of Alt 1 and inserted them into Alt 3 to hopefully carve in the concept of other beneficiaries more closely.  </w:t>
      </w:r>
      <w:r w:rsidR="00186217">
        <w:t>Regarding Article 5, s</w:t>
      </w:r>
      <w:r w:rsidR="00070998" w:rsidRPr="002B722B">
        <w:t xml:space="preserve">he said </w:t>
      </w:r>
      <w:r>
        <w:t xml:space="preserve">that </w:t>
      </w:r>
      <w:r w:rsidR="00070998" w:rsidRPr="002B722B">
        <w:t xml:space="preserve">the Delegation of Indonesia, on behalf of the LMCs, </w:t>
      </w:r>
      <w:r w:rsidR="00186217">
        <w:t xml:space="preserve">had changed </w:t>
      </w:r>
      <w:r w:rsidR="00070998" w:rsidRPr="002B722B">
        <w:t>their support from Alt 2 to</w:t>
      </w:r>
      <w:r w:rsidR="00186217">
        <w:t xml:space="preserve"> Alt 3, which was originally a </w:t>
      </w:r>
      <w:r w:rsidR="00186217">
        <w:lastRenderedPageBreak/>
        <w:t>f</w:t>
      </w:r>
      <w:r w:rsidR="00070998" w:rsidRPr="002B722B">
        <w:t>ac</w:t>
      </w:r>
      <w:r w:rsidR="00186217">
        <w:t>ilitators’ formulation, so the f</w:t>
      </w:r>
      <w:r w:rsidR="00070998" w:rsidRPr="002B722B">
        <w:t>acilitators suggested deleting the original Alt 2 and making the prior Alt 3 new Alt 2, which meant that there were three alternatives in Article 5.  The Delegations of Egypt and Ghana had suggested textual adjustments to a</w:t>
      </w:r>
      <w:r w:rsidR="00186217">
        <w:t>lternatives in Articles 1 and 3.</w:t>
      </w:r>
      <w:r w:rsidR="00070998" w:rsidRPr="002B722B">
        <w:t xml:space="preserve"> </w:t>
      </w:r>
      <w:r w:rsidR="00186217">
        <w:t xml:space="preserve"> H</w:t>
      </w:r>
      <w:r w:rsidR="00070998" w:rsidRPr="002B722B">
        <w:t>owever, they were not requesting that those changes be made at that time.  That would be different from the African Group</w:t>
      </w:r>
      <w:r w:rsidR="00186217">
        <w:t>’s positions.  The f</w:t>
      </w:r>
      <w:r w:rsidR="00070998" w:rsidRPr="002B722B">
        <w:t xml:space="preserve">acilitators noted that the discussions might be more fruitful if Member States considered reviewing the articles holistically, considering how they interacted with each other, which might lead to the conclusion that some terms or wording that might appear </w:t>
      </w:r>
      <w:proofErr w:type="gramStart"/>
      <w:r w:rsidR="00070998" w:rsidRPr="002B722B">
        <w:t>critical</w:t>
      </w:r>
      <w:proofErr w:type="gramEnd"/>
      <w:r w:rsidR="00070998" w:rsidRPr="002B722B">
        <w:t xml:space="preserve"> were actually addressed in other provisions of the articles.  For future meetings, the use of explanatory notes to accompany the different provisions would be a useful tool. </w:t>
      </w:r>
    </w:p>
    <w:p w14:paraId="1F6F3260" w14:textId="77777777" w:rsidR="00A65622" w:rsidRPr="00A65622" w:rsidRDefault="00A65622" w:rsidP="00500199"/>
    <w:p w14:paraId="07EC4D18" w14:textId="6BC9ABD2" w:rsidR="00B74D35" w:rsidRPr="00B74D35" w:rsidRDefault="00186217" w:rsidP="002B722B">
      <w:pPr>
        <w:pStyle w:val="ListParagraph"/>
        <w:numPr>
          <w:ilvl w:val="0"/>
          <w:numId w:val="4"/>
        </w:numPr>
        <w:ind w:left="0" w:firstLine="0"/>
      </w:pPr>
      <w:r>
        <w:t>Ms.</w:t>
      </w:r>
      <w:r w:rsidR="00A65622" w:rsidRPr="002B722B">
        <w:t xml:space="preserve"> </w:t>
      </w:r>
      <w:proofErr w:type="spellStart"/>
      <w:r w:rsidR="00A65622" w:rsidRPr="002B722B">
        <w:t>Hao’uli</w:t>
      </w:r>
      <w:proofErr w:type="spellEnd"/>
      <w:r>
        <w:t>, speaking on behalf of the facilitators,</w:t>
      </w:r>
      <w:r w:rsidR="00A65622" w:rsidRPr="002B722B">
        <w:t xml:space="preserve"> said that a useful exercise could be for relevant Member States to go through the alternatives that t</w:t>
      </w:r>
      <w:r>
        <w:t xml:space="preserve">hey supported for each article </w:t>
      </w:r>
      <w:r w:rsidR="00A65622" w:rsidRPr="002B722B">
        <w:t xml:space="preserve">with examples of actual TCEs in order to get a better understanding of what Member States considered should be protected and what should not, and the rationale for those perspectives, as a basis for discussion towards narrowing gaps.  </w:t>
      </w:r>
    </w:p>
    <w:p w14:paraId="0F563863" w14:textId="77777777" w:rsidR="00B74D35" w:rsidRPr="002B722B" w:rsidRDefault="00B74D35" w:rsidP="00500199"/>
    <w:p w14:paraId="79BDD6F3" w14:textId="655B58B7" w:rsidR="007047AD" w:rsidRPr="007047AD" w:rsidRDefault="00B74D35" w:rsidP="002B722B">
      <w:pPr>
        <w:pStyle w:val="ListParagraph"/>
        <w:numPr>
          <w:ilvl w:val="0"/>
          <w:numId w:val="4"/>
        </w:numPr>
        <w:ind w:left="0" w:firstLine="0"/>
      </w:pPr>
      <w:r w:rsidRPr="002B722B">
        <w:t xml:space="preserve">The Chair opened </w:t>
      </w:r>
      <w:r w:rsidR="00155025">
        <w:t>the floor for initial feedback</w:t>
      </w:r>
      <w:r w:rsidRPr="002B722B">
        <w:t xml:space="preserve">.  </w:t>
      </w:r>
    </w:p>
    <w:p w14:paraId="02EC0FD5" w14:textId="77777777" w:rsidR="007047AD" w:rsidRPr="002B722B" w:rsidRDefault="007047AD" w:rsidP="00500199"/>
    <w:p w14:paraId="3528130E" w14:textId="77A1929C" w:rsidR="00651426" w:rsidRPr="00651426" w:rsidRDefault="00445D87" w:rsidP="002B722B">
      <w:pPr>
        <w:pStyle w:val="ListParagraph"/>
        <w:numPr>
          <w:ilvl w:val="0"/>
          <w:numId w:val="4"/>
        </w:numPr>
        <w:ind w:left="0" w:firstLine="0"/>
      </w:pPr>
      <w:r w:rsidRPr="002B722B">
        <w:t xml:space="preserve">[Note from the Secretariat: </w:t>
      </w:r>
      <w:r w:rsidR="00F67CC6">
        <w:t xml:space="preserve"> </w:t>
      </w:r>
      <w:r>
        <w:t>a</w:t>
      </w:r>
      <w:r w:rsidRPr="00CE4AE5">
        <w:t xml:space="preserve">ll </w:t>
      </w:r>
      <w:r>
        <w:t>speakers</w:t>
      </w:r>
      <w:r w:rsidR="00F67CC6">
        <w:t xml:space="preserve"> thanked the f</w:t>
      </w:r>
      <w:r w:rsidRPr="00CE4AE5">
        <w:t>acilitators for their work</w:t>
      </w:r>
      <w:r w:rsidRPr="002B722B">
        <w:t xml:space="preserve">.] </w:t>
      </w:r>
      <w:r w:rsidR="000032CE" w:rsidRPr="002B722B">
        <w:t xml:space="preserve"> The Delegation of Indonesia</w:t>
      </w:r>
      <w:r w:rsidR="006E00BB">
        <w:t>, speaking on behalf of the LMCs,</w:t>
      </w:r>
      <w:r w:rsidR="000032CE" w:rsidRPr="002B722B">
        <w:t xml:space="preserve"> recalled the Delegation of Australia’s suggestion in Alt 4.  It could be flexible thinking about that, because the reason why it wanted to see other beneficiaries in Article 4 was not because there was no recognition of IPLCs, but because</w:t>
      </w:r>
      <w:r w:rsidR="00AE13FD">
        <w:t xml:space="preserve"> there were situations where the TCEs</w:t>
      </w:r>
      <w:r w:rsidR="000032CE" w:rsidRPr="002B722B">
        <w:t xml:space="preserve"> could not</w:t>
      </w:r>
      <w:r w:rsidR="00AE13FD">
        <w:t xml:space="preserve"> be</w:t>
      </w:r>
      <w:r w:rsidR="000032CE" w:rsidRPr="002B722B">
        <w:t xml:space="preserve"> attribute</w:t>
      </w:r>
      <w:r w:rsidR="00AE13FD">
        <w:t>d</w:t>
      </w:r>
      <w:r w:rsidR="000032CE" w:rsidRPr="002B722B">
        <w:t xml:space="preserve"> to IPLCs or the TCEs were not confined to IPLCs.  The Delegation of Australia had also stated that it was worth exploring a</w:t>
      </w:r>
      <w:r w:rsidR="00AE13FD">
        <w:t xml:space="preserve"> balance between </w:t>
      </w:r>
      <w:r w:rsidR="000032CE" w:rsidRPr="002B722B">
        <w:t>allow</w:t>
      </w:r>
      <w:r w:rsidR="00AE13FD">
        <w:t>ing</w:t>
      </w:r>
      <w:r w:rsidR="000032CE" w:rsidRPr="002B722B">
        <w:t xml:space="preserve"> some beneficiaries </w:t>
      </w:r>
      <w:r w:rsidR="00AE13FD">
        <w:t>and</w:t>
      </w:r>
      <w:r w:rsidR="000032CE" w:rsidRPr="002B722B">
        <w:t xml:space="preserve"> carving out others.  It was not an unlimit</w:t>
      </w:r>
      <w:r w:rsidR="00AE13FD">
        <w:t>ed kind of “other beneficiaries</w:t>
      </w:r>
      <w:r w:rsidR="000032CE" w:rsidRPr="002B722B">
        <w:t>”</w:t>
      </w:r>
      <w:r w:rsidR="00AE13FD">
        <w:t>.</w:t>
      </w:r>
      <w:r w:rsidR="006E00BB">
        <w:t xml:space="preserve">  It</w:t>
      </w:r>
      <w:r w:rsidR="000032CE" w:rsidRPr="002B722B">
        <w:t xml:space="preserve"> had to</w:t>
      </w:r>
      <w:r w:rsidR="006E00BB">
        <w:t xml:space="preserve"> be qualified</w:t>
      </w:r>
      <w:r w:rsidR="000032CE" w:rsidRPr="002B722B">
        <w:t xml:space="preserve"> to make sure that beneficiaries as defined under national law were actually beneficiaries who maintained, used and held TCEs.  </w:t>
      </w:r>
      <w:r w:rsidR="006E00BB">
        <w:t>Regarding Article 5, it thanked the f</w:t>
      </w:r>
      <w:r w:rsidR="000032CE" w:rsidRPr="002B722B">
        <w:t>acilitators for reflecting its positions</w:t>
      </w:r>
      <w:r w:rsidR="006E00BB">
        <w:t>, and</w:t>
      </w:r>
      <w:r w:rsidR="000032CE" w:rsidRPr="002B722B">
        <w:t xml:space="preserve"> supported Alt 2.  </w:t>
      </w:r>
    </w:p>
    <w:p w14:paraId="5D6FCE29" w14:textId="77777777" w:rsidR="00651426" w:rsidRPr="002B722B" w:rsidRDefault="00651426" w:rsidP="00500199"/>
    <w:p w14:paraId="2544F614" w14:textId="35F2734D" w:rsidR="00651426" w:rsidRPr="00651426" w:rsidRDefault="00651426" w:rsidP="002B722B">
      <w:pPr>
        <w:pStyle w:val="ListParagraph"/>
        <w:numPr>
          <w:ilvl w:val="0"/>
          <w:numId w:val="4"/>
        </w:numPr>
        <w:ind w:left="0" w:firstLine="0"/>
      </w:pPr>
      <w:r w:rsidRPr="002B722B">
        <w:t>The Delegation of Thailand thanked the Delegation of Australia for pr</w:t>
      </w:r>
      <w:r w:rsidR="00CE7017">
        <w:t>oposing Alt 4, and thanked the f</w:t>
      </w:r>
      <w:r w:rsidRPr="002B722B">
        <w:t>acilitators for the new language in Alt 4, which it supported.  Considering that it had supported Alt 3 at IGC 33 and expressed interest in Alt 2, t</w:t>
      </w:r>
      <w:r w:rsidR="00CE7017">
        <w:t>he new Alt 4 was more specific.</w:t>
      </w:r>
    </w:p>
    <w:p w14:paraId="61A1286B" w14:textId="77777777" w:rsidR="00651426" w:rsidRPr="002B722B" w:rsidRDefault="00651426" w:rsidP="00500199"/>
    <w:p w14:paraId="7E9871D3" w14:textId="67E84735" w:rsidR="00651426" w:rsidRPr="00651426" w:rsidRDefault="00651426" w:rsidP="002B722B">
      <w:pPr>
        <w:pStyle w:val="ListParagraph"/>
        <w:numPr>
          <w:ilvl w:val="0"/>
          <w:numId w:val="4"/>
        </w:numPr>
        <w:ind w:left="0" w:firstLine="0"/>
      </w:pPr>
      <w:r w:rsidRPr="002B722B">
        <w:t xml:space="preserve">The Delegation of Brazil associated itself with the </w:t>
      </w:r>
      <w:r w:rsidR="00B462B9">
        <w:t>statement made by the Delegation of Indonesia,</w:t>
      </w:r>
      <w:r w:rsidRPr="002B722B">
        <w:t xml:space="preserve"> on behalf of the LMCs.  It thanked the Delegation of Australia for the constructive work.  Alt 4 </w:t>
      </w:r>
      <w:r w:rsidR="00B462B9">
        <w:t xml:space="preserve">of Article 4 </w:t>
      </w:r>
      <w:r w:rsidRPr="002B722B">
        <w:t xml:space="preserve">was worth considering.  </w:t>
      </w:r>
    </w:p>
    <w:p w14:paraId="3953AD81" w14:textId="77777777" w:rsidR="00651426" w:rsidRPr="002B722B" w:rsidRDefault="00651426" w:rsidP="00500199"/>
    <w:p w14:paraId="5A33FF75" w14:textId="62D113CC" w:rsidR="00651426" w:rsidRPr="00651426" w:rsidRDefault="00651426" w:rsidP="002B722B">
      <w:pPr>
        <w:pStyle w:val="ListParagraph"/>
        <w:numPr>
          <w:ilvl w:val="0"/>
          <w:numId w:val="4"/>
        </w:numPr>
        <w:ind w:left="0" w:firstLine="0"/>
      </w:pPr>
      <w:r w:rsidRPr="002B722B">
        <w:t xml:space="preserve">The Delegation of Senegal, speaking on behalf of the African Group, said that the proposal needed more consideration, and it wished to </w:t>
      </w:r>
      <w:r w:rsidR="00066D8A">
        <w:t xml:space="preserve">go through the proposals </w:t>
      </w:r>
      <w:r w:rsidRPr="002B722B">
        <w:t xml:space="preserve">in more detail to evaluate </w:t>
      </w:r>
      <w:r w:rsidR="00066D8A">
        <w:t>them</w:t>
      </w:r>
      <w:r w:rsidRPr="002B722B">
        <w:t xml:space="preserve">.  </w:t>
      </w:r>
    </w:p>
    <w:p w14:paraId="17DC244B" w14:textId="77777777" w:rsidR="00651426" w:rsidRPr="002B722B" w:rsidRDefault="00651426" w:rsidP="00500199"/>
    <w:p w14:paraId="7368FD3A" w14:textId="19EA3B6C" w:rsidR="00651426" w:rsidRPr="00651426" w:rsidRDefault="00651426" w:rsidP="002B722B">
      <w:pPr>
        <w:pStyle w:val="ListParagraph"/>
        <w:numPr>
          <w:ilvl w:val="0"/>
          <w:numId w:val="4"/>
        </w:numPr>
        <w:ind w:left="0" w:firstLine="0"/>
      </w:pPr>
      <w:r w:rsidRPr="002B722B">
        <w:t xml:space="preserve">The Delegation of the Islamic Republic of Iran associated itself with the position of the </w:t>
      </w:r>
      <w:r w:rsidR="00A127EF">
        <w:t xml:space="preserve">Delegation of Indonesia, on behalf of the </w:t>
      </w:r>
      <w:r w:rsidRPr="002B722B">
        <w:t xml:space="preserve">LMCs.  The new proposal endeavored to capture the concerns of all Member States as stated in plenary. </w:t>
      </w:r>
      <w:r w:rsidR="00A127EF">
        <w:t xml:space="preserve"> </w:t>
      </w:r>
      <w:r w:rsidRPr="002B722B">
        <w:t>It supported the deletion of Alt 2.</w:t>
      </w:r>
    </w:p>
    <w:p w14:paraId="1DC78BD0" w14:textId="77777777" w:rsidR="00651426" w:rsidRPr="002B722B" w:rsidRDefault="00651426" w:rsidP="00500199"/>
    <w:p w14:paraId="0B4B7A37" w14:textId="77777777" w:rsidR="003212A7" w:rsidRDefault="00651426" w:rsidP="002B722B">
      <w:pPr>
        <w:pStyle w:val="ListParagraph"/>
        <w:numPr>
          <w:ilvl w:val="0"/>
          <w:numId w:val="4"/>
        </w:numPr>
        <w:ind w:left="0" w:firstLine="0"/>
      </w:pPr>
      <w:r w:rsidRPr="002B722B">
        <w:t xml:space="preserve">The Delegation of Colombia supported the proposal made by the Delegation of Australia.  Alt 4 included not only IPLCs but also other beneficiaries, and, therefore, it made it possible to adjust to the legislation of various countries.  </w:t>
      </w:r>
    </w:p>
    <w:p w14:paraId="699C46AD" w14:textId="77777777" w:rsidR="003212A7" w:rsidRDefault="003212A7" w:rsidP="00500199"/>
    <w:p w14:paraId="2B504B9E" w14:textId="176B60D4" w:rsidR="003212A7" w:rsidRPr="002B722B" w:rsidRDefault="003212A7" w:rsidP="002B722B">
      <w:pPr>
        <w:pStyle w:val="ListParagraph"/>
        <w:numPr>
          <w:ilvl w:val="0"/>
          <w:numId w:val="4"/>
        </w:numPr>
        <w:ind w:left="0" w:firstLine="0"/>
      </w:pPr>
      <w:r w:rsidRPr="002B722B">
        <w:t xml:space="preserve">The representative of INBRAPI was delighted to see that phrase “indigenous peoples” appeared </w:t>
      </w:r>
      <w:r w:rsidR="00280F7B">
        <w:t xml:space="preserve">in </w:t>
      </w:r>
      <w:r w:rsidRPr="002B722B">
        <w:t>Alt 4 as proposed by the Delegation of Australia.  The IGC was trying to establish who created TCEs and who should be protected.  She was concerned that the possibility was available for national legislat</w:t>
      </w:r>
      <w:r w:rsidR="00280F7B">
        <w:t>ion to add other beneficiaries.  T</w:t>
      </w:r>
      <w:r w:rsidRPr="002B722B">
        <w:t xml:space="preserve">herefore, a deeper discussion was needed in consultation with IPLCs.  </w:t>
      </w:r>
    </w:p>
    <w:p w14:paraId="4271AE09" w14:textId="77777777" w:rsidR="003212A7" w:rsidRPr="002B722B" w:rsidRDefault="003212A7" w:rsidP="00500199"/>
    <w:p w14:paraId="1E2E6D9B" w14:textId="6088FE4E" w:rsidR="003212A7" w:rsidRPr="002B722B" w:rsidRDefault="003212A7" w:rsidP="002B722B">
      <w:pPr>
        <w:pStyle w:val="ListParagraph"/>
        <w:numPr>
          <w:ilvl w:val="0"/>
          <w:numId w:val="4"/>
        </w:numPr>
        <w:ind w:left="0" w:firstLine="0"/>
      </w:pPr>
      <w:r w:rsidRPr="002B722B">
        <w:t xml:space="preserve">The representative of Tupaj Amaru said </w:t>
      </w:r>
      <w:r w:rsidR="00C82251">
        <w:t xml:space="preserve">that </w:t>
      </w:r>
      <w:r w:rsidRPr="002B722B">
        <w:t xml:space="preserve">there was no significant change in the article regarding beneficiaries, as the other beneficiaries were still included. </w:t>
      </w:r>
      <w:r w:rsidR="00C82251">
        <w:t xml:space="preserve"> He wondered</w:t>
      </w:r>
      <w:r w:rsidRPr="002B722B">
        <w:t xml:space="preserve"> how judges would interpret that text, which was open to a numbe</w:t>
      </w:r>
      <w:r w:rsidR="00C82251">
        <w:t xml:space="preserve">r of interpretations and could </w:t>
      </w:r>
      <w:r w:rsidRPr="002B722B">
        <w:t xml:space="preserve">create artificial, virtual beneficiaries.  He rejected the inclusion of other beneficiaries.  He </w:t>
      </w:r>
      <w:r w:rsidR="00C82251">
        <w:t xml:space="preserve">wondered whether other international instruments had been looked at.  </w:t>
      </w:r>
      <w:r w:rsidRPr="002B722B">
        <w:t xml:space="preserve">The IGC was debating and </w:t>
      </w:r>
      <w:r w:rsidR="00C82251">
        <w:t>drafting the</w:t>
      </w:r>
      <w:r w:rsidRPr="002B722B">
        <w:t xml:space="preserve"> text without consulting</w:t>
      </w:r>
      <w:r w:rsidR="00C82251">
        <w:t xml:space="preserve"> the</w:t>
      </w:r>
      <w:r w:rsidRPr="002B722B">
        <w:t xml:space="preserve"> existing </w:t>
      </w:r>
      <w:r w:rsidR="00C82251">
        <w:t>instruments</w:t>
      </w:r>
      <w:r w:rsidRPr="002B722B">
        <w:t xml:space="preserve">.  He urged participants to understand what they were doing, while they were gambling the future of IPLCs. </w:t>
      </w:r>
    </w:p>
    <w:p w14:paraId="762FA115" w14:textId="77777777" w:rsidR="003212A7" w:rsidRPr="002B722B" w:rsidRDefault="003212A7" w:rsidP="00500199">
      <w:r w:rsidRPr="002B722B">
        <w:t xml:space="preserve"> </w:t>
      </w:r>
    </w:p>
    <w:p w14:paraId="1C43914D" w14:textId="4F4B883F" w:rsidR="003212A7" w:rsidRDefault="003212A7" w:rsidP="002B722B">
      <w:pPr>
        <w:pStyle w:val="ListParagraph"/>
        <w:numPr>
          <w:ilvl w:val="0"/>
          <w:numId w:val="4"/>
        </w:numPr>
        <w:ind w:left="0" w:firstLine="0"/>
      </w:pPr>
      <w:r w:rsidRPr="002B722B">
        <w:t xml:space="preserve">The Delegation of China thanked the Delegation of Australia for proposing Alt 4, which was a new advance of the text.  Alt 2, </w:t>
      </w:r>
      <w:r w:rsidR="00C82251">
        <w:t>Alt 3</w:t>
      </w:r>
      <w:r w:rsidRPr="002B722B">
        <w:t xml:space="preserve"> and</w:t>
      </w:r>
      <w:r w:rsidR="00C82251">
        <w:t xml:space="preserve"> Alt</w:t>
      </w:r>
      <w:r w:rsidRPr="002B722B">
        <w:t xml:space="preserve"> 4 were all worth considering.  At the same time, one should consider the two different situations where there was a notion of </w:t>
      </w:r>
      <w:r w:rsidR="00C82251">
        <w:t>“</w:t>
      </w:r>
      <w:r w:rsidRPr="002B722B">
        <w:t>indigenous people</w:t>
      </w:r>
      <w:r w:rsidR="00C82251">
        <w:t>”</w:t>
      </w:r>
      <w:r w:rsidRPr="002B722B">
        <w:t xml:space="preserve"> and where was no such notion, so it su</w:t>
      </w:r>
      <w:r w:rsidR="00C82251">
        <w:t>ggested adding, after the word “other beneficiaries”, “such as nations</w:t>
      </w:r>
      <w:r w:rsidRPr="002B722B">
        <w:t>”</w:t>
      </w:r>
      <w:r w:rsidR="00C82251">
        <w:t>.</w:t>
      </w:r>
      <w:r w:rsidRPr="002B722B">
        <w:t xml:space="preserve"> </w:t>
      </w:r>
    </w:p>
    <w:p w14:paraId="039B150B" w14:textId="77777777" w:rsidR="004352BD" w:rsidRDefault="004352BD" w:rsidP="004352BD"/>
    <w:p w14:paraId="6B232386" w14:textId="18CCF26F" w:rsidR="004352BD" w:rsidRPr="002B722B" w:rsidRDefault="004352BD" w:rsidP="002B722B">
      <w:pPr>
        <w:pStyle w:val="ListParagraph"/>
        <w:numPr>
          <w:ilvl w:val="0"/>
          <w:numId w:val="4"/>
        </w:numPr>
        <w:ind w:left="0" w:firstLine="0"/>
      </w:pPr>
      <w:r w:rsidRPr="002B722B">
        <w:t xml:space="preserve">The Chair said there had been a long debate in that area at many sessions, and the IGC had </w:t>
      </w:r>
      <w:r>
        <w:t xml:space="preserve">moved past the use of the term “nations” </w:t>
      </w:r>
      <w:r w:rsidRPr="002B722B">
        <w:t>and the other alternative options were directed at that.  He asked the Delegation of China to reconsider its intervention for reintroducing that language.  The alternative provided policy space to ad</w:t>
      </w:r>
      <w:r>
        <w:t xml:space="preserve">dress that particular concern. </w:t>
      </w:r>
    </w:p>
    <w:p w14:paraId="6729F563" w14:textId="77777777" w:rsidR="003212A7" w:rsidRPr="002B722B" w:rsidRDefault="003212A7" w:rsidP="00500199"/>
    <w:p w14:paraId="4FB7BC91" w14:textId="413D8E15" w:rsidR="006E0E3F" w:rsidRPr="00AA46BA" w:rsidRDefault="00BD5C8A" w:rsidP="002B722B">
      <w:pPr>
        <w:pStyle w:val="ListParagraph"/>
        <w:numPr>
          <w:ilvl w:val="0"/>
          <w:numId w:val="4"/>
        </w:numPr>
        <w:ind w:left="0" w:firstLine="0"/>
      </w:pPr>
      <w:r w:rsidRPr="00AA46BA">
        <w:t xml:space="preserve">[Note from the Secretariat:  This part of the session took place after the </w:t>
      </w:r>
      <w:proofErr w:type="spellStart"/>
      <w:r w:rsidRPr="00AA46BA">
        <w:t>informals</w:t>
      </w:r>
      <w:proofErr w:type="spellEnd"/>
      <w:r w:rsidRPr="00AA46BA">
        <w:t xml:space="preserve"> and the distribution of Rev. 1 dated June 14, 201</w:t>
      </w:r>
      <w:r w:rsidR="00530389" w:rsidRPr="00AA46BA">
        <w:t>7 prepared by the facilitators.</w:t>
      </w:r>
      <w:r w:rsidRPr="00AA46BA">
        <w:t xml:space="preserve">] </w:t>
      </w:r>
      <w:r w:rsidR="00262C71" w:rsidRPr="00AA46BA">
        <w:t xml:space="preserve"> </w:t>
      </w:r>
      <w:r w:rsidR="0017404B" w:rsidRPr="00AA46BA">
        <w:t xml:space="preserve">The Chair </w:t>
      </w:r>
      <w:r w:rsidR="00B81BB1" w:rsidRPr="00AA46BA">
        <w:t>explained</w:t>
      </w:r>
      <w:r w:rsidR="0017404B" w:rsidRPr="00AA46BA">
        <w:t xml:space="preserve"> that </w:t>
      </w:r>
      <w:r w:rsidR="00B81BB1" w:rsidRPr="00AA46BA">
        <w:t xml:space="preserve">he would invite the facilitators to introduce Rev. 1. </w:t>
      </w:r>
      <w:r w:rsidR="00A95B3A" w:rsidRPr="00AA46BA">
        <w:t xml:space="preserve"> His guidance to the f</w:t>
      </w:r>
      <w:r w:rsidR="0017404B" w:rsidRPr="00AA46BA">
        <w:t xml:space="preserve">acilitators had been the same as in previous meetings: </w:t>
      </w:r>
      <w:r w:rsidR="00CC46F3" w:rsidRPr="00AA46BA">
        <w:t xml:space="preserve"> (1)</w:t>
      </w:r>
      <w:r w:rsidR="0017404B" w:rsidRPr="00AA46BA">
        <w:t xml:space="preserve"> to provide clarity in the text in relation to Member States’ positio</w:t>
      </w:r>
      <w:r w:rsidR="00CC46F3" w:rsidRPr="00AA46BA">
        <w:t>ns as reflected in the alternatives</w:t>
      </w:r>
      <w:r w:rsidR="0017404B" w:rsidRPr="00AA46BA">
        <w:t xml:space="preserve"> in some articles</w:t>
      </w:r>
      <w:proofErr w:type="gramStart"/>
      <w:r w:rsidR="0017404B" w:rsidRPr="00AA46BA">
        <w:t xml:space="preserve">; </w:t>
      </w:r>
      <w:r w:rsidR="00CC46F3" w:rsidRPr="00AA46BA">
        <w:t xml:space="preserve"> and</w:t>
      </w:r>
      <w:proofErr w:type="gramEnd"/>
      <w:r w:rsidR="00CC46F3" w:rsidRPr="00AA46BA">
        <w:t xml:space="preserve"> (2)</w:t>
      </w:r>
      <w:r w:rsidR="0017404B" w:rsidRPr="00AA46BA">
        <w:t xml:space="preserve"> to attempt to narrow gaps with the need to maintain</w:t>
      </w:r>
      <w:r w:rsidR="00CC46F3" w:rsidRPr="00AA46BA">
        <w:t xml:space="preserve"> the integrity of Member States’</w:t>
      </w:r>
      <w:r w:rsidR="0017404B" w:rsidRPr="00AA46BA">
        <w:t xml:space="preserve"> positions. </w:t>
      </w:r>
      <w:r w:rsidR="00CC46F3" w:rsidRPr="00AA46BA">
        <w:t xml:space="preserve"> He had given the f</w:t>
      </w:r>
      <w:r w:rsidR="0017404B" w:rsidRPr="00AA46BA">
        <w:t>acilitators some license to develop their own text if it</w:t>
      </w:r>
      <w:r w:rsidR="00CC46F3" w:rsidRPr="00AA46BA">
        <w:t xml:space="preserve"> could assist in narrowing gaps.  Whenever the f</w:t>
      </w:r>
      <w:r w:rsidR="0017404B" w:rsidRPr="00AA46BA">
        <w:t xml:space="preserve">acilitators had developed </w:t>
      </w:r>
      <w:r w:rsidR="00CC46F3" w:rsidRPr="00AA46BA">
        <w:t xml:space="preserve">their </w:t>
      </w:r>
      <w:r w:rsidR="0017404B" w:rsidRPr="00AA46BA">
        <w:t>text, it was in italics and would require members’ support to go forward.  As per the rules of procedure, every Member State had the right to hav</w:t>
      </w:r>
      <w:r w:rsidR="00CC46F3" w:rsidRPr="00AA46BA">
        <w:t>e its views reflected, and the f</w:t>
      </w:r>
      <w:r w:rsidR="0017404B" w:rsidRPr="00AA46BA">
        <w:t xml:space="preserve">acilitators had attempted to achieve that. </w:t>
      </w:r>
      <w:r w:rsidR="00CC46F3" w:rsidRPr="00AA46BA">
        <w:t xml:space="preserve"> </w:t>
      </w:r>
      <w:r w:rsidR="0017404B" w:rsidRPr="00AA46BA">
        <w:t>Any omissions or erro</w:t>
      </w:r>
      <w:r w:rsidR="00CC46F3" w:rsidRPr="00AA46BA">
        <w:t>rs were inadvertent.  Once the f</w:t>
      </w:r>
      <w:r w:rsidR="0017404B" w:rsidRPr="00AA46BA">
        <w:t>acilitators had completed the introduction, he would provide time to review the document and consult.  Member</w:t>
      </w:r>
      <w:r w:rsidR="00CC46F3" w:rsidRPr="00AA46BA">
        <w:t xml:space="preserve"> State</w:t>
      </w:r>
      <w:r w:rsidR="0017404B" w:rsidRPr="00AA46BA">
        <w:t>s could come fo</w:t>
      </w:r>
      <w:r w:rsidR="00CC46F3" w:rsidRPr="00AA46BA">
        <w:t>rward to speak directly to the f</w:t>
      </w:r>
      <w:r w:rsidR="0017404B" w:rsidRPr="00AA46BA">
        <w:t>acilitators to clarify issues, ask questions, or indicate errors or omi</w:t>
      </w:r>
      <w:r w:rsidR="00CC46F3" w:rsidRPr="00AA46BA">
        <w:t>ssions.  The Chair thanked the facilitators for their efforts</w:t>
      </w:r>
      <w:r w:rsidR="0017404B" w:rsidRPr="00AA46BA">
        <w:t>.  They were there to assist in moving the process forward and balance the interests of all Member States.  If the IGC was to deliver an outcome, it h</w:t>
      </w:r>
      <w:r w:rsidR="00AA46BA">
        <w:t>ad to balance all Member States’</w:t>
      </w:r>
      <w:r w:rsidR="0017404B" w:rsidRPr="00AA46BA">
        <w:t xml:space="preserve"> interests, and those of other key stakehold</w:t>
      </w:r>
      <w:r w:rsidR="0025462E" w:rsidRPr="00AA46BA">
        <w:t>ers, such as indigenous peoples</w:t>
      </w:r>
      <w:r w:rsidR="00AA46BA">
        <w:t>.</w:t>
      </w:r>
    </w:p>
    <w:p w14:paraId="56C9EC34" w14:textId="77777777" w:rsidR="006E0E3F" w:rsidRPr="002B722B" w:rsidRDefault="006E0E3F" w:rsidP="00500199"/>
    <w:p w14:paraId="1B776574" w14:textId="774D54C2" w:rsidR="009B7AB0" w:rsidRPr="002B722B" w:rsidRDefault="00262C71" w:rsidP="002B722B">
      <w:pPr>
        <w:pStyle w:val="ListParagraph"/>
        <w:numPr>
          <w:ilvl w:val="0"/>
          <w:numId w:val="4"/>
        </w:numPr>
        <w:ind w:left="0" w:firstLine="0"/>
      </w:pPr>
      <w:r>
        <w:t>Ms.</w:t>
      </w:r>
      <w:r w:rsidR="006E0E3F" w:rsidRPr="002B722B">
        <w:t xml:space="preserve"> </w:t>
      </w:r>
      <w:proofErr w:type="spellStart"/>
      <w:r w:rsidR="006E0E3F" w:rsidRPr="002B722B">
        <w:t>Hao’uli</w:t>
      </w:r>
      <w:proofErr w:type="spellEnd"/>
      <w:r>
        <w:t>, speaking on behalf of the facilitators,</w:t>
      </w:r>
      <w:r w:rsidR="006E0E3F" w:rsidRPr="002B722B">
        <w:t xml:space="preserve"> said </w:t>
      </w:r>
      <w:r>
        <w:t>that the f</w:t>
      </w:r>
      <w:r w:rsidR="006E0E3F" w:rsidRPr="002B722B">
        <w:t>acilitators had tried to capture in Rev</w:t>
      </w:r>
      <w:r>
        <w:t>.</w:t>
      </w:r>
      <w:r w:rsidR="006E0E3F" w:rsidRPr="002B722B">
        <w:t xml:space="preserve"> 1 Member States’ positions on the issues discussed thus far.  That had incorporated Member States</w:t>
      </w:r>
      <w:r>
        <w:t>’ useful feedback on their work-in-</w:t>
      </w:r>
      <w:r w:rsidR="006E0E3F" w:rsidRPr="002B722B">
        <w:t xml:space="preserve">progress presented the day before, and in some areas they had made their own changes with the intention of simplifying the text.  They were grateful for Member States’ willingness </w:t>
      </w:r>
      <w:r>
        <w:t>to engage with the f</w:t>
      </w:r>
      <w:r w:rsidR="006E0E3F" w:rsidRPr="002B722B">
        <w:t>acilitators informally to ensure that as far as possible they were accurately capturing the various positions expressed.  That helped their drafting process considerably, and they would continue to come to delegations for clarification and with suggested modifications as they tried to move the text forward.  On Article 1</w:t>
      </w:r>
      <w:r w:rsidR="00CC2E46">
        <w:t>,</w:t>
      </w:r>
      <w:r w:rsidR="006E0E3F" w:rsidRPr="002B722B">
        <w:t xml:space="preserve"> Alt 1 contained two changes.</w:t>
      </w:r>
      <w:r w:rsidR="00775CD2">
        <w:t xml:space="preserve">  The introduction of the term “unauthorized use” </w:t>
      </w:r>
      <w:r w:rsidR="006E0E3F" w:rsidRPr="002B722B">
        <w:t xml:space="preserve">in </w:t>
      </w:r>
      <w:r w:rsidR="00775CD2">
        <w:t>Article</w:t>
      </w:r>
      <w:r w:rsidR="006E0E3F" w:rsidRPr="002B722B">
        <w:t xml:space="preserve"> </w:t>
      </w:r>
      <w:r w:rsidR="00775CD2">
        <w:t>1.1(a) came from a Member State’</w:t>
      </w:r>
      <w:r w:rsidR="006E0E3F" w:rsidRPr="002B722B">
        <w:t xml:space="preserve">s proposal in </w:t>
      </w:r>
      <w:proofErr w:type="spellStart"/>
      <w:r w:rsidR="006E0E3F" w:rsidRPr="002B722B">
        <w:t>informals</w:t>
      </w:r>
      <w:proofErr w:type="spellEnd"/>
      <w:r w:rsidR="006E0E3F" w:rsidRPr="002B722B">
        <w:t xml:space="preserve"> and was intended to help situate the policy objectives more clearly within the IP context.  </w:t>
      </w:r>
      <w:r w:rsidR="00775CD2">
        <w:t>Article</w:t>
      </w:r>
      <w:r w:rsidR="006E0E3F" w:rsidRPr="002B722B">
        <w:t xml:space="preserve"> 1.2 of Alt 1, which previously referred only to the erroneous grant of IP rights, </w:t>
      </w:r>
      <w:r w:rsidR="00775CD2">
        <w:t xml:space="preserve">currently </w:t>
      </w:r>
      <w:r w:rsidR="006E0E3F" w:rsidRPr="002B722B">
        <w:t xml:space="preserve">read: </w:t>
      </w:r>
      <w:r w:rsidR="00775CD2">
        <w:t xml:space="preserve"> </w:t>
      </w:r>
      <w:r w:rsidR="006E0E3F" w:rsidRPr="002B722B">
        <w:t>“Aid in the prevention of the erroneous grant or assertion of intellectual property rights over traditional cultural expressions.”  Alt 1 read:</w:t>
      </w:r>
      <w:r w:rsidR="00775CD2">
        <w:t xml:space="preserve"> </w:t>
      </w:r>
      <w:r w:rsidR="006E0E3F" w:rsidRPr="002B722B">
        <w:t xml:space="preserve"> “This instrument should aim to: </w:t>
      </w:r>
      <w:r w:rsidR="00775CD2">
        <w:t xml:space="preserve"> </w:t>
      </w:r>
      <w:r w:rsidR="006E0E3F" w:rsidRPr="002B722B">
        <w:t xml:space="preserve">1.1 Provide beneficiaries with the means to: </w:t>
      </w:r>
      <w:r w:rsidR="00775CD2">
        <w:t xml:space="preserve"> </w:t>
      </w:r>
      <w:r w:rsidR="006E0E3F" w:rsidRPr="002B722B">
        <w:t xml:space="preserve">(a) prevent the misappropriation and misuse/offensive and derogatory use/unauthorized use of their traditional cultural expressions; </w:t>
      </w:r>
      <w:r w:rsidR="00775CD2">
        <w:t xml:space="preserve"> </w:t>
      </w:r>
      <w:r w:rsidR="006E0E3F" w:rsidRPr="002B722B">
        <w:t xml:space="preserve">(b) control ways in which their traditional cultural expressions are used beyond the traditional and customary context, as necessary; </w:t>
      </w:r>
      <w:r w:rsidR="00775CD2">
        <w:t xml:space="preserve"> </w:t>
      </w:r>
      <w:r w:rsidR="006E0E3F" w:rsidRPr="002B722B">
        <w:t xml:space="preserve">(c) promote the equitable </w:t>
      </w:r>
      <w:r w:rsidR="006E0E3F" w:rsidRPr="002B722B">
        <w:lastRenderedPageBreak/>
        <w:t xml:space="preserve">compensation/sharing of benefits arising from their use with free prior informed consent or approval and involvement/fair and equitable compensation, as necessary;  and (d) encourage and protect tradition-based creation and innovation. </w:t>
      </w:r>
      <w:r w:rsidR="00775CD2">
        <w:t xml:space="preserve"> </w:t>
      </w:r>
      <w:r w:rsidR="006E0E3F" w:rsidRPr="002B722B">
        <w:t xml:space="preserve">Option (d) encourage and protect creation and innovation. </w:t>
      </w:r>
      <w:r w:rsidR="00775CD2">
        <w:t xml:space="preserve"> </w:t>
      </w:r>
      <w:r w:rsidR="006E0E3F" w:rsidRPr="002B722B">
        <w:t xml:space="preserve">1.2 Aid in the prevention of the erroneous grant or assertion of intellectual property rights over traditional cultural expressions.”  Alt 2 of Article 1 had one change as suggested by a Member State in </w:t>
      </w:r>
      <w:proofErr w:type="spellStart"/>
      <w:r w:rsidR="006E0E3F" w:rsidRPr="002B722B">
        <w:t>informals</w:t>
      </w:r>
      <w:proofErr w:type="spellEnd"/>
      <w:r w:rsidR="006E0E3F" w:rsidRPr="002B722B">
        <w:t xml:space="preserve">, which was to bring the new </w:t>
      </w:r>
      <w:r w:rsidR="00775CD2">
        <w:t>Article</w:t>
      </w:r>
      <w:r w:rsidR="006E0E3F" w:rsidRPr="002B722B">
        <w:t xml:space="preserve"> 1.2 of Alt 1 into Alt 2 as Paragraph (e).  Alt 2 of Article 1 stated: </w:t>
      </w:r>
      <w:r w:rsidR="00775CD2">
        <w:t xml:space="preserve"> </w:t>
      </w:r>
      <w:r w:rsidR="006E0E3F" w:rsidRPr="002B722B">
        <w:t>“This instrument should aim to: (a) [prevent the [misuse]</w:t>
      </w:r>
      <w:proofErr w:type="gramStart"/>
      <w:r w:rsidR="006E0E3F" w:rsidRPr="002B722B">
        <w:t>/[</w:t>
      </w:r>
      <w:proofErr w:type="gramEnd"/>
      <w:r w:rsidR="006E0E3F" w:rsidRPr="002B722B">
        <w:t xml:space="preserve">unlawful appropriation] of protected traditional cultural expressions]; </w:t>
      </w:r>
      <w:r w:rsidR="00775CD2">
        <w:t xml:space="preserve"> </w:t>
      </w:r>
      <w:r w:rsidR="006E0E3F" w:rsidRPr="002B722B">
        <w:t xml:space="preserve">(b) encourage creation and innovation; </w:t>
      </w:r>
      <w:r w:rsidR="00775CD2">
        <w:t xml:space="preserve"> </w:t>
      </w:r>
      <w:r w:rsidR="006E0E3F" w:rsidRPr="002B722B">
        <w:t>(c) promote/facilitate intellectual and artistic freedom, research [or other fair] practices and cultural exchange</w:t>
      </w:r>
      <w:r w:rsidR="006E0E3F" w:rsidRPr="002655AF">
        <w:t xml:space="preserve">; </w:t>
      </w:r>
      <w:r w:rsidR="00775CD2" w:rsidRPr="002655AF">
        <w:t xml:space="preserve"> </w:t>
      </w:r>
      <w:r w:rsidR="006E0E3F" w:rsidRPr="002655AF">
        <w:t xml:space="preserve">and (d) secure/recognize rights already acquired by third parties and secure/provide for legal certainty and a rich and accessible public domain. </w:t>
      </w:r>
      <w:r w:rsidR="002655AF">
        <w:t xml:space="preserve"> </w:t>
      </w:r>
      <w:r w:rsidR="006E0E3F" w:rsidRPr="002655AF">
        <w:t xml:space="preserve">(e) </w:t>
      </w:r>
      <w:proofErr w:type="gramStart"/>
      <w:r w:rsidR="006E0E3F" w:rsidRPr="002655AF">
        <w:t>aid</w:t>
      </w:r>
      <w:proofErr w:type="gramEnd"/>
      <w:r w:rsidR="006E0E3F" w:rsidRPr="002655AF">
        <w:t xml:space="preserve"> in the pre</w:t>
      </w:r>
      <w:r w:rsidR="006E0E3F" w:rsidRPr="002B722B">
        <w:t xml:space="preserve">vention of the erroneous grant or assertion of intellectual property rights over traditional cultural expressions.”  In Alt 3, there was one change requested by a Member State in </w:t>
      </w:r>
      <w:proofErr w:type="spellStart"/>
      <w:r w:rsidR="006E0E3F" w:rsidRPr="002B722B">
        <w:t>informals</w:t>
      </w:r>
      <w:proofErr w:type="spellEnd"/>
      <w:r w:rsidR="006E0E3F" w:rsidRPr="002B722B">
        <w:t xml:space="preserve">.  It stated:  “The objective of this instrument is to support the appropriate use and protection of traditional cultural expressions within the intellectual property system, in accordance with national law, and to recognize the rights of [beneficiaries] [indigenous peoples and local communities].”  Alt 4 was a new alternative provided by a Member State in </w:t>
      </w:r>
      <w:proofErr w:type="spellStart"/>
      <w:r w:rsidR="006E0E3F" w:rsidRPr="002B722B">
        <w:t>informals</w:t>
      </w:r>
      <w:proofErr w:type="spellEnd"/>
      <w:r w:rsidR="006E0E3F" w:rsidRPr="002B722B">
        <w:t xml:space="preserve"> and was based on the language of Alt 3.  It stated: </w:t>
      </w:r>
      <w:r w:rsidR="008E3393">
        <w:t xml:space="preserve"> </w:t>
      </w:r>
      <w:r w:rsidR="006E0E3F" w:rsidRPr="002B722B">
        <w:t>“The objective of this instrument is to prevent misappropriation, misuse, or offensive use, and to promote the protection, of traditional cultural expressions within the intellectual property system, and to recognize the rights of [beneficiaries] [indigenous peoples and loca</w:t>
      </w:r>
      <w:r w:rsidR="008E3393">
        <w:t>l communities].]”  In Article 4,</w:t>
      </w:r>
      <w:r w:rsidR="006E0E3F" w:rsidRPr="002B722B">
        <w:t xml:space="preserve"> they had not made any changes to Alt 1, </w:t>
      </w:r>
      <w:r w:rsidR="008E3393">
        <w:t>Alt 2</w:t>
      </w:r>
      <w:r w:rsidR="006E0E3F" w:rsidRPr="002B722B">
        <w:t xml:space="preserve"> or</w:t>
      </w:r>
      <w:r w:rsidR="008E3393">
        <w:t xml:space="preserve"> Alt</w:t>
      </w:r>
      <w:r w:rsidR="006E0E3F" w:rsidRPr="002B722B">
        <w:t xml:space="preserve"> 3, and Alt 4 was a</w:t>
      </w:r>
      <w:r w:rsidR="008E3393">
        <w:t xml:space="preserve"> new alternative, based on the f</w:t>
      </w:r>
      <w:r w:rsidR="006E0E3F" w:rsidRPr="002B722B">
        <w:t xml:space="preserve">acilitators’ work and progress, to reflect an intervention made by the Delegation of Australia.  They had amended that original Alt 4 to reflect a proposal made by a Member State in </w:t>
      </w:r>
      <w:proofErr w:type="spellStart"/>
      <w:r w:rsidR="006E0E3F" w:rsidRPr="002B722B">
        <w:t>informals</w:t>
      </w:r>
      <w:proofErr w:type="spellEnd"/>
      <w:r w:rsidR="006E0E3F" w:rsidRPr="002B722B">
        <w:t xml:space="preserve">.  It stated: “The beneficiaries of this instrument are indigenous peoples, as well as local communities and other beneficiaries, as may be determined by national law, who hold, express, create, maintain, use, and develop protected traditional cultural expressions.”  In Article 5, they had intended to remove the original Alt 2 as its proponents had removed their support for it, so there were three alternatives, but they were otherwise unchanged.  </w:t>
      </w:r>
    </w:p>
    <w:p w14:paraId="4E7BCF75" w14:textId="77777777" w:rsidR="009B7AB0" w:rsidRPr="002B722B" w:rsidRDefault="009B7AB0" w:rsidP="00500199"/>
    <w:p w14:paraId="7ED29DCE" w14:textId="6C656225" w:rsidR="009D136A" w:rsidRPr="002B722B" w:rsidRDefault="00DB526F" w:rsidP="002B722B">
      <w:pPr>
        <w:pStyle w:val="ListParagraph"/>
        <w:numPr>
          <w:ilvl w:val="0"/>
          <w:numId w:val="4"/>
        </w:numPr>
        <w:ind w:left="0" w:firstLine="0"/>
      </w:pPr>
      <w:r>
        <w:t>Ms.</w:t>
      </w:r>
      <w:r w:rsidR="009B7AB0" w:rsidRPr="002B722B">
        <w:t xml:space="preserve"> Bagley</w:t>
      </w:r>
      <w:r>
        <w:t>, speaking on behalf of the facilitators,</w:t>
      </w:r>
      <w:r w:rsidR="009B7AB0" w:rsidRPr="002B722B">
        <w:t xml:space="preserve"> said that Article 6 had been modified by Member State during </w:t>
      </w:r>
      <w:proofErr w:type="spellStart"/>
      <w:r w:rsidR="009B7AB0" w:rsidRPr="002B722B">
        <w:t>informals</w:t>
      </w:r>
      <w:proofErr w:type="spellEnd"/>
      <w:r w:rsidR="009B7AB0" w:rsidRPr="002B722B">
        <w:t xml:space="preserve"> to have a single provision as opposed to two alternatives.  Member States who supported prior Alt 1 had agreed to delete it and accepted prior Alt 2 with the following modification: </w:t>
      </w:r>
      <w:r>
        <w:t xml:space="preserve"> </w:t>
      </w:r>
      <w:r w:rsidR="009B7AB0" w:rsidRPr="002B722B">
        <w:t>the insertion of “in consultation with” as an alternative to “</w:t>
      </w:r>
      <w:r>
        <w:t xml:space="preserve">with the explicit consent of”.  </w:t>
      </w:r>
      <w:r w:rsidR="009B7AB0" w:rsidRPr="002B722B">
        <w:t>It read in full: “6.1 [Member States]/[Contracting Parties] may establish or designate a competent authority, in accordance with national law, with the explicit consent of/in consultation with the beneficiaries, to administer the rights/interests provided for by this [instrument].  6.2 [The identity of any authority established under Paragraph 1 [should]</w:t>
      </w:r>
      <w:proofErr w:type="gramStart"/>
      <w:r w:rsidR="009B7AB0" w:rsidRPr="002B722B">
        <w:t>/[</w:t>
      </w:r>
      <w:proofErr w:type="gramEnd"/>
      <w:r w:rsidR="009B7AB0" w:rsidRPr="002B722B">
        <w:t>shall] be communicated to the International Bureau of the World Intellectual Property Organization.]]”  They had also deleted the</w:t>
      </w:r>
      <w:r>
        <w:t xml:space="preserve"> brackets surrounding “identity</w:t>
      </w:r>
      <w:r w:rsidR="009B7AB0" w:rsidRPr="002B722B">
        <w:t>”</w:t>
      </w:r>
      <w:r>
        <w:t>,</w:t>
      </w:r>
      <w:r w:rsidR="009B7AB0" w:rsidRPr="002B722B">
        <w:t xml:space="preserve"> as they were unclear regarding their origin.  If a Member State </w:t>
      </w:r>
      <w:r>
        <w:t xml:space="preserve">had a basis for requesting those to be </w:t>
      </w:r>
      <w:r w:rsidR="009B7AB0" w:rsidRPr="002B722B">
        <w:t>remain</w:t>
      </w:r>
      <w:r>
        <w:t>ed</w:t>
      </w:r>
      <w:r w:rsidR="009B7AB0" w:rsidRPr="002B722B">
        <w:t xml:space="preserve">, it should mention it.  </w:t>
      </w:r>
      <w:r>
        <w:t>Regarding Article 7, Alt 1,</w:t>
      </w:r>
      <w:r w:rsidR="009B7AB0" w:rsidRPr="002B722B">
        <w:t xml:space="preserve"> which was a modif</w:t>
      </w:r>
      <w:r>
        <w:t>ied form of the three-step test,</w:t>
      </w:r>
      <w:r w:rsidR="009B7AB0" w:rsidRPr="002B722B">
        <w:t xml:space="preserve"> was unchanged.  Alt 2, which imposed certain explicit constraints on exceptions and limitations, had been modified by a Member State to insert within paragraph </w:t>
      </w:r>
      <w:r>
        <w:t xml:space="preserve">2, “may” as an alternative to “shall” and “should” </w:t>
      </w:r>
      <w:r w:rsidR="009B7AB0" w:rsidRPr="002B722B">
        <w:t>and to make the list of excep</w:t>
      </w:r>
      <w:r>
        <w:t xml:space="preserve">tions non-exhaustive by adding “such as” </w:t>
      </w:r>
      <w:r w:rsidR="009B7AB0" w:rsidRPr="002B722B">
        <w:t>before paragraph 4.  There was an error in the text, as it acci</w:t>
      </w:r>
      <w:r>
        <w:t xml:space="preserve">dentally deleted the word “for”.  </w:t>
      </w:r>
      <w:r w:rsidR="009B7AB0" w:rsidRPr="002B722B">
        <w:t xml:space="preserve">Alt 2 read: </w:t>
      </w:r>
      <w:r>
        <w:t xml:space="preserve"> </w:t>
      </w:r>
      <w:r w:rsidR="009B7AB0" w:rsidRPr="002B722B">
        <w:t xml:space="preserve">“In complying with this instrument, Member States may adopt exceptions and limitations as may be determined under national legislation including incorporated customary law.  1. To the extent that any act would be permitted under national law for works protected by copyright, signs and symbols protected by trademark law, or subject matter otherwise protected by intellectual property law, such acts [shall/should] not be prohibited by the protection of TCEs.  2. Regardless of whether such acts are already permitted under paragraph (1), Member States [shall/should/may] have exceptions, such as: </w:t>
      </w:r>
      <w:r>
        <w:t xml:space="preserve"> </w:t>
      </w:r>
      <w:r w:rsidR="009B7AB0" w:rsidRPr="002B722B">
        <w:t xml:space="preserve">(a) learning teaching and research; </w:t>
      </w:r>
      <w:r>
        <w:t xml:space="preserve"> </w:t>
      </w:r>
      <w:r w:rsidR="009B7AB0" w:rsidRPr="002B722B">
        <w:t xml:space="preserve">(b) preservation, display, research, and presentation in archives, libraries, museums or other cultural institutions; </w:t>
      </w:r>
      <w:r>
        <w:t xml:space="preserve"> </w:t>
      </w:r>
      <w:r w:rsidR="009B7AB0" w:rsidRPr="002B722B">
        <w:t xml:space="preserve">(c) the creation of literary, artistic, or creative works inspired by, based on, </w:t>
      </w:r>
      <w:r w:rsidR="009B7AB0" w:rsidRPr="002B722B">
        <w:lastRenderedPageBreak/>
        <w:t xml:space="preserve">or borrowed from traditional cultural expressions.”  Alt 3 was a new provision proposed by a Member State during </w:t>
      </w:r>
      <w:proofErr w:type="spellStart"/>
      <w:r w:rsidR="009B7AB0" w:rsidRPr="002B722B">
        <w:t>informals</w:t>
      </w:r>
      <w:proofErr w:type="spellEnd"/>
      <w:r w:rsidR="009B7AB0" w:rsidRPr="002B722B">
        <w:t xml:space="preserve">, which presented a more traditional three-step test for exceptions and limitations.  It read:  “In complying with the obligations set forth in this instrument, Member States may in special cases, adopt exceptions and limitations, provided such exceptions and limitations shall not unreasonably prejudice the legitimate interests of beneficiaries, taking account of the legitimate interests of third parties.”  </w:t>
      </w:r>
      <w:r>
        <w:t>As requested by the Chair, the f</w:t>
      </w:r>
      <w:r w:rsidR="009B7AB0" w:rsidRPr="002B722B">
        <w:t xml:space="preserve">acilitators had revisited prior Alt 3, which was new Alt 4, and revised it with a view to closing gaps, streamlining the text, and providing a middle-ground approach.  It combined a traditional three-step test from Alt 3 with explicit protections for beneficiaries that had been in prior Alt 3.  It read: </w:t>
      </w:r>
      <w:r>
        <w:t xml:space="preserve"> </w:t>
      </w:r>
      <w:r w:rsidR="009B7AB0" w:rsidRPr="002B722B">
        <w:t xml:space="preserve">“In complying with the obligations set forth in this instrument, Member States may in special cases, adopt exceptions and limitations, provided such exceptions and limitations shall not unreasonably prejudice the legitimate interests of beneficiaries, taking account of the legitimate interests of third parties, provided that the use of traditional cultural expressions: </w:t>
      </w:r>
      <w:r>
        <w:t xml:space="preserve"> </w:t>
      </w:r>
      <w:r w:rsidR="009B7AB0" w:rsidRPr="002B722B">
        <w:t xml:space="preserve">(a) acknowledges the beneficiaries, where possible; </w:t>
      </w:r>
      <w:r>
        <w:t xml:space="preserve"> </w:t>
      </w:r>
      <w:r w:rsidR="009B7AB0" w:rsidRPr="002B722B">
        <w:t xml:space="preserve">(b) is not offensive or derogatory to the beneficiaries; </w:t>
      </w:r>
      <w:r>
        <w:t xml:space="preserve"> </w:t>
      </w:r>
      <w:r w:rsidR="009B7AB0" w:rsidRPr="002B722B">
        <w:t xml:space="preserve">(c) is compatible with fair use/dealing/practice; </w:t>
      </w:r>
      <w:r>
        <w:t xml:space="preserve"> </w:t>
      </w:r>
      <w:r w:rsidR="009B7AB0" w:rsidRPr="002B722B">
        <w:t xml:space="preserve">and (d) does not conflict with the normal utilization of the traditional cultural expressions by the beneficiaries.]”  No changes had been made to Articles 8 or 9.  The only option in Article 10 for which a Member State had indicated support was prior Option 1, which was then </w:t>
      </w:r>
      <w:r>
        <w:t>Article</w:t>
      </w:r>
      <w:r w:rsidR="009B7AB0" w:rsidRPr="002B722B">
        <w:t xml:space="preserve"> 10.1, but it had been modified with language from the TK text proposed by a Member State during </w:t>
      </w:r>
      <w:proofErr w:type="spellStart"/>
      <w:r w:rsidR="009B7AB0" w:rsidRPr="002B722B">
        <w:t>informals</w:t>
      </w:r>
      <w:proofErr w:type="spellEnd"/>
      <w:r w:rsidR="009B7AB0" w:rsidRPr="002B722B">
        <w:t xml:space="preserve">.  </w:t>
      </w:r>
      <w:r>
        <w:t>Another</w:t>
      </w:r>
      <w:r w:rsidR="009B7AB0" w:rsidRPr="002B722B">
        <w:t xml:space="preserve"> Member State had requested the insertion of the language presented as </w:t>
      </w:r>
      <w:r>
        <w:t>Article</w:t>
      </w:r>
      <w:r w:rsidR="009B7AB0" w:rsidRPr="002B722B">
        <w:t xml:space="preserve"> 10.2, also taken from the TK text.  They read:  “[10.1 Member States shall put in place appropriate, effective, dissuasive, and proportionate legal and/or administrative measures, to address violations of the rights contained in this instrument.  10.2 If a violation of the rights protected by this instrument is determined pursuant to paragraph 10.1, the sanctions may include restorative justice measures, according to the nature and effec</w:t>
      </w:r>
      <w:r>
        <w:t>t of the infringement.]]”  The f</w:t>
      </w:r>
      <w:r w:rsidR="009B7AB0" w:rsidRPr="002B722B">
        <w:t>acilitators had deleted the remaining paragraphs of Article 10 as no Member State had indicated support for them</w:t>
      </w:r>
      <w:proofErr w:type="gramStart"/>
      <w:r w:rsidR="009B7AB0" w:rsidRPr="002B722B">
        <w:t xml:space="preserve">; </w:t>
      </w:r>
      <w:r w:rsidR="00256FD2">
        <w:t xml:space="preserve"> </w:t>
      </w:r>
      <w:r w:rsidR="009B7AB0" w:rsidRPr="002B722B">
        <w:t>however</w:t>
      </w:r>
      <w:proofErr w:type="gramEnd"/>
      <w:r w:rsidR="009B7AB0" w:rsidRPr="002B722B">
        <w:t>, they could be added back if that was an error.  Finally</w:t>
      </w:r>
      <w:r w:rsidR="00256FD2">
        <w:t>,</w:t>
      </w:r>
      <w:r w:rsidR="009B7AB0" w:rsidRPr="002B722B">
        <w:t xml:space="preserve"> a Member State wanted language inserted i</w:t>
      </w:r>
      <w:r w:rsidR="00256FD2">
        <w:t>n each of Articles 8, 9, 10, 11</w:t>
      </w:r>
      <w:r w:rsidR="009B7AB0" w:rsidRPr="002B722B">
        <w:t xml:space="preserve"> and 13 that “no such provisions” should be included in the text, as they prejudged the outcome of the negotiations.  Consistent with the approach taken in the GRs text, that language “No such provisions” had been included as an alter</w:t>
      </w:r>
      <w:r w:rsidR="00256FD2">
        <w:t>native to Articles 8, 9, 10, 11</w:t>
      </w:r>
      <w:r w:rsidR="009B7AB0" w:rsidRPr="002B722B">
        <w:t xml:space="preserve"> and 13, in an effort </w:t>
      </w:r>
      <w:r w:rsidR="00256FD2">
        <w:t>to ensure that the Member State’</w:t>
      </w:r>
      <w:r w:rsidR="009B7AB0" w:rsidRPr="002B722B">
        <w:t xml:space="preserve">s position was reflected, while seeking to narrow gaps and streamline and un-clutter the text. </w:t>
      </w:r>
    </w:p>
    <w:p w14:paraId="70FCF406" w14:textId="77777777" w:rsidR="009D136A" w:rsidRPr="002B722B" w:rsidRDefault="009D136A" w:rsidP="00500199"/>
    <w:p w14:paraId="332A84B0" w14:textId="1A2AF3E5" w:rsidR="008C0654" w:rsidRPr="002B722B" w:rsidRDefault="00CC761E" w:rsidP="002B722B">
      <w:pPr>
        <w:pStyle w:val="ListParagraph"/>
        <w:numPr>
          <w:ilvl w:val="0"/>
          <w:numId w:val="4"/>
        </w:numPr>
        <w:ind w:left="0" w:firstLine="0"/>
      </w:pPr>
      <w:r w:rsidRPr="002B722B">
        <w:t>The Chair said Member</w:t>
      </w:r>
      <w:r w:rsidR="00DD769C">
        <w:t xml:space="preserve"> States surely appreciated the f</w:t>
      </w:r>
      <w:r w:rsidRPr="002B722B">
        <w:t xml:space="preserve">acilitators’ efforts. </w:t>
      </w:r>
      <w:r w:rsidR="009D136A" w:rsidRPr="002B722B">
        <w:t xml:space="preserve"> </w:t>
      </w:r>
      <w:r w:rsidRPr="002B722B">
        <w:t>Member States that had questions, sought clarifications or wanted to signal an error or omission could speak directly to</w:t>
      </w:r>
      <w:r w:rsidR="00DD769C">
        <w:t xml:space="preserve"> the facilitators</w:t>
      </w:r>
      <w:r w:rsidRPr="002B722B">
        <w:t xml:space="preserve"> to maintain the efficiency. </w:t>
      </w:r>
      <w:r w:rsidR="00DD769C">
        <w:t xml:space="preserve"> </w:t>
      </w:r>
      <w:r w:rsidR="009D136A" w:rsidRPr="002B722B">
        <w:t>The Chair said that Rev</w:t>
      </w:r>
      <w:r w:rsidR="00DD769C">
        <w:t>. 1 had no status and</w:t>
      </w:r>
      <w:r w:rsidR="009D136A" w:rsidRPr="002B722B">
        <w:t xml:space="preserve"> it was just work in progress.  He would open </w:t>
      </w:r>
      <w:r w:rsidR="00DD769C">
        <w:t>the floor</w:t>
      </w:r>
      <w:r w:rsidR="009D136A" w:rsidRPr="002B722B">
        <w:t xml:space="preserve"> for comments </w:t>
      </w:r>
      <w:r w:rsidR="00DD769C">
        <w:t>on the elements revised by the f</w:t>
      </w:r>
      <w:r w:rsidR="009D136A" w:rsidRPr="002B722B">
        <w:t>acilitators based on the discussi</w:t>
      </w:r>
      <w:r w:rsidR="00467313">
        <w:t xml:space="preserve">ons in plenary and </w:t>
      </w:r>
      <w:proofErr w:type="spellStart"/>
      <w:r w:rsidR="00467313">
        <w:t>informals</w:t>
      </w:r>
      <w:proofErr w:type="spellEnd"/>
      <w:r w:rsidR="00467313">
        <w:t>.  The f</w:t>
      </w:r>
      <w:r w:rsidR="009D136A" w:rsidRPr="002B722B">
        <w:t xml:space="preserve">acilitators’ proposals were in italics and needed to be approved by one or more Member States.  Any interventions by observers also had to be supported by one or more Member States. </w:t>
      </w:r>
    </w:p>
    <w:p w14:paraId="01312D2E" w14:textId="77777777" w:rsidR="008C0654" w:rsidRPr="002B722B" w:rsidRDefault="008C0654" w:rsidP="00500199"/>
    <w:p w14:paraId="569EFE00" w14:textId="13263975" w:rsidR="000617F6" w:rsidRPr="002B722B" w:rsidRDefault="00E826CC" w:rsidP="002B722B">
      <w:pPr>
        <w:pStyle w:val="ListParagraph"/>
        <w:numPr>
          <w:ilvl w:val="0"/>
          <w:numId w:val="4"/>
        </w:numPr>
        <w:ind w:left="0" w:firstLine="0"/>
      </w:pPr>
      <w:r>
        <w:t>Ms.</w:t>
      </w:r>
      <w:r w:rsidR="008C0654" w:rsidRPr="002B722B">
        <w:t xml:space="preserve"> Bagley</w:t>
      </w:r>
      <w:r>
        <w:t>, speaking on behalf of the facilitators,</w:t>
      </w:r>
      <w:r w:rsidR="008C0654" w:rsidRPr="002B722B">
        <w:t xml:space="preserve"> said </w:t>
      </w:r>
      <w:r>
        <w:t xml:space="preserve">that </w:t>
      </w:r>
      <w:r w:rsidR="008C0654" w:rsidRPr="002B722B">
        <w:t>they had spoken with a number of delegations about errors or omissions in Rev. 1 that would be corrected in Rev</w:t>
      </w:r>
      <w:r w:rsidR="002655AF">
        <w:t>.</w:t>
      </w:r>
      <w:r w:rsidR="008C0654" w:rsidRPr="002B722B">
        <w:t xml:space="preserve"> 2.  In Article 1, in Alt 2, paragraph (c), they had deleted the word “and” at the end of that clause and inserted at the end of paragraph (d).  In Article 4, they had deleted “protected” b</w:t>
      </w:r>
      <w:r w:rsidR="002655AF">
        <w:t>efore TCEs.  In Article 6</w:t>
      </w:r>
      <w:r w:rsidR="008C0654" w:rsidRPr="002B722B">
        <w:t>.1, they</w:t>
      </w:r>
      <w:r w:rsidR="002655AF">
        <w:t xml:space="preserve"> had inserted “where applicable” after “beneficiaries</w:t>
      </w:r>
      <w:r w:rsidR="002655AF" w:rsidRPr="002B722B">
        <w:t>”</w:t>
      </w:r>
      <w:r w:rsidR="002655AF">
        <w:t xml:space="preserve">. </w:t>
      </w:r>
      <w:r w:rsidR="002655AF" w:rsidRPr="002B722B">
        <w:t xml:space="preserve"> </w:t>
      </w:r>
      <w:r w:rsidR="008C0654" w:rsidRPr="002B722B">
        <w:t>In Article 7, in Alt 2, paragraph 2, t</w:t>
      </w:r>
      <w:r w:rsidR="002655AF">
        <w:t>hey had reinserted “for” after “</w:t>
      </w:r>
      <w:r w:rsidR="008C0654" w:rsidRPr="002B722B">
        <w:t>such as</w:t>
      </w:r>
      <w:r w:rsidR="002655AF">
        <w:t>”.</w:t>
      </w:r>
      <w:r w:rsidR="008C0654" w:rsidRPr="002B722B">
        <w:t xml:space="preserve">  In Article 10</w:t>
      </w:r>
      <w:r w:rsidR="002655AF">
        <w:t>.1, they had replaced “shall” with “</w:t>
      </w:r>
      <w:r w:rsidR="008C0654" w:rsidRPr="002B722B">
        <w:t>should/s</w:t>
      </w:r>
      <w:r w:rsidR="002655AF">
        <w:t>hall”.</w:t>
      </w:r>
      <w:r w:rsidR="008C0654" w:rsidRPr="002B722B">
        <w:t xml:space="preserve">  A Member State had requested in plenary for the</w:t>
      </w:r>
      <w:r w:rsidR="002655AF">
        <w:t xml:space="preserve"> global bracketing of the word “peoples”</w:t>
      </w:r>
      <w:r w:rsidR="008C0654" w:rsidRPr="002B722B">
        <w:t xml:space="preserve"> throughout the document, consistent with the TK text.  </w:t>
      </w:r>
    </w:p>
    <w:p w14:paraId="2C8319FF" w14:textId="77777777" w:rsidR="000617F6" w:rsidRPr="002B722B" w:rsidRDefault="000617F6" w:rsidP="00500199"/>
    <w:p w14:paraId="3C892254" w14:textId="60B74579" w:rsidR="000617F6" w:rsidRPr="002B722B" w:rsidRDefault="000617F6" w:rsidP="002B722B">
      <w:pPr>
        <w:pStyle w:val="ListParagraph"/>
        <w:numPr>
          <w:ilvl w:val="0"/>
          <w:numId w:val="4"/>
        </w:numPr>
        <w:ind w:left="0" w:firstLine="0"/>
      </w:pPr>
      <w:r w:rsidRPr="002B722B">
        <w:t>The Cha</w:t>
      </w:r>
      <w:r w:rsidR="00F90271">
        <w:t>ir said that the bracketing of “peoples”</w:t>
      </w:r>
      <w:r w:rsidRPr="002B722B">
        <w:t xml:space="preserve"> was a very sensitive political issue for indigenous peoples.  The issue went well outside of WIPO and the IGC.  Ultimately, as a norm it would be</w:t>
      </w:r>
      <w:r w:rsidR="00F90271">
        <w:t xml:space="preserve"> resolved at a political level.  </w:t>
      </w:r>
      <w:r w:rsidRPr="002B722B">
        <w:t xml:space="preserve">He opened the floor for interventions, article by article.  </w:t>
      </w:r>
    </w:p>
    <w:p w14:paraId="73F6D06C" w14:textId="77777777" w:rsidR="000617F6" w:rsidRPr="002B722B" w:rsidRDefault="000617F6" w:rsidP="00500199"/>
    <w:p w14:paraId="5EA6AC41" w14:textId="69B61CB4" w:rsidR="000617F6" w:rsidRPr="002B722B" w:rsidRDefault="00040155" w:rsidP="002B722B">
      <w:pPr>
        <w:pStyle w:val="ListParagraph"/>
        <w:numPr>
          <w:ilvl w:val="0"/>
          <w:numId w:val="4"/>
        </w:numPr>
        <w:ind w:left="0" w:firstLine="0"/>
      </w:pPr>
      <w:r>
        <w:t>Ms.</w:t>
      </w:r>
      <w:r w:rsidR="000617F6" w:rsidRPr="002B722B">
        <w:t xml:space="preserve"> </w:t>
      </w:r>
      <w:proofErr w:type="spellStart"/>
      <w:r w:rsidR="000617F6" w:rsidRPr="002B722B">
        <w:t>Hao’uli</w:t>
      </w:r>
      <w:proofErr w:type="spellEnd"/>
      <w:r>
        <w:t>, speaking on behalf of the facilitators,</w:t>
      </w:r>
      <w:r w:rsidR="000617F6" w:rsidRPr="002B722B">
        <w:t xml:space="preserve"> </w:t>
      </w:r>
      <w:r>
        <w:t>asked for comments on Article 1.</w:t>
      </w:r>
    </w:p>
    <w:p w14:paraId="3B2B1E8B" w14:textId="77777777" w:rsidR="000617F6" w:rsidRPr="002B722B" w:rsidRDefault="000617F6" w:rsidP="00500199"/>
    <w:p w14:paraId="003F87AD" w14:textId="2237C9D1" w:rsidR="0060772E" w:rsidRPr="002B722B" w:rsidRDefault="000617F6" w:rsidP="002B722B">
      <w:pPr>
        <w:pStyle w:val="ListParagraph"/>
        <w:numPr>
          <w:ilvl w:val="0"/>
          <w:numId w:val="4"/>
        </w:numPr>
        <w:ind w:left="0" w:firstLine="0"/>
      </w:pPr>
      <w:r w:rsidRPr="002B722B">
        <w:t xml:space="preserve">[Note from the Secretariat: </w:t>
      </w:r>
      <w:r w:rsidR="004C5FE4">
        <w:t xml:space="preserve"> </w:t>
      </w:r>
      <w:r>
        <w:t>a</w:t>
      </w:r>
      <w:r w:rsidRPr="00CE4AE5">
        <w:t xml:space="preserve">ll </w:t>
      </w:r>
      <w:r>
        <w:t>speakers</w:t>
      </w:r>
      <w:r w:rsidR="00BD5C8A">
        <w:t xml:space="preserve"> thanked the f</w:t>
      </w:r>
      <w:r w:rsidRPr="00CE4AE5">
        <w:t>acilitators for their work</w:t>
      </w:r>
      <w:r w:rsidRPr="002B722B">
        <w:t>.]</w:t>
      </w:r>
      <w:r w:rsidR="0060772E" w:rsidRPr="002B722B">
        <w:t xml:space="preserve">  The Delegation of the Philippines recalled that at IGC 33 it had made an interventi</w:t>
      </w:r>
      <w:r w:rsidR="00BB3F72">
        <w:t>on about the use of the word “free”</w:t>
      </w:r>
      <w:r w:rsidR="0060772E" w:rsidRPr="002B722B">
        <w:t xml:space="preserve"> to describe prior informed consent</w:t>
      </w:r>
      <w:r w:rsidR="00BB3F72">
        <w:t xml:space="preserve"> (“PIC”)</w:t>
      </w:r>
      <w:r w:rsidR="0060772E" w:rsidRPr="002B722B">
        <w:t xml:space="preserve">.  While it was happy to see that it was the case under Article 1, particularly Article 1(c), the term </w:t>
      </w:r>
      <w:r w:rsidR="00BB3F72">
        <w:t>PIC</w:t>
      </w:r>
      <w:r w:rsidR="0060772E" w:rsidRPr="002B722B">
        <w:t xml:space="preserve"> appeared in the res</w:t>
      </w:r>
      <w:r w:rsidR="00BB3F72">
        <w:t>t of the text without the word “</w:t>
      </w:r>
      <w:r w:rsidR="0060772E" w:rsidRPr="002B722B">
        <w:t>fre</w:t>
      </w:r>
      <w:r w:rsidR="00BB3F72">
        <w:t>e”.</w:t>
      </w:r>
      <w:r w:rsidR="0060772E" w:rsidRPr="002B722B">
        <w:t xml:space="preserve">  The term was not reflected consistently throughout the text and should be in the next revision.</w:t>
      </w:r>
    </w:p>
    <w:p w14:paraId="2044AEC6" w14:textId="77777777" w:rsidR="0060772E" w:rsidRPr="002B722B" w:rsidRDefault="0060772E" w:rsidP="00500199"/>
    <w:p w14:paraId="44D532AF" w14:textId="77777777" w:rsidR="003C639D" w:rsidRDefault="0060772E" w:rsidP="002B722B">
      <w:pPr>
        <w:pStyle w:val="ListParagraph"/>
        <w:numPr>
          <w:ilvl w:val="0"/>
          <w:numId w:val="4"/>
        </w:numPr>
        <w:ind w:left="0" w:firstLine="0"/>
      </w:pPr>
      <w:r w:rsidRPr="002B722B">
        <w:t>The Delegation of Indonesia, spe</w:t>
      </w:r>
      <w:r w:rsidR="007A00FC">
        <w:t>aking on behalf of the Asia</w:t>
      </w:r>
      <w:r w:rsidR="007A00FC">
        <w:noBreakHyphen/>
      </w:r>
      <w:r w:rsidRPr="002B722B">
        <w:t xml:space="preserve">Pacific Group, was happy to see that all positions delivered by Member States during both plenary and </w:t>
      </w:r>
      <w:proofErr w:type="spellStart"/>
      <w:r w:rsidRPr="002B722B">
        <w:t>informals</w:t>
      </w:r>
      <w:proofErr w:type="spellEnd"/>
      <w:r w:rsidRPr="002B722B">
        <w:t xml:space="preserve"> were reflected in Rev</w:t>
      </w:r>
      <w:r w:rsidR="003E2ED4">
        <w:t>.</w:t>
      </w:r>
      <w:r w:rsidRPr="002B722B">
        <w:t xml:space="preserve"> 1.  </w:t>
      </w:r>
      <w:r w:rsidR="00AA0112" w:rsidRPr="002B722B">
        <w:t>It would be delighted to see Rev</w:t>
      </w:r>
      <w:r w:rsidR="003E2ED4">
        <w:t>.</w:t>
      </w:r>
      <w:r w:rsidR="00AA0112" w:rsidRPr="002B722B">
        <w:t xml:space="preserve"> 2</w:t>
      </w:r>
      <w:r w:rsidRPr="002B722B">
        <w:t xml:space="preserve"> and would be happy to transmit it to the </w:t>
      </w:r>
      <w:r w:rsidR="007A00FC">
        <w:t>GA</w:t>
      </w:r>
      <w:r w:rsidRPr="002B722B">
        <w:t xml:space="preserve">.  </w:t>
      </w:r>
    </w:p>
    <w:p w14:paraId="03D963E9" w14:textId="77777777" w:rsidR="003C639D" w:rsidRDefault="003C639D" w:rsidP="003C639D"/>
    <w:p w14:paraId="05F19AE1" w14:textId="14A624DD" w:rsidR="00C11CC1" w:rsidRPr="002B722B" w:rsidRDefault="003C639D" w:rsidP="002B722B">
      <w:pPr>
        <w:pStyle w:val="ListParagraph"/>
        <w:numPr>
          <w:ilvl w:val="0"/>
          <w:numId w:val="4"/>
        </w:numPr>
        <w:ind w:left="0" w:firstLine="0"/>
      </w:pPr>
      <w:r>
        <w:t>The Delegation of Indonesia, s</w:t>
      </w:r>
      <w:r w:rsidR="0060772E" w:rsidRPr="002B722B">
        <w:t>p</w:t>
      </w:r>
      <w:r>
        <w:t>eaking on behalf of the LMCs,</w:t>
      </w:r>
      <w:r w:rsidR="0060772E" w:rsidRPr="002B722B">
        <w:t xml:space="preserve"> preferred Alt 1.  It welcomed the addition of </w:t>
      </w:r>
      <w:proofErr w:type="spellStart"/>
      <w:r>
        <w:t>Artles</w:t>
      </w:r>
      <w:proofErr w:type="spellEnd"/>
      <w:r w:rsidR="0060772E" w:rsidRPr="002B722B">
        <w:t xml:space="preserve"> 1.1(a) and 1.2, which provided more clarity.  The principles in original </w:t>
      </w:r>
      <w:r>
        <w:t>Article</w:t>
      </w:r>
      <w:r w:rsidR="0060772E" w:rsidRPr="002B722B">
        <w:t xml:space="preserve"> 1.1(d) and its option were already well reflected in an explicit way in the Preamble so they should be taken out of Alt 1. </w:t>
      </w:r>
    </w:p>
    <w:p w14:paraId="20CF6D67" w14:textId="77777777" w:rsidR="00C11CC1" w:rsidRPr="002B722B" w:rsidRDefault="00C11CC1" w:rsidP="00500199"/>
    <w:p w14:paraId="50A4BCB8" w14:textId="77777777" w:rsidR="00C11CC1" w:rsidRPr="002B722B" w:rsidRDefault="00C11CC1" w:rsidP="002B722B">
      <w:pPr>
        <w:pStyle w:val="ListParagraph"/>
        <w:numPr>
          <w:ilvl w:val="0"/>
          <w:numId w:val="4"/>
        </w:numPr>
        <w:ind w:left="0" w:firstLine="0"/>
      </w:pPr>
      <w:r w:rsidRPr="002B722B">
        <w:t>The Delegation of the EU, speaking on behalf of the EU and its Member States, said that “unauthorized” and “assertion” should be in brackets, as it could not have such a broad rights-based approach.  It had doubts about the new numbering of Article 1.  It asked to bracket paragraph (e) of Alt 2, given the important and problematic changes that addition bore.  It preferred the previous version of Alt 3.</w:t>
      </w:r>
    </w:p>
    <w:p w14:paraId="5AE8B070" w14:textId="77777777" w:rsidR="00C11CC1" w:rsidRPr="002B722B" w:rsidRDefault="00C11CC1" w:rsidP="00500199"/>
    <w:p w14:paraId="2BC5B179" w14:textId="3BA3F18E" w:rsidR="00C11CC1" w:rsidRPr="002B722B" w:rsidRDefault="00C11CC1" w:rsidP="002B722B">
      <w:pPr>
        <w:pStyle w:val="ListParagraph"/>
        <w:numPr>
          <w:ilvl w:val="0"/>
          <w:numId w:val="4"/>
        </w:numPr>
        <w:ind w:left="0" w:firstLine="0"/>
      </w:pPr>
      <w:r w:rsidRPr="002B722B">
        <w:t>The Delegation of Senegal, speaking on b</w:t>
      </w:r>
      <w:r w:rsidR="00072BAD">
        <w:t>ehalf of the African Group, stated that</w:t>
      </w:r>
      <w:r w:rsidRPr="002B722B">
        <w:t xml:space="preserve"> Rev. 1 reflected the views expressed.  It preferred Alt 1.  As underlined by the Delegation of Indonesia, </w:t>
      </w:r>
      <w:r w:rsidR="00072BAD">
        <w:t xml:space="preserve">on behalf of the LMCs, </w:t>
      </w:r>
      <w:r w:rsidRPr="002B722B">
        <w:t xml:space="preserve">Option (d) of Alt 1 would be better placed in the Preamble. </w:t>
      </w:r>
    </w:p>
    <w:p w14:paraId="5A36414D" w14:textId="77777777" w:rsidR="00C11CC1" w:rsidRPr="002B722B" w:rsidRDefault="00C11CC1" w:rsidP="00500199"/>
    <w:p w14:paraId="6E7418B6" w14:textId="2EE60390" w:rsidR="003F15AD" w:rsidRPr="002B722B" w:rsidRDefault="00C51B16" w:rsidP="002B722B">
      <w:pPr>
        <w:pStyle w:val="ListParagraph"/>
        <w:numPr>
          <w:ilvl w:val="0"/>
          <w:numId w:val="4"/>
        </w:numPr>
        <w:ind w:left="0" w:firstLine="0"/>
      </w:pPr>
      <w:r>
        <w:t>The Delegation of Uganda stated</w:t>
      </w:r>
      <w:r w:rsidR="00C11CC1" w:rsidRPr="002B722B">
        <w:t xml:space="preserve"> that the word “protect” in </w:t>
      </w:r>
      <w:r>
        <w:t>Article</w:t>
      </w:r>
      <w:r w:rsidR="00C11CC1" w:rsidRPr="002B722B">
        <w:t xml:space="preserve"> 1(d) in Alt 1 and </w:t>
      </w:r>
      <w:r>
        <w:t>Article</w:t>
      </w:r>
      <w:r w:rsidR="00C11CC1" w:rsidRPr="002B722B">
        <w:t xml:space="preserve"> 1(a) in Alt 2 should be removed for consistency with the whole document because the overall objective was the protection of TCEs.  </w:t>
      </w:r>
    </w:p>
    <w:p w14:paraId="76E4F3FA" w14:textId="77777777" w:rsidR="003F15AD" w:rsidRPr="002B722B" w:rsidRDefault="003F15AD" w:rsidP="00500199"/>
    <w:p w14:paraId="4870B362" w14:textId="312B9D3B" w:rsidR="003F15AD" w:rsidRPr="002B722B" w:rsidRDefault="003F15AD" w:rsidP="002B722B">
      <w:pPr>
        <w:pStyle w:val="ListParagraph"/>
        <w:numPr>
          <w:ilvl w:val="0"/>
          <w:numId w:val="4"/>
        </w:numPr>
        <w:ind w:left="0" w:firstLine="0"/>
      </w:pPr>
      <w:r w:rsidRPr="002B722B">
        <w:t xml:space="preserve">The Delegation of the Islamic Republic of Iran aligned itself with </w:t>
      </w:r>
      <w:r w:rsidR="00BF0E65">
        <w:t xml:space="preserve">the position of the Delegation of Indonesia, on behalf </w:t>
      </w:r>
      <w:r w:rsidRPr="002B722B">
        <w:t>the LMC</w:t>
      </w:r>
      <w:r w:rsidR="00BF0E65">
        <w:t>s,</w:t>
      </w:r>
      <w:r w:rsidRPr="002B722B">
        <w:t xml:space="preserve"> with regard to Alt 1.  The content of paragraph (d) was already addressed adequately in the Preamble and should be deleted from Alt 1.  </w:t>
      </w:r>
    </w:p>
    <w:p w14:paraId="269E904B" w14:textId="77777777" w:rsidR="003F15AD" w:rsidRPr="002B722B" w:rsidRDefault="003F15AD" w:rsidP="00500199"/>
    <w:p w14:paraId="2C1250FC" w14:textId="36CF8600" w:rsidR="00541561" w:rsidRPr="002B722B" w:rsidRDefault="003F15AD" w:rsidP="002B722B">
      <w:pPr>
        <w:pStyle w:val="ListParagraph"/>
        <w:numPr>
          <w:ilvl w:val="0"/>
          <w:numId w:val="4"/>
        </w:numPr>
        <w:ind w:left="0" w:firstLine="0"/>
      </w:pPr>
      <w:r w:rsidRPr="002B722B">
        <w:t xml:space="preserve">The representative of </w:t>
      </w:r>
      <w:proofErr w:type="spellStart"/>
      <w:r w:rsidRPr="002B722B">
        <w:t>Tebtebba</w:t>
      </w:r>
      <w:proofErr w:type="spellEnd"/>
      <w:r w:rsidRPr="002B722B">
        <w:t xml:space="preserve"> Foundation, speaking on behalf of the Indigenous Caucus, was happy to work on the basis of Alt 4 because it was streamlined, balanced and reflected the desire of indigenous peoples to prevent the misappropriation of TCEs.  Yet there seemed to be some inconsistency in the formulation.  It was better to say “protect” rather than “promote the protection” since it was more consistent with the </w:t>
      </w:r>
      <w:r w:rsidR="005237A9">
        <w:t>first part, which said “prevent</w:t>
      </w:r>
      <w:r w:rsidRPr="002B722B">
        <w:t>”</w:t>
      </w:r>
      <w:r w:rsidR="005237A9">
        <w:t>.</w:t>
      </w:r>
      <w:r w:rsidRPr="002B722B">
        <w:t xml:space="preserve">  She</w:t>
      </w:r>
      <w:r w:rsidR="005237A9">
        <w:t xml:space="preserve"> wondered whether</w:t>
      </w:r>
      <w:r w:rsidRPr="002B722B">
        <w:t xml:space="preserve"> it was necessary to have “within the IP system” because anything developed by WIPO would necessarily be within</w:t>
      </w:r>
      <w:r w:rsidR="005237A9">
        <w:t xml:space="preserve"> the IP system.  She preferred IPLCs</w:t>
      </w:r>
      <w:r w:rsidRPr="002B722B">
        <w:t xml:space="preserve"> rather than “beneficiaries” towards the end of the alternative.  </w:t>
      </w:r>
    </w:p>
    <w:p w14:paraId="55B98ED0" w14:textId="77777777" w:rsidR="00541561" w:rsidRPr="002B722B" w:rsidRDefault="00541561" w:rsidP="00500199"/>
    <w:p w14:paraId="4AA8B567" w14:textId="77777777" w:rsidR="0045523D" w:rsidRPr="002B722B" w:rsidRDefault="00541561" w:rsidP="002B722B">
      <w:pPr>
        <w:pStyle w:val="ListParagraph"/>
        <w:numPr>
          <w:ilvl w:val="0"/>
          <w:numId w:val="4"/>
        </w:numPr>
        <w:ind w:left="0" w:firstLine="0"/>
      </w:pPr>
      <w:r w:rsidRPr="002B722B">
        <w:t xml:space="preserve">The Delegation of Colombia supported the proposal. </w:t>
      </w:r>
    </w:p>
    <w:p w14:paraId="45440337" w14:textId="77777777" w:rsidR="0045523D" w:rsidRPr="002B722B" w:rsidRDefault="0045523D" w:rsidP="00500199"/>
    <w:p w14:paraId="5D3C23CE" w14:textId="441536F4" w:rsidR="0045523D" w:rsidRPr="002B722B" w:rsidRDefault="0045523D" w:rsidP="002B722B">
      <w:pPr>
        <w:pStyle w:val="ListParagraph"/>
        <w:numPr>
          <w:ilvl w:val="0"/>
          <w:numId w:val="4"/>
        </w:numPr>
        <w:ind w:left="0" w:firstLine="0"/>
      </w:pPr>
      <w:r w:rsidRPr="002B722B">
        <w:t>The representative of Tupaj Amaru said Article 1 did not state whether it was about TK or TCEs.  Each of the documents should lay out clearly what it was about.  For years he had been opposed to the utilization of terms such as “p</w:t>
      </w:r>
      <w:r w:rsidR="00EC2A6F">
        <w:t>olicy objectives</w:t>
      </w:r>
      <w:r w:rsidRPr="002B722B">
        <w:t>”</w:t>
      </w:r>
      <w:r w:rsidR="00EC2A6F">
        <w:t>.  Alt 1 should state “shall”</w:t>
      </w:r>
      <w:r w:rsidRPr="002B722B">
        <w:t xml:space="preserve"> in each of its sentences.  The objective was the protection of TCE</w:t>
      </w:r>
      <w:r w:rsidR="00EC2A6F">
        <w:t>s.  He proposed the following: “</w:t>
      </w:r>
      <w:r w:rsidRPr="002B722B">
        <w:t>shall protect TCEs, including all the forms of expression maintained and transmitted from generation to generat</w:t>
      </w:r>
      <w:r w:rsidR="00192A29">
        <w:t>ion.”</w:t>
      </w:r>
    </w:p>
    <w:p w14:paraId="673672F8" w14:textId="77777777" w:rsidR="0045523D" w:rsidRPr="002B722B" w:rsidRDefault="0045523D" w:rsidP="00500199"/>
    <w:p w14:paraId="2EE58BD5" w14:textId="5A2E905F" w:rsidR="00607FE9" w:rsidRPr="002B722B" w:rsidRDefault="00BD5C8A" w:rsidP="002B722B">
      <w:pPr>
        <w:pStyle w:val="ListParagraph"/>
        <w:numPr>
          <w:ilvl w:val="0"/>
          <w:numId w:val="4"/>
        </w:numPr>
        <w:ind w:left="0" w:firstLine="0"/>
      </w:pPr>
      <w:r w:rsidRPr="002B722B">
        <w:lastRenderedPageBreak/>
        <w:t xml:space="preserve">The Chair </w:t>
      </w:r>
      <w:r>
        <w:t>noted that there was no support from a</w:t>
      </w:r>
      <w:r w:rsidRPr="002B722B">
        <w:t xml:space="preserve"> Member State </w:t>
      </w:r>
      <w:r>
        <w:t>for the</w:t>
      </w:r>
      <w:r w:rsidRPr="002B722B">
        <w:t xml:space="preserve"> proposal</w:t>
      </w:r>
      <w:r>
        <w:t xml:space="preserve"> made by the representative of Tupaj Amaru</w:t>
      </w:r>
      <w:r w:rsidR="0045523D" w:rsidRPr="002B722B">
        <w:t xml:space="preserve">.  </w:t>
      </w:r>
    </w:p>
    <w:p w14:paraId="373227E5" w14:textId="77777777" w:rsidR="00607FE9" w:rsidRPr="002B722B" w:rsidRDefault="00607FE9" w:rsidP="00500199"/>
    <w:p w14:paraId="1A315AE7" w14:textId="3803D77D" w:rsidR="00607FE9" w:rsidRPr="002B722B" w:rsidRDefault="00607FE9" w:rsidP="002B722B">
      <w:pPr>
        <w:pStyle w:val="ListParagraph"/>
        <w:numPr>
          <w:ilvl w:val="0"/>
          <w:numId w:val="4"/>
        </w:numPr>
        <w:ind w:left="0" w:firstLine="0"/>
      </w:pPr>
      <w:r w:rsidRPr="002B722B">
        <w:t>The Delegation of Egypt supported Alt 1 and proposed that subparagraph (d) be included in the Preamble.  The term “encourage” di</w:t>
      </w:r>
      <w:r w:rsidR="00192A29">
        <w:t>d not reflect a legal provision and</w:t>
      </w:r>
      <w:r w:rsidRPr="002B722B">
        <w:t xml:space="preserve"> it was a principle. </w:t>
      </w:r>
    </w:p>
    <w:p w14:paraId="72791A2B" w14:textId="77777777" w:rsidR="00607FE9" w:rsidRPr="002B722B" w:rsidRDefault="00607FE9" w:rsidP="00500199"/>
    <w:p w14:paraId="2AEDE40D" w14:textId="5CE2B626" w:rsidR="00607FE9" w:rsidRPr="002B722B" w:rsidRDefault="00607FE9" w:rsidP="002B722B">
      <w:pPr>
        <w:pStyle w:val="ListParagraph"/>
        <w:numPr>
          <w:ilvl w:val="0"/>
          <w:numId w:val="4"/>
        </w:numPr>
        <w:ind w:left="0" w:firstLine="0"/>
      </w:pPr>
      <w:r w:rsidRPr="002B722B">
        <w:t xml:space="preserve">The Delegation of Switzerland noted a minor change in Alt 3. </w:t>
      </w:r>
      <w:r w:rsidR="00192A29">
        <w:t xml:space="preserve"> </w:t>
      </w:r>
      <w:r w:rsidRPr="002B722B">
        <w:t>It was still analyzing whether there would actually be a difference by bringing in that change.  It preferred maintaining the original language along, as stated by the Delegation of the EU</w:t>
      </w:r>
      <w:r w:rsidR="00192A29">
        <w:t>, on behalf of the EU and its Member States</w:t>
      </w:r>
      <w:r w:rsidRPr="002B722B">
        <w:t xml:space="preserve">.  </w:t>
      </w:r>
    </w:p>
    <w:p w14:paraId="03528717" w14:textId="77777777" w:rsidR="00607FE9" w:rsidRPr="002B722B" w:rsidRDefault="00607FE9" w:rsidP="00500199"/>
    <w:p w14:paraId="101531F5" w14:textId="77777777" w:rsidR="00607FE9" w:rsidRPr="002B722B" w:rsidRDefault="00607FE9" w:rsidP="002B722B">
      <w:pPr>
        <w:pStyle w:val="ListParagraph"/>
        <w:numPr>
          <w:ilvl w:val="0"/>
          <w:numId w:val="4"/>
        </w:numPr>
        <w:ind w:left="0" w:firstLine="0"/>
      </w:pPr>
      <w:r w:rsidRPr="002B722B">
        <w:t xml:space="preserve">The Delegation of Japan preferred Alt 2.  It also supported paragraph (e) in Alt 2 because preventing the grant or assertion of IP right was essential.  </w:t>
      </w:r>
    </w:p>
    <w:p w14:paraId="182A4B1E" w14:textId="77777777" w:rsidR="00607FE9" w:rsidRPr="002B722B" w:rsidRDefault="00607FE9" w:rsidP="00500199"/>
    <w:p w14:paraId="2990707A" w14:textId="7FFED169" w:rsidR="00607FE9" w:rsidRPr="002B722B" w:rsidRDefault="00607FE9" w:rsidP="002B722B">
      <w:pPr>
        <w:pStyle w:val="ListParagraph"/>
        <w:numPr>
          <w:ilvl w:val="0"/>
          <w:numId w:val="4"/>
        </w:numPr>
        <w:ind w:left="0" w:firstLine="0"/>
      </w:pPr>
      <w:r w:rsidRPr="002B722B">
        <w:t>The Delegation of the USA supported the qua</w:t>
      </w:r>
      <w:r w:rsidR="009D3C7C">
        <w:t>lifying word “protected”</w:t>
      </w:r>
      <w:r w:rsidRPr="002B722B">
        <w:t xml:space="preserve"> before TCEs in Alt 2, paragraph (a).  </w:t>
      </w:r>
    </w:p>
    <w:p w14:paraId="2537C31A" w14:textId="77777777" w:rsidR="00607FE9" w:rsidRPr="002B722B" w:rsidRDefault="00607FE9" w:rsidP="00500199"/>
    <w:p w14:paraId="67447A8F" w14:textId="37631B13" w:rsidR="00064DC0" w:rsidRPr="002B722B" w:rsidRDefault="009D3C7C" w:rsidP="002B722B">
      <w:pPr>
        <w:pStyle w:val="ListParagraph"/>
        <w:numPr>
          <w:ilvl w:val="0"/>
          <w:numId w:val="4"/>
        </w:numPr>
        <w:ind w:left="0" w:firstLine="0"/>
      </w:pPr>
      <w:r>
        <w:t>Ms.</w:t>
      </w:r>
      <w:r w:rsidR="00607FE9" w:rsidRPr="002B722B">
        <w:t xml:space="preserve"> </w:t>
      </w:r>
      <w:proofErr w:type="spellStart"/>
      <w:r w:rsidR="00607FE9" w:rsidRPr="002B722B">
        <w:t>Hao’uli</w:t>
      </w:r>
      <w:proofErr w:type="spellEnd"/>
      <w:r>
        <w:t>, speaking on behalf of</w:t>
      </w:r>
      <w:r w:rsidR="00607FE9" w:rsidRPr="002B722B">
        <w:t xml:space="preserve"> </w:t>
      </w:r>
      <w:r>
        <w:t>the facilitators, invited comments on Article 4.</w:t>
      </w:r>
    </w:p>
    <w:p w14:paraId="491EB00B" w14:textId="77777777" w:rsidR="00064DC0" w:rsidRPr="002B722B" w:rsidRDefault="00064DC0" w:rsidP="00500199"/>
    <w:p w14:paraId="395465A5" w14:textId="77777777" w:rsidR="00064DC0" w:rsidRPr="002B722B" w:rsidRDefault="00064DC0" w:rsidP="002B722B">
      <w:pPr>
        <w:pStyle w:val="ListParagraph"/>
        <w:numPr>
          <w:ilvl w:val="0"/>
          <w:numId w:val="4"/>
        </w:numPr>
        <w:ind w:left="0" w:firstLine="0"/>
      </w:pPr>
      <w:r w:rsidRPr="002B722B">
        <w:t xml:space="preserve">The Delegation of Indonesia, speaking on behalf of the LMCs, preferred Alt 3, as there was a need for flexibilities on beneficiaries. </w:t>
      </w:r>
    </w:p>
    <w:p w14:paraId="75CC4800" w14:textId="77777777" w:rsidR="00064DC0" w:rsidRPr="002B722B" w:rsidRDefault="00064DC0" w:rsidP="00500199"/>
    <w:p w14:paraId="38F318C5" w14:textId="1D65BDAA" w:rsidR="00064DC0" w:rsidRPr="002B722B" w:rsidRDefault="00064DC0" w:rsidP="002B722B">
      <w:pPr>
        <w:pStyle w:val="ListParagraph"/>
        <w:numPr>
          <w:ilvl w:val="0"/>
          <w:numId w:val="4"/>
        </w:numPr>
        <w:ind w:left="0" w:firstLine="0"/>
      </w:pPr>
      <w:r w:rsidRPr="002B722B">
        <w:t>The Delegation of the USA</w:t>
      </w:r>
      <w:r w:rsidR="00A15422">
        <w:t xml:space="preserve"> supported the use of the word “protected”</w:t>
      </w:r>
      <w:r w:rsidRPr="002B722B">
        <w:t xml:space="preserve"> in brackets before TCEs in Alt 4.</w:t>
      </w:r>
    </w:p>
    <w:p w14:paraId="6109FF47" w14:textId="77777777" w:rsidR="00064DC0" w:rsidRPr="002B722B" w:rsidRDefault="00064DC0" w:rsidP="00500199"/>
    <w:p w14:paraId="57932C18" w14:textId="578B07C7" w:rsidR="00064DC0" w:rsidRPr="002B722B" w:rsidRDefault="00064DC0" w:rsidP="002B722B">
      <w:pPr>
        <w:pStyle w:val="ListParagraph"/>
        <w:numPr>
          <w:ilvl w:val="0"/>
          <w:numId w:val="4"/>
        </w:numPr>
        <w:ind w:left="0" w:firstLine="0"/>
      </w:pPr>
      <w:r w:rsidRPr="002B722B">
        <w:t>The Delegation of Colombia, speaking on behalf of GRULAC, welcomed Alt 4, th</w:t>
      </w:r>
      <w:r w:rsidR="00A15422">
        <w:t>ough some Member States in the G</w:t>
      </w:r>
      <w:r w:rsidRPr="002B722B">
        <w:t xml:space="preserve">roup had some questions with regard to the content. </w:t>
      </w:r>
    </w:p>
    <w:p w14:paraId="440F84BD" w14:textId="77777777" w:rsidR="00064DC0" w:rsidRPr="002B722B" w:rsidRDefault="00064DC0" w:rsidP="00500199"/>
    <w:p w14:paraId="22640F58" w14:textId="69EF13B1" w:rsidR="00064DC0" w:rsidRPr="002B722B" w:rsidRDefault="00064DC0" w:rsidP="002B722B">
      <w:pPr>
        <w:pStyle w:val="ListParagraph"/>
        <w:numPr>
          <w:ilvl w:val="0"/>
          <w:numId w:val="4"/>
        </w:numPr>
        <w:ind w:left="0" w:firstLine="0"/>
      </w:pPr>
      <w:r w:rsidRPr="002B722B">
        <w:t>The Delegation of Senegal, speaking on behalf of the African Group, preferred Alt 3, which</w:t>
      </w:r>
      <w:r w:rsidR="00A15422">
        <w:t xml:space="preserve"> provided most flexibility for S</w:t>
      </w:r>
      <w:r w:rsidRPr="002B722B">
        <w:t xml:space="preserve">tates. </w:t>
      </w:r>
    </w:p>
    <w:p w14:paraId="73AD5DC9" w14:textId="77777777" w:rsidR="00064DC0" w:rsidRPr="002B722B" w:rsidRDefault="00064DC0" w:rsidP="00500199"/>
    <w:p w14:paraId="5CF3D869" w14:textId="2EC6DA70" w:rsidR="00466ADA" w:rsidRPr="002B722B" w:rsidRDefault="00064DC0" w:rsidP="002B722B">
      <w:pPr>
        <w:pStyle w:val="ListParagraph"/>
        <w:numPr>
          <w:ilvl w:val="0"/>
          <w:numId w:val="4"/>
        </w:numPr>
        <w:ind w:left="0" w:firstLine="0"/>
      </w:pPr>
      <w:r w:rsidRPr="002B722B">
        <w:t>The Delegation of the EU, speaking on behalf of the EU and its Member States, said that the interpretation of “and” was not clear.  It wished to understand if “and” meant for a cumulative or alternative definition.  The definition of other beneficiaries was not clearly defined and woul</w:t>
      </w:r>
      <w:r w:rsidR="00A15422">
        <w:t>d be problematic if nations or S</w:t>
      </w:r>
      <w:r w:rsidRPr="002B722B">
        <w:t xml:space="preserve">tates were to be understood by that.  It welcomed clarification on the exact meaning. </w:t>
      </w:r>
    </w:p>
    <w:p w14:paraId="11C21FAB" w14:textId="77777777" w:rsidR="00466ADA" w:rsidRPr="002B722B" w:rsidRDefault="00466ADA" w:rsidP="00500199"/>
    <w:p w14:paraId="5F45AFB2" w14:textId="659070A9" w:rsidR="00466ADA" w:rsidRPr="002B722B" w:rsidRDefault="00466ADA" w:rsidP="002B722B">
      <w:pPr>
        <w:pStyle w:val="ListParagraph"/>
        <w:numPr>
          <w:ilvl w:val="0"/>
          <w:numId w:val="4"/>
        </w:numPr>
        <w:ind w:left="0" w:firstLine="0"/>
      </w:pPr>
      <w:r w:rsidRPr="002B722B">
        <w:t xml:space="preserve">The Delegation of Egypt preferred Alt 3, which was a balanced and flexible alternative, guaranteeing easy implementation by Member States.  It was not excluding any beneficiaries and took into account all </w:t>
      </w:r>
      <w:r w:rsidR="00F0581A" w:rsidRPr="002B722B">
        <w:t xml:space="preserve">possible </w:t>
      </w:r>
      <w:r w:rsidRPr="002B722B">
        <w:t xml:space="preserve">practical circumstances. </w:t>
      </w:r>
    </w:p>
    <w:p w14:paraId="0F7231EF" w14:textId="77777777" w:rsidR="00466ADA" w:rsidRPr="002B722B" w:rsidRDefault="00466ADA" w:rsidP="00500199"/>
    <w:p w14:paraId="2AF25160" w14:textId="77777777" w:rsidR="00626632" w:rsidRPr="002B722B" w:rsidRDefault="00466ADA" w:rsidP="002B722B">
      <w:pPr>
        <w:pStyle w:val="ListParagraph"/>
        <w:numPr>
          <w:ilvl w:val="0"/>
          <w:numId w:val="4"/>
        </w:numPr>
        <w:ind w:left="0" w:firstLine="0"/>
      </w:pPr>
      <w:r w:rsidRPr="002B722B">
        <w:t xml:space="preserve">The Delegation of Argentina preferred Alt 3, but it welcomed the wording used in Alt 4, which distinguished clearly between indigenous peoples on the one hand and local communities and beneficiaries on the other.  The concept of indigenous peoples enabled to identify specifically who the beneficiaries were.  Although it understood the need to maintain a reference to local communities and other beneficiaries, the term was not defined and would have to be established under national legislation.  The wording in Alt 4 was clearer than in Alt 3.  It asked to use similar wording for Alt 3.  </w:t>
      </w:r>
    </w:p>
    <w:p w14:paraId="2D28A884" w14:textId="77777777" w:rsidR="00626632" w:rsidRPr="002B722B" w:rsidRDefault="00626632" w:rsidP="00500199"/>
    <w:p w14:paraId="0BD5A53A" w14:textId="74C5A195" w:rsidR="00626632" w:rsidRPr="002B722B" w:rsidRDefault="00626632" w:rsidP="002B722B">
      <w:pPr>
        <w:pStyle w:val="ListParagraph"/>
        <w:numPr>
          <w:ilvl w:val="0"/>
          <w:numId w:val="4"/>
        </w:numPr>
        <w:ind w:left="0" w:firstLine="0"/>
      </w:pPr>
      <w:r w:rsidRPr="002B722B">
        <w:t>The Delegation of the Islamic Republic of Iran reiterated its concern regarding the title of the article.  It was not in favor of includin</w:t>
      </w:r>
      <w:r w:rsidR="009C2862">
        <w:t>g the word “safeguarding”</w:t>
      </w:r>
      <w:r w:rsidRPr="002B722B">
        <w:t xml:space="preserve"> in the title.  Along with </w:t>
      </w:r>
      <w:r w:rsidR="009C2862">
        <w:t>the Delegation of Indonesia, speaking on behalf of the</w:t>
      </w:r>
      <w:r w:rsidRPr="002B722B">
        <w:t xml:space="preserve"> LMC</w:t>
      </w:r>
      <w:r w:rsidR="009C2862">
        <w:t>s,</w:t>
      </w:r>
      <w:r w:rsidRPr="002B722B">
        <w:t xml:space="preserve"> it favored Alt 3, which carried enough policy room for all Member States.  At the same time, it saw merit in Alt 4, which, with some tweaks in the language, could provide a landing zone.  </w:t>
      </w:r>
    </w:p>
    <w:p w14:paraId="1E304A4F" w14:textId="77777777" w:rsidR="00626632" w:rsidRPr="002B722B" w:rsidRDefault="00626632" w:rsidP="00500199"/>
    <w:p w14:paraId="3D9F80EE" w14:textId="5F3D3C91" w:rsidR="0048557A" w:rsidRPr="002B722B" w:rsidRDefault="00626632" w:rsidP="002B722B">
      <w:pPr>
        <w:pStyle w:val="ListParagraph"/>
        <w:numPr>
          <w:ilvl w:val="0"/>
          <w:numId w:val="4"/>
        </w:numPr>
        <w:ind w:left="0" w:firstLine="0"/>
      </w:pPr>
      <w:r w:rsidRPr="002B722B">
        <w:lastRenderedPageBreak/>
        <w:t xml:space="preserve">The Delegation of Uganda supported </w:t>
      </w:r>
      <w:r w:rsidR="000D3ACD">
        <w:t>the statement made by the Delegation of Senegal, on behalf of</w:t>
      </w:r>
      <w:r w:rsidRPr="002B722B">
        <w:t xml:space="preserve"> the African Group</w:t>
      </w:r>
      <w:r w:rsidR="000D3ACD">
        <w:t>, and it favored Alt 3</w:t>
      </w:r>
      <w:r w:rsidRPr="002B722B">
        <w:t xml:space="preserve">.  It sought clarification on the reference to </w:t>
      </w:r>
      <w:r w:rsidR="00492CF0" w:rsidRPr="002B722B">
        <w:t>“</w:t>
      </w:r>
      <w:r w:rsidRPr="002B722B">
        <w:t>other beneficiaries as may b</w:t>
      </w:r>
      <w:r w:rsidR="000D3ACD">
        <w:t>e designated under national law</w:t>
      </w:r>
      <w:r w:rsidR="00492CF0" w:rsidRPr="002B722B">
        <w:t>”</w:t>
      </w:r>
      <w:r w:rsidR="000D3ACD">
        <w:t>.</w:t>
      </w:r>
      <w:r w:rsidRPr="002B722B">
        <w:t xml:space="preserve">  That was intended to provide flexibilities and policy space for some countries </w:t>
      </w:r>
      <w:r w:rsidR="00492CF0" w:rsidRPr="002B722B">
        <w:t>that</w:t>
      </w:r>
      <w:r w:rsidRPr="002B722B">
        <w:t xml:space="preserve"> might have within their borders people</w:t>
      </w:r>
      <w:r w:rsidR="000D3ACD">
        <w:t>s</w:t>
      </w:r>
      <w:r w:rsidRPr="002B722B">
        <w:t xml:space="preserve"> who did not belong to ILCs but who practiced their own TCEs</w:t>
      </w:r>
      <w:r w:rsidR="00492CF0" w:rsidRPr="002B722B">
        <w:t xml:space="preserve">, whether inside the borders of a country </w:t>
      </w:r>
      <w:r w:rsidRPr="002B722B">
        <w:t xml:space="preserve">or </w:t>
      </w:r>
      <w:r w:rsidR="00492CF0" w:rsidRPr="002B722B">
        <w:t>having</w:t>
      </w:r>
      <w:r w:rsidRPr="002B722B">
        <w:t xml:space="preserve"> created hybrid expressions of their cultures through interruption and assimilation.  A key example of such other beneficiaries </w:t>
      </w:r>
      <w:r w:rsidR="00492CF0" w:rsidRPr="002B722B">
        <w:t>was</w:t>
      </w:r>
      <w:r w:rsidRPr="002B722B">
        <w:t xml:space="preserve"> refugees.  Uganda was host to approximately a million refugees from its neighboring countries.  </w:t>
      </w:r>
      <w:r w:rsidR="00492CF0" w:rsidRPr="002B722B">
        <w:t>They</w:t>
      </w:r>
      <w:r w:rsidRPr="002B722B">
        <w:t xml:space="preserve"> produced their own TCEs and countries should have some flexibility to extend some rights to them.</w:t>
      </w:r>
    </w:p>
    <w:p w14:paraId="2B220833" w14:textId="77777777" w:rsidR="0048557A" w:rsidRPr="002B722B" w:rsidRDefault="0048557A" w:rsidP="00500199"/>
    <w:p w14:paraId="53A148EB" w14:textId="0B8A7BAE" w:rsidR="0048557A" w:rsidRPr="002B722B" w:rsidRDefault="0048557A" w:rsidP="002B722B">
      <w:pPr>
        <w:pStyle w:val="ListParagraph"/>
        <w:numPr>
          <w:ilvl w:val="0"/>
          <w:numId w:val="4"/>
        </w:numPr>
        <w:ind w:left="0" w:firstLine="0"/>
      </w:pPr>
      <w:r w:rsidRPr="002B722B">
        <w:t xml:space="preserve">The representative of Tupaj Amaru said that the article did not mention the transmission from one generation to the next.  He insisted to maintain that principle. </w:t>
      </w:r>
      <w:r w:rsidR="000D3ACD">
        <w:t xml:space="preserve"> </w:t>
      </w:r>
      <w:r w:rsidRPr="002B722B">
        <w:t xml:space="preserve">He did not believe that other societies or business people could be beneficiaries.  IPLCs were the main beneficiaries. </w:t>
      </w:r>
    </w:p>
    <w:p w14:paraId="6D7748A5" w14:textId="77777777" w:rsidR="0048557A" w:rsidRPr="002B722B" w:rsidRDefault="0048557A" w:rsidP="00500199"/>
    <w:p w14:paraId="142AC3A7" w14:textId="331F4B9F" w:rsidR="0048557A" w:rsidRPr="002B722B" w:rsidRDefault="0048557A" w:rsidP="002B722B">
      <w:pPr>
        <w:pStyle w:val="ListParagraph"/>
        <w:numPr>
          <w:ilvl w:val="0"/>
          <w:numId w:val="4"/>
        </w:numPr>
        <w:ind w:left="0" w:firstLine="0"/>
      </w:pPr>
      <w:r w:rsidRPr="002B722B">
        <w:t>The Delegation o</w:t>
      </w:r>
      <w:r w:rsidR="00670378">
        <w:t>f Colombia asked that the word “protected”</w:t>
      </w:r>
      <w:r w:rsidRPr="002B722B">
        <w:t xml:space="preserve"> be in brackets, as that might limit the TCEs.  There was controversy over what was protected or not.  </w:t>
      </w:r>
    </w:p>
    <w:p w14:paraId="47A08BC0" w14:textId="77777777" w:rsidR="0048557A" w:rsidRPr="002B722B" w:rsidRDefault="0048557A" w:rsidP="00500199"/>
    <w:p w14:paraId="751E136C" w14:textId="77777777" w:rsidR="00442E27" w:rsidRPr="002B722B" w:rsidRDefault="0048557A" w:rsidP="002B722B">
      <w:pPr>
        <w:pStyle w:val="ListParagraph"/>
        <w:numPr>
          <w:ilvl w:val="0"/>
          <w:numId w:val="4"/>
        </w:numPr>
        <w:ind w:left="0" w:firstLine="0"/>
      </w:pPr>
      <w:r w:rsidRPr="002B722B">
        <w:t>The Delegation of Bolivia (</w:t>
      </w:r>
      <w:proofErr w:type="spellStart"/>
      <w:r w:rsidRPr="002B722B">
        <w:t>Plurinational</w:t>
      </w:r>
      <w:proofErr w:type="spellEnd"/>
      <w:r w:rsidRPr="002B722B">
        <w:t xml:space="preserve"> State of) preferred Alt 1 with the deletion or bracketing of the term “protected” as stated by the Delegation of Colombia, because there would be sensitivities for determining what TCEs were protected or not.  That was directly correlated to what had been stated at IGC 32 on TK.  It did not know if it was possible to have criteria with regard to Article 3.  </w:t>
      </w:r>
    </w:p>
    <w:p w14:paraId="1DDC0BCD" w14:textId="77777777" w:rsidR="00442E27" w:rsidRPr="002B722B" w:rsidRDefault="00442E27" w:rsidP="00500199"/>
    <w:p w14:paraId="1DBD6ACD" w14:textId="03022BCD" w:rsidR="00442E27" w:rsidRPr="002B722B" w:rsidRDefault="00442E27" w:rsidP="002B722B">
      <w:pPr>
        <w:pStyle w:val="ListParagraph"/>
        <w:numPr>
          <w:ilvl w:val="0"/>
          <w:numId w:val="4"/>
        </w:numPr>
        <w:ind w:left="0" w:firstLine="0"/>
      </w:pPr>
      <w:r w:rsidRPr="002B722B">
        <w:t xml:space="preserve">The representative of </w:t>
      </w:r>
      <w:proofErr w:type="spellStart"/>
      <w:r w:rsidRPr="002B722B">
        <w:t>Tebtebba</w:t>
      </w:r>
      <w:proofErr w:type="spellEnd"/>
      <w:r w:rsidRPr="002B722B">
        <w:t xml:space="preserve"> Foundation, speaking on behalf of the Indigenous Caucus, thanked the proponent of Alt 4 and the other </w:t>
      </w:r>
      <w:r w:rsidR="009A6867">
        <w:t>delegations</w:t>
      </w:r>
      <w:r w:rsidRPr="002B722B">
        <w:t xml:space="preserve"> that worked on that language in the </w:t>
      </w:r>
      <w:proofErr w:type="spellStart"/>
      <w:r w:rsidRPr="002B722B">
        <w:t>informals</w:t>
      </w:r>
      <w:proofErr w:type="spellEnd"/>
      <w:r w:rsidRPr="002B722B">
        <w:t xml:space="preserve">.  She could work on the </w:t>
      </w:r>
      <w:r w:rsidR="009A6867">
        <w:t>basis of that alternative, which</w:t>
      </w:r>
      <w:r w:rsidRPr="002B722B">
        <w:t xml:space="preserve"> recognized quite clearly indigenous peoples as the beneficiaries and, in certain countries that did not recognize indigenous peoples and might call them “local communities” or other </w:t>
      </w:r>
      <w:proofErr w:type="gramStart"/>
      <w:r w:rsidRPr="002B722B">
        <w:t>beneficiaries,</w:t>
      </w:r>
      <w:proofErr w:type="gramEnd"/>
      <w:r w:rsidRPr="002B722B">
        <w:t xml:space="preserve"> there was the possibility for them to enjoy the status of beneficiaries.  The qualification that those were beneficiaries who held, expressed, maintained, used and developed the TCEs was very useful because it provided clear criteria.  </w:t>
      </w:r>
      <w:r w:rsidR="009A6867">
        <w:t>She was not sure that the word “protected”</w:t>
      </w:r>
      <w:r w:rsidRPr="002B722B">
        <w:t xml:space="preserve"> was necessary or if it added anything.  </w:t>
      </w:r>
    </w:p>
    <w:p w14:paraId="06B6FE36" w14:textId="77777777" w:rsidR="00442E27" w:rsidRPr="002B722B" w:rsidRDefault="00442E27" w:rsidP="00500199"/>
    <w:p w14:paraId="354318E3" w14:textId="77777777" w:rsidR="00442E27" w:rsidRPr="002B722B" w:rsidRDefault="00442E27" w:rsidP="002B722B">
      <w:pPr>
        <w:pStyle w:val="ListParagraph"/>
        <w:numPr>
          <w:ilvl w:val="0"/>
          <w:numId w:val="4"/>
        </w:numPr>
        <w:ind w:left="0" w:firstLine="0"/>
      </w:pPr>
      <w:r w:rsidRPr="002B722B">
        <w:t>The Delegation of Georgia, speaking on behalf of CEBS, preferred Alt 1.</w:t>
      </w:r>
    </w:p>
    <w:p w14:paraId="6A1E89F0" w14:textId="77777777" w:rsidR="00442E27" w:rsidRPr="002B722B" w:rsidRDefault="00442E27" w:rsidP="00500199"/>
    <w:p w14:paraId="309EB559" w14:textId="5C5DC405" w:rsidR="00442E27" w:rsidRPr="002B722B" w:rsidRDefault="00442E27" w:rsidP="002B722B">
      <w:pPr>
        <w:pStyle w:val="ListParagraph"/>
        <w:numPr>
          <w:ilvl w:val="0"/>
          <w:numId w:val="4"/>
        </w:numPr>
        <w:ind w:left="0" w:firstLine="0"/>
      </w:pPr>
      <w:r w:rsidRPr="002B722B">
        <w:t>The Delegation of Morocco associated itself with the statement made by the Delegation of Senegal</w:t>
      </w:r>
      <w:r w:rsidR="008F6701">
        <w:t>,</w:t>
      </w:r>
      <w:r w:rsidRPr="002B722B">
        <w:t xml:space="preserve"> on behalf of the African Group.  It supported Alt 3, which was encompassing </w:t>
      </w:r>
      <w:r w:rsidR="008F6701">
        <w:t xml:space="preserve">all </w:t>
      </w:r>
      <w:r w:rsidRPr="002B722B">
        <w:t xml:space="preserve">and in line with enabling flexibility to States. </w:t>
      </w:r>
    </w:p>
    <w:p w14:paraId="539FE628" w14:textId="77777777" w:rsidR="00442E27" w:rsidRPr="002B722B" w:rsidRDefault="00442E27" w:rsidP="00500199"/>
    <w:p w14:paraId="384D69AB" w14:textId="5FDC0416" w:rsidR="00442E27" w:rsidRPr="005C59E0" w:rsidRDefault="00442E27" w:rsidP="002B722B">
      <w:pPr>
        <w:pStyle w:val="ListParagraph"/>
        <w:numPr>
          <w:ilvl w:val="0"/>
          <w:numId w:val="4"/>
        </w:numPr>
        <w:ind w:left="0" w:firstLine="0"/>
      </w:pPr>
      <w:r w:rsidRPr="005C59E0">
        <w:t>The Delegation of the USA, with respec</w:t>
      </w:r>
      <w:r w:rsidR="005C59E0">
        <w:t>t to Alt 1, supported the word “protected”</w:t>
      </w:r>
      <w:r w:rsidRPr="005C59E0">
        <w:t xml:space="preserve"> before TCEs.  Out of the vast universe of potentially protectable TCEs, ultimately a subset of those would be protected.  That was an important matter for further discussion. </w:t>
      </w:r>
    </w:p>
    <w:p w14:paraId="0CDB967F" w14:textId="77777777" w:rsidR="00442E27" w:rsidRPr="002B722B" w:rsidRDefault="00442E27" w:rsidP="00500199"/>
    <w:p w14:paraId="5F2943A7" w14:textId="1C48BE10" w:rsidR="0021445E" w:rsidRPr="002B722B" w:rsidRDefault="00442E27" w:rsidP="002B722B">
      <w:pPr>
        <w:pStyle w:val="ListParagraph"/>
        <w:numPr>
          <w:ilvl w:val="0"/>
          <w:numId w:val="4"/>
        </w:numPr>
        <w:ind w:left="0" w:firstLine="0"/>
      </w:pPr>
      <w:r w:rsidRPr="002B722B">
        <w:t>The Delegation of Brazil supported Alt 3.  It agreed with the Delega</w:t>
      </w:r>
      <w:r w:rsidR="005C59E0">
        <w:t>tion of Colombia that the word “protected” was redundant in Alt 1</w:t>
      </w:r>
      <w:r w:rsidRPr="002B722B">
        <w:t xml:space="preserve"> and </w:t>
      </w:r>
      <w:r w:rsidR="005C59E0">
        <w:t>Alt 4,</w:t>
      </w:r>
      <w:r w:rsidRPr="002B722B">
        <w:t xml:space="preserve"> and should be in brackets.  </w:t>
      </w:r>
    </w:p>
    <w:p w14:paraId="4D153C60" w14:textId="77777777" w:rsidR="0021445E" w:rsidRPr="002B722B" w:rsidRDefault="0021445E" w:rsidP="00500199"/>
    <w:p w14:paraId="42BA1F7E" w14:textId="284A8EB4" w:rsidR="0021445E" w:rsidRPr="002B722B" w:rsidRDefault="0021445E" w:rsidP="002B722B">
      <w:pPr>
        <w:pStyle w:val="ListParagraph"/>
        <w:numPr>
          <w:ilvl w:val="0"/>
          <w:numId w:val="4"/>
        </w:numPr>
        <w:ind w:left="0" w:firstLine="0"/>
      </w:pPr>
      <w:r w:rsidRPr="002B722B">
        <w:t xml:space="preserve">The Delegation of Ghana expressed its support for deleting the reference to </w:t>
      </w:r>
      <w:r w:rsidR="009D2A8C">
        <w:t>“</w:t>
      </w:r>
      <w:r w:rsidRPr="002B722B">
        <w:t>safeguarding</w:t>
      </w:r>
      <w:r w:rsidR="009D2A8C">
        <w:t>”</w:t>
      </w:r>
      <w:r w:rsidRPr="002B722B">
        <w:t xml:space="preserve"> and to retain </w:t>
      </w:r>
      <w:r w:rsidR="009D2A8C">
        <w:t>“</w:t>
      </w:r>
      <w:r w:rsidRPr="002B722B">
        <w:t>protection</w:t>
      </w:r>
      <w:r w:rsidR="009D2A8C">
        <w:t>”</w:t>
      </w:r>
      <w:r w:rsidRPr="002B722B">
        <w:t xml:space="preserve">.  </w:t>
      </w:r>
      <w:r w:rsidR="00B2608B">
        <w:t>Regarding</w:t>
      </w:r>
      <w:r w:rsidRPr="002B722B">
        <w:t xml:space="preserve"> Article 4, there had been no mention about safeguarding.  Parties who had originally expressed an interest in safeguardi</w:t>
      </w:r>
      <w:r w:rsidR="00B2608B">
        <w:t>ng emphasized the retention of “protected”</w:t>
      </w:r>
      <w:r w:rsidRPr="002B722B">
        <w:t xml:space="preserve"> in Alt 4.  That underscored the re</w:t>
      </w:r>
      <w:r w:rsidR="00B2608B">
        <w:t>levance of the term “protection</w:t>
      </w:r>
      <w:r w:rsidRPr="002B722B">
        <w:t>”</w:t>
      </w:r>
      <w:r w:rsidR="00B2608B">
        <w:t>.  However, the word “protected”</w:t>
      </w:r>
      <w:r w:rsidRPr="002B722B">
        <w:t xml:space="preserve"> could be safely deleted from Alt 4 to the extent that the scope of the instrument was based on protecting whatever qualified as TCEs and it d</w:t>
      </w:r>
      <w:r w:rsidR="00B2608B">
        <w:t>id not add anything to include “protected”.</w:t>
      </w:r>
      <w:r w:rsidRPr="002B722B">
        <w:t xml:space="preserve"> </w:t>
      </w:r>
    </w:p>
    <w:p w14:paraId="7956FED6" w14:textId="77777777" w:rsidR="0021445E" w:rsidRPr="002B722B" w:rsidRDefault="0021445E" w:rsidP="00500199"/>
    <w:p w14:paraId="197B3E52" w14:textId="7D7BD96D" w:rsidR="0021445E" w:rsidRPr="002B722B" w:rsidRDefault="00B2608B" w:rsidP="002B722B">
      <w:pPr>
        <w:pStyle w:val="ListParagraph"/>
        <w:numPr>
          <w:ilvl w:val="0"/>
          <w:numId w:val="4"/>
        </w:numPr>
        <w:ind w:left="0" w:firstLine="0"/>
      </w:pPr>
      <w:r>
        <w:t>The Chair opened the floor</w:t>
      </w:r>
      <w:r w:rsidR="0021445E" w:rsidRPr="002B722B">
        <w:t xml:space="preserve"> for comments on Article 6.</w:t>
      </w:r>
    </w:p>
    <w:p w14:paraId="28129CE4" w14:textId="77777777" w:rsidR="0021445E" w:rsidRPr="002B722B" w:rsidRDefault="0021445E" w:rsidP="00500199"/>
    <w:p w14:paraId="6D19AD25" w14:textId="438DDFFE" w:rsidR="0021445E" w:rsidRPr="002B722B" w:rsidRDefault="0021445E" w:rsidP="002B722B">
      <w:pPr>
        <w:pStyle w:val="ListParagraph"/>
        <w:numPr>
          <w:ilvl w:val="0"/>
          <w:numId w:val="4"/>
        </w:numPr>
        <w:ind w:left="0" w:firstLine="0"/>
      </w:pPr>
      <w:r w:rsidRPr="002B722B">
        <w:t xml:space="preserve">The representative of </w:t>
      </w:r>
      <w:proofErr w:type="spellStart"/>
      <w:r w:rsidRPr="002B722B">
        <w:t>Tebtebba</w:t>
      </w:r>
      <w:proofErr w:type="spellEnd"/>
      <w:r w:rsidRPr="002B722B">
        <w:t xml:space="preserve"> Foundation, speaking on behalf of the Indigenous Caucus, agreed with the deletion of Alt 1.  In Alt 2, she appreciated that in the establishment or designation of a competent authority the consent of indigenous peoples was required.  She had proposed the alternative text “in conjunction with” in the </w:t>
      </w:r>
      <w:proofErr w:type="spellStart"/>
      <w:r w:rsidRPr="002B722B">
        <w:t>informals</w:t>
      </w:r>
      <w:proofErr w:type="spellEnd"/>
      <w:r w:rsidRPr="002B722B">
        <w:t xml:space="preserve"> and thought it would be reflected because it seemed to enjoy support.  She wondered if there was a typographical error because the</w:t>
      </w:r>
      <w:r w:rsidR="00B2608B">
        <w:t xml:space="preserve"> text was “in consultation with</w:t>
      </w:r>
      <w:r w:rsidRPr="002B722B">
        <w:t>”</w:t>
      </w:r>
      <w:r w:rsidR="00B2608B">
        <w:t>.</w:t>
      </w:r>
      <w:r w:rsidRPr="002B722B">
        <w:t xml:space="preserve">  </w:t>
      </w:r>
    </w:p>
    <w:p w14:paraId="0D1447E0" w14:textId="77777777" w:rsidR="0021445E" w:rsidRPr="002B722B" w:rsidRDefault="0021445E" w:rsidP="00500199"/>
    <w:p w14:paraId="5E161159" w14:textId="2F4B6A69" w:rsidR="00860ECD" w:rsidRPr="002B722B" w:rsidRDefault="00BD5C8A" w:rsidP="002B722B">
      <w:pPr>
        <w:pStyle w:val="ListParagraph"/>
        <w:numPr>
          <w:ilvl w:val="0"/>
          <w:numId w:val="4"/>
        </w:numPr>
        <w:ind w:left="0" w:firstLine="0"/>
      </w:pPr>
      <w:r w:rsidRPr="002B722B">
        <w:t xml:space="preserve">The Chair </w:t>
      </w:r>
      <w:r>
        <w:t>noted that there was no support from a</w:t>
      </w:r>
      <w:r w:rsidRPr="002B722B">
        <w:t xml:space="preserve"> Member State </w:t>
      </w:r>
      <w:r>
        <w:t>for the</w:t>
      </w:r>
      <w:r w:rsidRPr="002B722B">
        <w:t xml:space="preserve"> proposal</w:t>
      </w:r>
      <w:r>
        <w:t xml:space="preserve"> made by the representative of</w:t>
      </w:r>
      <w:r w:rsidRPr="00BD5C8A">
        <w:t xml:space="preserve"> </w:t>
      </w:r>
      <w:proofErr w:type="spellStart"/>
      <w:r w:rsidRPr="002B722B">
        <w:t>Tebtebba</w:t>
      </w:r>
      <w:proofErr w:type="spellEnd"/>
      <w:r w:rsidRPr="002B722B">
        <w:t xml:space="preserve"> Foundation</w:t>
      </w:r>
      <w:r w:rsidR="0021445E" w:rsidRPr="002B722B">
        <w:t xml:space="preserve">.   </w:t>
      </w:r>
    </w:p>
    <w:p w14:paraId="0FA46D49" w14:textId="77777777" w:rsidR="00860ECD" w:rsidRPr="002B722B" w:rsidRDefault="00860ECD" w:rsidP="00500199"/>
    <w:p w14:paraId="320136DA" w14:textId="5F5569BE" w:rsidR="00860ECD" w:rsidRPr="002B722B" w:rsidRDefault="00860ECD" w:rsidP="002B722B">
      <w:pPr>
        <w:pStyle w:val="ListParagraph"/>
        <w:numPr>
          <w:ilvl w:val="0"/>
          <w:numId w:val="4"/>
        </w:numPr>
        <w:ind w:left="0" w:firstLine="0"/>
      </w:pPr>
      <w:r w:rsidRPr="002B722B">
        <w:t>The Delegation of the EU, speaking on behalf of the EU and its Member States, wished to better understand the exact meaning of the insertion of “in consultation with” as opposed to “with the explicit</w:t>
      </w:r>
      <w:r w:rsidR="00B2608B">
        <w:t xml:space="preserve"> consent or in conjunction with</w:t>
      </w:r>
      <w:r w:rsidRPr="002B722B">
        <w:t>”</w:t>
      </w:r>
      <w:r w:rsidR="00B2608B">
        <w:t>.</w:t>
      </w:r>
      <w:r w:rsidRPr="002B722B">
        <w:t xml:space="preserve">  On Article 5, the closing square bracket at the end of Article 5.2 under Alt 1 should be deleted.  </w:t>
      </w:r>
    </w:p>
    <w:p w14:paraId="73A21EE9" w14:textId="77777777" w:rsidR="00860ECD" w:rsidRPr="002B722B" w:rsidRDefault="00860ECD" w:rsidP="00500199"/>
    <w:p w14:paraId="2D88C90E" w14:textId="77B3A6DA" w:rsidR="00377A1A" w:rsidRPr="002B722B" w:rsidRDefault="00860ECD" w:rsidP="002B722B">
      <w:pPr>
        <w:pStyle w:val="ListParagraph"/>
        <w:numPr>
          <w:ilvl w:val="0"/>
          <w:numId w:val="4"/>
        </w:numPr>
        <w:ind w:left="0" w:firstLine="0"/>
      </w:pPr>
      <w:r w:rsidRPr="002B722B">
        <w:t xml:space="preserve">The Delegation of Indonesia, speaking on behalf of the LMCs, said that the insertion of “in consultation with” had been proposed by the </w:t>
      </w:r>
      <w:r w:rsidR="00E0424B">
        <w:t>Group</w:t>
      </w:r>
      <w:r w:rsidRPr="002B722B">
        <w:t>, as the proponent of previous Alt 1.  It might consider Alt 2 to reflect the options of “explicit con</w:t>
      </w:r>
      <w:r w:rsidR="00E0424B">
        <w:t>sent” and “in consultation with</w:t>
      </w:r>
      <w:r w:rsidRPr="002B722B">
        <w:t>”</w:t>
      </w:r>
      <w:r w:rsidR="00E0424B">
        <w:t>.</w:t>
      </w:r>
      <w:r w:rsidRPr="002B722B">
        <w:t xml:space="preserve">  It was open to furt</w:t>
      </w:r>
      <w:r w:rsidR="00E0424B">
        <w:t>her discussion.  Actually, the f</w:t>
      </w:r>
      <w:r w:rsidRPr="002B722B">
        <w:t xml:space="preserve">acilitators had made it clear that </w:t>
      </w:r>
      <w:r w:rsidR="00E0424B">
        <w:t>its</w:t>
      </w:r>
      <w:r w:rsidRPr="002B722B">
        <w:t xml:space="preserve"> input would be “in consultation wit</w:t>
      </w:r>
      <w:r w:rsidR="00E0424B">
        <w:t>h the beneficiaries if possible</w:t>
      </w:r>
      <w:r w:rsidRPr="002B722B">
        <w:t>”</w:t>
      </w:r>
      <w:r w:rsidR="00E0424B">
        <w:t>,</w:t>
      </w:r>
      <w:r w:rsidRPr="002B722B">
        <w:t xml:space="preserve"> which was consistent with its position on beneficiaries.  It</w:t>
      </w:r>
      <w:r w:rsidR="00E0424B">
        <w:t xml:space="preserve"> sought clarification from the f</w:t>
      </w:r>
      <w:r w:rsidRPr="002B722B">
        <w:t xml:space="preserve">acilitators if that was not the case.  </w:t>
      </w:r>
      <w:r w:rsidR="00E0424B">
        <w:t>Article</w:t>
      </w:r>
      <w:r w:rsidRPr="002B722B">
        <w:t xml:space="preserve"> 6.2, to be consistent with the language in </w:t>
      </w:r>
      <w:r w:rsidR="00E0424B">
        <w:t>Article</w:t>
      </w:r>
      <w:r w:rsidRPr="002B722B">
        <w:t xml:space="preserve"> 6.1, should read: “The identity of any authority established or designated under paragraph 1</w:t>
      </w:r>
      <w:r w:rsidR="00E0424B">
        <w:t xml:space="preserve"> [</w:t>
      </w:r>
      <w:r w:rsidRPr="002B722B">
        <w:t>…</w:t>
      </w:r>
      <w:r w:rsidR="00E0424B">
        <w:t>]</w:t>
      </w:r>
      <w:r w:rsidRPr="002B722B">
        <w:t xml:space="preserve">” </w:t>
      </w:r>
      <w:r w:rsidR="00E0424B">
        <w:t>with the addition of the words “or designated”.</w:t>
      </w:r>
    </w:p>
    <w:p w14:paraId="7395F407" w14:textId="77777777" w:rsidR="00377A1A" w:rsidRPr="002B722B" w:rsidRDefault="00377A1A" w:rsidP="00500199"/>
    <w:p w14:paraId="5ABF977E" w14:textId="4B45198E" w:rsidR="0012554C" w:rsidRPr="002B722B" w:rsidRDefault="00377A1A" w:rsidP="002B722B">
      <w:pPr>
        <w:pStyle w:val="ListParagraph"/>
        <w:numPr>
          <w:ilvl w:val="0"/>
          <w:numId w:val="4"/>
        </w:numPr>
        <w:ind w:left="0" w:firstLine="0"/>
      </w:pPr>
      <w:r w:rsidRPr="002B722B">
        <w:t xml:space="preserve">The representative of Tupaj Amaru asked the Chair why the IGC had not discussed the most important article, Article 5. </w:t>
      </w:r>
      <w:r w:rsidR="0012554C" w:rsidRPr="002B722B">
        <w:t xml:space="preserve"> The representative of Tupaj Amaru said that “administration” was not an appropriate word.  One administered a business, not an international bi</w:t>
      </w:r>
      <w:r w:rsidR="00E94987">
        <w:t>nding instrument.  He proposed “</w:t>
      </w:r>
      <w:r w:rsidR="0012554C" w:rsidRPr="002B722B">
        <w:t>exercise of collecti</w:t>
      </w:r>
      <w:r w:rsidR="00E94987">
        <w:t>ve rights”</w:t>
      </w:r>
      <w:r w:rsidR="0012554C" w:rsidRPr="002B722B">
        <w:t xml:space="preserve"> and would delete the rest.  He proposed: “The contracting parties of the present instrument shall establish in consultation with the owners and holders of traditional cultural expressions with their free prior informed consent national and regional competent authorities with the following mandate</w:t>
      </w:r>
      <w:r w:rsidR="00E94987">
        <w:t xml:space="preserve"> [</w:t>
      </w:r>
      <w:r w:rsidR="0012554C" w:rsidRPr="002B722B">
        <w:t>...</w:t>
      </w:r>
      <w:r w:rsidR="00E94987">
        <w:t>]</w:t>
      </w:r>
      <w:r w:rsidR="0012554C" w:rsidRPr="002B722B">
        <w:t xml:space="preserve">”. </w:t>
      </w:r>
    </w:p>
    <w:p w14:paraId="0323ACCC" w14:textId="77777777" w:rsidR="00377A1A" w:rsidRPr="002B722B" w:rsidRDefault="00377A1A" w:rsidP="00500199"/>
    <w:p w14:paraId="0986916A" w14:textId="3224FAC3" w:rsidR="001A0315" w:rsidRDefault="0012554C" w:rsidP="00E94987">
      <w:pPr>
        <w:pStyle w:val="ListParagraph"/>
        <w:numPr>
          <w:ilvl w:val="0"/>
          <w:numId w:val="4"/>
        </w:numPr>
        <w:ind w:left="0" w:firstLine="0"/>
      </w:pPr>
      <w:r w:rsidRPr="002B722B">
        <w:t xml:space="preserve">The Chair said that observers’ intervention had to be supported by a Member State, as per the rules of procedure. </w:t>
      </w:r>
      <w:r w:rsidR="00E94987">
        <w:t xml:space="preserve"> </w:t>
      </w:r>
      <w:r w:rsidR="00BD5C8A" w:rsidRPr="002B722B">
        <w:t xml:space="preserve">The Chair </w:t>
      </w:r>
      <w:r w:rsidR="00BD5C8A">
        <w:t>noted that there was no support from a</w:t>
      </w:r>
      <w:r w:rsidR="00BD5C8A" w:rsidRPr="002B722B">
        <w:t xml:space="preserve"> Member State </w:t>
      </w:r>
      <w:r w:rsidR="00BD5C8A">
        <w:t>for the</w:t>
      </w:r>
      <w:r w:rsidR="00BD5C8A" w:rsidRPr="002B722B">
        <w:t xml:space="preserve"> proposal</w:t>
      </w:r>
      <w:r w:rsidR="00BD5C8A">
        <w:t xml:space="preserve"> made by the representative of</w:t>
      </w:r>
      <w:r w:rsidR="00BD5C8A" w:rsidRPr="00BD5C8A">
        <w:t xml:space="preserve"> </w:t>
      </w:r>
      <w:r w:rsidR="00BD5C8A">
        <w:t>Tupaj Amaru</w:t>
      </w:r>
      <w:r w:rsidRPr="002B722B">
        <w:t xml:space="preserve">. </w:t>
      </w:r>
    </w:p>
    <w:p w14:paraId="4FB4D8EA" w14:textId="77777777" w:rsidR="00E94987" w:rsidRPr="002B722B" w:rsidRDefault="00E94987" w:rsidP="00F662BA">
      <w:pPr>
        <w:jc w:val="both"/>
      </w:pPr>
    </w:p>
    <w:p w14:paraId="0A853BDD" w14:textId="39D6B7CF" w:rsidR="001A0315" w:rsidRPr="002B722B" w:rsidRDefault="001A0315" w:rsidP="002B722B">
      <w:pPr>
        <w:pStyle w:val="ListParagraph"/>
        <w:numPr>
          <w:ilvl w:val="0"/>
          <w:numId w:val="4"/>
        </w:numPr>
        <w:ind w:left="0" w:firstLine="0"/>
      </w:pPr>
      <w:r w:rsidRPr="002B722B">
        <w:t xml:space="preserve">The Delegation of the Islamic Republic of Iran favored the </w:t>
      </w:r>
      <w:r w:rsidR="00F662BA">
        <w:t>title “Administration of Rights</w:t>
      </w:r>
      <w:r w:rsidRPr="002B722B">
        <w:t>”</w:t>
      </w:r>
      <w:r w:rsidR="00F662BA">
        <w:t>,</w:t>
      </w:r>
      <w:r w:rsidRPr="002B722B">
        <w:t xml:space="preserve"> which was the most legally acceptable term.  In paragraph 6.1, its original preference was Alt 1, which was not in the text anymore.  It was not in a position to suppor</w:t>
      </w:r>
      <w:r w:rsidR="00F23CB4">
        <w:t>t the inclusion of the phrases “with the explicit consent of” or “in conjunction with”.</w:t>
      </w:r>
      <w:r w:rsidRPr="002B722B">
        <w:t xml:space="preserve">  It had shown flexibility along with the other</w:t>
      </w:r>
      <w:r w:rsidR="00F23CB4">
        <w:t xml:space="preserve"> members of the</w:t>
      </w:r>
      <w:r w:rsidRPr="002B722B">
        <w:t xml:space="preserve"> LMC</w:t>
      </w:r>
      <w:r w:rsidR="00F23CB4">
        <w:t>s</w:t>
      </w:r>
      <w:r w:rsidRPr="002B722B">
        <w:t xml:space="preserve"> to bridge the gaps.  If those expressions remained in the text</w:t>
      </w:r>
      <w:r w:rsidR="00F23CB4">
        <w:t>,</w:t>
      </w:r>
      <w:r w:rsidRPr="002B722B">
        <w:t xml:space="preserve"> it would ask to retain Alt 1.  </w:t>
      </w:r>
    </w:p>
    <w:p w14:paraId="34563684" w14:textId="77777777" w:rsidR="001A0315" w:rsidRPr="002B722B" w:rsidRDefault="001A0315" w:rsidP="00500199"/>
    <w:p w14:paraId="6A763432" w14:textId="77777777" w:rsidR="001A0315" w:rsidRPr="002B722B" w:rsidRDefault="001A0315" w:rsidP="002B722B">
      <w:pPr>
        <w:pStyle w:val="ListParagraph"/>
        <w:numPr>
          <w:ilvl w:val="0"/>
          <w:numId w:val="4"/>
        </w:numPr>
        <w:ind w:left="0" w:firstLine="0"/>
      </w:pPr>
      <w:r w:rsidRPr="002B722B">
        <w:t xml:space="preserve">The Delegation of Senegal, speaking on behalf of the African Group, shared the concerns raised by the Delegation of the Islamic Republic of Iran and expressed its preference for Alt 1 as it appeared in the text before.  </w:t>
      </w:r>
    </w:p>
    <w:p w14:paraId="53BD4C69" w14:textId="77777777" w:rsidR="001A0315" w:rsidRPr="002B722B" w:rsidRDefault="001A0315" w:rsidP="00500199"/>
    <w:p w14:paraId="202947B7" w14:textId="410996C9" w:rsidR="00515786" w:rsidRPr="002B722B" w:rsidRDefault="001A0315" w:rsidP="002B722B">
      <w:pPr>
        <w:pStyle w:val="ListParagraph"/>
        <w:numPr>
          <w:ilvl w:val="0"/>
          <w:numId w:val="4"/>
        </w:numPr>
        <w:ind w:left="0" w:firstLine="0"/>
      </w:pPr>
      <w:r w:rsidRPr="002B722B">
        <w:t>The Delegation of Brazil proposed alternative language for Alt 1: “Member States/Contracting Parties may establish or designate a competent authority in accordance with national law, to administer, in consultation with the beneficiaries, the rights/interests provided for by this instrument.”  It agreed with the suggestion of the Delegation of Indonesia</w:t>
      </w:r>
      <w:r w:rsidR="00B122DA">
        <w:t>, on behalf of the LMCs,</w:t>
      </w:r>
      <w:r w:rsidRPr="002B722B">
        <w:t xml:space="preserve"> to put in original paragraph 2 </w:t>
      </w:r>
      <w:r w:rsidR="00B122DA">
        <w:t>“</w:t>
      </w:r>
      <w:r w:rsidRPr="002B722B">
        <w:t>the identit</w:t>
      </w:r>
      <w:r w:rsidR="00B122DA">
        <w:t xml:space="preserve">y of any authority established </w:t>
      </w:r>
      <w:r w:rsidRPr="002B722B">
        <w:t>or designated” under paragraph 1.</w:t>
      </w:r>
    </w:p>
    <w:p w14:paraId="6AB0FCB6" w14:textId="77777777" w:rsidR="00515786" w:rsidRPr="002B722B" w:rsidRDefault="00515786" w:rsidP="00500199"/>
    <w:p w14:paraId="22DBCC07" w14:textId="30988728" w:rsidR="00FD50AF" w:rsidRPr="002B722B" w:rsidRDefault="00515786" w:rsidP="002B722B">
      <w:pPr>
        <w:pStyle w:val="ListParagraph"/>
        <w:numPr>
          <w:ilvl w:val="0"/>
          <w:numId w:val="4"/>
        </w:numPr>
        <w:ind w:left="0" w:firstLine="0"/>
      </w:pPr>
      <w:r w:rsidRPr="002B722B">
        <w:lastRenderedPageBreak/>
        <w:t>The Delegation of Indonesia, speaking on behalf of the LMCs, said that in light of the development of the discussion on administration of rights, it left it to the d</w:t>
      </w:r>
      <w:r w:rsidR="00ED2FCB">
        <w:t>iscretion of the Chair and the f</w:t>
      </w:r>
      <w:r w:rsidRPr="002B722B">
        <w:t>acilitators to make sure that all decisions stated within the plenary would be reflected.  Based on its original intervention and those by the Delegations of the Islamic Republic of Iran, Senegal</w:t>
      </w:r>
      <w:r w:rsidR="00ED2FCB">
        <w:t>, on behalf of the African Group,</w:t>
      </w:r>
      <w:r w:rsidRPr="002B722B">
        <w:t xml:space="preserve"> and Brazil, it could support the proposed language by the Delegation of Brazil “where applicable, in close consultation with the beneficiaries,” while retaining Alt 1. </w:t>
      </w:r>
    </w:p>
    <w:p w14:paraId="652EF053" w14:textId="77777777" w:rsidR="00FD50AF" w:rsidRPr="002B722B" w:rsidRDefault="00FD50AF" w:rsidP="00500199"/>
    <w:p w14:paraId="54C67A71" w14:textId="742EB8F4" w:rsidR="00FD50AF" w:rsidRPr="002B722B" w:rsidRDefault="00ED2FCB" w:rsidP="002B722B">
      <w:pPr>
        <w:pStyle w:val="ListParagraph"/>
        <w:numPr>
          <w:ilvl w:val="0"/>
          <w:numId w:val="4"/>
        </w:numPr>
        <w:ind w:left="0" w:firstLine="0"/>
      </w:pPr>
      <w:r>
        <w:t>Ms.</w:t>
      </w:r>
      <w:r w:rsidR="00FD50AF" w:rsidRPr="002B722B">
        <w:t xml:space="preserve"> Bagley</w:t>
      </w:r>
      <w:r>
        <w:t>, speaking on behalf of the facilitators, said that in Article 5</w:t>
      </w:r>
      <w:r w:rsidR="00FD50AF" w:rsidRPr="002B722B">
        <w:t>, a cha</w:t>
      </w:r>
      <w:r>
        <w:t>nge had been introduced in the facilitators’ work-in-</w:t>
      </w:r>
      <w:r w:rsidR="00FD50AF" w:rsidRPr="002B722B">
        <w:t xml:space="preserve">progress based on the transfer of support by </w:t>
      </w:r>
      <w:r>
        <w:t xml:space="preserve">the Delegation of Indonesia, on behalf of </w:t>
      </w:r>
      <w:r w:rsidR="00FD50AF" w:rsidRPr="002B722B">
        <w:t>the LMCs</w:t>
      </w:r>
      <w:r>
        <w:t>,</w:t>
      </w:r>
      <w:r w:rsidR="00FD50AF" w:rsidRPr="002B722B">
        <w:t xml:space="preserve"> from original Alt 2 to original Alt 3.  Original Alt 2 </w:t>
      </w:r>
      <w:r>
        <w:t xml:space="preserve">had been deleted and </w:t>
      </w:r>
      <w:r w:rsidR="00FD50AF" w:rsidRPr="002B722B">
        <w:t xml:space="preserve">new Alt 2 was prior Alt 3.  </w:t>
      </w:r>
    </w:p>
    <w:p w14:paraId="5D54162B" w14:textId="77777777" w:rsidR="00FD50AF" w:rsidRPr="002B722B" w:rsidRDefault="00FD50AF" w:rsidP="00500199"/>
    <w:p w14:paraId="7DE356A5" w14:textId="38231430" w:rsidR="00FD50AF" w:rsidRPr="002B722B" w:rsidRDefault="00FD50AF" w:rsidP="002B722B">
      <w:pPr>
        <w:pStyle w:val="ListParagraph"/>
        <w:numPr>
          <w:ilvl w:val="0"/>
          <w:numId w:val="4"/>
        </w:numPr>
        <w:ind w:left="0" w:firstLine="0"/>
      </w:pPr>
      <w:r w:rsidRPr="002B722B">
        <w:t xml:space="preserve">The Chair opened the </w:t>
      </w:r>
      <w:r w:rsidR="00ED2FCB">
        <w:t>floor for comments</w:t>
      </w:r>
      <w:r w:rsidRPr="002B722B">
        <w:t xml:space="preserve"> on Article 7.  </w:t>
      </w:r>
    </w:p>
    <w:p w14:paraId="157FEEC8" w14:textId="77777777" w:rsidR="00FD50AF" w:rsidRPr="002B722B" w:rsidRDefault="00FD50AF" w:rsidP="00500199"/>
    <w:p w14:paraId="67F8256D" w14:textId="77777777" w:rsidR="00AC1789" w:rsidRPr="002B722B" w:rsidRDefault="00AC1789" w:rsidP="002B722B">
      <w:pPr>
        <w:pStyle w:val="ListParagraph"/>
        <w:numPr>
          <w:ilvl w:val="0"/>
          <w:numId w:val="4"/>
        </w:numPr>
        <w:ind w:left="0" w:firstLine="0"/>
      </w:pPr>
      <w:r w:rsidRPr="002B722B">
        <w:t xml:space="preserve">The Delegation of the EU, speaking on behalf of the EU and its Member States, found merit in keeping aspects of previous Alt 3 and asked that to be reinserted into the text.  Other Member States had suggested working on the language of that alternative to narrow the gaps.  It looked forward to further discussion around Article 7 and would further analyze it with its Member States.  </w:t>
      </w:r>
    </w:p>
    <w:p w14:paraId="35C0BE56" w14:textId="77777777" w:rsidR="00AC1789" w:rsidRPr="002B722B" w:rsidRDefault="00AC1789" w:rsidP="00045C18"/>
    <w:p w14:paraId="3E52A6C2" w14:textId="00214238" w:rsidR="00AC1789" w:rsidRPr="002B722B" w:rsidRDefault="00AC1789" w:rsidP="002B722B">
      <w:pPr>
        <w:pStyle w:val="ListParagraph"/>
        <w:numPr>
          <w:ilvl w:val="0"/>
          <w:numId w:val="4"/>
        </w:numPr>
        <w:ind w:left="0" w:firstLine="0"/>
      </w:pPr>
      <w:r w:rsidRPr="002B722B">
        <w:t>The Delegation of Indonesia, speaking on behalf of the LMCs, thanked the Delegation of the EU</w:t>
      </w:r>
      <w:r w:rsidR="00026BD1">
        <w:t>, on behalf of the EU and its Member States,</w:t>
      </w:r>
      <w:r w:rsidRPr="002B722B">
        <w:t xml:space="preserve"> for disclosing its position on Article 7 and looked forward to narrowing gaps on previous Alt 3 in future sessions.  It wondered what the Delegation of the EU</w:t>
      </w:r>
      <w:r w:rsidR="00026BD1">
        <w:t>, on behalf of the EU and its Member States,</w:t>
      </w:r>
      <w:r w:rsidRPr="002B722B">
        <w:t xml:space="preserve"> thought about new Alt 3 and Alt 4, whether they were sufficiently reflecting all the elements of prior Alt 3.  That had actually been a discussion with the Delegation of the EU at IGC 33.  It preferred Alt 1, as it was language it had proposed based on international language.  It took note of new Alt 3 and Alt 4.  It saw merit in the discussion and would try to merge some elements in those three alternatives to come to a middle ground in future sessions.   </w:t>
      </w:r>
    </w:p>
    <w:p w14:paraId="03D43F31" w14:textId="77777777" w:rsidR="00AC1789" w:rsidRPr="002B722B" w:rsidRDefault="00AC1789" w:rsidP="00045C18"/>
    <w:p w14:paraId="0088DEB2" w14:textId="77777777" w:rsidR="00B31064" w:rsidRPr="002B722B" w:rsidRDefault="00AC1789" w:rsidP="002B722B">
      <w:pPr>
        <w:pStyle w:val="ListParagraph"/>
        <w:numPr>
          <w:ilvl w:val="0"/>
          <w:numId w:val="4"/>
        </w:numPr>
        <w:ind w:left="0" w:firstLine="0"/>
      </w:pPr>
      <w:r w:rsidRPr="002B722B">
        <w:t xml:space="preserve">The Delegation of Senegal, speaking on behalf of the African Group, continued to support Alt 1, which remained unchanged.  </w:t>
      </w:r>
    </w:p>
    <w:p w14:paraId="1DD4065E" w14:textId="77777777" w:rsidR="00B31064" w:rsidRPr="002B722B" w:rsidRDefault="00B31064" w:rsidP="00045C18"/>
    <w:p w14:paraId="6A05045C" w14:textId="045A48FB" w:rsidR="009D2B64" w:rsidRPr="002B722B" w:rsidRDefault="00B31064" w:rsidP="002B722B">
      <w:pPr>
        <w:pStyle w:val="ListParagraph"/>
        <w:numPr>
          <w:ilvl w:val="0"/>
          <w:numId w:val="4"/>
        </w:numPr>
        <w:ind w:left="0" w:firstLine="0"/>
      </w:pPr>
      <w:r w:rsidRPr="002B722B">
        <w:t>The Delegation of the USA, with respect to Alt 2, said that the exceptions and limit</w:t>
      </w:r>
      <w:r w:rsidR="00026BD1">
        <w:t>ations set forth in paragraph 2</w:t>
      </w:r>
      <w:r w:rsidRPr="002B722B">
        <w:t xml:space="preserve">(a) through </w:t>
      </w:r>
      <w:r w:rsidR="00026BD1">
        <w:t>2</w:t>
      </w:r>
      <w:r w:rsidRPr="002B722B">
        <w:t>(c) were ones of special importance.  It had never intended it to be a closed list.  It took note of the addition of “</w:t>
      </w:r>
      <w:proofErr w:type="gramStart"/>
      <w:r w:rsidRPr="002B722B">
        <w:t>may</w:t>
      </w:r>
      <w:proofErr w:type="gramEnd"/>
      <w:r w:rsidRPr="002B722B">
        <w:t>” and “such as” but was not in a position to support them because they turned the list into a mere list of examples.  Nonetheless, it was sensitive to the concern that the delegation</w:t>
      </w:r>
      <w:r w:rsidR="00026BD1">
        <w:t>s</w:t>
      </w:r>
      <w:r w:rsidR="005433DB">
        <w:t xml:space="preserve"> that had proposed those were</w:t>
      </w:r>
      <w:r w:rsidRPr="002B722B">
        <w:t xml:space="preserve"> trying to address, i.e. the notion that it might be interpreted as a closed list.  To resolve that issue in a slightly different way, it recommended a new paragraph 3: </w:t>
      </w:r>
      <w:r w:rsidR="005433DB">
        <w:t xml:space="preserve"> </w:t>
      </w:r>
      <w:r w:rsidRPr="002B722B">
        <w:t>“A Member State may provide for exceptions and limitations other than those permitted under par</w:t>
      </w:r>
      <w:r w:rsidR="005433DB">
        <w:t>agraph 2.”  In Alt 3, the word “</w:t>
      </w:r>
      <w:r w:rsidRPr="002B722B">
        <w:t>complying</w:t>
      </w:r>
      <w:r w:rsidR="005433DB">
        <w:t>”</w:t>
      </w:r>
      <w:r w:rsidRPr="002B722B">
        <w:t xml:space="preserve"> was</w:t>
      </w:r>
      <w:r w:rsidR="005433DB">
        <w:t xml:space="preserve"> used only to refer to legally binding obligations.  The word “obligations”</w:t>
      </w:r>
      <w:r w:rsidRPr="002B722B">
        <w:t xml:space="preserve"> existed in Alt 3 as well as in Alt 4.  To address that issue it proposed </w:t>
      </w:r>
      <w:r w:rsidR="005433DB">
        <w:t>placing in brackets the phrase “</w:t>
      </w:r>
      <w:r w:rsidRPr="002B722B">
        <w:t>in complying with the obligations set forth in” and introducing another bracketed alternative formulation that would read “implementing this instrument” both in Alt 3 and Alt 4.  The incidental use exception, as formulated under Article 10, had been deleted.  It should be moved into Article 7, numbered as a new Alt 5 or any ot</w:t>
      </w:r>
      <w:r w:rsidR="005433DB">
        <w:t>her numbering the f</w:t>
      </w:r>
      <w:r w:rsidRPr="002B722B">
        <w:t xml:space="preserve">acilitators might find optimal.  It would read as follows:  “A Member State shall/should provide for exceptions and limitations in cases of incidental use/utilization/inclusion of a protected traditional cultural expression in another work or another subject matter, or in cases where the user had no knowledge or reasonable grounds to know that the traditional cultural expression is protected.”  The wording was almost identical to Article 10.5, only slightly changed to fit Article 7.  </w:t>
      </w:r>
    </w:p>
    <w:p w14:paraId="5D853C50" w14:textId="77777777" w:rsidR="009D2B64" w:rsidRPr="002B722B" w:rsidRDefault="009D2B64" w:rsidP="00045C18"/>
    <w:p w14:paraId="5B67A705" w14:textId="77777777" w:rsidR="009D2B64" w:rsidRPr="002B722B" w:rsidRDefault="009D2B64" w:rsidP="002B722B">
      <w:pPr>
        <w:pStyle w:val="ListParagraph"/>
        <w:numPr>
          <w:ilvl w:val="0"/>
          <w:numId w:val="4"/>
        </w:numPr>
        <w:ind w:left="0" w:firstLine="0"/>
      </w:pPr>
      <w:r w:rsidRPr="002B722B">
        <w:lastRenderedPageBreak/>
        <w:t xml:space="preserve">The Delegation of Egypt said it had supported Alt 1 before it had been amended by the text in brackets, because the wording, used in most conventions, was very easy to understand.  But it could only accept Alt 3 taking out the parts in Alt 1.  </w:t>
      </w:r>
    </w:p>
    <w:p w14:paraId="327F627A" w14:textId="77777777" w:rsidR="009D2B64" w:rsidRPr="002B722B" w:rsidRDefault="009D2B64" w:rsidP="00045C18"/>
    <w:p w14:paraId="5BF1BF3B" w14:textId="2F8CBDB5" w:rsidR="0054043B" w:rsidRPr="002B722B" w:rsidRDefault="009D2B64" w:rsidP="002B722B">
      <w:pPr>
        <w:pStyle w:val="ListParagraph"/>
        <w:numPr>
          <w:ilvl w:val="0"/>
          <w:numId w:val="4"/>
        </w:numPr>
        <w:ind w:left="0" w:firstLine="0"/>
      </w:pPr>
      <w:r w:rsidRPr="00F17437">
        <w:t>The Delegation of Ghana said that the first part of Alt 3 took into account the interests of third parties.  It raised a definitional issue and was ambiguous and redundant.  There had been discussions about the legitimate interests of beneficiaries, which were defined under the scope of protection in Article 5.  But the term “third parties” had not been defined and what their interests were</w:t>
      </w:r>
      <w:r w:rsidR="00F17437" w:rsidRPr="00F17437">
        <w:t xml:space="preserve"> had not been addressed</w:t>
      </w:r>
      <w:r w:rsidRPr="00F17437">
        <w:t>.  It was not possible to understand what type of legitimate interests would justify an exception or limitation.  The new proposal of paragraph 3 in Alt 2 was interesting.  If Alt 2 specified three exceptions and Alt 3 stated that a member could include other exceptions not identified in Alt 2, it meant that Member States could introduce exceptions and limitations for whatever reason they chose to.  It was another way of saying there was no need for an</w:t>
      </w:r>
      <w:r w:rsidRPr="002B722B">
        <w:t xml:space="preserve"> exceptions and limitations clause because the whole objective of an exceptions and limitations clause was to allow reasonable deviation from the scope of the instrument.  But if one could, for any reason, carve out </w:t>
      </w:r>
      <w:proofErr w:type="gramStart"/>
      <w:r w:rsidRPr="002B722B">
        <w:t>exceptions,</w:t>
      </w:r>
      <w:proofErr w:type="gramEnd"/>
      <w:r w:rsidRPr="002B722B">
        <w:t xml:space="preserve"> it diminished the effect of Article 7.  It proposed bracketing that new proposal.  In Alt 3, the very last paragraph should be bracketed because once could talk about limited interests of beneficiaries, not knowing who the beneficiaries were and what their interests were.  But those third parties were unknown. </w:t>
      </w:r>
    </w:p>
    <w:p w14:paraId="64421D43" w14:textId="77777777" w:rsidR="0054043B" w:rsidRPr="002B722B" w:rsidRDefault="0054043B" w:rsidP="00045C18"/>
    <w:p w14:paraId="57698395" w14:textId="77777777" w:rsidR="00BA725B" w:rsidRPr="002B722B" w:rsidRDefault="0054043B" w:rsidP="002B722B">
      <w:pPr>
        <w:pStyle w:val="ListParagraph"/>
        <w:numPr>
          <w:ilvl w:val="0"/>
          <w:numId w:val="4"/>
        </w:numPr>
        <w:ind w:left="0" w:firstLine="0"/>
      </w:pPr>
      <w:r w:rsidRPr="002B722B">
        <w:t>The representative of Tupaj Amaru agreed to delete third parties from Article 7.  The following would be more appropriate and shorter:  “The state parties with the arrangement of their national legislation shall establish limitations and exceptions to authorize the use of protected traditional cultural expressions wherever and whenever they are as a public use or scientific use in conformity with use in the traditional context and with the prior consent of the owners or holders of traditional cultural expressions in accordance with their customary practices.  By their intrinsic nature, sacred, spiritual and secret knowledge would not be subject to any type of exception or limitation.”</w:t>
      </w:r>
    </w:p>
    <w:p w14:paraId="05E9C8B8" w14:textId="77777777" w:rsidR="00BA725B" w:rsidRPr="002B722B" w:rsidRDefault="00BA725B" w:rsidP="00045C18"/>
    <w:p w14:paraId="74C5E94C" w14:textId="5E12E935" w:rsidR="00BA725B" w:rsidRPr="002B722B" w:rsidRDefault="00BD5C8A" w:rsidP="002B722B">
      <w:pPr>
        <w:pStyle w:val="ListParagraph"/>
        <w:numPr>
          <w:ilvl w:val="0"/>
          <w:numId w:val="4"/>
        </w:numPr>
        <w:ind w:left="0" w:firstLine="0"/>
      </w:pPr>
      <w:r w:rsidRPr="002B722B">
        <w:t xml:space="preserve">The Chair </w:t>
      </w:r>
      <w:r>
        <w:t>noted that there was no support from a</w:t>
      </w:r>
      <w:r w:rsidRPr="002B722B">
        <w:t xml:space="preserve"> Member State </w:t>
      </w:r>
      <w:r>
        <w:t>for the</w:t>
      </w:r>
      <w:r w:rsidRPr="002B722B">
        <w:t xml:space="preserve"> proposal</w:t>
      </w:r>
      <w:r>
        <w:t xml:space="preserve"> made by the representative of</w:t>
      </w:r>
      <w:r w:rsidRPr="00BD5C8A">
        <w:t xml:space="preserve"> </w:t>
      </w:r>
      <w:r>
        <w:t>Tupaj Amaru</w:t>
      </w:r>
      <w:r w:rsidR="00BA725B" w:rsidRPr="002B722B">
        <w:t xml:space="preserve">. </w:t>
      </w:r>
    </w:p>
    <w:p w14:paraId="6793FA20" w14:textId="77777777" w:rsidR="00BA725B" w:rsidRPr="002B722B" w:rsidRDefault="00BA725B" w:rsidP="00045C18"/>
    <w:p w14:paraId="32EF7EA9" w14:textId="4556A18B" w:rsidR="000566C8" w:rsidRPr="002B722B" w:rsidRDefault="00BA725B" w:rsidP="002B722B">
      <w:pPr>
        <w:pStyle w:val="ListParagraph"/>
        <w:numPr>
          <w:ilvl w:val="0"/>
          <w:numId w:val="4"/>
        </w:numPr>
        <w:ind w:left="0" w:firstLine="0"/>
      </w:pPr>
      <w:r w:rsidRPr="002B722B">
        <w:t xml:space="preserve">The Delegation of Brazil supported Alt 1, which was a very elegant solution that provided the necessary flexibility for Member States, considering the variety of national situations.  It took note of the suggestion of the Delegation of the USA to Alt 1.  Alt 1 separated those who wanted an international treaty, which was the case of </w:t>
      </w:r>
      <w:r w:rsidR="00F17437">
        <w:t xml:space="preserve">the Delegation of </w:t>
      </w:r>
      <w:r w:rsidRPr="002B722B">
        <w:t xml:space="preserve">Brazil, with those who did not, which appeared to be the case of the Delegation of the USA in Alt 2.  Alt 1 should remain as it was.  </w:t>
      </w:r>
    </w:p>
    <w:p w14:paraId="28DAD57D" w14:textId="77777777" w:rsidR="000566C8" w:rsidRPr="002B722B" w:rsidRDefault="000566C8" w:rsidP="00045C18"/>
    <w:p w14:paraId="6E3CE9CF" w14:textId="46986A25" w:rsidR="00E64E46" w:rsidRPr="002B722B" w:rsidRDefault="000566C8" w:rsidP="002B722B">
      <w:pPr>
        <w:pStyle w:val="ListParagraph"/>
        <w:numPr>
          <w:ilvl w:val="0"/>
          <w:numId w:val="4"/>
        </w:numPr>
        <w:ind w:left="0" w:firstLine="0"/>
      </w:pPr>
      <w:r w:rsidRPr="002B722B">
        <w:t xml:space="preserve">The Delegation of Indonesia, speaking on behalf of the LMCs, preferred Alt 1.  It saw merit in Alt 2, </w:t>
      </w:r>
      <w:r w:rsidR="000019AE">
        <w:t>Alt 3</w:t>
      </w:r>
      <w:r w:rsidRPr="002B722B">
        <w:t xml:space="preserve"> and </w:t>
      </w:r>
      <w:r w:rsidR="000019AE">
        <w:t xml:space="preserve">Alt </w:t>
      </w:r>
      <w:r w:rsidRPr="002B722B">
        <w:t>4.  It had not seen any support for Alt 4, but had seen requests for prior Alt 3 to be put back.  It welcomed that.  It was very happy to see that the Delegation of the EU</w:t>
      </w:r>
      <w:r w:rsidR="00992438">
        <w:t>, on behalf of the EU and its Member States,</w:t>
      </w:r>
      <w:r w:rsidRPr="002B722B">
        <w:t xml:space="preserve"> saw merit in one of the alternatives on exceptions and limitations.  It took note of the input delivered by the Del</w:t>
      </w:r>
      <w:r w:rsidR="00992438">
        <w:t>egation of the USA and asked whether the objective of</w:t>
      </w:r>
      <w:r w:rsidRPr="002B722B">
        <w:t xml:space="preserve"> introducing paragraph 3 in Alt 2 was to have an unlimited possible deviation from the objective of the instrument, because that wording just meant that everybody could use exceptions and limitations without any kind of limitation itself.  It also asked if the incidental use exception in Alt 5 could be made a stand-alone alternative, perhaps as a new paragraph under Alt 2. </w:t>
      </w:r>
    </w:p>
    <w:p w14:paraId="31E29C64" w14:textId="77777777" w:rsidR="00E64E46" w:rsidRPr="002B722B" w:rsidRDefault="00E64E46" w:rsidP="00045C18"/>
    <w:p w14:paraId="5D967B46" w14:textId="768E4C67" w:rsidR="001559E2" w:rsidRPr="002B722B" w:rsidRDefault="00E64E46" w:rsidP="002B722B">
      <w:pPr>
        <w:pStyle w:val="ListParagraph"/>
        <w:numPr>
          <w:ilvl w:val="0"/>
          <w:numId w:val="4"/>
        </w:numPr>
        <w:ind w:left="0" w:firstLine="0"/>
      </w:pPr>
      <w:r w:rsidRPr="002B722B">
        <w:t>The Delegation of Canada, without prejudice, said that the whole discussion on exceptions and limitations would need to be linked to any outcome on the scope of protection.  It was interested in preserving various options for consideration.  It as</w:t>
      </w:r>
      <w:r w:rsidR="00992438">
        <w:t>ked the Delegation of the USA whether</w:t>
      </w:r>
      <w:r w:rsidRPr="002B722B">
        <w:t xml:space="preserve"> it objected to keeping the options of “</w:t>
      </w:r>
      <w:proofErr w:type="gramStart"/>
      <w:r w:rsidRPr="002B722B">
        <w:t>may</w:t>
      </w:r>
      <w:proofErr w:type="gramEnd"/>
      <w:r w:rsidRPr="002B722B">
        <w:t>” and “such as” in that text in brackets.  It sought clarification to find out what was the status of those two phrases.</w:t>
      </w:r>
    </w:p>
    <w:p w14:paraId="71040930" w14:textId="77777777" w:rsidR="001559E2" w:rsidRPr="002B722B" w:rsidRDefault="001559E2" w:rsidP="00045C18"/>
    <w:p w14:paraId="42E171B2" w14:textId="5FA33EFC" w:rsidR="000A6D07" w:rsidRPr="002B722B" w:rsidRDefault="001559E2" w:rsidP="002B722B">
      <w:pPr>
        <w:pStyle w:val="ListParagraph"/>
        <w:numPr>
          <w:ilvl w:val="0"/>
          <w:numId w:val="4"/>
        </w:numPr>
        <w:ind w:left="0" w:firstLine="0"/>
      </w:pPr>
      <w:r w:rsidRPr="002B722B">
        <w:t>The Delegation of Tunisia supported the proposal made by the Delegation of Senegal</w:t>
      </w:r>
      <w:r w:rsidR="00B61487">
        <w:t>,</w:t>
      </w:r>
      <w:r w:rsidRPr="002B722B">
        <w:t xml:space="preserve"> on behalf of the African Group</w:t>
      </w:r>
      <w:r w:rsidR="00B61487">
        <w:t>,</w:t>
      </w:r>
      <w:r w:rsidRPr="002B722B">
        <w:t xml:space="preserve"> and supported Alt 1.  Alt 3 and Alt 4 comprised expressions that were outside of the parameters of exceptions and limitations.  The protection proposed in Alt 3 was less than the protection sought for TCEs, such as provid</w:t>
      </w:r>
      <w:r w:rsidR="00B61487">
        <w:t>ed by UNESCO</w:t>
      </w:r>
      <w:r w:rsidRPr="002B722B">
        <w:t>.  The Tunis Model Law on Copyright for Developing Countries included a number of principles among which the condition for authorizing derivative works from TCEs.  It preferred Alt 1 to avoid the legal loopholes present in Alt 3 and Alt 4.  It did not accept the notion of third parties without a clarification of who those third parties were and what the legal effect would be.  Alt 1 was the alternative with the least legal loopholes.</w:t>
      </w:r>
    </w:p>
    <w:p w14:paraId="5DD38BDC" w14:textId="77777777" w:rsidR="000A6D07" w:rsidRPr="002B722B" w:rsidRDefault="000A6D07" w:rsidP="00045C18"/>
    <w:p w14:paraId="17A95ABB" w14:textId="14B421AA" w:rsidR="000A6D07" w:rsidRPr="002B722B" w:rsidRDefault="000A6D07" w:rsidP="002B722B">
      <w:pPr>
        <w:pStyle w:val="ListParagraph"/>
        <w:numPr>
          <w:ilvl w:val="0"/>
          <w:numId w:val="4"/>
        </w:numPr>
        <w:ind w:left="0" w:firstLine="0"/>
      </w:pPr>
      <w:r w:rsidRPr="002B722B">
        <w:t>The Delegation of Georgia, speaking on behalf of CEBS, associated itself with the intervention made by the Delegation of the EU</w:t>
      </w:r>
      <w:r w:rsidR="00B61487">
        <w:t>, on behalf of the EU and its Member States,</w:t>
      </w:r>
      <w:r w:rsidRPr="002B722B">
        <w:t xml:space="preserve"> in respect of Alt 3.</w:t>
      </w:r>
    </w:p>
    <w:p w14:paraId="570A694F" w14:textId="77777777" w:rsidR="000A6D07" w:rsidRPr="002B722B" w:rsidRDefault="000A6D07" w:rsidP="00045C18"/>
    <w:p w14:paraId="4576F070" w14:textId="6C267F13" w:rsidR="000A6D07" w:rsidRPr="002B722B" w:rsidRDefault="000A6D07" w:rsidP="002B722B">
      <w:pPr>
        <w:pStyle w:val="ListParagraph"/>
        <w:numPr>
          <w:ilvl w:val="0"/>
          <w:numId w:val="4"/>
        </w:numPr>
        <w:ind w:left="0" w:firstLine="0"/>
      </w:pPr>
      <w:r w:rsidRPr="002B722B">
        <w:t xml:space="preserve">The Chair opened the </w:t>
      </w:r>
      <w:r w:rsidR="00144F0E">
        <w:t>floor for comments</w:t>
      </w:r>
      <w:r w:rsidRPr="002B722B">
        <w:t xml:space="preserve"> on Article 10.  He said that the Delegation of the USA had put forward a clear alternative on the table, which was “Article 8, 9, 10</w:t>
      </w:r>
      <w:r w:rsidR="00F34242">
        <w:t>,</w:t>
      </w:r>
      <w:r w:rsidRPr="002B722B">
        <w:t xml:space="preserve"> 11</w:t>
      </w:r>
      <w:r w:rsidR="00F34242">
        <w:t xml:space="preserve"> and 13</w:t>
      </w:r>
      <w:r w:rsidRPr="002B722B">
        <w:t xml:space="preserve">. No Such Provisions” and he assumed that it had no intent of putting any further proposals into Article 10.  The integrity of the text was important.  </w:t>
      </w:r>
    </w:p>
    <w:p w14:paraId="7EF2D260" w14:textId="77777777" w:rsidR="000A6D07" w:rsidRPr="002B722B" w:rsidRDefault="000A6D07" w:rsidP="00045C18"/>
    <w:p w14:paraId="447D96F9" w14:textId="5AB71DC1" w:rsidR="00573272" w:rsidRPr="002B722B" w:rsidRDefault="000A6D07" w:rsidP="002B722B">
      <w:pPr>
        <w:pStyle w:val="ListParagraph"/>
        <w:numPr>
          <w:ilvl w:val="0"/>
          <w:numId w:val="4"/>
        </w:numPr>
        <w:ind w:left="0" w:firstLine="0"/>
      </w:pPr>
      <w:r w:rsidRPr="002B722B">
        <w:t xml:space="preserve">The Delegation of the USA said it would be happy to answer the questions regarding the previous article bilaterally.  It intended, without prejudice to its prior position, to make comments on Article 10, which was its prerogative as a Member State.  The language of Article 10.1 confirmed the concerns expressed previously.  It proposed the following textual amendment: </w:t>
      </w:r>
      <w:r w:rsidR="00121D65">
        <w:t xml:space="preserve"> </w:t>
      </w:r>
      <w:r w:rsidRPr="002B722B">
        <w:t>“Member States shall undertake to adopt appropriate, effective, and proportionate legal/and/or administrative measures, in accordance with their legal systems, to ensure the</w:t>
      </w:r>
      <w:r w:rsidR="00121D65">
        <w:t xml:space="preserve"> application of this instrument.</w:t>
      </w:r>
      <w:r w:rsidRPr="002B722B">
        <w:t xml:space="preserve">”  </w:t>
      </w:r>
    </w:p>
    <w:p w14:paraId="2115B017" w14:textId="77777777" w:rsidR="00573272" w:rsidRPr="002B722B" w:rsidRDefault="00573272" w:rsidP="00045C18"/>
    <w:p w14:paraId="58112FD5" w14:textId="3A64B610" w:rsidR="009F63D7" w:rsidRPr="002B722B" w:rsidRDefault="00573272" w:rsidP="002B722B">
      <w:pPr>
        <w:pStyle w:val="ListParagraph"/>
        <w:numPr>
          <w:ilvl w:val="0"/>
          <w:numId w:val="4"/>
        </w:numPr>
        <w:ind w:left="0" w:firstLine="0"/>
      </w:pPr>
      <w:r w:rsidRPr="002B722B">
        <w:t xml:space="preserve">The Delegation of New Zealand said it was so pleasing to see so much text taken out of the article at no loss.  The text contemplated the remedy of that being a violation of the right.  In </w:t>
      </w:r>
      <w:r w:rsidR="00CC11F8">
        <w:t>“</w:t>
      </w:r>
      <w:r w:rsidRPr="002B722B">
        <w:t>Scope of Protection</w:t>
      </w:r>
      <w:r w:rsidR="00CC11F8">
        <w:t>”</w:t>
      </w:r>
      <w:r w:rsidRPr="002B722B">
        <w:t>, it was contemplating both rights-based and measures-based approaches.  For example, a State might have a prohibition against offensive use but one might not provide it in a rights c</w:t>
      </w:r>
      <w:r w:rsidR="00CC11F8">
        <w:t>ontext.  It suggested that the f</w:t>
      </w:r>
      <w:r w:rsidRPr="002B722B">
        <w:t xml:space="preserve">acilitators think about broadening out the scope just a tad.  It wondered if that might have been part of the issue that the Delegation of the USA was pointing to.  </w:t>
      </w:r>
    </w:p>
    <w:p w14:paraId="2664D12D" w14:textId="77777777" w:rsidR="009F63D7" w:rsidRPr="002B722B" w:rsidRDefault="009F63D7" w:rsidP="00045C18"/>
    <w:p w14:paraId="04B97A2D" w14:textId="2D172DAD" w:rsidR="002E590D" w:rsidRPr="002B722B" w:rsidRDefault="009F63D7" w:rsidP="002B722B">
      <w:pPr>
        <w:pStyle w:val="ListParagraph"/>
        <w:numPr>
          <w:ilvl w:val="0"/>
          <w:numId w:val="4"/>
        </w:numPr>
        <w:ind w:left="0" w:firstLine="0"/>
      </w:pPr>
      <w:r w:rsidRPr="002B722B">
        <w:t>The Delegation of Indonesia, speaking on behalf of the LMCs, welcomed the new formulation of Article 10.  It respected the position of the Delegation of the USA that there should be no such prov</w:t>
      </w:r>
      <w:r w:rsidR="00CC11F8">
        <w:t>isions as Articles 8, 9, 10, 11</w:t>
      </w:r>
      <w:r w:rsidRPr="002B722B">
        <w:t xml:space="preserve"> and 13.  However, there was agreement in the IGC that discussions were not prejudging the outcome, which was why all</w:t>
      </w:r>
      <w:r w:rsidR="00CC11F8">
        <w:t xml:space="preserve"> the articles were in brackets and </w:t>
      </w:r>
      <w:r w:rsidRPr="002B722B">
        <w:t>they were not in agreement.  But making a position that there should be no such provisions actually did prejudge the outcome of the discussion, which would be that there wo</w:t>
      </w:r>
      <w:r w:rsidR="00CC11F8">
        <w:t>uld be no Articles 8, 9, 10, 11</w:t>
      </w:r>
      <w:r w:rsidRPr="002B722B">
        <w:t xml:space="preserve"> and 13.  That was in conflict with what the Delegation of the USA had been saying.  On Article 10, it sought clarification from the Delegation of the USA whether the new alternative was in line with the position of having no provision. </w:t>
      </w:r>
    </w:p>
    <w:p w14:paraId="5A90C71E" w14:textId="77777777" w:rsidR="002E590D" w:rsidRPr="002B722B" w:rsidRDefault="002E590D" w:rsidP="00045C18"/>
    <w:p w14:paraId="7F33C1A1" w14:textId="7CFE4695" w:rsidR="00323735" w:rsidRPr="002B722B" w:rsidRDefault="002E590D" w:rsidP="002B722B">
      <w:pPr>
        <w:pStyle w:val="ListParagraph"/>
        <w:numPr>
          <w:ilvl w:val="0"/>
          <w:numId w:val="4"/>
        </w:numPr>
        <w:ind w:left="0" w:firstLine="0"/>
      </w:pPr>
      <w:r w:rsidRPr="002B722B">
        <w:t>The Delegation of the EU, speaking on behalf of the EU and its Member States, suggested considering the following alternative:</w:t>
      </w:r>
      <w:r w:rsidR="00AF4DFC">
        <w:t xml:space="preserve"> </w:t>
      </w:r>
      <w:r w:rsidRPr="002B722B">
        <w:t xml:space="preserve"> “Member States/Contracting Parties should/shall provide in accordance with the national law the necessary legal</w:t>
      </w:r>
      <w:r w:rsidR="005E3FA8" w:rsidRPr="002B722B">
        <w:t>,</w:t>
      </w:r>
      <w:r w:rsidRPr="002B722B">
        <w:t xml:space="preserve"> policy or administrative measures to prevent willful or neglectful harm to the interests of the beneficiaries.”  It wished to l</w:t>
      </w:r>
      <w:r w:rsidR="00AF4DFC">
        <w:t>earn more about the meaning of “restorative justice”,</w:t>
      </w:r>
      <w:r w:rsidRPr="002B722B">
        <w:t xml:space="preserve"> an interesting concept that required further assessment.  It supported the insertion of “Alternatives to Arti</w:t>
      </w:r>
      <w:r w:rsidR="00516503">
        <w:t>cles 8, 9, 10, 11, and 13.  No Such Provisions</w:t>
      </w:r>
      <w:r w:rsidRPr="002B722B">
        <w:t>”</w:t>
      </w:r>
      <w:r w:rsidR="00516503">
        <w:t>.</w:t>
      </w:r>
    </w:p>
    <w:p w14:paraId="7F9847BA" w14:textId="77777777" w:rsidR="00323735" w:rsidRPr="002B722B" w:rsidRDefault="00323735" w:rsidP="00045C18"/>
    <w:p w14:paraId="1004AFB9" w14:textId="750CCA6D" w:rsidR="003E11F7" w:rsidRPr="002B722B" w:rsidRDefault="00323735" w:rsidP="002B722B">
      <w:pPr>
        <w:pStyle w:val="ListParagraph"/>
        <w:numPr>
          <w:ilvl w:val="0"/>
          <w:numId w:val="4"/>
        </w:numPr>
        <w:ind w:left="0" w:firstLine="0"/>
      </w:pPr>
      <w:r w:rsidRPr="002B722B">
        <w:lastRenderedPageBreak/>
        <w:t xml:space="preserve">The Delegation of Ghana echoed the sentiments expressed by the Chair concerning multiple proposals, which tended to contradict earlier proposals made by the same </w:t>
      </w:r>
      <w:r w:rsidR="00F43A9F">
        <w:t>delegations</w:t>
      </w:r>
      <w:r w:rsidRPr="002B722B">
        <w:t>.  He recalled an important principle in international law “</w:t>
      </w:r>
      <w:proofErr w:type="spellStart"/>
      <w:r w:rsidRPr="0069662E">
        <w:rPr>
          <w:i/>
        </w:rPr>
        <w:t>pacta</w:t>
      </w:r>
      <w:proofErr w:type="spellEnd"/>
      <w:r w:rsidRPr="0069662E">
        <w:rPr>
          <w:i/>
        </w:rPr>
        <w:t xml:space="preserve"> </w:t>
      </w:r>
      <w:proofErr w:type="spellStart"/>
      <w:r w:rsidRPr="0069662E">
        <w:rPr>
          <w:i/>
        </w:rPr>
        <w:t>sunt</w:t>
      </w:r>
      <w:proofErr w:type="spellEnd"/>
      <w:r w:rsidRPr="0069662E">
        <w:rPr>
          <w:i/>
        </w:rPr>
        <w:t xml:space="preserve"> </w:t>
      </w:r>
      <w:proofErr w:type="spellStart"/>
      <w:r w:rsidRPr="0069662E">
        <w:rPr>
          <w:i/>
        </w:rPr>
        <w:t>servanda</w:t>
      </w:r>
      <w:proofErr w:type="spellEnd"/>
      <w:r w:rsidRPr="002B722B">
        <w:t>,” i.e. “agreemen</w:t>
      </w:r>
      <w:r w:rsidR="0069662E">
        <w:t>ts are made to be complied with</w:t>
      </w:r>
      <w:r w:rsidRPr="002B722B">
        <w:t>”</w:t>
      </w:r>
      <w:r w:rsidR="0069662E">
        <w:t>.</w:t>
      </w:r>
      <w:r w:rsidRPr="002B722B">
        <w:t xml:space="preserve">  Underlying that was the principle that parties should act in good faith.  When undertaking to abide b</w:t>
      </w:r>
      <w:r w:rsidR="0069662E">
        <w:t>y the terms of an agreement, parties</w:t>
      </w:r>
      <w:r w:rsidRPr="002B722B">
        <w:t xml:space="preserve"> agreed to be bound by it.  The same principle applied when negotiating.  Parties who were negotiating should be able to rely on the fact that their partners negotiate</w:t>
      </w:r>
      <w:r w:rsidR="0069662E">
        <w:t>d</w:t>
      </w:r>
      <w:r w:rsidRPr="002B722B">
        <w:t xml:space="preserve"> in good faith and took consistent positions.  That was what created credibility.  Where it was possible to state contrasting positions, it made it difficult to know where a party actually stood.  A delegation had stated that Article 10 was not necessary, but actually necessary.  </w:t>
      </w:r>
      <w:r w:rsidR="008F07BF">
        <w:t>Delegations</w:t>
      </w:r>
      <w:r w:rsidRPr="002B722B">
        <w:t xml:space="preserve"> could not shift stance and change positions when </w:t>
      </w:r>
      <w:r w:rsidR="00FE484C" w:rsidRPr="002B722B">
        <w:t>suitable</w:t>
      </w:r>
      <w:r w:rsidRPr="002B722B">
        <w:t xml:space="preserve"> because it was not possible to articulate a precise and consistent national policy.  It implored all delegations to adhere to that important principle of public international law. </w:t>
      </w:r>
    </w:p>
    <w:p w14:paraId="1CD458BE" w14:textId="77777777" w:rsidR="00326520" w:rsidRPr="002B722B" w:rsidRDefault="00326520" w:rsidP="00045C18"/>
    <w:p w14:paraId="195D3AE8" w14:textId="4AA7EB1A" w:rsidR="0015271F" w:rsidRPr="002B722B" w:rsidRDefault="00326520" w:rsidP="002B722B">
      <w:pPr>
        <w:pStyle w:val="ListParagraph"/>
        <w:numPr>
          <w:ilvl w:val="0"/>
          <w:numId w:val="4"/>
        </w:numPr>
        <w:ind w:left="0" w:firstLine="0"/>
      </w:pPr>
      <w:r w:rsidRPr="002B722B">
        <w:t xml:space="preserve">The representative of </w:t>
      </w:r>
      <w:proofErr w:type="spellStart"/>
      <w:r w:rsidRPr="002B722B">
        <w:t>Tebtebba</w:t>
      </w:r>
      <w:proofErr w:type="spellEnd"/>
      <w:r w:rsidRPr="002B722B">
        <w:t xml:space="preserve"> Foundation, speaking on behalf of the Indigenous Caucus, said, similar to Article 6 on administration of rights, Article 19 of UNDRIP also applied to any measures that a State put up that would potentially affect indigenous peoples.  In particular, UNDRIP required FPIC before adopting and implementing legislative or administrative measures that might affect indigenous peoples.  She had</w:t>
      </w:r>
      <w:r w:rsidR="00E55AC0" w:rsidRPr="002B722B">
        <w:t xml:space="preserve"> a similar proposal that</w:t>
      </w:r>
      <w:r w:rsidRPr="002B722B">
        <w:t xml:space="preserve"> read: </w:t>
      </w:r>
      <w:r w:rsidR="00F8728E">
        <w:t xml:space="preserve"> </w:t>
      </w:r>
      <w:r w:rsidRPr="002B722B">
        <w:t>“10.1 Member sta</w:t>
      </w:r>
      <w:r w:rsidR="00F8728E">
        <w:t xml:space="preserve">tes shall, in conjunction with indigenous peoples, put in place </w:t>
      </w:r>
      <w:r w:rsidRPr="002B722B">
        <w:t>acce</w:t>
      </w:r>
      <w:r w:rsidR="00F8728E">
        <w:t>ssible, appropriate, effective, dissuasive and proportionate legal and</w:t>
      </w:r>
      <w:r w:rsidRPr="002B722B">
        <w:t>/or administrative measures, to address violations of the right</w:t>
      </w:r>
      <w:r w:rsidR="00F8728E">
        <w:t xml:space="preserve">s contained in this instrument.  </w:t>
      </w:r>
      <w:r w:rsidRPr="002B722B">
        <w:t>Indigenous peoples shall have the right to initiate enforcement on their own behalf and shall not be required to demonstrate proof of economic harm.”  In many instances, in many countries</w:t>
      </w:r>
      <w:r w:rsidR="00E55AC0" w:rsidRPr="002B722B">
        <w:t>,</w:t>
      </w:r>
      <w:r w:rsidR="00F8728E">
        <w:t xml:space="preserve"> the S</w:t>
      </w:r>
      <w:r w:rsidRPr="002B722B">
        <w:t>tate was slow to or did not act on v</w:t>
      </w:r>
      <w:r w:rsidR="00F8728E">
        <w:t>iolations of indigenous peoples’</w:t>
      </w:r>
      <w:r w:rsidRPr="002B722B">
        <w:t xml:space="preserve"> rights and indigenous peoples </w:t>
      </w:r>
      <w:r w:rsidR="00F8728E">
        <w:t>had</w:t>
      </w:r>
      <w:r w:rsidRPr="002B722B">
        <w:t xml:space="preserve"> mechanisms t</w:t>
      </w:r>
      <w:r w:rsidR="00E55AC0" w:rsidRPr="002B722B">
        <w:t xml:space="preserve">hat would address the harms.  </w:t>
      </w:r>
      <w:r w:rsidRPr="002B722B">
        <w:t xml:space="preserve">Those had been read in the </w:t>
      </w:r>
      <w:proofErr w:type="spellStart"/>
      <w:r w:rsidRPr="002B722B">
        <w:t>informals</w:t>
      </w:r>
      <w:proofErr w:type="spellEnd"/>
      <w:r w:rsidRPr="002B722B">
        <w:t xml:space="preserve"> and were being presenting to the plenary for consideration.  In paragraph 10.2, restorative justice measures had been included.  It was very interesting</w:t>
      </w:r>
      <w:proofErr w:type="gramStart"/>
      <w:r w:rsidR="00F8728E">
        <w:t xml:space="preserve">; </w:t>
      </w:r>
      <w:r w:rsidR="00E55AC0" w:rsidRPr="002B722B">
        <w:t xml:space="preserve"> h</w:t>
      </w:r>
      <w:r w:rsidRPr="002B722B">
        <w:t>owever</w:t>
      </w:r>
      <w:proofErr w:type="gramEnd"/>
      <w:r w:rsidRPr="002B722B">
        <w:t>, restorative justice was</w:t>
      </w:r>
      <w:r w:rsidR="00E55AC0" w:rsidRPr="002B722B">
        <w:t xml:space="preserve"> not really a sanction, r</w:t>
      </w:r>
      <w:r w:rsidRPr="002B722B">
        <w:t xml:space="preserve">ather, it was a remedy.  In order to reflect that the article contained both sanctions and remedies, as stated in the title, it proposed breaking up paragraph 10.2 into two separate sentences.  The first would deal with sanctions, the second with remedies.  It would be changed as follows: “10.2 </w:t>
      </w:r>
      <w:proofErr w:type="gramStart"/>
      <w:r w:rsidRPr="002B722B">
        <w:t>If</w:t>
      </w:r>
      <w:proofErr w:type="gramEnd"/>
      <w:r w:rsidRPr="002B722B">
        <w:t xml:space="preserve"> a violation of the rights protected by this instrument is determined pursuant to paragraph 10.1, the sanctions shall include civil and criminal enforcement measures, as appropriate.  Remedies may include restorative justice measures, such as repatriation, according to the nature an</w:t>
      </w:r>
      <w:r w:rsidR="00F8728E">
        <w:t xml:space="preserve">d effect of the infringement.”  </w:t>
      </w:r>
      <w:r w:rsidRPr="002B722B">
        <w:t xml:space="preserve">She hoped that the Member States could reflect on that text </w:t>
      </w:r>
      <w:r w:rsidR="00E55AC0" w:rsidRPr="002B722B">
        <w:t xml:space="preserve">in </w:t>
      </w:r>
      <w:r w:rsidR="00F8728E">
        <w:t xml:space="preserve">the </w:t>
      </w:r>
      <w:proofErr w:type="spellStart"/>
      <w:r w:rsidR="00F8728E">
        <w:t>informal</w:t>
      </w:r>
      <w:r w:rsidRPr="002B722B">
        <w:t>s</w:t>
      </w:r>
      <w:proofErr w:type="spellEnd"/>
      <w:r w:rsidRPr="002B722B">
        <w:t xml:space="preserve">.  </w:t>
      </w:r>
    </w:p>
    <w:p w14:paraId="28A98D81" w14:textId="77777777" w:rsidR="0015271F" w:rsidRPr="002B722B" w:rsidRDefault="0015271F" w:rsidP="00045C18"/>
    <w:p w14:paraId="0BA662B0" w14:textId="77777777" w:rsidR="00C6166A" w:rsidRPr="002B722B" w:rsidRDefault="0015271F" w:rsidP="002B722B">
      <w:pPr>
        <w:pStyle w:val="ListParagraph"/>
        <w:numPr>
          <w:ilvl w:val="0"/>
          <w:numId w:val="4"/>
        </w:numPr>
        <w:ind w:left="0" w:firstLine="0"/>
      </w:pPr>
      <w:r w:rsidRPr="002B722B">
        <w:t>The Delegation of Bolivia (</w:t>
      </w:r>
      <w:proofErr w:type="spellStart"/>
      <w:r w:rsidRPr="002B722B">
        <w:t>Plurinational</w:t>
      </w:r>
      <w:proofErr w:type="spellEnd"/>
      <w:r w:rsidRPr="002B722B">
        <w:t xml:space="preserve"> State of) supported the textual proposals. </w:t>
      </w:r>
    </w:p>
    <w:p w14:paraId="09249EBB" w14:textId="77777777" w:rsidR="00C6166A" w:rsidRPr="002B722B" w:rsidRDefault="00C6166A" w:rsidP="00045C18"/>
    <w:p w14:paraId="5CEA2687" w14:textId="64653312" w:rsidR="00C6166A" w:rsidRPr="002B722B" w:rsidRDefault="00C6166A" w:rsidP="002B722B">
      <w:pPr>
        <w:pStyle w:val="ListParagraph"/>
        <w:numPr>
          <w:ilvl w:val="0"/>
          <w:numId w:val="4"/>
        </w:numPr>
        <w:ind w:left="0" w:firstLine="0"/>
      </w:pPr>
      <w:r w:rsidRPr="002B722B">
        <w:t xml:space="preserve">The representative of Tupaj Amaru said that </w:t>
      </w:r>
      <w:r w:rsidR="006F2685">
        <w:t>S</w:t>
      </w:r>
      <w:r w:rsidRPr="002B722B">
        <w:t>tates that did not want to have sanctions or wanted to have an instrument without coercive measures for its application, were simply saying that it would be a mere declaration, not a binding instrument.  Therefore, he proposed the following:</w:t>
      </w:r>
      <w:r w:rsidR="000622BA">
        <w:t xml:space="preserve"> </w:t>
      </w:r>
      <w:r w:rsidRPr="002B722B">
        <w:t xml:space="preserve"> “The </w:t>
      </w:r>
      <w:r w:rsidR="000622BA">
        <w:t>contracting</w:t>
      </w:r>
      <w:r w:rsidRPr="002B722B">
        <w:t xml:space="preserve"> parties to this international instrument commit to adopt in accordance with their respective domestic legal systems and in accordance with the international legislation, enforce the effective appropriate measures to guarantee the protection of TK and TCEs against any misappropriation, including premeditated harm or deliberate harm or violation, either by negligence or omission.  In cases of misappropriation of TK, which would run the risk of facing extinction and in accordance with the aforementioned article, the States would establish mechanisms for the application of this article, including a mechanism for arbitration and mediation to ensure effective compliance.  Dispute settlements among the beneficiaries and users of TK without prejudice to that provided in other international instruments.  Sanctions and administrative remedies in both criminal and civil courts would be applied.  In accordance with Article 4, competent groups would be established on the free prior informed consent of beneficiaries to provide advice and assistance to the beneficiaries mentioned in Article 2 in order to guarantee compliance and respect for their rights and the application of sanctions stipulated herein.  The contracting parties would provide </w:t>
      </w:r>
      <w:proofErr w:type="gramStart"/>
      <w:r w:rsidRPr="002B722B">
        <w:t>cooperation,</w:t>
      </w:r>
      <w:proofErr w:type="gramEnd"/>
      <w:r w:rsidRPr="002B722B">
        <w:t xml:space="preserve"> </w:t>
      </w:r>
      <w:r w:rsidRPr="002B722B">
        <w:lastRenderedPageBreak/>
        <w:t>and assistance to the beneficiaries in order to facilitate the application of the mechanisms and measures within the national territory and within the boundaries of neighboring countries contemplated in this instrument.”</w:t>
      </w:r>
    </w:p>
    <w:p w14:paraId="1DD4E488" w14:textId="77777777" w:rsidR="00C6166A" w:rsidRPr="002B722B" w:rsidRDefault="00C6166A" w:rsidP="00045C18"/>
    <w:p w14:paraId="0B5006EF" w14:textId="60116677" w:rsidR="001378C8" w:rsidRPr="002B722B" w:rsidRDefault="00BD5C8A" w:rsidP="002B722B">
      <w:pPr>
        <w:pStyle w:val="ListParagraph"/>
        <w:numPr>
          <w:ilvl w:val="0"/>
          <w:numId w:val="4"/>
        </w:numPr>
        <w:ind w:left="0" w:firstLine="0"/>
      </w:pPr>
      <w:r w:rsidRPr="002B722B">
        <w:t xml:space="preserve">The Chair </w:t>
      </w:r>
      <w:r>
        <w:t>noted that there was no support from a</w:t>
      </w:r>
      <w:r w:rsidRPr="002B722B">
        <w:t xml:space="preserve"> Member State </w:t>
      </w:r>
      <w:r>
        <w:t>for the</w:t>
      </w:r>
      <w:r w:rsidRPr="002B722B">
        <w:t xml:space="preserve"> proposal</w:t>
      </w:r>
      <w:r>
        <w:t xml:space="preserve"> made by the representative of Tupaj Amaru</w:t>
      </w:r>
      <w:r w:rsidR="00C6166A" w:rsidRPr="002B722B">
        <w:t xml:space="preserve">. </w:t>
      </w:r>
    </w:p>
    <w:p w14:paraId="1826A3EB" w14:textId="77777777" w:rsidR="001378C8" w:rsidRPr="002B722B" w:rsidRDefault="001378C8" w:rsidP="00045C18"/>
    <w:p w14:paraId="1D6B1E7A" w14:textId="3347E8EE" w:rsidR="00FE74BE" w:rsidRPr="002B722B" w:rsidRDefault="009217C6" w:rsidP="002B722B">
      <w:pPr>
        <w:pStyle w:val="ListParagraph"/>
        <w:numPr>
          <w:ilvl w:val="0"/>
          <w:numId w:val="4"/>
        </w:numPr>
        <w:ind w:left="0" w:firstLine="0"/>
      </w:pPr>
      <w:r w:rsidRPr="002B722B">
        <w:t xml:space="preserve">The representative of INBRAPI said that other </w:t>
      </w:r>
      <w:r w:rsidR="00F13A26">
        <w:t>delegations</w:t>
      </w:r>
      <w:r w:rsidRPr="002B722B">
        <w:t xml:space="preserve"> had already questioned the word “interests” because the mandate was to protect rights and not interests.  Therefore, legally it wo</w:t>
      </w:r>
      <w:r w:rsidR="00F13A26">
        <w:t>uld be clearer to use the word “rights”</w:t>
      </w:r>
      <w:r w:rsidRPr="002B722B">
        <w:t xml:space="preserve"> instead.  She completely supported the position of </w:t>
      </w:r>
      <w:r w:rsidR="00F13A26">
        <w:t xml:space="preserve">the representative of </w:t>
      </w:r>
      <w:proofErr w:type="spellStart"/>
      <w:r w:rsidR="00F13A26" w:rsidRPr="002B722B">
        <w:t>Tebtebba</w:t>
      </w:r>
      <w:proofErr w:type="spellEnd"/>
      <w:r w:rsidR="00F13A26" w:rsidRPr="002B722B">
        <w:t xml:space="preserve"> Foundation</w:t>
      </w:r>
      <w:r w:rsidR="00F13A26">
        <w:t>, on behalf of</w:t>
      </w:r>
      <w:r w:rsidR="00F13A26" w:rsidRPr="002B722B">
        <w:t xml:space="preserve"> </w:t>
      </w:r>
      <w:r w:rsidRPr="002B722B">
        <w:t>the Indigenous Caucus.  She thanked the Delegation of Bolivia (</w:t>
      </w:r>
      <w:proofErr w:type="spellStart"/>
      <w:r w:rsidRPr="002B722B">
        <w:t>Plurinational</w:t>
      </w:r>
      <w:proofErr w:type="spellEnd"/>
      <w:r w:rsidRPr="002B722B">
        <w:t xml:space="preserve"> State of) for supporting the textual proposal with regard to th</w:t>
      </w:r>
      <w:r w:rsidR="00F13A26">
        <w:t>e fact that sanctions, remedies</w:t>
      </w:r>
      <w:r w:rsidRPr="002B722B">
        <w:t xml:space="preserve"> and the exercise of rights needed to be done in conjunction with IPLCs who created the TCEs.  Those measures needed to be accessible, because often they were not.  Concerning the burden of proof, often there was no shown economic harm.  Some TCEs were not being traded, but their misuse did cause harm, not necessarily economic harm.  She asked </w:t>
      </w:r>
      <w:r w:rsidR="00F13A26">
        <w:t>States</w:t>
      </w:r>
      <w:r w:rsidRPr="002B722B">
        <w:t xml:space="preserve"> for their continued support for the text to continue to reflect the interests of all parties, particularly the creators of TCEs, IPLCs.  </w:t>
      </w:r>
    </w:p>
    <w:p w14:paraId="317CF953" w14:textId="77777777" w:rsidR="00FE74BE" w:rsidRPr="002B722B" w:rsidRDefault="00FE74BE" w:rsidP="00045C18"/>
    <w:p w14:paraId="2275B82D" w14:textId="77777777" w:rsidR="00FE74BE" w:rsidRPr="002B722B" w:rsidRDefault="00FE74BE" w:rsidP="002B722B">
      <w:pPr>
        <w:pStyle w:val="ListParagraph"/>
        <w:numPr>
          <w:ilvl w:val="0"/>
          <w:numId w:val="4"/>
        </w:numPr>
        <w:ind w:left="0" w:firstLine="0"/>
      </w:pPr>
      <w:r w:rsidRPr="002B722B">
        <w:t>The Delegation of Brazil asked for clarification from the Delegation of the USA whether it was withdrawing its proposal to restrict the proposals considering the new article.</w:t>
      </w:r>
    </w:p>
    <w:p w14:paraId="192753B7" w14:textId="77777777" w:rsidR="00FE74BE" w:rsidRPr="002B722B" w:rsidRDefault="00FE74BE" w:rsidP="00045C18"/>
    <w:p w14:paraId="14C36442" w14:textId="77777777" w:rsidR="00EA2F53" w:rsidRPr="002B722B" w:rsidRDefault="00FE74BE" w:rsidP="002B722B">
      <w:pPr>
        <w:pStyle w:val="ListParagraph"/>
        <w:numPr>
          <w:ilvl w:val="0"/>
          <w:numId w:val="4"/>
        </w:numPr>
        <w:ind w:left="0" w:firstLine="0"/>
      </w:pPr>
      <w:r w:rsidRPr="002B722B">
        <w:t xml:space="preserve">The Delegation of the USA said its position was entirely consistent.  It had expressed concern and made an intervention early on and </w:t>
      </w:r>
      <w:r w:rsidRPr="00FE74BE">
        <w:t>suggested looking at those negotiations in a sense of a window where each of the delegations could look to the positions of other delegations, including textual suggestions.  Some delegations had looked at those negotiations more as a mirror where only their reflection counted.  It took exception to that and would continue to make principled textual and policy interventions.</w:t>
      </w:r>
    </w:p>
    <w:p w14:paraId="26E9E41C" w14:textId="77777777" w:rsidR="00EA2F53" w:rsidRDefault="00EA2F53" w:rsidP="00045C18"/>
    <w:p w14:paraId="75E0DF7C" w14:textId="3C100DDB" w:rsidR="00182AC7" w:rsidRPr="002B722B" w:rsidRDefault="00EA2F53" w:rsidP="002B722B">
      <w:pPr>
        <w:pStyle w:val="ListParagraph"/>
        <w:numPr>
          <w:ilvl w:val="0"/>
          <w:numId w:val="4"/>
        </w:numPr>
        <w:ind w:left="0" w:firstLine="0"/>
      </w:pPr>
      <w:r w:rsidRPr="00EA2F53">
        <w:t>The Delegation of Uganda suggested adding in Article 10.2, in the second line, “as may be determined by national law according to the nature and effec</w:t>
      </w:r>
      <w:r w:rsidR="00C826CC">
        <w:t>t of the infringement</w:t>
      </w:r>
      <w:r w:rsidRPr="00EA2F53">
        <w:t xml:space="preserve">” to try to bridge the gap.  In most cases, countries would implement the instrument and at the national level there were usually sanctions to handle issues arising from such implementation.  </w:t>
      </w:r>
    </w:p>
    <w:p w14:paraId="4EEA85AB" w14:textId="77777777" w:rsidR="00182AC7" w:rsidRDefault="00182AC7" w:rsidP="00045C18"/>
    <w:p w14:paraId="1616C113" w14:textId="36A37047" w:rsidR="00182AC7" w:rsidRPr="002B722B" w:rsidRDefault="00182AC7" w:rsidP="002B722B">
      <w:pPr>
        <w:pStyle w:val="ListParagraph"/>
        <w:numPr>
          <w:ilvl w:val="0"/>
          <w:numId w:val="4"/>
        </w:numPr>
        <w:ind w:left="0" w:firstLine="0"/>
      </w:pPr>
      <w:r w:rsidRPr="00182AC7">
        <w:t xml:space="preserve">The Delegation of El Salvador thanked </w:t>
      </w:r>
      <w:r w:rsidR="002317D1">
        <w:t xml:space="preserve">the representative of </w:t>
      </w:r>
      <w:proofErr w:type="spellStart"/>
      <w:r w:rsidR="002317D1" w:rsidRPr="002B722B">
        <w:t>Tebtebba</w:t>
      </w:r>
      <w:proofErr w:type="spellEnd"/>
      <w:r w:rsidR="002317D1" w:rsidRPr="002B722B">
        <w:t xml:space="preserve"> Foundation</w:t>
      </w:r>
      <w:r w:rsidR="002317D1">
        <w:t>, on behalf of</w:t>
      </w:r>
      <w:r w:rsidR="002317D1" w:rsidRPr="00182AC7">
        <w:t xml:space="preserve"> </w:t>
      </w:r>
      <w:r w:rsidRPr="00182AC7">
        <w:t xml:space="preserve">the Indigenous Caucus for the amendment.  It supported the review in </w:t>
      </w:r>
      <w:r w:rsidR="002317D1">
        <w:t>Article</w:t>
      </w:r>
      <w:r w:rsidRPr="00182AC7">
        <w:t xml:space="preserve"> 10.1 </w:t>
      </w:r>
      <w:r w:rsidR="002317D1">
        <w:t>with regard to the fact that</w:t>
      </w:r>
      <w:r w:rsidRPr="00182AC7">
        <w:t xml:space="preserve"> </w:t>
      </w:r>
      <w:r w:rsidR="002317D1" w:rsidRPr="00182AC7">
        <w:t xml:space="preserve">the demonstration of economic harm </w:t>
      </w:r>
      <w:r w:rsidRPr="00182AC7">
        <w:t>should not</w:t>
      </w:r>
      <w:r w:rsidR="002317D1">
        <w:t xml:space="preserve"> be</w:t>
      </w:r>
      <w:r w:rsidRPr="00182AC7">
        <w:t xml:space="preserve"> need</w:t>
      </w:r>
      <w:r w:rsidR="002317D1">
        <w:t>ed.  Regarding</w:t>
      </w:r>
      <w:r w:rsidRPr="00182AC7">
        <w:t xml:space="preserve"> </w:t>
      </w:r>
      <w:r w:rsidR="002317D1">
        <w:t>Article</w:t>
      </w:r>
      <w:r w:rsidRPr="00182AC7">
        <w:t xml:space="preserve"> 10.2</w:t>
      </w:r>
      <w:r w:rsidR="002317D1">
        <w:t>,</w:t>
      </w:r>
      <w:r w:rsidRPr="00182AC7">
        <w:t xml:space="preserve"> it supported further specification that sanctions could be either civil or criminal.  It wished to merge Articles 12 and 16, taking </w:t>
      </w:r>
      <w:r w:rsidR="002317D1">
        <w:t>Article</w:t>
      </w:r>
      <w:r w:rsidRPr="00182AC7">
        <w:t xml:space="preserve"> 12.1 followed by the current paragraph of Article 16 as </w:t>
      </w:r>
      <w:r w:rsidR="002317D1">
        <w:t>Article</w:t>
      </w:r>
      <w:r w:rsidRPr="00182AC7">
        <w:t xml:space="preserve"> 12.2 and adding the following text: </w:t>
      </w:r>
      <w:r w:rsidR="002317D1">
        <w:t xml:space="preserve"> </w:t>
      </w:r>
      <w:r w:rsidRPr="00182AC7">
        <w:t>“in accordance with how it harms or causes prejudice to the rights of the indigenous peoples enshrined in UNDRIP” and add</w:t>
      </w:r>
      <w:r w:rsidR="002317D1">
        <w:t>ing</w:t>
      </w:r>
      <w:r w:rsidRPr="00182AC7">
        <w:t xml:space="preserve"> </w:t>
      </w:r>
      <w:r w:rsidR="002317D1">
        <w:t>Article</w:t>
      </w:r>
      <w:r w:rsidRPr="00182AC7">
        <w:t xml:space="preserve"> 12.3 “in the case of legal conflict, the rights of indigenous peoples enshrined in the aforementioned declaration would prevail and every interpretation would be guided by the declaration.” </w:t>
      </w:r>
    </w:p>
    <w:p w14:paraId="01F9A21D" w14:textId="77777777" w:rsidR="00182AC7" w:rsidRDefault="00182AC7" w:rsidP="00045C18"/>
    <w:p w14:paraId="60CCEC74" w14:textId="15EE78B9" w:rsidR="00182AC7" w:rsidRPr="002B722B" w:rsidRDefault="00182AC7" w:rsidP="002B722B">
      <w:pPr>
        <w:pStyle w:val="ListParagraph"/>
        <w:numPr>
          <w:ilvl w:val="0"/>
          <w:numId w:val="4"/>
        </w:numPr>
        <w:ind w:left="0" w:firstLine="0"/>
      </w:pPr>
      <w:r w:rsidRPr="00182AC7">
        <w:t>The Delegation of Ecuador thanked the Delegation of El Salvador for the text put forward.  It recognized the contribution made by</w:t>
      </w:r>
      <w:r w:rsidR="00555EB4">
        <w:t xml:space="preserve"> the representative of </w:t>
      </w:r>
      <w:proofErr w:type="spellStart"/>
      <w:r w:rsidR="00555EB4" w:rsidRPr="002B722B">
        <w:t>Tebtebba</w:t>
      </w:r>
      <w:proofErr w:type="spellEnd"/>
      <w:r w:rsidR="00555EB4" w:rsidRPr="002B722B">
        <w:t xml:space="preserve"> Foundation</w:t>
      </w:r>
      <w:r w:rsidR="00555EB4">
        <w:t>, on behalf of</w:t>
      </w:r>
      <w:r w:rsidRPr="00182AC7">
        <w:t xml:space="preserve"> the Indigenous Caucus in Article 10 because it covered the fundamental issue of the participation of indigenous peoples within decisions that affected their rights.  It supported it, as it went along with the existing international instruments and with its national legislation.</w:t>
      </w:r>
    </w:p>
    <w:p w14:paraId="309807A5" w14:textId="77777777" w:rsidR="00182AC7" w:rsidRDefault="00182AC7" w:rsidP="00045C18"/>
    <w:p w14:paraId="536A05D4" w14:textId="262E4ECC" w:rsidR="009C13F3" w:rsidRPr="002B722B" w:rsidRDefault="00182AC7" w:rsidP="002B722B">
      <w:pPr>
        <w:pStyle w:val="ListParagraph"/>
        <w:numPr>
          <w:ilvl w:val="0"/>
          <w:numId w:val="4"/>
        </w:numPr>
        <w:ind w:left="0" w:firstLine="0"/>
      </w:pPr>
      <w:r w:rsidRPr="00182AC7">
        <w:t xml:space="preserve">The Delegation of Bolivia </w:t>
      </w:r>
      <w:r w:rsidR="009411DB" w:rsidRPr="002B722B">
        <w:t>(</w:t>
      </w:r>
      <w:proofErr w:type="spellStart"/>
      <w:r w:rsidR="009411DB" w:rsidRPr="002B722B">
        <w:t>Plurinational</w:t>
      </w:r>
      <w:proofErr w:type="spellEnd"/>
      <w:r w:rsidR="009411DB" w:rsidRPr="002B722B">
        <w:t xml:space="preserve"> State of) </w:t>
      </w:r>
      <w:r w:rsidRPr="00182AC7">
        <w:t xml:space="preserve">said it was important to have clarity with regard to the title of Article 3 and asked the </w:t>
      </w:r>
      <w:r w:rsidR="0050071B">
        <w:t>f</w:t>
      </w:r>
      <w:r w:rsidRPr="00182AC7">
        <w:t xml:space="preserve">acilitators to consider its views. </w:t>
      </w:r>
    </w:p>
    <w:p w14:paraId="256E7B65" w14:textId="77777777" w:rsidR="009C13F3" w:rsidRPr="002B722B" w:rsidRDefault="009C13F3" w:rsidP="00045C18"/>
    <w:p w14:paraId="1A80A251" w14:textId="7A454F06" w:rsidR="009C13F3" w:rsidRPr="002B722B" w:rsidRDefault="00946444" w:rsidP="002B722B">
      <w:pPr>
        <w:pStyle w:val="ListParagraph"/>
        <w:numPr>
          <w:ilvl w:val="0"/>
          <w:numId w:val="4"/>
        </w:numPr>
        <w:ind w:left="0" w:firstLine="0"/>
      </w:pPr>
      <w:r>
        <w:lastRenderedPageBreak/>
        <w:t xml:space="preserve">[Note from the Secretariat:  this part of the session took place after the distribution of Rev.2 on June 15, 2017.]  </w:t>
      </w:r>
      <w:r w:rsidR="008D0AC0">
        <w:t>The Chair invited the f</w:t>
      </w:r>
      <w:r w:rsidR="009C13F3" w:rsidRPr="002B722B">
        <w:t>acilitators to introduce Rev</w:t>
      </w:r>
      <w:r w:rsidR="008D0AC0">
        <w:t>.</w:t>
      </w:r>
      <w:r w:rsidR="009C13F3" w:rsidRPr="002B722B">
        <w:t xml:space="preserve"> 2 and explain the content and rationale underlining the changes made. </w:t>
      </w:r>
    </w:p>
    <w:p w14:paraId="53DFC1FC" w14:textId="77777777" w:rsidR="009C13F3" w:rsidRPr="002B722B" w:rsidRDefault="009C13F3" w:rsidP="00045C18"/>
    <w:p w14:paraId="4A21C21A" w14:textId="54B11B60" w:rsidR="00236932" w:rsidRPr="002B722B" w:rsidRDefault="002C7CB0" w:rsidP="002B722B">
      <w:pPr>
        <w:pStyle w:val="ListParagraph"/>
        <w:numPr>
          <w:ilvl w:val="0"/>
          <w:numId w:val="4"/>
        </w:numPr>
        <w:ind w:left="0" w:firstLine="0"/>
      </w:pPr>
      <w:r w:rsidRPr="002C7CB0">
        <w:t>Ms.</w:t>
      </w:r>
      <w:r w:rsidR="009C13F3" w:rsidRPr="002C7CB0">
        <w:t xml:space="preserve"> </w:t>
      </w:r>
      <w:proofErr w:type="spellStart"/>
      <w:r w:rsidR="009C13F3" w:rsidRPr="002C7CB0">
        <w:t>Hao’uli</w:t>
      </w:r>
      <w:proofErr w:type="spellEnd"/>
      <w:r w:rsidRPr="002C7CB0">
        <w:t>, speaking on behalf of the facilitators,</w:t>
      </w:r>
      <w:r w:rsidR="009C13F3" w:rsidRPr="002C7CB0">
        <w:t xml:space="preserve"> said they had taken the interventions made in plenary to develop Rev</w:t>
      </w:r>
      <w:r w:rsidRPr="002C7CB0">
        <w:t>.</w:t>
      </w:r>
      <w:r w:rsidR="009C13F3" w:rsidRPr="002C7CB0">
        <w:t xml:space="preserve"> 2.  They had t</w:t>
      </w:r>
      <w:r w:rsidRPr="002C7CB0">
        <w:t>ried to represent Member States’</w:t>
      </w:r>
      <w:r w:rsidR="009C13F3" w:rsidRPr="002C7CB0">
        <w:t xml:space="preserve"> positions and she thanked Member States for consulting informally and clarifying proposals.  In some cases, Member States might have altered or withdrawn certain proposals, and she hoped to have come up with a more streamlined and concise text. </w:t>
      </w:r>
      <w:r>
        <w:t xml:space="preserve"> </w:t>
      </w:r>
      <w:r w:rsidR="009C13F3" w:rsidRPr="002C7CB0">
        <w:t>The Delegation of the Philippine</w:t>
      </w:r>
      <w:r>
        <w:t>s had asked to insert the word “free” before “</w:t>
      </w:r>
      <w:r w:rsidR="009C13F3" w:rsidRPr="002C7CB0">
        <w:t>prior</w:t>
      </w:r>
      <w:r>
        <w:t xml:space="preserve"> informed consent”.</w:t>
      </w:r>
      <w:r w:rsidR="009C13F3" w:rsidRPr="002B722B">
        <w:t xml:space="preserve">  A Member State had asked for the</w:t>
      </w:r>
      <w:r w:rsidR="00987563">
        <w:t xml:space="preserve"> global bracketing of the term “</w:t>
      </w:r>
      <w:r w:rsidR="009C13F3" w:rsidRPr="002B722B">
        <w:t>peoples</w:t>
      </w:r>
      <w:r w:rsidR="00987563">
        <w:t>”.  The f</w:t>
      </w:r>
      <w:r w:rsidR="009C13F3" w:rsidRPr="002B722B">
        <w:t>acilitators had made both changes throughout the text.  In Article 1, Alt 1 had not been changed from Rev</w:t>
      </w:r>
      <w:r w:rsidR="00987563">
        <w:t>.</w:t>
      </w:r>
      <w:r w:rsidR="009C13F3" w:rsidRPr="002B722B">
        <w:t xml:space="preserve"> 1.  In Alt 2, they had amended the error point</w:t>
      </w:r>
      <w:r w:rsidR="00987563">
        <w:t>ed out in plenary, i.e. moving “and”</w:t>
      </w:r>
      <w:r w:rsidR="009C13F3" w:rsidRPr="002B722B">
        <w:t xml:space="preserve"> from the end of paragraph (c) to paragraph (d).  They had also bracketed new paragraph (e), inserted in Rev</w:t>
      </w:r>
      <w:r w:rsidR="00987563">
        <w:t>. 1, as well as the words “or assertion”</w:t>
      </w:r>
      <w:r w:rsidR="009C13F3" w:rsidRPr="002B722B">
        <w:t xml:space="preserve"> as requested by the Delegation of the EU</w:t>
      </w:r>
      <w:r w:rsidR="00987563">
        <w:t>, on behalf of the EU and its Member States</w:t>
      </w:r>
      <w:r w:rsidR="009C13F3" w:rsidRPr="002B722B">
        <w:t>.  In Alt 3</w:t>
      </w:r>
      <w:r w:rsidR="00987563">
        <w:t>, they had reinserted the word “recognizing” as suggested by the Delegation</w:t>
      </w:r>
      <w:r w:rsidR="009C13F3" w:rsidRPr="002B722B">
        <w:t xml:space="preserve"> of the EU</w:t>
      </w:r>
      <w:r w:rsidR="00987563">
        <w:t>, on behalf of the EU and its Member States,</w:t>
      </w:r>
      <w:r w:rsidR="009C13F3" w:rsidRPr="002B722B">
        <w:t xml:space="preserve"> and</w:t>
      </w:r>
      <w:r w:rsidR="00987563">
        <w:t xml:space="preserve"> the Delegation of</w:t>
      </w:r>
      <w:r w:rsidR="009C13F3" w:rsidRPr="002B722B">
        <w:t xml:space="preserve"> Switzerland.  Alt 4 had been amended following a proposal by the representative of </w:t>
      </w:r>
      <w:proofErr w:type="spellStart"/>
      <w:r w:rsidR="00C65F25" w:rsidRPr="002B722B">
        <w:t>Tebtebba</w:t>
      </w:r>
      <w:proofErr w:type="spellEnd"/>
      <w:r w:rsidR="00C65F25" w:rsidRPr="002B722B">
        <w:t xml:space="preserve"> Foundation</w:t>
      </w:r>
      <w:r w:rsidR="00C65F25">
        <w:t>, on behalf of</w:t>
      </w:r>
      <w:r w:rsidR="00C65F25" w:rsidRPr="00182AC7">
        <w:t xml:space="preserve"> </w:t>
      </w:r>
      <w:r w:rsidR="009C13F3" w:rsidRPr="002B722B">
        <w:t>the Indigenous Caucus, supported by the Delegation of Colombia, who was the proponent for Alt 4.  Alt 4 read: “The objective of this instrument is to prevent misappropriation, misuse, or offensive use of, and to protect, traditional cultural expressions, and to recognize the rights of indigenous [peoples] and local communities.”  There were no changes to Article 2.  In Article 3, there was one change suggested by the Delegation of Bolivia (</w:t>
      </w:r>
      <w:proofErr w:type="spellStart"/>
      <w:r w:rsidR="009C13F3" w:rsidRPr="002B722B">
        <w:t>Plurinational</w:t>
      </w:r>
      <w:proofErr w:type="spellEnd"/>
      <w:r w:rsidR="009C13F3" w:rsidRPr="002B722B">
        <w:t xml:space="preserve"> State of) in the title, i.e. to bracket the words “eligibility criteria</w:t>
      </w:r>
      <w:r w:rsidR="00C65F25">
        <w:t xml:space="preserve"> for protection/safeguarding</w:t>
      </w:r>
      <w:r w:rsidR="009C13F3" w:rsidRPr="002B722B">
        <w:t>”</w:t>
      </w:r>
      <w:r w:rsidR="00C65F25">
        <w:t>.</w:t>
      </w:r>
      <w:r w:rsidR="009C13F3" w:rsidRPr="002B722B">
        <w:t xml:space="preserve">  They had added the word “protection” at the end of the title, which read: </w:t>
      </w:r>
      <w:r w:rsidR="00C65F25">
        <w:t xml:space="preserve"> </w:t>
      </w:r>
      <w:r w:rsidR="009C13F3" w:rsidRPr="002B722B">
        <w:t>“[Eligibility Criteria for [Protection]</w:t>
      </w:r>
      <w:proofErr w:type="gramStart"/>
      <w:r w:rsidR="009C13F3" w:rsidRPr="002B722B">
        <w:t>/[</w:t>
      </w:r>
      <w:proofErr w:type="gramEnd"/>
      <w:r w:rsidR="009C13F3" w:rsidRPr="002B722B">
        <w:t>Safeguarding]]/[Subject Matter of [the Instrument]/[Protection]]”.  In Article 4, they had inserted brackets around “protected” where it preceded “TCEs” in Alt 1 and</w:t>
      </w:r>
      <w:r w:rsidR="00C65F25">
        <w:t xml:space="preserve"> Alt</w:t>
      </w:r>
      <w:r w:rsidR="009C13F3" w:rsidRPr="002B722B">
        <w:t xml:space="preserve"> 4, and in Alt 4 around the words “who hold, express, use or maintain traditional </w:t>
      </w:r>
      <w:r w:rsidR="00C65F25">
        <w:t>cultural expressions” based on the</w:t>
      </w:r>
      <w:r w:rsidR="009C13F3" w:rsidRPr="002B722B">
        <w:t xml:space="preserve"> proposal </w:t>
      </w:r>
      <w:r w:rsidR="00C65F25">
        <w:t xml:space="preserve">made </w:t>
      </w:r>
      <w:r w:rsidR="009C13F3" w:rsidRPr="002B722B">
        <w:t>by the Delegation of Argentina.  In Article 5, they had deleted the bracket at the end of Alt 1 as requested by the Delegation of the EU</w:t>
      </w:r>
      <w:r w:rsidR="00C65F25">
        <w:t>, on behalf of the EU and its Member States</w:t>
      </w:r>
      <w:r w:rsidR="009C13F3" w:rsidRPr="002B722B">
        <w:t>.  Alt 2 had not changed and Alt 3 had only changed with those g</w:t>
      </w:r>
      <w:r w:rsidR="00C65F25">
        <w:t>lobal changes mentioned earlier</w:t>
      </w:r>
      <w:r w:rsidR="009C13F3" w:rsidRPr="002B722B">
        <w:t>.</w:t>
      </w:r>
    </w:p>
    <w:p w14:paraId="0C204C52" w14:textId="77777777" w:rsidR="00236932" w:rsidRPr="002B722B" w:rsidRDefault="00236932" w:rsidP="00045C18"/>
    <w:p w14:paraId="4E1C9658" w14:textId="1C25F0EF" w:rsidR="00236932" w:rsidRPr="002B722B" w:rsidRDefault="00DE1FA2" w:rsidP="002B722B">
      <w:pPr>
        <w:pStyle w:val="ListParagraph"/>
        <w:numPr>
          <w:ilvl w:val="0"/>
          <w:numId w:val="4"/>
        </w:numPr>
        <w:ind w:left="0" w:firstLine="0"/>
      </w:pPr>
      <w:r>
        <w:t>Ms.</w:t>
      </w:r>
      <w:r w:rsidR="009C13F3" w:rsidRPr="002B722B">
        <w:t xml:space="preserve"> Bagley</w:t>
      </w:r>
      <w:r>
        <w:t>, speaking on behalf of the facilitators,</w:t>
      </w:r>
      <w:r w:rsidR="009C13F3" w:rsidRPr="002B722B">
        <w:t xml:space="preserve"> said that in Article 6, Alt 1 was a new provision presented by the Delegation of Brazil, which involved </w:t>
      </w:r>
      <w:r w:rsidR="00527015" w:rsidRPr="002B722B">
        <w:t>“</w:t>
      </w:r>
      <w:r w:rsidR="009C13F3" w:rsidRPr="002B722B">
        <w:t>close consultation with</w:t>
      </w:r>
      <w:r w:rsidR="0034681B">
        <w:t xml:space="preserve"> beneficiaries where applicable</w:t>
      </w:r>
      <w:r w:rsidR="00527015" w:rsidRPr="002B722B">
        <w:t>”</w:t>
      </w:r>
      <w:r w:rsidR="009C13F3" w:rsidRPr="002B722B">
        <w:t xml:space="preserve"> and was supported by </w:t>
      </w:r>
      <w:r w:rsidR="0034681B">
        <w:t xml:space="preserve">the Delegation of Indonesia, on behalf of </w:t>
      </w:r>
      <w:r w:rsidR="009C13F3" w:rsidRPr="002B722B">
        <w:t>the LMCs</w:t>
      </w:r>
      <w:r w:rsidR="0034681B">
        <w:t>,</w:t>
      </w:r>
      <w:r w:rsidR="009C13F3" w:rsidRPr="002B722B">
        <w:t xml:space="preserve"> and</w:t>
      </w:r>
      <w:r w:rsidR="0034681B">
        <w:t xml:space="preserve"> the Delegation of Senegal, on behalf of</w:t>
      </w:r>
      <w:r w:rsidR="009C13F3" w:rsidRPr="002B722B">
        <w:t xml:space="preserve"> the African Group.  It read: “6.1 [Member States]/[Contracting Parties] may establish or designate a competent authority, in accordance with national law, to administer, in close consultation with the beneficiaries, where applicable, the rights/interests provided for by this instrument. </w:t>
      </w:r>
      <w:r w:rsidR="0034681B">
        <w:t xml:space="preserve"> </w:t>
      </w:r>
      <w:r w:rsidR="009C13F3" w:rsidRPr="002B722B">
        <w:t>6.2 [The identity of any authority established or designated under Paragraph 1 [should]</w:t>
      </w:r>
      <w:proofErr w:type="gramStart"/>
      <w:r w:rsidR="009C13F3" w:rsidRPr="002B722B">
        <w:t>/[</w:t>
      </w:r>
      <w:proofErr w:type="gramEnd"/>
      <w:r w:rsidR="009C13F3" w:rsidRPr="002B722B">
        <w:t>shall] be communicated to the International Bureau of the World Intellectual Property Organization.]”  Alt 2 was old Alt 2, which was the sole provision in Rev</w:t>
      </w:r>
      <w:r w:rsidR="0034681B">
        <w:t>.</w:t>
      </w:r>
      <w:r w:rsidR="009C13F3" w:rsidRPr="002B722B">
        <w:t xml:space="preserve"> 1.  Paragraph 6.1 of Alt 2 had been modified by </w:t>
      </w:r>
      <w:r w:rsidR="0034681B">
        <w:t xml:space="preserve">the representative of </w:t>
      </w:r>
      <w:proofErr w:type="spellStart"/>
      <w:r w:rsidR="0034681B" w:rsidRPr="002B722B">
        <w:t>Tebtebba</w:t>
      </w:r>
      <w:proofErr w:type="spellEnd"/>
      <w:r w:rsidR="0034681B" w:rsidRPr="002B722B">
        <w:t xml:space="preserve"> Foundation</w:t>
      </w:r>
      <w:r w:rsidR="0034681B">
        <w:t>, on behalf of</w:t>
      </w:r>
      <w:r w:rsidR="0034681B" w:rsidRPr="00182AC7">
        <w:t xml:space="preserve"> </w:t>
      </w:r>
      <w:r w:rsidR="009C13F3" w:rsidRPr="002B722B">
        <w:t>the Indigenous Caucus</w:t>
      </w:r>
      <w:r w:rsidR="00365E0F">
        <w:t>,</w:t>
      </w:r>
      <w:r w:rsidR="009C13F3" w:rsidRPr="002B722B">
        <w:t xml:space="preserve"> with the support of the Delegation of Bolivia (</w:t>
      </w:r>
      <w:proofErr w:type="spellStart"/>
      <w:r w:rsidR="009C13F3" w:rsidRPr="002B722B">
        <w:t>Plur</w:t>
      </w:r>
      <w:r w:rsidR="00365E0F">
        <w:t>inational</w:t>
      </w:r>
      <w:proofErr w:type="spellEnd"/>
      <w:r w:rsidR="00365E0F">
        <w:t xml:space="preserve"> State of) to replace “in consultation” with “in conjunction”</w:t>
      </w:r>
      <w:r w:rsidR="009C13F3" w:rsidRPr="002B722B">
        <w:t xml:space="preserve"> as an alternative t</w:t>
      </w:r>
      <w:r w:rsidR="00365E0F">
        <w:t>o “with the explicit consent of</w:t>
      </w:r>
      <w:r w:rsidR="009C13F3" w:rsidRPr="002B722B">
        <w:t>”</w:t>
      </w:r>
      <w:r w:rsidR="00365E0F">
        <w:t>.</w:t>
      </w:r>
      <w:r w:rsidR="009C13F3" w:rsidRPr="002B722B">
        <w:t xml:space="preserve">  In paragraph </w:t>
      </w:r>
      <w:proofErr w:type="gramStart"/>
      <w:r w:rsidR="009C13F3" w:rsidRPr="002B722B">
        <w:t>6.2,</w:t>
      </w:r>
      <w:proofErr w:type="gramEnd"/>
      <w:r w:rsidR="009C13F3" w:rsidRPr="002B722B">
        <w:t xml:space="preserve"> “or designated” had b</w:t>
      </w:r>
      <w:r w:rsidR="00365E0F">
        <w:t>een inserted after “established</w:t>
      </w:r>
      <w:r w:rsidR="009C13F3" w:rsidRPr="002B722B">
        <w:t>”</w:t>
      </w:r>
      <w:r w:rsidR="00365E0F">
        <w:t>.</w:t>
      </w:r>
      <w:r w:rsidR="009C13F3" w:rsidRPr="002B722B">
        <w:t xml:space="preserve">  Alt 2 read: “6.1 [Member States]/[Contracting Parties] may establish or designate a competent authority, in accordance with national law, with the explicit consent of/in conjunction with the beneficiaries, to administer the rights/interests provided for by this [instrument].</w:t>
      </w:r>
      <w:r w:rsidR="00527015" w:rsidRPr="002B722B">
        <w:t>”</w:t>
      </w:r>
      <w:r w:rsidR="009C13F3" w:rsidRPr="002B722B">
        <w:t xml:space="preserve">  Paragraph 6.2 was the same as in Alt 1.  In Article 7, Alt 1 w</w:t>
      </w:r>
      <w:r w:rsidR="00992B7D">
        <w:t>as unchanged.  In the chapeau of</w:t>
      </w:r>
      <w:r w:rsidR="009C13F3" w:rsidRPr="002B722B">
        <w:t xml:space="preserve"> Alt 2, “complying with” had been replaced by “implementing” and in paragraph 2, brackets had been added around “</w:t>
      </w:r>
      <w:proofErr w:type="gramStart"/>
      <w:r w:rsidR="009C13F3" w:rsidRPr="002B722B">
        <w:t>may</w:t>
      </w:r>
      <w:proofErr w:type="gramEnd"/>
      <w:r w:rsidR="009C13F3" w:rsidRPr="002B722B">
        <w:t>” and “such as”</w:t>
      </w:r>
      <w:r w:rsidR="00527015" w:rsidRPr="002B722B">
        <w:t xml:space="preserve"> </w:t>
      </w:r>
      <w:r w:rsidR="00992B7D">
        <w:t>as requested by</w:t>
      </w:r>
      <w:r w:rsidR="009C13F3" w:rsidRPr="002B722B">
        <w:t xml:space="preserve"> the Delegation of the USA.  In addition, two new paragraphs had been inserted in Alt 2.  Paragraph 3 introduced by the Delegation of the USA made clear that Member States were not limited to only the exceptions listed in paragraph 2.  Paragraph 4 provided for exceptions and limitations for incidental uses of TCEs.  It previously </w:t>
      </w:r>
      <w:r w:rsidR="009C13F3" w:rsidRPr="002B722B">
        <w:lastRenderedPageBreak/>
        <w:t>appeared in Article 10, as 10.5, before Rev</w:t>
      </w:r>
      <w:r w:rsidR="00992B7D">
        <w:t>.</w:t>
      </w:r>
      <w:r w:rsidR="009C13F3" w:rsidRPr="002B722B">
        <w:t xml:space="preserve"> 1.  The Delegation of the USA had suggested </w:t>
      </w:r>
      <w:r w:rsidR="00527015" w:rsidRPr="002B722B">
        <w:t>moving it</w:t>
      </w:r>
      <w:r w:rsidR="009C13F3" w:rsidRPr="002B722B">
        <w:t xml:space="preserve"> to Article 7.  The</w:t>
      </w:r>
      <w:r w:rsidR="00992B7D">
        <w:t xml:space="preserve"> f</w:t>
      </w:r>
      <w:r w:rsidR="009C13F3" w:rsidRPr="002B722B">
        <w:t>acilitators considered Alt 2 as the most log</w:t>
      </w:r>
      <w:r w:rsidR="00992B7D">
        <w:t>ical location for the provision</w:t>
      </w:r>
      <w:proofErr w:type="gramStart"/>
      <w:r w:rsidR="00992B7D">
        <w:t xml:space="preserve">; </w:t>
      </w:r>
      <w:r w:rsidR="009C13F3" w:rsidRPr="002B722B">
        <w:t xml:space="preserve"> however</w:t>
      </w:r>
      <w:proofErr w:type="gramEnd"/>
      <w:r w:rsidR="009C13F3" w:rsidRPr="002B722B">
        <w:t>, it had not been subject to discussion and so it was not owned</w:t>
      </w:r>
      <w:r w:rsidR="00527015" w:rsidRPr="002B722B">
        <w:t xml:space="preserve"> by any particular Member State</w:t>
      </w:r>
      <w:r w:rsidR="009C13F3" w:rsidRPr="002B722B">
        <w:t xml:space="preserve">.  Paragraphs 3 and 4 read as follows: </w:t>
      </w:r>
      <w:r w:rsidR="00992B7D">
        <w:t xml:space="preserve"> </w:t>
      </w:r>
      <w:r w:rsidR="009C13F3" w:rsidRPr="002B722B">
        <w:t>“3. A Member State may provide for exceptions and limitations other than those permitted under paragraph (2).  4. A Member State shall/should provide for exceptions and limitations in cases of incidental use/utilization/inclusion of a protected traditional cultural expression in another work or another subject matter, or in cases where the user had no knowledge or reasonable grounds to know that the traditional cultural expression is protected.”  In Alt 3, brackets had been placed around “complying with” and “implementing” as requested by the Delegation of the USA.  Alt 4 from Rev</w:t>
      </w:r>
      <w:r w:rsidR="00992B7D">
        <w:t>. 1, which was a f</w:t>
      </w:r>
      <w:r w:rsidR="009C13F3" w:rsidRPr="002B722B">
        <w:t>acilitators’ provision, based on prior Alt 3, had been deleted and replaced with prior Alt 3 as requested by the Delegation of the EU</w:t>
      </w:r>
      <w:r w:rsidR="00992B7D">
        <w:t>, on behalf of the EU and its Member States</w:t>
      </w:r>
      <w:r w:rsidR="009C13F3" w:rsidRPr="002B722B">
        <w:t>.  There were no changes in Article</w:t>
      </w:r>
      <w:r w:rsidR="00992B7D">
        <w:t>s</w:t>
      </w:r>
      <w:r w:rsidR="009C13F3" w:rsidRPr="002B722B">
        <w:t> 8 and 9.  Article 10 contained four alternatives.  Alt 1 was former paragraph 10.1 from Rev</w:t>
      </w:r>
      <w:r w:rsidR="00992B7D">
        <w:t>.</w:t>
      </w:r>
      <w:r w:rsidR="009C13F3" w:rsidRPr="002B722B">
        <w:t xml:space="preserve"> 1 and was unchanged.  Prior paragraph 10.2 had b</w:t>
      </w:r>
      <w:r w:rsidR="00992B7D">
        <w:t>een moved to Alt 2, which was a</w:t>
      </w:r>
      <w:r w:rsidR="009C13F3" w:rsidRPr="002B722B">
        <w:t xml:space="preserve"> provision</w:t>
      </w:r>
      <w:r w:rsidR="00992B7D">
        <w:t xml:space="preserve"> proposed by the representative of </w:t>
      </w:r>
      <w:proofErr w:type="spellStart"/>
      <w:r w:rsidR="00992B7D" w:rsidRPr="002B722B">
        <w:t>Tebtebba</w:t>
      </w:r>
      <w:proofErr w:type="spellEnd"/>
      <w:r w:rsidR="00992B7D" w:rsidRPr="002B722B">
        <w:t xml:space="preserve"> Foundation</w:t>
      </w:r>
      <w:r w:rsidR="00992B7D">
        <w:t>, on behalf of the Indigenous Caucus</w:t>
      </w:r>
      <w:r w:rsidR="009C13F3" w:rsidRPr="002B722B">
        <w:t xml:space="preserve">, supported by the Delegation of Bolivia </w:t>
      </w:r>
      <w:r w:rsidR="00992B7D">
        <w:t>(</w:t>
      </w:r>
      <w:proofErr w:type="spellStart"/>
      <w:r w:rsidR="00992B7D">
        <w:t>Plurinational</w:t>
      </w:r>
      <w:proofErr w:type="spellEnd"/>
      <w:r w:rsidR="00992B7D">
        <w:t xml:space="preserve"> State of).  The f</w:t>
      </w:r>
      <w:r w:rsidR="009C13F3" w:rsidRPr="002B722B">
        <w:t xml:space="preserve">acilitators had combined that provision with an intervention </w:t>
      </w:r>
      <w:r w:rsidR="00992B7D">
        <w:t xml:space="preserve">made </w:t>
      </w:r>
      <w:r w:rsidR="009C13F3" w:rsidRPr="002B722B">
        <w:t xml:space="preserve">by the Delegation of El Salvador, so there were brackets around certain phrases.  Alt 2 read: </w:t>
      </w:r>
      <w:r w:rsidR="001A0662">
        <w:t xml:space="preserve"> </w:t>
      </w:r>
      <w:r w:rsidR="009C13F3" w:rsidRPr="002B722B">
        <w:t xml:space="preserve">“10.1 Member States shall, [in conjunction with indigenous [peoples],] put in place accessible, appropriate, effective, [dissuasive,] and proportionate legal and/or administrative measures to address violations of the rights contained in this instrument. Indigenous [peoples] should have the right to initiate enforcement on their own behalf and shall not be required to demonstrate proof of economic harm. </w:t>
      </w:r>
      <w:r w:rsidR="001A0662">
        <w:t xml:space="preserve"> </w:t>
      </w:r>
      <w:r w:rsidR="009C13F3" w:rsidRPr="002B722B">
        <w:t xml:space="preserve">10.2 If a violation of the rights protected by this instrument is determined pursuant to paragraph 10.1, the sanctions shall include civil and criminal enforcement measures as appropriate. Remedies may include restorative justice measures, [such as repatriation,] according to the nature and effect of the infringement.”  Alt 3 was a new provision introduced by the Delegation of the USA.  It read: </w:t>
      </w:r>
      <w:r w:rsidR="001A0662">
        <w:t xml:space="preserve"> </w:t>
      </w:r>
      <w:r w:rsidR="009C13F3" w:rsidRPr="002B722B">
        <w:t>“Member States should undertake to adopt appropriate, effective and proportionate legal and/or administrative measures, in accordance with their legal systems, to ensure the application of this instrument.”  Alt 4 was a new provision introduced by the Delegation of the EU</w:t>
      </w:r>
      <w:r w:rsidR="001A0662">
        <w:t>, on behalf of the EU and its Member States</w:t>
      </w:r>
      <w:r w:rsidR="009C13F3" w:rsidRPr="002B722B">
        <w:t>.  It read:</w:t>
      </w:r>
      <w:r w:rsidR="001A0662">
        <w:t xml:space="preserve"> </w:t>
      </w:r>
      <w:r w:rsidR="009C13F3" w:rsidRPr="002B722B">
        <w:t xml:space="preserve"> “Member States/Contracting Parties should/shall provide, in accordance with national law, the necessary legal, policy or administrative measures to prevent willful or negligent harm to the interests of the beneficiaries.]”  There were no changes to Article 11.  Article 12 had been modified as requested by the Delegation of </w:t>
      </w:r>
      <w:r w:rsidR="003B1695" w:rsidRPr="002B722B">
        <w:t>El Salvador</w:t>
      </w:r>
      <w:r w:rsidR="009C13F3" w:rsidRPr="002B722B">
        <w:t xml:space="preserve"> to include three new paragraphs.  Paragraph 12.2 contained the language from Article 16 on non-derogation. </w:t>
      </w:r>
      <w:r w:rsidR="003B1695" w:rsidRPr="002B722B">
        <w:t xml:space="preserve"> </w:t>
      </w:r>
      <w:r w:rsidR="009C13F3" w:rsidRPr="002B722B">
        <w:t xml:space="preserve">Article 12 read: </w:t>
      </w:r>
      <w:r w:rsidR="001A0662">
        <w:t xml:space="preserve"> </w:t>
      </w:r>
      <w:r w:rsidR="009C13F3" w:rsidRPr="002B722B">
        <w:t>“12.1 [Member States]</w:t>
      </w:r>
      <w:proofErr w:type="gramStart"/>
      <w:r w:rsidR="009C13F3" w:rsidRPr="002B722B">
        <w:t>/[</w:t>
      </w:r>
      <w:proofErr w:type="gramEnd"/>
      <w:r w:rsidR="009C13F3" w:rsidRPr="002B722B">
        <w:t>Contracting Parties] [should]/[shall] implement this [instrument] in a manner [mutually supportive] of [other] [existing] int</w:t>
      </w:r>
      <w:r w:rsidR="003B1695" w:rsidRPr="002B722B">
        <w:t xml:space="preserve">ernational agreements.]  [12.2 </w:t>
      </w:r>
      <w:r w:rsidR="009C13F3" w:rsidRPr="002B722B">
        <w:t>Nothing in this instrument may/shall be construed as diminishing or extinguishing the rights that indigenous [peoples] or local communities have now or may acquire in the future, as well as the rights of indigenous [peoples] enshrined in the United Nations Declaration on the Rights of Indigenous Peoples.  12.3 In case of legal conflict, the rights of the indigenous [peoples] included in the aforementioned Declaration shall prevail and all interpretations shall be guided by the provisions of said Declaration.]”</w:t>
      </w:r>
    </w:p>
    <w:p w14:paraId="39C07C6B" w14:textId="77777777" w:rsidR="00236932" w:rsidRPr="002B722B" w:rsidRDefault="00236932" w:rsidP="00045C18"/>
    <w:p w14:paraId="2871F588" w14:textId="1FEB9F79" w:rsidR="00C261CA" w:rsidRPr="002B722B" w:rsidRDefault="00236932" w:rsidP="002B722B">
      <w:pPr>
        <w:pStyle w:val="ListParagraph"/>
        <w:numPr>
          <w:ilvl w:val="0"/>
          <w:numId w:val="4"/>
        </w:numPr>
        <w:ind w:left="0" w:firstLine="0"/>
      </w:pPr>
      <w:r w:rsidRPr="002B722B">
        <w:t xml:space="preserve">The Chair recalled that, as per the agreed methodology and work program, the plenary would be invited to identify obvious errors or omissions in Rev. 2 for correction by the </w:t>
      </w:r>
      <w:r w:rsidR="00EE376C">
        <w:t>f</w:t>
      </w:r>
      <w:r w:rsidRPr="002B722B">
        <w:t xml:space="preserve">acilitators.  Any other comments on Rev. 2, such as new proposals, drafting improvements, and other substantive comments would be recorded in the full report of the session.  At the end of the discussion, the text, as corrected, if necessary, for obvious errors and omissions, would be noted and considered under Agenda Item 8, as document WIPO/GRTKF/IC/34/8.  The text would also be transmitted to the </w:t>
      </w:r>
      <w:r w:rsidR="007A00FC">
        <w:t>GA as part of the IGC’</w:t>
      </w:r>
      <w:r w:rsidRPr="002B722B">
        <w:t xml:space="preserve">s factual report to the </w:t>
      </w:r>
      <w:r w:rsidR="00217087">
        <w:t>GA, together with the GR</w:t>
      </w:r>
      <w:r w:rsidRPr="002B722B">
        <w:t xml:space="preserve"> and TK texts. </w:t>
      </w:r>
      <w:r w:rsidR="00217087">
        <w:t xml:space="preserve"> </w:t>
      </w:r>
      <w:r w:rsidRPr="002B722B">
        <w:t>The text was not adopted at that stage but simply noted and transmitted.  He opened the floor for comments on Rev</w:t>
      </w:r>
      <w:r w:rsidR="00217087">
        <w:t>.</w:t>
      </w:r>
      <w:r w:rsidRPr="002B722B">
        <w:t xml:space="preserve"> 2.  </w:t>
      </w:r>
    </w:p>
    <w:p w14:paraId="36E52205" w14:textId="77777777" w:rsidR="00C261CA" w:rsidRPr="002B722B" w:rsidRDefault="00C261CA" w:rsidP="00045C18"/>
    <w:p w14:paraId="0F56FBD3" w14:textId="1C380267" w:rsidR="00574E73" w:rsidRPr="002B722B" w:rsidRDefault="00C261CA" w:rsidP="002B722B">
      <w:pPr>
        <w:pStyle w:val="ListParagraph"/>
        <w:numPr>
          <w:ilvl w:val="0"/>
          <w:numId w:val="4"/>
        </w:numPr>
        <w:ind w:left="0" w:firstLine="0"/>
      </w:pPr>
      <w:r w:rsidRPr="002B722B">
        <w:lastRenderedPageBreak/>
        <w:t xml:space="preserve">[Note from the Secretariat: </w:t>
      </w:r>
      <w:r w:rsidR="00217087">
        <w:t xml:space="preserve"> </w:t>
      </w:r>
      <w:r>
        <w:t>a</w:t>
      </w:r>
      <w:r w:rsidRPr="00CE4AE5">
        <w:t xml:space="preserve">ll </w:t>
      </w:r>
      <w:r>
        <w:t>speakers</w:t>
      </w:r>
      <w:r w:rsidR="00946444">
        <w:t xml:space="preserve"> thanked the f</w:t>
      </w:r>
      <w:r w:rsidRPr="00CE4AE5">
        <w:t>acilitators for their work</w:t>
      </w:r>
      <w:r w:rsidRPr="002B722B">
        <w:t>.]</w:t>
      </w:r>
      <w:r w:rsidR="00086AB2" w:rsidRPr="002B722B">
        <w:t xml:space="preserve">  The Delegation of Indonesia, sp</w:t>
      </w:r>
      <w:r w:rsidR="007A00FC">
        <w:t>eaking on behalf of the Asia</w:t>
      </w:r>
      <w:r w:rsidR="007A00FC">
        <w:noBreakHyphen/>
      </w:r>
      <w:r w:rsidR="00086AB2" w:rsidRPr="002B722B">
        <w:t xml:space="preserve">Pacific Group, thanked all Member States for their valuable contribution.  It respected every Member State’s position.  </w:t>
      </w:r>
      <w:r w:rsidR="00827841">
        <w:t xml:space="preserve">Rev. 2 </w:t>
      </w:r>
      <w:r w:rsidR="00086AB2" w:rsidRPr="002B722B">
        <w:t xml:space="preserve">really reflected all the different positions of Member States that had been put forward in plenary and </w:t>
      </w:r>
      <w:proofErr w:type="spellStart"/>
      <w:r w:rsidR="00086AB2" w:rsidRPr="002B722B">
        <w:t>informals</w:t>
      </w:r>
      <w:proofErr w:type="spellEnd"/>
      <w:r w:rsidR="00086AB2" w:rsidRPr="002B722B">
        <w:t xml:space="preserve">.  </w:t>
      </w:r>
      <w:r w:rsidR="00827841">
        <w:t>Rev. 2</w:t>
      </w:r>
      <w:r w:rsidR="00086AB2" w:rsidRPr="002B722B">
        <w:t xml:space="preserve"> was a good basis for further discussion, and the IGC should transmit </w:t>
      </w:r>
      <w:r w:rsidR="00827841">
        <w:t>it</w:t>
      </w:r>
      <w:r w:rsidR="00086AB2" w:rsidRPr="002B722B">
        <w:t xml:space="preserve"> along with the other documents on GRs and TK</w:t>
      </w:r>
      <w:r w:rsidR="00827841">
        <w:t xml:space="preserve"> to the GA</w:t>
      </w:r>
      <w:r w:rsidR="00086AB2" w:rsidRPr="002B722B">
        <w:t xml:space="preserve">.    </w:t>
      </w:r>
    </w:p>
    <w:p w14:paraId="1707979C" w14:textId="77777777" w:rsidR="00574E73" w:rsidRPr="002B722B" w:rsidRDefault="00574E73" w:rsidP="00045C18"/>
    <w:p w14:paraId="194FF9DD" w14:textId="1117A297" w:rsidR="00574E73" w:rsidRPr="002B722B" w:rsidRDefault="00574E73" w:rsidP="002B722B">
      <w:pPr>
        <w:pStyle w:val="ListParagraph"/>
        <w:numPr>
          <w:ilvl w:val="0"/>
          <w:numId w:val="4"/>
        </w:numPr>
        <w:ind w:left="0" w:firstLine="0"/>
      </w:pPr>
      <w:r w:rsidRPr="002B722B">
        <w:t>The Delegation of El Salvador wished to correct the text proposal in Article 12.  What had been proposed to add only two paragraphs to Article 12, so it wished to have paragraph 12.1 continue as it was, and in paragraph 12.2, it wanted to take A</w:t>
      </w:r>
      <w:r w:rsidR="00827841">
        <w:t>rticle 16, add a comma and add “</w:t>
      </w:r>
      <w:r w:rsidRPr="002B722B">
        <w:t>such as the rights of indigenous peoples enshrined in the Declaration on th</w:t>
      </w:r>
      <w:r w:rsidR="00827841">
        <w:t>e Rights of Indigenous Peoples”.</w:t>
      </w:r>
      <w:r w:rsidRPr="002B722B">
        <w:t xml:space="preserve">  That would avoid repeating the two paragraphs.  The only difference in the two paragraphs was t</w:t>
      </w:r>
      <w:r w:rsidR="00827841">
        <w:t>hat paragraph 12.2 stated that “nothing in this instrument may”</w:t>
      </w:r>
      <w:r w:rsidRPr="002B722B">
        <w:t xml:space="preserve"> and t</w:t>
      </w:r>
      <w:r w:rsidR="00827841">
        <w:t>he other paragraph stated “</w:t>
      </w:r>
      <w:r w:rsidRPr="002B722B">
        <w:t xml:space="preserve">nothing </w:t>
      </w:r>
      <w:r w:rsidR="00827841">
        <w:t>in this instrument would/shall”.</w:t>
      </w:r>
      <w:r w:rsidRPr="002B722B">
        <w:t xml:space="preserve">  So to simplify the text on</w:t>
      </w:r>
      <w:r w:rsidR="00827841">
        <w:t xml:space="preserve"> Article 12, “may/shall” could be included.  </w:t>
      </w:r>
      <w:r w:rsidRPr="002B722B">
        <w:t xml:space="preserve">Paragraph 12.2 should read: </w:t>
      </w:r>
      <w:r w:rsidR="00827841">
        <w:t xml:space="preserve"> </w:t>
      </w:r>
      <w:r w:rsidRPr="002B722B">
        <w:t xml:space="preserve">“12.2 </w:t>
      </w:r>
      <w:proofErr w:type="gramStart"/>
      <w:r w:rsidRPr="002B722B">
        <w:t>Nothing</w:t>
      </w:r>
      <w:proofErr w:type="gramEnd"/>
      <w:r w:rsidRPr="002B722B">
        <w:t xml:space="preserve"> in this instrument may/shall be construed as diminishing or extinguishing the rights that indigenous [peoples] or local communities have now or may acquire in the future, as well as the rights of indigenous [peoples] enshrined in the United Nations Declaration on the Rights of Indigenous Peoples.”  It was simply combining paragraphs 12.2 and 12.3, and maintaining paragraph 12.4 as 12.3.</w:t>
      </w:r>
    </w:p>
    <w:p w14:paraId="2C3163FC" w14:textId="77777777" w:rsidR="00574E73" w:rsidRPr="002B722B" w:rsidRDefault="00574E73" w:rsidP="00045C18"/>
    <w:p w14:paraId="7DD58612" w14:textId="0B423125" w:rsidR="00862F71" w:rsidRPr="002B722B" w:rsidRDefault="00574E73" w:rsidP="002B722B">
      <w:pPr>
        <w:pStyle w:val="ListParagraph"/>
        <w:numPr>
          <w:ilvl w:val="0"/>
          <w:numId w:val="4"/>
        </w:numPr>
        <w:ind w:left="0" w:firstLine="0"/>
      </w:pPr>
      <w:r w:rsidRPr="002B722B">
        <w:t xml:space="preserve">The Delegation of Colombia, speaking on behalf of GRULAC, said that, given the clarifications by the Delegation of El Salvador and without any </w:t>
      </w:r>
      <w:r w:rsidR="00B92D88">
        <w:t>prejudice to any member of the G</w:t>
      </w:r>
      <w:r w:rsidRPr="002B722B">
        <w:t xml:space="preserve">roup that would like to make statements, Rev. 2 reflected the discussions and was a very good basis for continuing the work.  The IGC would take note </w:t>
      </w:r>
      <w:r w:rsidR="00B92D88">
        <w:t xml:space="preserve">of </w:t>
      </w:r>
      <w:r w:rsidRPr="002B722B">
        <w:t>and transmit it for the continuation of work on that topic together with the other revised documents in the other thematic are</w:t>
      </w:r>
      <w:r w:rsidR="005F5C99">
        <w:t>as within the IGC.</w:t>
      </w:r>
    </w:p>
    <w:p w14:paraId="03856458" w14:textId="77777777" w:rsidR="00862F71" w:rsidRPr="002B722B" w:rsidRDefault="00862F71" w:rsidP="00045C18"/>
    <w:p w14:paraId="2F672490" w14:textId="550DC66C" w:rsidR="0099623A" w:rsidRPr="002B722B" w:rsidRDefault="00862F71" w:rsidP="002B722B">
      <w:pPr>
        <w:pStyle w:val="ListParagraph"/>
        <w:numPr>
          <w:ilvl w:val="0"/>
          <w:numId w:val="4"/>
        </w:numPr>
        <w:ind w:left="0" w:firstLine="0"/>
      </w:pPr>
      <w:r w:rsidRPr="002B722B">
        <w:t>The Delegation of Senegal, speaking on behalf of the African Group, said that Rev. 2 reflected all the points of view expressed during the discussions</w:t>
      </w:r>
      <w:r w:rsidR="00A8034B">
        <w:t>.  It should be transmitted</w:t>
      </w:r>
      <w:r w:rsidRPr="002B722B">
        <w:t xml:space="preserve"> to the </w:t>
      </w:r>
      <w:r w:rsidR="007A00FC">
        <w:t>GA</w:t>
      </w:r>
      <w:r w:rsidRPr="002B722B">
        <w:t xml:space="preserve"> with the other documents on GRs and TK for further discussions in other meetings, including the </w:t>
      </w:r>
      <w:r w:rsidR="007A00FC">
        <w:t>GA</w:t>
      </w:r>
      <w:r w:rsidRPr="002B722B">
        <w:t xml:space="preserve">.  </w:t>
      </w:r>
    </w:p>
    <w:p w14:paraId="22F282AE" w14:textId="77777777" w:rsidR="0099623A" w:rsidRPr="002B722B" w:rsidRDefault="0099623A" w:rsidP="00045C18"/>
    <w:p w14:paraId="4C8C02EF" w14:textId="41246B46" w:rsidR="00832615" w:rsidRPr="002B722B" w:rsidRDefault="0099623A" w:rsidP="002B722B">
      <w:pPr>
        <w:pStyle w:val="ListParagraph"/>
        <w:numPr>
          <w:ilvl w:val="0"/>
          <w:numId w:val="4"/>
        </w:numPr>
        <w:ind w:left="0" w:firstLine="0"/>
      </w:pPr>
      <w:r w:rsidRPr="008D30E0">
        <w:t>The Delegation of the EU, speaking on behalf of the EU and its Member States, said that the insertion of “unauthorized use” in Article 1.1(a) of Alt 1 and the insertion of “or assertion” in Article 1.2 of Alt 1 should be put into brackets as it could not agree to that broadened rights-based approach.  It had asked for that modification in Rev</w:t>
      </w:r>
      <w:r w:rsidR="008D30E0" w:rsidRPr="008D30E0">
        <w:t>.</w:t>
      </w:r>
      <w:r w:rsidRPr="008D30E0">
        <w:t xml:space="preserve"> 1.  On Article 3, it asked to introduce “/safeguarding” at the end of the title.  Throughout the document, the alternatives </w:t>
      </w:r>
      <w:r w:rsidR="008D30E0" w:rsidRPr="008D30E0">
        <w:t>“</w:t>
      </w:r>
      <w:r w:rsidRPr="008D30E0">
        <w:t>protection/safeguarding</w:t>
      </w:r>
      <w:r w:rsidR="008D30E0" w:rsidRPr="008D30E0">
        <w:t>”</w:t>
      </w:r>
      <w:r w:rsidRPr="008D30E0">
        <w:t xml:space="preserve"> should be both kept together in the text, given the lack of agreement on the substantial issue of rights-based or measures-based approach.</w:t>
      </w:r>
      <w:r w:rsidR="008D30E0" w:rsidRPr="008D30E0">
        <w:t xml:space="preserve">  On Article 7, it thanked the f</w:t>
      </w:r>
      <w:r w:rsidRPr="008D30E0">
        <w:t>acilitators for introducing Alt 4, former Alt 3, at its own request.  It found merit in further discussing that alternative.  Different Member</w:t>
      </w:r>
      <w:r w:rsidRPr="002B722B">
        <w:t xml:space="preserve"> States had introduced parts of that alternative, some of which were not agreeable.  Among its Member States, it would further analyze its view on exceptions and </w:t>
      </w:r>
      <w:proofErr w:type="gramStart"/>
      <w:r w:rsidRPr="002B722B">
        <w:t>limitations,</w:t>
      </w:r>
      <w:proofErr w:type="gramEnd"/>
      <w:r w:rsidRPr="002B722B">
        <w:t xml:space="preserve"> and in particular on specific parts of Alt 4. </w:t>
      </w:r>
      <w:r w:rsidR="008D30E0">
        <w:t xml:space="preserve"> On Article 10, it thanked the f</w:t>
      </w:r>
      <w:r w:rsidRPr="002B722B">
        <w:t xml:space="preserve">acilitators for the insertion of Alt 4 and looked forward to discussing that proposal.  It found new Articles 12.2 to 12.4 inacceptable on legal grounds and considered it premature to discuss that article, given the lack of agreement on the form of the instrument.  It supported the text “Alternatives </w:t>
      </w:r>
      <w:r w:rsidR="008D30E0">
        <w:t xml:space="preserve">to Article 8, 9, 10, 11, and 13. </w:t>
      </w:r>
      <w:r w:rsidRPr="002B722B">
        <w:t xml:space="preserve"> No such Provisions.”  </w:t>
      </w:r>
    </w:p>
    <w:p w14:paraId="32596DBB" w14:textId="77777777" w:rsidR="00832615" w:rsidRPr="002B722B" w:rsidRDefault="00832615" w:rsidP="00045C18"/>
    <w:p w14:paraId="2BD36FC8" w14:textId="35E0ADFA" w:rsidR="00456D79" w:rsidRPr="002B722B" w:rsidRDefault="00832615" w:rsidP="002B722B">
      <w:pPr>
        <w:pStyle w:val="ListParagraph"/>
        <w:numPr>
          <w:ilvl w:val="0"/>
          <w:numId w:val="4"/>
        </w:numPr>
        <w:ind w:left="0" w:firstLine="0"/>
      </w:pPr>
      <w:r w:rsidRPr="002B722B">
        <w:t>The Delegation of Indonesia, speaking on behalf of the LMCs, thanked Member States for their valuable contributions to a clearer text that could be used as a basis for further discussion regarding the protection of TCEs.  In Rev</w:t>
      </w:r>
      <w:r w:rsidR="00536499">
        <w:t>.</w:t>
      </w:r>
      <w:r w:rsidRPr="002B722B">
        <w:t xml:space="preserve"> 2, on Article 1, it preferred Alt 1 and approved the addition that made Alt 1 clearer. </w:t>
      </w:r>
      <w:r w:rsidR="00536499">
        <w:t xml:space="preserve"> On Article 3, it preferred Alt</w:t>
      </w:r>
      <w:r w:rsidRPr="002B722B">
        <w:t xml:space="preserve"> 1 in </w:t>
      </w:r>
      <w:r w:rsidR="00536499">
        <w:t>conjunction with the definition</w:t>
      </w:r>
      <w:r w:rsidRPr="002B722B">
        <w:t xml:space="preserve"> of TCEs as the alternative text in Article 2.  On Article 4, it preferred A</w:t>
      </w:r>
      <w:r w:rsidR="00536499">
        <w:t>lt</w:t>
      </w:r>
      <w:r w:rsidRPr="002B722B">
        <w:t xml:space="preserve"> 3. </w:t>
      </w:r>
      <w:r w:rsidR="00536499">
        <w:t xml:space="preserve"> On Article 5, it preferred Alt</w:t>
      </w:r>
      <w:r w:rsidRPr="002B722B">
        <w:t xml:space="preserve"> 2.  In Article 6</w:t>
      </w:r>
      <w:r w:rsidR="00536499">
        <w:t>,</w:t>
      </w:r>
      <w:r w:rsidRPr="002B722B">
        <w:t xml:space="preserve"> it was happy with the inclusion of the language proposed by the Delegation of Brazil, supported by </w:t>
      </w:r>
      <w:r w:rsidR="00536499">
        <w:t>the Delegation of Senegal, on behalf of</w:t>
      </w:r>
      <w:r w:rsidRPr="002B722B">
        <w:t xml:space="preserve"> t</w:t>
      </w:r>
      <w:r w:rsidR="00536499">
        <w:t xml:space="preserve">he African Group, </w:t>
      </w:r>
      <w:r w:rsidR="00536499">
        <w:lastRenderedPageBreak/>
        <w:t>which was Alt</w:t>
      </w:r>
      <w:r w:rsidRPr="002B722B">
        <w:t xml:space="preserve"> 1. </w:t>
      </w:r>
      <w:r w:rsidR="00536499">
        <w:t xml:space="preserve"> On Article 7, it preferred Alt</w:t>
      </w:r>
      <w:r w:rsidRPr="002B722B">
        <w:t xml:space="preserve"> 1, as it was the language proposed by</w:t>
      </w:r>
      <w:r w:rsidR="00536499">
        <w:t xml:space="preserve"> the Delegation, on behalf of</w:t>
      </w:r>
      <w:r w:rsidRPr="002B722B">
        <w:t xml:space="preserve"> the LMCs.  </w:t>
      </w:r>
      <w:r w:rsidR="00536499">
        <w:t>On Article 10, it preferred Alt</w:t>
      </w:r>
      <w:r w:rsidRPr="002B722B">
        <w:t xml:space="preserve"> 1.  On Article 12, it would need to consider the addition of paragraphs 12.2 to 12.4, but it agreed with paragraph 12.1.  On the altern</w:t>
      </w:r>
      <w:r w:rsidR="00536499">
        <w:t>atives to Articles 8, 9, 10, 11</w:t>
      </w:r>
      <w:r w:rsidRPr="002B722B">
        <w:t xml:space="preserve"> and 13, it respected each and every Member State</w:t>
      </w:r>
      <w:r w:rsidR="00536499">
        <w:t>’s</w:t>
      </w:r>
      <w:r w:rsidRPr="002B722B">
        <w:t xml:space="preserve"> position, but it reminded every member of the IGC that the discussions were without prejudging the outcome of the </w:t>
      </w:r>
      <w:r w:rsidR="00536499">
        <w:t>instrument</w:t>
      </w:r>
      <w:r w:rsidRPr="002B722B">
        <w:t>.  The fact that all provisions within the text were in brackets was already a message that it was not agreed yet, but by having positions of “no such provisions” on particular articles was actually prejudging the outcome of the discussion, and that was not a good spirit to have in mind.  It asked the indulgence of Member States to narrow existing gaps.  There was still no agreement on the measures</w:t>
      </w:r>
      <w:r w:rsidR="00536499">
        <w:t>-based</w:t>
      </w:r>
      <w:r w:rsidRPr="002B722B">
        <w:t xml:space="preserve"> or rights-based approach, there was still no agreement on the outcomes of the document, but one should not prejudge the outcome of the document by having positions that prejudged the outcome of the document.  Rev</w:t>
      </w:r>
      <w:r w:rsidR="00536499">
        <w:t>.</w:t>
      </w:r>
      <w:r w:rsidRPr="002B722B">
        <w:t xml:space="preserve"> 2 was a good basis for further discussio</w:t>
      </w:r>
      <w:r w:rsidR="00536499">
        <w:t>n on the protection of TCEs.</w:t>
      </w:r>
    </w:p>
    <w:p w14:paraId="6974251E" w14:textId="77777777" w:rsidR="00456D79" w:rsidRPr="002B722B" w:rsidRDefault="00456D79" w:rsidP="00045C18"/>
    <w:p w14:paraId="27C0EB75" w14:textId="6A1D3F3B" w:rsidR="00252862" w:rsidRPr="002B722B" w:rsidRDefault="00456D79" w:rsidP="002B722B">
      <w:pPr>
        <w:pStyle w:val="ListParagraph"/>
        <w:numPr>
          <w:ilvl w:val="0"/>
          <w:numId w:val="4"/>
        </w:numPr>
        <w:ind w:left="0" w:firstLine="0"/>
      </w:pPr>
      <w:r w:rsidRPr="002B722B">
        <w:t xml:space="preserve">The Delegation of the Islamic Republic of Iran aligned itself with the interventions made by the Delegation of </w:t>
      </w:r>
      <w:r w:rsidR="007A00FC">
        <w:t>Indonesia</w:t>
      </w:r>
      <w:r w:rsidR="00DB6F16">
        <w:t>,</w:t>
      </w:r>
      <w:r w:rsidR="007A00FC">
        <w:t xml:space="preserve"> on behalf of Asia</w:t>
      </w:r>
      <w:r w:rsidR="007A00FC">
        <w:noBreakHyphen/>
      </w:r>
      <w:r w:rsidRPr="002B722B">
        <w:t>Pacific Group and on behalf of the LMCs.  It thanked all Member States for their inputs.  It was deeply concerned regarding the position of some Member States contradicting the IGC</w:t>
      </w:r>
      <w:r w:rsidR="00DB6F16">
        <w:t>’s</w:t>
      </w:r>
      <w:r w:rsidRPr="002B722B">
        <w:t xml:space="preserve"> mandate and the primary principles of international negotiations.  It expected to see a more constructive approach from those Member States in future.  With regard</w:t>
      </w:r>
      <w:r w:rsidR="000A625E">
        <w:t xml:space="preserve"> to Article 1, it supported Alt</w:t>
      </w:r>
      <w:r w:rsidRPr="002B722B">
        <w:t xml:space="preserve"> 1. </w:t>
      </w:r>
      <w:r w:rsidR="000A625E">
        <w:t xml:space="preserve"> On Article 3, it preferred Alt</w:t>
      </w:r>
      <w:r w:rsidRPr="002B722B">
        <w:t xml:space="preserve"> 1 in conjunction with the definition proposed by</w:t>
      </w:r>
      <w:r w:rsidR="000A625E">
        <w:t xml:space="preserve"> the Delegation of Indonesia, on behalf of</w:t>
      </w:r>
      <w:r w:rsidRPr="002B722B">
        <w:t xml:space="preserve"> the LMCs, and it was not in favor of the inclusion of any criteria for eligibility.</w:t>
      </w:r>
      <w:r w:rsidR="000A625E">
        <w:t xml:space="preserve">  For Article 4, it favored Alt</w:t>
      </w:r>
      <w:r w:rsidRPr="002B722B">
        <w:t xml:space="preserve"> 3, which could answer the main concern of Member States.  </w:t>
      </w:r>
      <w:r w:rsidR="000A625E">
        <w:t>For Article 5, it supported Alt</w:t>
      </w:r>
      <w:r w:rsidRPr="002B722B">
        <w:t xml:space="preserve"> 2.  </w:t>
      </w:r>
      <w:r w:rsidR="000A625E">
        <w:t>For Article 6, it preferred Alt</w:t>
      </w:r>
      <w:r w:rsidRPr="002B722B">
        <w:t xml:space="preserve"> 1.  </w:t>
      </w:r>
      <w:r w:rsidR="000A625E">
        <w:t>It supported Alt</w:t>
      </w:r>
      <w:r w:rsidRPr="002B722B">
        <w:t xml:space="preserve"> 1</w:t>
      </w:r>
      <w:r w:rsidR="000A625E">
        <w:t xml:space="preserve"> of Article 7</w:t>
      </w:r>
      <w:r w:rsidRPr="002B722B">
        <w:t xml:space="preserve">, as drafted by </w:t>
      </w:r>
      <w:r w:rsidR="000A625E">
        <w:t xml:space="preserve">the Delegation of Indonesia, on behalf of </w:t>
      </w:r>
      <w:r w:rsidRPr="002B722B">
        <w:t xml:space="preserve">the LMCs.  </w:t>
      </w:r>
      <w:r w:rsidR="000A625E">
        <w:t>It favored Alt</w:t>
      </w:r>
      <w:r w:rsidRPr="002B722B">
        <w:t xml:space="preserve"> 1</w:t>
      </w:r>
      <w:r w:rsidR="000A625E">
        <w:t xml:space="preserve"> of Article 10</w:t>
      </w:r>
      <w:r w:rsidRPr="002B722B">
        <w:t xml:space="preserve">.    </w:t>
      </w:r>
    </w:p>
    <w:p w14:paraId="2F15AF23" w14:textId="77777777" w:rsidR="00252862" w:rsidRPr="002B722B" w:rsidRDefault="00252862" w:rsidP="00045C18"/>
    <w:p w14:paraId="6DEC9E10" w14:textId="12970DBB" w:rsidR="00E652A2" w:rsidRPr="002B722B" w:rsidRDefault="00252862" w:rsidP="002B722B">
      <w:pPr>
        <w:pStyle w:val="ListParagraph"/>
        <w:numPr>
          <w:ilvl w:val="0"/>
          <w:numId w:val="4"/>
        </w:numPr>
        <w:ind w:left="0" w:firstLine="0"/>
      </w:pPr>
      <w:r w:rsidRPr="002B722B">
        <w:t xml:space="preserve">The Delegation of Colombia </w:t>
      </w:r>
      <w:r w:rsidR="00B029A7">
        <w:t>requested to modify Alt 4 of Article 1</w:t>
      </w:r>
      <w:r w:rsidRPr="002B722B">
        <w:t xml:space="preserve"> as follows: </w:t>
      </w:r>
      <w:r w:rsidR="00CC5E15">
        <w:t xml:space="preserve"> </w:t>
      </w:r>
      <w:r w:rsidRPr="002B722B">
        <w:t>“The objective of this instrument is to prevent misappropriation, misuse, or offensive use of, and to protect, traditional cultural expressions, and to recognize the rights of indigenous peoples and local communities.”</w:t>
      </w:r>
    </w:p>
    <w:p w14:paraId="2978CF8A" w14:textId="77777777" w:rsidR="00E652A2" w:rsidRPr="002B722B" w:rsidRDefault="00E652A2" w:rsidP="00045C18"/>
    <w:p w14:paraId="1ABEA133" w14:textId="39FD6162" w:rsidR="00230787" w:rsidRPr="002B722B" w:rsidRDefault="00E652A2" w:rsidP="002B722B">
      <w:pPr>
        <w:pStyle w:val="ListParagraph"/>
        <w:numPr>
          <w:ilvl w:val="0"/>
          <w:numId w:val="4"/>
        </w:numPr>
        <w:ind w:left="0" w:firstLine="0"/>
      </w:pPr>
      <w:r w:rsidRPr="002B722B">
        <w:t xml:space="preserve">The representative of </w:t>
      </w:r>
      <w:proofErr w:type="spellStart"/>
      <w:r w:rsidRPr="002B722B">
        <w:t>Tebtebba</w:t>
      </w:r>
      <w:proofErr w:type="spellEnd"/>
      <w:r w:rsidRPr="002B722B">
        <w:t xml:space="preserve"> Foundation, speaking on behalf of the Indigenous Caucus, supported the intervention of the Delegation of Colombia.  She thanked the Member States for their openness and for taking the proposals of </w:t>
      </w:r>
      <w:r w:rsidR="00230BB0">
        <w:t xml:space="preserve">the </w:t>
      </w:r>
      <w:r w:rsidRPr="002B722B">
        <w:t>Indigenous Caucus into consideration.  She was pleased to note that her text</w:t>
      </w:r>
      <w:r w:rsidR="00230BB0">
        <w:t>ual</w:t>
      </w:r>
      <w:r w:rsidRPr="002B722B">
        <w:t xml:space="preserve"> proposals, which were supported by Member States, had been included in the text.  She invited further reflection on those proposals, including on the concept of “repatriation” reflected in the second sentence of Article 10.2, which she hoped could be un-bracketed at the next meeting.  She agreed with the inclusion of the text on non-derogation in Article 12 and noted that the elaborated text provided the appropriate level of legal certainty on the relationship of the instrument with other international agreements.  She commented on the br</w:t>
      </w:r>
      <w:r w:rsidR="00230BB0">
        <w:t>ackets around the word “peoples</w:t>
      </w:r>
      <w:r w:rsidRPr="002B722B">
        <w:t>”</w:t>
      </w:r>
      <w:r w:rsidR="00230BB0">
        <w:t xml:space="preserve">. </w:t>
      </w:r>
      <w:r w:rsidRPr="002B722B">
        <w:t xml:space="preserve"> Earlier that week, the In</w:t>
      </w:r>
      <w:r w:rsidR="00230BB0">
        <w:t>digenous Caucus had held a side-</w:t>
      </w:r>
      <w:r w:rsidRPr="002B722B">
        <w:t xml:space="preserve">event to celebrate the 10th anniversary of the adoption of UNDRIP.  In the ten years since then, there had been wide acceptance of the use of “indigenous peoples” in various international treaties and documents, including within the UN system.  She did not understand why “peoples” remained within brackets, in light of the acknowledgment by the IGC that the international instruments developed by WIPO had to be in harmony and should not run counter to other existing international agreements.  That being said, the text was clear, balanced and had benefited from the hard work of the IGC.  She wanted it forwarded to the </w:t>
      </w:r>
      <w:r w:rsidR="007A00FC">
        <w:t>GA</w:t>
      </w:r>
      <w:r w:rsidRPr="002B722B">
        <w:t xml:space="preserve"> for consideration.</w:t>
      </w:r>
    </w:p>
    <w:p w14:paraId="1E3AE09F" w14:textId="77777777" w:rsidR="00230787" w:rsidRPr="002B722B" w:rsidRDefault="00230787" w:rsidP="00045C18"/>
    <w:p w14:paraId="53C7E4FD" w14:textId="09F38FB7" w:rsidR="00846226" w:rsidRPr="002B722B" w:rsidRDefault="00230787" w:rsidP="002B722B">
      <w:pPr>
        <w:pStyle w:val="ListParagraph"/>
        <w:numPr>
          <w:ilvl w:val="0"/>
          <w:numId w:val="4"/>
        </w:numPr>
        <w:ind w:left="0" w:firstLine="0"/>
      </w:pPr>
      <w:r w:rsidRPr="002B722B">
        <w:t>The representative of INBRAPI</w:t>
      </w:r>
      <w:r w:rsidR="00322696">
        <w:t xml:space="preserve"> supported the positions of the</w:t>
      </w:r>
      <w:r w:rsidR="00322696" w:rsidRPr="002B722B">
        <w:t xml:space="preserve"> representative </w:t>
      </w:r>
      <w:r w:rsidR="00322696">
        <w:t xml:space="preserve">of </w:t>
      </w:r>
      <w:proofErr w:type="spellStart"/>
      <w:r w:rsidR="00322696">
        <w:t>Tebtebba</w:t>
      </w:r>
      <w:proofErr w:type="spellEnd"/>
      <w:r w:rsidR="00322696">
        <w:t xml:space="preserve"> Foundation,</w:t>
      </w:r>
      <w:r w:rsidR="00322696" w:rsidRPr="002B722B">
        <w:t xml:space="preserve"> on behalf of </w:t>
      </w:r>
      <w:r w:rsidR="00322696">
        <w:t xml:space="preserve">the </w:t>
      </w:r>
      <w:r w:rsidRPr="002B722B">
        <w:t>Indigenous Caucus.  She thanked the Delegations of Colombia and El Salvador for their support.  She also highlighted the importance o</w:t>
      </w:r>
      <w:r w:rsidR="00322696">
        <w:t xml:space="preserve">f removing the brackets around “indigenous peoples”. </w:t>
      </w:r>
      <w:r w:rsidRPr="002B722B">
        <w:t xml:space="preserve"> In v</w:t>
      </w:r>
      <w:r w:rsidR="00322696">
        <w:t>arious articles the expression “protected”</w:t>
      </w:r>
      <w:r w:rsidRPr="002B722B">
        <w:t xml:space="preserve"> should be removed for clarity.  In Article 10, she was very pleased that Alt 2, as supported by the Delegations of </w:t>
      </w:r>
      <w:r w:rsidRPr="002B722B">
        <w:lastRenderedPageBreak/>
        <w:t>Bolivia (</w:t>
      </w:r>
      <w:proofErr w:type="spellStart"/>
      <w:r w:rsidRPr="002B722B">
        <w:t>Pl</w:t>
      </w:r>
      <w:r w:rsidR="00322696">
        <w:t>urinational</w:t>
      </w:r>
      <w:proofErr w:type="spellEnd"/>
      <w:r w:rsidR="00322696">
        <w:t xml:space="preserve"> State of), </w:t>
      </w:r>
      <w:proofErr w:type="spellStart"/>
      <w:r w:rsidR="00322696">
        <w:t>Ecuador</w:t>
      </w:r>
      <w:proofErr w:type="gramStart"/>
      <w:r w:rsidR="00322696">
        <w:t>,</w:t>
      </w:r>
      <w:r w:rsidRPr="002B722B">
        <w:t>and</w:t>
      </w:r>
      <w:proofErr w:type="spellEnd"/>
      <w:proofErr w:type="gramEnd"/>
      <w:r w:rsidRPr="002B722B">
        <w:t xml:space="preserve"> El Salvador, was reflected in the text because it showed their key interests and the importance for their people</w:t>
      </w:r>
      <w:r w:rsidR="00322696">
        <w:t>s</w:t>
      </w:r>
      <w:r w:rsidRPr="002B722B">
        <w:t>.  In Article 12, she agreed with the reference to UNDRIP, which was in all three texts wi</w:t>
      </w:r>
      <w:r w:rsidR="00322696">
        <w:t>thin the IGC.  She thanked the S</w:t>
      </w:r>
      <w:r w:rsidRPr="002B722B">
        <w:t xml:space="preserve">tates for having taken that into account, and hoped to be able to progress.  She was flexible and hoped her opinion would continue to be taken into account in the discussions.    </w:t>
      </w:r>
    </w:p>
    <w:p w14:paraId="36A8A4B6" w14:textId="77777777" w:rsidR="00846226" w:rsidRPr="002B722B" w:rsidRDefault="00846226" w:rsidP="00045C18"/>
    <w:p w14:paraId="7EC3BC0C" w14:textId="45E00F47" w:rsidR="00F46493" w:rsidRPr="002B722B" w:rsidRDefault="00846226" w:rsidP="002B722B">
      <w:pPr>
        <w:pStyle w:val="ListParagraph"/>
        <w:numPr>
          <w:ilvl w:val="0"/>
          <w:numId w:val="4"/>
        </w:numPr>
        <w:ind w:left="0" w:firstLine="0"/>
      </w:pPr>
      <w:r w:rsidRPr="002B722B">
        <w:t>The Delegation of Georgia, speaking on behalf of CEBS, saw improvement in the text of Rev</w:t>
      </w:r>
      <w:r w:rsidR="00322696">
        <w:t>.</w:t>
      </w:r>
      <w:r w:rsidRPr="002B722B">
        <w:t xml:space="preserve"> 2.  It associated itself with the intervention made by the Delegation of the EU</w:t>
      </w:r>
      <w:r w:rsidR="00322696">
        <w:t>, on behalf of the EU and its Member States,</w:t>
      </w:r>
      <w:r w:rsidRPr="002B722B">
        <w:t xml:space="preserve"> on Arti</w:t>
      </w:r>
      <w:r w:rsidR="00322696">
        <w:t xml:space="preserve">cle 3, in introducing the word “safeguarding”.  </w:t>
      </w:r>
      <w:r w:rsidRPr="002B722B">
        <w:t>Un</w:t>
      </w:r>
      <w:r w:rsidR="00322696">
        <w:t>der Article 10, it thanked the f</w:t>
      </w:r>
      <w:r w:rsidRPr="002B722B">
        <w:t>acilitators for introducing Alt 4, and on Article 12, it shared the position of the Delegation of the EU</w:t>
      </w:r>
      <w:r w:rsidR="00322696">
        <w:t>, on behalf of the EU and its Member States,</w:t>
      </w:r>
      <w:r w:rsidRPr="002B722B">
        <w:t xml:space="preserve"> on the relationship with other international instruments i</w:t>
      </w:r>
      <w:r w:rsidR="00322696">
        <w:t>n relation to paragraph 12.4.</w:t>
      </w:r>
    </w:p>
    <w:p w14:paraId="361201B6" w14:textId="77777777" w:rsidR="00F46493" w:rsidRPr="002B722B" w:rsidRDefault="00F46493" w:rsidP="00045C18"/>
    <w:p w14:paraId="6BD86594" w14:textId="45387CDB" w:rsidR="003E109F" w:rsidRPr="002B722B" w:rsidRDefault="00F46493" w:rsidP="002B722B">
      <w:pPr>
        <w:pStyle w:val="ListParagraph"/>
        <w:numPr>
          <w:ilvl w:val="0"/>
          <w:numId w:val="4"/>
        </w:numPr>
        <w:ind w:left="0" w:firstLine="0"/>
      </w:pPr>
      <w:r w:rsidRPr="002B722B">
        <w:t>The Delegation of Bolivia (</w:t>
      </w:r>
      <w:proofErr w:type="spellStart"/>
      <w:r w:rsidRPr="002B722B">
        <w:t>Plurinational</w:t>
      </w:r>
      <w:proofErr w:type="spellEnd"/>
      <w:r w:rsidRPr="002B722B">
        <w:t xml:space="preserve"> State of) said that Rev. 2 reflected its interests.  On Article 3, it was happy to see the title “Subject Matt</w:t>
      </w:r>
      <w:r w:rsidR="00082EF9">
        <w:t>er of the Instrument/Protection</w:t>
      </w:r>
      <w:r w:rsidRPr="002B722B">
        <w:t>”</w:t>
      </w:r>
      <w:r w:rsidR="00082EF9">
        <w:t>.</w:t>
      </w:r>
      <w:r w:rsidRPr="002B722B">
        <w:t xml:space="preserve">  The IGC needed to focus on setting standards</w:t>
      </w:r>
      <w:r w:rsidR="00082EF9">
        <w:t>.  It requested bracketing “</w:t>
      </w:r>
      <w:r w:rsidRPr="002B722B">
        <w:t>eligibility criteria</w:t>
      </w:r>
      <w:r w:rsidR="00082EF9">
        <w:t xml:space="preserve">”, </w:t>
      </w:r>
      <w:r w:rsidRPr="002B722B">
        <w:t xml:space="preserve">as mentioned by the Delegation of the Islamic Republic of Iran.  In </w:t>
      </w:r>
      <w:r w:rsidR="00082EF9">
        <w:t xml:space="preserve">Article 4, it wished to delete “protected” before TCEs, </w:t>
      </w:r>
      <w:r w:rsidRPr="002B722B">
        <w:t>as that would give an improper view for the authorities.  It could create a lot of problems.  It asked to remov</w:t>
      </w:r>
      <w:r w:rsidR="00082EF9">
        <w:t>e the brackets around the term “</w:t>
      </w:r>
      <w:r w:rsidRPr="002B722B">
        <w:t>peoples</w:t>
      </w:r>
      <w:r w:rsidR="00082EF9">
        <w:t>”,</w:t>
      </w:r>
      <w:r w:rsidRPr="002B722B">
        <w:t xml:space="preserve"> in keeping with t</w:t>
      </w:r>
      <w:r w:rsidR="00082EF9">
        <w:t>he CBD, which referred to IPLCs</w:t>
      </w:r>
      <w:r w:rsidRPr="002B722B">
        <w:t xml:space="preserve"> and which should be taken into</w:t>
      </w:r>
      <w:r w:rsidR="00082EF9">
        <w:t xml:space="preserve"> account</w:t>
      </w:r>
      <w:r w:rsidRPr="002B722B">
        <w:t xml:space="preserve"> when negotiating the text.    </w:t>
      </w:r>
    </w:p>
    <w:p w14:paraId="67BDBD06" w14:textId="77777777" w:rsidR="003E109F" w:rsidRPr="002B722B" w:rsidRDefault="003E109F" w:rsidP="00045C18"/>
    <w:p w14:paraId="75097C7F" w14:textId="0BABE3C7" w:rsidR="00FC14ED" w:rsidRPr="002B722B" w:rsidRDefault="003E109F" w:rsidP="002B722B">
      <w:pPr>
        <w:pStyle w:val="ListParagraph"/>
        <w:numPr>
          <w:ilvl w:val="0"/>
          <w:numId w:val="4"/>
        </w:numPr>
        <w:ind w:left="0" w:firstLine="0"/>
      </w:pPr>
      <w:r w:rsidRPr="002B722B">
        <w:t xml:space="preserve">The Delegation of the USA said that the best way to make progress on the IGC’s work was to have a text that reflected the full range of views and positions of all delegations.  It had intervened along the way to bring about the accomplishment of that goal.  It welcomed Rev. 2 as a text that might be likened to a garden where the positions of many delegations, as diverse as they were, were beginning to come into bloom. </w:t>
      </w:r>
      <w:r w:rsidR="00D954CB">
        <w:t xml:space="preserve"> With respect to Article 4, Alt</w:t>
      </w:r>
      <w:r w:rsidRPr="002B722B">
        <w:t xml:space="preserve"> 4, its inter</w:t>
      </w:r>
      <w:r w:rsidR="00D954CB">
        <w:t xml:space="preserve">vention of inserting the words “as well as” </w:t>
      </w:r>
      <w:r w:rsidRPr="002B722B">
        <w:t>between the opening part of that alternative</w:t>
      </w:r>
      <w:r w:rsidR="00773B59" w:rsidRPr="002B722B">
        <w:t xml:space="preserve"> (</w:t>
      </w:r>
      <w:r w:rsidRPr="002B722B">
        <w:t>which focused on instruments for indigenous peoples</w:t>
      </w:r>
      <w:r w:rsidR="00773B59" w:rsidRPr="002B722B">
        <w:t>)</w:t>
      </w:r>
      <w:r w:rsidRPr="002B722B">
        <w:t xml:space="preserve"> and the remaining part of that section might have introduced some confusion.  Its goal </w:t>
      </w:r>
      <w:r w:rsidR="00D954CB">
        <w:t xml:space="preserve">in requesting the insertion of “as well as” </w:t>
      </w:r>
      <w:r w:rsidRPr="002B722B">
        <w:t>was to make a distinction between instruments that embodied the concept of indigenous peoples that were well-established and well-known, and local communities and other beneficiaries, which might be defined in national law and that were considered less well-known.  It was a very narrow intervention and in no way</w:t>
      </w:r>
      <w:r w:rsidR="00773B59" w:rsidRPr="002B722B">
        <w:t xml:space="preserve"> was it reflecting </w:t>
      </w:r>
      <w:r w:rsidRPr="002B722B">
        <w:t>its position wit</w:t>
      </w:r>
      <w:r w:rsidR="00D954CB">
        <w:t>h respect to any element of Alt</w:t>
      </w:r>
      <w:r w:rsidRPr="002B722B">
        <w:t xml:space="preserve"> 4.  It reserved its position to further clarify issues related to local communities and other beneficiaries. </w:t>
      </w:r>
    </w:p>
    <w:p w14:paraId="07FA14DE" w14:textId="77777777" w:rsidR="00FC14ED" w:rsidRPr="002B722B" w:rsidRDefault="00FC14ED" w:rsidP="00045C18"/>
    <w:p w14:paraId="1FFF3E86" w14:textId="253A24E2" w:rsidR="002C1333" w:rsidRPr="002B722B" w:rsidRDefault="00FC14ED" w:rsidP="002B722B">
      <w:pPr>
        <w:pStyle w:val="ListParagraph"/>
        <w:numPr>
          <w:ilvl w:val="0"/>
          <w:numId w:val="4"/>
        </w:numPr>
        <w:ind w:left="0" w:firstLine="0"/>
      </w:pPr>
      <w:r w:rsidRPr="002B722B">
        <w:t>The Delegation of Egypt said that Rev</w:t>
      </w:r>
      <w:r w:rsidR="00460F21">
        <w:t>.</w:t>
      </w:r>
      <w:r w:rsidRPr="002B722B">
        <w:t xml:space="preserve"> 2 could be added to the unified instrument on the three subjects and could be the subject of a diplomatic conference in the near future.  In its form, it was much better than some of the effective conventions, such as the Marrakech Treaty.  However, it did not know what it would be reaching, but it was basing itself on the current text.  The expression “safeguarding” was not contentious in itself fro</w:t>
      </w:r>
      <w:r w:rsidR="00460F21">
        <w:t xml:space="preserve">m a legal point of view, but it </w:t>
      </w:r>
      <w:r w:rsidRPr="002B722B">
        <w:t xml:space="preserve">was being used in an erroneous position.  It reiterated that international instruments protected rights and not interests.  </w:t>
      </w:r>
      <w:r w:rsidR="00460F21">
        <w:t xml:space="preserve">It supported Alt 1 of Article 1, Alt 1 of Article 3, Alt 1 of Article 4, Alt 2 of Article 5, Alt 1 of Article 6 and Alt 1 of Article 7.  </w:t>
      </w:r>
      <w:r w:rsidRPr="002B722B">
        <w:t xml:space="preserve">Article 10 could have been simplified into a consensus article </w:t>
      </w:r>
      <w:r w:rsidR="00460F21">
        <w:t>by using</w:t>
      </w:r>
      <w:r w:rsidRPr="002B722B">
        <w:t xml:space="preserve"> the TRIPS language on the enforcement of rights.  Those changes were still possible. </w:t>
      </w:r>
    </w:p>
    <w:p w14:paraId="1E0E6529" w14:textId="77777777" w:rsidR="002C1333" w:rsidRPr="002B722B" w:rsidRDefault="002C1333" w:rsidP="00045C18"/>
    <w:p w14:paraId="294B9E80" w14:textId="703D0D5B" w:rsidR="00B4472D" w:rsidRPr="002B722B" w:rsidRDefault="002C1333" w:rsidP="002B722B">
      <w:pPr>
        <w:pStyle w:val="ListParagraph"/>
        <w:numPr>
          <w:ilvl w:val="0"/>
          <w:numId w:val="4"/>
        </w:numPr>
        <w:ind w:left="0" w:firstLine="0"/>
      </w:pPr>
      <w:r w:rsidRPr="002B722B">
        <w:t>The Delegation of Brazil aligned itself with the st</w:t>
      </w:r>
      <w:r w:rsidR="00A26E5C">
        <w:t>atements made by the Delegation</w:t>
      </w:r>
      <w:r w:rsidRPr="002B722B">
        <w:t xml:space="preserve"> of Colombia</w:t>
      </w:r>
      <w:r w:rsidR="00A26E5C">
        <w:t>,</w:t>
      </w:r>
      <w:r w:rsidRPr="002B722B">
        <w:t xml:space="preserve"> on behalf of GRULAC</w:t>
      </w:r>
      <w:r w:rsidR="00A26E5C">
        <w:t>,</w:t>
      </w:r>
      <w:r w:rsidRPr="002B722B">
        <w:t xml:space="preserve"> and</w:t>
      </w:r>
      <w:r w:rsidR="00A26E5C">
        <w:t xml:space="preserve"> the Delegation</w:t>
      </w:r>
      <w:r w:rsidRPr="002B722B">
        <w:t xml:space="preserve"> of Indonesia</w:t>
      </w:r>
      <w:r w:rsidR="00A26E5C">
        <w:t>,</w:t>
      </w:r>
      <w:r w:rsidRPr="002B722B">
        <w:t xml:space="preserve"> on behalf of the LMCs.  On Article 1, it preferred Alt 1.  On Article 3, its position about the importance of having “protection” in the title was w</w:t>
      </w:r>
      <w:r w:rsidR="00A26E5C">
        <w:t>ell known, and it supported Alt</w:t>
      </w:r>
      <w:r w:rsidRPr="002B722B">
        <w:t xml:space="preserve"> 1.  The definition of TCEs would have been dealt with in Article 2.  In Article 4, it preferred “Beneficiari</w:t>
      </w:r>
      <w:r w:rsidR="00A26E5C">
        <w:t>es of Protection” and liked Alt</w:t>
      </w:r>
      <w:r w:rsidRPr="002B722B">
        <w:t xml:space="preserve"> 3, but was ready to engag</w:t>
      </w:r>
      <w:r w:rsidR="00A26E5C">
        <w:t>e in further discussions on Alt</w:t>
      </w:r>
      <w:r w:rsidRPr="002B722B">
        <w:t xml:space="preserve"> 4 as well, even though it was still not perfect. </w:t>
      </w:r>
      <w:r w:rsidR="00A26E5C">
        <w:t xml:space="preserve"> On Article 5, it supported Alt</w:t>
      </w:r>
      <w:r w:rsidRPr="002B722B">
        <w:t xml:space="preserve"> 2. </w:t>
      </w:r>
      <w:r w:rsidR="00A26E5C">
        <w:t xml:space="preserve"> On Article 6, it supported Alt</w:t>
      </w:r>
      <w:r w:rsidRPr="002B722B">
        <w:t xml:space="preserve"> 1, as it was language it had contributed to. </w:t>
      </w:r>
      <w:r w:rsidR="00A26E5C">
        <w:t xml:space="preserve"> On Article 7, it supported Alt 1.  O</w:t>
      </w:r>
      <w:r w:rsidRPr="002B722B">
        <w:t xml:space="preserve">n Article </w:t>
      </w:r>
      <w:r w:rsidR="00A26E5C">
        <w:t>10, it supported Alt</w:t>
      </w:r>
      <w:r w:rsidRPr="002B722B">
        <w:t xml:space="preserve"> 1, which was </w:t>
      </w:r>
      <w:r w:rsidRPr="002B722B">
        <w:lastRenderedPageBreak/>
        <w:t>comprehensive.  In Article 12, it was satisfied with the la</w:t>
      </w:r>
      <w:r w:rsidR="00A26E5C">
        <w:t>nguage in paragraphs 12.2, 12.3</w:t>
      </w:r>
      <w:r w:rsidRPr="002B722B">
        <w:t xml:space="preserve"> and 12.4.  It was very appropriate</w:t>
      </w:r>
      <w:r w:rsidR="00941729" w:rsidRPr="002B722B">
        <w:t xml:space="preserve"> and </w:t>
      </w:r>
      <w:r w:rsidRPr="002B722B">
        <w:t>did not create new burdens on members, which were already committed to the fulfillment of UNDRIP and other instruments.  Removing Ar</w:t>
      </w:r>
      <w:r w:rsidR="00941729" w:rsidRPr="002B722B">
        <w:t>ticles 8, 9, 10, 11, and 13</w:t>
      </w:r>
      <w:r w:rsidRPr="002B722B">
        <w:t xml:space="preserve"> at that point, even suggesting their removal, would go against the spirit of the IGC’s work in good faith and without prejudging outcomes.  It did not support that.    </w:t>
      </w:r>
    </w:p>
    <w:p w14:paraId="550C6EB6" w14:textId="77777777" w:rsidR="00B4472D" w:rsidRPr="002B722B" w:rsidRDefault="00B4472D" w:rsidP="00045C18"/>
    <w:p w14:paraId="590030A1" w14:textId="28C10188" w:rsidR="00B4472D" w:rsidRPr="002B722B" w:rsidRDefault="00B4472D" w:rsidP="002B722B">
      <w:pPr>
        <w:pStyle w:val="ListParagraph"/>
        <w:numPr>
          <w:ilvl w:val="0"/>
          <w:numId w:val="4"/>
        </w:numPr>
        <w:ind w:left="0" w:firstLine="0"/>
      </w:pPr>
      <w:r w:rsidRPr="002B722B">
        <w:t>[Note from the Secre</w:t>
      </w:r>
      <w:r w:rsidR="00A52A95" w:rsidRPr="002B722B">
        <w:t>tariat: the following statement</w:t>
      </w:r>
      <w:r w:rsidRPr="002B722B">
        <w:t xml:space="preserve"> </w:t>
      </w:r>
      <w:r w:rsidR="00A52A95" w:rsidRPr="002B722B">
        <w:t>was</w:t>
      </w:r>
      <w:r w:rsidRPr="002B722B">
        <w:t xml:space="preserve"> submitted to the Secretariat in writing only.]  The Delegation of the Russian Federation favored Alt 2 in Article 1, as </w:t>
      </w:r>
      <w:r w:rsidR="006748B2" w:rsidRPr="002B722B">
        <w:t>it contained</w:t>
      </w:r>
      <w:r w:rsidRPr="002B722B">
        <w:t xml:space="preserve"> a clearer wording.  Regarding Article 3, it was in favor of Alt 3. </w:t>
      </w:r>
      <w:r w:rsidR="006748B2" w:rsidRPr="002B722B">
        <w:t xml:space="preserve"> </w:t>
      </w:r>
      <w:r w:rsidRPr="002B722B">
        <w:t>Furthermore, should it be possible to move the definition of TCE</w:t>
      </w:r>
      <w:r w:rsidR="006748B2" w:rsidRPr="002B722B">
        <w:t>s</w:t>
      </w:r>
      <w:r w:rsidRPr="002B722B">
        <w:t xml:space="preserve"> contained in that alternative </w:t>
      </w:r>
      <w:r w:rsidR="006748B2" w:rsidRPr="002B722B">
        <w:t xml:space="preserve">to Article </w:t>
      </w:r>
      <w:r w:rsidRPr="002B722B">
        <w:t xml:space="preserve">2, it would also be ready to consider Alt 1.  Regarding Article 5, it could support Alt 3. </w:t>
      </w:r>
      <w:r w:rsidR="00E475FE">
        <w:t xml:space="preserve"> </w:t>
      </w:r>
      <w:r w:rsidR="00406FE9">
        <w:t xml:space="preserve">Alt </w:t>
      </w:r>
      <w:r w:rsidR="00E475FE">
        <w:t>3 divided TCEs</w:t>
      </w:r>
      <w:r w:rsidRPr="002B722B">
        <w:t xml:space="preserve"> into “secret”, “closely held”, and “widely known” knowledge. </w:t>
      </w:r>
      <w:r w:rsidR="006748B2" w:rsidRPr="002B722B">
        <w:t xml:space="preserve"> </w:t>
      </w:r>
      <w:r w:rsidRPr="002B722B">
        <w:t xml:space="preserve">However, provisions concerning “secret” knowledge needed to be clarified. </w:t>
      </w:r>
      <w:r w:rsidR="00E475FE">
        <w:t xml:space="preserve"> </w:t>
      </w:r>
      <w:r w:rsidRPr="002B722B">
        <w:t>It wondered what kind of access and which users were p</w:t>
      </w:r>
      <w:r w:rsidR="00E475FE">
        <w:t>ossible in the case of secret TCEs</w:t>
      </w:r>
      <w:r w:rsidRPr="002B722B">
        <w:t>, except for their owners</w:t>
      </w:r>
      <w:r w:rsidR="006748B2" w:rsidRPr="002B722B">
        <w:t>.</w:t>
      </w:r>
      <w:r w:rsidRPr="002B722B">
        <w:t xml:space="preserve">  It was more reasonable to single out secret TCEs in a separate subparagraph. </w:t>
      </w:r>
      <w:r w:rsidR="006748B2" w:rsidRPr="002B722B">
        <w:t xml:space="preserve"> </w:t>
      </w:r>
      <w:r w:rsidRPr="002B722B">
        <w:t xml:space="preserve">Regarding Article 6, it favored Alt 1.  </w:t>
      </w:r>
      <w:r w:rsidR="006748B2" w:rsidRPr="002B722B">
        <w:t>In</w:t>
      </w:r>
      <w:r w:rsidRPr="002B722B">
        <w:t xml:space="preserve"> Article 7 all alternatives required further discussion.  In the current version it favored Alt 1 and </w:t>
      </w:r>
      <w:r w:rsidR="0040471D">
        <w:t xml:space="preserve">Alt </w:t>
      </w:r>
      <w:r w:rsidRPr="002B722B">
        <w:t>4.  Regarding Article 10, it was in favor of Alt 4.</w:t>
      </w:r>
      <w:r w:rsidR="006748B2" w:rsidRPr="002B722B">
        <w:t xml:space="preserve"> </w:t>
      </w:r>
      <w:r w:rsidRPr="002B722B">
        <w:t xml:space="preserve"> Article 12 required further discussion.</w:t>
      </w:r>
    </w:p>
    <w:p w14:paraId="77567BA2" w14:textId="77777777" w:rsidR="002C1333" w:rsidRPr="002B722B" w:rsidRDefault="002C1333" w:rsidP="00045C18"/>
    <w:p w14:paraId="4BD1EC50" w14:textId="77777777" w:rsidR="002C1333" w:rsidRPr="002B722B" w:rsidRDefault="002C1333" w:rsidP="002B722B">
      <w:pPr>
        <w:pStyle w:val="ListParagraph"/>
        <w:numPr>
          <w:ilvl w:val="0"/>
          <w:numId w:val="4"/>
        </w:numPr>
        <w:ind w:left="0" w:firstLine="0"/>
      </w:pPr>
      <w:r w:rsidRPr="002B722B">
        <w:t>The Chair closed Agenda Item 7.</w:t>
      </w:r>
    </w:p>
    <w:p w14:paraId="4F6399A5" w14:textId="77777777" w:rsidR="003C4338" w:rsidRPr="00920D43" w:rsidRDefault="003C4338" w:rsidP="0002735E">
      <w:pPr>
        <w:pStyle w:val="ListParagraph"/>
        <w:ind w:left="0"/>
        <w:rPr>
          <w:szCs w:val="22"/>
        </w:rPr>
      </w:pPr>
    </w:p>
    <w:p w14:paraId="3B0A2DF3" w14:textId="37D82ED8" w:rsidR="003C6EF6" w:rsidRPr="00FC53D5" w:rsidRDefault="004102E7" w:rsidP="00FC53D5">
      <w:pPr>
        <w:pStyle w:val="ListParagraph"/>
        <w:ind w:left="5533"/>
        <w:rPr>
          <w:i/>
          <w:szCs w:val="22"/>
        </w:rPr>
      </w:pPr>
      <w:r w:rsidRPr="00FC53D5">
        <w:rPr>
          <w:i/>
          <w:szCs w:val="22"/>
        </w:rPr>
        <w:t>Decision</w:t>
      </w:r>
      <w:r w:rsidR="002961EE" w:rsidRPr="00FC53D5">
        <w:rPr>
          <w:i/>
          <w:szCs w:val="22"/>
        </w:rPr>
        <w:t>s</w:t>
      </w:r>
      <w:r w:rsidRPr="00FC53D5">
        <w:rPr>
          <w:i/>
          <w:szCs w:val="22"/>
        </w:rPr>
        <w:t xml:space="preserve"> on Agenda Item 7</w:t>
      </w:r>
      <w:r w:rsidR="00920D43" w:rsidRPr="00FC53D5">
        <w:rPr>
          <w:i/>
          <w:szCs w:val="22"/>
        </w:rPr>
        <w:t>:</w:t>
      </w:r>
    </w:p>
    <w:p w14:paraId="1091A968" w14:textId="77777777" w:rsidR="003C6EF6" w:rsidRPr="00FC53D5" w:rsidRDefault="003C6EF6" w:rsidP="00FC53D5">
      <w:pPr>
        <w:pStyle w:val="ListParagraph"/>
        <w:ind w:left="5533"/>
        <w:rPr>
          <w:i/>
          <w:szCs w:val="22"/>
        </w:rPr>
      </w:pPr>
    </w:p>
    <w:p w14:paraId="1FE92B68" w14:textId="77777777" w:rsidR="002961EE" w:rsidRPr="00FC53D5" w:rsidRDefault="002961EE" w:rsidP="00FC53D5">
      <w:pPr>
        <w:pStyle w:val="ListParagraph"/>
        <w:numPr>
          <w:ilvl w:val="0"/>
          <w:numId w:val="4"/>
        </w:numPr>
        <w:ind w:left="5533" w:firstLine="0"/>
        <w:rPr>
          <w:i/>
        </w:rPr>
      </w:pPr>
      <w:r w:rsidRPr="00FC53D5">
        <w:rPr>
          <w:i/>
        </w:rPr>
        <w:t>The Committee developed, on the basis of document WIPO/GRTKF/IC/34/6, a further text, “The Protection of Traditional Cultural Expressions:  Draft Articles Rev. 2”.  The Committee decided that this text, as at the close of this agenda item on June 15, 2017, be considered by the Committee under Agenda Item 8 (Taking Stock of Progress and Making a Recommendation to the General Assembly), in accordance with the Committee’s mandate for 2016-2017 and the work program for 2017, as contained in document WO/GA/47/19.</w:t>
      </w:r>
    </w:p>
    <w:p w14:paraId="03254242" w14:textId="77777777" w:rsidR="002961EE" w:rsidRPr="00FC53D5" w:rsidRDefault="002961EE" w:rsidP="00FC53D5">
      <w:pPr>
        <w:ind w:left="5533"/>
        <w:rPr>
          <w:i/>
        </w:rPr>
      </w:pPr>
    </w:p>
    <w:p w14:paraId="3F1CC45C" w14:textId="7147CC13" w:rsidR="00920D43" w:rsidRPr="00FC53D5" w:rsidRDefault="002961EE" w:rsidP="00FC53D5">
      <w:pPr>
        <w:pStyle w:val="ListParagraph"/>
        <w:numPr>
          <w:ilvl w:val="0"/>
          <w:numId w:val="4"/>
        </w:numPr>
        <w:ind w:left="5533" w:firstLine="0"/>
        <w:rPr>
          <w:i/>
        </w:rPr>
      </w:pPr>
      <w:r w:rsidRPr="00FC53D5">
        <w:rPr>
          <w:i/>
        </w:rPr>
        <w:t>The Committee also took note of documents WIPO/GRTKF/IC/34/7, WIPO/GRTKF/IC/34/12, WIPO/GRTKF/IC/34/INF/7 and WIPO/GRTKF/IC/34/INF/8.</w:t>
      </w:r>
    </w:p>
    <w:p w14:paraId="4DA5E57F" w14:textId="77777777" w:rsidR="006F58BA" w:rsidRDefault="006F58BA" w:rsidP="007F7880">
      <w:pPr>
        <w:pStyle w:val="Heading1"/>
        <w:spacing w:before="0"/>
      </w:pPr>
    </w:p>
    <w:p w14:paraId="70621E70" w14:textId="77777777" w:rsidR="007F7880" w:rsidRPr="009B459C" w:rsidRDefault="007F7880" w:rsidP="007F7880">
      <w:pPr>
        <w:pStyle w:val="Heading1"/>
        <w:spacing w:before="0"/>
      </w:pPr>
      <w:r>
        <w:t>AGENDA ITEM 8:  TAKING STOCK OF PROGRESS AND MAKING A RECOMMENDATION TO THE GENERAL ASSEMBLY</w:t>
      </w:r>
    </w:p>
    <w:p w14:paraId="7F369EB4" w14:textId="77777777" w:rsidR="007F7880" w:rsidRPr="00243105" w:rsidRDefault="007F7880" w:rsidP="007F7880">
      <w:pPr>
        <w:pStyle w:val="ListParagraph"/>
        <w:ind w:left="0"/>
        <w:rPr>
          <w:bCs/>
        </w:rPr>
      </w:pPr>
    </w:p>
    <w:p w14:paraId="6D734E82" w14:textId="713E1827" w:rsidR="007F5D8D" w:rsidRPr="007F5D8D" w:rsidRDefault="00266DD9" w:rsidP="00045C18">
      <w:pPr>
        <w:pStyle w:val="ListParagraph"/>
        <w:numPr>
          <w:ilvl w:val="0"/>
          <w:numId w:val="4"/>
        </w:numPr>
        <w:ind w:left="0" w:firstLine="0"/>
      </w:pPr>
      <w:r w:rsidRPr="00045C18">
        <w:t xml:space="preserve">The Chair said that, in accordance with the mandate, </w:t>
      </w:r>
      <w:r w:rsidR="00F10D1D">
        <w:t>IGC 34</w:t>
      </w:r>
      <w:r w:rsidRPr="00045C18">
        <w:t xml:space="preserve"> would address TCEs and take stock of progress made by the IGC and make a recommendation to the 2017 </w:t>
      </w:r>
      <w:r w:rsidR="007A00FC">
        <w:t>GA</w:t>
      </w:r>
      <w:r w:rsidRPr="00045C18">
        <w:t xml:space="preserve">.  In achieving the objectives under Agenda Item 8, he intended to balance appropriate flexibility with an adequate focus, while trying to maintain transparency within the process.  Pursuant to the work program, delegations would be invited to express their views on the state of the respective texts with an emphasis on the progress they considered to have been made.  Then, based on the expressed views, the session could agree on a recommendation to the </w:t>
      </w:r>
      <w:r w:rsidR="007A00FC">
        <w:t>GA</w:t>
      </w:r>
      <w:r w:rsidRPr="00045C18">
        <w:t xml:space="preserve">, which would be </w:t>
      </w:r>
      <w:r w:rsidRPr="00045C18">
        <w:lastRenderedPageBreak/>
        <w:t>called upon, according to the mandate, to take stock of progress and decide on whether to convene a diplomatic conference or continue negotiations.  It would also consider the need for additional meetings, taking account of the budgetary process.  The IGC might also consider th</w:t>
      </w:r>
      <w:r w:rsidR="00F10D1D">
        <w:t>e conversion of the IGC into a Standing C</w:t>
      </w:r>
      <w:r w:rsidRPr="00045C18">
        <w:t xml:space="preserve">ommittee, and if so agreed, make a recommendation to the 2017 </w:t>
      </w:r>
      <w:r w:rsidR="007A00FC">
        <w:t>GA</w:t>
      </w:r>
      <w:r w:rsidR="00F10D1D">
        <w:t>.  He had consulted with Regional C</w:t>
      </w:r>
      <w:r w:rsidRPr="00045C18">
        <w:t xml:space="preserve">oordinators and interested delegations on the methodology and work program for the session, especially for Agenda Item 8.  </w:t>
      </w:r>
      <w:r w:rsidRPr="00B81128">
        <w:t>He had circulated the agreed methodology and program and all delegations had seen them.  Firstly, regional groups, the Delegation of the EU, the Delegation of Indonesia</w:t>
      </w:r>
      <w:r w:rsidR="00B81128" w:rsidRPr="00B81128">
        <w:t>,</w:t>
      </w:r>
      <w:r w:rsidRPr="00B81128">
        <w:t xml:space="preserve"> on behalf of the LMCs, and the representative of the Indigenous Caucus would be invited to provide initial comments of up to three minutes on the stocktaking exercise and their views on a recommendation to the </w:t>
      </w:r>
      <w:r w:rsidR="007A00FC" w:rsidRPr="00B81128">
        <w:t>GA</w:t>
      </w:r>
      <w:r w:rsidRPr="00B81128">
        <w:t xml:space="preserve">, noting that some of the opening statements had also covered that item.  Any other statements should be handed to the Secretariat in writing to be included in the report.  After those initial comments, he would suspend Agenda Item 8 and, throughout the week, would convene informal consultations coordinated by one or both Vice-Chairs.  The informal consultations would attempt to develop a draft recommendation to be presented in plenary for consideration.  Ms. Marcela Paiva from Chile would help capture work in progress, which would be made available from time to time in hard copy in English. </w:t>
      </w:r>
      <w:r w:rsidR="00B81128" w:rsidRPr="00B81128">
        <w:t xml:space="preserve"> </w:t>
      </w:r>
      <w:r w:rsidRPr="00B81128">
        <w:t>When work resumed on Agenda Item 8, the Vice-Chairs would brief the plenary on the outcome of the informal consultations.  It had been agreed that each regional group would be represented by a maxim</w:t>
      </w:r>
      <w:r w:rsidRPr="00045C18">
        <w:t xml:space="preserve">um of six delegates, one of who should be the regional coordinator, or a regional group could decide to nominate a lesser number of delegates, as that would be welcome to keep the </w:t>
      </w:r>
      <w:proofErr w:type="spellStart"/>
      <w:r w:rsidRPr="00045C18">
        <w:t>informals</w:t>
      </w:r>
      <w:proofErr w:type="spellEnd"/>
      <w:r w:rsidRPr="00045C18">
        <w:t xml:space="preserve"> as small as possible.  Regional groups could change the composition of their teams as they deemed fit, depending on the issues being discussed</w:t>
      </w:r>
      <w:proofErr w:type="gramStart"/>
      <w:r w:rsidRPr="00045C18">
        <w:t xml:space="preserve">; </w:t>
      </w:r>
      <w:r w:rsidR="00B81128">
        <w:t xml:space="preserve"> </w:t>
      </w:r>
      <w:r w:rsidRPr="00045C18">
        <w:t>however</w:t>
      </w:r>
      <w:proofErr w:type="gramEnd"/>
      <w:r w:rsidRPr="00045C18">
        <w:t xml:space="preserve">, groups would be limited to six delegates.  Observers would not be permitted to sit in, and there would be no live audio feed of discussions.  It was very important that observers had an opportunity to engage directly with the Member States involved in those </w:t>
      </w:r>
      <w:proofErr w:type="spellStart"/>
      <w:r w:rsidRPr="00045C18">
        <w:t>informals</w:t>
      </w:r>
      <w:proofErr w:type="spellEnd"/>
      <w:r w:rsidRPr="00045C18">
        <w:t xml:space="preserve">.  The Chair asked observers and Member States to engage with each other. </w:t>
      </w:r>
      <w:r w:rsidR="00B81128">
        <w:t xml:space="preserve"> </w:t>
      </w:r>
      <w:r w:rsidRPr="00045C18">
        <w:t xml:space="preserve">A framework of time slots had been set up for the consultations, noting that by their very nature, informal consultations would have a degree of flexibility.  That was a guide and it could change as the week progressed.  It might also be used for bilateral activities, depending on progress.  Agenda Item 8 would resume in plenary on Friday, with Agenda Item 7 having been closed on Thursday.  He asked participants to be efficient and to not repeat or support interventions.  The fact that one Member State had provided an intervention was sufficient for it to be on the record and for it to be considered.  Delegations would be invited to take note of and discuss the progress made, considering documents WIPO/GRTKF/IC/34/4, WIPO/GRTKF/IC/34/5, and WIPO/GRTKF/IC/34/8.  The contents of those documents would not be reopened, but would serve as a basis for the stocktaking exercise, and would be transmitted “as is” to the 2017 </w:t>
      </w:r>
      <w:r w:rsidR="007A00FC">
        <w:t>GA</w:t>
      </w:r>
      <w:r w:rsidRPr="00045C18">
        <w:t xml:space="preserve">.  Delegations would also be invited to present the outcome, if any, of informal consultations on a recommendation to the </w:t>
      </w:r>
      <w:r w:rsidR="007A00FC">
        <w:t>GA</w:t>
      </w:r>
      <w:r w:rsidRPr="00045C18">
        <w:t xml:space="preserve">.  The plenary remained a decision-making body, and its discussions would be reported on as usual.  The aim of the work under Agenda Item 8 would be to take stock of progress made and to reach agreement on a recommendation by the IGC to transmit to the </w:t>
      </w:r>
      <w:r w:rsidR="007A00FC">
        <w:t>GA</w:t>
      </w:r>
      <w:r w:rsidRPr="00045C18">
        <w:t xml:space="preserve">.  In any event, the IGC would transmit the three texts to the </w:t>
      </w:r>
      <w:r w:rsidR="007A00FC">
        <w:t>GA</w:t>
      </w:r>
      <w:r w:rsidRPr="00045C18">
        <w:t xml:space="preserve"> accompanied by a factual report on the work of the IGC in 2017.  The Chair had prepared an Information Note on Agenda Item 8, as an attempt to frame the discussions on future work and the IGC’s recommendation to the </w:t>
      </w:r>
      <w:r w:rsidR="007A00FC">
        <w:t>GA</w:t>
      </w:r>
      <w:r w:rsidRPr="00045C18">
        <w:t xml:space="preserve">.  It was produced without prejudice to any Member State position and provided context and a framework for those critical discussions.  He had attempted to be factual, to present all Member States’ positions in a balanced way and to frame the key questions and possible options on future work and recommendations to the </w:t>
      </w:r>
      <w:r w:rsidR="007A00FC">
        <w:t>GA</w:t>
      </w:r>
      <w:r w:rsidRPr="00045C18">
        <w:t>, without prejudicing any decisions in that area.  In considering those options, he had reviewed the status of the negotiations, including lessons from the current mandate.  Those views were his alone, noting all participants had different perspectives on the negotiations, reflecting individual Member States’ perspective, policy interests, domestic environments, including legislative environments under which the different subject matter operated, and individual expectations.  He did not intend</w:t>
      </w:r>
      <w:r w:rsidR="00D43A01">
        <w:t xml:space="preserve"> to discuss that note in detail and</w:t>
      </w:r>
      <w:r w:rsidRPr="00045C18">
        <w:t xml:space="preserve"> it was provided to assist in the preparations. </w:t>
      </w:r>
      <w:r w:rsidR="00D43A01">
        <w:t xml:space="preserve"> </w:t>
      </w:r>
      <w:r w:rsidRPr="00045C18">
        <w:t xml:space="preserve">He opened the floor for statements on the stocktaking exercise and recommendation to the </w:t>
      </w:r>
      <w:r w:rsidR="007A00FC">
        <w:t>GA</w:t>
      </w:r>
      <w:r w:rsidRPr="00045C18">
        <w:t xml:space="preserve">.  </w:t>
      </w:r>
    </w:p>
    <w:p w14:paraId="7B97B973" w14:textId="77777777" w:rsidR="007F5D8D" w:rsidRPr="007F5D8D" w:rsidRDefault="007F5D8D" w:rsidP="00045C18"/>
    <w:p w14:paraId="06B26419" w14:textId="1785C98B" w:rsidR="00B453C5" w:rsidRPr="00B453C5" w:rsidRDefault="007F5D8D" w:rsidP="00045C18">
      <w:pPr>
        <w:pStyle w:val="ListParagraph"/>
        <w:numPr>
          <w:ilvl w:val="0"/>
          <w:numId w:val="4"/>
        </w:numPr>
        <w:ind w:left="0" w:firstLine="0"/>
      </w:pPr>
      <w:r w:rsidRPr="00045C18">
        <w:t>The Delegation of Indonesia, spe</w:t>
      </w:r>
      <w:r w:rsidR="007A00FC">
        <w:t>aking on behalf of the Asia</w:t>
      </w:r>
      <w:r w:rsidR="007A00FC">
        <w:noBreakHyphen/>
      </w:r>
      <w:r w:rsidRPr="00045C18">
        <w:t xml:space="preserve">Pacific Group, said that, in accordance with the mandate, the IGC would need to submit to the 2017 </w:t>
      </w:r>
      <w:r w:rsidR="007A00FC">
        <w:t>GA</w:t>
      </w:r>
      <w:r w:rsidRPr="00045C18">
        <w:t xml:space="preserve"> the results of its work on an international legal instrument(s) relating to IP, which would ensure the balance and effective protection of GRs, TK and TCEs.  It supported the methodology and program on Agenda Item 8.  Progress had been made within the IGC with various degrees of success.  It had seen a shift towards more IP-focused objectives in the three subject matters.  The framework documents had a set of standards or mechanisms that provided flexibility for implementation at the domestic level.  It hoped that IGC</w:t>
      </w:r>
      <w:r w:rsidR="006B73F7">
        <w:t xml:space="preserve"> 34</w:t>
      </w:r>
      <w:r w:rsidRPr="00045C18">
        <w:t xml:space="preserve"> would be able to come up with recommendations to the </w:t>
      </w:r>
      <w:r w:rsidR="007A00FC">
        <w:t>GA</w:t>
      </w:r>
      <w:r w:rsidRPr="00045C18">
        <w:t xml:space="preserve"> to guide the future work based on the progress made under the current mandate.  Some</w:t>
      </w:r>
      <w:r w:rsidR="006B73F7">
        <w:t xml:space="preserve"> members had different position</w:t>
      </w:r>
      <w:proofErr w:type="gramStart"/>
      <w:r w:rsidR="006B73F7">
        <w:t xml:space="preserve">; </w:t>
      </w:r>
      <w:r w:rsidRPr="00045C18">
        <w:t xml:space="preserve"> howev</w:t>
      </w:r>
      <w:r w:rsidR="006B73F7">
        <w:t>er</w:t>
      </w:r>
      <w:proofErr w:type="gramEnd"/>
      <w:r w:rsidR="006B73F7">
        <w:t>, most of the members of the G</w:t>
      </w:r>
      <w:r w:rsidRPr="00045C18">
        <w:t xml:space="preserve">roup reiterated the need for a legally binding instrument(s) providing </w:t>
      </w:r>
      <w:r w:rsidR="006B73F7">
        <w:t>effective protection of GRs, TK</w:t>
      </w:r>
      <w:r w:rsidRPr="00045C18">
        <w:t xml:space="preserve"> and TCEs.  </w:t>
      </w:r>
      <w:r w:rsidR="006B73F7">
        <w:t xml:space="preserve">No Member State could </w:t>
      </w:r>
      <w:r w:rsidRPr="00045C18">
        <w:t xml:space="preserve">ignore the progress made.  It confirmed its full support and cooperation in the discussions under Agenda Item 8.  It was committed to engaging constructively in negotiating a mutually acceptable outcome.  </w:t>
      </w:r>
    </w:p>
    <w:p w14:paraId="04B6B52E" w14:textId="77777777" w:rsidR="00B453C5" w:rsidRPr="00B453C5" w:rsidRDefault="00B453C5" w:rsidP="00045C18"/>
    <w:p w14:paraId="70514B9F" w14:textId="1AFBB479" w:rsidR="00BC7151" w:rsidRPr="00BC7151" w:rsidRDefault="00B453C5" w:rsidP="00045C18">
      <w:pPr>
        <w:pStyle w:val="ListParagraph"/>
        <w:numPr>
          <w:ilvl w:val="0"/>
          <w:numId w:val="4"/>
        </w:numPr>
        <w:ind w:left="0" w:firstLine="0"/>
      </w:pPr>
      <w:r w:rsidRPr="00045C18">
        <w:t>The Delegation of Georgia, speaking on behalf of CEBS, said the Information Note provided a clear picture on the developments within the IGC and it supported the methodology.  It acknowledged the IGC</w:t>
      </w:r>
      <w:r w:rsidR="00DE7109">
        <w:t>’s</w:t>
      </w:r>
      <w:r w:rsidRPr="00045C18">
        <w:t xml:space="preserve"> mandate, which stated that IGC 34 was to be “taking stock of progress and making a recomme</w:t>
      </w:r>
      <w:r w:rsidR="00DE7109">
        <w:t>ndation to the General Assembly</w:t>
      </w:r>
      <w:r w:rsidRPr="00045C18">
        <w:t>”</w:t>
      </w:r>
      <w:r w:rsidR="00DE7109">
        <w:t>.</w:t>
      </w:r>
      <w:r w:rsidRPr="00045C18">
        <w:t xml:space="preserve">  Hence, it reemphasized the importance of GRs, TK and TCEs and believed it was crucial to have a meaningful discussion on the overall objectives of the instruments</w:t>
      </w:r>
      <w:r w:rsidR="00DE7109">
        <w:t>.  In the framework of WIPO, Member States</w:t>
      </w:r>
      <w:r w:rsidRPr="00045C18">
        <w:t xml:space="preserve"> had to find a common understanding of the main objectives and of what was realistically achievable.  A number of sessions had been dedicated to discussions on GRs, TK and TCEs and taking into consideration the divergence of views, the work required further advancement.  The IGC should recommend a reasonable and feasible work program to the </w:t>
      </w:r>
      <w:r w:rsidR="007A00FC">
        <w:t>GA</w:t>
      </w:r>
      <w:r w:rsidRPr="00045C18">
        <w:t xml:space="preserve">.  Finally, it reaffirmed its commitment to being actively engaged in discussions to be carried out in a pragmatic and efficient manner, thus ensuring the successful accomplishment of a mutually acceptable outcome.  </w:t>
      </w:r>
    </w:p>
    <w:p w14:paraId="79CF0F84" w14:textId="77777777" w:rsidR="00BC7151" w:rsidRDefault="00BC7151" w:rsidP="00045C18"/>
    <w:p w14:paraId="1793256E" w14:textId="6947F200" w:rsidR="00BC7151" w:rsidRPr="00045C18" w:rsidRDefault="00BC7151" w:rsidP="00045C18">
      <w:pPr>
        <w:pStyle w:val="ListParagraph"/>
        <w:numPr>
          <w:ilvl w:val="0"/>
          <w:numId w:val="4"/>
        </w:numPr>
        <w:ind w:left="0" w:firstLine="0"/>
      </w:pPr>
      <w:r w:rsidRPr="00045C18">
        <w:t xml:space="preserve">The Delegation of Colombia, speaking on behalf of GRULAC, acknowledged the Chair’s efforts to make the sessions as productive as possible, which included an evaluation of the progress made during the past two years.  It agreed on the need to start the process of informal consultations to allow reaching </w:t>
      </w:r>
      <w:r w:rsidR="0024521A">
        <w:t>an agreement on</w:t>
      </w:r>
      <w:r w:rsidRPr="00045C18">
        <w:t xml:space="preserve"> a recommendation by the end of the week.  The process should be open and inclusive.  It recalled the current mandate.  It was of utmost importance that the text-based negotiations have continuity under a renewed mandate.  That renewal had to include an action and work plan with indicative dates and detailed activities that would allow streamlining and focusing the work of the current negotiations and that would indicate that the </w:t>
      </w:r>
      <w:r w:rsidR="007A00FC">
        <w:t>GA</w:t>
      </w:r>
      <w:r w:rsidRPr="00045C18">
        <w:t xml:space="preserve"> would consider the text(s) to be presented with the aim of deciding whether or not to convene a diplomatic conference.  It reiterated its interest in participating in a proactive way in the process of consultations. </w:t>
      </w:r>
    </w:p>
    <w:p w14:paraId="030FA4C9" w14:textId="77777777" w:rsidR="00BC7151" w:rsidRDefault="00BC7151" w:rsidP="00045C18"/>
    <w:p w14:paraId="0A3172DD" w14:textId="6FC097FE" w:rsidR="00BC7151" w:rsidRPr="00045C18" w:rsidRDefault="00BC7151" w:rsidP="00045C18">
      <w:pPr>
        <w:pStyle w:val="ListParagraph"/>
        <w:numPr>
          <w:ilvl w:val="0"/>
          <w:numId w:val="4"/>
        </w:numPr>
        <w:ind w:left="0" w:firstLine="0"/>
      </w:pPr>
      <w:r w:rsidRPr="00045C18">
        <w:t>The Delegation of Senegal, speaking on behalf of the African Group, said that the main thesis of its statement could be found in its opening statement.  The IGC had achieved a great deal thanks to the combi</w:t>
      </w:r>
      <w:r w:rsidR="00B42688">
        <w:t>ned effort of the Secretariat, the Bureau</w:t>
      </w:r>
      <w:r w:rsidRPr="00045C18">
        <w:t xml:space="preserve">, Member States and experts from various fields.  Over time and through the use of very wise mechanisms, with imagination and innovation, the IGC had narrowed gaps.  In general, there two approaches: </w:t>
      </w:r>
      <w:r w:rsidR="00B42688">
        <w:t xml:space="preserve"> </w:t>
      </w:r>
      <w:r w:rsidRPr="00045C18">
        <w:t>rights</w:t>
      </w:r>
      <w:r w:rsidR="00B42688">
        <w:t>-based</w:t>
      </w:r>
      <w:r w:rsidRPr="00045C18">
        <w:t xml:space="preserve"> and measures</w:t>
      </w:r>
      <w:r w:rsidR="00B42688">
        <w:t>-based approaches</w:t>
      </w:r>
      <w:r w:rsidRPr="00045C18">
        <w:t xml:space="preserve">.  Those approaches were not mutually exclusive and could be subject to negotiation for mutually advantageous results.  </w:t>
      </w:r>
      <w:r w:rsidR="009B092A" w:rsidRPr="00045C18">
        <w:t>The</w:t>
      </w:r>
      <w:r w:rsidRPr="00045C18">
        <w:t xml:space="preserve"> three draf</w:t>
      </w:r>
      <w:r w:rsidR="00B42688">
        <w:t>t instruments had been improved and consolidated</w:t>
      </w:r>
      <w:r w:rsidRPr="00045C18">
        <w:t xml:space="preserve"> with clear options that reflected the various positions.  To that day, the</w:t>
      </w:r>
      <w:r w:rsidR="009B092A" w:rsidRPr="00045C18">
        <w:t xml:space="preserve"> technical work</w:t>
      </w:r>
      <w:r w:rsidRPr="00045C18">
        <w:t xml:space="preserve"> had been done in great detail, but the IGC needed to complete that process through strong political will.  A diplomatic conference was highly pertinent to meet the challenges for negotiation and to resolve the pending technical issues.  It called for it to be convened as soon as possible.  It also recommended</w:t>
      </w:r>
      <w:r w:rsidR="00B42688">
        <w:t xml:space="preserve"> that the IGC be turned into a Standing C</w:t>
      </w:r>
      <w:r w:rsidRPr="00045C18">
        <w:t xml:space="preserve">ommittee, and it promised to work constructively to ensure positive outcomes.  </w:t>
      </w:r>
    </w:p>
    <w:p w14:paraId="26103279" w14:textId="77777777" w:rsidR="00B453C5" w:rsidRPr="00B453C5" w:rsidRDefault="00B453C5" w:rsidP="00045C18"/>
    <w:p w14:paraId="566D208A" w14:textId="77777777" w:rsidR="00694528" w:rsidRPr="00045C18" w:rsidRDefault="00694528" w:rsidP="00045C18">
      <w:pPr>
        <w:pStyle w:val="ListParagraph"/>
        <w:numPr>
          <w:ilvl w:val="0"/>
          <w:numId w:val="4"/>
        </w:numPr>
        <w:ind w:left="0" w:firstLine="0"/>
      </w:pPr>
      <w:r w:rsidRPr="00045C18">
        <w:t xml:space="preserve">The Delegation of China recalled its opening statement and said that Agenda Item 8 was important.  It would actively take part in the discussions and would make the necessary efforts to achieve a feasible work program, taking into consideration all parties’ interests and concerns and based on the current work to promote the protection of GRs, TK and TCEs in a concrete and practical matter.  </w:t>
      </w:r>
    </w:p>
    <w:p w14:paraId="338641DC" w14:textId="77777777" w:rsidR="00C4346B" w:rsidRPr="00045C18" w:rsidRDefault="00C4346B" w:rsidP="00045C18"/>
    <w:p w14:paraId="4099707C" w14:textId="01F6B5B4" w:rsidR="00D05786" w:rsidRPr="00045C18" w:rsidRDefault="00C4346B" w:rsidP="00045C18">
      <w:pPr>
        <w:pStyle w:val="ListParagraph"/>
        <w:numPr>
          <w:ilvl w:val="0"/>
          <w:numId w:val="4"/>
        </w:numPr>
        <w:ind w:left="0" w:firstLine="0"/>
      </w:pPr>
      <w:r w:rsidRPr="00045C18">
        <w:t xml:space="preserve">The Delegation of Japan, speaking on behalf of Group B, said that the IGC should focus its effort on reaching a common view on the substance.  It recognized that some progress had been made in the last 18 months, but the text required more work.  It was hopeful that Member States would develop a common understanding on core issues using an evidence-based approach so that meaningful advancement could be achieved.  That included studies and examples of national experiences, domestic legislation and examples of subject matter and subject matter not intended to be protected.  The IGC should focus its effort on recommending a reasonable way forward to the </w:t>
      </w:r>
      <w:r w:rsidR="007A00FC">
        <w:t>GA</w:t>
      </w:r>
      <w:r w:rsidRPr="00045C18">
        <w:t xml:space="preserve">, taking account of the budgetary process.  It was ready to engage in informal consultations.  It remained committed to contributing constructively in order to achieve a mutually acceptable result.  </w:t>
      </w:r>
    </w:p>
    <w:p w14:paraId="597D1D89" w14:textId="77777777" w:rsidR="00D05786" w:rsidRPr="00045C18" w:rsidRDefault="00D05786" w:rsidP="00045C18"/>
    <w:p w14:paraId="2FE2FE77" w14:textId="70A56E63" w:rsidR="00D05786" w:rsidRPr="00045C18" w:rsidRDefault="00D05786" w:rsidP="00045C18">
      <w:pPr>
        <w:pStyle w:val="ListParagraph"/>
        <w:numPr>
          <w:ilvl w:val="0"/>
          <w:numId w:val="4"/>
        </w:numPr>
        <w:ind w:left="0" w:firstLine="0"/>
      </w:pPr>
      <w:r w:rsidRPr="00045C18">
        <w:t>The Delegation of the EU, speaking on behalf of the EU and its Member States, said that the topics of GRs, TK and TCEs had been discussed for many years and a substantial number of sessions had been dedicated to those discussions.  Discussions during the mandate had shown how difficult it remained to find common ground</w:t>
      </w:r>
      <w:r w:rsidR="008D7334">
        <w:t>s</w:t>
      </w:r>
      <w:r w:rsidRPr="00045C18">
        <w:t xml:space="preserve"> on many of those topics.  The lengthy discussions and small return on investment in time and resources needed to be taken into account when considering the future of the IGC.  While all three topics required equal attention and needed to be treated in an equal manner, it recalled its constructive proposal that addressed satisfactorily the question of the discussion of GRs.  Any future discussions should focus on what was achievable rather than reproduce the discussions of the past.    </w:t>
      </w:r>
    </w:p>
    <w:p w14:paraId="3248F213" w14:textId="77777777" w:rsidR="00C4346B" w:rsidRPr="00045C18" w:rsidRDefault="00C4346B" w:rsidP="00045C18"/>
    <w:p w14:paraId="337B8A63" w14:textId="1790DAAC" w:rsidR="00D05786" w:rsidRPr="00045C18" w:rsidRDefault="00D05786" w:rsidP="00045C18">
      <w:pPr>
        <w:pStyle w:val="ListParagraph"/>
        <w:numPr>
          <w:ilvl w:val="0"/>
          <w:numId w:val="4"/>
        </w:numPr>
        <w:ind w:left="0" w:firstLine="0"/>
      </w:pPr>
      <w:r w:rsidRPr="00045C18">
        <w:t xml:space="preserve">The Delegation of Indonesia, speaking on behalf of the LMCs, said the IGC would have completed its work program under the current mandate.  It supported the methodology and program on Agenda Item 8.  It hoped that the session would be able to come up with a recommendation to the </w:t>
      </w:r>
      <w:r w:rsidR="007A00FC">
        <w:t>GA</w:t>
      </w:r>
      <w:r w:rsidRPr="00045C18">
        <w:t xml:space="preserve"> that would guide the future work of the IGC based on the progress made under the current mandate.  It took note of the progress made during the current mandate, as reflected in the three working documents, which reflected a focus on the IP system, flexibilities, constructive spirit and practicability, as had also been shown by the LMCs.  It reemphasized the urge and need to prevent the misappropriation of GRs and TK </w:t>
      </w:r>
      <w:r w:rsidR="00BF0E2E">
        <w:t>associated</w:t>
      </w:r>
      <w:r w:rsidRPr="00045C18">
        <w:t xml:space="preserve"> with GRs.  It could prevent and take all the transnational problems through a full compliance mechanism.  Taking note of the progress made at IGC</w:t>
      </w:r>
      <w:r w:rsidR="00BF0E2E">
        <w:t>s</w:t>
      </w:r>
      <w:r w:rsidRPr="00045C18">
        <w:t xml:space="preserve"> 29 and 30 on the protection of GRs, it provided clear options for Member States to consider.  The text on GRs included a mandatory disclosure requirement clause that could be brought forward for a positive decision.  It was high time for all stakeholders to finalize the consolidated text</w:t>
      </w:r>
      <w:r w:rsidR="00BF0E2E">
        <w:t xml:space="preserve"> of GRs</w:t>
      </w:r>
      <w:r w:rsidRPr="00045C18">
        <w:t>.  Most of the technical work was done.  Member States needed to show political will to go forward.  It drew attention to the progress made regarding TK and TCEs at IGC</w:t>
      </w:r>
      <w:r w:rsidR="00BF0E2E">
        <w:t>s 31, 32</w:t>
      </w:r>
      <w:r w:rsidRPr="00045C18">
        <w:t xml:space="preserve"> and 33, and hopefully </w:t>
      </w:r>
      <w:r w:rsidR="00BF0E2E">
        <w:t xml:space="preserve">IGC </w:t>
      </w:r>
      <w:r w:rsidRPr="00045C18">
        <w:t xml:space="preserve">34.  In relation to the scope of protection relating to TK and TCEs, gaps had been narrowed, aided by the introduction of a more practical tiered approach.  There had been a shift toward framework documents, which acted as a set of standards or mechanisms that provided flexibility for implementation at the domestic level.  It hoped that the IGC would also be able to define a clear timeline for key decisions to ensure that the negotiations on TK and TCEs would bring about outcomes.  Based on all the progress made in the current mandate, the IGC should be able to deliver a recommendation to the </w:t>
      </w:r>
      <w:r w:rsidR="007A00FC">
        <w:t>GA</w:t>
      </w:r>
      <w:r w:rsidRPr="00045C18">
        <w:t xml:space="preserve"> that outlined key deliverables and/or outcomes for future work.  Taking into account the different nature of the three equally important subject matters, as well as the different perspectives on the level of maturity in the three working documents, discussions on future work should consider the question between parallel and incremental approaches while also safeguarding the work on all three subject matters.  The normative level of the instruments could not be stalled without plausible and strong reasons.  </w:t>
      </w:r>
      <w:r w:rsidR="00921C4E">
        <w:t xml:space="preserve">The progress </w:t>
      </w:r>
      <w:r w:rsidR="00921C4E">
        <w:lastRenderedPageBreak/>
        <w:t>made</w:t>
      </w:r>
      <w:r w:rsidRPr="00045C18">
        <w:t xml:space="preserve"> could not </w:t>
      </w:r>
      <w:r w:rsidR="00921C4E">
        <w:t xml:space="preserve">be </w:t>
      </w:r>
      <w:r w:rsidRPr="00045C18">
        <w:t>ignore</w:t>
      </w:r>
      <w:r w:rsidR="00921C4E">
        <w:t>d,</w:t>
      </w:r>
      <w:r w:rsidRPr="00045C18">
        <w:t xml:space="preserve"> </w:t>
      </w:r>
      <w:r w:rsidR="00921C4E">
        <w:t>and</w:t>
      </w:r>
      <w:r w:rsidRPr="00045C18">
        <w:t xml:space="preserve"> the process started in 2000 and the progress made through the negotiations</w:t>
      </w:r>
      <w:r w:rsidR="00921C4E">
        <w:t xml:space="preserve"> could not be undone</w:t>
      </w:r>
      <w:r w:rsidRPr="00045C18">
        <w:t xml:space="preserve">.  Noting the importance of the implementation for all, the IGC should move forward together, taking the next step with a view to adopting a legally binding instrument(s) </w:t>
      </w:r>
      <w:r w:rsidR="00921C4E">
        <w:t>providing protection of GRs, TK</w:t>
      </w:r>
      <w:r w:rsidRPr="00045C18">
        <w:t xml:space="preserve"> and TCEs and perhaps convening a diplomatic conference.  </w:t>
      </w:r>
    </w:p>
    <w:p w14:paraId="2578B662" w14:textId="77777777" w:rsidR="00D05786" w:rsidRPr="00045C18" w:rsidRDefault="00D05786" w:rsidP="00045C18"/>
    <w:p w14:paraId="22F98CD8" w14:textId="0B109530" w:rsidR="008A4D01" w:rsidRPr="00045C18" w:rsidRDefault="00CD6CD0" w:rsidP="00045C18">
      <w:pPr>
        <w:pStyle w:val="ListParagraph"/>
        <w:numPr>
          <w:ilvl w:val="0"/>
          <w:numId w:val="4"/>
        </w:numPr>
        <w:ind w:left="0" w:firstLine="0"/>
      </w:pPr>
      <w:r w:rsidRPr="00045C18">
        <w:t xml:space="preserve">The representative of INBRAPI, speaking on behalf of the Indigenous Caucus, reiterated her commitment to the work of the IGC.  Indigenous peoples had been flexible, and the IGC had discussed different themes for seven years.  The mandate required having concrete results as well as a detailed </w:t>
      </w:r>
      <w:proofErr w:type="spellStart"/>
      <w:r w:rsidRPr="00045C18">
        <w:t>workplan</w:t>
      </w:r>
      <w:proofErr w:type="spellEnd"/>
      <w:r w:rsidRPr="00045C18">
        <w:t xml:space="preserve"> to finish the work ahead with legally binding instrument(s) providing balanced and e</w:t>
      </w:r>
      <w:r w:rsidR="00EC3127">
        <w:t>ffective protection for GRs, TK</w:t>
      </w:r>
      <w:r w:rsidRPr="00045C18">
        <w:t xml:space="preserve"> and TCEs.  She supported presenting to the </w:t>
      </w:r>
      <w:r w:rsidR="007A00FC">
        <w:t>GA</w:t>
      </w:r>
      <w:r w:rsidRPr="00045C18">
        <w:t xml:space="preserve"> a specific agenda with dates set out for the IGC’s work and specifically for the convening of a di</w:t>
      </w:r>
      <w:r w:rsidR="00EC3127">
        <w:t>plomatic conference in 2018/</w:t>
      </w:r>
      <w:r w:rsidRPr="00045C18">
        <w:t>2019</w:t>
      </w:r>
      <w:r w:rsidR="00EC3127">
        <w:t xml:space="preserve"> biennium</w:t>
      </w:r>
      <w:r w:rsidRPr="00045C18">
        <w:t xml:space="preserve">.  She had concrete proposals in order to increase the participation of indigenous peoples in the future.  She recommended the participation of indigenous peoples in the informal consultations.  She appealed to Member States to include representatives from </w:t>
      </w:r>
      <w:r w:rsidR="00EC3127">
        <w:t>IPLCs</w:t>
      </w:r>
      <w:r w:rsidRPr="00045C18">
        <w:t xml:space="preserve"> in their delegations and to work in good faith in a spirit of trying to move forward and find consensus as well as to find solutions to those issues and problems where solutions had to be found for each community for their own TCEs, TK and GRs that they had created and improved upon.  There were vital questions under negotiation and that should be reflected in the future work in all of the texts in a coherent and harmonious way.  </w:t>
      </w:r>
    </w:p>
    <w:p w14:paraId="4B2D90D3" w14:textId="77777777" w:rsidR="00E10EDB" w:rsidRPr="00045C18" w:rsidRDefault="00E10EDB" w:rsidP="00045C18"/>
    <w:p w14:paraId="2E19D0F6" w14:textId="7F190B0B" w:rsidR="00E10EDB" w:rsidRPr="00EB7FF2" w:rsidRDefault="00E10EDB" w:rsidP="00045C18">
      <w:pPr>
        <w:pStyle w:val="ListParagraph"/>
        <w:numPr>
          <w:ilvl w:val="0"/>
          <w:numId w:val="4"/>
        </w:numPr>
        <w:ind w:left="0" w:firstLine="0"/>
      </w:pPr>
      <w:r w:rsidRPr="00045C18">
        <w:t xml:space="preserve">[Note from the Secretariat: </w:t>
      </w:r>
      <w:r w:rsidR="00565101">
        <w:t xml:space="preserve"> </w:t>
      </w:r>
      <w:r w:rsidRPr="00045C18">
        <w:t xml:space="preserve">the following statements were submitted to the Secretariat in writing only.] </w:t>
      </w:r>
      <w:r w:rsidR="00565101">
        <w:t xml:space="preserve"> </w:t>
      </w:r>
      <w:r w:rsidRPr="00045C18">
        <w:t>The Delegation of Japan said that sixteen years had passed since the IGC had started its discussions, and it had been actively and constructively engaged in the discussions.  It appreciated the significant developments that the IGC had achieved thus far.  But, at the same time, one had to recognize the complexity and difficulties with the issues being discussed.  Some Member States believed that the current texts were detailed enough to hold a diplomatic conference.  However, the depth of understanding among Member States on the fundamental issues</w:t>
      </w:r>
      <w:r w:rsidRPr="00EB7FF2">
        <w:t xml:space="preserve"> </w:t>
      </w:r>
      <w:r>
        <w:t>was</w:t>
      </w:r>
      <w:r w:rsidRPr="00EB7FF2">
        <w:t xml:space="preserve"> </w:t>
      </w:r>
      <w:r w:rsidRPr="00045C18">
        <w:t xml:space="preserve">still insufficient for any kind of agreement to be reached at the international level.  </w:t>
      </w:r>
      <w:r>
        <w:t>That</w:t>
      </w:r>
      <w:r w:rsidRPr="00EB7FF2">
        <w:t xml:space="preserve"> was an objective observation of the situation and </w:t>
      </w:r>
      <w:r>
        <w:t>one</w:t>
      </w:r>
      <w:r w:rsidRPr="00EB7FF2">
        <w:t xml:space="preserve"> should not </w:t>
      </w:r>
      <w:r w:rsidRPr="00045C18">
        <w:t xml:space="preserve">underestimate the difficulty of the discussion.  </w:t>
      </w:r>
      <w:r>
        <w:t>A</w:t>
      </w:r>
      <w:r w:rsidRPr="00EB7FF2">
        <w:t xml:space="preserve"> pragmatic and cautious approach </w:t>
      </w:r>
      <w:r>
        <w:t>was essential</w:t>
      </w:r>
      <w:r w:rsidRPr="00EB7FF2">
        <w:t xml:space="preserve"> in order to reach a common goal. </w:t>
      </w:r>
      <w:r>
        <w:t xml:space="preserve"> The IGC</w:t>
      </w:r>
      <w:r w:rsidRPr="00EB7FF2">
        <w:t xml:space="preserve"> should not set artificial and procedural targets, such as setting the date for a diplomatic conference, before </w:t>
      </w:r>
      <w:r>
        <w:t>it</w:t>
      </w:r>
      <w:r w:rsidRPr="00EB7FF2">
        <w:t xml:space="preserve"> achieve</w:t>
      </w:r>
      <w:r>
        <w:t>d common objectives that all Member S</w:t>
      </w:r>
      <w:r w:rsidRPr="00EB7FF2">
        <w:t xml:space="preserve">tates </w:t>
      </w:r>
      <w:r>
        <w:t>could</w:t>
      </w:r>
      <w:r w:rsidRPr="00EB7FF2">
        <w:t xml:space="preserve"> share.  In addition, all of the three issues, namely, GR</w:t>
      </w:r>
      <w:r>
        <w:t>s</w:t>
      </w:r>
      <w:r w:rsidR="00EC3127">
        <w:t>, TK</w:t>
      </w:r>
      <w:r w:rsidRPr="00EB7FF2">
        <w:t xml:space="preserve"> and TCEs, should proceed on equal footing and at equal speed. </w:t>
      </w:r>
      <w:r>
        <w:t xml:space="preserve"> The IGC</w:t>
      </w:r>
      <w:r w:rsidRPr="00EB7FF2">
        <w:t xml:space="preserve"> need</w:t>
      </w:r>
      <w:r>
        <w:t>ed</w:t>
      </w:r>
      <w:r w:rsidRPr="00EB7FF2">
        <w:t xml:space="preserve"> to take into account their equal importance and their interconnectedness. </w:t>
      </w:r>
      <w:r>
        <w:t xml:space="preserve"> It</w:t>
      </w:r>
      <w:r w:rsidRPr="00EB7FF2">
        <w:t xml:space="preserve"> stress</w:t>
      </w:r>
      <w:r>
        <w:t>ed</w:t>
      </w:r>
      <w:r w:rsidRPr="00EB7FF2">
        <w:t xml:space="preserve"> the importance of taking the evidenc</w:t>
      </w:r>
      <w:r>
        <w:t>e-based approach, which included each M</w:t>
      </w:r>
      <w:r w:rsidRPr="00EB7FF2">
        <w:t xml:space="preserve">ember </w:t>
      </w:r>
      <w:r>
        <w:t>State</w:t>
      </w:r>
      <w:r w:rsidRPr="00EB7FF2">
        <w:t xml:space="preserve"> sharing its national exper</w:t>
      </w:r>
      <w:r>
        <w:t>iences and domestic legislation</w:t>
      </w:r>
      <w:r w:rsidRPr="00EB7FF2">
        <w:t xml:space="preserve"> in order to overcome divergent views and help </w:t>
      </w:r>
      <w:r>
        <w:t>the</w:t>
      </w:r>
      <w:r w:rsidRPr="00EB7FF2">
        <w:t xml:space="preserve"> discussions move forward toward a satisfactory conclusion for all. </w:t>
      </w:r>
      <w:r>
        <w:t xml:space="preserve"> Its</w:t>
      </w:r>
      <w:r w:rsidRPr="00EB7FF2">
        <w:t xml:space="preserve"> goal </w:t>
      </w:r>
      <w:r>
        <w:t>was</w:t>
      </w:r>
      <w:r w:rsidRPr="00EB7FF2">
        <w:t xml:space="preserve"> to ensure the effective protection of GRs, TK and TCEs. </w:t>
      </w:r>
      <w:r>
        <w:t xml:space="preserve"> </w:t>
      </w:r>
      <w:r w:rsidRPr="00EB7FF2">
        <w:t xml:space="preserve">With that in mind, </w:t>
      </w:r>
      <w:r>
        <w:t>it</w:t>
      </w:r>
      <w:r w:rsidRPr="00EB7FF2">
        <w:t xml:space="preserve"> should find a step-by-step solution based on advancing in a constructive and mutually satisfactory manner, in</w:t>
      </w:r>
      <w:r>
        <w:t xml:space="preserve">stead of just rushing to reach a </w:t>
      </w:r>
      <w:r w:rsidRPr="00EB7FF2">
        <w:t xml:space="preserve">goal. </w:t>
      </w:r>
      <w:r>
        <w:t xml:space="preserve"> Its</w:t>
      </w:r>
      <w:r w:rsidRPr="00EB7FF2">
        <w:t xml:space="preserve"> commitment to the discussions in a faithful and constructive manner would</w:t>
      </w:r>
      <w:r>
        <w:t xml:space="preserve"> enable </w:t>
      </w:r>
      <w:r w:rsidRPr="00EB7FF2">
        <w:t>reach</w:t>
      </w:r>
      <w:r>
        <w:t>ing</w:t>
      </w:r>
      <w:r w:rsidRPr="00EB7FF2">
        <w:t xml:space="preserve"> tangible an</w:t>
      </w:r>
      <w:r>
        <w:t>d meaningful outcomes that all Member S</w:t>
      </w:r>
      <w:r w:rsidRPr="00EB7FF2">
        <w:t xml:space="preserve">tates </w:t>
      </w:r>
      <w:r>
        <w:t>could</w:t>
      </w:r>
      <w:r w:rsidRPr="00EB7FF2">
        <w:t xml:space="preserve"> be satisfied with.</w:t>
      </w:r>
    </w:p>
    <w:p w14:paraId="2F722CD5" w14:textId="77777777" w:rsidR="008D3FC5" w:rsidRPr="00045C18" w:rsidRDefault="008D3FC5" w:rsidP="00045C18"/>
    <w:p w14:paraId="4A2EBB73" w14:textId="76769BA3" w:rsidR="00C81098" w:rsidRDefault="008D3FC5" w:rsidP="00045C18">
      <w:pPr>
        <w:pStyle w:val="ListParagraph"/>
        <w:numPr>
          <w:ilvl w:val="0"/>
          <w:numId w:val="4"/>
        </w:numPr>
        <w:ind w:left="0" w:firstLine="0"/>
      </w:pPr>
      <w:r w:rsidRPr="00EB7FF2">
        <w:t>The Delegation of Brazil associated itself with the</w:t>
      </w:r>
      <w:r w:rsidR="00F93630">
        <w:t xml:space="preserve"> statements made by the</w:t>
      </w:r>
      <w:r w:rsidRPr="00EB7FF2">
        <w:t xml:space="preserve"> Del</w:t>
      </w:r>
      <w:r w:rsidR="00F93630">
        <w:t>egation of Indonesia,</w:t>
      </w:r>
      <w:r w:rsidRPr="00EB7FF2">
        <w:t xml:space="preserve"> on behalf of the LMCs, </w:t>
      </w:r>
      <w:r w:rsidR="00F93630">
        <w:t>and</w:t>
      </w:r>
      <w:r w:rsidRPr="00EB7FF2">
        <w:t xml:space="preserve"> </w:t>
      </w:r>
      <w:r>
        <w:t xml:space="preserve">the Delegation of </w:t>
      </w:r>
      <w:r w:rsidR="00F93630">
        <w:t>Colombia,</w:t>
      </w:r>
      <w:r w:rsidRPr="00EB7FF2">
        <w:t xml:space="preserve"> on behalf of GRULAC.  </w:t>
      </w:r>
      <w:r>
        <w:t xml:space="preserve">Its </w:t>
      </w:r>
      <w:r w:rsidRPr="00EB7FF2">
        <w:t xml:space="preserve">position </w:t>
      </w:r>
      <w:r>
        <w:t>was</w:t>
      </w:r>
      <w:r w:rsidRPr="00EB7FF2">
        <w:t xml:space="preserve"> unequivocal: </w:t>
      </w:r>
      <w:r w:rsidR="00C03B70">
        <w:t xml:space="preserve"> </w:t>
      </w:r>
      <w:r>
        <w:t xml:space="preserve">it could </w:t>
      </w:r>
      <w:r w:rsidRPr="00EB7FF2">
        <w:t xml:space="preserve">not conceive </w:t>
      </w:r>
      <w:r w:rsidR="00D65C8E">
        <w:t xml:space="preserve">of </w:t>
      </w:r>
      <w:r w:rsidRPr="00EB7FF2">
        <w:t xml:space="preserve">WIPO without the IGC.  For the quality, quantity and importance of the work achieved so far, and also for involving groups </w:t>
      </w:r>
      <w:r>
        <w:t>that had been</w:t>
      </w:r>
      <w:r w:rsidRPr="00EB7FF2">
        <w:t xml:space="preserve"> until recently largely alienated from IP discussions, the IGC ha</w:t>
      </w:r>
      <w:r>
        <w:t>d</w:t>
      </w:r>
      <w:r w:rsidRPr="00EB7FF2">
        <w:t xml:space="preserve"> a strategic role for WIPO. </w:t>
      </w:r>
      <w:r>
        <w:t xml:space="preserve"> It</w:t>
      </w:r>
      <w:r w:rsidRPr="00EB7FF2">
        <w:t xml:space="preserve"> congratulate</w:t>
      </w:r>
      <w:r>
        <w:t>d</w:t>
      </w:r>
      <w:r w:rsidRPr="00EB7FF2">
        <w:t xml:space="preserve"> the Secretariat, as well as those who </w:t>
      </w:r>
      <w:r>
        <w:t xml:space="preserve">had </w:t>
      </w:r>
      <w:r w:rsidRPr="00EB7FF2">
        <w:t xml:space="preserve">contributed to those achievements. </w:t>
      </w:r>
      <w:r>
        <w:t xml:space="preserve"> </w:t>
      </w:r>
      <w:r w:rsidRPr="00EB7FF2">
        <w:t>On the importance of the issues under the responsibility of the IGC, D</w:t>
      </w:r>
      <w:r>
        <w:t>i</w:t>
      </w:r>
      <w:r w:rsidRPr="00EB7FF2">
        <w:t>rector General</w:t>
      </w:r>
      <w:r w:rsidR="00C03B70">
        <w:t>, Mr.</w:t>
      </w:r>
      <w:r w:rsidRPr="00EB7FF2">
        <w:t xml:space="preserve"> Francis Gurry</w:t>
      </w:r>
      <w:r w:rsidR="00C03B70">
        <w:t>,</w:t>
      </w:r>
      <w:r w:rsidRPr="00EB7FF2">
        <w:t xml:space="preserve"> </w:t>
      </w:r>
      <w:r>
        <w:t xml:space="preserve">had </w:t>
      </w:r>
      <w:r w:rsidRPr="00EB7FF2">
        <w:t xml:space="preserve">said in his acceptance speech, back in 2008:  </w:t>
      </w:r>
      <w:r w:rsidRPr="00045C18">
        <w:t xml:space="preserve">“...The same phenomena of a globalizing economy and the advances in communication technologies have exposed special vulnerabilities of indigenous peoples and traditional communities to the unfair loss and appropriation of the products of their traditional knowledge systems.  In the course of </w:t>
      </w:r>
      <w:r w:rsidRPr="00045C18">
        <w:lastRenderedPageBreak/>
        <w:t xml:space="preserve">addressing those vulnerabilities, it has become apparent that there is a need to recognize explicitly the contribution to human society of collectively generated and maintained innovation and creativity and to protect the artifacts of that innovation and creativity.  The Organization has undertaken a long process of discussion and negotiation on the means of meeting this need.  I believe that it is time to move this process to concrete outcomes that would see WIPO embrace a broader base of constituents and a more universal mission.” </w:t>
      </w:r>
      <w:r w:rsidRPr="00EB7FF2">
        <w:t>(</w:t>
      </w:r>
      <w:hyperlink r:id="rId12" w:history="1">
        <w:r w:rsidRPr="00045C18">
          <w:t>http://www.wipo.int/about-wipo/en/dgo/speeches/dg_gurry_acceptance_speech_2008.html</w:t>
        </w:r>
      </w:hyperlink>
      <w:r w:rsidRPr="00EB7FF2">
        <w:t>)</w:t>
      </w:r>
      <w:r>
        <w:t xml:space="preserve">.  </w:t>
      </w:r>
      <w:r w:rsidRPr="00EB7FF2">
        <w:t>Indeed, it sound</w:t>
      </w:r>
      <w:r>
        <w:t>ed</w:t>
      </w:r>
      <w:r w:rsidRPr="00EB7FF2">
        <w:t xml:space="preserve"> even more valid </w:t>
      </w:r>
      <w:r>
        <w:t>now</w:t>
      </w:r>
      <w:r w:rsidRPr="00EB7FF2">
        <w:t xml:space="preserve"> than nine years ago.  </w:t>
      </w:r>
      <w:r>
        <w:t>T</w:t>
      </w:r>
      <w:r w:rsidRPr="00EB7FF2">
        <w:t xml:space="preserve">he IGC should be granted an adequate timeframe to pursue negotiations in a realistic and serene way on the three legally binding instruments in the mandate. </w:t>
      </w:r>
      <w:r>
        <w:t xml:space="preserve"> In particular, it</w:t>
      </w:r>
      <w:r w:rsidRPr="00EB7FF2">
        <w:t xml:space="preserve"> reiterate</w:t>
      </w:r>
      <w:r>
        <w:t xml:space="preserve">d </w:t>
      </w:r>
      <w:r w:rsidR="00C03B70">
        <w:t xml:space="preserve">the statement made by </w:t>
      </w:r>
      <w:r>
        <w:t>the Delegation of</w:t>
      </w:r>
      <w:r w:rsidR="00C03B70">
        <w:t xml:space="preserve"> Colombia,</w:t>
      </w:r>
      <w:r w:rsidRPr="00EB7FF2">
        <w:t xml:space="preserve"> on behalf of </w:t>
      </w:r>
      <w:r>
        <w:t>GRULAC</w:t>
      </w:r>
      <w:r w:rsidR="00C03B70">
        <w:t>,</w:t>
      </w:r>
      <w:r w:rsidRPr="00EB7FF2">
        <w:t xml:space="preserve"> about the importance of a detailed </w:t>
      </w:r>
      <w:proofErr w:type="spellStart"/>
      <w:r w:rsidRPr="00EB7FF2">
        <w:t>workplan</w:t>
      </w:r>
      <w:proofErr w:type="spellEnd"/>
      <w:r w:rsidRPr="00EB7FF2">
        <w:t xml:space="preserve">.  </w:t>
      </w:r>
      <w:r>
        <w:t>It was</w:t>
      </w:r>
      <w:r w:rsidRPr="00EB7FF2">
        <w:t xml:space="preserve"> convinced that reaching an agreement on one or more of the three subject matters in the mandate would be the appropriate oppo</w:t>
      </w:r>
      <w:r w:rsidR="00C03B70">
        <w:t>rtunity to turn the IGC into a Standing C</w:t>
      </w:r>
      <w:r w:rsidRPr="00EB7FF2">
        <w:t xml:space="preserve">ommittee, a goal </w:t>
      </w:r>
      <w:r>
        <w:t>it</w:t>
      </w:r>
      <w:r w:rsidRPr="00EB7FF2">
        <w:t xml:space="preserve"> fully support</w:t>
      </w:r>
      <w:r>
        <w:t>ed</w:t>
      </w:r>
      <w:r w:rsidRPr="00EB7FF2">
        <w:t xml:space="preserve">.  A </w:t>
      </w:r>
      <w:r>
        <w:t>delegate had said</w:t>
      </w:r>
      <w:r w:rsidRPr="00EB7FF2">
        <w:t xml:space="preserve">: “Much of the substantive work being done at WIPO right </w:t>
      </w:r>
      <w:r>
        <w:t>now</w:t>
      </w:r>
      <w:r w:rsidRPr="00EB7FF2">
        <w:t xml:space="preserve"> is taking place at the IGC.” </w:t>
      </w:r>
      <w:r>
        <w:t xml:space="preserve"> It agreed </w:t>
      </w:r>
      <w:r w:rsidRPr="00EB7FF2">
        <w:t>and suspect</w:t>
      </w:r>
      <w:r>
        <w:t>ed</w:t>
      </w:r>
      <w:r w:rsidRPr="00EB7FF2">
        <w:t xml:space="preserve"> many others </w:t>
      </w:r>
      <w:r w:rsidR="001B2483">
        <w:t xml:space="preserve">did </w:t>
      </w:r>
      <w:r w:rsidRPr="00EB7FF2">
        <w:t xml:space="preserve">as well. </w:t>
      </w:r>
      <w:r>
        <w:t xml:space="preserve"> </w:t>
      </w:r>
    </w:p>
    <w:p w14:paraId="7DD9FCF8" w14:textId="77777777" w:rsidR="00C81098" w:rsidRDefault="00C81098" w:rsidP="00045C18"/>
    <w:p w14:paraId="2ECAC043" w14:textId="75BEE501" w:rsidR="00470C2F" w:rsidRDefault="00C81098" w:rsidP="00045C18">
      <w:pPr>
        <w:pStyle w:val="ListParagraph"/>
        <w:numPr>
          <w:ilvl w:val="0"/>
          <w:numId w:val="4"/>
        </w:numPr>
        <w:ind w:left="0" w:firstLine="0"/>
      </w:pPr>
      <w:r>
        <w:t xml:space="preserve">The representative of </w:t>
      </w:r>
      <w:r w:rsidR="002961EE">
        <w:t>OAPI</w:t>
      </w:r>
      <w:r>
        <w:t xml:space="preserve"> welcomed the collaboration and successful partnership with WIPO, concerning both the issues on the agenda of the IGC and various IP matters.  Since 2007, OAPI, in collaboration with its sister organization, ARIPO, had prepared draft legal instruments on the protection of GRs, TK and TCEs.  At that time, the drafts already reflected the position of the </w:t>
      </w:r>
      <w:r w:rsidR="003A72B1">
        <w:t>OAPI</w:t>
      </w:r>
      <w:r w:rsidR="004B5B60">
        <w:t>’s</w:t>
      </w:r>
      <w:r w:rsidR="00040768">
        <w:t xml:space="preserve"> Member States</w:t>
      </w:r>
      <w:r>
        <w:t xml:space="preserve">.  Since then, OAPI had followed the work of the IGC with interest and in accordance with its statute, </w:t>
      </w:r>
      <w:r w:rsidR="00040768">
        <w:t xml:space="preserve">and </w:t>
      </w:r>
      <w:r>
        <w:t xml:space="preserve">had monitored its development.  Ten years later, in view of developments in the work of the IGC, the drafts were still consistent with the aspirations of </w:t>
      </w:r>
      <w:r w:rsidR="004B5B60">
        <w:t>the</w:t>
      </w:r>
      <w:r>
        <w:t xml:space="preserve"> Member States</w:t>
      </w:r>
      <w:r w:rsidR="004B5B60">
        <w:t xml:space="preserve"> of OAPI</w:t>
      </w:r>
      <w:r>
        <w:t xml:space="preserve">.  Their input in different regional forums led OAPI to fulfill its standard obligations for the protection of GRs, TK and TCEs.  Thus, after a thorough reading of the drafts, she said they had decided to refer them to a committee of experts for their adoption by a diplomatic conference.  </w:t>
      </w:r>
      <w:r w:rsidR="003A72B1">
        <w:t>However, the IGC should continue its work, which OAPI would follow with interest,</w:t>
      </w:r>
      <w:r>
        <w:t xml:space="preserve"> </w:t>
      </w:r>
      <w:r w:rsidR="003A72B1">
        <w:t>and</w:t>
      </w:r>
      <w:r>
        <w:t xml:space="preserve"> </w:t>
      </w:r>
      <w:r w:rsidR="003A72B1">
        <w:t>s</w:t>
      </w:r>
      <w:r>
        <w:t>he was delighted to see that that view was shared and acce</w:t>
      </w:r>
      <w:r w:rsidR="00040768">
        <w:t>pted by the participants in</w:t>
      </w:r>
      <w:r w:rsidR="004B5B60">
        <w:t xml:space="preserve"> the</w:t>
      </w:r>
      <w:r>
        <w:t xml:space="preserve"> IGC session.</w:t>
      </w:r>
    </w:p>
    <w:p w14:paraId="333EA215" w14:textId="77777777" w:rsidR="00470C2F" w:rsidRDefault="00470C2F" w:rsidP="00045C18"/>
    <w:p w14:paraId="04DCCE02" w14:textId="36238BAF" w:rsidR="00447922" w:rsidRDefault="00470C2F" w:rsidP="00045C18">
      <w:pPr>
        <w:pStyle w:val="ListParagraph"/>
        <w:numPr>
          <w:ilvl w:val="0"/>
          <w:numId w:val="4"/>
        </w:numPr>
        <w:ind w:left="0" w:firstLine="0"/>
      </w:pPr>
      <w:r>
        <w:t xml:space="preserve">The Delegation of Australia </w:t>
      </w:r>
      <w:r w:rsidR="00447922">
        <w:t>welcomed</w:t>
      </w:r>
      <w:r w:rsidR="00447922" w:rsidRPr="00447922">
        <w:t xml:space="preserve"> the opportunity to take stock of the progress made </w:t>
      </w:r>
      <w:r w:rsidR="00447922">
        <w:t xml:space="preserve">throughout the </w:t>
      </w:r>
      <w:r w:rsidR="00447922" w:rsidRPr="00447922">
        <w:t xml:space="preserve">biennium and to make a recommendation to the 2017 </w:t>
      </w:r>
      <w:r w:rsidR="007A00FC">
        <w:t>GA</w:t>
      </w:r>
      <w:r w:rsidR="00447922" w:rsidRPr="00447922">
        <w:t xml:space="preserve"> on the mandate and future work </w:t>
      </w:r>
      <w:r w:rsidR="00447922">
        <w:t>of the IGC.  GRs</w:t>
      </w:r>
      <w:r w:rsidR="00447922" w:rsidRPr="00447922">
        <w:t xml:space="preserve">, </w:t>
      </w:r>
      <w:r w:rsidR="00447922">
        <w:t>TK</w:t>
      </w:r>
      <w:r w:rsidR="00447922" w:rsidRPr="00447922">
        <w:t xml:space="preserve"> and </w:t>
      </w:r>
      <w:r w:rsidR="00447922">
        <w:t>TCEs were of central importance to indigenous p</w:t>
      </w:r>
      <w:r w:rsidR="00447922" w:rsidRPr="00447922">
        <w:t xml:space="preserve">eoples, including Australia’s Aboriginal and Torres Strait Islanders, therefore the important work of </w:t>
      </w:r>
      <w:r w:rsidR="00447922">
        <w:t>the IGC</w:t>
      </w:r>
      <w:r w:rsidR="00447922" w:rsidRPr="00447922">
        <w:t xml:space="preserve"> should continue. </w:t>
      </w:r>
      <w:r w:rsidR="00447922">
        <w:t xml:space="preserve"> It supported</w:t>
      </w:r>
      <w:r w:rsidR="00447922" w:rsidRPr="00447922">
        <w:t xml:space="preserve"> continued discussions on all three subjects, bearing in mind the progress made on the </w:t>
      </w:r>
      <w:r w:rsidR="00447922">
        <w:t>GRs</w:t>
      </w:r>
      <w:r w:rsidR="00447922" w:rsidRPr="00447922">
        <w:t xml:space="preserve"> text throu</w:t>
      </w:r>
      <w:r w:rsidR="00447922">
        <w:t>ghout the</w:t>
      </w:r>
      <w:r w:rsidR="00447922" w:rsidRPr="00447922">
        <w:t xml:space="preserve"> biennium, and the commonalities between </w:t>
      </w:r>
      <w:r w:rsidR="00447922">
        <w:t>TK and TCEs</w:t>
      </w:r>
      <w:r w:rsidR="00447922" w:rsidRPr="00447922">
        <w:t>.</w:t>
      </w:r>
      <w:r w:rsidR="00447922">
        <w:t xml:space="preserve">  </w:t>
      </w:r>
      <w:r w:rsidR="00447922" w:rsidRPr="00447922">
        <w:t xml:space="preserve">The future work program would benefit from an intensified focus on resolving outstanding issues on an internationally consistent disclosure regime on </w:t>
      </w:r>
      <w:r w:rsidR="00447922">
        <w:t>GRs</w:t>
      </w:r>
      <w:r w:rsidR="00447922" w:rsidRPr="00447922">
        <w:t xml:space="preserve"> and </w:t>
      </w:r>
      <w:r w:rsidR="00447922">
        <w:t>TK</w:t>
      </w:r>
      <w:r w:rsidR="00447922" w:rsidRPr="00447922">
        <w:t xml:space="preserve"> associated with </w:t>
      </w:r>
      <w:r w:rsidR="00447922">
        <w:t>GRs</w:t>
      </w:r>
      <w:r w:rsidR="00447922" w:rsidRPr="00447922">
        <w:t xml:space="preserve">, and flexibility to allow for an advanced decision on whether to convene a diplomatic conference or </w:t>
      </w:r>
      <w:r w:rsidR="00366B42">
        <w:t>to continue negotiations on that</w:t>
      </w:r>
      <w:r w:rsidR="00447922" w:rsidRPr="00447922">
        <w:t xml:space="preserve"> issue. </w:t>
      </w:r>
      <w:r w:rsidR="00447922">
        <w:t xml:space="preserve"> It would</w:t>
      </w:r>
      <w:r w:rsidR="00447922" w:rsidRPr="00447922">
        <w:t xml:space="preserve"> contribute c</w:t>
      </w:r>
      <w:r w:rsidR="00447922">
        <w:t>onstructively at the meeting and called</w:t>
      </w:r>
      <w:r w:rsidR="00447922" w:rsidRPr="00447922">
        <w:t xml:space="preserve"> on all delegations to continu</w:t>
      </w:r>
      <w:r w:rsidR="00447922">
        <w:t>e to work together throughout the discussion.  It acknowledged indigenous p</w:t>
      </w:r>
      <w:r w:rsidR="00447922" w:rsidRPr="00447922">
        <w:t xml:space="preserve">eoples as the traditional owners and custodians of their resources, knowledge and expressions. </w:t>
      </w:r>
      <w:r w:rsidR="00B80A34">
        <w:t xml:space="preserve"> </w:t>
      </w:r>
      <w:r w:rsidR="00447922">
        <w:t>It had</w:t>
      </w:r>
      <w:r w:rsidR="00447922" w:rsidRPr="00447922">
        <w:t xml:space="preserve"> recently renewed its funding to the WIPO Voluntary Fund to ensur</w:t>
      </w:r>
      <w:r w:rsidR="00447922">
        <w:t>e the integral perspectives of indigenous p</w:t>
      </w:r>
      <w:r w:rsidR="00447922" w:rsidRPr="00447922">
        <w:t xml:space="preserve">eoples </w:t>
      </w:r>
      <w:r w:rsidR="00366B42">
        <w:t xml:space="preserve">would </w:t>
      </w:r>
      <w:r w:rsidR="00447922" w:rsidRPr="00447922">
        <w:t xml:space="preserve">continue to be included in the future discussions in </w:t>
      </w:r>
      <w:r w:rsidR="00447922">
        <w:t>the IGC</w:t>
      </w:r>
      <w:r w:rsidR="00447922" w:rsidRPr="00447922">
        <w:t xml:space="preserve">. </w:t>
      </w:r>
      <w:r w:rsidR="00447922">
        <w:t xml:space="preserve"> It</w:t>
      </w:r>
      <w:r w:rsidR="00447922" w:rsidRPr="00447922">
        <w:t xml:space="preserve"> also urge</w:t>
      </w:r>
      <w:r w:rsidR="00447922">
        <w:t>d</w:t>
      </w:r>
      <w:r w:rsidR="00447922" w:rsidRPr="00447922">
        <w:t xml:space="preserve"> other Member States to contribute to </w:t>
      </w:r>
      <w:r w:rsidR="00447922">
        <w:t>the F</w:t>
      </w:r>
      <w:r w:rsidR="00447922" w:rsidRPr="00447922">
        <w:t xml:space="preserve">und. </w:t>
      </w:r>
    </w:p>
    <w:p w14:paraId="53E64137" w14:textId="77777777" w:rsidR="00EC3127" w:rsidRPr="00045C18" w:rsidRDefault="00EC3127" w:rsidP="00EC3127"/>
    <w:p w14:paraId="4360C5C1" w14:textId="77777777" w:rsidR="00EC3127" w:rsidRPr="00045C18" w:rsidRDefault="00EC3127" w:rsidP="00EC3127">
      <w:pPr>
        <w:pStyle w:val="ListParagraph"/>
        <w:numPr>
          <w:ilvl w:val="0"/>
          <w:numId w:val="4"/>
        </w:numPr>
        <w:ind w:left="0" w:firstLine="0"/>
      </w:pPr>
      <w:r w:rsidRPr="00045C18">
        <w:t xml:space="preserve">The Chair noted the plea for Member States to consider the greater involvement of indigenous people, an issue partly at the domestic level, and he encouraged them to do so.  There appeared to be consensus that the work of the IGC should continue in whatever form.  The </w:t>
      </w:r>
      <w:proofErr w:type="spellStart"/>
      <w:r w:rsidRPr="00045C18">
        <w:t>informals</w:t>
      </w:r>
      <w:proofErr w:type="spellEnd"/>
      <w:r w:rsidRPr="00045C18">
        <w:t xml:space="preserve"> were about trying to get into the detail of what that looked like, reflecting that different expectations had been flagged. </w:t>
      </w:r>
    </w:p>
    <w:p w14:paraId="749CAE5A" w14:textId="77777777" w:rsidR="0041269F" w:rsidRDefault="0041269F" w:rsidP="0041269F"/>
    <w:p w14:paraId="585384E8" w14:textId="77777777" w:rsidR="00C86FEE" w:rsidRDefault="00565101" w:rsidP="003B17C3">
      <w:pPr>
        <w:pStyle w:val="ListParagraph"/>
        <w:numPr>
          <w:ilvl w:val="0"/>
          <w:numId w:val="4"/>
        </w:numPr>
        <w:ind w:left="0" w:firstLine="0"/>
      </w:pPr>
      <w:r>
        <w:t xml:space="preserve">[Note from the Secretariat:  this part of the session took place after </w:t>
      </w:r>
      <w:proofErr w:type="spellStart"/>
      <w:r>
        <w:t>informals</w:t>
      </w:r>
      <w:proofErr w:type="spellEnd"/>
      <w:r>
        <w:t xml:space="preserve">.]  </w:t>
      </w:r>
      <w:r w:rsidR="00296D66" w:rsidRPr="00045C18">
        <w:t xml:space="preserve">The Chair said </w:t>
      </w:r>
      <w:r w:rsidR="001B7B3C">
        <w:t xml:space="preserve">that </w:t>
      </w:r>
      <w:r w:rsidR="00296D66" w:rsidRPr="00045C18">
        <w:t xml:space="preserve">agreement had been reached in the </w:t>
      </w:r>
      <w:proofErr w:type="spellStart"/>
      <w:r w:rsidR="00296D66" w:rsidRPr="00045C18">
        <w:t>informals</w:t>
      </w:r>
      <w:proofErr w:type="spellEnd"/>
      <w:r w:rsidR="00296D66" w:rsidRPr="00045C18">
        <w:t xml:space="preserve"> on a recommendation to the </w:t>
      </w:r>
      <w:r w:rsidR="007A00FC">
        <w:t>GA</w:t>
      </w:r>
      <w:r w:rsidR="00296D66" w:rsidRPr="00045C18">
        <w:t xml:space="preserve">, which </w:t>
      </w:r>
      <w:r w:rsidR="00296D66" w:rsidRPr="00045C18">
        <w:lastRenderedPageBreak/>
        <w:t xml:space="preserve">focused on the key agreement among the IGC that it had made progress, reaffirmed the importance of the work, and recommended to the </w:t>
      </w:r>
      <w:r w:rsidR="007A00FC">
        <w:t>GA</w:t>
      </w:r>
      <w:r w:rsidR="00296D66" w:rsidRPr="00045C18">
        <w:t xml:space="preserve"> to continue the work in the new biennium.  He invited </w:t>
      </w:r>
      <w:r w:rsidR="007A00FC">
        <w:t xml:space="preserve">the </w:t>
      </w:r>
      <w:r w:rsidR="00296D66" w:rsidRPr="00045C18">
        <w:t>Vice-Chair</w:t>
      </w:r>
      <w:r w:rsidR="007A00FC">
        <w:t>, Mr.</w:t>
      </w:r>
      <w:r w:rsidR="00296D66" w:rsidRPr="00045C18">
        <w:t xml:space="preserve"> </w:t>
      </w:r>
      <w:proofErr w:type="spellStart"/>
      <w:r w:rsidR="00296D66" w:rsidRPr="00045C18">
        <w:t>Jukka</w:t>
      </w:r>
      <w:proofErr w:type="spellEnd"/>
      <w:r w:rsidR="00296D66" w:rsidRPr="00045C18">
        <w:t xml:space="preserve"> </w:t>
      </w:r>
      <w:proofErr w:type="spellStart"/>
      <w:r w:rsidR="00296D66" w:rsidRPr="00045C18">
        <w:t>Liedes</w:t>
      </w:r>
      <w:proofErr w:type="spellEnd"/>
      <w:r w:rsidR="007A00FC">
        <w:t>,</w:t>
      </w:r>
      <w:r w:rsidR="00296D66" w:rsidRPr="00045C18">
        <w:t xml:space="preserve"> </w:t>
      </w:r>
      <w:r w:rsidR="001B7B3C">
        <w:t xml:space="preserve">who had chaired the </w:t>
      </w:r>
      <w:proofErr w:type="spellStart"/>
      <w:r w:rsidR="001B7B3C">
        <w:t>informals</w:t>
      </w:r>
      <w:proofErr w:type="spellEnd"/>
      <w:r w:rsidR="001B7B3C">
        <w:t xml:space="preserve">, </w:t>
      </w:r>
      <w:r w:rsidR="00296D66" w:rsidRPr="00045C18">
        <w:t xml:space="preserve">to give a </w:t>
      </w:r>
      <w:r w:rsidR="001B7B3C">
        <w:t xml:space="preserve">more detailed </w:t>
      </w:r>
      <w:r w:rsidR="00296D66" w:rsidRPr="00045C18">
        <w:t>brief</w:t>
      </w:r>
      <w:r w:rsidR="00770C28">
        <w:t>ing</w:t>
      </w:r>
      <w:r w:rsidR="00296D66" w:rsidRPr="00045C18">
        <w:t>.</w:t>
      </w:r>
    </w:p>
    <w:p w14:paraId="0AA1E365" w14:textId="77777777" w:rsidR="00C86FEE" w:rsidRDefault="00C86FEE" w:rsidP="00C86FEE">
      <w:pPr>
        <w:pStyle w:val="ListParagraph"/>
        <w:ind w:left="0"/>
      </w:pPr>
    </w:p>
    <w:p w14:paraId="0FF76C6B" w14:textId="171E90B3" w:rsidR="009B4766" w:rsidRPr="009B4766" w:rsidRDefault="007A00FC" w:rsidP="003B17C3">
      <w:pPr>
        <w:pStyle w:val="ListParagraph"/>
        <w:numPr>
          <w:ilvl w:val="0"/>
          <w:numId w:val="4"/>
        </w:numPr>
        <w:ind w:left="0" w:firstLine="0"/>
      </w:pPr>
      <w:r>
        <w:t>Mr.</w:t>
      </w:r>
      <w:r w:rsidR="000F2456" w:rsidRPr="00045C18">
        <w:t xml:space="preserve"> </w:t>
      </w:r>
      <w:proofErr w:type="spellStart"/>
      <w:r w:rsidR="000F2456" w:rsidRPr="00045C18">
        <w:t>Liedes</w:t>
      </w:r>
      <w:proofErr w:type="spellEnd"/>
      <w:r w:rsidR="000F2456" w:rsidRPr="00045C18">
        <w:t xml:space="preserve"> said </w:t>
      </w:r>
      <w:r w:rsidR="00666079">
        <w:t>that, o</w:t>
      </w:r>
      <w:r w:rsidR="000F2456" w:rsidRPr="00045C18">
        <w:t xml:space="preserve">n the basis of the discussions and helpful proposals from the Delegation of El Salvador and </w:t>
      </w:r>
      <w:r w:rsidR="00666079">
        <w:t xml:space="preserve">the Delegation of Senegal, on behalf of </w:t>
      </w:r>
      <w:r w:rsidR="000F2456" w:rsidRPr="00045C18">
        <w:t xml:space="preserve">the African Group, they had been able </w:t>
      </w:r>
      <w:r w:rsidR="001B7B3C">
        <w:t xml:space="preserve">in the </w:t>
      </w:r>
      <w:proofErr w:type="spellStart"/>
      <w:r w:rsidR="001B7B3C">
        <w:t>informals</w:t>
      </w:r>
      <w:proofErr w:type="spellEnd"/>
      <w:r w:rsidR="001B7B3C">
        <w:t xml:space="preserve"> </w:t>
      </w:r>
      <w:r w:rsidR="000F2456" w:rsidRPr="00045C18">
        <w:t xml:space="preserve">to arrive at </w:t>
      </w:r>
      <w:r w:rsidR="001B7B3C">
        <w:t xml:space="preserve">a </w:t>
      </w:r>
      <w:r w:rsidR="000F2456" w:rsidRPr="00045C18">
        <w:t xml:space="preserve">decision on </w:t>
      </w:r>
      <w:r w:rsidR="001B7B3C">
        <w:t xml:space="preserve">a recommendation to the GA. In so far as the details of a new mandate were concerned, </w:t>
      </w:r>
      <w:r w:rsidR="000F2456" w:rsidRPr="00045C18">
        <w:t xml:space="preserve">the matter was left to the </w:t>
      </w:r>
      <w:r>
        <w:t>GA</w:t>
      </w:r>
      <w:r w:rsidR="000F2456" w:rsidRPr="00045C18">
        <w:t xml:space="preserve">.  In any case, delegations would not go empty-handed as far as the mandate was concerned.  Many negotiation points, if not all, had been well identified and there were some consensus points on the most important things, for example on the suggested number of sessions for the IGC to continue its work: </w:t>
      </w:r>
      <w:r w:rsidR="00666079">
        <w:t xml:space="preserve"> </w:t>
      </w:r>
      <w:r w:rsidR="000F2456" w:rsidRPr="00045C18">
        <w:t>six sessions in two years.  All the issues identified could be solved in good faith negotiations</w:t>
      </w:r>
      <w:r w:rsidR="001B7B3C">
        <w:t xml:space="preserve"> at the GA</w:t>
      </w:r>
      <w:r w:rsidR="000F2456" w:rsidRPr="00045C18">
        <w:t xml:space="preserve">. He thanked all participants for their </w:t>
      </w:r>
      <w:r w:rsidR="009D3B2F" w:rsidRPr="00045C18">
        <w:t xml:space="preserve">willingness to participate, </w:t>
      </w:r>
      <w:r w:rsidR="000F2456" w:rsidRPr="00045C18">
        <w:t xml:space="preserve">engagement, wisdom and contributions to the informal consultations.  The Secretariat </w:t>
      </w:r>
      <w:r w:rsidR="0016126B">
        <w:t xml:space="preserve">had </w:t>
      </w:r>
      <w:r w:rsidR="009D3B2F" w:rsidRPr="00045C18">
        <w:t>acted</w:t>
      </w:r>
      <w:r w:rsidR="000F2456" w:rsidRPr="00045C18">
        <w:t xml:space="preserve"> in a very professional way, assisting in all the steps of the consultations.  He </w:t>
      </w:r>
      <w:r w:rsidR="0016126B">
        <w:t xml:space="preserve">paid special tribute to </w:t>
      </w:r>
      <w:r w:rsidR="00666079">
        <w:t>Ms. Paiva as the f</w:t>
      </w:r>
      <w:r w:rsidR="000F2456" w:rsidRPr="00045C18">
        <w:t xml:space="preserve">acilitator.  </w:t>
      </w:r>
      <w:r w:rsidR="00FB52EF">
        <w:br/>
      </w:r>
    </w:p>
    <w:p w14:paraId="2206ED56" w14:textId="1CD6EF84" w:rsidR="00CD6CD0" w:rsidRPr="00045C18" w:rsidRDefault="009B4766" w:rsidP="008A4D01">
      <w:pPr>
        <w:pStyle w:val="ListParagraph"/>
        <w:numPr>
          <w:ilvl w:val="0"/>
          <w:numId w:val="4"/>
        </w:numPr>
        <w:ind w:left="0" w:firstLine="0"/>
      </w:pPr>
      <w:r w:rsidRPr="00045C18">
        <w:t>The Chair</w:t>
      </w:r>
      <w:r w:rsidR="003F732D">
        <w:t xml:space="preserve"> </w:t>
      </w:r>
      <w:r w:rsidRPr="00045C18">
        <w:t xml:space="preserve">recognized the significant efforts of </w:t>
      </w:r>
      <w:r w:rsidR="00666079">
        <w:t xml:space="preserve">Mr. </w:t>
      </w:r>
      <w:proofErr w:type="spellStart"/>
      <w:r w:rsidR="00666079">
        <w:t>Liedes</w:t>
      </w:r>
      <w:proofErr w:type="spellEnd"/>
      <w:r w:rsidR="00666079">
        <w:t>,</w:t>
      </w:r>
      <w:r w:rsidRPr="00045C18">
        <w:t xml:space="preserve"> and</w:t>
      </w:r>
      <w:r w:rsidR="00666079">
        <w:t xml:space="preserve"> Ms.</w:t>
      </w:r>
      <w:r w:rsidRPr="00045C18">
        <w:t xml:space="preserve"> Paiva in fulfilling a demanding task.  Th</w:t>
      </w:r>
      <w:r w:rsidR="003F732D">
        <w:t xml:space="preserve">e outcome </w:t>
      </w:r>
      <w:r w:rsidRPr="00045C18">
        <w:t xml:space="preserve">demonstrated a strong commitment from the IGC to continue its work. </w:t>
      </w:r>
      <w:r w:rsidR="003603EC">
        <w:t xml:space="preserve"> The Chair closed Agenda Item 8.</w:t>
      </w:r>
    </w:p>
    <w:p w14:paraId="7ECBB303" w14:textId="77777777" w:rsidR="007F7880" w:rsidRPr="00920D43" w:rsidRDefault="007F7880" w:rsidP="007F7880">
      <w:pPr>
        <w:pStyle w:val="ListParagraph"/>
        <w:ind w:left="0"/>
        <w:rPr>
          <w:szCs w:val="22"/>
        </w:rPr>
      </w:pPr>
    </w:p>
    <w:p w14:paraId="679F71D3" w14:textId="7F9D4E4A" w:rsidR="007F7880" w:rsidRPr="00FC53D5" w:rsidRDefault="007F7880" w:rsidP="00FC53D5">
      <w:pPr>
        <w:pStyle w:val="ListParagraph"/>
        <w:ind w:left="5533"/>
        <w:rPr>
          <w:i/>
          <w:szCs w:val="22"/>
        </w:rPr>
      </w:pPr>
      <w:r w:rsidRPr="00FC53D5">
        <w:rPr>
          <w:i/>
          <w:szCs w:val="22"/>
        </w:rPr>
        <w:t>Decision</w:t>
      </w:r>
      <w:r w:rsidR="00C86FEE">
        <w:rPr>
          <w:i/>
          <w:szCs w:val="22"/>
        </w:rPr>
        <w:t>s</w:t>
      </w:r>
      <w:r w:rsidRPr="00FC53D5">
        <w:rPr>
          <w:i/>
          <w:szCs w:val="22"/>
        </w:rPr>
        <w:t xml:space="preserve"> on Agenda Item 8:</w:t>
      </w:r>
    </w:p>
    <w:p w14:paraId="6ADE8FAE" w14:textId="77777777" w:rsidR="007F7880" w:rsidRPr="00FC53D5" w:rsidRDefault="007F7880" w:rsidP="00FC53D5">
      <w:pPr>
        <w:pStyle w:val="ListParagraph"/>
        <w:ind w:left="5533"/>
        <w:rPr>
          <w:i/>
          <w:szCs w:val="22"/>
        </w:rPr>
      </w:pPr>
    </w:p>
    <w:p w14:paraId="4284DE46" w14:textId="77777777" w:rsidR="002961EE" w:rsidRPr="00FC53D5" w:rsidRDefault="002961EE" w:rsidP="00FC53D5">
      <w:pPr>
        <w:pStyle w:val="ListParagraph"/>
        <w:numPr>
          <w:ilvl w:val="0"/>
          <w:numId w:val="4"/>
        </w:numPr>
        <w:ind w:left="5533" w:firstLine="0"/>
        <w:rPr>
          <w:i/>
        </w:rPr>
      </w:pPr>
      <w:r w:rsidRPr="00FC53D5">
        <w:rPr>
          <w:i/>
        </w:rPr>
        <w:t xml:space="preserve">The Committee noted that throughout the 2016-2017 </w:t>
      </w:r>
      <w:proofErr w:type="gramStart"/>
      <w:r w:rsidRPr="00FC53D5">
        <w:rPr>
          <w:i/>
        </w:rPr>
        <w:t>biennium</w:t>
      </w:r>
      <w:proofErr w:type="gramEnd"/>
      <w:r w:rsidRPr="00FC53D5">
        <w:rPr>
          <w:i/>
        </w:rPr>
        <w:t>, a draft text was prepared on each subject matter, narrowing the gaps on core issues.  Noting the progress made, the Committee considered that more work needs to be done.</w:t>
      </w:r>
    </w:p>
    <w:p w14:paraId="6A7C6B5A" w14:textId="77777777" w:rsidR="002961EE" w:rsidRPr="00FC53D5" w:rsidRDefault="002961EE" w:rsidP="00FC53D5">
      <w:pPr>
        <w:ind w:left="5533"/>
        <w:rPr>
          <w:i/>
        </w:rPr>
      </w:pPr>
    </w:p>
    <w:p w14:paraId="7E50025C" w14:textId="77777777" w:rsidR="002961EE" w:rsidRPr="00FC53D5" w:rsidRDefault="002961EE" w:rsidP="00FC53D5">
      <w:pPr>
        <w:pStyle w:val="ListParagraph"/>
        <w:numPr>
          <w:ilvl w:val="0"/>
          <w:numId w:val="4"/>
        </w:numPr>
        <w:ind w:left="5533" w:firstLine="0"/>
        <w:rPr>
          <w:i/>
        </w:rPr>
      </w:pPr>
      <w:r w:rsidRPr="00FC53D5">
        <w:rPr>
          <w:i/>
        </w:rPr>
        <w:t xml:space="preserve">Bearing in mind the Development Agenda recommendations and affirming the importance of the Committee, the Committee recommended that the WIPO General Assembly decide that the Committee should continue its work during the 2018-2019 </w:t>
      </w:r>
      <w:proofErr w:type="gramStart"/>
      <w:r w:rsidRPr="00FC53D5">
        <w:rPr>
          <w:i/>
        </w:rPr>
        <w:t>biennium</w:t>
      </w:r>
      <w:proofErr w:type="gramEnd"/>
      <w:r w:rsidRPr="00FC53D5">
        <w:rPr>
          <w:i/>
        </w:rPr>
        <w:t xml:space="preserve"> and that the Assembly decide on a mandate and a work program.</w:t>
      </w:r>
    </w:p>
    <w:p w14:paraId="38C4CEC2" w14:textId="77777777" w:rsidR="002961EE" w:rsidRPr="00FC53D5" w:rsidRDefault="002961EE" w:rsidP="00FC53D5">
      <w:pPr>
        <w:ind w:left="5533"/>
        <w:rPr>
          <w:i/>
        </w:rPr>
      </w:pPr>
    </w:p>
    <w:p w14:paraId="5E7788F1" w14:textId="77777777" w:rsidR="002961EE" w:rsidRPr="00FC53D5" w:rsidRDefault="002961EE" w:rsidP="00FC53D5">
      <w:pPr>
        <w:pStyle w:val="ListParagraph"/>
        <w:numPr>
          <w:ilvl w:val="0"/>
          <w:numId w:val="4"/>
        </w:numPr>
        <w:ind w:left="5533" w:firstLine="0"/>
        <w:rPr>
          <w:i/>
        </w:rPr>
      </w:pPr>
      <w:r w:rsidRPr="00FC53D5">
        <w:rPr>
          <w:i/>
        </w:rPr>
        <w:t xml:space="preserve">The Committee submitted herewith to the WIPO General Assembly the results of its work on genetic resources, traditional knowledge and traditional cultural expressions: </w:t>
      </w:r>
    </w:p>
    <w:p w14:paraId="2ACD79C4" w14:textId="77777777" w:rsidR="002961EE" w:rsidRPr="00FC53D5" w:rsidRDefault="002961EE" w:rsidP="00FC53D5">
      <w:pPr>
        <w:ind w:left="6237"/>
        <w:rPr>
          <w:i/>
        </w:rPr>
      </w:pPr>
      <w:r w:rsidRPr="00FC53D5">
        <w:rPr>
          <w:i/>
        </w:rPr>
        <w:t>-</w:t>
      </w:r>
      <w:r w:rsidRPr="00FC53D5">
        <w:rPr>
          <w:i/>
        </w:rPr>
        <w:tab/>
        <w:t>Consolidated Document Relating to Intellectual Property and Genetic Resources (document WIPO/GRTKF/IC/34/4);</w:t>
      </w:r>
    </w:p>
    <w:p w14:paraId="27C5237B" w14:textId="77777777" w:rsidR="002961EE" w:rsidRPr="00FC53D5" w:rsidRDefault="002961EE" w:rsidP="00FC53D5">
      <w:pPr>
        <w:ind w:left="6237"/>
        <w:rPr>
          <w:i/>
        </w:rPr>
      </w:pPr>
      <w:r w:rsidRPr="00FC53D5">
        <w:rPr>
          <w:i/>
        </w:rPr>
        <w:lastRenderedPageBreak/>
        <w:t>-</w:t>
      </w:r>
      <w:r w:rsidRPr="00FC53D5">
        <w:rPr>
          <w:i/>
        </w:rPr>
        <w:tab/>
        <w:t xml:space="preserve">The Protection of Traditional Knowledge: Draft Articles </w:t>
      </w:r>
    </w:p>
    <w:p w14:paraId="50EEDFE7" w14:textId="77777777" w:rsidR="002961EE" w:rsidRPr="00FC53D5" w:rsidRDefault="002961EE" w:rsidP="00FC53D5">
      <w:pPr>
        <w:ind w:left="6237"/>
        <w:rPr>
          <w:i/>
        </w:rPr>
      </w:pPr>
      <w:r w:rsidRPr="00FC53D5">
        <w:rPr>
          <w:i/>
        </w:rPr>
        <w:t>(</w:t>
      </w:r>
      <w:proofErr w:type="gramStart"/>
      <w:r w:rsidRPr="00FC53D5">
        <w:rPr>
          <w:i/>
        </w:rPr>
        <w:t>document</w:t>
      </w:r>
      <w:proofErr w:type="gramEnd"/>
      <w:r w:rsidRPr="00FC53D5">
        <w:rPr>
          <w:i/>
        </w:rPr>
        <w:t xml:space="preserve"> WIPO/GRTKF/IC/34/5);</w:t>
      </w:r>
    </w:p>
    <w:p w14:paraId="77107FED" w14:textId="77777777" w:rsidR="002961EE" w:rsidRPr="00FC53D5" w:rsidRDefault="002961EE" w:rsidP="00FC53D5">
      <w:pPr>
        <w:ind w:left="6237"/>
        <w:rPr>
          <w:i/>
        </w:rPr>
      </w:pPr>
      <w:r w:rsidRPr="00FC53D5">
        <w:rPr>
          <w:i/>
        </w:rPr>
        <w:t>-</w:t>
      </w:r>
      <w:r w:rsidRPr="00FC53D5">
        <w:rPr>
          <w:i/>
        </w:rPr>
        <w:tab/>
        <w:t xml:space="preserve">The Protection of Traditional Cultural Expressions:  Draft Articles </w:t>
      </w:r>
    </w:p>
    <w:p w14:paraId="4F088D39" w14:textId="77777777" w:rsidR="002961EE" w:rsidRPr="00FC53D5" w:rsidRDefault="002961EE" w:rsidP="00FC53D5">
      <w:pPr>
        <w:ind w:left="6237"/>
        <w:rPr>
          <w:i/>
        </w:rPr>
      </w:pPr>
      <w:r w:rsidRPr="00FC53D5">
        <w:rPr>
          <w:i/>
        </w:rPr>
        <w:t>(</w:t>
      </w:r>
      <w:proofErr w:type="gramStart"/>
      <w:r w:rsidRPr="00FC53D5">
        <w:rPr>
          <w:i/>
        </w:rPr>
        <w:t>document</w:t>
      </w:r>
      <w:proofErr w:type="gramEnd"/>
      <w:r w:rsidRPr="00FC53D5">
        <w:rPr>
          <w:i/>
        </w:rPr>
        <w:t xml:space="preserve"> WIPO/GRTKF/IC/34/8).</w:t>
      </w:r>
    </w:p>
    <w:p w14:paraId="5101B84A" w14:textId="77777777" w:rsidR="002961EE" w:rsidRPr="00FC53D5" w:rsidRDefault="002961EE" w:rsidP="00FC53D5">
      <w:pPr>
        <w:ind w:left="5533"/>
        <w:rPr>
          <w:i/>
        </w:rPr>
      </w:pPr>
    </w:p>
    <w:p w14:paraId="1D8059BF" w14:textId="27DBCBCD" w:rsidR="00EF75BD" w:rsidRPr="00752E5F" w:rsidRDefault="002961EE" w:rsidP="00752E5F">
      <w:pPr>
        <w:pStyle w:val="ListParagraph"/>
        <w:numPr>
          <w:ilvl w:val="0"/>
          <w:numId w:val="4"/>
        </w:numPr>
        <w:ind w:left="5533" w:firstLine="0"/>
        <w:rPr>
          <w:i/>
        </w:rPr>
      </w:pPr>
      <w:r w:rsidRPr="00FC53D5">
        <w:rPr>
          <w:i/>
        </w:rPr>
        <w:t>The Committee decided that this decision is without prejudice to the elements of the mandate to be approved by the General Assembly.</w:t>
      </w:r>
    </w:p>
    <w:p w14:paraId="72D9A146" w14:textId="77777777" w:rsidR="00EF75BD" w:rsidRDefault="00EF75BD" w:rsidP="005579DE"/>
    <w:p w14:paraId="743AA273" w14:textId="77777777" w:rsidR="007F7880" w:rsidRPr="009B459C" w:rsidRDefault="007F7880" w:rsidP="007F7880">
      <w:pPr>
        <w:pStyle w:val="Heading1"/>
        <w:spacing w:before="0"/>
      </w:pPr>
      <w:r>
        <w:t>AGENDA ITEM 9:  CONTRIBUTION OF THE INTERGOVERNMENTAL COMMITTEE ON INTELLECTUAL PROPERTY AND GENETIC RESOURCES, TRADITIONAL KNOWLEDGE AND FOLKLORE (igc) TO THE IMPLEMENTATION OF THE RESPECTIVE DEVELOPMENT AGENDA RECOMMENDATIONS</w:t>
      </w:r>
    </w:p>
    <w:p w14:paraId="08771A67" w14:textId="77777777" w:rsidR="007F7880" w:rsidRPr="00243105" w:rsidRDefault="007F7880" w:rsidP="007F7880">
      <w:pPr>
        <w:pStyle w:val="ListParagraph"/>
        <w:ind w:left="0"/>
        <w:rPr>
          <w:bCs/>
        </w:rPr>
      </w:pPr>
    </w:p>
    <w:p w14:paraId="5C3CA860" w14:textId="11A41B23" w:rsidR="00FC2402" w:rsidRPr="002961EE" w:rsidRDefault="00DC482C" w:rsidP="002961EE">
      <w:pPr>
        <w:pStyle w:val="ListParagraph"/>
        <w:numPr>
          <w:ilvl w:val="0"/>
          <w:numId w:val="4"/>
        </w:numPr>
        <w:ind w:left="0" w:firstLine="0"/>
      </w:pPr>
      <w:r>
        <w:t>F</w:t>
      </w:r>
      <w:r w:rsidR="00FC2402" w:rsidRPr="002961EE">
        <w:t xml:space="preserve">urther to the 2010 WIPO </w:t>
      </w:r>
      <w:r w:rsidR="007A00FC">
        <w:t>GA</w:t>
      </w:r>
      <w:r w:rsidR="00FC2402" w:rsidRPr="002961EE">
        <w:t xml:space="preserve"> decision “to instruct the relevant WIPO Bodies to include in their annual report to the Assemblies, a description of their contribution to the implementation of the respective Development Agenda Recommendations”, the Chair invited delegations and observers to discuss the contribution of the IGC to the implementation of the Development Agenda (DA) Recommendations.  </w:t>
      </w:r>
    </w:p>
    <w:p w14:paraId="1E14453E" w14:textId="77777777" w:rsidR="00FC2402" w:rsidRDefault="00FC2402" w:rsidP="00FC2402">
      <w:pPr>
        <w:pStyle w:val="ListParagraph"/>
        <w:ind w:left="0"/>
        <w:rPr>
          <w:szCs w:val="22"/>
        </w:rPr>
      </w:pPr>
    </w:p>
    <w:p w14:paraId="5F8CC145" w14:textId="77777777" w:rsidR="002961EE" w:rsidRPr="002961EE" w:rsidRDefault="002961EE" w:rsidP="002961EE">
      <w:pPr>
        <w:pStyle w:val="ListParagraph"/>
        <w:numPr>
          <w:ilvl w:val="0"/>
          <w:numId w:val="4"/>
        </w:numPr>
        <w:ind w:left="0" w:firstLine="0"/>
      </w:pPr>
      <w:r w:rsidRPr="002961EE">
        <w:t xml:space="preserve">The Delegation of Senegal, speaking on behalf of the African Group, reiterated the importance of the implementation of the DA recommendations.  The IGC had an extremely important role to play, specifically with regard to Cluster A on capacity building and technical assistance.  Recommendation 18 urged the IGC to accelerate the process on the protection of GRs, TK and TCEs, without prejudice to any outcome, including the possible development of an international instrument or instruments.  The IGC should intensify its efforts in order to fulfill that task.  The three texts should be accelerated in order to have better readability of the contribution of the IGC to the implementation of the DA.  </w:t>
      </w:r>
    </w:p>
    <w:p w14:paraId="35DF521A" w14:textId="77777777" w:rsidR="002961EE" w:rsidRPr="002961EE" w:rsidRDefault="002961EE" w:rsidP="002961EE"/>
    <w:p w14:paraId="27508C7D" w14:textId="52CCBA04" w:rsidR="002961EE" w:rsidRPr="002961EE" w:rsidRDefault="002961EE" w:rsidP="002961EE">
      <w:pPr>
        <w:pStyle w:val="ListParagraph"/>
        <w:numPr>
          <w:ilvl w:val="0"/>
          <w:numId w:val="4"/>
        </w:numPr>
        <w:ind w:left="0" w:firstLine="0"/>
      </w:pPr>
      <w:r w:rsidRPr="002961EE">
        <w:t xml:space="preserve">The Delegation of Indonesia, speaking on behalf of the LMCs, acknowledged the various activities undertaken by the Traditional Knowledge Division and WIPO in general to provide regulatory advice and other development-oriented assistance to developing and least developed countries.  It urged WIPO to continue to contribute in that area. </w:t>
      </w:r>
      <w:r>
        <w:t xml:space="preserve"> </w:t>
      </w:r>
      <w:r w:rsidRPr="002961EE">
        <w:t>Recommendation 18, adopted in 2007, urged the IGC to accelerate the process on the protection of GRs, TK and TCEs, without prejudice to the outcome, including the possible development of an international instrument or instruments.  One of the most important contributions of the IGC was the implementation of the DA recommendation for the conclusion of the three subjects under the negotiations with an outcome of an international legally binding instrument(s) that would enhance the transparency and the efficacy and would protect tradition-based knowledge in the modern IP framework.</w:t>
      </w:r>
    </w:p>
    <w:p w14:paraId="582A5DC4" w14:textId="77777777" w:rsidR="002961EE" w:rsidRPr="002961EE" w:rsidRDefault="002961EE" w:rsidP="002961EE"/>
    <w:p w14:paraId="6C5C178B" w14:textId="26E81A8E" w:rsidR="002961EE" w:rsidRPr="002961EE" w:rsidRDefault="002961EE" w:rsidP="002961EE">
      <w:pPr>
        <w:pStyle w:val="ListParagraph"/>
        <w:numPr>
          <w:ilvl w:val="0"/>
          <w:numId w:val="4"/>
        </w:numPr>
        <w:ind w:left="0" w:firstLine="0"/>
      </w:pPr>
      <w:r w:rsidRPr="002961EE">
        <w:t xml:space="preserve">The Delegation of the Islamic Republic of Iran recalled the importance of an efficient and practical coordination mechanism to realize the contribution of all WIPO Committees towards the full and effective implementation of the DA recommendations.  Regrettably, despite the decision of the 2010 WIPO </w:t>
      </w:r>
      <w:r w:rsidR="007A00FC">
        <w:t>GA</w:t>
      </w:r>
      <w:r w:rsidRPr="002961EE">
        <w:t xml:space="preserve">, the proper functioning of the system had turned out to be a challenge in the implementation of the DA recommendations, which should be addressed by Member States at the </w:t>
      </w:r>
      <w:r w:rsidR="007A00FC">
        <w:t>GA</w:t>
      </w:r>
      <w:r w:rsidRPr="002961EE">
        <w:t xml:space="preserve"> and the Committee on Development and Intellectual Property.  The </w:t>
      </w:r>
      <w:r w:rsidRPr="002961EE">
        <w:lastRenderedPageBreak/>
        <w:t xml:space="preserve">fact that Recommendation 18 specifically referred to the IGC and called for the acceleration of its process was a clear demonstration of the importance of the IGC’s negotiations and its outcomes for development objectives.  The IGC process was an obvious example of development-oriented IP norm-setting in WIPO.  Success would send a message to developing countries that WIPO was a UN </w:t>
      </w:r>
      <w:proofErr w:type="gramStart"/>
      <w:r w:rsidRPr="002961EE">
        <w:t>specialized</w:t>
      </w:r>
      <w:proofErr w:type="gramEnd"/>
      <w:r w:rsidRPr="002961EE">
        <w:t xml:space="preserve"> agency promoting IP rights, taking into account development concerns.  By contrast, the failure of the process would not only undermine all ongoing norm-setting in the IP system, but also send a wrong message that WIPO Member States were not determined to address the IP system in its entirety so as to enable developing countries to enjoy the necessary protection.  It was a long pending aspiration of the right holders and beneficiaries in many countries to see that their TK, TCEs and GRs be protected against misappropriation and misuse.  Doing so would move the IP system in a more balanced direction, i.e. increasing the interest of developing countries in the IP system, empowering an enabling environment for development and enhancing the contribution of developing countries to global knowledge and global cultural partnerships.  To realize all of those objectives, the establishment of international legally binding instruments to protect TK, TCEs and GRs was essential.  The IGC should devise a mechanism which would ultimately bring comfort to TK, TCEs and GRs to promote creativity and innovation.  Acknowledging the progress undertaken in the IGC, the IGC could not continue open-ended negotiations.  Accordingly, at the end of the current mandate, it was time for the IGC to make a final decision and complete the work that had been ongoing for 16 years.  The Delegation highlighted the importance of the Secretariat’s technical assistance to countries in order to enable them to formulate national protection systems for TK, TCEs and GRs, as well as to explore methods for the commercialization of these subject matters for the benefit of their owners.</w:t>
      </w:r>
    </w:p>
    <w:p w14:paraId="24002C8E" w14:textId="77777777" w:rsidR="002961EE" w:rsidRPr="002961EE" w:rsidRDefault="002961EE" w:rsidP="002961EE"/>
    <w:p w14:paraId="35B9FD35" w14:textId="539C5C76" w:rsidR="002961EE" w:rsidRPr="002961EE" w:rsidRDefault="002961EE" w:rsidP="002961EE">
      <w:pPr>
        <w:pStyle w:val="ListParagraph"/>
        <w:numPr>
          <w:ilvl w:val="0"/>
          <w:numId w:val="4"/>
        </w:numPr>
        <w:ind w:left="0" w:firstLine="0"/>
      </w:pPr>
      <w:r w:rsidRPr="002961EE">
        <w:t>The Delegation of Japan did not mean to debate, but it understood that the debate on the coordination mechanisms had been concluded.</w:t>
      </w:r>
    </w:p>
    <w:p w14:paraId="3B33A7E1" w14:textId="77777777" w:rsidR="002961EE" w:rsidRPr="002961EE" w:rsidRDefault="002961EE" w:rsidP="002961EE"/>
    <w:p w14:paraId="47BC4378" w14:textId="09253218" w:rsidR="002961EE" w:rsidRPr="002961EE" w:rsidRDefault="002961EE" w:rsidP="002961EE">
      <w:pPr>
        <w:pStyle w:val="ListParagraph"/>
        <w:numPr>
          <w:ilvl w:val="0"/>
          <w:numId w:val="4"/>
        </w:numPr>
        <w:ind w:left="0" w:firstLine="0"/>
      </w:pPr>
      <w:r w:rsidRPr="002961EE">
        <w:t>The Delegation of Nigeria supported the statements made by the Delegation of the Islamic Republic of Iran, the Delegation of Indonesia, on behalf of the LMCs, and the Delegation of Senegal, on behalf of the African Group.  It joined all the delegations that had requested the IGC to accelerate its work towards adopting functional minimum standard instruments that would ensure the effective protection of GRs, TK and TCEs.  That would be a bona fide way for the IGC and for Member States, especially developing countries, to feel ownership of the IGC’s significant steps to protect all forms of knowledge and to equate them with the value, relevance and integrity that they should enjoy.</w:t>
      </w:r>
    </w:p>
    <w:p w14:paraId="1C753F8B" w14:textId="77777777" w:rsidR="002961EE" w:rsidRPr="002961EE" w:rsidRDefault="002961EE" w:rsidP="002961EE"/>
    <w:p w14:paraId="59136F04" w14:textId="51903408" w:rsidR="002961EE" w:rsidRPr="002961EE" w:rsidRDefault="002961EE" w:rsidP="002961EE">
      <w:pPr>
        <w:pStyle w:val="ListParagraph"/>
        <w:numPr>
          <w:ilvl w:val="0"/>
          <w:numId w:val="4"/>
        </w:numPr>
        <w:ind w:left="0" w:firstLine="0"/>
      </w:pPr>
      <w:r w:rsidRPr="002961EE">
        <w:t xml:space="preserve">The Delegation of Brazil associated itself with the statement made by the Delegation of Indonesia, on behalf of the LMCs.  The DA was a major landmark in the history of WIPO.  It had been adopted after three years of intense negotiations that aimed at putting broader societal interests at the core of WIPO’s activities.  That was a matter of legitimacy and the IGC had a major role in ensuring that important mission would be achieved.  Recommendation 18 stated that Member States should accelerate the process on the protection of GRs, TK and TCEs.  In spite of the clear command given by the </w:t>
      </w:r>
      <w:r w:rsidR="007A00FC">
        <w:t>GA</w:t>
      </w:r>
      <w:r w:rsidRPr="002961EE">
        <w:t>, it was a sign of magnitude of the task that after 10 years, the IGC was still a long way from agreeing on binding instruments on GRs, TK and TCEs.  The Delegation urged all delegations to show constructive spirit and positively contribute to the discussions by presenting proposals consistent with the goal of narrowing existing gaps as the mandate stated.  It pledged to show that same constructive spirit and listen in good faith to everyone’s views to reach a mutually agreed and satisfactory solution.</w:t>
      </w:r>
    </w:p>
    <w:p w14:paraId="5996DD25" w14:textId="77777777" w:rsidR="002961EE" w:rsidRPr="002961EE" w:rsidRDefault="002961EE" w:rsidP="002961EE"/>
    <w:p w14:paraId="0BAEB57A" w14:textId="3873A380" w:rsidR="002961EE" w:rsidRPr="002961EE" w:rsidRDefault="002961EE" w:rsidP="002961EE">
      <w:pPr>
        <w:pStyle w:val="ListParagraph"/>
        <w:numPr>
          <w:ilvl w:val="0"/>
          <w:numId w:val="4"/>
        </w:numPr>
        <w:ind w:left="0" w:firstLine="0"/>
      </w:pPr>
      <w:r w:rsidRPr="002961EE">
        <w:t xml:space="preserve">The Delegation of Uganda joined the comments made by the Delegation of Senegal, on behalf of the African Group, the Delegation of Indonesia, on behalf of the LMCs, and the Delegation of Nigeria, on supporting the need to set up a legally conducive environment for the protection of GRs, TCEs and TK.  It appreciated the work of the African Bureau of WIPO in supporting the capacity-building initiatives in setting IP instruments in Africa.  Many African countries were challenged in that area, and most of the GRs, TCEs and TK were </w:t>
      </w:r>
      <w:r w:rsidRPr="002961EE">
        <w:lastRenderedPageBreak/>
        <w:t xml:space="preserve">misappropriated because of a lack of an acceptable international agreement.  It asked that the IGC accelerate its work for an instrument(s) and that the African Bureau of WIPO continue to support awareness-raising and capacity-building initiatives so that African countries could be able to set up their own instruments to operationalize international IP instruments.  Uganda was already working towards developing a legal framework to address the issue of IP in the country, and it was committed to ensuring that the issues of indigenous peoples were taken into consideration in the areas of GRs, TK and TCEs.   </w:t>
      </w:r>
    </w:p>
    <w:p w14:paraId="4874C56A" w14:textId="77777777" w:rsidR="002961EE" w:rsidRPr="002961EE" w:rsidRDefault="002961EE" w:rsidP="002961EE"/>
    <w:p w14:paraId="42C640E9" w14:textId="4A3A8330" w:rsidR="002961EE" w:rsidRPr="002961EE" w:rsidRDefault="002961EE" w:rsidP="002961EE">
      <w:pPr>
        <w:pStyle w:val="ListParagraph"/>
        <w:numPr>
          <w:ilvl w:val="0"/>
          <w:numId w:val="4"/>
        </w:numPr>
        <w:ind w:left="0" w:firstLine="0"/>
      </w:pPr>
      <w:r w:rsidRPr="002961EE">
        <w:t xml:space="preserve">The Delegation of Indonesia appreciated the contributions of the IGC and the Traditional Knowledge Division in the implementation of the DA, and aligned itself with its comments made on behalf of the LMCs and the comments made by the Delegation of Senegal, on behalf of the African Group, and the Delegations of Brazil, the Islamic Republic of Iran, Uganda and Nigeria.  TK and TCEs reflected the diversified aspirations of all Member States, particularly developing and least developed countries.  The IGC should be able to continue its work to realize those aspirations.  It recalled DA Recommendation 18.  The discussion on the coordination mechanism was concluded but the IGC had at least one, if not more, DA recommendations that were very </w:t>
      </w:r>
      <w:proofErr w:type="gramStart"/>
      <w:r w:rsidRPr="002961EE">
        <w:t>relevant.</w:t>
      </w:r>
      <w:proofErr w:type="gramEnd"/>
      <w:r w:rsidRPr="002961EE">
        <w:t xml:space="preserve">  The IGC should be able to contribute to the DA recommendations in the three subject matters under negotiation.</w:t>
      </w:r>
    </w:p>
    <w:p w14:paraId="4AB4F679" w14:textId="77777777" w:rsidR="002961EE" w:rsidRPr="002961EE" w:rsidRDefault="002961EE" w:rsidP="002961EE"/>
    <w:p w14:paraId="1B6052E8" w14:textId="53B3C985" w:rsidR="002961EE" w:rsidRPr="002961EE" w:rsidRDefault="002961EE" w:rsidP="002961EE">
      <w:pPr>
        <w:pStyle w:val="ListParagraph"/>
        <w:numPr>
          <w:ilvl w:val="0"/>
          <w:numId w:val="4"/>
        </w:numPr>
        <w:ind w:left="0" w:firstLine="0"/>
      </w:pPr>
      <w:r w:rsidRPr="002961EE">
        <w:t xml:space="preserve">The Representative of Tupaj Amaru said that, since the establishment of the IGC in 2000, there was a lack of the political will of Member States.  Over the course of time, indigenous peoples had not been recognized as peoples, as subjects under international law.  He recalled the IGC’s mandate.  After all those years of debate, the IGC should revise and change its working methodology and procedures.  The </w:t>
      </w:r>
      <w:r w:rsidR="007A00FC">
        <w:t>GA</w:t>
      </w:r>
      <w:r w:rsidRPr="002961EE">
        <w:t xml:space="preserve"> had invited the IGC to examine its procedures, its rules, in order to strengthen and acknowledge the substantive contributions of indigenous peoples to the negotiation process, in order to agree on a binding international instrument(s).  And yet, the IGC had not strengthened the rules and procedures for the participation of indigenous peoples in the negotiation process.</w:t>
      </w:r>
    </w:p>
    <w:p w14:paraId="50AC9C1B" w14:textId="5BF362AF" w:rsidR="002961EE" w:rsidRPr="002961EE" w:rsidRDefault="002961EE" w:rsidP="002961EE"/>
    <w:p w14:paraId="08ED89EF" w14:textId="26E582FD" w:rsidR="002961EE" w:rsidRPr="002961EE" w:rsidRDefault="002961EE" w:rsidP="002961EE">
      <w:pPr>
        <w:pStyle w:val="ListParagraph"/>
        <w:numPr>
          <w:ilvl w:val="0"/>
          <w:numId w:val="4"/>
        </w:numPr>
        <w:ind w:left="0" w:firstLine="0"/>
      </w:pPr>
      <w:r w:rsidRPr="002961EE">
        <w:t>The Representative of ADJMOR, speaking on behalf of the Indigenous Caucus, was aware of the problems and urged all parties to show flexibility during the negotiations in order to move forward toward a just and equitable international instrument(s).  He hoped that WIPO would consider the issues with regard to GRs, TK and TCEs, and would make that issue a cross-cutting issue.  GRs, TK and TCEs were important issues for indigenous peoples and should be considered within the context of local development.  It was also part of the SDGs.  He hoped that indigenous peoples would be able to continue to pa</w:t>
      </w:r>
      <w:r>
        <w:t>rticipate fully in the process.</w:t>
      </w:r>
    </w:p>
    <w:p w14:paraId="55952DF8" w14:textId="77777777" w:rsidR="002961EE" w:rsidRDefault="002961EE" w:rsidP="00FC2402">
      <w:pPr>
        <w:pStyle w:val="ListParagraph"/>
        <w:ind w:left="0"/>
        <w:rPr>
          <w:szCs w:val="22"/>
        </w:rPr>
      </w:pPr>
    </w:p>
    <w:p w14:paraId="196E4118" w14:textId="77777777" w:rsidR="007F7880" w:rsidRPr="00E5111C" w:rsidRDefault="007F7880" w:rsidP="00E5111C">
      <w:pPr>
        <w:pStyle w:val="ListParagraph"/>
        <w:ind w:left="5533"/>
        <w:rPr>
          <w:i/>
          <w:szCs w:val="22"/>
        </w:rPr>
      </w:pPr>
      <w:r w:rsidRPr="00E5111C">
        <w:rPr>
          <w:i/>
          <w:szCs w:val="22"/>
        </w:rPr>
        <w:t>Decision on Agenda Item 9:</w:t>
      </w:r>
    </w:p>
    <w:p w14:paraId="35C3E9A5" w14:textId="77777777" w:rsidR="007F7880" w:rsidRPr="00E5111C" w:rsidRDefault="007F7880" w:rsidP="00E5111C">
      <w:pPr>
        <w:pStyle w:val="ListParagraph"/>
        <w:ind w:left="5533"/>
        <w:rPr>
          <w:i/>
          <w:szCs w:val="22"/>
        </w:rPr>
      </w:pPr>
    </w:p>
    <w:p w14:paraId="3BC50A7A" w14:textId="277F828A" w:rsidR="007F7880" w:rsidRPr="00E5111C" w:rsidRDefault="009E52B2" w:rsidP="00E5111C">
      <w:pPr>
        <w:pStyle w:val="ListParagraph"/>
        <w:numPr>
          <w:ilvl w:val="0"/>
          <w:numId w:val="4"/>
        </w:numPr>
        <w:ind w:left="5533" w:firstLine="0"/>
        <w:rPr>
          <w:i/>
        </w:rPr>
      </w:pPr>
      <w:r w:rsidRPr="00E5111C">
        <w:rPr>
          <w:i/>
        </w:rPr>
        <w:t>The Committee held a discussion on this item.  The Committee decided that all statements made on this item would be recorded in the report of the Committee and that they would also be transmitted to the WIPO General Assembly taking place from October 2 to 11, 2017, in line with the decision taken by the 2010 WIPO General Assembly related to the Development Agenda Coordination Mechanism.</w:t>
      </w:r>
    </w:p>
    <w:p w14:paraId="112FBACC" w14:textId="77777777" w:rsidR="007F7880" w:rsidRDefault="007F7880" w:rsidP="009F53CA">
      <w:pPr>
        <w:pStyle w:val="Heading1"/>
        <w:spacing w:before="0"/>
      </w:pPr>
    </w:p>
    <w:p w14:paraId="6F1DDABB" w14:textId="77777777" w:rsidR="009B459C" w:rsidRPr="009B459C" w:rsidRDefault="00877D38" w:rsidP="009F53CA">
      <w:pPr>
        <w:pStyle w:val="Heading1"/>
        <w:spacing w:before="0"/>
      </w:pPr>
      <w:r>
        <w:t>AGENDA ITEM 10</w:t>
      </w:r>
      <w:r w:rsidR="00AE1D54">
        <w:t xml:space="preserve">:  </w:t>
      </w:r>
      <w:r w:rsidR="009B459C" w:rsidRPr="009B459C">
        <w:t xml:space="preserve">ANY OTHER BUSINESS </w:t>
      </w:r>
    </w:p>
    <w:p w14:paraId="675D21BB" w14:textId="77777777" w:rsidR="00E632C1" w:rsidRDefault="00E632C1" w:rsidP="009F53CA">
      <w:pPr>
        <w:pStyle w:val="ListParagraph"/>
        <w:ind w:left="0"/>
        <w:rPr>
          <w:i/>
          <w:iCs/>
        </w:rPr>
      </w:pPr>
    </w:p>
    <w:p w14:paraId="7AE3EF0D" w14:textId="7936D728" w:rsidR="00E632C1" w:rsidRPr="00045C18" w:rsidRDefault="00E632C1" w:rsidP="00045C18">
      <w:pPr>
        <w:pStyle w:val="ListParagraph"/>
        <w:numPr>
          <w:ilvl w:val="0"/>
          <w:numId w:val="4"/>
        </w:numPr>
        <w:ind w:left="0" w:firstLine="0"/>
      </w:pPr>
      <w:r w:rsidRPr="00045C18">
        <w:lastRenderedPageBreak/>
        <w:t>The Delegation of Namibia drew attention to the decision taken at the Conference of the Parties of the CBD, serving as the meeting of the parties of the Nagoya Protocol, in December 2016 to take under consideration th</w:t>
      </w:r>
      <w:r w:rsidR="00F041F5">
        <w:t>e issue of “Digital Sequence Information</w:t>
      </w:r>
      <w:r w:rsidRPr="00045C18">
        <w:t xml:space="preserve"> on Genetic Resources</w:t>
      </w:r>
      <w:r w:rsidR="00F041F5">
        <w:t>”</w:t>
      </w:r>
      <w:r w:rsidRPr="00045C18">
        <w:t xml:space="preserve">.  There was a call from the CBD for submission of views by parties and other stakeholders that </w:t>
      </w:r>
      <w:r w:rsidR="00F12B1F">
        <w:t xml:space="preserve">would </w:t>
      </w:r>
      <w:r w:rsidRPr="00045C18">
        <w:t>close in September 2017.  Some IGC members might have views on how the work of the IGC, especially as it related to GRs, related to the issue of digital sequence of genetic information or a discussion about terminology.  In the continuation of the work of the IGC</w:t>
      </w:r>
      <w:r w:rsidR="00DB4EFF">
        <w:t>,</w:t>
      </w:r>
      <w:r w:rsidRPr="00045C18">
        <w:t xml:space="preserve"> that issue would take on increasing importance.  There had been a similar decision at the FAO Commission on Genetic Resources for Food and Agriculture.  There was information gathering going on.  </w:t>
      </w:r>
      <w:r w:rsidR="00DB4EFF">
        <w:t>Member States</w:t>
      </w:r>
      <w:r w:rsidRPr="00045C18">
        <w:t xml:space="preserve"> could submit any views on the IP implications of</w:t>
      </w:r>
      <w:r w:rsidR="00DB4EFF">
        <w:t xml:space="preserve"> digital sequence information on</w:t>
      </w:r>
      <w:r w:rsidRPr="00045C18">
        <w:t xml:space="preserve"> GRs to the CBD Secretariat.  </w:t>
      </w:r>
    </w:p>
    <w:p w14:paraId="489FBF94" w14:textId="2CBD3895" w:rsidR="00171002" w:rsidRDefault="00171002">
      <w:pPr>
        <w:rPr>
          <w:i/>
          <w:iCs/>
        </w:rPr>
      </w:pPr>
    </w:p>
    <w:p w14:paraId="3D91FFCF" w14:textId="3ED9E7D6" w:rsidR="009B459C" w:rsidRPr="00E5111C" w:rsidRDefault="00877D38" w:rsidP="00E5111C">
      <w:pPr>
        <w:pStyle w:val="ListParagraph"/>
        <w:ind w:left="5533"/>
        <w:rPr>
          <w:i/>
          <w:iCs/>
        </w:rPr>
      </w:pPr>
      <w:r w:rsidRPr="00E5111C">
        <w:rPr>
          <w:i/>
          <w:iCs/>
        </w:rPr>
        <w:t>Decision on Agenda Item 10</w:t>
      </w:r>
      <w:r w:rsidR="00AE1D54" w:rsidRPr="00E5111C">
        <w:rPr>
          <w:i/>
          <w:iCs/>
        </w:rPr>
        <w:t xml:space="preserve">:  </w:t>
      </w:r>
    </w:p>
    <w:p w14:paraId="250F6CB0" w14:textId="77777777" w:rsidR="009B459C" w:rsidRPr="00E5111C" w:rsidRDefault="009B459C" w:rsidP="00E5111C">
      <w:pPr>
        <w:pStyle w:val="ListParagraph"/>
        <w:ind w:left="5533"/>
        <w:rPr>
          <w:i/>
        </w:rPr>
      </w:pPr>
    </w:p>
    <w:p w14:paraId="5BC95029" w14:textId="2BFA8F0D" w:rsidR="009B459C" w:rsidRPr="00E5111C" w:rsidRDefault="009E52B2" w:rsidP="00E5111C">
      <w:pPr>
        <w:pStyle w:val="ListParagraph"/>
        <w:numPr>
          <w:ilvl w:val="0"/>
          <w:numId w:val="4"/>
        </w:numPr>
        <w:ind w:left="5533" w:firstLine="0"/>
        <w:rPr>
          <w:i/>
        </w:rPr>
      </w:pPr>
      <w:r w:rsidRPr="00E5111C">
        <w:rPr>
          <w:i/>
        </w:rPr>
        <w:t>There was one statement under this item, which was noted.</w:t>
      </w:r>
    </w:p>
    <w:p w14:paraId="551525E3" w14:textId="77777777" w:rsidR="009B459C" w:rsidRPr="009B459C" w:rsidRDefault="009B459C" w:rsidP="009F53CA">
      <w:pPr>
        <w:pStyle w:val="ListParagraph"/>
        <w:ind w:left="0"/>
      </w:pPr>
    </w:p>
    <w:p w14:paraId="275B4C02" w14:textId="77777777" w:rsidR="009B459C" w:rsidRPr="009B459C" w:rsidRDefault="00877D38" w:rsidP="009F53CA">
      <w:pPr>
        <w:pStyle w:val="Heading1"/>
        <w:spacing w:before="0"/>
      </w:pPr>
      <w:r>
        <w:t>AGENDA ITEM 11</w:t>
      </w:r>
      <w:r w:rsidR="00AE1D54">
        <w:t xml:space="preserve">:  </w:t>
      </w:r>
      <w:r w:rsidR="009B459C" w:rsidRPr="009B459C">
        <w:t>CLOSING OF THE SESSION</w:t>
      </w:r>
    </w:p>
    <w:p w14:paraId="747FBAB2" w14:textId="77777777" w:rsidR="009B459C" w:rsidRPr="009F53CA" w:rsidRDefault="009B459C" w:rsidP="009F53CA">
      <w:pPr>
        <w:pStyle w:val="ListParagraph"/>
        <w:ind w:left="0"/>
        <w:rPr>
          <w:bCs/>
        </w:rPr>
      </w:pPr>
    </w:p>
    <w:p w14:paraId="632A33ED" w14:textId="541A1837" w:rsidR="009B628C" w:rsidRPr="00045C18" w:rsidRDefault="00E632C1" w:rsidP="00045C18">
      <w:pPr>
        <w:pStyle w:val="ListParagraph"/>
        <w:numPr>
          <w:ilvl w:val="0"/>
          <w:numId w:val="4"/>
        </w:numPr>
        <w:ind w:left="0" w:firstLine="0"/>
      </w:pPr>
      <w:r w:rsidRPr="00045C18">
        <w:t xml:space="preserve">The Delegation of Senegal, speaking on behalf of the African Group, thanked the Chair, the Secretariat </w:t>
      </w:r>
      <w:r w:rsidR="003B5C65">
        <w:t>as well as the Vice-Chairs and the f</w:t>
      </w:r>
      <w:r w:rsidRPr="00045C18">
        <w:t xml:space="preserve">acilitators for all of the untiring work carried out in order to assist in coming to those results.  The IGC had made real progress and it was proud of it.  It appreciated the flexibility of </w:t>
      </w:r>
      <w:r w:rsidR="003B5C65">
        <w:t>delegations</w:t>
      </w:r>
      <w:r w:rsidRPr="00045C18">
        <w:t xml:space="preserve"> during the session as well as the fruitful bilateral meetings.  It no</w:t>
      </w:r>
      <w:r w:rsidR="003B5C65">
        <w:t>ted the results of IGC 34, the Roundtable and</w:t>
      </w:r>
      <w:r w:rsidRPr="00045C18">
        <w:t xml:space="preserve"> the Seminar, which had richly contributed to the discussion.  It was specifically grateful for the spirit of cooperation and the constructive spirit in the regional groups in order to assist in coming to mutually acceptable results on TK, GRs and TCEs.  In the new global economy</w:t>
      </w:r>
      <w:r w:rsidR="003B5C65">
        <w:t>,</w:t>
      </w:r>
      <w:r w:rsidRPr="00045C18">
        <w:t xml:space="preserve"> the experience of IPLCs was of growing importance.  </w:t>
      </w:r>
      <w:r w:rsidR="003B5C65">
        <w:t>It</w:t>
      </w:r>
      <w:r w:rsidRPr="00045C18">
        <w:t xml:space="preserve"> had to</w:t>
      </w:r>
      <w:r w:rsidR="003B5C65">
        <w:t xml:space="preserve"> be</w:t>
      </w:r>
      <w:r w:rsidRPr="00045C18">
        <w:t xml:space="preserve"> ensure</w:t>
      </w:r>
      <w:r w:rsidR="003B5C65">
        <w:t>d</w:t>
      </w:r>
      <w:r w:rsidRPr="00045C18">
        <w:t xml:space="preserve"> that there was no negative impact on the management of their rights over GRs, TK and TCEs.  </w:t>
      </w:r>
      <w:r w:rsidR="004105DF">
        <w:t xml:space="preserve">Wishing </w:t>
      </w:r>
      <w:r w:rsidRPr="00045C18">
        <w:t xml:space="preserve">to move forward toward a diplomatic conference, it reiterated its commitment to continuing to work with the Chair and contributing in a spirit of cooperation.  </w:t>
      </w:r>
    </w:p>
    <w:p w14:paraId="6516EF46" w14:textId="77777777" w:rsidR="009B628C" w:rsidRPr="00045C18" w:rsidRDefault="009B628C" w:rsidP="00045C18"/>
    <w:p w14:paraId="3BE64B03" w14:textId="3E811100" w:rsidR="00DD287A" w:rsidRPr="00045C18" w:rsidRDefault="009B628C" w:rsidP="00045C18">
      <w:pPr>
        <w:pStyle w:val="ListParagraph"/>
        <w:numPr>
          <w:ilvl w:val="0"/>
          <w:numId w:val="4"/>
        </w:numPr>
        <w:ind w:left="0" w:firstLine="0"/>
      </w:pPr>
      <w:r w:rsidRPr="00045C18">
        <w:t>The Delegation of Colombia, speaking on behalf of GRULAC, expressed its sincere thanks</w:t>
      </w:r>
      <w:r w:rsidR="00507EA5">
        <w:t xml:space="preserve"> to the Chair, </w:t>
      </w:r>
      <w:r w:rsidR="003D173E">
        <w:t xml:space="preserve">the </w:t>
      </w:r>
      <w:r w:rsidR="00507EA5">
        <w:t xml:space="preserve">Vice-Chairs and </w:t>
      </w:r>
      <w:r w:rsidR="003D173E">
        <w:t xml:space="preserve">the </w:t>
      </w:r>
      <w:r w:rsidR="00507EA5">
        <w:t>f</w:t>
      </w:r>
      <w:r w:rsidRPr="00045C18">
        <w:t xml:space="preserve">acilitators for all of the work carried out.  The contributions, as well as the work carried out collectively in the regional groups, had enabled moving those results forward to the </w:t>
      </w:r>
      <w:r w:rsidR="007A00FC">
        <w:t>GA</w:t>
      </w:r>
      <w:r w:rsidRPr="00045C18">
        <w:t xml:space="preserve">.  It was important to be able to send a political message on the renewal of the mandate, and it was very satisfied with the results, although there was a great deal of work still to be done at the </w:t>
      </w:r>
      <w:r w:rsidR="007A00FC">
        <w:t>GA</w:t>
      </w:r>
      <w:r w:rsidRPr="00045C18">
        <w:t xml:space="preserve">.  During the session the main goals had been accomplished thanks to the flexibility on the part of all groups.  It hoped to continue working in that same spirit of cooperation.  It thanked the Secretariat and all of those people helping out in the room, and the interpreters, and looked forward to the </w:t>
      </w:r>
      <w:r w:rsidR="007A00FC">
        <w:t xml:space="preserve">GA </w:t>
      </w:r>
      <w:r w:rsidRPr="00045C18">
        <w:t xml:space="preserve">to continue the informal consultations and discussions on the renewal of the mandate with its different components. </w:t>
      </w:r>
    </w:p>
    <w:p w14:paraId="0CD8923A" w14:textId="77777777" w:rsidR="00DD287A" w:rsidRPr="00045C18" w:rsidRDefault="00DD287A" w:rsidP="00045C18"/>
    <w:p w14:paraId="6B6E7044" w14:textId="081FE1BB" w:rsidR="009B076A" w:rsidRPr="00045C18" w:rsidRDefault="00DD287A" w:rsidP="00045C18">
      <w:pPr>
        <w:pStyle w:val="ListParagraph"/>
        <w:numPr>
          <w:ilvl w:val="0"/>
          <w:numId w:val="4"/>
        </w:numPr>
        <w:ind w:left="0" w:firstLine="0"/>
      </w:pPr>
      <w:r w:rsidRPr="00045C18">
        <w:t>The Delegation of Indonesia, spe</w:t>
      </w:r>
      <w:r w:rsidR="007A00FC">
        <w:t>aking on behalf of the Asia</w:t>
      </w:r>
      <w:r w:rsidR="007A00FC">
        <w:noBreakHyphen/>
      </w:r>
      <w:r w:rsidRPr="00045C18">
        <w:t xml:space="preserve">Pacific Group, thanked the </w:t>
      </w:r>
      <w:r w:rsidR="003D173E">
        <w:t>Chair, the Vice-Chairs and the f</w:t>
      </w:r>
      <w:r w:rsidRPr="00045C18">
        <w:t xml:space="preserve">acilitators for all their hard work in guiding the IGC in the course of the </w:t>
      </w:r>
      <w:r w:rsidR="003D173E">
        <w:t>week.  It thanked all Regional C</w:t>
      </w:r>
      <w:r w:rsidRPr="00045C18">
        <w:t>oordinators and all Member States for their flexibility and constructive spirit.  It thanked the Secret</w:t>
      </w:r>
      <w:r w:rsidR="004809FE" w:rsidRPr="00045C18">
        <w:t xml:space="preserve">ariat and </w:t>
      </w:r>
      <w:r w:rsidR="003D173E">
        <w:t>the C</w:t>
      </w:r>
      <w:r w:rsidRPr="00045C18">
        <w:t xml:space="preserve">onference </w:t>
      </w:r>
      <w:r w:rsidR="003D173E">
        <w:t xml:space="preserve">and </w:t>
      </w:r>
      <w:r w:rsidR="004105DF">
        <w:t>i</w:t>
      </w:r>
      <w:r w:rsidRPr="00045C18">
        <w:t>nterpreta</w:t>
      </w:r>
      <w:r w:rsidR="003D173E">
        <w:t>tion Services because</w:t>
      </w:r>
      <w:r w:rsidR="004809FE" w:rsidRPr="00045C18">
        <w:t xml:space="preserve"> without them</w:t>
      </w:r>
      <w:r w:rsidRPr="00045C18">
        <w:t xml:space="preserve"> the meeting would not have been as smooth.  It was delighted to see that the IGC was able to come up with the recommendations to the </w:t>
      </w:r>
      <w:r w:rsidR="007A00FC">
        <w:t>GA</w:t>
      </w:r>
      <w:r w:rsidRPr="00045C18">
        <w:t xml:space="preserve"> and to agree to close Agenda Item 7 with the TCE Draft Articles.  More work would be done in the </w:t>
      </w:r>
      <w:r w:rsidR="007A00FC">
        <w:t>GA</w:t>
      </w:r>
      <w:r w:rsidRPr="00045C18">
        <w:t xml:space="preserve">.  It would cooperate and would engage constructively for </w:t>
      </w:r>
      <w:r w:rsidR="004809FE" w:rsidRPr="00045C18">
        <w:t>a</w:t>
      </w:r>
      <w:r w:rsidRPr="00045C18">
        <w:t xml:space="preserve"> mutual outcome.  In its national capacity, it than</w:t>
      </w:r>
      <w:r w:rsidR="007A00FC">
        <w:t>ked all members of the Asia</w:t>
      </w:r>
      <w:r w:rsidR="007A00FC">
        <w:noBreakHyphen/>
      </w:r>
      <w:r w:rsidRPr="00045C18">
        <w:t xml:space="preserve">Pacific Group for delivering constructive inputs and decisions during the session.  </w:t>
      </w:r>
    </w:p>
    <w:p w14:paraId="06D5DF8F" w14:textId="77777777" w:rsidR="009B076A" w:rsidRPr="00045C18" w:rsidRDefault="009B076A" w:rsidP="00045C18"/>
    <w:p w14:paraId="55EE385B" w14:textId="69D39513" w:rsidR="00FE6DD2" w:rsidRPr="00045C18" w:rsidRDefault="009B076A" w:rsidP="00045C18">
      <w:pPr>
        <w:pStyle w:val="ListParagraph"/>
        <w:numPr>
          <w:ilvl w:val="0"/>
          <w:numId w:val="4"/>
        </w:numPr>
        <w:ind w:left="0" w:firstLine="0"/>
      </w:pPr>
      <w:r w:rsidRPr="00045C18">
        <w:lastRenderedPageBreak/>
        <w:t>The Delegation of Georgia, speaking on behalf of CEBS, thanked the Chair, the Vice-C</w:t>
      </w:r>
      <w:r w:rsidR="00893B4B">
        <w:t>hairs, the Secretariat and the f</w:t>
      </w:r>
      <w:r w:rsidRPr="00045C18">
        <w:t>acilitators for their invested efforts in the work of the week and all Member States for their constructive deliberations and hard work to advance i</w:t>
      </w:r>
      <w:r w:rsidR="00893B4B">
        <w:t xml:space="preserve">n the challenging exercise.  </w:t>
      </w:r>
      <w:r w:rsidRPr="00045C18">
        <w:t>It thanked the Secretariat f</w:t>
      </w:r>
      <w:r w:rsidR="00893B4B">
        <w:t>or its valuable contribution in organizing the Seminar</w:t>
      </w:r>
      <w:r w:rsidRPr="00045C18">
        <w:t>, which had provided an active exchange of views during the roundtables, thereby fueling evidence-based discussions.  It thanked all delegations for their constructive deliberations during the negot</w:t>
      </w:r>
      <w:r w:rsidR="00893B4B">
        <w:t>iation of the TCE text and the f</w:t>
      </w:r>
      <w:r w:rsidRPr="00045C18">
        <w:t>acilitators for capturing the positions of all M</w:t>
      </w:r>
      <w:r w:rsidR="00893B4B">
        <w:t xml:space="preserve">ember States in both revisions. </w:t>
      </w:r>
      <w:r w:rsidRPr="00045C18">
        <w:t xml:space="preserve"> However, it was crucial to have a meaningful discussion on the overall objectives of the instrument and to reach a common understanding on the core issues and a realistically achievable outcome.  It recognized the constructive and flexible approach w</w:t>
      </w:r>
      <w:r w:rsidR="00893B4B">
        <w:t xml:space="preserve">hile negotiating Agenda Item 8. </w:t>
      </w:r>
      <w:r w:rsidRPr="00045C18">
        <w:t xml:space="preserve"> It agreed that some progress had been achieved and taking into consideration the divergence of views it had witnessed that work required further advancement.  It assured of its further constructive engagement on the elements of the IGC mandate durin</w:t>
      </w:r>
      <w:r w:rsidR="00FE6DD2" w:rsidRPr="00045C18">
        <w:t xml:space="preserve">g the coming </w:t>
      </w:r>
      <w:r w:rsidR="007A00FC">
        <w:t>GA</w:t>
      </w:r>
      <w:r w:rsidR="00FE6DD2" w:rsidRPr="00045C18">
        <w:t xml:space="preserve">. </w:t>
      </w:r>
    </w:p>
    <w:p w14:paraId="2EF4D8DF" w14:textId="77777777" w:rsidR="00FE6DD2" w:rsidRPr="00045C18" w:rsidRDefault="00FE6DD2" w:rsidP="00045C18"/>
    <w:p w14:paraId="0230A660" w14:textId="1F6D1306" w:rsidR="00A109CD" w:rsidRPr="00045C18" w:rsidRDefault="00FE6DD2" w:rsidP="00045C18">
      <w:pPr>
        <w:pStyle w:val="ListParagraph"/>
        <w:numPr>
          <w:ilvl w:val="0"/>
          <w:numId w:val="4"/>
        </w:numPr>
        <w:ind w:left="0" w:firstLine="0"/>
      </w:pPr>
      <w:r w:rsidRPr="00045C18">
        <w:t xml:space="preserve">The Delegation of Japan, speaking on behalf of Group B, extended its appreciation to the Chair and </w:t>
      </w:r>
      <w:r w:rsidR="00F06F8E">
        <w:t xml:space="preserve">the </w:t>
      </w:r>
      <w:r w:rsidRPr="00045C18">
        <w:t>Vice-Chairs for their</w:t>
      </w:r>
      <w:r w:rsidR="00F06F8E">
        <w:t xml:space="preserve"> dedicated guidance and to the f</w:t>
      </w:r>
      <w:r w:rsidRPr="00045C18">
        <w:t>acilitators for their essential efforts.  It also extended appreciation to the Secretariat fo</w:t>
      </w:r>
      <w:r w:rsidR="00F06F8E">
        <w:t>r its contributions</w:t>
      </w:r>
      <w:r w:rsidRPr="00045C18">
        <w:t xml:space="preserve"> and to the interpreters for always being there throug</w:t>
      </w:r>
      <w:r w:rsidR="00F06F8E">
        <w:t>hout the week.  It thanked all Regional C</w:t>
      </w:r>
      <w:r w:rsidRPr="00045C18">
        <w:t xml:space="preserve">oordinators and Member States for their tireless efforts, especially during the informal consultations, which had been able to reach consensus on the draft decision under </w:t>
      </w:r>
      <w:r w:rsidR="00F06F8E">
        <w:t xml:space="preserve">Agenda </w:t>
      </w:r>
      <w:r w:rsidRPr="00045C18">
        <w:t xml:space="preserve">Item 8.  It took note of the recommendation to the </w:t>
      </w:r>
      <w:r w:rsidR="007A00FC">
        <w:t>GA</w:t>
      </w:r>
      <w:r w:rsidR="0010280B">
        <w:t>.</w:t>
      </w:r>
      <w:r w:rsidRPr="00045C18">
        <w:t xml:space="preserve">  It would continue to support an evidence-based approach and to consider a broad range of outcomes.  It remained committed to contributing actively in order to achieve mutually acceptable results on the mandate and the work program at the </w:t>
      </w:r>
      <w:r w:rsidR="007A00FC">
        <w:t>GA</w:t>
      </w:r>
      <w:r w:rsidRPr="00045C18">
        <w:t xml:space="preserve">.  </w:t>
      </w:r>
    </w:p>
    <w:p w14:paraId="1F6B6FAB" w14:textId="77777777" w:rsidR="00A109CD" w:rsidRPr="00045C18" w:rsidRDefault="00A109CD" w:rsidP="00045C18"/>
    <w:p w14:paraId="77A7AED7" w14:textId="79002106" w:rsidR="00A2794E" w:rsidRPr="00045C18" w:rsidRDefault="00A109CD" w:rsidP="00045C18">
      <w:pPr>
        <w:pStyle w:val="ListParagraph"/>
        <w:numPr>
          <w:ilvl w:val="0"/>
          <w:numId w:val="4"/>
        </w:numPr>
        <w:ind w:left="0" w:firstLine="0"/>
      </w:pPr>
      <w:r w:rsidRPr="00045C18">
        <w:t>The Delegation of China said that under the Chair’s leadership the meeting had successfully concluded all items.  It thanked the Chair for his efforts during the biennium.  It thanked the Vice-Chair</w:t>
      </w:r>
      <w:r w:rsidR="00C7180E" w:rsidRPr="00045C18">
        <w:t>s</w:t>
      </w:r>
      <w:r w:rsidRPr="00045C18">
        <w:t xml:space="preserve">, the Secretariat and </w:t>
      </w:r>
      <w:r w:rsidR="00C7180E" w:rsidRPr="00045C18">
        <w:t xml:space="preserve">the </w:t>
      </w:r>
      <w:r w:rsidR="00EE05DC">
        <w:t>f</w:t>
      </w:r>
      <w:r w:rsidRPr="00045C18">
        <w:t xml:space="preserve">acilitators for their efforts.  It was very pleased to see that a decision had been reached under </w:t>
      </w:r>
      <w:r w:rsidR="00EE05DC">
        <w:t xml:space="preserve">Agenda </w:t>
      </w:r>
      <w:r w:rsidRPr="00045C18">
        <w:t>Item 8, which recognized the progress made during the mandate, reaffirmed th</w:t>
      </w:r>
      <w:r w:rsidR="00EE05DC">
        <w:t>e importance of the IGC and submitted</w:t>
      </w:r>
      <w:r w:rsidRPr="00045C18">
        <w:t xml:space="preserve"> a recommendation to the </w:t>
      </w:r>
      <w:r w:rsidR="007A00FC">
        <w:t>GA to continue the IGC’</w:t>
      </w:r>
      <w:r w:rsidRPr="00045C18">
        <w:t xml:space="preserve">s work during the next biennium.  It would continue to cooperate and discuss with all Member States in a flexible and constructive manner in order to advance the work.  </w:t>
      </w:r>
    </w:p>
    <w:p w14:paraId="76EB5607" w14:textId="77777777" w:rsidR="00A2794E" w:rsidRPr="00045C18" w:rsidRDefault="00A2794E" w:rsidP="00045C18"/>
    <w:p w14:paraId="3D504859" w14:textId="4A237E0D" w:rsidR="00FD3E6A" w:rsidRPr="00045C18" w:rsidRDefault="00A2794E" w:rsidP="00045C18">
      <w:pPr>
        <w:pStyle w:val="ListParagraph"/>
        <w:numPr>
          <w:ilvl w:val="0"/>
          <w:numId w:val="4"/>
        </w:numPr>
        <w:ind w:left="0" w:firstLine="0"/>
      </w:pPr>
      <w:r w:rsidRPr="00045C18">
        <w:t xml:space="preserve">The Delegation of the EU, speaking on behalf of the EU and its Member States, thanked the </w:t>
      </w:r>
      <w:r w:rsidR="000B445D">
        <w:t>Chair, the Vice-Chairs and the f</w:t>
      </w:r>
      <w:r w:rsidRPr="00045C18">
        <w:t xml:space="preserve">acilitators for their contribution to the work, in particular on </w:t>
      </w:r>
      <w:r w:rsidR="000B445D">
        <w:t xml:space="preserve">Agenda </w:t>
      </w:r>
      <w:r w:rsidRPr="00045C18">
        <w:t xml:space="preserve">Items 7 and 8.  The text-based work on </w:t>
      </w:r>
      <w:r w:rsidR="000B445D">
        <w:t xml:space="preserve">Agenda </w:t>
      </w:r>
      <w:r w:rsidRPr="00045C18">
        <w:t xml:space="preserve">Item 7 showed the difficulties involved in attempting to make progress without a clear understanding on fundamental principles.  The methodology used to work on the text required clarification.  On a number of occasions, its comments had not been taken up in the revised draft on the basis that it did not support the language.  On other occasions, its suggestions had been taken onboard.  The IGC methodology should be applied consistently throughout the text.  As regards </w:t>
      </w:r>
      <w:r w:rsidR="000B445D">
        <w:t xml:space="preserve">Agenda </w:t>
      </w:r>
      <w:r w:rsidRPr="00045C18">
        <w:t xml:space="preserve">Item 8, it supported the decision on the recommendation to the </w:t>
      </w:r>
      <w:r w:rsidR="007A00FC">
        <w:t>GA</w:t>
      </w:r>
      <w:r w:rsidRPr="00045C18">
        <w:t xml:space="preserve"> in order to allow the stocktaking exercise to reflect the overall positive outcome of the current mandate.  It saluted the valuable contribution of </w:t>
      </w:r>
      <w:r w:rsidR="000B445D">
        <w:t xml:space="preserve">the </w:t>
      </w:r>
      <w:r w:rsidRPr="00045C18">
        <w:t>Vice-Chair</w:t>
      </w:r>
      <w:r w:rsidR="000B445D">
        <w:t>, Mr.</w:t>
      </w:r>
      <w:r w:rsidRPr="00045C18">
        <w:t xml:space="preserve"> </w:t>
      </w:r>
      <w:proofErr w:type="spellStart"/>
      <w:r w:rsidRPr="00045C18">
        <w:t>Liedes</w:t>
      </w:r>
      <w:proofErr w:type="spellEnd"/>
      <w:r w:rsidR="000B445D">
        <w:t>,</w:t>
      </w:r>
      <w:r w:rsidRPr="00045C18">
        <w:t xml:space="preserve"> who had helped foster the agreement.  It noted, however, that the decision made no clear reference to the studies and other work streams during the biennium.  It looked forward to studies being given the place they deserved in any new IGC</w:t>
      </w:r>
      <w:r w:rsidR="000B445D">
        <w:t>’s</w:t>
      </w:r>
      <w:r w:rsidRPr="00045C18">
        <w:t xml:space="preserve"> mandate.  Progress could only be achieved through an evidence-based approach.  It wished to avoid parallel processes in the future, as those did not necessarily contribute to an optimal use of time during the week.  It thanked the interpreters and meeting room technicians, without whom the meeting would not proceed as smoothly as it ha</w:t>
      </w:r>
      <w:r w:rsidR="000B445D">
        <w:t>d</w:t>
      </w:r>
      <w:r w:rsidRPr="00045C18">
        <w:t xml:space="preserve">.  It was grateful to the Chair for his commitment to the process. </w:t>
      </w:r>
    </w:p>
    <w:p w14:paraId="4BF45746" w14:textId="77777777" w:rsidR="00FD3E6A" w:rsidRPr="00045C18" w:rsidRDefault="00FD3E6A" w:rsidP="00045C18"/>
    <w:p w14:paraId="77C4E334" w14:textId="45A42A0D" w:rsidR="0017482C" w:rsidRPr="00045C18" w:rsidRDefault="00FD3E6A" w:rsidP="00045C18">
      <w:pPr>
        <w:pStyle w:val="ListParagraph"/>
        <w:numPr>
          <w:ilvl w:val="0"/>
          <w:numId w:val="4"/>
        </w:numPr>
        <w:ind w:left="0" w:firstLine="0"/>
      </w:pPr>
      <w:r w:rsidRPr="00045C18">
        <w:t xml:space="preserve">The Delegation of Indonesia, speaking on behalf of the LMCs, thanked all Member States for their constructive spirit.  It appreciated the active participation of the representatives of ILCs </w:t>
      </w:r>
      <w:r w:rsidRPr="00045C18">
        <w:lastRenderedPageBreak/>
        <w:t>w</w:t>
      </w:r>
      <w:r w:rsidR="00BD2710">
        <w:t>ithin the IGC.  It thanked all Regional C</w:t>
      </w:r>
      <w:r w:rsidRPr="00045C18">
        <w:t>oordinators, t</w:t>
      </w:r>
      <w:r w:rsidR="00BD2710">
        <w:t>he Chair, the Vice-Chairs, the f</w:t>
      </w:r>
      <w:r w:rsidRPr="00045C18">
        <w:t>acilitators, the Secretariat, the T</w:t>
      </w:r>
      <w:r w:rsidR="00BD2710">
        <w:t>K Division, the c</w:t>
      </w:r>
      <w:r w:rsidRPr="00045C18">
        <w:t>onference se</w:t>
      </w:r>
      <w:r w:rsidR="00BD2710">
        <w:t>rvices and the interpreters,</w:t>
      </w:r>
      <w:r w:rsidRPr="00045C18">
        <w:t xml:space="preserve"> </w:t>
      </w:r>
      <w:r w:rsidR="00BD2710">
        <w:t>without whom</w:t>
      </w:r>
      <w:r w:rsidRPr="00045C18">
        <w:t xml:space="preserve"> the meeting would not have run so smoothly.  The IGC was able to come up with recommendations on Agenda Item 8</w:t>
      </w:r>
      <w:r w:rsidR="00B23BB2" w:rsidRPr="00045C18">
        <w:t xml:space="preserve">.  It </w:t>
      </w:r>
      <w:r w:rsidRPr="00045C18">
        <w:t>confirm</w:t>
      </w:r>
      <w:r w:rsidR="00B23BB2" w:rsidRPr="00045C18">
        <w:t>ed</w:t>
      </w:r>
      <w:r w:rsidRPr="00045C18">
        <w:t xml:space="preserve"> </w:t>
      </w:r>
      <w:r w:rsidR="00B23BB2" w:rsidRPr="00045C18">
        <w:t>its</w:t>
      </w:r>
      <w:r w:rsidRPr="00045C18">
        <w:t xml:space="preserve"> full support and cooperation </w:t>
      </w:r>
      <w:r w:rsidR="00B23BB2" w:rsidRPr="00045C18">
        <w:t>on</w:t>
      </w:r>
      <w:r w:rsidRPr="00045C18">
        <w:t xml:space="preserve"> further work to be done during the </w:t>
      </w:r>
      <w:r w:rsidR="007A00FC">
        <w:t>GA</w:t>
      </w:r>
      <w:r w:rsidR="00B23BB2" w:rsidRPr="00045C18">
        <w:t>.  I</w:t>
      </w:r>
      <w:r w:rsidRPr="00045C18">
        <w:t>t h</w:t>
      </w:r>
      <w:r w:rsidR="00515038" w:rsidRPr="00045C18">
        <w:t>oped to keep the warm, friendly</w:t>
      </w:r>
      <w:r w:rsidRPr="00045C18">
        <w:t xml:space="preserve"> and respectful atmosphere in the </w:t>
      </w:r>
      <w:r w:rsidR="007A00FC">
        <w:t>GA</w:t>
      </w:r>
      <w:r w:rsidRPr="00045C18">
        <w:t xml:space="preserve"> when discuss</w:t>
      </w:r>
      <w:r w:rsidR="00B23BB2" w:rsidRPr="00045C18">
        <w:t>ing</w:t>
      </w:r>
      <w:r w:rsidRPr="00045C18">
        <w:t xml:space="preserve"> the work program and mandate</w:t>
      </w:r>
      <w:r w:rsidR="00B23BB2" w:rsidRPr="00045C18">
        <w:t>.  It</w:t>
      </w:r>
      <w:r w:rsidRPr="00045C18">
        <w:t xml:space="preserve"> was delighted and took note that the IGC had been able to discuss further the TCE Draft Articles, and </w:t>
      </w:r>
      <w:r w:rsidR="00B23BB2" w:rsidRPr="00045C18">
        <w:t>was</w:t>
      </w:r>
      <w:r w:rsidRPr="00045C18">
        <w:t xml:space="preserve"> happy to see that </w:t>
      </w:r>
      <w:r w:rsidR="00B23BB2" w:rsidRPr="00045C18">
        <w:t>it would</w:t>
      </w:r>
      <w:r w:rsidRPr="00045C18">
        <w:t xml:space="preserve"> also be conti</w:t>
      </w:r>
      <w:r w:rsidR="00B23BB2" w:rsidRPr="00045C18">
        <w:t>nued in future work of the IGC.  N</w:t>
      </w:r>
      <w:r w:rsidRPr="00045C18">
        <w:t xml:space="preserve">oting the importance of </w:t>
      </w:r>
      <w:r w:rsidR="00BD2710">
        <w:t>effective protection of GRs, TK</w:t>
      </w:r>
      <w:r w:rsidRPr="00045C18">
        <w:t xml:space="preserve"> and TCEs for all, it urged and ask</w:t>
      </w:r>
      <w:r w:rsidR="00B23BB2" w:rsidRPr="00045C18">
        <w:t>ed</w:t>
      </w:r>
      <w:r w:rsidRPr="00045C18">
        <w:t xml:space="preserve"> the indulgence of all Member States to move forward and take the next step with </w:t>
      </w:r>
      <w:r w:rsidR="00B23BB2" w:rsidRPr="00045C18">
        <w:t>a</w:t>
      </w:r>
      <w:r w:rsidRPr="00045C18">
        <w:t xml:space="preserve"> view to adopt</w:t>
      </w:r>
      <w:r w:rsidR="00B23BB2" w:rsidRPr="00045C18">
        <w:t>ing legally binding instrument(s).  I</w:t>
      </w:r>
      <w:r w:rsidRPr="00045C18">
        <w:t>t congratulated the Secretariat and extend</w:t>
      </w:r>
      <w:r w:rsidR="00B23BB2" w:rsidRPr="00045C18">
        <w:t>ed</w:t>
      </w:r>
      <w:r w:rsidRPr="00045C18">
        <w:t xml:space="preserve"> </w:t>
      </w:r>
      <w:r w:rsidR="00B23BB2" w:rsidRPr="00045C18">
        <w:t>its</w:t>
      </w:r>
      <w:r w:rsidRPr="00045C18">
        <w:t xml:space="preserve"> appreciation for the two </w:t>
      </w:r>
      <w:r w:rsidR="00BD2710" w:rsidRPr="00045C18">
        <w:t xml:space="preserve">new </w:t>
      </w:r>
      <w:r w:rsidR="00BD2710">
        <w:t>WIPO publications</w:t>
      </w:r>
      <w:r w:rsidRPr="00045C18">
        <w:t xml:space="preserve">, </w:t>
      </w:r>
      <w:r w:rsidR="00B23BB2" w:rsidRPr="00045C18">
        <w:t xml:space="preserve">which would </w:t>
      </w:r>
      <w:r w:rsidRPr="00045C18">
        <w:t xml:space="preserve">also inform the negotiations, </w:t>
      </w:r>
      <w:r w:rsidR="00BD2710">
        <w:t>just as</w:t>
      </w:r>
      <w:r w:rsidRPr="00045C18">
        <w:t xml:space="preserve"> studies</w:t>
      </w:r>
      <w:r w:rsidR="00B23BB2" w:rsidRPr="00045C18">
        <w:t xml:space="preserve"> might</w:t>
      </w:r>
      <w:r w:rsidR="00BD2710">
        <w:t xml:space="preserve"> do.</w:t>
      </w:r>
    </w:p>
    <w:p w14:paraId="574D4CBB" w14:textId="77777777" w:rsidR="0017482C" w:rsidRPr="00045C18" w:rsidRDefault="0017482C" w:rsidP="00045C18"/>
    <w:p w14:paraId="4B85921A" w14:textId="0F7D3B2B" w:rsidR="00E00CF8" w:rsidRPr="00045C18" w:rsidRDefault="007D44F7" w:rsidP="00045C18">
      <w:pPr>
        <w:pStyle w:val="ListParagraph"/>
        <w:numPr>
          <w:ilvl w:val="0"/>
          <w:numId w:val="4"/>
        </w:numPr>
        <w:ind w:left="0" w:firstLine="0"/>
      </w:pPr>
      <w:r w:rsidRPr="00045C18">
        <w:t>The representative of CEM-Aymara</w:t>
      </w:r>
      <w:r w:rsidR="0017482C" w:rsidRPr="00045C18">
        <w:t xml:space="preserve"> expressed </w:t>
      </w:r>
      <w:r w:rsidR="001B3C42" w:rsidRPr="00045C18">
        <w:t>his</w:t>
      </w:r>
      <w:r w:rsidR="0017482C" w:rsidRPr="00045C18">
        <w:t xml:space="preserve"> gratitude to the Chair for his leadership and to the Secretariat.  He thanked </w:t>
      </w:r>
      <w:r w:rsidR="00542895">
        <w:t xml:space="preserve">the </w:t>
      </w:r>
      <w:r w:rsidR="00542895" w:rsidRPr="00045C18">
        <w:t>Vice-Chair</w:t>
      </w:r>
      <w:r w:rsidR="00542895">
        <w:t>, Mr.</w:t>
      </w:r>
      <w:r w:rsidR="00542895" w:rsidRPr="00045C18">
        <w:t xml:space="preserve"> </w:t>
      </w:r>
      <w:proofErr w:type="spellStart"/>
      <w:r w:rsidR="00542895" w:rsidRPr="00045C18">
        <w:t>Liedes</w:t>
      </w:r>
      <w:proofErr w:type="spellEnd"/>
      <w:r w:rsidR="00542895" w:rsidRPr="00045C18">
        <w:t xml:space="preserve"> </w:t>
      </w:r>
      <w:r w:rsidR="00542895">
        <w:t xml:space="preserve">and Ms. Paiva </w:t>
      </w:r>
      <w:r w:rsidR="0017482C" w:rsidRPr="00045C18">
        <w:t xml:space="preserve">for having led the work in the </w:t>
      </w:r>
      <w:proofErr w:type="spellStart"/>
      <w:r w:rsidR="0017482C" w:rsidRPr="00045C18">
        <w:t>informals</w:t>
      </w:r>
      <w:proofErr w:type="spellEnd"/>
      <w:r w:rsidR="0017482C" w:rsidRPr="00045C18">
        <w:t xml:space="preserve"> on Agenda Item 8.  He thanked the </w:t>
      </w:r>
      <w:r w:rsidR="00542895">
        <w:t xml:space="preserve">Delegation of Senegal, on behalf of the </w:t>
      </w:r>
      <w:r w:rsidR="0017482C" w:rsidRPr="00045C18">
        <w:t>African Group</w:t>
      </w:r>
      <w:r w:rsidR="00542895">
        <w:t>,</w:t>
      </w:r>
      <w:r w:rsidR="0017482C" w:rsidRPr="00045C18">
        <w:t xml:space="preserve"> and the Delegation of El Salvador for their proposals and the States </w:t>
      </w:r>
      <w:r w:rsidR="001B3C42" w:rsidRPr="00045C18">
        <w:t>that</w:t>
      </w:r>
      <w:r w:rsidR="0017482C" w:rsidRPr="00045C18">
        <w:t xml:space="preserve"> had supported the participation of indigenous people</w:t>
      </w:r>
      <w:r w:rsidR="00542895">
        <w:t>s</w:t>
      </w:r>
      <w:r w:rsidR="0017482C" w:rsidRPr="00045C18">
        <w:t xml:space="preserve"> in the process.  He recognized the importance of coming to an agreement on one or various legal instruments, which could ensure the </w:t>
      </w:r>
      <w:r w:rsidR="00542895">
        <w:t>effective protection of GRs, TK</w:t>
      </w:r>
      <w:r w:rsidR="0017482C" w:rsidRPr="00045C18">
        <w:t xml:space="preserve"> and TCEs.  </w:t>
      </w:r>
      <w:r w:rsidR="0017482C" w:rsidRPr="00D3734D">
        <w:t>That was not only crucial for the creativity and innovation of indigenous people</w:t>
      </w:r>
      <w:r w:rsidR="00D3734D" w:rsidRPr="00D3734D">
        <w:t>s</w:t>
      </w:r>
      <w:r w:rsidR="0017482C" w:rsidRPr="00D3734D">
        <w:t xml:space="preserve"> but also represented their identity and heritage, which were sacred to indigenous people</w:t>
      </w:r>
      <w:r w:rsidR="00D3734D" w:rsidRPr="00D3734D">
        <w:t>s</w:t>
      </w:r>
      <w:r w:rsidR="0017482C" w:rsidRPr="00D3734D">
        <w:t xml:space="preserve">.  He recognized the progress made in the IGC on the various texts and said </w:t>
      </w:r>
      <w:r w:rsidR="00D3734D" w:rsidRPr="00D3734D">
        <w:t xml:space="preserve">that </w:t>
      </w:r>
      <w:r w:rsidR="0017482C" w:rsidRPr="00D3734D">
        <w:t>consensus should be reached for the adoption of those texts at a diplomatic conference.  He urged Member States to have flexible positions in order to come to an agreement to ensure that indigenous people</w:t>
      </w:r>
      <w:r w:rsidR="004B79ED">
        <w:t>s</w:t>
      </w:r>
      <w:r w:rsidR="0017482C" w:rsidRPr="00D3734D">
        <w:t xml:space="preserve"> could maintain</w:t>
      </w:r>
      <w:r w:rsidR="004B79ED">
        <w:t>,</w:t>
      </w:r>
      <w:r w:rsidR="0017482C" w:rsidRPr="00D3734D">
        <w:t xml:space="preserve"> control and continue to develop their TCEs, TK and GRs.  It was crucial to include indigenous people</w:t>
      </w:r>
      <w:r w:rsidR="004B79ED">
        <w:t>s</w:t>
      </w:r>
      <w:r w:rsidR="0017482C" w:rsidRPr="00D3734D">
        <w:t xml:space="preserve"> in the IGC as the conclusion of the process was nearing.  The full par</w:t>
      </w:r>
      <w:r w:rsidR="001B3C42" w:rsidRPr="00D3734D">
        <w:t>ticipation of</w:t>
      </w:r>
      <w:r w:rsidR="0017482C" w:rsidRPr="00D3734D">
        <w:t xml:space="preserve"> indigenous people</w:t>
      </w:r>
      <w:r w:rsidR="004B79ED">
        <w:t>s</w:t>
      </w:r>
      <w:r w:rsidR="0017482C" w:rsidRPr="00D3734D">
        <w:t xml:space="preserve"> in the process ensured the contributi</w:t>
      </w:r>
      <w:r w:rsidR="001B3C42" w:rsidRPr="00D3734D">
        <w:t xml:space="preserve">on of those who would be </w:t>
      </w:r>
      <w:r w:rsidR="0017482C" w:rsidRPr="00D3734D">
        <w:t>the beneficiaries</w:t>
      </w:r>
      <w:r w:rsidR="0017482C" w:rsidRPr="00045C18">
        <w:t xml:space="preserve"> of the instruments.  The UN had recognized seven cultural regions when the Human Rights Council renewed the mechanism for participation of indigenous people</w:t>
      </w:r>
      <w:r w:rsidR="004B79ED">
        <w:t>s</w:t>
      </w:r>
      <w:r w:rsidR="0017482C" w:rsidRPr="00045C18">
        <w:t xml:space="preserve">, and it continued to expand.  </w:t>
      </w:r>
      <w:r w:rsidR="00285366" w:rsidRPr="00045C18">
        <w:t>When establishing</w:t>
      </w:r>
      <w:r w:rsidR="0017482C" w:rsidRPr="00045C18">
        <w:t xml:space="preserve"> intersessional working group</w:t>
      </w:r>
      <w:r w:rsidR="00285366" w:rsidRPr="00045C18">
        <w:t>s</w:t>
      </w:r>
      <w:r w:rsidR="0017482C" w:rsidRPr="00045C18">
        <w:t>, new working models should ensure representation of indigenous people</w:t>
      </w:r>
      <w:r w:rsidR="004B79ED">
        <w:t>s</w:t>
      </w:r>
      <w:r w:rsidR="0017482C" w:rsidRPr="00045C18">
        <w:t xml:space="preserve"> from every region.  </w:t>
      </w:r>
    </w:p>
    <w:p w14:paraId="5E42C610" w14:textId="77777777" w:rsidR="00E00CF8" w:rsidRPr="00045C18" w:rsidRDefault="00E00CF8" w:rsidP="00045C18"/>
    <w:p w14:paraId="42B52CC1" w14:textId="5A2D6ABF" w:rsidR="00D46873" w:rsidRPr="00045C18" w:rsidRDefault="00E00CF8" w:rsidP="00045C18">
      <w:pPr>
        <w:pStyle w:val="ListParagraph"/>
        <w:numPr>
          <w:ilvl w:val="0"/>
          <w:numId w:val="4"/>
        </w:numPr>
        <w:ind w:left="0" w:firstLine="0"/>
      </w:pPr>
      <w:r w:rsidRPr="00045C18">
        <w:t>The representative of INBRAPI expressed her gratitude to the Chair, the Vice-Chairs,</w:t>
      </w:r>
      <w:r w:rsidR="001D1347">
        <w:t xml:space="preserve"> the Secretariat, the tireless f</w:t>
      </w:r>
      <w:r w:rsidRPr="00045C18">
        <w:t xml:space="preserve">acilitators and the interpreters for their work.  She thanked </w:t>
      </w:r>
      <w:r w:rsidR="001D1347">
        <w:t xml:space="preserve">the Delegation of Senegal, on behalf of </w:t>
      </w:r>
      <w:r w:rsidRPr="00045C18">
        <w:t>the African Group</w:t>
      </w:r>
      <w:r w:rsidR="001D1347">
        <w:t>,</w:t>
      </w:r>
      <w:r w:rsidRPr="00045C18">
        <w:t xml:space="preserve"> and </w:t>
      </w:r>
      <w:r w:rsidR="001D1347">
        <w:t xml:space="preserve">the Delegation of Indonesia, on behalf of </w:t>
      </w:r>
      <w:r w:rsidRPr="00045C18">
        <w:t>the LMCs</w:t>
      </w:r>
      <w:r w:rsidR="001D1347">
        <w:t>,</w:t>
      </w:r>
      <w:r w:rsidRPr="00045C18">
        <w:t xml:space="preserve"> for their support to her proposals.  It was very important to implement the participation of indigenous people</w:t>
      </w:r>
      <w:r w:rsidR="001D1347">
        <w:t>s</w:t>
      </w:r>
      <w:r w:rsidRPr="00045C18">
        <w:t xml:space="preserve"> and increase it in the work of the IGC because one or various binding international instruments granting effective protection to TCEs, GRs and TK were urgently needed.  </w:t>
      </w:r>
      <w:r w:rsidR="001D1347">
        <w:t>T</w:t>
      </w:r>
      <w:r w:rsidRPr="00045C18">
        <w:t xml:space="preserve">here was a reference to UNDRIP in the three operative texts.  She was pleased to see that many parties from many countries continued to work with a view to the future to ensure that a diplomatic conference could overcome any gaps identified in plenary and </w:t>
      </w:r>
      <w:proofErr w:type="spellStart"/>
      <w:r w:rsidRPr="00045C18">
        <w:t>informals</w:t>
      </w:r>
      <w:proofErr w:type="spellEnd"/>
      <w:r w:rsidRPr="00045C18">
        <w:t xml:space="preserve">.  She hoped to return home under the blessings of the creator to achieve their aim.  </w:t>
      </w:r>
    </w:p>
    <w:p w14:paraId="3B82B2E4" w14:textId="77777777" w:rsidR="00D46873" w:rsidRPr="00045C18" w:rsidRDefault="00D46873" w:rsidP="00045C18"/>
    <w:p w14:paraId="2015B94F" w14:textId="69A2090E" w:rsidR="009A40BE" w:rsidRPr="00045C18" w:rsidRDefault="00D46873" w:rsidP="00045C18">
      <w:pPr>
        <w:pStyle w:val="ListParagraph"/>
        <w:numPr>
          <w:ilvl w:val="0"/>
          <w:numId w:val="4"/>
        </w:numPr>
        <w:ind w:left="0" w:firstLine="0"/>
      </w:pPr>
      <w:r w:rsidRPr="00045C18">
        <w:t>The Delegation of Brazil aligned itself with t</w:t>
      </w:r>
      <w:r w:rsidR="001D1347">
        <w:t>he statements of the Delegation</w:t>
      </w:r>
      <w:r w:rsidRPr="00045C18">
        <w:t xml:space="preserve"> of Colombia</w:t>
      </w:r>
      <w:r w:rsidR="001D1347">
        <w:t>,</w:t>
      </w:r>
      <w:r w:rsidRPr="00045C18">
        <w:t xml:space="preserve"> on behalf of GRULAC</w:t>
      </w:r>
      <w:r w:rsidR="001D1347">
        <w:t>,</w:t>
      </w:r>
      <w:r w:rsidRPr="00045C18">
        <w:t xml:space="preserve"> and </w:t>
      </w:r>
      <w:r w:rsidR="001D1347">
        <w:t xml:space="preserve">the Delegation </w:t>
      </w:r>
      <w:r w:rsidRPr="00045C18">
        <w:t>of Indonesia</w:t>
      </w:r>
      <w:r w:rsidR="001D1347">
        <w:t>,</w:t>
      </w:r>
      <w:r w:rsidRPr="00045C18">
        <w:t xml:space="preserve"> on behalf of the LMCs.  It thanked the Chair, the Vice-C</w:t>
      </w:r>
      <w:r w:rsidR="001D1347">
        <w:t>hairs, the Secretariat and the f</w:t>
      </w:r>
      <w:r w:rsidRPr="00045C18">
        <w:t>acilitators for their efforts during the intense week and for its preparation, which had certainly been no less intense.  It expressed its appreciation for the Chair’s personal commitment and important role in moving the process forward.  It also thanked</w:t>
      </w:r>
      <w:r w:rsidR="001D1347">
        <w:t xml:space="preserve"> the</w:t>
      </w:r>
      <w:r w:rsidRPr="00045C18">
        <w:t xml:space="preserve"> Vice-Chair</w:t>
      </w:r>
      <w:r w:rsidR="001D1347">
        <w:t>, Mr.</w:t>
      </w:r>
      <w:r w:rsidRPr="00045C18">
        <w:t xml:space="preserve"> </w:t>
      </w:r>
      <w:proofErr w:type="spellStart"/>
      <w:r w:rsidRPr="00045C18">
        <w:t>Liedes</w:t>
      </w:r>
      <w:proofErr w:type="spellEnd"/>
      <w:r w:rsidR="001D1347">
        <w:t>, and the f</w:t>
      </w:r>
      <w:r w:rsidRPr="00045C18">
        <w:t>acilitator</w:t>
      </w:r>
      <w:r w:rsidR="001D1347">
        <w:t>, Ms.</w:t>
      </w:r>
      <w:r w:rsidRPr="00045C18">
        <w:t xml:space="preserve"> Paiva who deserved high praise for helping to reach consensus among very different viewpoints.  It was hopeful that the recommendation to the </w:t>
      </w:r>
      <w:r w:rsidR="007A00FC">
        <w:t>GA</w:t>
      </w:r>
      <w:r w:rsidRPr="00045C18">
        <w:t xml:space="preserve"> would result in a strong mandate that would allow Member States to build common ground with a view to reaching agreement on an international legal instrument(s).  That should continue to be done in consultation with indigenous groups.  It could not conceive </w:t>
      </w:r>
      <w:r w:rsidR="004105DF">
        <w:t xml:space="preserve">of </w:t>
      </w:r>
      <w:r w:rsidRPr="00045C18">
        <w:t xml:space="preserve">WIPO without the IGC.  The Chair and all Member States could count on the </w:t>
      </w:r>
      <w:r w:rsidRPr="00045C18">
        <w:lastRenderedPageBreak/>
        <w:t xml:space="preserve">Delegation to work in a committed, loyal and constructive manner towards a mutually satisfactory outcome.  </w:t>
      </w:r>
    </w:p>
    <w:p w14:paraId="7C72D56D" w14:textId="77777777" w:rsidR="009A40BE" w:rsidRPr="00045C18" w:rsidRDefault="009A40BE" w:rsidP="00045C18"/>
    <w:p w14:paraId="5C72AC9C" w14:textId="74507840" w:rsidR="00317713" w:rsidRPr="00045C18" w:rsidRDefault="009A40BE" w:rsidP="00045C18">
      <w:pPr>
        <w:pStyle w:val="ListParagraph"/>
        <w:numPr>
          <w:ilvl w:val="0"/>
          <w:numId w:val="4"/>
        </w:numPr>
        <w:ind w:left="0" w:firstLine="0"/>
      </w:pPr>
      <w:r w:rsidRPr="00045C18">
        <w:t>The Delegation of the USA thanked t</w:t>
      </w:r>
      <w:r w:rsidR="0011513A">
        <w:t>he Chair, the Vice-Chairs, the f</w:t>
      </w:r>
      <w:r w:rsidRPr="00045C18">
        <w:t>acilitators and the Secretariat for their efforts to bring the session as well as the biennium to a satisfactory conclusion.  It recognized the diligent</w:t>
      </w:r>
      <w:r w:rsidR="0011513A">
        <w:t xml:space="preserve"> efforts of the Vice-Chair, Mr. </w:t>
      </w:r>
      <w:proofErr w:type="spellStart"/>
      <w:r w:rsidR="0011513A">
        <w:t>Liedes</w:t>
      </w:r>
      <w:proofErr w:type="spellEnd"/>
      <w:r w:rsidR="0011513A">
        <w:t>, and the f</w:t>
      </w:r>
      <w:r w:rsidRPr="00045C18">
        <w:t>acilitator</w:t>
      </w:r>
      <w:r w:rsidR="0011513A">
        <w:t>, Ms.</w:t>
      </w:r>
      <w:r w:rsidRPr="00045C18">
        <w:t xml:space="preserve"> Paiva</w:t>
      </w:r>
      <w:r w:rsidR="0011513A">
        <w:t>,</w:t>
      </w:r>
      <w:r w:rsidRPr="00045C18">
        <w:t xml:space="preserve"> in finalizing a decision for the </w:t>
      </w:r>
      <w:r w:rsidR="007A00FC">
        <w:t>GA</w:t>
      </w:r>
      <w:r w:rsidRPr="00045C18">
        <w:t>.  It looked forw</w:t>
      </w:r>
      <w:r w:rsidR="0011513A">
        <w:t>ard to working with other WIPO M</w:t>
      </w:r>
      <w:r w:rsidRPr="00045C18">
        <w:t>ember</w:t>
      </w:r>
      <w:r w:rsidR="0011513A">
        <w:t xml:space="preserve"> State</w:t>
      </w:r>
      <w:r w:rsidRPr="00045C18">
        <w:t xml:space="preserve">s at the </w:t>
      </w:r>
      <w:r w:rsidR="007A00FC">
        <w:t>GA</w:t>
      </w:r>
      <w:r w:rsidRPr="00045C18">
        <w:t xml:space="preserve"> to reach </w:t>
      </w:r>
      <w:r w:rsidR="0011513A">
        <w:t xml:space="preserve">an </w:t>
      </w:r>
      <w:r w:rsidRPr="00045C18">
        <w:t xml:space="preserve">agreement on a new mandate and </w:t>
      </w:r>
      <w:r w:rsidR="0011513A">
        <w:t xml:space="preserve">a </w:t>
      </w:r>
      <w:r w:rsidRPr="00045C18">
        <w:t>work program.  Under that new mandate, it envisioned a process that was inclusive of a full range of observers with input from all interested stakeholders.  Work under the new mandate should fully consid</w:t>
      </w:r>
      <w:r w:rsidR="0011513A">
        <w:t>er text-based proposals of all M</w:t>
      </w:r>
      <w:r w:rsidRPr="00045C18">
        <w:t>ember</w:t>
      </w:r>
      <w:r w:rsidR="0011513A">
        <w:t xml:space="preserve"> State</w:t>
      </w:r>
      <w:r w:rsidRPr="00045C18">
        <w:t>s.  In addition, the process would benefit from additional information about the implementation of national disclosure requirements.  The IGC would also benefit from a deeper examination of how existing provisions to protect TK and TCEs worked in practice.  As such, studies and other evidence of national experience would be extremely valuable.  It</w:t>
      </w:r>
      <w:r w:rsidR="0011513A">
        <w:t xml:space="preserve"> looked forward to reading WIPO’</w:t>
      </w:r>
      <w:r w:rsidRPr="00045C18">
        <w:t xml:space="preserve">s new publication about disclosure requirements.  It looked forward to working constructively with others during the </w:t>
      </w:r>
      <w:r w:rsidR="007A00FC">
        <w:t>GA</w:t>
      </w:r>
      <w:r w:rsidRPr="00045C18">
        <w:t xml:space="preserve"> to find a mutually acceptable path forward on those important topics.  </w:t>
      </w:r>
    </w:p>
    <w:p w14:paraId="3654B9CF" w14:textId="77777777" w:rsidR="00317713" w:rsidRPr="00045C18" w:rsidRDefault="00317713" w:rsidP="00045C18"/>
    <w:p w14:paraId="6B690B92" w14:textId="10C563FE" w:rsidR="00FA6BCA" w:rsidRPr="00045C18" w:rsidRDefault="00317713" w:rsidP="00045C18">
      <w:pPr>
        <w:pStyle w:val="ListParagraph"/>
        <w:numPr>
          <w:ilvl w:val="0"/>
          <w:numId w:val="4"/>
        </w:numPr>
        <w:ind w:left="0" w:firstLine="0"/>
      </w:pPr>
      <w:r w:rsidRPr="00045C18">
        <w:t>The representative of Tupaj Amaru said that the IGC had not answered, after so many years of debates, the substantive question as to why there was a need for a b</w:t>
      </w:r>
      <w:r w:rsidR="0011513A">
        <w:t>inding international instrument</w:t>
      </w:r>
      <w:r w:rsidRPr="00045C18">
        <w:t>.  He felt more than ever the absence of an international legal framework that guaranteed the protection of TK, TCEs and GRs.  Those were a source of well-being, not only for indigenous people</w:t>
      </w:r>
      <w:r w:rsidR="0011513A">
        <w:t>s</w:t>
      </w:r>
      <w:r w:rsidRPr="00045C18">
        <w:t>, but for all of humanity</w:t>
      </w:r>
      <w:r w:rsidR="00FA7596" w:rsidRPr="00045C18">
        <w:t xml:space="preserve"> and,</w:t>
      </w:r>
      <w:r w:rsidRPr="00045C18">
        <w:t xml:space="preserve"> in particular, for the balance of humanity with nature, which was vital to sustain all life on </w:t>
      </w:r>
      <w:r w:rsidR="0011513A">
        <w:t>the e</w:t>
      </w:r>
      <w:r w:rsidRPr="00045C18">
        <w:t xml:space="preserve">arth, because GRs and TK associated with them covered infinite living organisms and other forms of life which were constantly transforming over time.  Nowadays, more than ever, they were threatened with extinction through </w:t>
      </w:r>
      <w:proofErr w:type="spellStart"/>
      <w:r w:rsidRPr="00045C18">
        <w:t>bioprospection</w:t>
      </w:r>
      <w:proofErr w:type="spellEnd"/>
      <w:r w:rsidRPr="00045C18">
        <w:t>, since biodiversity was not a process of GRs of those people</w:t>
      </w:r>
      <w:r w:rsidR="00626B62">
        <w:t>s</w:t>
      </w:r>
      <w:r w:rsidRPr="00045C18">
        <w:t xml:space="preserve"> who possess</w:t>
      </w:r>
      <w:r w:rsidR="00626B62">
        <w:t>ed, maintained, held, developed</w:t>
      </w:r>
      <w:r w:rsidRPr="00045C18">
        <w:t xml:space="preserve"> and created those resources covered by the IP regime.  He thanked the interpreters for conveying his ideas to the meeting, and thanked the Chair and the Vice-Chairs for having allowed him to intervene on various occasions.  </w:t>
      </w:r>
    </w:p>
    <w:p w14:paraId="37EDC3EB" w14:textId="77777777" w:rsidR="00FA6BCA" w:rsidRPr="00045C18" w:rsidRDefault="00FA6BCA" w:rsidP="00045C18"/>
    <w:p w14:paraId="3781ED28" w14:textId="77777777" w:rsidR="00DB23B7" w:rsidRPr="00045C18" w:rsidRDefault="00FA6BCA" w:rsidP="00045C18">
      <w:pPr>
        <w:pStyle w:val="ListParagraph"/>
        <w:numPr>
          <w:ilvl w:val="0"/>
          <w:numId w:val="4"/>
        </w:numPr>
        <w:ind w:left="0" w:firstLine="0"/>
      </w:pPr>
      <w:r w:rsidRPr="00045C18">
        <w:t xml:space="preserve">The representative of OAPI thanked WIPO for having enabled her to participate in the session.  She thanked the Secretariat for having ensured that the work had taken place correctly and well.  She took note of the progress made and noted that the participants had agreed on how to proceed with the work of the IGC, given the importance of the question at hand.  The compromise that had prevailed should continue during the next mandate in order to come up with more concrete results, particularly a diplomatic conference.  </w:t>
      </w:r>
    </w:p>
    <w:p w14:paraId="0E73E8C2" w14:textId="77777777" w:rsidR="00DB23B7" w:rsidRPr="00045C18" w:rsidRDefault="00DB23B7" w:rsidP="00045C18"/>
    <w:p w14:paraId="0FB50A0F" w14:textId="780089CC" w:rsidR="00D53FD5" w:rsidRPr="00045C18" w:rsidRDefault="00DB23B7" w:rsidP="00045C18">
      <w:pPr>
        <w:pStyle w:val="ListParagraph"/>
        <w:numPr>
          <w:ilvl w:val="0"/>
          <w:numId w:val="4"/>
        </w:numPr>
        <w:ind w:left="0" w:firstLine="0"/>
      </w:pPr>
      <w:r w:rsidRPr="00045C18">
        <w:t>The Delegation of Nigeria aligned itself with the statement made by the Delegation of Senegal</w:t>
      </w:r>
      <w:r w:rsidR="0012170C">
        <w:t>,</w:t>
      </w:r>
      <w:r w:rsidRPr="00045C18">
        <w:t xml:space="preserve"> on behalf of the African Group.  It was thankful to the Secretariat who had assisted in the session.  It was delighted to note the progress made and, in particular, the decision that Member States had arrived at.  It thanked the Chair for the constructive and encouraging approach.  Continued and ongoing interaction and engagement, both formally and informally, was critical to the conclusion of the work that the IGC had been tasked with and to which it had been dedicated for quite a number of years.  Despite the progress made, a number of Member States recognized that much work was needed, particularly on the TCE text.  It looked forward to sharing experiences and to the study of existing case studies that WIPO had produced over the years that could help bridge the gaps and foster mutual understanding.  It looked forward to the </w:t>
      </w:r>
      <w:r w:rsidR="007A00FC">
        <w:t>GA</w:t>
      </w:r>
      <w:r w:rsidRPr="00045C18">
        <w:t xml:space="preserve"> and to the opportunity to craft a mandate that was meaningful, advanced progress, and brought to a conclusion on one or more of those proposed instruments.  </w:t>
      </w:r>
    </w:p>
    <w:p w14:paraId="2F4FA20A" w14:textId="77777777" w:rsidR="00D53FD5" w:rsidRPr="00045C18" w:rsidRDefault="00D53FD5" w:rsidP="00045C18"/>
    <w:p w14:paraId="3C282364" w14:textId="17AC07E5" w:rsidR="00392295" w:rsidRDefault="00D53FD5" w:rsidP="00392295">
      <w:pPr>
        <w:pStyle w:val="ListParagraph"/>
        <w:numPr>
          <w:ilvl w:val="0"/>
          <w:numId w:val="4"/>
        </w:numPr>
        <w:ind w:left="0" w:firstLine="0"/>
      </w:pPr>
      <w:r w:rsidRPr="00E52A6F">
        <w:t xml:space="preserve">The representative of ADJMOR, speaking on behalf of the Indigenous Caucus, </w:t>
      </w:r>
      <w:r w:rsidR="00392295" w:rsidRPr="00E52A6F">
        <w:t>thank</w:t>
      </w:r>
      <w:r w:rsidR="004105DF" w:rsidRPr="00E52A6F">
        <w:t>ed</w:t>
      </w:r>
      <w:r w:rsidR="00392295" w:rsidRPr="00E52A6F">
        <w:t xml:space="preserve"> the Chair, the Vice-Chairs, the facilitators, the Member States and the Secretariat for their</w:t>
      </w:r>
      <w:r w:rsidR="00392295">
        <w:t xml:space="preserve"> support of the participation of IPLCs.  The negotiations must result in international instruments that adequately protect IPLCs’ collective rights, TK, cultural heritage and TCEs.  The legitimacy </w:t>
      </w:r>
      <w:r w:rsidR="00392295">
        <w:lastRenderedPageBreak/>
        <w:t xml:space="preserve">of the process itself depended on the full and effective participation of indigenous peoples.  The Indigenous Caucus had several suggestions for improving the participation of IPLCs, as outlined in the statement under Agenda Item 6.  </w:t>
      </w:r>
      <w:r w:rsidR="006873D7">
        <w:t>He</w:t>
      </w:r>
      <w:r w:rsidR="00392295">
        <w:t xml:space="preserve"> would particularly like to draw attention to th</w:t>
      </w:r>
      <w:r w:rsidR="006873D7">
        <w:t>e need for funding to ensure the</w:t>
      </w:r>
      <w:r w:rsidR="00392295">
        <w:t xml:space="preserve"> continued participation</w:t>
      </w:r>
      <w:r w:rsidR="006873D7">
        <w:t xml:space="preserve"> of IPLCs.  </w:t>
      </w:r>
      <w:r w:rsidR="00392295">
        <w:t>Indigenous peoples strongly urge</w:t>
      </w:r>
      <w:r w:rsidR="006873D7">
        <w:t>d</w:t>
      </w:r>
      <w:r w:rsidR="00392295">
        <w:t xml:space="preserve"> Member States to implement national policies that protect</w:t>
      </w:r>
      <w:r w:rsidR="006873D7">
        <w:t>ed</w:t>
      </w:r>
      <w:r w:rsidR="00392295">
        <w:t xml:space="preserve"> the rights of indigenous peoples, their </w:t>
      </w:r>
      <w:r w:rsidR="006873D7">
        <w:t>TK</w:t>
      </w:r>
      <w:r w:rsidR="00392295">
        <w:t xml:space="preserve">, cultural heritage and </w:t>
      </w:r>
      <w:r w:rsidR="006873D7">
        <w:t>TCEs</w:t>
      </w:r>
      <w:proofErr w:type="gramStart"/>
      <w:r w:rsidR="00392295">
        <w:t>;  to</w:t>
      </w:r>
      <w:proofErr w:type="gramEnd"/>
      <w:r w:rsidR="00392295">
        <w:t xml:space="preserve"> include indigenous representatives in their delegations to the IGC;  and to expressly guarantee the participation of indigenous peoples in the IGC.</w:t>
      </w:r>
      <w:r w:rsidR="006873D7">
        <w:t xml:space="preserve">  </w:t>
      </w:r>
      <w:r w:rsidR="00392295">
        <w:t xml:space="preserve">The international instruments developed by the </w:t>
      </w:r>
      <w:r w:rsidR="006873D7">
        <w:t>IGC could not treat their TCEs in a way that was</w:t>
      </w:r>
      <w:r w:rsidR="00392295">
        <w:t xml:space="preserve"> based solely</w:t>
      </w:r>
      <w:r w:rsidR="00762F6D">
        <w:t xml:space="preserve"> on individual rights because IPLCs</w:t>
      </w:r>
      <w:r w:rsidR="00392295">
        <w:t xml:space="preserve"> view</w:t>
      </w:r>
      <w:r w:rsidR="00762F6D">
        <w:t>ed</w:t>
      </w:r>
      <w:r w:rsidR="00392295">
        <w:t xml:space="preserve"> them as falling under a collective right.  The approach should ensure mutual strengthening of rights and measures to address the identified gaps in the protection of </w:t>
      </w:r>
      <w:r w:rsidR="00762F6D">
        <w:t>TK</w:t>
      </w:r>
      <w:r w:rsidR="00392295">
        <w:t>, cultural heritage and TCEs.</w:t>
      </w:r>
      <w:r w:rsidR="00762F6D">
        <w:t xml:space="preserve">  Those rights could</w:t>
      </w:r>
      <w:r w:rsidR="00392295">
        <w:t xml:space="preserve"> be derived from </w:t>
      </w:r>
      <w:r w:rsidR="00762F6D">
        <w:t>UNDRIP</w:t>
      </w:r>
      <w:r w:rsidR="00392295">
        <w:t xml:space="preserve"> and o</w:t>
      </w:r>
      <w:r w:rsidR="00762F6D">
        <w:t>ther relevant instruments.  That</w:t>
      </w:r>
      <w:r w:rsidR="00392295">
        <w:t xml:space="preserve"> should be reflected in the mandate of the </w:t>
      </w:r>
      <w:r w:rsidR="00762F6D">
        <w:t xml:space="preserve">IGC.  </w:t>
      </w:r>
      <w:r w:rsidR="00392295">
        <w:t>Indigenous peoples collectively maintain</w:t>
      </w:r>
      <w:r w:rsidR="00762F6D">
        <w:t>ed</w:t>
      </w:r>
      <w:r w:rsidR="00392295">
        <w:t xml:space="preserve"> a spiritual, religious, social, cultural and economic link with their </w:t>
      </w:r>
      <w:r w:rsidR="00762F6D">
        <w:t>TK</w:t>
      </w:r>
      <w:r w:rsidR="00392295">
        <w:t xml:space="preserve">, cultural heritage and </w:t>
      </w:r>
      <w:r w:rsidR="00762F6D">
        <w:t>TCEs</w:t>
      </w:r>
      <w:r w:rsidR="00392295">
        <w:t>.  The draft texts must recognize this link and provide better means of maintaining and protecting that relationship.</w:t>
      </w:r>
      <w:r w:rsidR="00762F6D">
        <w:t xml:space="preserve">  As the IGC</w:t>
      </w:r>
      <w:r w:rsidR="00392295">
        <w:t xml:space="preserve"> move</w:t>
      </w:r>
      <w:r w:rsidR="00762F6D">
        <w:t>d</w:t>
      </w:r>
      <w:r w:rsidR="00392295">
        <w:t xml:space="preserve"> towards the en</w:t>
      </w:r>
      <w:r w:rsidR="00762F6D">
        <w:t>d of the current IGC mandate, indigenous representatives</w:t>
      </w:r>
      <w:r w:rsidR="00392295">
        <w:t xml:space="preserve"> remain</w:t>
      </w:r>
      <w:r w:rsidR="00762F6D">
        <w:t>ed confident that IPLCs could</w:t>
      </w:r>
      <w:r w:rsidR="00392295">
        <w:t xml:space="preserve"> contribute constructively and effectively to all the future work of the IGC.</w:t>
      </w:r>
    </w:p>
    <w:p w14:paraId="5C38D6D2" w14:textId="77777777" w:rsidR="004931E5" w:rsidRPr="00045C18" w:rsidRDefault="004931E5" w:rsidP="00045C18"/>
    <w:p w14:paraId="0B961FB7" w14:textId="7A5A1B7F" w:rsidR="009B459C" w:rsidRPr="00045C18" w:rsidRDefault="004931E5" w:rsidP="00045C18">
      <w:pPr>
        <w:pStyle w:val="ListParagraph"/>
        <w:numPr>
          <w:ilvl w:val="0"/>
          <w:numId w:val="4"/>
        </w:numPr>
        <w:ind w:left="0" w:firstLine="0"/>
      </w:pPr>
      <w:r w:rsidRPr="00045C18">
        <w:t>The Chair said that, in relation to the further negotiation of the mandat</w:t>
      </w:r>
      <w:r w:rsidR="00A24379">
        <w:t>e, he, the Vice-Chairs and the f</w:t>
      </w:r>
      <w:r w:rsidRPr="00045C18">
        <w:t xml:space="preserve">acilitators remained available to support the ongoing discussions until the </w:t>
      </w:r>
      <w:r w:rsidR="007A00FC">
        <w:t>GA</w:t>
      </w:r>
      <w:r w:rsidRPr="00045C18">
        <w:t xml:space="preserve">.  It was the first time that an agreement to a high-level recommendation by the IGC had been forwarded to the </w:t>
      </w:r>
      <w:r w:rsidR="007A00FC">
        <w:t>GA</w:t>
      </w:r>
      <w:r w:rsidRPr="00045C18">
        <w:t xml:space="preserve">.  It demonstrated a strong commitment to the </w:t>
      </w:r>
      <w:r w:rsidR="00FC07A7" w:rsidRPr="00045C18">
        <w:t xml:space="preserve">ongoing </w:t>
      </w:r>
      <w:r w:rsidRPr="00045C18">
        <w:t xml:space="preserve">work of the IGC.  He appreciated Member States’ efforts and the efforts of </w:t>
      </w:r>
      <w:r w:rsidR="003678E3">
        <w:t xml:space="preserve">Mr. </w:t>
      </w:r>
      <w:proofErr w:type="spellStart"/>
      <w:r w:rsidRPr="00045C18">
        <w:t>Liedes</w:t>
      </w:r>
      <w:proofErr w:type="spellEnd"/>
      <w:r w:rsidRPr="00045C18">
        <w:t xml:space="preserve"> and </w:t>
      </w:r>
      <w:r w:rsidR="003678E3">
        <w:t xml:space="preserve">Ms. </w:t>
      </w:r>
      <w:r w:rsidRPr="00045C18">
        <w:t>Paiva in helping to come to a conclusion.  He thanke</w:t>
      </w:r>
      <w:r w:rsidR="003678E3">
        <w:t>d the Vice-Chairs and the lead f</w:t>
      </w:r>
      <w:r w:rsidRPr="00045C18">
        <w:t>acilitator</w:t>
      </w:r>
      <w:r w:rsidR="003678E3">
        <w:t>, Ms.</w:t>
      </w:r>
      <w:r w:rsidRPr="00045C18">
        <w:t xml:space="preserve"> Bagley who had contributed significantly to the outcomes over the two years and had been invaluable in ensuring the smooth conduct of meetings over the biennium. </w:t>
      </w:r>
      <w:r w:rsidR="003678E3">
        <w:t xml:space="preserve"> They always operated as a team</w:t>
      </w:r>
      <w:r w:rsidRPr="00045C18">
        <w:t xml:space="preserve"> in a professional manner</w:t>
      </w:r>
      <w:r w:rsidR="003678E3">
        <w:t>,</w:t>
      </w:r>
      <w:r w:rsidR="00FC07A7" w:rsidRPr="00045C18">
        <w:t xml:space="preserve"> and </w:t>
      </w:r>
      <w:r w:rsidRPr="00045C18">
        <w:t xml:space="preserve">made a significant contribution to the IGC, and he hoped </w:t>
      </w:r>
      <w:r w:rsidR="003678E3">
        <w:t xml:space="preserve">that </w:t>
      </w:r>
      <w:r w:rsidRPr="00045C18">
        <w:t>they would continue to be actively involved in the</w:t>
      </w:r>
      <w:r w:rsidR="003678E3">
        <w:t xml:space="preserve"> future.  He thanked the other f</w:t>
      </w:r>
      <w:r w:rsidRPr="00045C18">
        <w:t xml:space="preserve">acilitators who had supported the process, including </w:t>
      </w:r>
      <w:r w:rsidR="003678E3">
        <w:t xml:space="preserve">Ms. </w:t>
      </w:r>
      <w:proofErr w:type="spellStart"/>
      <w:r w:rsidR="00FC07A7" w:rsidRPr="00045C18">
        <w:t>H</w:t>
      </w:r>
      <w:r w:rsidRPr="00045C18">
        <w:t>a</w:t>
      </w:r>
      <w:r w:rsidR="00FC07A7" w:rsidRPr="00045C18">
        <w:t>o</w:t>
      </w:r>
      <w:r w:rsidRPr="00045C18">
        <w:t>’uli</w:t>
      </w:r>
      <w:proofErr w:type="spellEnd"/>
      <w:r w:rsidRPr="00045C18">
        <w:t xml:space="preserve"> and </w:t>
      </w:r>
      <w:r w:rsidR="003678E3">
        <w:t xml:space="preserve">Ms. </w:t>
      </w:r>
      <w:r w:rsidRPr="00045C18">
        <w:t>Paiva, among others.  They performed a demanding and difficult task to put forward working documents that took account of the interests of all Member States</w:t>
      </w:r>
      <w:r w:rsidR="00FC07A7" w:rsidRPr="00045C18">
        <w:t>.  T</w:t>
      </w:r>
      <w:r w:rsidRPr="00045C18">
        <w:t>he IGC could always c</w:t>
      </w:r>
      <w:r w:rsidR="003678E3">
        <w:t>ontinue to improve its process</w:t>
      </w:r>
      <w:r w:rsidRPr="00045C18">
        <w:t xml:space="preserve"> and particularly i</w:t>
      </w:r>
      <w:r w:rsidR="004C5017">
        <w:t>ts</w:t>
      </w:r>
      <w:r w:rsidRPr="00045C18">
        <w:t xml:space="preserve"> methodology, and he took those </w:t>
      </w:r>
      <w:r w:rsidR="00FC07A7" w:rsidRPr="00045C18">
        <w:t xml:space="preserve">comments </w:t>
      </w:r>
      <w:r w:rsidRPr="00045C18">
        <w:t xml:space="preserve">onboard.  They had fulfilled their mandates in a fair and balanced way, and it was at times a thankless task, and he very much appreciated their commitment to that work, often into the late hours.  He thanked </w:t>
      </w:r>
      <w:r w:rsidR="003678E3" w:rsidRPr="00045C18">
        <w:t>the Secretariat and the interpreters</w:t>
      </w:r>
      <w:r w:rsidRPr="00045C18">
        <w:t xml:space="preserve"> who worked </w:t>
      </w:r>
      <w:r w:rsidR="00FC07A7" w:rsidRPr="00045C18">
        <w:t xml:space="preserve">tirelessly </w:t>
      </w:r>
      <w:r w:rsidRPr="00045C18">
        <w:t xml:space="preserve">in the background to meet the needs of Member States </w:t>
      </w:r>
      <w:r w:rsidR="003678E3">
        <w:t xml:space="preserve">and </w:t>
      </w:r>
      <w:r w:rsidRPr="00045C18">
        <w:t xml:space="preserve">to ensure </w:t>
      </w:r>
      <w:r w:rsidR="003678E3">
        <w:t xml:space="preserve">that </w:t>
      </w:r>
      <w:r w:rsidRPr="00045C18">
        <w:t>the procedural and administrative arrangements were in place throughout the meetings and between mee</w:t>
      </w:r>
      <w:r w:rsidR="003678E3">
        <w:t>tings</w:t>
      </w:r>
      <w:r w:rsidRPr="00045C18">
        <w:t xml:space="preserve">.  He noted the significant contribution </w:t>
      </w:r>
      <w:r w:rsidR="00FC07A7" w:rsidRPr="00045C18">
        <w:t>of</w:t>
      </w:r>
      <w:r w:rsidRPr="00045C18">
        <w:t xml:space="preserve"> the Seminars</w:t>
      </w:r>
      <w:r w:rsidR="00FC07A7" w:rsidRPr="00045C18">
        <w:t xml:space="preserve"> throughout the</w:t>
      </w:r>
      <w:r w:rsidRPr="00045C18">
        <w:t xml:space="preserve"> biennium, planned and implemented by the Secretariat</w:t>
      </w:r>
      <w:r w:rsidR="00120E2F">
        <w:t>,</w:t>
      </w:r>
      <w:r w:rsidRPr="00045C18">
        <w:t xml:space="preserve"> and the significant amount of material prepared to support members in their deliberations, such as the online information portal that included a wealth of material on the subject matter, including domestic and regional legislation and tools such as </w:t>
      </w:r>
      <w:r w:rsidR="00FC07A7" w:rsidRPr="00045C18">
        <w:t>a g</w:t>
      </w:r>
      <w:r w:rsidRPr="00045C18">
        <w:t xml:space="preserve">uide for </w:t>
      </w:r>
      <w:r w:rsidR="00120E2F">
        <w:t>IPLCs</w:t>
      </w:r>
      <w:r w:rsidRPr="00045C18">
        <w:t>.  He noted</w:t>
      </w:r>
      <w:r w:rsidR="00FC07A7" w:rsidRPr="00045C18">
        <w:t xml:space="preserve"> the new </w:t>
      </w:r>
      <w:r w:rsidR="004C5017">
        <w:t xml:space="preserve">publication </w:t>
      </w:r>
      <w:r w:rsidRPr="00045C18">
        <w:t xml:space="preserve">on </w:t>
      </w:r>
      <w:r w:rsidR="00FC07A7" w:rsidRPr="00045C18">
        <w:t>patent d</w:t>
      </w:r>
      <w:r w:rsidRPr="00045C18">
        <w:t>isclosure</w:t>
      </w:r>
      <w:r w:rsidR="00120E2F">
        <w:t xml:space="preserve"> requirements</w:t>
      </w:r>
      <w:r w:rsidRPr="00045C18">
        <w:t>.  He thank</w:t>
      </w:r>
      <w:r w:rsidR="00FC07A7" w:rsidRPr="00045C18">
        <w:t>ed</w:t>
      </w:r>
      <w:r w:rsidR="00120E2F">
        <w:t xml:space="preserve"> the members and the R</w:t>
      </w:r>
      <w:r w:rsidRPr="00045C18">
        <w:t>egi</w:t>
      </w:r>
      <w:r w:rsidR="00120E2F">
        <w:t>onal Coordinators</w:t>
      </w:r>
      <w:r w:rsidRPr="00045C18">
        <w:t xml:space="preserve"> for their commitment to the process and for always acting in a respectful and friendly manner.  Lastly, he thanked the observers, particularly the indigenous observers who were the </w:t>
      </w:r>
      <w:r w:rsidR="0081259C">
        <w:t>beneficiaries of the IGC’s work</w:t>
      </w:r>
      <w:r w:rsidRPr="00045C18">
        <w:t xml:space="preserve">.  He asked </w:t>
      </w:r>
      <w:r w:rsidR="0081259C">
        <w:t xml:space="preserve">Member States </w:t>
      </w:r>
      <w:r w:rsidRPr="00045C18">
        <w:t xml:space="preserve">to carefully consider positions on those key issues over the next months to reach consensus relatively quickly at the </w:t>
      </w:r>
      <w:r w:rsidR="007A00FC">
        <w:t>GA.  He, the Vice-Chairs and the f</w:t>
      </w:r>
      <w:r w:rsidRPr="00045C18">
        <w:t xml:space="preserve">acilitators were available to move that process on from then through the </w:t>
      </w:r>
      <w:r w:rsidR="007A00FC">
        <w:t>GA</w:t>
      </w:r>
      <w:r w:rsidRPr="00045C18">
        <w:t xml:space="preserve">. </w:t>
      </w:r>
      <w:r w:rsidR="00FC07A7" w:rsidRPr="00045C18">
        <w:t xml:space="preserve"> </w:t>
      </w:r>
      <w:r w:rsidR="0081259C">
        <w:t>IGC 34</w:t>
      </w:r>
      <w:r w:rsidRPr="00045C18">
        <w:t xml:space="preserve"> was the last session of the biennium.  He thanked the participants for the trust given to him as </w:t>
      </w:r>
      <w:r w:rsidR="0081259C">
        <w:t xml:space="preserve">the </w:t>
      </w:r>
      <w:r w:rsidRPr="00045C18">
        <w:t xml:space="preserve">Chair, and hoped to have honored that trust.  </w:t>
      </w:r>
      <w:r w:rsidR="009B459C" w:rsidRPr="00045C18">
        <w:t>The Chair closed the session</w:t>
      </w:r>
      <w:r w:rsidR="00AE1D54" w:rsidRPr="00045C18">
        <w:t xml:space="preserve">.  </w:t>
      </w:r>
    </w:p>
    <w:p w14:paraId="194B78C3" w14:textId="77777777" w:rsidR="009B459C" w:rsidRPr="009B459C" w:rsidRDefault="009B459C" w:rsidP="009F53CA">
      <w:pPr>
        <w:pStyle w:val="ListParagraph"/>
        <w:ind w:left="0"/>
      </w:pPr>
    </w:p>
    <w:p w14:paraId="7F649D0A" w14:textId="77777777" w:rsidR="009B459C" w:rsidRPr="00E5111C" w:rsidRDefault="00877D38" w:rsidP="00E5111C">
      <w:pPr>
        <w:pStyle w:val="ListParagraph"/>
        <w:ind w:left="5533"/>
        <w:rPr>
          <w:i/>
        </w:rPr>
      </w:pPr>
      <w:r w:rsidRPr="00E5111C">
        <w:rPr>
          <w:i/>
        </w:rPr>
        <w:t>Decision on Agenda Item 11</w:t>
      </w:r>
      <w:r w:rsidR="009B459C" w:rsidRPr="00E5111C">
        <w:rPr>
          <w:i/>
        </w:rPr>
        <w:t>:</w:t>
      </w:r>
    </w:p>
    <w:p w14:paraId="51E97E6B" w14:textId="77777777" w:rsidR="009B459C" w:rsidRPr="00E5111C" w:rsidRDefault="009B459C" w:rsidP="00E5111C">
      <w:pPr>
        <w:pStyle w:val="ListParagraph"/>
        <w:ind w:left="5533"/>
        <w:rPr>
          <w:i/>
        </w:rPr>
      </w:pPr>
    </w:p>
    <w:p w14:paraId="0370345A" w14:textId="77777777" w:rsidR="009E52B2" w:rsidRPr="00E5111C" w:rsidRDefault="009E52B2" w:rsidP="00E5111C">
      <w:pPr>
        <w:pStyle w:val="ListParagraph"/>
        <w:numPr>
          <w:ilvl w:val="0"/>
          <w:numId w:val="4"/>
        </w:numPr>
        <w:ind w:left="5533" w:firstLine="0"/>
        <w:rPr>
          <w:i/>
        </w:rPr>
      </w:pPr>
      <w:r w:rsidRPr="00E5111C">
        <w:rPr>
          <w:i/>
        </w:rPr>
        <w:t xml:space="preserve">The Committee adopted its decisions on agenda items 2, 3, 4, 5, 6, </w:t>
      </w:r>
      <w:r w:rsidRPr="00E5111C">
        <w:rPr>
          <w:i/>
        </w:rPr>
        <w:lastRenderedPageBreak/>
        <w:t>7, 8 9 and 10 on June 16, 2017.  It agreed that a draft written report, containing the agreed text of these decisions and all interventions made to the Committee, would be prepared and circulated by August 31, 2017.  Committee participants would be invited to submit written corrections to their interventions as included in the draft report before a final version of the draft report would then be circulated to Committee participants for adoption at the next session of the Committee.</w:t>
      </w:r>
    </w:p>
    <w:p w14:paraId="05A3BD65" w14:textId="77777777" w:rsidR="009B459C" w:rsidRPr="00A449C1" w:rsidRDefault="009B459C" w:rsidP="008769AF">
      <w:pPr>
        <w:pStyle w:val="ListParagraph"/>
        <w:ind w:left="0"/>
        <w:rPr>
          <w:i/>
          <w:szCs w:val="22"/>
        </w:rPr>
      </w:pPr>
    </w:p>
    <w:p w14:paraId="75A57C18" w14:textId="77777777" w:rsidR="002928D3" w:rsidRPr="009F53CA" w:rsidRDefault="002928D3" w:rsidP="009F53CA">
      <w:pPr>
        <w:pStyle w:val="ListParagraph"/>
        <w:ind w:left="0"/>
      </w:pPr>
    </w:p>
    <w:p w14:paraId="68968B98" w14:textId="77777777" w:rsidR="00E72A28" w:rsidRPr="00FC53D5" w:rsidRDefault="00FA31D7" w:rsidP="00925570">
      <w:pPr>
        <w:pStyle w:val="ListParagraph"/>
        <w:ind w:left="6120"/>
        <w:rPr>
          <w:lang w:val="fr-FR"/>
        </w:rPr>
      </w:pPr>
      <w:r w:rsidRPr="00FC53D5">
        <w:rPr>
          <w:lang w:val="fr-FR"/>
        </w:rPr>
        <w:t>[</w:t>
      </w:r>
      <w:proofErr w:type="spellStart"/>
      <w:r w:rsidRPr="00FC53D5">
        <w:rPr>
          <w:lang w:val="fr-FR"/>
        </w:rPr>
        <w:t>Annex</w:t>
      </w:r>
      <w:proofErr w:type="spellEnd"/>
      <w:r w:rsidR="009F53CA" w:rsidRPr="00FC53D5">
        <w:rPr>
          <w:lang w:val="fr-FR"/>
        </w:rPr>
        <w:t xml:space="preserve"> </w:t>
      </w:r>
      <w:proofErr w:type="spellStart"/>
      <w:r w:rsidR="009F53CA" w:rsidRPr="00FC53D5">
        <w:rPr>
          <w:lang w:val="fr-FR"/>
        </w:rPr>
        <w:t>follow</w:t>
      </w:r>
      <w:r w:rsidR="003C4338" w:rsidRPr="00FC53D5">
        <w:rPr>
          <w:lang w:val="fr-FR"/>
        </w:rPr>
        <w:t>s</w:t>
      </w:r>
      <w:proofErr w:type="spellEnd"/>
      <w:r w:rsidR="009F53CA" w:rsidRPr="00FC53D5">
        <w:rPr>
          <w:lang w:val="fr-FR"/>
        </w:rPr>
        <w:t>]</w:t>
      </w:r>
    </w:p>
    <w:p w14:paraId="72762F31" w14:textId="77777777" w:rsidR="00E72A28" w:rsidRPr="00FC53D5" w:rsidRDefault="00E72A28" w:rsidP="009F53CA">
      <w:pPr>
        <w:pStyle w:val="ListParagraph"/>
        <w:ind w:left="0"/>
        <w:rPr>
          <w:lang w:val="fr-FR"/>
        </w:rPr>
      </w:pPr>
    </w:p>
    <w:p w14:paraId="3AFD56FF" w14:textId="77777777" w:rsidR="00E72A28" w:rsidRPr="00FC53D5" w:rsidRDefault="00E72A28" w:rsidP="009F53CA">
      <w:pPr>
        <w:pStyle w:val="ListParagraph"/>
        <w:ind w:left="0"/>
        <w:rPr>
          <w:lang w:val="fr-FR"/>
        </w:rPr>
        <w:sectPr w:rsidR="00E72A28" w:rsidRPr="00FC53D5">
          <w:headerReference w:type="default" r:id="rId13"/>
          <w:pgSz w:w="11907" w:h="16839" w:code="9"/>
          <w:pgMar w:top="1440" w:right="1138" w:bottom="1440" w:left="1411" w:header="706" w:footer="706" w:gutter="0"/>
          <w:cols w:space="720"/>
          <w:docGrid w:linePitch="360"/>
        </w:sectPr>
      </w:pPr>
    </w:p>
    <w:p w14:paraId="23FF5991" w14:textId="77777777" w:rsidR="003F6250" w:rsidRPr="00737182" w:rsidRDefault="003F6250" w:rsidP="003F6250">
      <w:pPr>
        <w:pStyle w:val="Heading1"/>
        <w:spacing w:before="0" w:after="0"/>
        <w:rPr>
          <w:szCs w:val="22"/>
          <w:lang w:val="fr-FR"/>
        </w:rPr>
      </w:pPr>
      <w:r w:rsidRPr="00737182">
        <w:rPr>
          <w:szCs w:val="22"/>
          <w:lang w:val="fr-FR"/>
        </w:rPr>
        <w:lastRenderedPageBreak/>
        <w:t>LISTE DES PARTICIPANTS/</w:t>
      </w:r>
    </w:p>
    <w:p w14:paraId="161BDCDB" w14:textId="77777777" w:rsidR="003F6250" w:rsidRPr="00737182" w:rsidRDefault="003F6250" w:rsidP="003F6250">
      <w:pPr>
        <w:pStyle w:val="Heading1"/>
        <w:spacing w:before="0" w:after="0"/>
        <w:rPr>
          <w:szCs w:val="22"/>
          <w:lang w:val="fr-FR"/>
        </w:rPr>
      </w:pPr>
      <w:r w:rsidRPr="00737182">
        <w:rPr>
          <w:szCs w:val="22"/>
          <w:lang w:val="fr-FR"/>
        </w:rPr>
        <w:t>LIST OF PARtipants</w:t>
      </w:r>
    </w:p>
    <w:p w14:paraId="45F4747B" w14:textId="77777777" w:rsidR="003F6250" w:rsidRPr="00737182" w:rsidRDefault="003F6250" w:rsidP="003F6250">
      <w:pPr>
        <w:rPr>
          <w:caps/>
          <w:noProof/>
          <w:szCs w:val="22"/>
          <w:lang w:val="fr-FR"/>
        </w:rPr>
      </w:pPr>
    </w:p>
    <w:p w14:paraId="4E2571FE" w14:textId="77777777" w:rsidR="008B7E70" w:rsidRPr="00737182" w:rsidRDefault="008B7E70" w:rsidP="003F6250">
      <w:pPr>
        <w:rPr>
          <w:caps/>
          <w:noProof/>
          <w:szCs w:val="22"/>
          <w:lang w:val="fr-FR"/>
        </w:rPr>
      </w:pPr>
    </w:p>
    <w:p w14:paraId="0D92F8EA" w14:textId="77777777" w:rsidR="00A64501" w:rsidRPr="00737182" w:rsidRDefault="00A64501" w:rsidP="003F6250">
      <w:pPr>
        <w:rPr>
          <w:caps/>
          <w:noProof/>
          <w:szCs w:val="22"/>
          <w:lang w:val="fr-FR"/>
        </w:rPr>
      </w:pPr>
    </w:p>
    <w:p w14:paraId="5A63E21A" w14:textId="77777777" w:rsidR="00A64501" w:rsidRPr="00925570" w:rsidRDefault="00A64501" w:rsidP="00A64501">
      <w:pPr>
        <w:rPr>
          <w:caps/>
          <w:szCs w:val="22"/>
          <w:u w:val="single"/>
        </w:rPr>
      </w:pPr>
      <w:r w:rsidRPr="00925570">
        <w:rPr>
          <w:caps/>
          <w:noProof/>
          <w:szCs w:val="22"/>
        </w:rPr>
        <w:t>I</w:t>
      </w:r>
      <w:r w:rsidR="00AE1D54" w:rsidRPr="00925570">
        <w:rPr>
          <w:caps/>
          <w:noProof/>
          <w:szCs w:val="22"/>
        </w:rPr>
        <w:t xml:space="preserve">.  </w:t>
      </w:r>
      <w:r w:rsidRPr="00925570">
        <w:rPr>
          <w:caps/>
          <w:szCs w:val="22"/>
          <w:u w:val="single"/>
        </w:rPr>
        <w:t>ÉTATS/STATES</w:t>
      </w:r>
    </w:p>
    <w:p w14:paraId="44E5E905" w14:textId="77777777" w:rsidR="00A64501" w:rsidRPr="00925570" w:rsidRDefault="00A64501" w:rsidP="00A64501">
      <w:pPr>
        <w:rPr>
          <w:szCs w:val="22"/>
        </w:rPr>
      </w:pPr>
    </w:p>
    <w:p w14:paraId="43293C08" w14:textId="77777777" w:rsidR="00A64501" w:rsidRPr="003F6250" w:rsidRDefault="00A64501" w:rsidP="00A64501">
      <w:pPr>
        <w:rPr>
          <w:rFonts w:eastAsia="Times New Roman"/>
          <w:szCs w:val="22"/>
          <w:lang w:val="fr-FR" w:eastAsia="en-US"/>
        </w:rPr>
      </w:pPr>
      <w:r w:rsidRPr="003F6250">
        <w:rPr>
          <w:rFonts w:eastAsia="Times New Roman"/>
          <w:szCs w:val="22"/>
          <w:lang w:val="fr-FR" w:eastAsia="en-US"/>
        </w:rPr>
        <w:t>(</w:t>
      </w:r>
      <w:proofErr w:type="gramStart"/>
      <w:r w:rsidRPr="003F6250">
        <w:rPr>
          <w:rFonts w:eastAsia="Times New Roman"/>
          <w:szCs w:val="22"/>
          <w:lang w:val="fr-FR" w:eastAsia="en-US"/>
        </w:rPr>
        <w:t>dans</w:t>
      </w:r>
      <w:proofErr w:type="gramEnd"/>
      <w:r w:rsidRPr="003F6250">
        <w:rPr>
          <w:rFonts w:eastAsia="Times New Roman"/>
          <w:szCs w:val="22"/>
          <w:lang w:val="fr-FR" w:eastAsia="en-US"/>
        </w:rPr>
        <w:t xml:space="preserve"> l’ordre alphabétique des noms français des États)</w:t>
      </w:r>
    </w:p>
    <w:p w14:paraId="1FF0E93B" w14:textId="77777777" w:rsidR="00A64501" w:rsidRPr="003F6250" w:rsidRDefault="00A64501" w:rsidP="00A64501">
      <w:pPr>
        <w:rPr>
          <w:szCs w:val="22"/>
        </w:rPr>
      </w:pPr>
      <w:r w:rsidRPr="003F6250">
        <w:rPr>
          <w:szCs w:val="22"/>
        </w:rPr>
        <w:t>(</w:t>
      </w:r>
      <w:proofErr w:type="gramStart"/>
      <w:r w:rsidRPr="003F6250">
        <w:rPr>
          <w:szCs w:val="22"/>
        </w:rPr>
        <w:t>in</w:t>
      </w:r>
      <w:proofErr w:type="gramEnd"/>
      <w:r w:rsidRPr="003F6250">
        <w:rPr>
          <w:szCs w:val="22"/>
        </w:rPr>
        <w:t xml:space="preserve"> the alphabetical order of the names in French of the States)</w:t>
      </w:r>
    </w:p>
    <w:p w14:paraId="78304C9B" w14:textId="77777777" w:rsidR="00A64501" w:rsidRPr="003F6250" w:rsidRDefault="00A64501" w:rsidP="00A64501">
      <w:pPr>
        <w:rPr>
          <w:szCs w:val="22"/>
        </w:rPr>
      </w:pPr>
    </w:p>
    <w:p w14:paraId="6FF7BDC8" w14:textId="77777777" w:rsidR="008B7E70" w:rsidRDefault="008B7E70" w:rsidP="003F6250">
      <w:pPr>
        <w:rPr>
          <w:caps/>
          <w:noProof/>
          <w:szCs w:val="22"/>
        </w:rPr>
      </w:pPr>
    </w:p>
    <w:p w14:paraId="0E389C04" w14:textId="77777777" w:rsidR="001C4BE4" w:rsidRPr="00A64501" w:rsidRDefault="001C4BE4" w:rsidP="003F6250">
      <w:pPr>
        <w:rPr>
          <w:caps/>
          <w:noProof/>
          <w:szCs w:val="22"/>
        </w:rPr>
      </w:pPr>
    </w:p>
    <w:p w14:paraId="2CC610C2" w14:textId="77777777" w:rsidR="001C4BE4" w:rsidRPr="001C4BE4" w:rsidRDefault="001C4BE4" w:rsidP="001C4BE4">
      <w:pPr>
        <w:rPr>
          <w:szCs w:val="22"/>
          <w:u w:val="single"/>
        </w:rPr>
      </w:pPr>
      <w:r w:rsidRPr="001C4BE4">
        <w:rPr>
          <w:szCs w:val="22"/>
          <w:u w:val="single"/>
        </w:rPr>
        <w:t>AFRIQUE DU SUD/SOUTH AFRICA</w:t>
      </w:r>
    </w:p>
    <w:p w14:paraId="457DAB02" w14:textId="77777777" w:rsidR="001C4BE4" w:rsidRPr="001C4BE4" w:rsidRDefault="001C4BE4" w:rsidP="001C4BE4">
      <w:pPr>
        <w:rPr>
          <w:szCs w:val="22"/>
          <w:u w:val="single"/>
        </w:rPr>
      </w:pPr>
    </w:p>
    <w:p w14:paraId="01163EFA" w14:textId="77777777" w:rsidR="001C4BE4" w:rsidRPr="001C4BE4" w:rsidRDefault="001C4BE4" w:rsidP="001C4BE4">
      <w:pPr>
        <w:rPr>
          <w:szCs w:val="22"/>
        </w:rPr>
      </w:pPr>
      <w:proofErr w:type="spellStart"/>
      <w:r w:rsidRPr="001C4BE4">
        <w:rPr>
          <w:szCs w:val="22"/>
        </w:rPr>
        <w:t>Tilana</w:t>
      </w:r>
      <w:proofErr w:type="spellEnd"/>
      <w:r w:rsidRPr="001C4BE4">
        <w:rPr>
          <w:szCs w:val="22"/>
        </w:rPr>
        <w:t xml:space="preserve"> GROBBELAAR (Ms.), Deputy Director, Multilateral Trade Relations Directorate, Department of International Relations and Cooperation (DIRCO), Pretoria</w:t>
      </w:r>
    </w:p>
    <w:p w14:paraId="4D7AA8BA" w14:textId="77777777" w:rsidR="00FA5A7A" w:rsidRDefault="00FA5A7A" w:rsidP="00FA5A7A">
      <w:pPr>
        <w:rPr>
          <w:szCs w:val="22"/>
        </w:rPr>
      </w:pPr>
    </w:p>
    <w:p w14:paraId="75A7D257" w14:textId="390C6D82" w:rsidR="00FA5A7A" w:rsidRPr="001C4BE4" w:rsidRDefault="00FA5A7A" w:rsidP="00FA5A7A">
      <w:pPr>
        <w:rPr>
          <w:szCs w:val="22"/>
        </w:rPr>
      </w:pPr>
      <w:proofErr w:type="spellStart"/>
      <w:r w:rsidRPr="001C4BE4">
        <w:rPr>
          <w:szCs w:val="22"/>
        </w:rPr>
        <w:t>Yonah</w:t>
      </w:r>
      <w:proofErr w:type="spellEnd"/>
      <w:r w:rsidRPr="001C4BE4">
        <w:rPr>
          <w:szCs w:val="22"/>
        </w:rPr>
        <w:t xml:space="preserve"> SELETI</w:t>
      </w:r>
      <w:r w:rsidR="005C1389">
        <w:rPr>
          <w:szCs w:val="22"/>
        </w:rPr>
        <w:t xml:space="preserve"> (Mr.)</w:t>
      </w:r>
      <w:r w:rsidRPr="001C4BE4">
        <w:rPr>
          <w:szCs w:val="22"/>
        </w:rPr>
        <w:t>, Chief Director, Department of Science and Technology (DST), Ministry of Science and Technology, Pretoria</w:t>
      </w:r>
    </w:p>
    <w:p w14:paraId="423D590E" w14:textId="77777777" w:rsidR="00FA5A7A" w:rsidRPr="00FA5A7A" w:rsidRDefault="00C84FE4" w:rsidP="00FA5A7A">
      <w:pPr>
        <w:rPr>
          <w:szCs w:val="22"/>
          <w:u w:val="single"/>
        </w:rPr>
      </w:pPr>
      <w:hyperlink r:id="rId14" w:history="1">
        <w:r w:rsidR="00FA5A7A" w:rsidRPr="00FA5A7A">
          <w:rPr>
            <w:rStyle w:val="Hyperlink"/>
            <w:rFonts w:cs="Arial"/>
            <w:color w:val="auto"/>
            <w:szCs w:val="22"/>
          </w:rPr>
          <w:t>yonah.seleti@dst.gov.za</w:t>
        </w:r>
      </w:hyperlink>
      <w:r w:rsidR="00FA5A7A" w:rsidRPr="00FA5A7A">
        <w:rPr>
          <w:szCs w:val="22"/>
          <w:u w:val="single"/>
        </w:rPr>
        <w:t xml:space="preserve"> </w:t>
      </w:r>
    </w:p>
    <w:p w14:paraId="468E34E5" w14:textId="77777777" w:rsidR="00FA5A7A" w:rsidRPr="00FA5A7A" w:rsidRDefault="00FA5A7A" w:rsidP="00FA5A7A">
      <w:pPr>
        <w:rPr>
          <w:szCs w:val="22"/>
        </w:rPr>
      </w:pPr>
    </w:p>
    <w:p w14:paraId="5890019E" w14:textId="0942BAE8" w:rsidR="00FA5A7A" w:rsidRPr="00FA5A7A" w:rsidRDefault="00FA5A7A" w:rsidP="00FA5A7A">
      <w:pPr>
        <w:rPr>
          <w:szCs w:val="22"/>
        </w:rPr>
      </w:pPr>
      <w:r w:rsidRPr="00FA5A7A">
        <w:rPr>
          <w:szCs w:val="22"/>
        </w:rPr>
        <w:t>Michael MAFU</w:t>
      </w:r>
      <w:r w:rsidR="005C1389">
        <w:rPr>
          <w:szCs w:val="22"/>
        </w:rPr>
        <w:t xml:space="preserve"> (Mr.)</w:t>
      </w:r>
      <w:r w:rsidRPr="00FA5A7A">
        <w:rPr>
          <w:szCs w:val="22"/>
        </w:rPr>
        <w:t>, Assistant Director, Department of Trade and Industry (DTI), Companies and Intellectual Property Commission (CIPC), Pretoria</w:t>
      </w:r>
    </w:p>
    <w:p w14:paraId="279AEEBB" w14:textId="77777777" w:rsidR="001C4BE4" w:rsidRPr="001C4BE4" w:rsidRDefault="001C4BE4" w:rsidP="001C4BE4">
      <w:pPr>
        <w:rPr>
          <w:szCs w:val="22"/>
        </w:rPr>
      </w:pPr>
    </w:p>
    <w:p w14:paraId="7DC537B9" w14:textId="58408CB2" w:rsidR="00FA5A7A" w:rsidRPr="00FA5A7A" w:rsidRDefault="00FA5A7A" w:rsidP="001C4BE4">
      <w:pPr>
        <w:rPr>
          <w:szCs w:val="22"/>
        </w:rPr>
      </w:pPr>
      <w:proofErr w:type="spellStart"/>
      <w:r w:rsidRPr="00FA5A7A">
        <w:rPr>
          <w:szCs w:val="22"/>
        </w:rPr>
        <w:t>Batho</w:t>
      </w:r>
      <w:proofErr w:type="spellEnd"/>
      <w:r w:rsidRPr="00FA5A7A">
        <w:rPr>
          <w:szCs w:val="22"/>
        </w:rPr>
        <w:t xml:space="preserve"> Rufus MOLAPO</w:t>
      </w:r>
      <w:r w:rsidR="005C1389">
        <w:rPr>
          <w:szCs w:val="22"/>
        </w:rPr>
        <w:t xml:space="preserve"> (Mr.)</w:t>
      </w:r>
      <w:r w:rsidRPr="00FA5A7A">
        <w:rPr>
          <w:szCs w:val="22"/>
        </w:rPr>
        <w:t>, First Secretary, Permanent Mission, Geneva</w:t>
      </w:r>
    </w:p>
    <w:p w14:paraId="11F7B277" w14:textId="77777777" w:rsidR="00FA5A7A" w:rsidRPr="00FA5A7A" w:rsidRDefault="00FA5A7A" w:rsidP="001C4BE4">
      <w:pPr>
        <w:rPr>
          <w:szCs w:val="22"/>
        </w:rPr>
      </w:pPr>
    </w:p>
    <w:p w14:paraId="66863540" w14:textId="77777777" w:rsidR="001C4BE4" w:rsidRPr="00FA5A7A" w:rsidRDefault="001C4BE4" w:rsidP="001C4BE4">
      <w:pPr>
        <w:rPr>
          <w:szCs w:val="22"/>
        </w:rPr>
      </w:pPr>
    </w:p>
    <w:p w14:paraId="45B5D707" w14:textId="77777777" w:rsidR="001C4BE4" w:rsidRPr="001C4BE4" w:rsidRDefault="001C4BE4" w:rsidP="001C4BE4">
      <w:pPr>
        <w:rPr>
          <w:szCs w:val="22"/>
          <w:u w:val="single"/>
          <w:lang w:val="fr-FR"/>
        </w:rPr>
      </w:pPr>
      <w:r w:rsidRPr="001C4BE4">
        <w:rPr>
          <w:szCs w:val="22"/>
          <w:u w:val="single"/>
          <w:lang w:val="fr-FR"/>
        </w:rPr>
        <w:t>ALGÉRIE/ALGERIA</w:t>
      </w:r>
    </w:p>
    <w:p w14:paraId="6C070E44" w14:textId="77777777" w:rsidR="001C4BE4" w:rsidRPr="001C4BE4" w:rsidRDefault="001C4BE4" w:rsidP="001C4BE4">
      <w:pPr>
        <w:rPr>
          <w:szCs w:val="22"/>
          <w:u w:val="single"/>
          <w:lang w:val="fr-FR"/>
        </w:rPr>
      </w:pPr>
    </w:p>
    <w:p w14:paraId="65BB4807" w14:textId="79297366" w:rsidR="001C4BE4" w:rsidRPr="001C4BE4" w:rsidRDefault="001C4BE4" w:rsidP="001C4BE4">
      <w:pPr>
        <w:rPr>
          <w:szCs w:val="22"/>
          <w:lang w:val="fr-FR"/>
        </w:rPr>
      </w:pPr>
      <w:proofErr w:type="spellStart"/>
      <w:r w:rsidRPr="001C4BE4">
        <w:rPr>
          <w:szCs w:val="22"/>
          <w:lang w:val="fr-FR"/>
        </w:rPr>
        <w:t>Fayssal</w:t>
      </w:r>
      <w:proofErr w:type="spellEnd"/>
      <w:r w:rsidRPr="001C4BE4">
        <w:rPr>
          <w:szCs w:val="22"/>
          <w:lang w:val="fr-FR"/>
        </w:rPr>
        <w:t xml:space="preserve"> ALLEK</w:t>
      </w:r>
      <w:r w:rsidR="005C1389">
        <w:rPr>
          <w:szCs w:val="22"/>
          <w:lang w:val="fr-FR"/>
        </w:rPr>
        <w:t xml:space="preserve"> (M</w:t>
      </w:r>
      <w:r w:rsidR="00A15441">
        <w:rPr>
          <w:szCs w:val="22"/>
          <w:lang w:val="fr-FR"/>
        </w:rPr>
        <w:t>.</w:t>
      </w:r>
      <w:r w:rsidR="005C1389">
        <w:rPr>
          <w:szCs w:val="22"/>
          <w:lang w:val="fr-FR"/>
        </w:rPr>
        <w:t>)</w:t>
      </w:r>
      <w:r w:rsidRPr="001C4BE4">
        <w:rPr>
          <w:szCs w:val="22"/>
          <w:lang w:val="fr-FR"/>
        </w:rPr>
        <w:t>, premier secrétaire, Mission permanente, Genève</w:t>
      </w:r>
    </w:p>
    <w:p w14:paraId="5CC72229" w14:textId="77777777" w:rsidR="001C4BE4" w:rsidRPr="00C40D5D" w:rsidRDefault="001C4BE4" w:rsidP="001C4BE4">
      <w:pPr>
        <w:rPr>
          <w:szCs w:val="22"/>
          <w:lang w:val="fr-FR"/>
        </w:rPr>
      </w:pPr>
      <w:r w:rsidRPr="00C40D5D">
        <w:rPr>
          <w:szCs w:val="22"/>
          <w:u w:val="single"/>
          <w:lang w:val="fr-FR"/>
        </w:rPr>
        <w:t xml:space="preserve">allek@mission-algeria.ch </w:t>
      </w:r>
    </w:p>
    <w:p w14:paraId="5E767521" w14:textId="77777777" w:rsidR="001C4BE4" w:rsidRPr="00C40D5D" w:rsidRDefault="001C4BE4" w:rsidP="001C4BE4">
      <w:pPr>
        <w:rPr>
          <w:szCs w:val="22"/>
          <w:lang w:val="fr-FR"/>
        </w:rPr>
      </w:pPr>
    </w:p>
    <w:p w14:paraId="017864F5" w14:textId="77777777" w:rsidR="001C4BE4" w:rsidRPr="00C40D5D" w:rsidRDefault="001C4BE4" w:rsidP="001C4BE4">
      <w:pPr>
        <w:rPr>
          <w:szCs w:val="22"/>
          <w:u w:val="single"/>
          <w:lang w:val="fr-FR"/>
        </w:rPr>
      </w:pPr>
    </w:p>
    <w:p w14:paraId="7D2E9436" w14:textId="24346FFF" w:rsidR="002673A6" w:rsidRPr="00C40D5D" w:rsidRDefault="002673A6" w:rsidP="001C4BE4">
      <w:pPr>
        <w:rPr>
          <w:szCs w:val="22"/>
          <w:u w:val="single"/>
          <w:lang w:val="fr-FR"/>
        </w:rPr>
      </w:pPr>
      <w:r w:rsidRPr="00C40D5D">
        <w:rPr>
          <w:szCs w:val="22"/>
          <w:u w:val="single"/>
          <w:lang w:val="fr-FR"/>
        </w:rPr>
        <w:t>ALLEMAGNE/GERMANY</w:t>
      </w:r>
    </w:p>
    <w:p w14:paraId="7EF8D9B8" w14:textId="77777777" w:rsidR="002673A6" w:rsidRPr="00C40D5D" w:rsidRDefault="002673A6" w:rsidP="001C4BE4">
      <w:pPr>
        <w:rPr>
          <w:szCs w:val="22"/>
          <w:u w:val="single"/>
          <w:lang w:val="fr-FR"/>
        </w:rPr>
      </w:pPr>
    </w:p>
    <w:p w14:paraId="2BC55CA9" w14:textId="09896D44" w:rsidR="002673A6" w:rsidRDefault="002673A6" w:rsidP="001C4BE4">
      <w:pPr>
        <w:rPr>
          <w:szCs w:val="22"/>
          <w:u w:val="single"/>
        </w:rPr>
      </w:pPr>
      <w:r w:rsidRPr="00F653A4">
        <w:rPr>
          <w:szCs w:val="22"/>
        </w:rPr>
        <w:t>Julia MIOSGA</w:t>
      </w:r>
      <w:r>
        <w:rPr>
          <w:szCs w:val="22"/>
        </w:rPr>
        <w:t xml:space="preserve"> (Ms.)</w:t>
      </w:r>
      <w:r w:rsidRPr="00F653A4">
        <w:rPr>
          <w:szCs w:val="22"/>
        </w:rPr>
        <w:t xml:space="preserve">, </w:t>
      </w:r>
      <w:r>
        <w:rPr>
          <w:szCs w:val="22"/>
        </w:rPr>
        <w:t>Federal Ministry of Justice and Consumer Protection, Berlin</w:t>
      </w:r>
    </w:p>
    <w:p w14:paraId="2A847C0C" w14:textId="77777777" w:rsidR="002673A6" w:rsidRDefault="002673A6" w:rsidP="001C4BE4">
      <w:pPr>
        <w:rPr>
          <w:szCs w:val="22"/>
          <w:u w:val="single"/>
        </w:rPr>
      </w:pPr>
    </w:p>
    <w:p w14:paraId="37979FC5" w14:textId="77777777" w:rsidR="002673A6" w:rsidRDefault="002673A6" w:rsidP="001C4BE4">
      <w:pPr>
        <w:rPr>
          <w:szCs w:val="22"/>
          <w:u w:val="single"/>
        </w:rPr>
      </w:pPr>
    </w:p>
    <w:p w14:paraId="02C5C90C" w14:textId="77777777" w:rsidR="001C4BE4" w:rsidRPr="001C4BE4" w:rsidRDefault="001C4BE4" w:rsidP="001C4BE4">
      <w:pPr>
        <w:rPr>
          <w:szCs w:val="22"/>
          <w:u w:val="single"/>
        </w:rPr>
      </w:pPr>
      <w:r w:rsidRPr="001C4BE4">
        <w:rPr>
          <w:szCs w:val="22"/>
          <w:u w:val="single"/>
        </w:rPr>
        <w:t>ANGOLA</w:t>
      </w:r>
    </w:p>
    <w:p w14:paraId="78BE941E" w14:textId="77777777" w:rsidR="001C4BE4" w:rsidRPr="001C4BE4" w:rsidRDefault="001C4BE4" w:rsidP="001C4BE4">
      <w:pPr>
        <w:rPr>
          <w:szCs w:val="22"/>
        </w:rPr>
      </w:pPr>
    </w:p>
    <w:p w14:paraId="42454888" w14:textId="300D0112" w:rsidR="001C4BE4" w:rsidRPr="001C4BE4" w:rsidRDefault="001C4BE4" w:rsidP="001C4BE4">
      <w:pPr>
        <w:rPr>
          <w:szCs w:val="22"/>
        </w:rPr>
      </w:pPr>
      <w:r w:rsidRPr="001C4BE4">
        <w:rPr>
          <w:szCs w:val="22"/>
        </w:rPr>
        <w:t xml:space="preserve">Alberto </w:t>
      </w:r>
      <w:proofErr w:type="spellStart"/>
      <w:r w:rsidRPr="001C4BE4">
        <w:rPr>
          <w:szCs w:val="22"/>
        </w:rPr>
        <w:t>Samy</w:t>
      </w:r>
      <w:proofErr w:type="spellEnd"/>
      <w:r w:rsidRPr="001C4BE4">
        <w:rPr>
          <w:szCs w:val="22"/>
        </w:rPr>
        <w:t xml:space="preserve"> GUIMARÃES</w:t>
      </w:r>
      <w:r w:rsidR="00A15441">
        <w:rPr>
          <w:szCs w:val="22"/>
        </w:rPr>
        <w:t xml:space="preserve"> (Mr.)</w:t>
      </w:r>
      <w:r w:rsidRPr="001C4BE4">
        <w:rPr>
          <w:szCs w:val="22"/>
        </w:rPr>
        <w:t>, Second Secretary, Permanent Mission, Geneva</w:t>
      </w:r>
    </w:p>
    <w:p w14:paraId="76FC5DD9" w14:textId="77777777" w:rsidR="001C4BE4" w:rsidRPr="001C4BE4" w:rsidRDefault="001C4BE4" w:rsidP="001C4BE4">
      <w:pPr>
        <w:rPr>
          <w:szCs w:val="22"/>
        </w:rPr>
      </w:pPr>
    </w:p>
    <w:p w14:paraId="4AA942DF" w14:textId="77777777" w:rsidR="001C4BE4" w:rsidRPr="001C4BE4" w:rsidRDefault="001C4BE4" w:rsidP="001C4BE4">
      <w:pPr>
        <w:rPr>
          <w:szCs w:val="22"/>
        </w:rPr>
      </w:pPr>
    </w:p>
    <w:p w14:paraId="5A77345C" w14:textId="77777777" w:rsidR="001C4BE4" w:rsidRPr="001C4BE4" w:rsidRDefault="001C4BE4" w:rsidP="001C4BE4">
      <w:pPr>
        <w:rPr>
          <w:szCs w:val="22"/>
          <w:u w:val="single"/>
        </w:rPr>
      </w:pPr>
      <w:r w:rsidRPr="001C4BE4">
        <w:rPr>
          <w:szCs w:val="22"/>
          <w:u w:val="single"/>
        </w:rPr>
        <w:t>ARABIE SAOUDITE/SAUDI ARABIA</w:t>
      </w:r>
    </w:p>
    <w:p w14:paraId="2A2094F9" w14:textId="77777777" w:rsidR="001C4BE4" w:rsidRPr="001C4BE4" w:rsidRDefault="001C4BE4" w:rsidP="001C4BE4">
      <w:pPr>
        <w:rPr>
          <w:szCs w:val="22"/>
          <w:u w:val="single"/>
        </w:rPr>
      </w:pPr>
    </w:p>
    <w:p w14:paraId="3EFFEF58" w14:textId="4D79CE14" w:rsidR="001C4BE4" w:rsidRPr="001C4BE4" w:rsidRDefault="001C4BE4" w:rsidP="001C4BE4">
      <w:pPr>
        <w:rPr>
          <w:szCs w:val="22"/>
        </w:rPr>
      </w:pPr>
      <w:r w:rsidRPr="001C4BE4">
        <w:rPr>
          <w:szCs w:val="22"/>
        </w:rPr>
        <w:t>Sager ALFUTAIMANI</w:t>
      </w:r>
      <w:r w:rsidR="00A15441">
        <w:rPr>
          <w:szCs w:val="22"/>
        </w:rPr>
        <w:t xml:space="preserve"> (Mr.)</w:t>
      </w:r>
      <w:r w:rsidRPr="001C4BE4">
        <w:rPr>
          <w:szCs w:val="22"/>
        </w:rPr>
        <w:t xml:space="preserve">, Deputy Director for Technical Affairs, Saudi Patent Office (SPO), King </w:t>
      </w:r>
      <w:proofErr w:type="spellStart"/>
      <w:r w:rsidRPr="001C4BE4">
        <w:rPr>
          <w:szCs w:val="22"/>
        </w:rPr>
        <w:t>AbdulAziz</w:t>
      </w:r>
      <w:proofErr w:type="spellEnd"/>
      <w:r w:rsidRPr="001C4BE4">
        <w:rPr>
          <w:szCs w:val="22"/>
        </w:rPr>
        <w:t xml:space="preserve"> City for Science and Technology (KACST), Riyadh</w:t>
      </w:r>
    </w:p>
    <w:p w14:paraId="7B8DE978" w14:textId="77777777" w:rsidR="001C4BE4" w:rsidRPr="001C4BE4" w:rsidRDefault="001C4BE4" w:rsidP="001C4BE4">
      <w:pPr>
        <w:rPr>
          <w:szCs w:val="22"/>
          <w:lang w:val="es-ES"/>
        </w:rPr>
      </w:pPr>
      <w:r w:rsidRPr="001C4BE4">
        <w:rPr>
          <w:szCs w:val="22"/>
          <w:u w:val="single"/>
          <w:lang w:val="es-ES"/>
        </w:rPr>
        <w:t xml:space="preserve">sfutmani@kacst.edu.sa </w:t>
      </w:r>
    </w:p>
    <w:p w14:paraId="0E428D05" w14:textId="77777777" w:rsidR="001C4BE4" w:rsidRPr="001C4BE4" w:rsidRDefault="001C4BE4" w:rsidP="001C4BE4">
      <w:pPr>
        <w:rPr>
          <w:szCs w:val="22"/>
          <w:lang w:val="es-ES"/>
        </w:rPr>
      </w:pPr>
    </w:p>
    <w:p w14:paraId="2A28A600" w14:textId="77777777" w:rsidR="001C4BE4" w:rsidRPr="001C4BE4" w:rsidRDefault="001C4BE4" w:rsidP="001C4BE4">
      <w:pPr>
        <w:rPr>
          <w:szCs w:val="22"/>
          <w:lang w:val="es-ES"/>
        </w:rPr>
      </w:pPr>
    </w:p>
    <w:p w14:paraId="747515C7" w14:textId="77777777" w:rsidR="001C4BE4" w:rsidRPr="001C4BE4" w:rsidRDefault="001C4BE4" w:rsidP="001C4BE4">
      <w:pPr>
        <w:rPr>
          <w:szCs w:val="22"/>
          <w:u w:val="single"/>
          <w:lang w:val="es-ES"/>
        </w:rPr>
      </w:pPr>
      <w:r w:rsidRPr="001C4BE4">
        <w:rPr>
          <w:szCs w:val="22"/>
          <w:u w:val="single"/>
          <w:lang w:val="es-ES"/>
        </w:rPr>
        <w:t>ARGENTINE/ARGENTINA</w:t>
      </w:r>
    </w:p>
    <w:p w14:paraId="4AD173F2" w14:textId="77777777" w:rsidR="001C4BE4" w:rsidRPr="001C4BE4" w:rsidRDefault="001C4BE4" w:rsidP="001C4BE4">
      <w:pPr>
        <w:rPr>
          <w:szCs w:val="22"/>
          <w:u w:val="single"/>
          <w:lang w:val="es-ES"/>
        </w:rPr>
      </w:pPr>
    </w:p>
    <w:p w14:paraId="6059E01B" w14:textId="77777777" w:rsidR="001C4BE4" w:rsidRPr="001C4BE4" w:rsidRDefault="001C4BE4" w:rsidP="001C4BE4">
      <w:pPr>
        <w:rPr>
          <w:szCs w:val="22"/>
          <w:lang w:val="es-ES"/>
        </w:rPr>
      </w:pPr>
      <w:r w:rsidRPr="001C4BE4">
        <w:rPr>
          <w:szCs w:val="22"/>
          <w:lang w:val="es-ES"/>
        </w:rPr>
        <w:t>María Inés RODRÍGUEZ (Sra.), Ministra, Misión Permanente, Ginebra</w:t>
      </w:r>
    </w:p>
    <w:p w14:paraId="72F759CD" w14:textId="77777777" w:rsidR="001C4BE4" w:rsidRPr="001C4BE4" w:rsidRDefault="001C4BE4" w:rsidP="001C4BE4">
      <w:pPr>
        <w:rPr>
          <w:szCs w:val="22"/>
          <w:lang w:val="es-ES"/>
        </w:rPr>
      </w:pPr>
    </w:p>
    <w:p w14:paraId="163D0031" w14:textId="77777777" w:rsidR="001C4BE4" w:rsidRPr="001C4BE4" w:rsidRDefault="001C4BE4" w:rsidP="001C4BE4">
      <w:pPr>
        <w:rPr>
          <w:szCs w:val="22"/>
          <w:lang w:val="es-ES"/>
        </w:rPr>
      </w:pPr>
    </w:p>
    <w:p w14:paraId="7701F5B7" w14:textId="77777777" w:rsidR="00DA02CF" w:rsidRPr="00C40D5D" w:rsidRDefault="00DA02CF" w:rsidP="001C4BE4">
      <w:pPr>
        <w:rPr>
          <w:szCs w:val="22"/>
          <w:lang w:val="es-ES_tradnl"/>
        </w:rPr>
        <w:sectPr w:rsidR="00DA02CF" w:rsidRPr="00C40D5D" w:rsidSect="00D85015">
          <w:headerReference w:type="default" r:id="rId15"/>
          <w:pgSz w:w="11907" w:h="16839" w:code="9"/>
          <w:pgMar w:top="1440" w:right="1138" w:bottom="1440" w:left="1411" w:header="706" w:footer="706" w:gutter="0"/>
          <w:pgNumType w:start="1"/>
          <w:cols w:space="720"/>
          <w:docGrid w:linePitch="360"/>
        </w:sectPr>
      </w:pPr>
    </w:p>
    <w:p w14:paraId="4A7AC01C" w14:textId="77777777" w:rsidR="00BB6911" w:rsidRPr="001C4BE4" w:rsidRDefault="00BB6911" w:rsidP="00BB6911">
      <w:pPr>
        <w:rPr>
          <w:szCs w:val="22"/>
          <w:u w:val="single"/>
        </w:rPr>
      </w:pPr>
      <w:r w:rsidRPr="001C4BE4">
        <w:rPr>
          <w:szCs w:val="22"/>
          <w:u w:val="single"/>
        </w:rPr>
        <w:lastRenderedPageBreak/>
        <w:t>ARMÉNIE/ARMENIA</w:t>
      </w:r>
    </w:p>
    <w:p w14:paraId="6228CEB5" w14:textId="77777777" w:rsidR="00BB6911" w:rsidRPr="001C4BE4" w:rsidRDefault="00BB6911" w:rsidP="00BB6911">
      <w:pPr>
        <w:rPr>
          <w:szCs w:val="22"/>
          <w:u w:val="single"/>
        </w:rPr>
      </w:pPr>
    </w:p>
    <w:p w14:paraId="528EDC1B" w14:textId="78CE683D" w:rsidR="00BB6911" w:rsidRPr="001C4BE4" w:rsidRDefault="00BB6911" w:rsidP="00BB6911">
      <w:pPr>
        <w:rPr>
          <w:szCs w:val="22"/>
        </w:rPr>
      </w:pPr>
      <w:r w:rsidRPr="001C4BE4">
        <w:rPr>
          <w:szCs w:val="22"/>
        </w:rPr>
        <w:t>Ara ABGARYAN</w:t>
      </w:r>
      <w:r w:rsidR="00A15441">
        <w:rPr>
          <w:szCs w:val="22"/>
        </w:rPr>
        <w:t xml:space="preserve"> (Mr.)</w:t>
      </w:r>
      <w:r w:rsidRPr="001C4BE4">
        <w:rPr>
          <w:szCs w:val="22"/>
        </w:rPr>
        <w:t>, Head, State Registry Department, Intellectual Property Agency of the Republic of Armenia, Yerevan</w:t>
      </w:r>
    </w:p>
    <w:p w14:paraId="213C7660" w14:textId="77777777" w:rsidR="001C4BE4" w:rsidRPr="001C4BE4" w:rsidRDefault="001C4BE4" w:rsidP="001C4BE4">
      <w:pPr>
        <w:rPr>
          <w:szCs w:val="22"/>
        </w:rPr>
      </w:pPr>
    </w:p>
    <w:p w14:paraId="27961552" w14:textId="77777777" w:rsidR="001C4BE4" w:rsidRPr="001C4BE4" w:rsidRDefault="001C4BE4" w:rsidP="001C4BE4">
      <w:pPr>
        <w:rPr>
          <w:szCs w:val="22"/>
        </w:rPr>
      </w:pPr>
      <w:proofErr w:type="spellStart"/>
      <w:r w:rsidRPr="001C4BE4">
        <w:rPr>
          <w:szCs w:val="22"/>
        </w:rPr>
        <w:t>Armenuhi</w:t>
      </w:r>
      <w:proofErr w:type="spellEnd"/>
      <w:r w:rsidRPr="001C4BE4">
        <w:rPr>
          <w:szCs w:val="22"/>
        </w:rPr>
        <w:t xml:space="preserve"> SHAHINYAN (Ms.), Senior Specialist, State Registry Department, Intellectual Property Agency of the Republic of Armenia, Yerevan</w:t>
      </w:r>
    </w:p>
    <w:p w14:paraId="43BCB977" w14:textId="77777777" w:rsidR="001C4BE4" w:rsidRPr="001C4BE4" w:rsidRDefault="001C4BE4" w:rsidP="001C4BE4">
      <w:pPr>
        <w:rPr>
          <w:szCs w:val="22"/>
        </w:rPr>
      </w:pPr>
    </w:p>
    <w:p w14:paraId="3A23D96E" w14:textId="77777777" w:rsidR="001C4BE4" w:rsidRPr="001C4BE4" w:rsidRDefault="001C4BE4" w:rsidP="001C4BE4">
      <w:pPr>
        <w:rPr>
          <w:szCs w:val="22"/>
        </w:rPr>
      </w:pPr>
    </w:p>
    <w:p w14:paraId="0C592A94" w14:textId="77777777" w:rsidR="001C4BE4" w:rsidRPr="001C4BE4" w:rsidRDefault="001C4BE4" w:rsidP="001C4BE4">
      <w:pPr>
        <w:rPr>
          <w:szCs w:val="22"/>
          <w:u w:val="single"/>
        </w:rPr>
      </w:pPr>
      <w:r w:rsidRPr="001C4BE4">
        <w:rPr>
          <w:szCs w:val="22"/>
          <w:u w:val="single"/>
        </w:rPr>
        <w:t>AUSTRALIE/AUSTRALIA</w:t>
      </w:r>
    </w:p>
    <w:p w14:paraId="53C32C88" w14:textId="77777777" w:rsidR="001C4BE4" w:rsidRPr="001C4BE4" w:rsidRDefault="001C4BE4" w:rsidP="001C4BE4">
      <w:pPr>
        <w:rPr>
          <w:szCs w:val="22"/>
          <w:u w:val="single"/>
        </w:rPr>
      </w:pPr>
    </w:p>
    <w:p w14:paraId="0190432A" w14:textId="77777777" w:rsidR="001C4BE4" w:rsidRPr="001C4BE4" w:rsidRDefault="001C4BE4" w:rsidP="001C4BE4">
      <w:pPr>
        <w:rPr>
          <w:szCs w:val="22"/>
        </w:rPr>
      </w:pPr>
      <w:r w:rsidRPr="001C4BE4">
        <w:rPr>
          <w:szCs w:val="22"/>
        </w:rPr>
        <w:t>Aideen FITZGERALD (Ms.), Assistant Director, International Policy and Cooperation Section, IP Australia, Canberra</w:t>
      </w:r>
    </w:p>
    <w:p w14:paraId="166D4900" w14:textId="77777777" w:rsidR="001C4BE4" w:rsidRPr="001C4BE4" w:rsidRDefault="001C4BE4" w:rsidP="001C4BE4">
      <w:pPr>
        <w:rPr>
          <w:szCs w:val="22"/>
        </w:rPr>
      </w:pPr>
    </w:p>
    <w:p w14:paraId="799634F4" w14:textId="77777777" w:rsidR="001C4BE4" w:rsidRPr="001C4BE4" w:rsidRDefault="001C4BE4" w:rsidP="001C4BE4">
      <w:pPr>
        <w:rPr>
          <w:szCs w:val="22"/>
        </w:rPr>
      </w:pPr>
      <w:r w:rsidRPr="001C4BE4">
        <w:rPr>
          <w:szCs w:val="22"/>
        </w:rPr>
        <w:t>Grace STRIPEIKIS (Ms.), Assistant Director, International Intellectual Property Section, Department of Foreign Affairs and Trade, Canberra</w:t>
      </w:r>
    </w:p>
    <w:p w14:paraId="127A6393" w14:textId="77777777" w:rsidR="001C4BE4" w:rsidRPr="001C4BE4" w:rsidRDefault="001C4BE4" w:rsidP="001C4BE4">
      <w:pPr>
        <w:rPr>
          <w:szCs w:val="22"/>
        </w:rPr>
      </w:pPr>
      <w:r w:rsidRPr="001C4BE4">
        <w:rPr>
          <w:szCs w:val="22"/>
          <w:u w:val="single"/>
        </w:rPr>
        <w:t xml:space="preserve">grace.stripeikis@dfat.gov.au </w:t>
      </w:r>
    </w:p>
    <w:p w14:paraId="7C4AC20F" w14:textId="77777777" w:rsidR="001C4BE4" w:rsidRPr="001C4BE4" w:rsidRDefault="001C4BE4" w:rsidP="001C4BE4">
      <w:pPr>
        <w:rPr>
          <w:szCs w:val="22"/>
          <w:u w:val="single"/>
        </w:rPr>
      </w:pPr>
    </w:p>
    <w:p w14:paraId="5B03BA79" w14:textId="77777777" w:rsidR="001C4BE4" w:rsidRPr="001C4BE4" w:rsidRDefault="001C4BE4" w:rsidP="001C4BE4">
      <w:pPr>
        <w:rPr>
          <w:szCs w:val="22"/>
        </w:rPr>
      </w:pPr>
      <w:r w:rsidRPr="001C4BE4">
        <w:rPr>
          <w:szCs w:val="22"/>
        </w:rPr>
        <w:t>Felicity HAMMOND (Ms.), First Secretary, Permanent Mission to the World Trade Organization (WTO), Geneva</w:t>
      </w:r>
    </w:p>
    <w:p w14:paraId="3915AC11" w14:textId="77777777" w:rsidR="001C4BE4" w:rsidRPr="001C4BE4" w:rsidRDefault="001C4BE4" w:rsidP="001C4BE4">
      <w:pPr>
        <w:rPr>
          <w:szCs w:val="22"/>
          <w:lang w:val="fr-FR"/>
        </w:rPr>
      </w:pPr>
      <w:r w:rsidRPr="001C4BE4">
        <w:rPr>
          <w:szCs w:val="22"/>
          <w:u w:val="single"/>
          <w:lang w:val="fr-FR"/>
        </w:rPr>
        <w:t xml:space="preserve">felicity.hammond@dfat.gov.au </w:t>
      </w:r>
    </w:p>
    <w:p w14:paraId="0F76E889" w14:textId="77777777" w:rsidR="001C4BE4" w:rsidRPr="001C4BE4" w:rsidRDefault="001C4BE4" w:rsidP="001C4BE4">
      <w:pPr>
        <w:rPr>
          <w:szCs w:val="22"/>
          <w:u w:val="single"/>
          <w:lang w:val="fr-FR"/>
        </w:rPr>
      </w:pPr>
    </w:p>
    <w:p w14:paraId="5FC399DF" w14:textId="77777777" w:rsidR="001C4BE4" w:rsidRPr="001C4BE4" w:rsidRDefault="001C4BE4" w:rsidP="001C4BE4">
      <w:pPr>
        <w:rPr>
          <w:szCs w:val="22"/>
          <w:u w:val="single"/>
          <w:lang w:val="fr-FR"/>
        </w:rPr>
      </w:pPr>
    </w:p>
    <w:p w14:paraId="6DF2F280" w14:textId="77777777" w:rsidR="001C4BE4" w:rsidRPr="001C4BE4" w:rsidRDefault="001C4BE4" w:rsidP="001C4BE4">
      <w:pPr>
        <w:rPr>
          <w:szCs w:val="22"/>
          <w:u w:val="single"/>
          <w:lang w:val="fr-FR"/>
        </w:rPr>
      </w:pPr>
      <w:r w:rsidRPr="001C4BE4">
        <w:rPr>
          <w:szCs w:val="22"/>
          <w:u w:val="single"/>
          <w:lang w:val="fr-FR"/>
        </w:rPr>
        <w:t>AUTRICHE/AUSTRIA</w:t>
      </w:r>
    </w:p>
    <w:p w14:paraId="1C4E0752" w14:textId="77777777" w:rsidR="001C4BE4" w:rsidRPr="001C4BE4" w:rsidRDefault="001C4BE4" w:rsidP="001C4BE4">
      <w:pPr>
        <w:rPr>
          <w:szCs w:val="22"/>
          <w:u w:val="single"/>
          <w:lang w:val="fr-FR"/>
        </w:rPr>
      </w:pPr>
    </w:p>
    <w:p w14:paraId="787BA123" w14:textId="0E10D7A9" w:rsidR="001C4BE4" w:rsidRPr="001C4BE4" w:rsidRDefault="001C4BE4" w:rsidP="001C4BE4">
      <w:pPr>
        <w:rPr>
          <w:szCs w:val="22"/>
        </w:rPr>
      </w:pPr>
      <w:r w:rsidRPr="001C4BE4">
        <w:rPr>
          <w:szCs w:val="22"/>
        </w:rPr>
        <w:t>Günter AUER</w:t>
      </w:r>
      <w:r w:rsidR="00A15441">
        <w:rPr>
          <w:szCs w:val="22"/>
        </w:rPr>
        <w:t xml:space="preserve"> (Mr.)</w:t>
      </w:r>
      <w:r w:rsidRPr="001C4BE4">
        <w:rPr>
          <w:szCs w:val="22"/>
        </w:rPr>
        <w:t>, Member, Civil Law Department, Copyright Unit, Federal Ministry of Justice, Vienna</w:t>
      </w:r>
    </w:p>
    <w:p w14:paraId="39E1BF71" w14:textId="77777777" w:rsidR="001C4BE4" w:rsidRPr="001C4BE4" w:rsidRDefault="001C4BE4" w:rsidP="001C4BE4">
      <w:pPr>
        <w:rPr>
          <w:szCs w:val="22"/>
        </w:rPr>
      </w:pPr>
    </w:p>
    <w:p w14:paraId="247A121E" w14:textId="77777777" w:rsidR="001C4BE4" w:rsidRPr="001C4BE4" w:rsidRDefault="001C4BE4" w:rsidP="001C4BE4">
      <w:pPr>
        <w:rPr>
          <w:szCs w:val="22"/>
        </w:rPr>
      </w:pPr>
    </w:p>
    <w:p w14:paraId="7A15C7FC" w14:textId="77777777" w:rsidR="001C4BE4" w:rsidRPr="001C4BE4" w:rsidRDefault="001C4BE4" w:rsidP="001C4BE4">
      <w:pPr>
        <w:rPr>
          <w:szCs w:val="22"/>
          <w:u w:val="single"/>
        </w:rPr>
      </w:pPr>
      <w:r w:rsidRPr="001C4BE4">
        <w:rPr>
          <w:szCs w:val="22"/>
          <w:u w:val="single"/>
        </w:rPr>
        <w:t>BAHAMAS</w:t>
      </w:r>
    </w:p>
    <w:p w14:paraId="30A60C81" w14:textId="77777777" w:rsidR="001C4BE4" w:rsidRPr="001C4BE4" w:rsidRDefault="001C4BE4" w:rsidP="001C4BE4">
      <w:pPr>
        <w:rPr>
          <w:szCs w:val="22"/>
          <w:u w:val="single"/>
        </w:rPr>
      </w:pPr>
    </w:p>
    <w:p w14:paraId="6D3A7160" w14:textId="77777777" w:rsidR="001C4BE4" w:rsidRPr="001C4BE4" w:rsidRDefault="001C4BE4" w:rsidP="001C4BE4">
      <w:pPr>
        <w:rPr>
          <w:szCs w:val="22"/>
        </w:rPr>
      </w:pPr>
      <w:r w:rsidRPr="001C4BE4">
        <w:rPr>
          <w:szCs w:val="22"/>
        </w:rPr>
        <w:t>Bernadette BUTLER (Ms.), Minister-Counsellor, Permanent Mission, Geneva</w:t>
      </w:r>
    </w:p>
    <w:p w14:paraId="761C58C6" w14:textId="77777777" w:rsidR="001C4BE4" w:rsidRPr="001C4BE4" w:rsidRDefault="001C4BE4" w:rsidP="001C4BE4">
      <w:pPr>
        <w:rPr>
          <w:szCs w:val="22"/>
          <w:lang w:val="es-ES"/>
        </w:rPr>
      </w:pPr>
      <w:r w:rsidRPr="001C4BE4">
        <w:rPr>
          <w:szCs w:val="22"/>
          <w:u w:val="single"/>
          <w:lang w:val="es-ES"/>
        </w:rPr>
        <w:t xml:space="preserve">bbutler@bahamasmission.ch </w:t>
      </w:r>
    </w:p>
    <w:p w14:paraId="38868929" w14:textId="77777777" w:rsidR="001C4BE4" w:rsidRPr="001C4BE4" w:rsidRDefault="001C4BE4" w:rsidP="001C4BE4">
      <w:pPr>
        <w:rPr>
          <w:szCs w:val="22"/>
          <w:lang w:val="es-ES"/>
        </w:rPr>
      </w:pPr>
    </w:p>
    <w:p w14:paraId="1C48ACA8" w14:textId="77777777" w:rsidR="001C4BE4" w:rsidRPr="001C4BE4" w:rsidRDefault="001C4BE4" w:rsidP="001C4BE4">
      <w:pPr>
        <w:rPr>
          <w:szCs w:val="22"/>
          <w:lang w:val="es-ES"/>
        </w:rPr>
      </w:pPr>
    </w:p>
    <w:p w14:paraId="2B147CCD" w14:textId="77777777" w:rsidR="001C4BE4" w:rsidRPr="001C4BE4" w:rsidRDefault="001C4BE4" w:rsidP="001C4BE4">
      <w:pPr>
        <w:rPr>
          <w:szCs w:val="22"/>
          <w:u w:val="single"/>
          <w:lang w:val="es-ES"/>
        </w:rPr>
      </w:pPr>
      <w:r w:rsidRPr="001C4BE4">
        <w:rPr>
          <w:szCs w:val="22"/>
          <w:u w:val="single"/>
          <w:lang w:val="es-ES"/>
        </w:rPr>
        <w:t>BOLIVIE (ÉTAT PLURINATIONAL DE)/BOLIVIA (PLURINATIONAL STATE OF)</w:t>
      </w:r>
    </w:p>
    <w:p w14:paraId="4C04A129" w14:textId="77777777" w:rsidR="001C4BE4" w:rsidRPr="001C4BE4" w:rsidRDefault="001C4BE4" w:rsidP="001C4BE4">
      <w:pPr>
        <w:rPr>
          <w:szCs w:val="22"/>
          <w:u w:val="single"/>
          <w:lang w:val="es-ES"/>
        </w:rPr>
      </w:pPr>
    </w:p>
    <w:p w14:paraId="68A76FD1" w14:textId="137A8600" w:rsidR="001C4BE4" w:rsidRPr="001C4BE4" w:rsidRDefault="001C4BE4" w:rsidP="001C4BE4">
      <w:pPr>
        <w:rPr>
          <w:szCs w:val="22"/>
          <w:lang w:val="es-ES"/>
        </w:rPr>
      </w:pPr>
      <w:r w:rsidRPr="001C4BE4">
        <w:rPr>
          <w:szCs w:val="22"/>
          <w:lang w:val="es-ES"/>
        </w:rPr>
        <w:t>Horacio Gabriel USQUIANO VARGAS</w:t>
      </w:r>
      <w:r w:rsidR="00A15441">
        <w:rPr>
          <w:szCs w:val="22"/>
          <w:lang w:val="es-ES"/>
        </w:rPr>
        <w:t xml:space="preserve"> (Sr.)</w:t>
      </w:r>
      <w:r w:rsidRPr="001C4BE4">
        <w:rPr>
          <w:szCs w:val="22"/>
          <w:lang w:val="es-ES"/>
        </w:rPr>
        <w:t>, Director General de Integración y Cooperación Económica, Viceministerio de Comercio Exterior e Integración, Ministerio de Relaciones Exteriores, La Paz</w:t>
      </w:r>
    </w:p>
    <w:p w14:paraId="7A79A187" w14:textId="77777777" w:rsidR="001C4BE4" w:rsidRPr="001C4BE4" w:rsidRDefault="001C4BE4" w:rsidP="001C4BE4">
      <w:pPr>
        <w:rPr>
          <w:szCs w:val="22"/>
          <w:lang w:val="es-ES"/>
        </w:rPr>
      </w:pPr>
    </w:p>
    <w:p w14:paraId="2736BADF" w14:textId="702D5996" w:rsidR="001C4BE4" w:rsidRPr="001C4BE4" w:rsidRDefault="001C4BE4" w:rsidP="001C4BE4">
      <w:pPr>
        <w:rPr>
          <w:szCs w:val="22"/>
          <w:lang w:val="es-ES"/>
        </w:rPr>
      </w:pPr>
      <w:r w:rsidRPr="001C4BE4">
        <w:rPr>
          <w:szCs w:val="22"/>
          <w:lang w:val="es-ES"/>
        </w:rPr>
        <w:t>Luis Fernando ROSALES LOZADA</w:t>
      </w:r>
      <w:r w:rsidR="00A15441">
        <w:rPr>
          <w:szCs w:val="22"/>
          <w:lang w:val="es-ES"/>
        </w:rPr>
        <w:t xml:space="preserve"> (Sr.)</w:t>
      </w:r>
      <w:r w:rsidRPr="001C4BE4">
        <w:rPr>
          <w:szCs w:val="22"/>
          <w:lang w:val="es-ES"/>
        </w:rPr>
        <w:t>, Primer Secretario, Misión Permanente, Ginebra</w:t>
      </w:r>
    </w:p>
    <w:p w14:paraId="79ABB62E" w14:textId="77777777" w:rsidR="001C4BE4" w:rsidRPr="001C4BE4" w:rsidRDefault="001C4BE4" w:rsidP="001C4BE4">
      <w:pPr>
        <w:rPr>
          <w:szCs w:val="22"/>
          <w:lang w:val="fr-FR"/>
        </w:rPr>
      </w:pPr>
      <w:r w:rsidRPr="001C4BE4">
        <w:rPr>
          <w:szCs w:val="22"/>
          <w:u w:val="single"/>
          <w:lang w:val="fr-FR"/>
        </w:rPr>
        <w:t xml:space="preserve">fernando.rosales@mission-bolivia.ch </w:t>
      </w:r>
    </w:p>
    <w:p w14:paraId="4B78F341" w14:textId="77777777" w:rsidR="001C4BE4" w:rsidRPr="001C4BE4" w:rsidRDefault="001C4BE4" w:rsidP="001C4BE4">
      <w:pPr>
        <w:rPr>
          <w:szCs w:val="22"/>
          <w:lang w:val="fr-FR"/>
        </w:rPr>
      </w:pPr>
    </w:p>
    <w:p w14:paraId="7A18D7DB" w14:textId="77777777" w:rsidR="001C4BE4" w:rsidRPr="001C4BE4" w:rsidRDefault="001C4BE4" w:rsidP="001C4BE4">
      <w:pPr>
        <w:rPr>
          <w:szCs w:val="22"/>
          <w:lang w:val="fr-FR"/>
        </w:rPr>
      </w:pPr>
    </w:p>
    <w:p w14:paraId="261DE532" w14:textId="77777777" w:rsidR="001C4BE4" w:rsidRPr="001C4BE4" w:rsidRDefault="001C4BE4" w:rsidP="001C4BE4">
      <w:pPr>
        <w:rPr>
          <w:szCs w:val="22"/>
          <w:u w:val="single"/>
          <w:lang w:val="fr-FR"/>
        </w:rPr>
      </w:pPr>
      <w:r w:rsidRPr="001C4BE4">
        <w:rPr>
          <w:szCs w:val="22"/>
          <w:u w:val="single"/>
          <w:lang w:val="fr-FR"/>
        </w:rPr>
        <w:t>BRÉSIL/BRAZIL</w:t>
      </w:r>
    </w:p>
    <w:p w14:paraId="63EE73B9" w14:textId="77777777" w:rsidR="001C4BE4" w:rsidRPr="001C4BE4" w:rsidRDefault="001C4BE4" w:rsidP="001C4BE4">
      <w:pPr>
        <w:rPr>
          <w:szCs w:val="22"/>
          <w:u w:val="single"/>
          <w:lang w:val="fr-FR"/>
        </w:rPr>
      </w:pPr>
    </w:p>
    <w:p w14:paraId="4DDA61C3" w14:textId="3168268C" w:rsidR="001C4BE4" w:rsidRPr="001C4BE4" w:rsidRDefault="001C4BE4" w:rsidP="001C4BE4">
      <w:pPr>
        <w:rPr>
          <w:szCs w:val="22"/>
        </w:rPr>
      </w:pPr>
      <w:r w:rsidRPr="001C4BE4">
        <w:rPr>
          <w:szCs w:val="22"/>
        </w:rPr>
        <w:t>Daniel PINTO</w:t>
      </w:r>
      <w:r w:rsidR="00A15441">
        <w:rPr>
          <w:szCs w:val="22"/>
        </w:rPr>
        <w:t xml:space="preserve"> (Mr.)</w:t>
      </w:r>
      <w:r w:rsidRPr="001C4BE4">
        <w:rPr>
          <w:szCs w:val="22"/>
        </w:rPr>
        <w:t>, Head, Intellectual Property Division, Ministry of Foreign Relations, Brasilia</w:t>
      </w:r>
    </w:p>
    <w:p w14:paraId="4DE562B6" w14:textId="77777777" w:rsidR="001C4BE4" w:rsidRPr="001C4BE4" w:rsidRDefault="001C4BE4" w:rsidP="001C4BE4">
      <w:pPr>
        <w:rPr>
          <w:szCs w:val="22"/>
        </w:rPr>
      </w:pPr>
      <w:r w:rsidRPr="001C4BE4">
        <w:rPr>
          <w:szCs w:val="22"/>
          <w:u w:val="single"/>
        </w:rPr>
        <w:t xml:space="preserve">daniel.pinto@itamaraty.gov.br </w:t>
      </w:r>
    </w:p>
    <w:p w14:paraId="7408B708" w14:textId="77777777" w:rsidR="001C4BE4" w:rsidRPr="001C4BE4" w:rsidRDefault="001C4BE4" w:rsidP="001C4BE4">
      <w:pPr>
        <w:rPr>
          <w:szCs w:val="22"/>
        </w:rPr>
      </w:pPr>
    </w:p>
    <w:p w14:paraId="0D62A2B9" w14:textId="05951501" w:rsidR="001C4BE4" w:rsidRPr="001C4BE4" w:rsidRDefault="001C4BE4" w:rsidP="001C4BE4">
      <w:pPr>
        <w:rPr>
          <w:szCs w:val="22"/>
        </w:rPr>
      </w:pPr>
      <w:r w:rsidRPr="001C4BE4">
        <w:rPr>
          <w:szCs w:val="22"/>
        </w:rPr>
        <w:t>Fernando CASSIBI DE SOUZA</w:t>
      </w:r>
      <w:r w:rsidR="00A15441">
        <w:rPr>
          <w:szCs w:val="22"/>
        </w:rPr>
        <w:t xml:space="preserve"> (Mr.)</w:t>
      </w:r>
      <w:r w:rsidRPr="001C4BE4">
        <w:rPr>
          <w:szCs w:val="22"/>
        </w:rPr>
        <w:t>, Intellectual Property Researcher, National Institute of Industrial Property (INPI), Ministry of Industry, Foreign Trade and Services, Rio de Janeiro</w:t>
      </w:r>
    </w:p>
    <w:p w14:paraId="1C094D94" w14:textId="77777777" w:rsidR="001C4BE4" w:rsidRPr="001C4BE4" w:rsidRDefault="001C4BE4" w:rsidP="001C4BE4">
      <w:pPr>
        <w:rPr>
          <w:szCs w:val="22"/>
        </w:rPr>
      </w:pPr>
    </w:p>
    <w:p w14:paraId="2BF1ED5A" w14:textId="7437C04D" w:rsidR="001C4BE4" w:rsidRPr="001C4BE4" w:rsidRDefault="001C4BE4" w:rsidP="001C4BE4">
      <w:pPr>
        <w:rPr>
          <w:szCs w:val="22"/>
        </w:rPr>
      </w:pPr>
      <w:proofErr w:type="spellStart"/>
      <w:r w:rsidRPr="001C4BE4">
        <w:rPr>
          <w:szCs w:val="22"/>
        </w:rPr>
        <w:t>Caue</w:t>
      </w:r>
      <w:proofErr w:type="spellEnd"/>
      <w:r w:rsidRPr="001C4BE4">
        <w:rPr>
          <w:szCs w:val="22"/>
        </w:rPr>
        <w:t xml:space="preserve"> OLIVEIRA FANHA</w:t>
      </w:r>
      <w:r w:rsidR="00A15441">
        <w:rPr>
          <w:szCs w:val="22"/>
        </w:rPr>
        <w:t xml:space="preserve"> (Mr.)</w:t>
      </w:r>
      <w:r w:rsidRPr="001C4BE4">
        <w:rPr>
          <w:szCs w:val="22"/>
        </w:rPr>
        <w:t>, First Secretary, Permanent Mission to the World Trade Organization (WTO), Geneva</w:t>
      </w:r>
    </w:p>
    <w:p w14:paraId="7B2B4D37" w14:textId="77777777" w:rsidR="001C4BE4" w:rsidRPr="001C4BE4" w:rsidRDefault="001C4BE4" w:rsidP="001C4BE4">
      <w:pPr>
        <w:rPr>
          <w:szCs w:val="22"/>
        </w:rPr>
      </w:pPr>
    </w:p>
    <w:p w14:paraId="473E27AC" w14:textId="77777777" w:rsidR="001C4BE4" w:rsidRPr="001C4BE4" w:rsidRDefault="001C4BE4" w:rsidP="001C4BE4">
      <w:pPr>
        <w:rPr>
          <w:szCs w:val="22"/>
          <w:lang w:val="fr-FR"/>
        </w:rPr>
      </w:pPr>
      <w:r w:rsidRPr="001C4BE4">
        <w:rPr>
          <w:szCs w:val="22"/>
          <w:lang w:val="fr-FR"/>
        </w:rPr>
        <w:t xml:space="preserve">Marina Isadora SOUZA (Ms.), </w:t>
      </w:r>
      <w:proofErr w:type="spellStart"/>
      <w:r w:rsidRPr="001C4BE4">
        <w:rPr>
          <w:szCs w:val="22"/>
          <w:lang w:val="fr-FR"/>
        </w:rPr>
        <w:t>Intern</w:t>
      </w:r>
      <w:proofErr w:type="spellEnd"/>
      <w:r w:rsidRPr="001C4BE4">
        <w:rPr>
          <w:szCs w:val="22"/>
          <w:lang w:val="fr-FR"/>
        </w:rPr>
        <w:t>, Permanent Mission, Geneva</w:t>
      </w:r>
    </w:p>
    <w:p w14:paraId="3684D284" w14:textId="77777777" w:rsidR="001C4BE4" w:rsidRPr="001C4BE4" w:rsidRDefault="001C4BE4" w:rsidP="001C4BE4">
      <w:pPr>
        <w:rPr>
          <w:szCs w:val="22"/>
          <w:lang w:val="fr-FR"/>
        </w:rPr>
      </w:pPr>
    </w:p>
    <w:p w14:paraId="208CF469" w14:textId="77777777" w:rsidR="001C4BE4" w:rsidRPr="001C4BE4" w:rsidRDefault="001C4BE4" w:rsidP="001C4BE4">
      <w:pPr>
        <w:rPr>
          <w:szCs w:val="22"/>
          <w:lang w:val="fr-FR"/>
        </w:rPr>
      </w:pPr>
    </w:p>
    <w:p w14:paraId="5A892D8B" w14:textId="77777777" w:rsidR="001C4BE4" w:rsidRPr="001C4BE4" w:rsidRDefault="001C4BE4" w:rsidP="001C4BE4">
      <w:pPr>
        <w:rPr>
          <w:szCs w:val="22"/>
          <w:u w:val="single"/>
          <w:lang w:val="fr-FR"/>
        </w:rPr>
      </w:pPr>
      <w:r w:rsidRPr="001C4BE4">
        <w:rPr>
          <w:szCs w:val="22"/>
          <w:u w:val="single"/>
          <w:lang w:val="fr-FR"/>
        </w:rPr>
        <w:t>CAMEROUN/CAMEROON</w:t>
      </w:r>
    </w:p>
    <w:p w14:paraId="5BA51FAF" w14:textId="77777777" w:rsidR="001C4BE4" w:rsidRPr="001C4BE4" w:rsidRDefault="001C4BE4" w:rsidP="001C4BE4">
      <w:pPr>
        <w:rPr>
          <w:szCs w:val="22"/>
          <w:u w:val="single"/>
          <w:lang w:val="fr-FR"/>
        </w:rPr>
      </w:pPr>
    </w:p>
    <w:p w14:paraId="68BD75E2" w14:textId="3E8CA2DA" w:rsidR="00FA5A7A" w:rsidRPr="00FA5A7A" w:rsidRDefault="00FA5A7A" w:rsidP="00FA5A7A">
      <w:pPr>
        <w:rPr>
          <w:szCs w:val="22"/>
          <w:lang w:val="fr-FR"/>
        </w:rPr>
      </w:pPr>
      <w:proofErr w:type="spellStart"/>
      <w:r w:rsidRPr="00FA5A7A">
        <w:rPr>
          <w:szCs w:val="22"/>
          <w:lang w:val="fr-FR"/>
        </w:rPr>
        <w:t>Boubakar</w:t>
      </w:r>
      <w:proofErr w:type="spellEnd"/>
      <w:r w:rsidRPr="00FA5A7A">
        <w:rPr>
          <w:szCs w:val="22"/>
          <w:lang w:val="fr-FR"/>
        </w:rPr>
        <w:t xml:space="preserve"> LIKIBY</w:t>
      </w:r>
      <w:r w:rsidR="00A15441">
        <w:rPr>
          <w:szCs w:val="22"/>
          <w:lang w:val="fr-FR"/>
        </w:rPr>
        <w:t xml:space="preserve"> (M.)</w:t>
      </w:r>
      <w:r w:rsidRPr="00FA5A7A">
        <w:rPr>
          <w:szCs w:val="22"/>
          <w:lang w:val="fr-FR"/>
        </w:rPr>
        <w:t>, secrétaire permanent, Comité national de développement des technologies, Ministère de la recherche scientifique et de l’innovation (MINRESI), Yaoundé</w:t>
      </w:r>
    </w:p>
    <w:p w14:paraId="47603BDD" w14:textId="77777777" w:rsidR="00FA5A7A" w:rsidRPr="00FA5A7A" w:rsidRDefault="00FA5A7A" w:rsidP="00FA5A7A">
      <w:pPr>
        <w:rPr>
          <w:szCs w:val="22"/>
          <w:lang w:val="fr-FR"/>
        </w:rPr>
      </w:pPr>
      <w:r w:rsidRPr="00FA5A7A">
        <w:rPr>
          <w:szCs w:val="22"/>
          <w:u w:val="single"/>
          <w:lang w:val="fr-FR"/>
        </w:rPr>
        <w:t xml:space="preserve">likibyboubakar@gmail.com </w:t>
      </w:r>
    </w:p>
    <w:p w14:paraId="51E5622E" w14:textId="77777777" w:rsidR="00FA5A7A" w:rsidRDefault="00FA5A7A" w:rsidP="001C4BE4">
      <w:pPr>
        <w:rPr>
          <w:szCs w:val="22"/>
          <w:lang w:val="fr-FR"/>
        </w:rPr>
      </w:pPr>
    </w:p>
    <w:p w14:paraId="67F450D5" w14:textId="77777777" w:rsidR="001C4BE4" w:rsidRPr="001C4BE4" w:rsidRDefault="001C4BE4" w:rsidP="001C4BE4">
      <w:pPr>
        <w:rPr>
          <w:szCs w:val="22"/>
          <w:lang w:val="fr-FR"/>
        </w:rPr>
      </w:pPr>
      <w:r w:rsidRPr="001C4BE4">
        <w:rPr>
          <w:szCs w:val="22"/>
          <w:lang w:val="fr-FR"/>
        </w:rPr>
        <w:t>Edwige Christelle NAAMBOW ANABA (Mme), experte, Comité national de développement des technologies, Ministère de la recherche scientifique et de l’innovation (MINRESI), Yaoundé</w:t>
      </w:r>
    </w:p>
    <w:p w14:paraId="22CDD838" w14:textId="77777777" w:rsidR="001C4BE4" w:rsidRDefault="001C4BE4" w:rsidP="001C4BE4">
      <w:pPr>
        <w:rPr>
          <w:szCs w:val="22"/>
          <w:lang w:val="fr-FR"/>
        </w:rPr>
      </w:pPr>
    </w:p>
    <w:p w14:paraId="4DEC91D8" w14:textId="77777777" w:rsidR="00FA5A7A" w:rsidRPr="001C4BE4" w:rsidRDefault="00FA5A7A" w:rsidP="001C4BE4">
      <w:pPr>
        <w:rPr>
          <w:szCs w:val="22"/>
          <w:lang w:val="fr-FR"/>
        </w:rPr>
      </w:pPr>
    </w:p>
    <w:p w14:paraId="07A3D979" w14:textId="77777777" w:rsidR="001C4BE4" w:rsidRPr="001C4BE4" w:rsidRDefault="001C4BE4" w:rsidP="001C4BE4">
      <w:pPr>
        <w:rPr>
          <w:szCs w:val="22"/>
          <w:u w:val="single"/>
        </w:rPr>
      </w:pPr>
      <w:r w:rsidRPr="001C4BE4">
        <w:rPr>
          <w:szCs w:val="22"/>
          <w:u w:val="single"/>
        </w:rPr>
        <w:t>CANADA</w:t>
      </w:r>
    </w:p>
    <w:p w14:paraId="33DAADCE" w14:textId="77777777" w:rsidR="001C4BE4" w:rsidRPr="001C4BE4" w:rsidRDefault="001C4BE4" w:rsidP="001C4BE4">
      <w:pPr>
        <w:rPr>
          <w:szCs w:val="22"/>
          <w:u w:val="single"/>
        </w:rPr>
      </w:pPr>
    </w:p>
    <w:p w14:paraId="674A902D" w14:textId="77777777" w:rsidR="001C4BE4" w:rsidRPr="001C4BE4" w:rsidRDefault="001C4BE4" w:rsidP="001C4BE4">
      <w:pPr>
        <w:rPr>
          <w:szCs w:val="22"/>
        </w:rPr>
      </w:pPr>
      <w:r w:rsidRPr="001C4BE4">
        <w:rPr>
          <w:szCs w:val="22"/>
        </w:rPr>
        <w:t>Sylvie LAROSE (Ms.), Senior Trade Policy Officer, Intellectual Property Trade Policy Division, Global Affairs Canada, Ottawa</w:t>
      </w:r>
    </w:p>
    <w:p w14:paraId="3289EE1B" w14:textId="77777777" w:rsidR="001C4BE4" w:rsidRPr="001C4BE4" w:rsidRDefault="001C4BE4" w:rsidP="001C4BE4">
      <w:pPr>
        <w:rPr>
          <w:szCs w:val="22"/>
        </w:rPr>
      </w:pPr>
    </w:p>
    <w:p w14:paraId="708060E4" w14:textId="77777777" w:rsidR="001C4BE4" w:rsidRPr="001C4BE4" w:rsidRDefault="001C4BE4" w:rsidP="001C4BE4">
      <w:pPr>
        <w:rPr>
          <w:szCs w:val="22"/>
        </w:rPr>
      </w:pPr>
      <w:r w:rsidRPr="001C4BE4">
        <w:rPr>
          <w:szCs w:val="22"/>
        </w:rPr>
        <w:t>Shelley ROWE (Ms.), Senior Project Leader, Marketplace Framework Policy Branch, Innovation, Science and Economic Development, Ottawa</w:t>
      </w:r>
    </w:p>
    <w:p w14:paraId="0811F7ED" w14:textId="77777777" w:rsidR="001C4BE4" w:rsidRPr="001C4BE4" w:rsidRDefault="00C84FE4" w:rsidP="001C4BE4">
      <w:pPr>
        <w:rPr>
          <w:szCs w:val="22"/>
        </w:rPr>
      </w:pPr>
      <w:hyperlink r:id="rId16" w:history="1">
        <w:r w:rsidR="001C4BE4" w:rsidRPr="001C4BE4">
          <w:rPr>
            <w:szCs w:val="22"/>
            <w:u w:val="single"/>
          </w:rPr>
          <w:t>shelley.rowe@canada.ca</w:t>
        </w:r>
      </w:hyperlink>
      <w:r w:rsidR="001C4BE4" w:rsidRPr="001C4BE4">
        <w:rPr>
          <w:szCs w:val="22"/>
        </w:rPr>
        <w:t xml:space="preserve"> </w:t>
      </w:r>
    </w:p>
    <w:p w14:paraId="3461048F" w14:textId="77777777" w:rsidR="001C4BE4" w:rsidRPr="001C4BE4" w:rsidRDefault="001C4BE4" w:rsidP="001C4BE4">
      <w:pPr>
        <w:rPr>
          <w:szCs w:val="22"/>
        </w:rPr>
      </w:pPr>
    </w:p>
    <w:p w14:paraId="08F8A40A" w14:textId="6B3E123D" w:rsidR="001C4BE4" w:rsidRPr="001C4BE4" w:rsidRDefault="001C4BE4" w:rsidP="001C4BE4">
      <w:pPr>
        <w:rPr>
          <w:szCs w:val="22"/>
        </w:rPr>
      </w:pPr>
      <w:r w:rsidRPr="001C4BE4">
        <w:rPr>
          <w:szCs w:val="22"/>
        </w:rPr>
        <w:t>Paul Zorn PINK, Policy Analyst</w:t>
      </w:r>
      <w:r w:rsidR="00A15441">
        <w:rPr>
          <w:szCs w:val="22"/>
        </w:rPr>
        <w:t xml:space="preserve"> (Mr.)</w:t>
      </w:r>
      <w:r w:rsidRPr="001C4BE4">
        <w:rPr>
          <w:szCs w:val="22"/>
        </w:rPr>
        <w:t>, Copyright and Trade Policy, Canadian Heritage, Gatineau</w:t>
      </w:r>
    </w:p>
    <w:p w14:paraId="45B9CF0D" w14:textId="77777777" w:rsidR="001C4BE4" w:rsidRPr="001C4BE4" w:rsidRDefault="001C4BE4" w:rsidP="001C4BE4">
      <w:pPr>
        <w:rPr>
          <w:szCs w:val="22"/>
          <w:lang w:val="es-ES"/>
        </w:rPr>
      </w:pPr>
      <w:r w:rsidRPr="001C4BE4">
        <w:rPr>
          <w:szCs w:val="22"/>
          <w:u w:val="single"/>
          <w:lang w:val="es-ES"/>
        </w:rPr>
        <w:t xml:space="preserve">paulzorn.pink@canada.ca </w:t>
      </w:r>
    </w:p>
    <w:p w14:paraId="04490124" w14:textId="77777777" w:rsidR="001C4BE4" w:rsidRPr="001C4BE4" w:rsidRDefault="001C4BE4" w:rsidP="001C4BE4">
      <w:pPr>
        <w:rPr>
          <w:szCs w:val="22"/>
          <w:lang w:val="es-ES"/>
        </w:rPr>
      </w:pPr>
    </w:p>
    <w:p w14:paraId="7FBD6644" w14:textId="77777777" w:rsidR="001C4BE4" w:rsidRPr="001C4BE4" w:rsidRDefault="001C4BE4" w:rsidP="001C4BE4">
      <w:pPr>
        <w:rPr>
          <w:szCs w:val="22"/>
          <w:u w:val="single"/>
          <w:lang w:val="es-ES"/>
        </w:rPr>
      </w:pPr>
    </w:p>
    <w:p w14:paraId="200934A4" w14:textId="77777777" w:rsidR="001C4BE4" w:rsidRPr="001C4BE4" w:rsidRDefault="001C4BE4" w:rsidP="001C4BE4">
      <w:pPr>
        <w:rPr>
          <w:szCs w:val="22"/>
          <w:u w:val="single"/>
          <w:lang w:val="es-ES"/>
        </w:rPr>
      </w:pPr>
      <w:r w:rsidRPr="001C4BE4">
        <w:rPr>
          <w:szCs w:val="22"/>
          <w:u w:val="single"/>
          <w:lang w:val="es-ES"/>
        </w:rPr>
        <w:t>CHILI/CHILE</w:t>
      </w:r>
    </w:p>
    <w:p w14:paraId="1C354DD3" w14:textId="77777777" w:rsidR="001C4BE4" w:rsidRPr="001C4BE4" w:rsidRDefault="001C4BE4" w:rsidP="001C4BE4">
      <w:pPr>
        <w:rPr>
          <w:szCs w:val="22"/>
          <w:u w:val="single"/>
          <w:lang w:val="es-ES"/>
        </w:rPr>
      </w:pPr>
    </w:p>
    <w:p w14:paraId="43F74DC0" w14:textId="77777777" w:rsidR="001C4BE4" w:rsidRPr="001C4BE4" w:rsidRDefault="001C4BE4" w:rsidP="001C4BE4">
      <w:pPr>
        <w:rPr>
          <w:szCs w:val="22"/>
          <w:lang w:val="es-ES"/>
        </w:rPr>
      </w:pPr>
      <w:r w:rsidRPr="001C4BE4">
        <w:rPr>
          <w:szCs w:val="22"/>
          <w:lang w:val="es-ES"/>
        </w:rPr>
        <w:t>Tatiana LARREDONDA (Sra.), Asesora Legal, Departamento de Propiedad Intelectual, Dirección General de Relaciones Económicas Internacionales (DIRECON), Ministerio de Relaciones Exteriores, Santiago</w:t>
      </w:r>
    </w:p>
    <w:p w14:paraId="016E9E23" w14:textId="77777777" w:rsidR="001C4BE4" w:rsidRPr="001C4BE4" w:rsidRDefault="001C4BE4" w:rsidP="001C4BE4">
      <w:pPr>
        <w:rPr>
          <w:szCs w:val="22"/>
          <w:lang w:val="es-ES"/>
        </w:rPr>
      </w:pPr>
      <w:r w:rsidRPr="001C4BE4">
        <w:rPr>
          <w:szCs w:val="22"/>
          <w:u w:val="single"/>
          <w:lang w:val="es-ES"/>
        </w:rPr>
        <w:t xml:space="preserve">tlarredonda@direcon.gob.cl </w:t>
      </w:r>
    </w:p>
    <w:p w14:paraId="0BB560F6" w14:textId="77777777" w:rsidR="001C4BE4" w:rsidRPr="001C4BE4" w:rsidRDefault="001C4BE4" w:rsidP="001C4BE4">
      <w:pPr>
        <w:rPr>
          <w:szCs w:val="22"/>
          <w:lang w:val="es-ES"/>
        </w:rPr>
      </w:pPr>
    </w:p>
    <w:p w14:paraId="48557258" w14:textId="4A355732" w:rsidR="001C4BE4" w:rsidRPr="001C4BE4" w:rsidRDefault="001C4BE4" w:rsidP="001C4BE4">
      <w:pPr>
        <w:rPr>
          <w:szCs w:val="22"/>
          <w:lang w:val="es-ES"/>
        </w:rPr>
      </w:pPr>
      <w:r w:rsidRPr="001C4BE4">
        <w:rPr>
          <w:szCs w:val="22"/>
          <w:lang w:val="es-ES"/>
        </w:rPr>
        <w:t>Felipe PINO</w:t>
      </w:r>
      <w:r w:rsidR="00A15441">
        <w:rPr>
          <w:szCs w:val="22"/>
          <w:lang w:val="es-ES"/>
        </w:rPr>
        <w:t xml:space="preserve"> (Sr.)</w:t>
      </w:r>
      <w:r w:rsidRPr="001C4BE4">
        <w:rPr>
          <w:szCs w:val="22"/>
          <w:lang w:val="es-ES"/>
        </w:rPr>
        <w:t>, Abogado, Departamento Jurídico, Consejo Nacional de la Cultura y las Artes (CNCA), Santiago</w:t>
      </w:r>
    </w:p>
    <w:p w14:paraId="1110690F" w14:textId="77777777" w:rsidR="001C4BE4" w:rsidRPr="001C4BE4" w:rsidRDefault="001C4BE4" w:rsidP="001C4BE4">
      <w:pPr>
        <w:rPr>
          <w:szCs w:val="22"/>
          <w:lang w:val="es-ES"/>
        </w:rPr>
      </w:pPr>
      <w:r w:rsidRPr="001C4BE4">
        <w:rPr>
          <w:szCs w:val="22"/>
          <w:u w:val="single"/>
          <w:lang w:val="es-ES"/>
        </w:rPr>
        <w:t xml:space="preserve">felipe.pino@cultura.gob.cl </w:t>
      </w:r>
    </w:p>
    <w:p w14:paraId="3D9B2064" w14:textId="77777777" w:rsidR="001C4BE4" w:rsidRPr="001C4BE4" w:rsidRDefault="001C4BE4" w:rsidP="001C4BE4">
      <w:pPr>
        <w:rPr>
          <w:szCs w:val="22"/>
          <w:lang w:val="es-ES"/>
        </w:rPr>
      </w:pPr>
    </w:p>
    <w:p w14:paraId="03368229" w14:textId="77777777" w:rsidR="001C4BE4" w:rsidRPr="001C4BE4" w:rsidRDefault="001C4BE4" w:rsidP="001C4BE4">
      <w:pPr>
        <w:rPr>
          <w:szCs w:val="22"/>
          <w:lang w:val="es-ES"/>
        </w:rPr>
      </w:pPr>
      <w:r w:rsidRPr="001C4BE4">
        <w:rPr>
          <w:szCs w:val="22"/>
          <w:lang w:val="es-ES"/>
        </w:rPr>
        <w:t>Marcela PAIVA (Sra.), Consejera, Misión Permanente ante la Organización Mundial del Comercio (OMC), Ginebra</w:t>
      </w:r>
    </w:p>
    <w:p w14:paraId="5D2C0C99" w14:textId="77777777" w:rsidR="001C4BE4" w:rsidRPr="001C4BE4" w:rsidRDefault="001C4BE4" w:rsidP="001C4BE4">
      <w:pPr>
        <w:rPr>
          <w:szCs w:val="22"/>
          <w:lang w:val="es-ES"/>
        </w:rPr>
      </w:pPr>
      <w:r w:rsidRPr="001C4BE4">
        <w:rPr>
          <w:szCs w:val="22"/>
          <w:u w:val="single"/>
          <w:lang w:val="es-ES"/>
        </w:rPr>
        <w:t xml:space="preserve">mpaiva@minrel.gob.cl </w:t>
      </w:r>
    </w:p>
    <w:p w14:paraId="7DEC4224" w14:textId="77777777" w:rsidR="001C4BE4" w:rsidRPr="001C4BE4" w:rsidRDefault="001C4BE4" w:rsidP="001C4BE4">
      <w:pPr>
        <w:rPr>
          <w:szCs w:val="22"/>
          <w:lang w:val="es-ES"/>
        </w:rPr>
      </w:pPr>
    </w:p>
    <w:p w14:paraId="6BB259E2" w14:textId="02784334" w:rsidR="001C4BE4" w:rsidRPr="001C4BE4" w:rsidRDefault="001C4BE4" w:rsidP="001C4BE4">
      <w:pPr>
        <w:rPr>
          <w:szCs w:val="22"/>
          <w:lang w:val="es-ES"/>
        </w:rPr>
      </w:pPr>
      <w:r w:rsidRPr="001C4BE4">
        <w:rPr>
          <w:szCs w:val="22"/>
          <w:lang w:val="es-ES"/>
        </w:rPr>
        <w:t>Rodrigo PAILLALEF</w:t>
      </w:r>
      <w:r w:rsidR="00A15441">
        <w:rPr>
          <w:szCs w:val="22"/>
          <w:lang w:val="es-ES"/>
        </w:rPr>
        <w:t xml:space="preserve"> (Sr.)</w:t>
      </w:r>
      <w:r w:rsidRPr="001C4BE4">
        <w:rPr>
          <w:szCs w:val="22"/>
          <w:lang w:val="es-ES"/>
        </w:rPr>
        <w:t>, Agregado Científico, Misión Permanente, Ginebra</w:t>
      </w:r>
    </w:p>
    <w:p w14:paraId="342F2837" w14:textId="77777777" w:rsidR="001C4BE4" w:rsidRPr="001C4BE4" w:rsidRDefault="001C4BE4" w:rsidP="001C4BE4">
      <w:pPr>
        <w:rPr>
          <w:szCs w:val="22"/>
          <w:lang w:val="fr-FR"/>
        </w:rPr>
      </w:pPr>
      <w:r w:rsidRPr="001C4BE4">
        <w:rPr>
          <w:szCs w:val="22"/>
          <w:u w:val="single"/>
          <w:lang w:val="fr-FR"/>
        </w:rPr>
        <w:t xml:space="preserve">rpaillalef@minrel.gob.cl </w:t>
      </w:r>
    </w:p>
    <w:p w14:paraId="10269C3A" w14:textId="77777777" w:rsidR="001C4BE4" w:rsidRPr="001C4BE4" w:rsidRDefault="001C4BE4" w:rsidP="001C4BE4">
      <w:pPr>
        <w:rPr>
          <w:szCs w:val="22"/>
          <w:lang w:val="fr-FR"/>
        </w:rPr>
      </w:pPr>
    </w:p>
    <w:p w14:paraId="3444132B" w14:textId="77777777" w:rsidR="001C4BE4" w:rsidRPr="001C4BE4" w:rsidRDefault="001C4BE4" w:rsidP="001C4BE4">
      <w:pPr>
        <w:rPr>
          <w:szCs w:val="22"/>
          <w:lang w:val="fr-FR"/>
        </w:rPr>
      </w:pPr>
    </w:p>
    <w:p w14:paraId="32A03802" w14:textId="77777777" w:rsidR="001C4BE4" w:rsidRPr="001C4BE4" w:rsidRDefault="001C4BE4" w:rsidP="001C4BE4">
      <w:pPr>
        <w:rPr>
          <w:szCs w:val="22"/>
          <w:u w:val="single"/>
          <w:lang w:val="fr-FR"/>
        </w:rPr>
      </w:pPr>
      <w:r w:rsidRPr="001C4BE4">
        <w:rPr>
          <w:szCs w:val="22"/>
          <w:u w:val="single"/>
          <w:lang w:val="fr-FR"/>
        </w:rPr>
        <w:t>CHINE/CHINA</w:t>
      </w:r>
    </w:p>
    <w:p w14:paraId="479160F8" w14:textId="77777777" w:rsidR="001C4BE4" w:rsidRPr="001C4BE4" w:rsidRDefault="001C4BE4" w:rsidP="001C4BE4">
      <w:pPr>
        <w:rPr>
          <w:szCs w:val="22"/>
          <w:u w:val="single"/>
          <w:lang w:val="fr-FR"/>
        </w:rPr>
      </w:pPr>
    </w:p>
    <w:p w14:paraId="2F41E56F" w14:textId="34D9352B" w:rsidR="001C4BE4" w:rsidRPr="001C4BE4" w:rsidRDefault="001C4BE4" w:rsidP="001C4BE4">
      <w:pPr>
        <w:rPr>
          <w:szCs w:val="22"/>
        </w:rPr>
      </w:pPr>
      <w:r w:rsidRPr="001C4BE4">
        <w:rPr>
          <w:szCs w:val="22"/>
        </w:rPr>
        <w:t xml:space="preserve">QIU </w:t>
      </w:r>
      <w:proofErr w:type="spellStart"/>
      <w:r w:rsidRPr="001C4BE4">
        <w:rPr>
          <w:szCs w:val="22"/>
        </w:rPr>
        <w:t>Fuen</w:t>
      </w:r>
      <w:proofErr w:type="spellEnd"/>
      <w:r w:rsidR="00A15441">
        <w:rPr>
          <w:szCs w:val="22"/>
        </w:rPr>
        <w:t xml:space="preserve"> (Mr.)</w:t>
      </w:r>
      <w:r w:rsidRPr="001C4BE4">
        <w:rPr>
          <w:szCs w:val="22"/>
        </w:rPr>
        <w:t>, Deputy Director, Department of Treaty and Law, State Intellectual Property Office (SIPO), Beijing</w:t>
      </w:r>
    </w:p>
    <w:p w14:paraId="0E0B96EA" w14:textId="77777777" w:rsidR="001C4BE4" w:rsidRPr="001C4BE4" w:rsidRDefault="001C4BE4" w:rsidP="001C4BE4">
      <w:pPr>
        <w:rPr>
          <w:szCs w:val="22"/>
        </w:rPr>
      </w:pPr>
      <w:r w:rsidRPr="001C4BE4">
        <w:rPr>
          <w:szCs w:val="22"/>
          <w:u w:val="single"/>
        </w:rPr>
        <w:t xml:space="preserve">qiufuen@sipo.gov.cn </w:t>
      </w:r>
    </w:p>
    <w:p w14:paraId="6DA93C56" w14:textId="77777777" w:rsidR="001C4BE4" w:rsidRPr="001C4BE4" w:rsidRDefault="001C4BE4" w:rsidP="001C4BE4">
      <w:pPr>
        <w:rPr>
          <w:szCs w:val="22"/>
        </w:rPr>
      </w:pPr>
    </w:p>
    <w:p w14:paraId="107CAB54" w14:textId="77777777" w:rsidR="001C4BE4" w:rsidRPr="001C4BE4" w:rsidRDefault="001C4BE4" w:rsidP="001C4BE4">
      <w:pPr>
        <w:rPr>
          <w:szCs w:val="22"/>
        </w:rPr>
      </w:pPr>
      <w:r w:rsidRPr="001C4BE4">
        <w:rPr>
          <w:szCs w:val="22"/>
        </w:rPr>
        <w:t xml:space="preserve">HU </w:t>
      </w:r>
      <w:proofErr w:type="spellStart"/>
      <w:r w:rsidRPr="001C4BE4">
        <w:rPr>
          <w:szCs w:val="22"/>
        </w:rPr>
        <w:t>Shuang</w:t>
      </w:r>
      <w:proofErr w:type="spellEnd"/>
      <w:r w:rsidRPr="001C4BE4">
        <w:rPr>
          <w:szCs w:val="22"/>
        </w:rPr>
        <w:t xml:space="preserve"> (Ms.), Section Chief, International Affairs Division of Copyright Department, National Copyright Administration of China (NCAC), Beijing</w:t>
      </w:r>
    </w:p>
    <w:p w14:paraId="19C56134" w14:textId="77777777" w:rsidR="001C4BE4" w:rsidRPr="001C4BE4" w:rsidRDefault="001C4BE4" w:rsidP="001C4BE4">
      <w:pPr>
        <w:rPr>
          <w:szCs w:val="22"/>
        </w:rPr>
      </w:pPr>
      <w:r w:rsidRPr="001C4BE4">
        <w:rPr>
          <w:szCs w:val="22"/>
          <w:u w:val="single"/>
        </w:rPr>
        <w:t xml:space="preserve">hushuangncac@126.com </w:t>
      </w:r>
    </w:p>
    <w:p w14:paraId="442EB765" w14:textId="77777777" w:rsidR="001C4BE4" w:rsidRPr="001C4BE4" w:rsidRDefault="001C4BE4" w:rsidP="001C4BE4">
      <w:pPr>
        <w:rPr>
          <w:szCs w:val="22"/>
        </w:rPr>
      </w:pPr>
    </w:p>
    <w:p w14:paraId="4F3E7DAD" w14:textId="77777777" w:rsidR="001C4BE4" w:rsidRPr="001C4BE4" w:rsidRDefault="001C4BE4" w:rsidP="001C4BE4">
      <w:pPr>
        <w:rPr>
          <w:szCs w:val="22"/>
        </w:rPr>
      </w:pPr>
      <w:r w:rsidRPr="001C4BE4">
        <w:rPr>
          <w:szCs w:val="22"/>
        </w:rPr>
        <w:t>ZHANG Chan (Ms.), Program Official, International Cooperation Department, State Intellectual Property Office (SIPO), Beijing</w:t>
      </w:r>
    </w:p>
    <w:p w14:paraId="2B68237A" w14:textId="77777777" w:rsidR="001C4BE4" w:rsidRPr="001C4BE4" w:rsidRDefault="001C4BE4" w:rsidP="001C4BE4">
      <w:pPr>
        <w:rPr>
          <w:szCs w:val="22"/>
        </w:rPr>
      </w:pPr>
      <w:r w:rsidRPr="001C4BE4">
        <w:rPr>
          <w:szCs w:val="22"/>
          <w:u w:val="single"/>
        </w:rPr>
        <w:t xml:space="preserve">zhangchan_1@sipo.gov.cn </w:t>
      </w:r>
    </w:p>
    <w:p w14:paraId="5525B9B0" w14:textId="77777777" w:rsidR="001C4BE4" w:rsidRPr="001C4BE4" w:rsidRDefault="001C4BE4" w:rsidP="001C4BE4">
      <w:pPr>
        <w:rPr>
          <w:rFonts w:eastAsia="Times New Roman"/>
          <w:szCs w:val="22"/>
          <w:lang w:eastAsia="en-US"/>
        </w:rPr>
      </w:pPr>
    </w:p>
    <w:p w14:paraId="235181E3" w14:textId="2FACED8E" w:rsidR="001C4BE4" w:rsidRPr="001C4BE4" w:rsidRDefault="001C4BE4" w:rsidP="001C4BE4">
      <w:pPr>
        <w:rPr>
          <w:rFonts w:eastAsia="Times New Roman"/>
          <w:iCs/>
          <w:szCs w:val="22"/>
          <w:lang w:eastAsia="en-US"/>
        </w:rPr>
      </w:pPr>
      <w:r w:rsidRPr="001C4BE4">
        <w:rPr>
          <w:rFonts w:eastAsia="Times New Roman"/>
          <w:szCs w:val="22"/>
          <w:lang w:eastAsia="en-US"/>
        </w:rPr>
        <w:t xml:space="preserve">SHI </w:t>
      </w:r>
      <w:proofErr w:type="spellStart"/>
      <w:r w:rsidRPr="001C4BE4">
        <w:rPr>
          <w:rFonts w:eastAsia="Times New Roman"/>
          <w:szCs w:val="22"/>
          <w:lang w:eastAsia="en-US"/>
        </w:rPr>
        <w:t>Yuefeng</w:t>
      </w:r>
      <w:proofErr w:type="spellEnd"/>
      <w:r w:rsidR="00A15441">
        <w:rPr>
          <w:rFonts w:eastAsia="Times New Roman"/>
          <w:szCs w:val="22"/>
          <w:lang w:eastAsia="en-US"/>
        </w:rPr>
        <w:t xml:space="preserve"> (Mr.)</w:t>
      </w:r>
      <w:r w:rsidRPr="001C4BE4">
        <w:rPr>
          <w:rFonts w:eastAsia="Times New Roman"/>
          <w:szCs w:val="22"/>
          <w:lang w:eastAsia="en-US"/>
        </w:rPr>
        <w:t xml:space="preserve">, </w:t>
      </w:r>
      <w:r w:rsidRPr="001C4BE4">
        <w:rPr>
          <w:rFonts w:eastAsia="Times New Roman"/>
          <w:iCs/>
          <w:szCs w:val="22"/>
          <w:lang w:eastAsia="en-US"/>
        </w:rPr>
        <w:t>Attaché, Permanent Mission, Geneva</w:t>
      </w:r>
    </w:p>
    <w:p w14:paraId="08F098FE" w14:textId="77777777" w:rsidR="001C4BE4" w:rsidRPr="001C4BE4" w:rsidRDefault="001C4BE4" w:rsidP="001C4BE4">
      <w:pPr>
        <w:rPr>
          <w:szCs w:val="22"/>
        </w:rPr>
      </w:pPr>
    </w:p>
    <w:p w14:paraId="1129EC3E" w14:textId="77777777" w:rsidR="001C4BE4" w:rsidRPr="001C4BE4" w:rsidRDefault="001C4BE4" w:rsidP="001C4BE4">
      <w:pPr>
        <w:rPr>
          <w:szCs w:val="22"/>
        </w:rPr>
      </w:pPr>
    </w:p>
    <w:p w14:paraId="1058C132" w14:textId="77777777" w:rsidR="001C4BE4" w:rsidRPr="001C4BE4" w:rsidRDefault="001C4BE4" w:rsidP="001C4BE4">
      <w:pPr>
        <w:rPr>
          <w:szCs w:val="22"/>
          <w:u w:val="single"/>
        </w:rPr>
      </w:pPr>
      <w:r w:rsidRPr="001C4BE4">
        <w:rPr>
          <w:szCs w:val="22"/>
          <w:u w:val="single"/>
        </w:rPr>
        <w:t>CHYPRE/CYPRUS</w:t>
      </w:r>
    </w:p>
    <w:p w14:paraId="37F85742" w14:textId="77777777" w:rsidR="001C4BE4" w:rsidRPr="001C4BE4" w:rsidRDefault="001C4BE4" w:rsidP="001C4BE4">
      <w:pPr>
        <w:rPr>
          <w:szCs w:val="22"/>
          <w:u w:val="single"/>
        </w:rPr>
      </w:pPr>
    </w:p>
    <w:p w14:paraId="4D384C61" w14:textId="18222EF7" w:rsidR="001C4BE4" w:rsidRPr="001C4BE4" w:rsidRDefault="001C4BE4" w:rsidP="001C4BE4">
      <w:pPr>
        <w:rPr>
          <w:szCs w:val="22"/>
        </w:rPr>
      </w:pPr>
      <w:r w:rsidRPr="001C4BE4">
        <w:rPr>
          <w:szCs w:val="22"/>
        </w:rPr>
        <w:t>Samuel DEMETRIS</w:t>
      </w:r>
      <w:r w:rsidR="00A15441">
        <w:rPr>
          <w:szCs w:val="22"/>
        </w:rPr>
        <w:t xml:space="preserve"> (Mr.)</w:t>
      </w:r>
      <w:r w:rsidRPr="001C4BE4">
        <w:rPr>
          <w:szCs w:val="22"/>
        </w:rPr>
        <w:t>, Counsellor, Deputy Permanent Representative, Permanent Mission, Geneva</w:t>
      </w:r>
    </w:p>
    <w:p w14:paraId="03D6F112" w14:textId="77777777" w:rsidR="001C4BE4" w:rsidRPr="001C4BE4" w:rsidRDefault="001C4BE4" w:rsidP="001C4BE4">
      <w:pPr>
        <w:rPr>
          <w:szCs w:val="22"/>
        </w:rPr>
      </w:pPr>
    </w:p>
    <w:p w14:paraId="67EAEC1F" w14:textId="77777777" w:rsidR="001C4BE4" w:rsidRPr="001C4BE4" w:rsidRDefault="001C4BE4" w:rsidP="001C4BE4">
      <w:pPr>
        <w:rPr>
          <w:szCs w:val="22"/>
        </w:rPr>
      </w:pPr>
      <w:r w:rsidRPr="001C4BE4">
        <w:rPr>
          <w:szCs w:val="22"/>
        </w:rPr>
        <w:t>Christina TSENTA (Ms.), Second Secretary, Permanent Mission, Geneva</w:t>
      </w:r>
    </w:p>
    <w:p w14:paraId="3A713E06" w14:textId="77777777" w:rsidR="00B84CBD" w:rsidRPr="00737182" w:rsidRDefault="00B84CBD" w:rsidP="001C4BE4">
      <w:pPr>
        <w:rPr>
          <w:szCs w:val="22"/>
          <w:u w:val="single"/>
        </w:rPr>
      </w:pPr>
    </w:p>
    <w:p w14:paraId="25654113" w14:textId="77777777" w:rsidR="00B84CBD" w:rsidRPr="00737182" w:rsidRDefault="00B84CBD" w:rsidP="001C4BE4">
      <w:pPr>
        <w:rPr>
          <w:szCs w:val="22"/>
          <w:u w:val="single"/>
        </w:rPr>
      </w:pPr>
    </w:p>
    <w:p w14:paraId="387E4806" w14:textId="77777777" w:rsidR="001C4BE4" w:rsidRPr="00C40D5D" w:rsidRDefault="001C4BE4" w:rsidP="001C4BE4">
      <w:pPr>
        <w:rPr>
          <w:szCs w:val="22"/>
          <w:u w:val="single"/>
        </w:rPr>
      </w:pPr>
      <w:r w:rsidRPr="00C40D5D">
        <w:rPr>
          <w:szCs w:val="22"/>
          <w:u w:val="single"/>
        </w:rPr>
        <w:t>COLOMBIE/COLOMBIA</w:t>
      </w:r>
    </w:p>
    <w:p w14:paraId="5F9DEB04" w14:textId="77777777" w:rsidR="001C4BE4" w:rsidRPr="00C40D5D" w:rsidRDefault="001C4BE4" w:rsidP="001C4BE4">
      <w:pPr>
        <w:rPr>
          <w:szCs w:val="22"/>
          <w:u w:val="single"/>
        </w:rPr>
      </w:pPr>
    </w:p>
    <w:p w14:paraId="484DD451" w14:textId="5E149C2F" w:rsidR="001C4BE4" w:rsidRPr="001C4BE4" w:rsidRDefault="001C4BE4" w:rsidP="001C4BE4">
      <w:pPr>
        <w:rPr>
          <w:szCs w:val="22"/>
          <w:lang w:val="es-ES"/>
        </w:rPr>
      </w:pPr>
      <w:r w:rsidRPr="001C4BE4">
        <w:rPr>
          <w:szCs w:val="22"/>
          <w:lang w:val="es-ES"/>
        </w:rPr>
        <w:t>Juan Carlos GONZÁLEZ VERGARA</w:t>
      </w:r>
      <w:r w:rsidR="00A15441">
        <w:rPr>
          <w:szCs w:val="22"/>
          <w:lang w:val="es-ES"/>
        </w:rPr>
        <w:t xml:space="preserve"> (Sr.)</w:t>
      </w:r>
      <w:r w:rsidRPr="001C4BE4">
        <w:rPr>
          <w:szCs w:val="22"/>
          <w:lang w:val="es-ES"/>
        </w:rPr>
        <w:t>, Embajador, Representante Permanente, Misión Permanente ante la Organización Mundial del Comercio (OMC), Ginebra</w:t>
      </w:r>
    </w:p>
    <w:p w14:paraId="6CD6F56C" w14:textId="77777777" w:rsidR="001C4BE4" w:rsidRPr="001C4BE4" w:rsidRDefault="001C4BE4" w:rsidP="001C4BE4">
      <w:pPr>
        <w:rPr>
          <w:szCs w:val="22"/>
          <w:lang w:val="es-ES"/>
        </w:rPr>
      </w:pPr>
      <w:r w:rsidRPr="001C4BE4">
        <w:rPr>
          <w:szCs w:val="22"/>
          <w:u w:val="single"/>
          <w:lang w:val="es-ES"/>
        </w:rPr>
        <w:t xml:space="preserve">mvelasco@mincit.gov.co </w:t>
      </w:r>
    </w:p>
    <w:p w14:paraId="0D9233D0" w14:textId="77777777" w:rsidR="001C4BE4" w:rsidRPr="001C4BE4" w:rsidRDefault="001C4BE4" w:rsidP="001C4BE4">
      <w:pPr>
        <w:rPr>
          <w:szCs w:val="22"/>
          <w:lang w:val="es-ES"/>
        </w:rPr>
      </w:pPr>
    </w:p>
    <w:p w14:paraId="3CDA648A" w14:textId="77777777" w:rsidR="001C4BE4" w:rsidRPr="001C4BE4" w:rsidRDefault="001C4BE4" w:rsidP="001C4BE4">
      <w:pPr>
        <w:rPr>
          <w:szCs w:val="22"/>
          <w:lang w:val="es-ES"/>
        </w:rPr>
      </w:pPr>
      <w:r w:rsidRPr="001C4BE4">
        <w:rPr>
          <w:szCs w:val="22"/>
          <w:lang w:val="es-ES"/>
        </w:rPr>
        <w:t>Claudia VÁSQUEZ (Sra.), Directora, Dirección de Asuntos Económicos Sociales y Ambientales, Ministerio de Relaciones Exteriores, Bogotá D.F.</w:t>
      </w:r>
    </w:p>
    <w:p w14:paraId="214FE1E5" w14:textId="77777777" w:rsidR="001C4BE4" w:rsidRPr="001C4BE4" w:rsidRDefault="001C4BE4" w:rsidP="001C4BE4">
      <w:pPr>
        <w:rPr>
          <w:szCs w:val="22"/>
          <w:lang w:val="es-ES"/>
        </w:rPr>
      </w:pPr>
    </w:p>
    <w:p w14:paraId="1099C6EA" w14:textId="77777777" w:rsidR="001C4BE4" w:rsidRPr="001C4BE4" w:rsidRDefault="001C4BE4" w:rsidP="001C4BE4">
      <w:pPr>
        <w:rPr>
          <w:szCs w:val="22"/>
          <w:lang w:val="es-ES"/>
        </w:rPr>
      </w:pPr>
      <w:r w:rsidRPr="001C4BE4">
        <w:rPr>
          <w:szCs w:val="22"/>
          <w:lang w:val="es-ES"/>
        </w:rPr>
        <w:t>Paola MORENO (Sra.), Asesora, Dirección de Asuntos Económicos, Sociales y Ambientales, Ministerio de Relaciones Exteriores, Bogotá D.F.</w:t>
      </w:r>
    </w:p>
    <w:p w14:paraId="7670C5BD" w14:textId="77777777" w:rsidR="001C4BE4" w:rsidRPr="001C4BE4" w:rsidRDefault="001C4BE4" w:rsidP="001C4BE4">
      <w:pPr>
        <w:rPr>
          <w:szCs w:val="22"/>
          <w:lang w:val="es-ES"/>
        </w:rPr>
      </w:pPr>
      <w:r w:rsidRPr="001C4BE4">
        <w:rPr>
          <w:szCs w:val="22"/>
          <w:u w:val="single"/>
          <w:lang w:val="es-ES"/>
        </w:rPr>
        <w:t xml:space="preserve">paola.moreno@cancilleria.gov.co </w:t>
      </w:r>
    </w:p>
    <w:p w14:paraId="5F5ECF7B" w14:textId="77777777" w:rsidR="001C4BE4" w:rsidRPr="001C4BE4" w:rsidRDefault="001C4BE4" w:rsidP="001C4BE4">
      <w:pPr>
        <w:rPr>
          <w:szCs w:val="22"/>
          <w:lang w:val="es-ES"/>
        </w:rPr>
      </w:pPr>
    </w:p>
    <w:p w14:paraId="534A8A35" w14:textId="5FC7253A" w:rsidR="001C4BE4" w:rsidRPr="001C4BE4" w:rsidRDefault="001C4BE4" w:rsidP="001C4BE4">
      <w:pPr>
        <w:rPr>
          <w:szCs w:val="22"/>
          <w:lang w:val="es-ES"/>
        </w:rPr>
      </w:pPr>
      <w:r w:rsidRPr="001C4BE4">
        <w:rPr>
          <w:szCs w:val="22"/>
          <w:lang w:val="es-ES"/>
        </w:rPr>
        <w:t>Juan Camilo SARETZKI FORERO</w:t>
      </w:r>
      <w:r w:rsidR="00A15441">
        <w:rPr>
          <w:szCs w:val="22"/>
          <w:lang w:val="es-ES"/>
        </w:rPr>
        <w:t xml:space="preserve"> (Sr.)</w:t>
      </w:r>
      <w:r w:rsidRPr="001C4BE4">
        <w:rPr>
          <w:szCs w:val="22"/>
          <w:lang w:val="es-ES"/>
        </w:rPr>
        <w:t>, Consejero, Misión Permanente, Ginebra</w:t>
      </w:r>
    </w:p>
    <w:p w14:paraId="6DA4FC00" w14:textId="77777777" w:rsidR="001C4BE4" w:rsidRPr="001C4BE4" w:rsidRDefault="001C4BE4" w:rsidP="001C4BE4">
      <w:pPr>
        <w:rPr>
          <w:szCs w:val="22"/>
          <w:lang w:val="es-ES"/>
        </w:rPr>
      </w:pPr>
    </w:p>
    <w:p w14:paraId="6D6489A7" w14:textId="77777777" w:rsidR="001C4BE4" w:rsidRPr="001C4BE4" w:rsidRDefault="001C4BE4" w:rsidP="001C4BE4">
      <w:pPr>
        <w:rPr>
          <w:szCs w:val="22"/>
          <w:lang w:val="es-ES"/>
        </w:rPr>
      </w:pPr>
      <w:r w:rsidRPr="001C4BE4">
        <w:rPr>
          <w:szCs w:val="22"/>
          <w:lang w:val="es-ES"/>
        </w:rPr>
        <w:t>Daniela Carolina PÉREZ MAHECHA (Sra.), Pasante, Misión Permanente, Ginebra</w:t>
      </w:r>
    </w:p>
    <w:p w14:paraId="4501BD09" w14:textId="77777777" w:rsidR="001C4BE4" w:rsidRPr="001C4BE4" w:rsidRDefault="001C4BE4" w:rsidP="001C4BE4">
      <w:pPr>
        <w:rPr>
          <w:szCs w:val="22"/>
          <w:lang w:val="es-ES"/>
        </w:rPr>
      </w:pPr>
    </w:p>
    <w:p w14:paraId="6EBDD55D" w14:textId="77777777" w:rsidR="001C4BE4" w:rsidRPr="001C4BE4" w:rsidRDefault="001C4BE4" w:rsidP="001C4BE4">
      <w:pPr>
        <w:rPr>
          <w:szCs w:val="22"/>
          <w:lang w:val="es-ES"/>
        </w:rPr>
      </w:pPr>
    </w:p>
    <w:p w14:paraId="03AF3B7D" w14:textId="77777777" w:rsidR="001C4BE4" w:rsidRPr="00737182" w:rsidRDefault="001C4BE4" w:rsidP="001C4BE4">
      <w:pPr>
        <w:rPr>
          <w:szCs w:val="22"/>
          <w:u w:val="single"/>
          <w:lang w:val="fr-FR"/>
        </w:rPr>
      </w:pPr>
      <w:r w:rsidRPr="00737182">
        <w:rPr>
          <w:szCs w:val="22"/>
          <w:u w:val="single"/>
          <w:lang w:val="fr-FR"/>
        </w:rPr>
        <w:t>CONGO</w:t>
      </w:r>
    </w:p>
    <w:p w14:paraId="7489D0B2" w14:textId="77777777" w:rsidR="001C4BE4" w:rsidRPr="00737182" w:rsidRDefault="001C4BE4" w:rsidP="001C4BE4">
      <w:pPr>
        <w:rPr>
          <w:szCs w:val="22"/>
          <w:u w:val="single"/>
          <w:lang w:val="fr-FR"/>
        </w:rPr>
      </w:pPr>
    </w:p>
    <w:p w14:paraId="661835E5" w14:textId="7DDD7541" w:rsidR="001C4BE4" w:rsidRPr="00737182" w:rsidRDefault="001C4BE4" w:rsidP="001C4BE4">
      <w:pPr>
        <w:rPr>
          <w:szCs w:val="22"/>
          <w:lang w:val="fr-FR"/>
        </w:rPr>
      </w:pPr>
      <w:proofErr w:type="spellStart"/>
      <w:r w:rsidRPr="00737182">
        <w:rPr>
          <w:szCs w:val="22"/>
          <w:lang w:val="fr-FR"/>
        </w:rPr>
        <w:t>Nilce</w:t>
      </w:r>
      <w:proofErr w:type="spellEnd"/>
      <w:r w:rsidRPr="00737182">
        <w:rPr>
          <w:szCs w:val="22"/>
          <w:lang w:val="fr-FR"/>
        </w:rPr>
        <w:t xml:space="preserve"> EKANDZI</w:t>
      </w:r>
      <w:r w:rsidR="00A15441">
        <w:rPr>
          <w:szCs w:val="22"/>
          <w:lang w:val="fr-FR"/>
        </w:rPr>
        <w:t xml:space="preserve"> (M.)</w:t>
      </w:r>
      <w:r w:rsidRPr="00737182">
        <w:rPr>
          <w:szCs w:val="22"/>
          <w:lang w:val="fr-FR"/>
        </w:rPr>
        <w:t>, juriste, Mission permanente, Genève</w:t>
      </w:r>
    </w:p>
    <w:p w14:paraId="49D88E7F" w14:textId="77777777" w:rsidR="001C4BE4" w:rsidRPr="00737182" w:rsidRDefault="001C4BE4" w:rsidP="001C4BE4">
      <w:pPr>
        <w:rPr>
          <w:szCs w:val="22"/>
          <w:lang w:val="fr-FR"/>
        </w:rPr>
      </w:pPr>
    </w:p>
    <w:p w14:paraId="13DF8517" w14:textId="77777777" w:rsidR="00B84CBD" w:rsidRPr="00737182" w:rsidRDefault="00B84CBD" w:rsidP="001C4BE4">
      <w:pPr>
        <w:rPr>
          <w:szCs w:val="22"/>
          <w:lang w:val="fr-FR"/>
        </w:rPr>
      </w:pPr>
    </w:p>
    <w:p w14:paraId="01018CDD" w14:textId="77777777" w:rsidR="00B84CBD" w:rsidRPr="00737182" w:rsidRDefault="00B84CBD" w:rsidP="00B84CBD">
      <w:pPr>
        <w:rPr>
          <w:szCs w:val="22"/>
          <w:u w:val="single"/>
          <w:lang w:val="fr-FR"/>
        </w:rPr>
      </w:pPr>
      <w:r w:rsidRPr="00737182">
        <w:rPr>
          <w:szCs w:val="22"/>
          <w:u w:val="single"/>
          <w:lang w:val="fr-FR"/>
        </w:rPr>
        <w:t>CÔTE D’IVOIRE</w:t>
      </w:r>
    </w:p>
    <w:p w14:paraId="3385B508" w14:textId="77777777" w:rsidR="00B84CBD" w:rsidRPr="00737182" w:rsidRDefault="00B84CBD" w:rsidP="00B84CBD">
      <w:pPr>
        <w:rPr>
          <w:szCs w:val="22"/>
          <w:u w:val="single"/>
          <w:lang w:val="fr-FR"/>
        </w:rPr>
      </w:pPr>
    </w:p>
    <w:p w14:paraId="2B7EB6F8" w14:textId="5C70F0A5" w:rsidR="00B84CBD" w:rsidRPr="00B84CBD" w:rsidRDefault="00B84CBD" w:rsidP="00B84CBD">
      <w:pPr>
        <w:rPr>
          <w:szCs w:val="22"/>
        </w:rPr>
      </w:pPr>
      <w:proofErr w:type="spellStart"/>
      <w:r w:rsidRPr="00B84CBD">
        <w:rPr>
          <w:szCs w:val="22"/>
        </w:rPr>
        <w:t>Kumou</w:t>
      </w:r>
      <w:proofErr w:type="spellEnd"/>
      <w:r w:rsidRPr="00B84CBD">
        <w:rPr>
          <w:szCs w:val="22"/>
        </w:rPr>
        <w:t xml:space="preserve"> MANKONGA</w:t>
      </w:r>
      <w:r w:rsidR="00A15441">
        <w:rPr>
          <w:szCs w:val="22"/>
        </w:rPr>
        <w:t xml:space="preserve"> (Mr.)</w:t>
      </w:r>
      <w:r w:rsidRPr="00B84CBD">
        <w:rPr>
          <w:szCs w:val="22"/>
        </w:rPr>
        <w:t>, First Secretary, Permanent Mission, Geneva</w:t>
      </w:r>
    </w:p>
    <w:p w14:paraId="373E1CE0" w14:textId="77777777" w:rsidR="001C4BE4" w:rsidRPr="00737182" w:rsidRDefault="001C4BE4" w:rsidP="001C4BE4">
      <w:pPr>
        <w:rPr>
          <w:szCs w:val="22"/>
        </w:rPr>
      </w:pPr>
    </w:p>
    <w:p w14:paraId="64E69839" w14:textId="77777777" w:rsidR="00B84CBD" w:rsidRPr="00737182" w:rsidRDefault="00B84CBD" w:rsidP="001C4BE4">
      <w:pPr>
        <w:rPr>
          <w:szCs w:val="22"/>
        </w:rPr>
      </w:pPr>
    </w:p>
    <w:p w14:paraId="7D6AB8F1" w14:textId="77777777" w:rsidR="001C4BE4" w:rsidRPr="001C4BE4" w:rsidRDefault="001C4BE4" w:rsidP="001C4BE4">
      <w:pPr>
        <w:rPr>
          <w:szCs w:val="22"/>
          <w:u w:val="single"/>
          <w:lang w:val="es-ES"/>
        </w:rPr>
      </w:pPr>
      <w:r w:rsidRPr="001C4BE4">
        <w:rPr>
          <w:szCs w:val="22"/>
          <w:u w:val="single"/>
          <w:lang w:val="es-ES"/>
        </w:rPr>
        <w:t>CUBA</w:t>
      </w:r>
    </w:p>
    <w:p w14:paraId="0245E785" w14:textId="77777777" w:rsidR="001C4BE4" w:rsidRPr="001C4BE4" w:rsidRDefault="001C4BE4" w:rsidP="001C4BE4">
      <w:pPr>
        <w:rPr>
          <w:szCs w:val="22"/>
          <w:u w:val="single"/>
          <w:lang w:val="es-ES"/>
        </w:rPr>
      </w:pPr>
    </w:p>
    <w:p w14:paraId="4ECF976E" w14:textId="1151A367" w:rsidR="001C4BE4" w:rsidRPr="001C4BE4" w:rsidRDefault="001C4BE4" w:rsidP="001C4BE4">
      <w:pPr>
        <w:rPr>
          <w:szCs w:val="22"/>
          <w:lang w:val="es-ES"/>
        </w:rPr>
      </w:pPr>
      <w:r w:rsidRPr="001C4BE4">
        <w:rPr>
          <w:szCs w:val="22"/>
          <w:lang w:val="es-ES"/>
        </w:rPr>
        <w:t>Ernesto VILA GONZÁLEZ</w:t>
      </w:r>
      <w:r w:rsidR="00A15441">
        <w:rPr>
          <w:szCs w:val="22"/>
          <w:lang w:val="es-ES"/>
        </w:rPr>
        <w:t xml:space="preserve"> (Sr.)</w:t>
      </w:r>
      <w:r w:rsidRPr="001C4BE4">
        <w:rPr>
          <w:szCs w:val="22"/>
          <w:lang w:val="es-ES"/>
        </w:rPr>
        <w:t>, Director General, Centro Nacional de Derecho de Autor (CENDA), Ministerio de la Cultura, La Habana</w:t>
      </w:r>
    </w:p>
    <w:p w14:paraId="0CF1470F" w14:textId="77777777" w:rsidR="001C4BE4" w:rsidRPr="001C4BE4" w:rsidRDefault="001C4BE4" w:rsidP="001C4BE4">
      <w:pPr>
        <w:rPr>
          <w:szCs w:val="22"/>
          <w:lang w:val="es-ES"/>
        </w:rPr>
      </w:pPr>
      <w:r w:rsidRPr="001C4BE4">
        <w:rPr>
          <w:szCs w:val="22"/>
          <w:u w:val="single"/>
          <w:lang w:val="es-ES"/>
        </w:rPr>
        <w:t xml:space="preserve">direccion.general@cenda.cu </w:t>
      </w:r>
    </w:p>
    <w:p w14:paraId="1F3FCABD" w14:textId="77777777" w:rsidR="001C4BE4" w:rsidRPr="001C4BE4" w:rsidRDefault="001C4BE4" w:rsidP="001C4BE4">
      <w:pPr>
        <w:rPr>
          <w:szCs w:val="22"/>
          <w:lang w:val="es-ES"/>
        </w:rPr>
      </w:pPr>
    </w:p>
    <w:p w14:paraId="6D5188A7" w14:textId="77777777" w:rsidR="001C4BE4" w:rsidRPr="001C4BE4" w:rsidRDefault="001C4BE4" w:rsidP="001C4BE4">
      <w:pPr>
        <w:rPr>
          <w:szCs w:val="22"/>
          <w:lang w:val="es-ES"/>
        </w:rPr>
      </w:pPr>
      <w:proofErr w:type="spellStart"/>
      <w:r w:rsidRPr="001C4BE4">
        <w:rPr>
          <w:szCs w:val="22"/>
          <w:lang w:val="es-ES"/>
        </w:rPr>
        <w:t>Madelyn</w:t>
      </w:r>
      <w:proofErr w:type="spellEnd"/>
      <w:r w:rsidRPr="001C4BE4">
        <w:rPr>
          <w:szCs w:val="22"/>
          <w:lang w:val="es-ES"/>
        </w:rPr>
        <w:t xml:space="preserve"> RODRÍGUEZ LARA (Sra.), Primer Secretario, Misión Permanente, Ginebra</w:t>
      </w:r>
    </w:p>
    <w:p w14:paraId="6BF46042" w14:textId="77777777" w:rsidR="001C4BE4" w:rsidRPr="001C4BE4" w:rsidRDefault="001C4BE4" w:rsidP="001C4BE4">
      <w:pPr>
        <w:rPr>
          <w:szCs w:val="22"/>
        </w:rPr>
      </w:pPr>
      <w:r w:rsidRPr="001C4BE4">
        <w:rPr>
          <w:szCs w:val="22"/>
          <w:u w:val="single"/>
        </w:rPr>
        <w:t xml:space="preserve">m_rodriguez@missioncuba.ch </w:t>
      </w:r>
    </w:p>
    <w:p w14:paraId="191DABE8" w14:textId="77777777" w:rsidR="001C4BE4" w:rsidRPr="001C4BE4" w:rsidRDefault="001C4BE4" w:rsidP="001C4BE4">
      <w:pPr>
        <w:rPr>
          <w:szCs w:val="22"/>
        </w:rPr>
      </w:pPr>
    </w:p>
    <w:p w14:paraId="2258945D" w14:textId="77777777" w:rsidR="001C4BE4" w:rsidRPr="001C4BE4" w:rsidRDefault="001C4BE4" w:rsidP="001C4BE4">
      <w:pPr>
        <w:rPr>
          <w:szCs w:val="22"/>
        </w:rPr>
      </w:pPr>
    </w:p>
    <w:p w14:paraId="14B1CB33" w14:textId="77777777" w:rsidR="00F57685" w:rsidRDefault="00F57685" w:rsidP="001C4BE4">
      <w:pPr>
        <w:rPr>
          <w:szCs w:val="22"/>
          <w:u w:val="single"/>
        </w:rPr>
      </w:pPr>
    </w:p>
    <w:p w14:paraId="3B40664A" w14:textId="77777777" w:rsidR="001C4BE4" w:rsidRPr="001C4BE4" w:rsidRDefault="001C4BE4" w:rsidP="001C4BE4">
      <w:pPr>
        <w:rPr>
          <w:szCs w:val="22"/>
          <w:u w:val="single"/>
        </w:rPr>
      </w:pPr>
      <w:r w:rsidRPr="001C4BE4">
        <w:rPr>
          <w:szCs w:val="22"/>
          <w:u w:val="single"/>
        </w:rPr>
        <w:t>DANEMARK/DENMARK</w:t>
      </w:r>
    </w:p>
    <w:p w14:paraId="30A0E8B2" w14:textId="77777777" w:rsidR="001C4BE4" w:rsidRPr="001C4BE4" w:rsidRDefault="001C4BE4" w:rsidP="001C4BE4">
      <w:pPr>
        <w:rPr>
          <w:szCs w:val="22"/>
          <w:u w:val="single"/>
        </w:rPr>
      </w:pPr>
    </w:p>
    <w:p w14:paraId="280BB6E7" w14:textId="77777777" w:rsidR="001C4BE4" w:rsidRPr="001C4BE4" w:rsidRDefault="001C4BE4" w:rsidP="001C4BE4">
      <w:pPr>
        <w:rPr>
          <w:szCs w:val="22"/>
        </w:rPr>
      </w:pPr>
      <w:r w:rsidRPr="001C4BE4">
        <w:rPr>
          <w:szCs w:val="22"/>
        </w:rPr>
        <w:t xml:space="preserve">Mette </w:t>
      </w:r>
      <w:proofErr w:type="spellStart"/>
      <w:r w:rsidRPr="001C4BE4">
        <w:rPr>
          <w:szCs w:val="22"/>
        </w:rPr>
        <w:t>Wiuff</w:t>
      </w:r>
      <w:proofErr w:type="spellEnd"/>
      <w:r w:rsidRPr="001C4BE4">
        <w:rPr>
          <w:szCs w:val="22"/>
        </w:rPr>
        <w:t xml:space="preserve"> KORSHOLM (Ms.), Legal Adviser, Danish Patent and Trademark Office, Ministry of Industry, Business and Financial Affairs, </w:t>
      </w:r>
      <w:proofErr w:type="spellStart"/>
      <w:r w:rsidRPr="001C4BE4">
        <w:rPr>
          <w:szCs w:val="22"/>
        </w:rPr>
        <w:t>Taastrup</w:t>
      </w:r>
      <w:proofErr w:type="spellEnd"/>
    </w:p>
    <w:p w14:paraId="64748545" w14:textId="77777777" w:rsidR="001C4BE4" w:rsidRPr="001C4BE4" w:rsidRDefault="001C4BE4" w:rsidP="001C4BE4">
      <w:pPr>
        <w:rPr>
          <w:szCs w:val="22"/>
        </w:rPr>
      </w:pPr>
    </w:p>
    <w:p w14:paraId="6529A199" w14:textId="77777777" w:rsidR="001C4BE4" w:rsidRPr="001C4BE4" w:rsidRDefault="001C4BE4" w:rsidP="001C4BE4">
      <w:pPr>
        <w:rPr>
          <w:szCs w:val="22"/>
        </w:rPr>
      </w:pPr>
    </w:p>
    <w:p w14:paraId="09295C40" w14:textId="77777777" w:rsidR="001C4BE4" w:rsidRPr="001C4BE4" w:rsidRDefault="001C4BE4" w:rsidP="001C4BE4">
      <w:pPr>
        <w:rPr>
          <w:szCs w:val="22"/>
          <w:u w:val="single"/>
        </w:rPr>
      </w:pPr>
      <w:r w:rsidRPr="001C4BE4">
        <w:rPr>
          <w:szCs w:val="22"/>
          <w:u w:val="single"/>
        </w:rPr>
        <w:t>ÉGYPTE/EGYPT</w:t>
      </w:r>
    </w:p>
    <w:p w14:paraId="12C4CBC9" w14:textId="77777777" w:rsidR="001C4BE4" w:rsidRPr="001C4BE4" w:rsidRDefault="001C4BE4" w:rsidP="001C4BE4">
      <w:pPr>
        <w:rPr>
          <w:szCs w:val="22"/>
          <w:u w:val="single"/>
        </w:rPr>
      </w:pPr>
    </w:p>
    <w:p w14:paraId="22CA8AE7" w14:textId="1B3A0B02" w:rsidR="001C4BE4" w:rsidRPr="001C4BE4" w:rsidRDefault="001C4BE4" w:rsidP="001C4BE4">
      <w:pPr>
        <w:rPr>
          <w:szCs w:val="22"/>
        </w:rPr>
      </w:pPr>
      <w:r w:rsidRPr="001C4BE4">
        <w:rPr>
          <w:szCs w:val="22"/>
        </w:rPr>
        <w:t>Hassan ELBADRAWY</w:t>
      </w:r>
      <w:r w:rsidR="00A15441">
        <w:rPr>
          <w:szCs w:val="22"/>
        </w:rPr>
        <w:t xml:space="preserve"> (Mr.)</w:t>
      </w:r>
      <w:r w:rsidRPr="001C4BE4">
        <w:rPr>
          <w:szCs w:val="22"/>
        </w:rPr>
        <w:t>, Vice-President, Court of Cassation, Cairo</w:t>
      </w:r>
    </w:p>
    <w:p w14:paraId="4F3F9230" w14:textId="77777777" w:rsidR="00B84CBD" w:rsidRDefault="00B84CBD" w:rsidP="00B84CBD">
      <w:pPr>
        <w:rPr>
          <w:szCs w:val="22"/>
        </w:rPr>
      </w:pPr>
    </w:p>
    <w:p w14:paraId="54D82636" w14:textId="4BD88710" w:rsidR="00B84CBD" w:rsidRPr="00B84CBD" w:rsidRDefault="00B84CBD" w:rsidP="00B84CBD">
      <w:pPr>
        <w:rPr>
          <w:szCs w:val="22"/>
        </w:rPr>
      </w:pPr>
      <w:proofErr w:type="spellStart"/>
      <w:r w:rsidRPr="00B84CBD">
        <w:rPr>
          <w:szCs w:val="22"/>
        </w:rPr>
        <w:t>Mohanad</w:t>
      </w:r>
      <w:proofErr w:type="spellEnd"/>
      <w:r w:rsidRPr="00B84CBD">
        <w:rPr>
          <w:szCs w:val="22"/>
        </w:rPr>
        <w:t xml:space="preserve"> ABDELGAWAD</w:t>
      </w:r>
      <w:r w:rsidR="00A15441">
        <w:rPr>
          <w:szCs w:val="22"/>
        </w:rPr>
        <w:t xml:space="preserve"> (Mr.)</w:t>
      </w:r>
      <w:r w:rsidRPr="00B84CBD">
        <w:rPr>
          <w:szCs w:val="22"/>
        </w:rPr>
        <w:t>, First Secretary, Permanent Mission, Geneva</w:t>
      </w:r>
    </w:p>
    <w:p w14:paraId="033EB93E" w14:textId="77777777" w:rsidR="00B84CBD" w:rsidRPr="00737182" w:rsidRDefault="00B84CBD" w:rsidP="00B84CBD">
      <w:pPr>
        <w:rPr>
          <w:szCs w:val="22"/>
          <w:lang w:val="es-ES_tradnl"/>
        </w:rPr>
      </w:pPr>
      <w:r w:rsidRPr="00737182">
        <w:rPr>
          <w:szCs w:val="22"/>
          <w:u w:val="single"/>
          <w:lang w:val="es-ES_tradnl"/>
        </w:rPr>
        <w:t xml:space="preserve">mozari2010@gmail.com </w:t>
      </w:r>
    </w:p>
    <w:p w14:paraId="185527EA" w14:textId="77777777" w:rsidR="001C4BE4" w:rsidRPr="00737182" w:rsidRDefault="001C4BE4" w:rsidP="001C4BE4">
      <w:pPr>
        <w:rPr>
          <w:szCs w:val="22"/>
          <w:u w:val="single"/>
          <w:lang w:val="es-ES_tradnl"/>
        </w:rPr>
      </w:pPr>
    </w:p>
    <w:p w14:paraId="15E8EBD1" w14:textId="77777777" w:rsidR="001C4BE4" w:rsidRPr="00737182" w:rsidRDefault="001C4BE4" w:rsidP="001C4BE4">
      <w:pPr>
        <w:rPr>
          <w:szCs w:val="22"/>
          <w:u w:val="single"/>
          <w:lang w:val="es-ES_tradnl"/>
        </w:rPr>
      </w:pPr>
    </w:p>
    <w:p w14:paraId="23AB7710" w14:textId="77777777" w:rsidR="001C4BE4" w:rsidRPr="001C4BE4" w:rsidRDefault="001C4BE4" w:rsidP="001C4BE4">
      <w:pPr>
        <w:rPr>
          <w:szCs w:val="22"/>
          <w:u w:val="single"/>
          <w:lang w:val="es-ES"/>
        </w:rPr>
      </w:pPr>
      <w:r w:rsidRPr="001C4BE4">
        <w:rPr>
          <w:szCs w:val="22"/>
          <w:u w:val="single"/>
          <w:lang w:val="es-ES"/>
        </w:rPr>
        <w:t>EL SALVADOR</w:t>
      </w:r>
    </w:p>
    <w:p w14:paraId="040354E4" w14:textId="77777777" w:rsidR="001C4BE4" w:rsidRPr="001C4BE4" w:rsidRDefault="001C4BE4" w:rsidP="001C4BE4">
      <w:pPr>
        <w:rPr>
          <w:szCs w:val="22"/>
          <w:u w:val="single"/>
          <w:lang w:val="es-ES"/>
        </w:rPr>
      </w:pPr>
    </w:p>
    <w:p w14:paraId="0EDC6B86" w14:textId="77777777" w:rsidR="001C4BE4" w:rsidRPr="001C4BE4" w:rsidRDefault="001C4BE4" w:rsidP="001C4BE4">
      <w:pPr>
        <w:rPr>
          <w:szCs w:val="22"/>
          <w:lang w:val="es-ES"/>
        </w:rPr>
      </w:pPr>
      <w:r w:rsidRPr="001C4BE4">
        <w:rPr>
          <w:szCs w:val="22"/>
          <w:lang w:val="es-ES"/>
        </w:rPr>
        <w:t>Diana HASBUN (Sra.), Ministra Consejera, Misión Permanente, Ginebra</w:t>
      </w:r>
    </w:p>
    <w:p w14:paraId="3915AC1A" w14:textId="77777777" w:rsidR="001C4BE4" w:rsidRPr="001C4BE4" w:rsidRDefault="001C4BE4" w:rsidP="001C4BE4">
      <w:pPr>
        <w:rPr>
          <w:szCs w:val="22"/>
          <w:lang w:val="es-ES"/>
        </w:rPr>
      </w:pPr>
    </w:p>
    <w:p w14:paraId="0F7832AC" w14:textId="55F8ABDB" w:rsidR="001C4BE4" w:rsidRPr="001C4BE4" w:rsidRDefault="001C4BE4" w:rsidP="001C4BE4">
      <w:pPr>
        <w:rPr>
          <w:szCs w:val="22"/>
          <w:lang w:val="es-ES"/>
        </w:rPr>
      </w:pPr>
      <w:r w:rsidRPr="001C4BE4">
        <w:rPr>
          <w:szCs w:val="22"/>
          <w:lang w:val="es-ES"/>
        </w:rPr>
        <w:t>Gustavo Eduardo PINEDA NOLASCO</w:t>
      </w:r>
      <w:r w:rsidR="00A15441">
        <w:rPr>
          <w:szCs w:val="22"/>
          <w:lang w:val="es-ES"/>
        </w:rPr>
        <w:t xml:space="preserve"> (Sr.)</w:t>
      </w:r>
      <w:r w:rsidRPr="001C4BE4">
        <w:rPr>
          <w:szCs w:val="22"/>
          <w:lang w:val="es-ES"/>
        </w:rPr>
        <w:t>, Asistente Técnico, Departamento de Pueblos Indígenas, Dirección Nacional de Patrimonio Cultural y Natural, Secretaría de la Cultura de la Presidencia, San Salvador</w:t>
      </w:r>
    </w:p>
    <w:p w14:paraId="113CA011" w14:textId="77777777" w:rsidR="001C4BE4" w:rsidRPr="001C4BE4" w:rsidRDefault="001C4BE4" w:rsidP="001C4BE4">
      <w:pPr>
        <w:rPr>
          <w:szCs w:val="22"/>
          <w:lang w:val="es-ES"/>
        </w:rPr>
      </w:pPr>
    </w:p>
    <w:p w14:paraId="5DD56CC3" w14:textId="77777777" w:rsidR="001C4BE4" w:rsidRDefault="001C4BE4" w:rsidP="001C4BE4">
      <w:pPr>
        <w:rPr>
          <w:szCs w:val="22"/>
          <w:u w:val="single"/>
          <w:lang w:val="es-ES"/>
        </w:rPr>
      </w:pPr>
    </w:p>
    <w:p w14:paraId="5FBA64B5" w14:textId="77777777" w:rsidR="001C4BE4" w:rsidRPr="001C4BE4" w:rsidRDefault="001C4BE4" w:rsidP="001C4BE4">
      <w:pPr>
        <w:rPr>
          <w:szCs w:val="22"/>
          <w:u w:val="single"/>
          <w:lang w:val="es-ES"/>
        </w:rPr>
      </w:pPr>
      <w:r w:rsidRPr="001C4BE4">
        <w:rPr>
          <w:szCs w:val="22"/>
          <w:u w:val="single"/>
          <w:lang w:val="es-ES"/>
        </w:rPr>
        <w:t>ÉQUATEUR/ECUADOR</w:t>
      </w:r>
    </w:p>
    <w:p w14:paraId="0CB654DD" w14:textId="77777777" w:rsidR="001C4BE4" w:rsidRPr="001C4BE4" w:rsidRDefault="001C4BE4" w:rsidP="001C4BE4">
      <w:pPr>
        <w:rPr>
          <w:szCs w:val="22"/>
          <w:u w:val="single"/>
          <w:lang w:val="es-ES"/>
        </w:rPr>
      </w:pPr>
    </w:p>
    <w:p w14:paraId="49E26558" w14:textId="77777777" w:rsidR="001C4BE4" w:rsidRPr="001C4BE4" w:rsidRDefault="001C4BE4" w:rsidP="001C4BE4">
      <w:pPr>
        <w:rPr>
          <w:szCs w:val="22"/>
          <w:lang w:val="es-ES"/>
        </w:rPr>
      </w:pPr>
      <w:r w:rsidRPr="001C4BE4">
        <w:rPr>
          <w:szCs w:val="22"/>
          <w:lang w:val="es-ES"/>
        </w:rPr>
        <w:t>Ñusta MALDONADO (Sra.), Tercer Secretario, Misión Permanente ante la Organización Mundial del Comercio (OMC), Ginebra</w:t>
      </w:r>
    </w:p>
    <w:p w14:paraId="0D56D09E" w14:textId="77777777" w:rsidR="001C4BE4" w:rsidRPr="001C4BE4" w:rsidRDefault="001C4BE4" w:rsidP="001C4BE4">
      <w:pPr>
        <w:rPr>
          <w:szCs w:val="22"/>
          <w:lang w:val="es-ES"/>
        </w:rPr>
      </w:pPr>
      <w:r w:rsidRPr="001C4BE4">
        <w:rPr>
          <w:szCs w:val="22"/>
          <w:u w:val="single"/>
          <w:lang w:val="es-ES"/>
        </w:rPr>
        <w:t xml:space="preserve">nustamaldonado@gmail.com </w:t>
      </w:r>
    </w:p>
    <w:p w14:paraId="568DE33C" w14:textId="77777777" w:rsidR="001C4BE4" w:rsidRPr="001C4BE4" w:rsidRDefault="001C4BE4" w:rsidP="001C4BE4">
      <w:pPr>
        <w:rPr>
          <w:szCs w:val="22"/>
          <w:lang w:val="es-ES"/>
        </w:rPr>
      </w:pPr>
    </w:p>
    <w:p w14:paraId="1C536A96" w14:textId="77777777" w:rsidR="001C4BE4" w:rsidRPr="001C4BE4" w:rsidRDefault="001C4BE4" w:rsidP="001C4BE4">
      <w:pPr>
        <w:rPr>
          <w:szCs w:val="22"/>
          <w:u w:val="single"/>
          <w:lang w:val="es-ES"/>
        </w:rPr>
      </w:pPr>
    </w:p>
    <w:p w14:paraId="472CC4A6" w14:textId="77777777" w:rsidR="001C4BE4" w:rsidRPr="001C4BE4" w:rsidRDefault="001C4BE4" w:rsidP="001C4BE4">
      <w:pPr>
        <w:rPr>
          <w:szCs w:val="22"/>
          <w:u w:val="single"/>
          <w:lang w:val="es-ES"/>
        </w:rPr>
      </w:pPr>
      <w:r w:rsidRPr="001C4BE4">
        <w:rPr>
          <w:szCs w:val="22"/>
          <w:u w:val="single"/>
          <w:lang w:val="es-ES"/>
        </w:rPr>
        <w:t>ESPAGNE/SPAIN</w:t>
      </w:r>
    </w:p>
    <w:p w14:paraId="1B80EB13" w14:textId="77777777" w:rsidR="001C4BE4" w:rsidRPr="001C4BE4" w:rsidRDefault="001C4BE4" w:rsidP="001C4BE4">
      <w:pPr>
        <w:rPr>
          <w:szCs w:val="22"/>
          <w:u w:val="single"/>
          <w:lang w:val="es-ES"/>
        </w:rPr>
      </w:pPr>
    </w:p>
    <w:p w14:paraId="3BC6F86B" w14:textId="77777777" w:rsidR="001C4BE4" w:rsidRPr="001C4BE4" w:rsidRDefault="001C4BE4" w:rsidP="001C4BE4">
      <w:pPr>
        <w:rPr>
          <w:szCs w:val="22"/>
          <w:lang w:val="es-ES"/>
        </w:rPr>
      </w:pPr>
      <w:r w:rsidRPr="001C4BE4">
        <w:rPr>
          <w:szCs w:val="22"/>
          <w:lang w:val="es-ES"/>
        </w:rPr>
        <w:t>María Jesús MENÉNDEZ YUNTA (Sra.), Jefe, Servicio de Régimen Jurídico, Subdirección General de Propiedad Intelectual, Ministerio de Educación, Cultura y Deporte, Madrid</w:t>
      </w:r>
    </w:p>
    <w:p w14:paraId="5B34E368" w14:textId="77777777" w:rsidR="001C4BE4" w:rsidRPr="001C4BE4" w:rsidRDefault="001C4BE4" w:rsidP="001C4BE4">
      <w:pPr>
        <w:rPr>
          <w:szCs w:val="22"/>
          <w:lang w:val="es-ES"/>
        </w:rPr>
      </w:pPr>
      <w:r w:rsidRPr="001C4BE4">
        <w:rPr>
          <w:szCs w:val="22"/>
          <w:u w:val="single"/>
          <w:lang w:val="es-ES"/>
        </w:rPr>
        <w:t xml:space="preserve">mjesus.menendez@mecd.es </w:t>
      </w:r>
    </w:p>
    <w:p w14:paraId="1704F203" w14:textId="77777777" w:rsidR="001C4BE4" w:rsidRPr="001C4BE4" w:rsidRDefault="001C4BE4" w:rsidP="001C4BE4">
      <w:pPr>
        <w:rPr>
          <w:szCs w:val="22"/>
          <w:lang w:val="es-ES"/>
        </w:rPr>
      </w:pPr>
    </w:p>
    <w:p w14:paraId="33C51FC7" w14:textId="6D533F92" w:rsidR="001C4BE4" w:rsidRPr="001C4BE4" w:rsidRDefault="001C4BE4" w:rsidP="001C4BE4">
      <w:pPr>
        <w:rPr>
          <w:szCs w:val="22"/>
          <w:lang w:val="es-ES"/>
        </w:rPr>
      </w:pPr>
      <w:r w:rsidRPr="001C4BE4">
        <w:rPr>
          <w:szCs w:val="22"/>
          <w:lang w:val="es-ES"/>
        </w:rPr>
        <w:t>Oriol ESCALAS NOLLA</w:t>
      </w:r>
      <w:r w:rsidR="00A15441">
        <w:rPr>
          <w:szCs w:val="22"/>
          <w:lang w:val="es-ES"/>
        </w:rPr>
        <w:t xml:space="preserve"> (Sr.)</w:t>
      </w:r>
      <w:r w:rsidRPr="001C4BE4">
        <w:rPr>
          <w:szCs w:val="22"/>
          <w:lang w:val="es-ES"/>
        </w:rPr>
        <w:t>, Consejero, Misión Permanente, Ginebra</w:t>
      </w:r>
    </w:p>
    <w:p w14:paraId="2C60E219" w14:textId="77777777" w:rsidR="001C4BE4" w:rsidRPr="001C4BE4" w:rsidRDefault="001C4BE4" w:rsidP="001C4BE4">
      <w:pPr>
        <w:rPr>
          <w:szCs w:val="22"/>
          <w:lang w:val="es-ES"/>
        </w:rPr>
      </w:pPr>
    </w:p>
    <w:p w14:paraId="1BCE9387" w14:textId="77777777" w:rsidR="001C4BE4" w:rsidRPr="001C4BE4" w:rsidRDefault="001C4BE4" w:rsidP="001C4BE4">
      <w:pPr>
        <w:rPr>
          <w:szCs w:val="22"/>
          <w:lang w:val="es-ES"/>
        </w:rPr>
      </w:pPr>
    </w:p>
    <w:p w14:paraId="5EFE6F98" w14:textId="77777777" w:rsidR="001C4BE4" w:rsidRPr="001C4BE4" w:rsidRDefault="001C4BE4" w:rsidP="001C4BE4">
      <w:pPr>
        <w:rPr>
          <w:szCs w:val="22"/>
          <w:u w:val="single"/>
        </w:rPr>
      </w:pPr>
      <w:r w:rsidRPr="001C4BE4">
        <w:rPr>
          <w:szCs w:val="22"/>
          <w:u w:val="single"/>
        </w:rPr>
        <w:t>ESTONIE/ESTONIA</w:t>
      </w:r>
    </w:p>
    <w:p w14:paraId="620BF3FB" w14:textId="77777777" w:rsidR="001C4BE4" w:rsidRPr="001C4BE4" w:rsidRDefault="001C4BE4" w:rsidP="001C4BE4">
      <w:pPr>
        <w:rPr>
          <w:szCs w:val="22"/>
          <w:u w:val="single"/>
        </w:rPr>
      </w:pPr>
    </w:p>
    <w:p w14:paraId="7F9BD53F" w14:textId="77777777" w:rsidR="001C4BE4" w:rsidRPr="001C4BE4" w:rsidRDefault="001C4BE4" w:rsidP="001C4BE4">
      <w:pPr>
        <w:rPr>
          <w:szCs w:val="22"/>
        </w:rPr>
      </w:pPr>
      <w:proofErr w:type="spellStart"/>
      <w:r w:rsidRPr="001C4BE4">
        <w:rPr>
          <w:szCs w:val="22"/>
        </w:rPr>
        <w:t>Gea</w:t>
      </w:r>
      <w:proofErr w:type="spellEnd"/>
      <w:r w:rsidRPr="001C4BE4">
        <w:rPr>
          <w:szCs w:val="22"/>
        </w:rPr>
        <w:t xml:space="preserve"> LEPÌK (Ms.), Adviser, Legislative Policy Department, Ministry of Justice, Tallinn</w:t>
      </w:r>
    </w:p>
    <w:p w14:paraId="1850D5C3" w14:textId="77777777" w:rsidR="001C4BE4" w:rsidRPr="001C4BE4" w:rsidRDefault="001C4BE4" w:rsidP="001C4BE4">
      <w:pPr>
        <w:rPr>
          <w:szCs w:val="22"/>
        </w:rPr>
      </w:pPr>
    </w:p>
    <w:p w14:paraId="702567B0" w14:textId="6D4CFB34" w:rsidR="001C4BE4" w:rsidRPr="001C4BE4" w:rsidRDefault="001C4BE4" w:rsidP="001C4BE4">
      <w:pPr>
        <w:rPr>
          <w:szCs w:val="22"/>
        </w:rPr>
      </w:pPr>
      <w:proofErr w:type="spellStart"/>
      <w:r w:rsidRPr="001C4BE4">
        <w:rPr>
          <w:szCs w:val="22"/>
        </w:rPr>
        <w:t>Veikko</w:t>
      </w:r>
      <w:proofErr w:type="spellEnd"/>
      <w:r w:rsidRPr="001C4BE4">
        <w:rPr>
          <w:szCs w:val="22"/>
        </w:rPr>
        <w:t xml:space="preserve"> MONTONEN</w:t>
      </w:r>
      <w:r w:rsidR="00A15441">
        <w:rPr>
          <w:szCs w:val="22"/>
        </w:rPr>
        <w:t xml:space="preserve"> (Mr.)</w:t>
      </w:r>
      <w:r w:rsidRPr="001C4BE4">
        <w:rPr>
          <w:szCs w:val="22"/>
        </w:rPr>
        <w:t>, Second Secretary, Permanent Mission, Geneva</w:t>
      </w:r>
    </w:p>
    <w:p w14:paraId="6607C093" w14:textId="77777777" w:rsidR="001C4BE4" w:rsidRPr="001C4BE4" w:rsidRDefault="001C4BE4" w:rsidP="001C4BE4">
      <w:pPr>
        <w:rPr>
          <w:szCs w:val="22"/>
        </w:rPr>
      </w:pPr>
      <w:r w:rsidRPr="001C4BE4">
        <w:rPr>
          <w:szCs w:val="22"/>
          <w:u w:val="single"/>
        </w:rPr>
        <w:t xml:space="preserve">veikko.montonen@mfa.ee </w:t>
      </w:r>
    </w:p>
    <w:p w14:paraId="5273A822" w14:textId="77777777" w:rsidR="001C4BE4" w:rsidRPr="001C4BE4" w:rsidRDefault="001C4BE4" w:rsidP="001C4BE4">
      <w:pPr>
        <w:rPr>
          <w:szCs w:val="22"/>
        </w:rPr>
      </w:pPr>
    </w:p>
    <w:p w14:paraId="3A060D4C" w14:textId="77777777" w:rsidR="001C4BE4" w:rsidRPr="001C4BE4" w:rsidRDefault="001C4BE4" w:rsidP="001C4BE4">
      <w:pPr>
        <w:rPr>
          <w:szCs w:val="22"/>
        </w:rPr>
      </w:pPr>
    </w:p>
    <w:p w14:paraId="1538FA7F" w14:textId="77777777" w:rsidR="001C4BE4" w:rsidRPr="001C4BE4" w:rsidRDefault="001C4BE4" w:rsidP="001C4BE4">
      <w:pPr>
        <w:rPr>
          <w:szCs w:val="22"/>
          <w:u w:val="single"/>
        </w:rPr>
      </w:pPr>
      <w:r w:rsidRPr="001C4BE4">
        <w:rPr>
          <w:szCs w:val="22"/>
          <w:u w:val="single"/>
        </w:rPr>
        <w:t>ÉTATS-UNIS D’AMÉRIQUE/UNITED STATES OF AMERICA</w:t>
      </w:r>
    </w:p>
    <w:p w14:paraId="45EEA477" w14:textId="77777777" w:rsidR="001C4BE4" w:rsidRPr="001C4BE4" w:rsidRDefault="001C4BE4" w:rsidP="001C4BE4">
      <w:pPr>
        <w:rPr>
          <w:szCs w:val="22"/>
          <w:u w:val="single"/>
        </w:rPr>
      </w:pPr>
    </w:p>
    <w:p w14:paraId="6F284A43" w14:textId="728BE788" w:rsidR="001C4BE4" w:rsidRPr="001C4BE4" w:rsidRDefault="001C4BE4" w:rsidP="001C4BE4">
      <w:pPr>
        <w:rPr>
          <w:szCs w:val="22"/>
        </w:rPr>
      </w:pPr>
      <w:r w:rsidRPr="001C4BE4">
        <w:rPr>
          <w:szCs w:val="22"/>
        </w:rPr>
        <w:t>Dominic KEATING</w:t>
      </w:r>
      <w:r w:rsidR="00A15441">
        <w:rPr>
          <w:szCs w:val="22"/>
        </w:rPr>
        <w:t xml:space="preserve"> (Mr.)</w:t>
      </w:r>
      <w:r w:rsidRPr="001C4BE4">
        <w:rPr>
          <w:szCs w:val="22"/>
        </w:rPr>
        <w:t>, Director, Intellectual Property Attaché Program, Office of Policy and International Affairs, United States Patent and Trademark Office (USPTO), Alexandria</w:t>
      </w:r>
    </w:p>
    <w:p w14:paraId="77B5CECB" w14:textId="77777777" w:rsidR="001C4BE4" w:rsidRPr="001C4BE4" w:rsidRDefault="001C4BE4" w:rsidP="001C4BE4">
      <w:pPr>
        <w:rPr>
          <w:szCs w:val="22"/>
        </w:rPr>
      </w:pPr>
    </w:p>
    <w:p w14:paraId="14CB35AA" w14:textId="6ED40225" w:rsidR="001C4BE4" w:rsidRPr="001C4BE4" w:rsidRDefault="001C4BE4" w:rsidP="001C4BE4">
      <w:pPr>
        <w:rPr>
          <w:szCs w:val="22"/>
        </w:rPr>
      </w:pPr>
      <w:r w:rsidRPr="001C4BE4">
        <w:rPr>
          <w:szCs w:val="22"/>
        </w:rPr>
        <w:t>Michael SHAPIRO</w:t>
      </w:r>
      <w:r w:rsidR="00A15441">
        <w:rPr>
          <w:szCs w:val="22"/>
        </w:rPr>
        <w:t xml:space="preserve"> (Mr.)</w:t>
      </w:r>
      <w:r w:rsidRPr="001C4BE4">
        <w:rPr>
          <w:szCs w:val="22"/>
        </w:rPr>
        <w:t>, Senior Counsel, Department of Commerce, United States Patent and Trademark Office (USPTO), Alexandria</w:t>
      </w:r>
    </w:p>
    <w:p w14:paraId="52D66E3C" w14:textId="77777777" w:rsidR="001C4BE4" w:rsidRPr="001C4BE4" w:rsidRDefault="001C4BE4" w:rsidP="001C4BE4">
      <w:pPr>
        <w:rPr>
          <w:szCs w:val="22"/>
        </w:rPr>
      </w:pPr>
    </w:p>
    <w:p w14:paraId="074FC579" w14:textId="77777777" w:rsidR="001C4BE4" w:rsidRPr="001C4BE4" w:rsidRDefault="001C4BE4" w:rsidP="001C4BE4">
      <w:pPr>
        <w:rPr>
          <w:szCs w:val="22"/>
        </w:rPr>
      </w:pPr>
      <w:r w:rsidRPr="001C4BE4">
        <w:rPr>
          <w:szCs w:val="22"/>
        </w:rPr>
        <w:t>Aurelia SCHULTZ (Ms.), Counsel, Office of Policy and International Affairs, Library of Congress, Copyright Office, Washington D.C.</w:t>
      </w:r>
    </w:p>
    <w:p w14:paraId="1A5765FC" w14:textId="77777777" w:rsidR="001C4BE4" w:rsidRPr="001C4BE4" w:rsidRDefault="001C4BE4" w:rsidP="001C4BE4">
      <w:pPr>
        <w:rPr>
          <w:szCs w:val="22"/>
        </w:rPr>
      </w:pPr>
      <w:r w:rsidRPr="001C4BE4">
        <w:rPr>
          <w:szCs w:val="22"/>
          <w:u w:val="single"/>
        </w:rPr>
        <w:t xml:space="preserve">aschu@loc.gov </w:t>
      </w:r>
    </w:p>
    <w:p w14:paraId="25F042C6" w14:textId="77777777" w:rsidR="001C4BE4" w:rsidRPr="001C4BE4" w:rsidRDefault="001C4BE4" w:rsidP="001C4BE4">
      <w:pPr>
        <w:rPr>
          <w:szCs w:val="22"/>
        </w:rPr>
      </w:pPr>
    </w:p>
    <w:p w14:paraId="0D3E71B0" w14:textId="77777777" w:rsidR="001C4BE4" w:rsidRPr="001C4BE4" w:rsidRDefault="001C4BE4" w:rsidP="001C4BE4">
      <w:pPr>
        <w:rPr>
          <w:szCs w:val="22"/>
        </w:rPr>
      </w:pPr>
      <w:r w:rsidRPr="001C4BE4">
        <w:rPr>
          <w:szCs w:val="22"/>
        </w:rPr>
        <w:t>Deborah LASHLEY-JOHNSON (Ms.), Intellectual Property Attaché, Permanent Mission, Geneva</w:t>
      </w:r>
    </w:p>
    <w:p w14:paraId="2F9C128E" w14:textId="77777777" w:rsidR="001C4BE4" w:rsidRPr="001C4BE4" w:rsidRDefault="001C4BE4" w:rsidP="001C4BE4">
      <w:pPr>
        <w:rPr>
          <w:szCs w:val="22"/>
        </w:rPr>
      </w:pPr>
    </w:p>
    <w:p w14:paraId="11808C1C" w14:textId="77777777" w:rsidR="001C4BE4" w:rsidRPr="001C4BE4" w:rsidRDefault="001C4BE4" w:rsidP="001C4BE4">
      <w:pPr>
        <w:rPr>
          <w:szCs w:val="22"/>
        </w:rPr>
      </w:pPr>
      <w:r w:rsidRPr="001C4BE4">
        <w:rPr>
          <w:szCs w:val="22"/>
        </w:rPr>
        <w:t>Kristine SCHLEGELMILCH (Ms.), Intellectual Property Attaché,</w:t>
      </w:r>
      <w:r w:rsidRPr="001C4BE4">
        <w:rPr>
          <w:szCs w:val="20"/>
        </w:rPr>
        <w:t xml:space="preserve"> </w:t>
      </w:r>
      <w:r w:rsidRPr="001C4BE4">
        <w:rPr>
          <w:szCs w:val="22"/>
        </w:rPr>
        <w:t>Permanent Mission, Geneva</w:t>
      </w:r>
    </w:p>
    <w:p w14:paraId="0B8BBC55" w14:textId="77777777" w:rsidR="001C4BE4" w:rsidRPr="001C4BE4" w:rsidRDefault="001C4BE4" w:rsidP="001C4BE4">
      <w:pPr>
        <w:rPr>
          <w:szCs w:val="22"/>
        </w:rPr>
      </w:pPr>
    </w:p>
    <w:p w14:paraId="0AC4B82A" w14:textId="77777777" w:rsidR="001C4BE4" w:rsidRPr="001C4BE4" w:rsidRDefault="001C4BE4" w:rsidP="001C4BE4">
      <w:pPr>
        <w:rPr>
          <w:szCs w:val="22"/>
        </w:rPr>
      </w:pPr>
      <w:r w:rsidRPr="001C4BE4">
        <w:rPr>
          <w:szCs w:val="22"/>
        </w:rPr>
        <w:t>Yasmine FULENA (Ms.), Intellectual Property Adviser, Permanent Mission, Geneva</w:t>
      </w:r>
    </w:p>
    <w:p w14:paraId="37D9C7F9" w14:textId="77777777" w:rsidR="001C4BE4" w:rsidRPr="001C4BE4" w:rsidRDefault="001C4BE4" w:rsidP="001C4BE4">
      <w:pPr>
        <w:rPr>
          <w:szCs w:val="22"/>
        </w:rPr>
      </w:pPr>
    </w:p>
    <w:p w14:paraId="38D97572" w14:textId="77777777" w:rsidR="001C4BE4" w:rsidRPr="001C4BE4" w:rsidRDefault="001C4BE4" w:rsidP="001C4BE4">
      <w:pPr>
        <w:rPr>
          <w:szCs w:val="22"/>
        </w:rPr>
      </w:pPr>
    </w:p>
    <w:p w14:paraId="097B7607" w14:textId="77777777" w:rsidR="001C4BE4" w:rsidRPr="001C4BE4" w:rsidRDefault="001C4BE4" w:rsidP="001C4BE4">
      <w:pPr>
        <w:rPr>
          <w:szCs w:val="22"/>
          <w:u w:val="single"/>
        </w:rPr>
      </w:pPr>
      <w:r w:rsidRPr="001C4BE4">
        <w:rPr>
          <w:szCs w:val="22"/>
          <w:u w:val="single"/>
        </w:rPr>
        <w:t>ÉTHIOPIE/ETHIOPIA</w:t>
      </w:r>
    </w:p>
    <w:p w14:paraId="606B9553" w14:textId="77777777" w:rsidR="001C4BE4" w:rsidRPr="001C4BE4" w:rsidRDefault="001C4BE4" w:rsidP="001C4BE4">
      <w:pPr>
        <w:rPr>
          <w:szCs w:val="22"/>
          <w:u w:val="single"/>
        </w:rPr>
      </w:pPr>
    </w:p>
    <w:p w14:paraId="1A4C867E" w14:textId="39E69784" w:rsidR="001C4BE4" w:rsidRPr="001C4BE4" w:rsidRDefault="001C4BE4" w:rsidP="001C4BE4">
      <w:pPr>
        <w:rPr>
          <w:szCs w:val="22"/>
        </w:rPr>
      </w:pPr>
      <w:r w:rsidRPr="001C4BE4">
        <w:rPr>
          <w:szCs w:val="22"/>
        </w:rPr>
        <w:t>Samuel Addis ALEMAYEHU</w:t>
      </w:r>
      <w:r w:rsidR="00A15441">
        <w:rPr>
          <w:szCs w:val="22"/>
        </w:rPr>
        <w:t xml:space="preserve"> (Mr.)</w:t>
      </w:r>
      <w:r w:rsidRPr="001C4BE4">
        <w:rPr>
          <w:szCs w:val="22"/>
        </w:rPr>
        <w:t>, Minister Counsellor, Permanent Mission, Geneva</w:t>
      </w:r>
    </w:p>
    <w:p w14:paraId="04D0547D" w14:textId="77777777" w:rsidR="001C4BE4" w:rsidRPr="001C4BE4" w:rsidRDefault="001C4BE4" w:rsidP="001C4BE4">
      <w:pPr>
        <w:rPr>
          <w:szCs w:val="22"/>
        </w:rPr>
      </w:pPr>
    </w:p>
    <w:p w14:paraId="4745E22D" w14:textId="72782E71" w:rsidR="001C4BE4" w:rsidRPr="001C4BE4" w:rsidRDefault="001C4BE4" w:rsidP="001C4BE4">
      <w:pPr>
        <w:rPr>
          <w:szCs w:val="22"/>
        </w:rPr>
      </w:pPr>
      <w:proofErr w:type="spellStart"/>
      <w:r w:rsidRPr="001C4BE4">
        <w:rPr>
          <w:szCs w:val="22"/>
        </w:rPr>
        <w:t>Yidnekachewtekle</w:t>
      </w:r>
      <w:proofErr w:type="spellEnd"/>
      <w:r w:rsidRPr="001C4BE4">
        <w:rPr>
          <w:szCs w:val="22"/>
        </w:rPr>
        <w:t xml:space="preserve"> ALEMU</w:t>
      </w:r>
      <w:r w:rsidR="00A15441">
        <w:rPr>
          <w:szCs w:val="22"/>
        </w:rPr>
        <w:t xml:space="preserve"> (Mr.)</w:t>
      </w:r>
      <w:r w:rsidRPr="001C4BE4">
        <w:rPr>
          <w:szCs w:val="22"/>
        </w:rPr>
        <w:t>, Counsellor, Permanent Mission, Geneva</w:t>
      </w:r>
    </w:p>
    <w:p w14:paraId="5F02BCFA" w14:textId="77777777" w:rsidR="001C4BE4" w:rsidRPr="001C4BE4" w:rsidRDefault="001C4BE4" w:rsidP="001C4BE4">
      <w:pPr>
        <w:rPr>
          <w:szCs w:val="22"/>
        </w:rPr>
      </w:pPr>
    </w:p>
    <w:p w14:paraId="07189A7D" w14:textId="77777777" w:rsidR="001C4BE4" w:rsidRPr="001C4BE4" w:rsidRDefault="001C4BE4" w:rsidP="001C4BE4">
      <w:pPr>
        <w:rPr>
          <w:szCs w:val="22"/>
        </w:rPr>
      </w:pPr>
    </w:p>
    <w:p w14:paraId="55EB74D1" w14:textId="77777777" w:rsidR="001C4BE4" w:rsidRPr="001C4BE4" w:rsidRDefault="001C4BE4" w:rsidP="001C4BE4">
      <w:pPr>
        <w:rPr>
          <w:szCs w:val="22"/>
          <w:u w:val="single"/>
        </w:rPr>
      </w:pPr>
      <w:r w:rsidRPr="001C4BE4">
        <w:rPr>
          <w:szCs w:val="22"/>
          <w:u w:val="single"/>
        </w:rPr>
        <w:t>EX-RÉPUBLIQUE YOUGOSLAVE DE MACÉDOINE/THE FORMER YUGOSLAV REPUBLIC OF MACEDONIA</w:t>
      </w:r>
    </w:p>
    <w:p w14:paraId="44ED53BC" w14:textId="77777777" w:rsidR="001C4BE4" w:rsidRPr="001C4BE4" w:rsidRDefault="001C4BE4" w:rsidP="001C4BE4">
      <w:pPr>
        <w:rPr>
          <w:szCs w:val="22"/>
          <w:u w:val="single"/>
        </w:rPr>
      </w:pPr>
    </w:p>
    <w:p w14:paraId="5FB23D05" w14:textId="502D5E1B" w:rsidR="001C4BE4" w:rsidRPr="001C4BE4" w:rsidRDefault="001C4BE4" w:rsidP="001C4BE4">
      <w:pPr>
        <w:rPr>
          <w:szCs w:val="22"/>
        </w:rPr>
      </w:pPr>
      <w:proofErr w:type="spellStart"/>
      <w:r w:rsidRPr="001C4BE4">
        <w:rPr>
          <w:szCs w:val="22"/>
        </w:rPr>
        <w:t>Safet</w:t>
      </w:r>
      <w:proofErr w:type="spellEnd"/>
      <w:r w:rsidRPr="001C4BE4">
        <w:rPr>
          <w:szCs w:val="22"/>
        </w:rPr>
        <w:t xml:space="preserve"> EMRULI</w:t>
      </w:r>
      <w:r w:rsidR="00A15441">
        <w:rPr>
          <w:szCs w:val="22"/>
        </w:rPr>
        <w:t xml:space="preserve"> (Mr.)</w:t>
      </w:r>
      <w:r w:rsidRPr="001C4BE4">
        <w:rPr>
          <w:szCs w:val="22"/>
        </w:rPr>
        <w:t>, Director, State Office of Industrial Property (SOIP), Skopje</w:t>
      </w:r>
    </w:p>
    <w:p w14:paraId="53DBCDF8" w14:textId="77777777" w:rsidR="001C4BE4" w:rsidRPr="001C4BE4" w:rsidRDefault="001C4BE4" w:rsidP="001C4BE4">
      <w:pPr>
        <w:rPr>
          <w:szCs w:val="22"/>
        </w:rPr>
      </w:pPr>
      <w:r w:rsidRPr="001C4BE4">
        <w:rPr>
          <w:szCs w:val="22"/>
          <w:u w:val="single"/>
        </w:rPr>
        <w:t xml:space="preserve">safet.emruli@ippo.gov.mk </w:t>
      </w:r>
    </w:p>
    <w:p w14:paraId="3279852D" w14:textId="77777777" w:rsidR="001C4BE4" w:rsidRPr="001C4BE4" w:rsidRDefault="001C4BE4" w:rsidP="001C4BE4">
      <w:pPr>
        <w:rPr>
          <w:szCs w:val="22"/>
        </w:rPr>
      </w:pPr>
    </w:p>
    <w:p w14:paraId="7AF6E044" w14:textId="05969921" w:rsidR="001C4BE4" w:rsidRPr="001C4BE4" w:rsidRDefault="001C4BE4" w:rsidP="001C4BE4">
      <w:pPr>
        <w:rPr>
          <w:szCs w:val="22"/>
        </w:rPr>
      </w:pPr>
      <w:proofErr w:type="spellStart"/>
      <w:r w:rsidRPr="001C4BE4">
        <w:rPr>
          <w:szCs w:val="22"/>
        </w:rPr>
        <w:t>Simcho</w:t>
      </w:r>
      <w:proofErr w:type="spellEnd"/>
      <w:r w:rsidRPr="001C4BE4">
        <w:rPr>
          <w:szCs w:val="22"/>
        </w:rPr>
        <w:t xml:space="preserve"> SIMJANOVSKI</w:t>
      </w:r>
      <w:r w:rsidR="00A15441">
        <w:rPr>
          <w:szCs w:val="22"/>
        </w:rPr>
        <w:t xml:space="preserve"> (Mr.)</w:t>
      </w:r>
      <w:r w:rsidRPr="001C4BE4">
        <w:rPr>
          <w:szCs w:val="22"/>
        </w:rPr>
        <w:t>, Head, Trademark, Industrial Design and Geographical Indications Department, State Office of Industrial Property (SOIP), Skopje</w:t>
      </w:r>
    </w:p>
    <w:p w14:paraId="6C06977F" w14:textId="77777777" w:rsidR="001C4BE4" w:rsidRPr="001C4BE4" w:rsidRDefault="001C4BE4" w:rsidP="001C4BE4">
      <w:pPr>
        <w:rPr>
          <w:szCs w:val="22"/>
          <w:lang w:val="fr-FR"/>
        </w:rPr>
      </w:pPr>
      <w:r w:rsidRPr="001C4BE4">
        <w:rPr>
          <w:szCs w:val="22"/>
          <w:u w:val="single"/>
          <w:lang w:val="fr-FR"/>
        </w:rPr>
        <w:t xml:space="preserve">simcos@ippo.gov.mk </w:t>
      </w:r>
    </w:p>
    <w:p w14:paraId="53EEDAA5" w14:textId="77777777" w:rsidR="001C4BE4" w:rsidRPr="001C4BE4" w:rsidRDefault="001C4BE4" w:rsidP="001C4BE4">
      <w:pPr>
        <w:rPr>
          <w:szCs w:val="22"/>
          <w:lang w:val="fr-FR"/>
        </w:rPr>
      </w:pPr>
    </w:p>
    <w:p w14:paraId="0D46E15C" w14:textId="77777777" w:rsidR="001C4BE4" w:rsidRPr="001C4BE4" w:rsidRDefault="001C4BE4" w:rsidP="001C4BE4">
      <w:pPr>
        <w:rPr>
          <w:szCs w:val="22"/>
          <w:lang w:val="fr-FR"/>
        </w:rPr>
      </w:pPr>
    </w:p>
    <w:p w14:paraId="73402BBC" w14:textId="77777777" w:rsidR="001C4BE4" w:rsidRPr="001C4BE4" w:rsidRDefault="001C4BE4" w:rsidP="001C4BE4">
      <w:pPr>
        <w:rPr>
          <w:szCs w:val="22"/>
          <w:u w:val="single"/>
          <w:lang w:val="fr-FR"/>
        </w:rPr>
      </w:pPr>
      <w:r w:rsidRPr="001C4BE4">
        <w:rPr>
          <w:szCs w:val="22"/>
          <w:u w:val="single"/>
          <w:lang w:val="fr-FR"/>
        </w:rPr>
        <w:t>FÉDÉRATION DE RUSSIE/RUSSIAN FEDERATION</w:t>
      </w:r>
    </w:p>
    <w:p w14:paraId="7FDAB6AA" w14:textId="77777777" w:rsidR="001C4BE4" w:rsidRPr="001C4BE4" w:rsidRDefault="001C4BE4" w:rsidP="001C4BE4">
      <w:pPr>
        <w:rPr>
          <w:szCs w:val="22"/>
          <w:u w:val="single"/>
          <w:lang w:val="fr-FR"/>
        </w:rPr>
      </w:pPr>
    </w:p>
    <w:p w14:paraId="049EA334" w14:textId="77777777" w:rsidR="001C4BE4" w:rsidRPr="001C4BE4" w:rsidRDefault="001C4BE4" w:rsidP="001C4BE4">
      <w:pPr>
        <w:rPr>
          <w:szCs w:val="22"/>
        </w:rPr>
      </w:pPr>
      <w:r w:rsidRPr="001C4BE4">
        <w:rPr>
          <w:szCs w:val="22"/>
        </w:rPr>
        <w:t>Anastasia GRIBANOVA (Ms.), Deputy Head, Regional Integration Division, International Cooperation Department, Federal Service for Intellectual Property (ROSPATENT), Moscow</w:t>
      </w:r>
    </w:p>
    <w:p w14:paraId="54E7B6B7" w14:textId="77777777" w:rsidR="001C4BE4" w:rsidRPr="001C4BE4" w:rsidRDefault="001C4BE4" w:rsidP="001C4BE4">
      <w:pPr>
        <w:rPr>
          <w:szCs w:val="22"/>
        </w:rPr>
      </w:pPr>
    </w:p>
    <w:p w14:paraId="5859667E" w14:textId="77777777" w:rsidR="001C4BE4" w:rsidRPr="001C4BE4" w:rsidRDefault="001C4BE4" w:rsidP="001C4BE4">
      <w:pPr>
        <w:rPr>
          <w:szCs w:val="22"/>
        </w:rPr>
      </w:pPr>
      <w:r w:rsidRPr="001C4BE4">
        <w:rPr>
          <w:szCs w:val="22"/>
        </w:rPr>
        <w:t>Elena RYSEVA (Ms.), Deputy Head, Normative Legal Department, Ministry of Culture of the Russian Federation, Moscow</w:t>
      </w:r>
    </w:p>
    <w:p w14:paraId="78BDCBB5" w14:textId="77777777" w:rsidR="001C4BE4" w:rsidRPr="001C4BE4" w:rsidRDefault="001C4BE4" w:rsidP="001C4BE4">
      <w:pPr>
        <w:rPr>
          <w:szCs w:val="22"/>
        </w:rPr>
      </w:pPr>
    </w:p>
    <w:p w14:paraId="243CDA17" w14:textId="77777777" w:rsidR="001C4BE4" w:rsidRPr="001C4BE4" w:rsidRDefault="001C4BE4" w:rsidP="001C4BE4">
      <w:pPr>
        <w:rPr>
          <w:szCs w:val="22"/>
        </w:rPr>
      </w:pPr>
      <w:r w:rsidRPr="001C4BE4">
        <w:rPr>
          <w:szCs w:val="22"/>
        </w:rPr>
        <w:t>Larisa SIMONOVA (Ms.), Researcher, Legal Department, Federal Institute of Industrial Property (FIPS), Moscow</w:t>
      </w:r>
    </w:p>
    <w:p w14:paraId="4D87573B" w14:textId="77777777" w:rsidR="001C4BE4" w:rsidRPr="001C4BE4" w:rsidRDefault="001C4BE4" w:rsidP="001C4BE4">
      <w:pPr>
        <w:rPr>
          <w:szCs w:val="22"/>
        </w:rPr>
      </w:pPr>
    </w:p>
    <w:p w14:paraId="5C2A5915" w14:textId="77777777" w:rsidR="001C4BE4" w:rsidRPr="001C4BE4" w:rsidRDefault="001C4BE4" w:rsidP="001C4BE4">
      <w:pPr>
        <w:rPr>
          <w:szCs w:val="22"/>
        </w:rPr>
      </w:pPr>
    </w:p>
    <w:p w14:paraId="5FA874FC" w14:textId="77777777" w:rsidR="001C4BE4" w:rsidRPr="001C4BE4" w:rsidRDefault="001C4BE4" w:rsidP="001C4BE4">
      <w:pPr>
        <w:rPr>
          <w:szCs w:val="22"/>
          <w:u w:val="single"/>
        </w:rPr>
      </w:pPr>
      <w:r w:rsidRPr="001C4BE4">
        <w:rPr>
          <w:szCs w:val="22"/>
          <w:u w:val="single"/>
        </w:rPr>
        <w:t>FIDJI/FIJI</w:t>
      </w:r>
    </w:p>
    <w:p w14:paraId="5C9CD923" w14:textId="77777777" w:rsidR="001C4BE4" w:rsidRPr="001C4BE4" w:rsidRDefault="001C4BE4" w:rsidP="001C4BE4">
      <w:pPr>
        <w:rPr>
          <w:szCs w:val="22"/>
          <w:u w:val="single"/>
        </w:rPr>
      </w:pPr>
    </w:p>
    <w:p w14:paraId="0842FBA5" w14:textId="77777777" w:rsidR="001C4BE4" w:rsidRPr="001C4BE4" w:rsidRDefault="001C4BE4" w:rsidP="001C4BE4">
      <w:pPr>
        <w:rPr>
          <w:szCs w:val="22"/>
        </w:rPr>
      </w:pPr>
      <w:proofErr w:type="spellStart"/>
      <w:r w:rsidRPr="001C4BE4">
        <w:rPr>
          <w:szCs w:val="22"/>
        </w:rPr>
        <w:t>Ofa</w:t>
      </w:r>
      <w:proofErr w:type="spellEnd"/>
      <w:r w:rsidRPr="001C4BE4">
        <w:rPr>
          <w:szCs w:val="22"/>
        </w:rPr>
        <w:t xml:space="preserve"> </w:t>
      </w:r>
      <w:proofErr w:type="spellStart"/>
      <w:r w:rsidRPr="001C4BE4">
        <w:rPr>
          <w:szCs w:val="22"/>
        </w:rPr>
        <w:t>Veiqaravi</w:t>
      </w:r>
      <w:proofErr w:type="spellEnd"/>
      <w:r w:rsidRPr="001C4BE4">
        <w:rPr>
          <w:szCs w:val="22"/>
        </w:rPr>
        <w:t xml:space="preserve"> SOLIMAILAGI (Ms.), Senior Legal Officer, Office of the Attorney-General, Suva</w:t>
      </w:r>
    </w:p>
    <w:p w14:paraId="0CBC99F3" w14:textId="77777777" w:rsidR="001C4BE4" w:rsidRPr="001C4BE4" w:rsidRDefault="001C4BE4" w:rsidP="001C4BE4">
      <w:pPr>
        <w:rPr>
          <w:szCs w:val="22"/>
        </w:rPr>
      </w:pPr>
    </w:p>
    <w:p w14:paraId="3A6AAAD0" w14:textId="77777777" w:rsidR="001C4BE4" w:rsidRPr="001C4BE4" w:rsidRDefault="001C4BE4" w:rsidP="001C4BE4">
      <w:pPr>
        <w:rPr>
          <w:szCs w:val="22"/>
        </w:rPr>
      </w:pPr>
    </w:p>
    <w:p w14:paraId="2927B57F" w14:textId="77777777" w:rsidR="001C4BE4" w:rsidRPr="001C4BE4" w:rsidRDefault="001C4BE4" w:rsidP="001C4BE4">
      <w:pPr>
        <w:rPr>
          <w:szCs w:val="22"/>
          <w:u w:val="single"/>
        </w:rPr>
      </w:pPr>
      <w:r w:rsidRPr="001C4BE4">
        <w:rPr>
          <w:szCs w:val="22"/>
          <w:u w:val="single"/>
        </w:rPr>
        <w:t>FINLANDE/FINLAND</w:t>
      </w:r>
    </w:p>
    <w:p w14:paraId="736A8AFF" w14:textId="77777777" w:rsidR="001C4BE4" w:rsidRPr="001C4BE4" w:rsidRDefault="001C4BE4" w:rsidP="001C4BE4">
      <w:pPr>
        <w:rPr>
          <w:szCs w:val="22"/>
        </w:rPr>
      </w:pPr>
    </w:p>
    <w:p w14:paraId="59634BE0" w14:textId="46D448F0" w:rsidR="001C4BE4" w:rsidRPr="001C4BE4" w:rsidRDefault="001C4BE4" w:rsidP="001C4BE4">
      <w:pPr>
        <w:rPr>
          <w:szCs w:val="22"/>
        </w:rPr>
      </w:pPr>
      <w:proofErr w:type="spellStart"/>
      <w:r w:rsidRPr="001C4BE4">
        <w:rPr>
          <w:szCs w:val="22"/>
        </w:rPr>
        <w:t>Jukka</w:t>
      </w:r>
      <w:proofErr w:type="spellEnd"/>
      <w:r w:rsidRPr="001C4BE4">
        <w:rPr>
          <w:szCs w:val="22"/>
        </w:rPr>
        <w:t xml:space="preserve"> LIEDES</w:t>
      </w:r>
      <w:r w:rsidR="00A15441">
        <w:rPr>
          <w:szCs w:val="22"/>
        </w:rPr>
        <w:t xml:space="preserve"> (Mr.)</w:t>
      </w:r>
      <w:r w:rsidRPr="001C4BE4">
        <w:rPr>
          <w:szCs w:val="22"/>
        </w:rPr>
        <w:t>, Special Adviser to the Government, Helsinki</w:t>
      </w:r>
    </w:p>
    <w:p w14:paraId="5162B84D" w14:textId="77777777" w:rsidR="001C4BE4" w:rsidRPr="001C4BE4" w:rsidRDefault="001C4BE4" w:rsidP="001C4BE4">
      <w:pPr>
        <w:rPr>
          <w:szCs w:val="22"/>
        </w:rPr>
      </w:pPr>
      <w:r w:rsidRPr="001C4BE4">
        <w:rPr>
          <w:szCs w:val="22"/>
          <w:u w:val="single"/>
        </w:rPr>
        <w:t xml:space="preserve">jukka@liedes.fi </w:t>
      </w:r>
    </w:p>
    <w:p w14:paraId="53453957" w14:textId="77777777" w:rsidR="001C4BE4" w:rsidRPr="001C4BE4" w:rsidRDefault="001C4BE4" w:rsidP="001C4BE4">
      <w:pPr>
        <w:rPr>
          <w:szCs w:val="22"/>
        </w:rPr>
      </w:pPr>
    </w:p>
    <w:p w14:paraId="21B59081" w14:textId="77777777" w:rsidR="001C4BE4" w:rsidRPr="001C4BE4" w:rsidRDefault="001C4BE4" w:rsidP="001C4BE4">
      <w:pPr>
        <w:rPr>
          <w:szCs w:val="22"/>
        </w:rPr>
      </w:pPr>
      <w:r w:rsidRPr="001C4BE4">
        <w:rPr>
          <w:szCs w:val="22"/>
        </w:rPr>
        <w:t>Anna VUOPALA (Ms.), Government Counsellor, Copyright and Audiovisual Culture Department, Ministry of Education and Culture, Helsinki</w:t>
      </w:r>
    </w:p>
    <w:p w14:paraId="4D756CCB" w14:textId="77777777" w:rsidR="001C4BE4" w:rsidRPr="001C4BE4" w:rsidRDefault="001C4BE4" w:rsidP="001C4BE4">
      <w:pPr>
        <w:rPr>
          <w:szCs w:val="22"/>
          <w:lang w:val="fr-FR"/>
        </w:rPr>
      </w:pPr>
      <w:r w:rsidRPr="001C4BE4">
        <w:rPr>
          <w:szCs w:val="22"/>
          <w:u w:val="single"/>
          <w:lang w:val="fr-FR"/>
        </w:rPr>
        <w:t xml:space="preserve">anna.vuopala@minedu.fi </w:t>
      </w:r>
    </w:p>
    <w:p w14:paraId="2CDB8FF9" w14:textId="77777777" w:rsidR="001C4BE4" w:rsidRDefault="001C4BE4" w:rsidP="001C4BE4">
      <w:pPr>
        <w:rPr>
          <w:szCs w:val="22"/>
          <w:lang w:val="fr-FR"/>
        </w:rPr>
      </w:pPr>
    </w:p>
    <w:p w14:paraId="7E2F1054" w14:textId="77777777" w:rsidR="00E700DB" w:rsidRDefault="00E700DB" w:rsidP="001C4BE4">
      <w:pPr>
        <w:rPr>
          <w:szCs w:val="22"/>
          <w:lang w:val="fr-FR"/>
        </w:rPr>
      </w:pPr>
    </w:p>
    <w:p w14:paraId="7CAC8CAB" w14:textId="77777777" w:rsidR="001C4BE4" w:rsidRPr="001C4BE4" w:rsidRDefault="001C4BE4" w:rsidP="001C4BE4">
      <w:pPr>
        <w:rPr>
          <w:szCs w:val="22"/>
          <w:u w:val="single"/>
          <w:lang w:val="fr-FR"/>
        </w:rPr>
      </w:pPr>
      <w:r w:rsidRPr="001C4BE4">
        <w:rPr>
          <w:szCs w:val="22"/>
          <w:u w:val="single"/>
          <w:lang w:val="fr-FR"/>
        </w:rPr>
        <w:t>FRANCE</w:t>
      </w:r>
    </w:p>
    <w:p w14:paraId="029D67A6" w14:textId="77777777" w:rsidR="001C4BE4" w:rsidRPr="001C4BE4" w:rsidRDefault="001C4BE4" w:rsidP="001C4BE4">
      <w:pPr>
        <w:rPr>
          <w:szCs w:val="22"/>
          <w:u w:val="single"/>
          <w:lang w:val="fr-FR"/>
        </w:rPr>
      </w:pPr>
    </w:p>
    <w:p w14:paraId="6B9DF197" w14:textId="4A703E86" w:rsidR="001C4BE4" w:rsidRPr="001C4BE4" w:rsidRDefault="001C4BE4" w:rsidP="001C4BE4">
      <w:pPr>
        <w:rPr>
          <w:szCs w:val="22"/>
          <w:lang w:val="fr-FR"/>
        </w:rPr>
      </w:pPr>
      <w:r w:rsidRPr="001C4BE4">
        <w:rPr>
          <w:szCs w:val="22"/>
          <w:lang w:val="fr-FR"/>
        </w:rPr>
        <w:t>Ludovic JULIÉ</w:t>
      </w:r>
      <w:r w:rsidR="00A15441">
        <w:rPr>
          <w:szCs w:val="22"/>
          <w:lang w:val="fr-FR"/>
        </w:rPr>
        <w:t xml:space="preserve"> (M.)</w:t>
      </w:r>
      <w:r w:rsidRPr="001C4BE4">
        <w:rPr>
          <w:szCs w:val="22"/>
          <w:lang w:val="fr-FR"/>
        </w:rPr>
        <w:t>, chargé de mission, Bureau de la propriété intellectuelle, Ministère de la culture et de la communication, Paris</w:t>
      </w:r>
    </w:p>
    <w:p w14:paraId="254A2718" w14:textId="77777777" w:rsidR="001C4BE4" w:rsidRPr="001C4BE4" w:rsidRDefault="001C4BE4" w:rsidP="001C4BE4">
      <w:pPr>
        <w:rPr>
          <w:szCs w:val="22"/>
          <w:lang w:val="fr-FR"/>
        </w:rPr>
      </w:pPr>
    </w:p>
    <w:p w14:paraId="28CA8A3A" w14:textId="6A2CB12D" w:rsidR="001C4BE4" w:rsidRPr="001C4BE4" w:rsidRDefault="001C4BE4" w:rsidP="001C4BE4">
      <w:pPr>
        <w:rPr>
          <w:szCs w:val="22"/>
          <w:lang w:val="fr-FR"/>
        </w:rPr>
      </w:pPr>
      <w:r w:rsidRPr="001C4BE4">
        <w:rPr>
          <w:szCs w:val="22"/>
          <w:lang w:val="fr-FR"/>
        </w:rPr>
        <w:t>Francis GUENON</w:t>
      </w:r>
      <w:r w:rsidR="00A15441">
        <w:rPr>
          <w:szCs w:val="22"/>
          <w:lang w:val="fr-FR"/>
        </w:rPr>
        <w:t xml:space="preserve"> (M.)</w:t>
      </w:r>
      <w:r w:rsidRPr="001C4BE4">
        <w:rPr>
          <w:szCs w:val="22"/>
          <w:lang w:val="fr-FR"/>
        </w:rPr>
        <w:t xml:space="preserve">, </w:t>
      </w:r>
      <w:proofErr w:type="gramStart"/>
      <w:r w:rsidRPr="001C4BE4">
        <w:rPr>
          <w:szCs w:val="22"/>
          <w:lang w:val="fr-FR"/>
        </w:rPr>
        <w:t>conseiller</w:t>
      </w:r>
      <w:proofErr w:type="gramEnd"/>
      <w:r w:rsidRPr="001C4BE4">
        <w:rPr>
          <w:szCs w:val="22"/>
          <w:lang w:val="fr-FR"/>
        </w:rPr>
        <w:t>, Mission permanente, Genève</w:t>
      </w:r>
    </w:p>
    <w:p w14:paraId="7D25A9FC" w14:textId="77777777" w:rsidR="001C4BE4" w:rsidRPr="001C4BE4" w:rsidRDefault="001C4BE4" w:rsidP="001C4BE4">
      <w:pPr>
        <w:rPr>
          <w:szCs w:val="22"/>
          <w:lang w:val="fr-FR"/>
        </w:rPr>
      </w:pPr>
    </w:p>
    <w:p w14:paraId="28F71D5D" w14:textId="77777777" w:rsidR="001C4BE4" w:rsidRPr="001C4BE4" w:rsidRDefault="001C4BE4" w:rsidP="001C4BE4">
      <w:pPr>
        <w:rPr>
          <w:szCs w:val="22"/>
          <w:lang w:val="fr-FR"/>
        </w:rPr>
      </w:pPr>
    </w:p>
    <w:p w14:paraId="2B2E3328" w14:textId="77777777" w:rsidR="001C4BE4" w:rsidRPr="001C4BE4" w:rsidRDefault="001C4BE4" w:rsidP="001C4BE4">
      <w:pPr>
        <w:rPr>
          <w:szCs w:val="22"/>
          <w:u w:val="single"/>
        </w:rPr>
      </w:pPr>
      <w:r w:rsidRPr="001C4BE4">
        <w:rPr>
          <w:szCs w:val="22"/>
          <w:u w:val="single"/>
        </w:rPr>
        <w:t>GÉORGIE/GEORGIA</w:t>
      </w:r>
    </w:p>
    <w:p w14:paraId="266D4C1E" w14:textId="77777777" w:rsidR="001C4BE4" w:rsidRPr="001C4BE4" w:rsidRDefault="001C4BE4" w:rsidP="001C4BE4">
      <w:pPr>
        <w:rPr>
          <w:szCs w:val="22"/>
          <w:u w:val="single"/>
        </w:rPr>
      </w:pPr>
    </w:p>
    <w:p w14:paraId="4A0DD26C" w14:textId="77777777" w:rsidR="001C4BE4" w:rsidRPr="001C4BE4" w:rsidRDefault="001C4BE4" w:rsidP="001C4BE4">
      <w:pPr>
        <w:rPr>
          <w:szCs w:val="22"/>
        </w:rPr>
      </w:pPr>
      <w:r w:rsidRPr="001C4BE4">
        <w:rPr>
          <w:szCs w:val="22"/>
        </w:rPr>
        <w:t>Ana GOBECHIA (Ms.), Head, International Affairs Unit, National Intellectual Property Center (</w:t>
      </w:r>
      <w:proofErr w:type="spellStart"/>
      <w:r w:rsidRPr="001C4BE4">
        <w:rPr>
          <w:szCs w:val="22"/>
        </w:rPr>
        <w:t>Sakpatenti</w:t>
      </w:r>
      <w:proofErr w:type="spellEnd"/>
      <w:r w:rsidRPr="001C4BE4">
        <w:rPr>
          <w:szCs w:val="22"/>
        </w:rPr>
        <w:t xml:space="preserve">), </w:t>
      </w:r>
      <w:proofErr w:type="spellStart"/>
      <w:r w:rsidRPr="001C4BE4">
        <w:rPr>
          <w:szCs w:val="22"/>
        </w:rPr>
        <w:t>Mtskheta</w:t>
      </w:r>
      <w:proofErr w:type="spellEnd"/>
    </w:p>
    <w:p w14:paraId="0F4E4391" w14:textId="77777777" w:rsidR="001C4BE4" w:rsidRPr="001C4BE4" w:rsidRDefault="001C4BE4" w:rsidP="001C4BE4">
      <w:pPr>
        <w:rPr>
          <w:szCs w:val="22"/>
        </w:rPr>
      </w:pPr>
      <w:r w:rsidRPr="001C4BE4">
        <w:rPr>
          <w:szCs w:val="22"/>
          <w:u w:val="single"/>
        </w:rPr>
        <w:t xml:space="preserve">a.gobechia@sakpatenti.org.ge </w:t>
      </w:r>
    </w:p>
    <w:p w14:paraId="4882CC58" w14:textId="77777777" w:rsidR="001C4BE4" w:rsidRPr="001C4BE4" w:rsidRDefault="001C4BE4" w:rsidP="001C4BE4">
      <w:pPr>
        <w:rPr>
          <w:szCs w:val="22"/>
        </w:rPr>
      </w:pPr>
    </w:p>
    <w:p w14:paraId="5CE62E6C" w14:textId="49F57584" w:rsidR="001C4BE4" w:rsidRPr="001C4BE4" w:rsidRDefault="001C4BE4" w:rsidP="001C4BE4">
      <w:pPr>
        <w:rPr>
          <w:szCs w:val="22"/>
        </w:rPr>
      </w:pPr>
      <w:proofErr w:type="spellStart"/>
      <w:r w:rsidRPr="001C4BE4">
        <w:rPr>
          <w:szCs w:val="22"/>
        </w:rPr>
        <w:t>Temuri</w:t>
      </w:r>
      <w:proofErr w:type="spellEnd"/>
      <w:r w:rsidRPr="001C4BE4">
        <w:rPr>
          <w:szCs w:val="22"/>
        </w:rPr>
        <w:t xml:space="preserve"> PIPIA</w:t>
      </w:r>
      <w:r w:rsidR="00A15441">
        <w:rPr>
          <w:szCs w:val="22"/>
        </w:rPr>
        <w:t xml:space="preserve"> (Mr.)</w:t>
      </w:r>
      <w:r w:rsidRPr="001C4BE4">
        <w:rPr>
          <w:szCs w:val="22"/>
        </w:rPr>
        <w:t>, First Secretary, Permanent Mission, Geneva</w:t>
      </w:r>
    </w:p>
    <w:p w14:paraId="058FD901" w14:textId="77777777" w:rsidR="001C4BE4" w:rsidRPr="001C4BE4" w:rsidRDefault="001C4BE4" w:rsidP="001C4BE4">
      <w:pPr>
        <w:rPr>
          <w:szCs w:val="22"/>
        </w:rPr>
      </w:pPr>
    </w:p>
    <w:p w14:paraId="7A84A0D3" w14:textId="77777777" w:rsidR="00FA5A7A" w:rsidRDefault="00FA5A7A" w:rsidP="001C4BE4">
      <w:pPr>
        <w:rPr>
          <w:szCs w:val="22"/>
          <w:u w:val="single"/>
        </w:rPr>
      </w:pPr>
    </w:p>
    <w:p w14:paraId="4D1AB7F6" w14:textId="77777777" w:rsidR="001C4BE4" w:rsidRPr="001C4BE4" w:rsidRDefault="001C4BE4" w:rsidP="001C4BE4">
      <w:pPr>
        <w:rPr>
          <w:szCs w:val="22"/>
          <w:u w:val="single"/>
        </w:rPr>
      </w:pPr>
      <w:r w:rsidRPr="001C4BE4">
        <w:rPr>
          <w:szCs w:val="22"/>
          <w:u w:val="single"/>
        </w:rPr>
        <w:t>GHANA</w:t>
      </w:r>
    </w:p>
    <w:p w14:paraId="15103535" w14:textId="77777777" w:rsidR="001C4BE4" w:rsidRPr="001C4BE4" w:rsidRDefault="001C4BE4" w:rsidP="001C4BE4">
      <w:pPr>
        <w:rPr>
          <w:szCs w:val="22"/>
          <w:u w:val="single"/>
        </w:rPr>
      </w:pPr>
    </w:p>
    <w:p w14:paraId="29D5E7C1" w14:textId="68AA22A4" w:rsidR="001C4BE4" w:rsidRPr="001C4BE4" w:rsidRDefault="001C4BE4" w:rsidP="001C4BE4">
      <w:pPr>
        <w:rPr>
          <w:szCs w:val="22"/>
        </w:rPr>
      </w:pPr>
      <w:r w:rsidRPr="001C4BE4">
        <w:rPr>
          <w:szCs w:val="22"/>
        </w:rPr>
        <w:t>Alexander Grant NTRAKWA</w:t>
      </w:r>
      <w:r w:rsidR="00A15441">
        <w:rPr>
          <w:szCs w:val="22"/>
        </w:rPr>
        <w:t xml:space="preserve"> (Mr.)</w:t>
      </w:r>
      <w:r w:rsidRPr="001C4BE4">
        <w:rPr>
          <w:szCs w:val="22"/>
        </w:rPr>
        <w:t>, Minister, Deputy Permanent Representative, Permanent Mission, Geneva</w:t>
      </w:r>
    </w:p>
    <w:p w14:paraId="0E28A51E" w14:textId="77777777" w:rsidR="001C4BE4" w:rsidRPr="001C4BE4" w:rsidRDefault="001C4BE4" w:rsidP="001C4BE4">
      <w:pPr>
        <w:rPr>
          <w:szCs w:val="22"/>
        </w:rPr>
      </w:pPr>
    </w:p>
    <w:p w14:paraId="485326BF" w14:textId="2F01E97B" w:rsidR="001C4BE4" w:rsidRPr="001C4BE4" w:rsidRDefault="001C4BE4" w:rsidP="001C4BE4">
      <w:pPr>
        <w:rPr>
          <w:szCs w:val="22"/>
        </w:rPr>
      </w:pPr>
      <w:r w:rsidRPr="001C4BE4">
        <w:rPr>
          <w:szCs w:val="22"/>
        </w:rPr>
        <w:t>Paul KURUK</w:t>
      </w:r>
      <w:r w:rsidR="00A15441">
        <w:rPr>
          <w:szCs w:val="22"/>
        </w:rPr>
        <w:t xml:space="preserve"> (Mr.)</w:t>
      </w:r>
      <w:r w:rsidRPr="001C4BE4">
        <w:rPr>
          <w:szCs w:val="22"/>
        </w:rPr>
        <w:t>, Executive Director, Institute for African Development (INADEV), Accra</w:t>
      </w:r>
    </w:p>
    <w:p w14:paraId="390245BA" w14:textId="77777777" w:rsidR="001C4BE4" w:rsidRPr="001C4BE4" w:rsidRDefault="001C4BE4" w:rsidP="001C4BE4">
      <w:pPr>
        <w:rPr>
          <w:szCs w:val="22"/>
        </w:rPr>
      </w:pPr>
    </w:p>
    <w:p w14:paraId="2739D055" w14:textId="40D8B4B1" w:rsidR="001C4BE4" w:rsidRPr="001C4BE4" w:rsidRDefault="001C4BE4" w:rsidP="001C4BE4">
      <w:pPr>
        <w:rPr>
          <w:szCs w:val="22"/>
        </w:rPr>
      </w:pPr>
      <w:r w:rsidRPr="001C4BE4">
        <w:rPr>
          <w:szCs w:val="22"/>
        </w:rPr>
        <w:t>Joseph OWUSU-ANSAH</w:t>
      </w:r>
      <w:r w:rsidR="00A15441">
        <w:rPr>
          <w:szCs w:val="22"/>
        </w:rPr>
        <w:t xml:space="preserve"> (Mr.)</w:t>
      </w:r>
      <w:r w:rsidRPr="001C4BE4">
        <w:rPr>
          <w:szCs w:val="22"/>
        </w:rPr>
        <w:t>, Counsellor, Permanent Mission, Geneva</w:t>
      </w:r>
    </w:p>
    <w:p w14:paraId="6FFA0599" w14:textId="77777777" w:rsidR="001C4BE4" w:rsidRPr="001C4BE4" w:rsidRDefault="001C4BE4" w:rsidP="001C4BE4">
      <w:pPr>
        <w:rPr>
          <w:szCs w:val="22"/>
        </w:rPr>
      </w:pPr>
    </w:p>
    <w:p w14:paraId="65B5ABAD" w14:textId="77777777" w:rsidR="001C4BE4" w:rsidRPr="001C4BE4" w:rsidRDefault="001C4BE4" w:rsidP="001C4BE4">
      <w:pPr>
        <w:rPr>
          <w:szCs w:val="22"/>
        </w:rPr>
      </w:pPr>
    </w:p>
    <w:p w14:paraId="0587F7AC" w14:textId="77777777" w:rsidR="001C4BE4" w:rsidRPr="00C40D5D" w:rsidRDefault="001C4BE4" w:rsidP="001C4BE4">
      <w:pPr>
        <w:rPr>
          <w:szCs w:val="22"/>
          <w:u w:val="single"/>
          <w:lang w:val="es-ES"/>
        </w:rPr>
      </w:pPr>
      <w:r w:rsidRPr="00C40D5D">
        <w:rPr>
          <w:szCs w:val="22"/>
          <w:u w:val="single"/>
          <w:lang w:val="es-ES"/>
        </w:rPr>
        <w:t>GUATEMALA</w:t>
      </w:r>
    </w:p>
    <w:p w14:paraId="4C354392" w14:textId="77777777" w:rsidR="001C4BE4" w:rsidRPr="00C40D5D" w:rsidRDefault="001C4BE4" w:rsidP="001C4BE4">
      <w:pPr>
        <w:rPr>
          <w:szCs w:val="22"/>
          <w:u w:val="single"/>
          <w:lang w:val="es-ES"/>
        </w:rPr>
      </w:pPr>
    </w:p>
    <w:p w14:paraId="326E19D2" w14:textId="77777777" w:rsidR="001C4BE4" w:rsidRPr="001C4BE4" w:rsidRDefault="001C4BE4" w:rsidP="001C4BE4">
      <w:pPr>
        <w:rPr>
          <w:szCs w:val="22"/>
          <w:lang w:val="es-ES"/>
        </w:rPr>
      </w:pPr>
      <w:r w:rsidRPr="00C40D5D">
        <w:rPr>
          <w:szCs w:val="22"/>
          <w:lang w:val="es-ES"/>
        </w:rPr>
        <w:t>Gabriela MARTÍNEZ QUIROA (Sra.), Encargada, Cooper</w:t>
      </w:r>
      <w:r w:rsidRPr="001C4BE4">
        <w:rPr>
          <w:szCs w:val="22"/>
          <w:lang w:val="es-ES"/>
        </w:rPr>
        <w:t>ación Interinstitucional Internacional, Registro de la Propiedad Intelectual, Ministerio de Economía, Ciudad de Guatemala</w:t>
      </w:r>
    </w:p>
    <w:p w14:paraId="44E168B4" w14:textId="77777777" w:rsidR="001C4BE4" w:rsidRPr="001C4BE4" w:rsidRDefault="001C4BE4" w:rsidP="001C4BE4">
      <w:pPr>
        <w:rPr>
          <w:szCs w:val="22"/>
          <w:lang w:val="es-ES"/>
        </w:rPr>
      </w:pPr>
    </w:p>
    <w:p w14:paraId="167A8BF2" w14:textId="77777777" w:rsidR="001C4BE4" w:rsidRPr="001C4BE4" w:rsidRDefault="001C4BE4" w:rsidP="001C4BE4">
      <w:pPr>
        <w:rPr>
          <w:szCs w:val="22"/>
          <w:lang w:val="es-ES"/>
        </w:rPr>
      </w:pPr>
      <w:r w:rsidRPr="001C4BE4">
        <w:rPr>
          <w:szCs w:val="22"/>
          <w:lang w:val="es-ES"/>
        </w:rPr>
        <w:t>Flor de María GARCÍA DÍAZ (Sra.), Consejera, Misión Permanente, Ginebra</w:t>
      </w:r>
    </w:p>
    <w:p w14:paraId="7657927C" w14:textId="77777777" w:rsidR="001C4BE4" w:rsidRPr="00737182" w:rsidRDefault="001C4BE4" w:rsidP="001C4BE4">
      <w:pPr>
        <w:rPr>
          <w:szCs w:val="22"/>
          <w:lang w:val="fr-FR"/>
        </w:rPr>
      </w:pPr>
      <w:r w:rsidRPr="00737182">
        <w:rPr>
          <w:szCs w:val="22"/>
          <w:u w:val="single"/>
          <w:lang w:val="fr-FR"/>
        </w:rPr>
        <w:t xml:space="preserve">flor.garcia@wtoguatemala.ch </w:t>
      </w:r>
    </w:p>
    <w:p w14:paraId="189B9B81" w14:textId="77777777" w:rsidR="001C4BE4" w:rsidRPr="00737182" w:rsidRDefault="001C4BE4" w:rsidP="001C4BE4">
      <w:pPr>
        <w:rPr>
          <w:szCs w:val="22"/>
          <w:u w:val="single"/>
          <w:lang w:val="fr-FR"/>
        </w:rPr>
      </w:pPr>
    </w:p>
    <w:p w14:paraId="24A97277" w14:textId="77777777" w:rsidR="00E700DB" w:rsidRPr="00737182" w:rsidRDefault="00E700DB" w:rsidP="001C4BE4">
      <w:pPr>
        <w:rPr>
          <w:szCs w:val="22"/>
          <w:u w:val="single"/>
          <w:lang w:val="fr-FR"/>
        </w:rPr>
      </w:pPr>
    </w:p>
    <w:p w14:paraId="13990777" w14:textId="77777777" w:rsidR="00E700DB" w:rsidRPr="00E700DB" w:rsidRDefault="00E700DB" w:rsidP="00E700DB">
      <w:pPr>
        <w:rPr>
          <w:szCs w:val="22"/>
          <w:u w:val="single"/>
          <w:lang w:val="fr-FR"/>
        </w:rPr>
      </w:pPr>
      <w:r w:rsidRPr="00E700DB">
        <w:rPr>
          <w:szCs w:val="22"/>
          <w:u w:val="single"/>
          <w:lang w:val="fr-FR"/>
        </w:rPr>
        <w:t>GUINÉE/GUINEA</w:t>
      </w:r>
    </w:p>
    <w:p w14:paraId="70C0179A" w14:textId="77777777" w:rsidR="00E700DB" w:rsidRPr="00E700DB" w:rsidRDefault="00E700DB" w:rsidP="00E700DB">
      <w:pPr>
        <w:rPr>
          <w:szCs w:val="22"/>
          <w:u w:val="single"/>
          <w:lang w:val="fr-FR"/>
        </w:rPr>
      </w:pPr>
    </w:p>
    <w:p w14:paraId="145651B4" w14:textId="6744DD28" w:rsidR="00E700DB" w:rsidRPr="00E700DB" w:rsidRDefault="00E700DB" w:rsidP="00E700DB">
      <w:pPr>
        <w:rPr>
          <w:szCs w:val="22"/>
          <w:lang w:val="fr-FR"/>
        </w:rPr>
      </w:pPr>
      <w:r>
        <w:rPr>
          <w:szCs w:val="22"/>
          <w:lang w:val="fr-FR"/>
        </w:rPr>
        <w:t>Djibril KAKE</w:t>
      </w:r>
      <w:r w:rsidR="00B02ED8">
        <w:rPr>
          <w:szCs w:val="22"/>
          <w:lang w:val="fr-FR"/>
        </w:rPr>
        <w:t xml:space="preserve"> (M.)</w:t>
      </w:r>
      <w:r>
        <w:rPr>
          <w:szCs w:val="22"/>
          <w:lang w:val="fr-FR"/>
        </w:rPr>
        <w:t>, a</w:t>
      </w:r>
      <w:r w:rsidRPr="00E700DB">
        <w:rPr>
          <w:szCs w:val="22"/>
          <w:lang w:val="fr-FR"/>
        </w:rPr>
        <w:t>ttaché</w:t>
      </w:r>
      <w:r>
        <w:rPr>
          <w:szCs w:val="22"/>
          <w:lang w:val="fr-FR"/>
        </w:rPr>
        <w:t>, C</w:t>
      </w:r>
      <w:r w:rsidRPr="00E700DB">
        <w:rPr>
          <w:szCs w:val="22"/>
          <w:lang w:val="fr-FR"/>
        </w:rPr>
        <w:t>abinet du ministère, Ministère de la culture, des sports et du patrimoine historique, Conakry</w:t>
      </w:r>
    </w:p>
    <w:p w14:paraId="4E892973" w14:textId="77777777" w:rsidR="001C4BE4" w:rsidRPr="00E700DB" w:rsidRDefault="001C4BE4" w:rsidP="001C4BE4">
      <w:pPr>
        <w:rPr>
          <w:szCs w:val="22"/>
          <w:u w:val="single"/>
          <w:lang w:val="fr-FR"/>
        </w:rPr>
      </w:pPr>
    </w:p>
    <w:p w14:paraId="7F08106B" w14:textId="77777777" w:rsidR="00E700DB" w:rsidRPr="00E700DB" w:rsidRDefault="00E700DB" w:rsidP="001C4BE4">
      <w:pPr>
        <w:rPr>
          <w:szCs w:val="22"/>
          <w:u w:val="single"/>
          <w:lang w:val="fr-FR"/>
        </w:rPr>
      </w:pPr>
    </w:p>
    <w:p w14:paraId="736ACB6F" w14:textId="77777777" w:rsidR="001C4BE4" w:rsidRPr="001C4BE4" w:rsidRDefault="001C4BE4" w:rsidP="001C4BE4">
      <w:pPr>
        <w:rPr>
          <w:szCs w:val="22"/>
          <w:u w:val="single"/>
        </w:rPr>
      </w:pPr>
      <w:r w:rsidRPr="001C4BE4">
        <w:rPr>
          <w:szCs w:val="22"/>
          <w:u w:val="single"/>
        </w:rPr>
        <w:t>HONGRIE/HUNGARY</w:t>
      </w:r>
    </w:p>
    <w:p w14:paraId="630B572F" w14:textId="77777777" w:rsidR="001C4BE4" w:rsidRPr="001C4BE4" w:rsidRDefault="001C4BE4" w:rsidP="001C4BE4">
      <w:pPr>
        <w:rPr>
          <w:szCs w:val="22"/>
          <w:u w:val="single"/>
        </w:rPr>
      </w:pPr>
    </w:p>
    <w:p w14:paraId="451C9BA3" w14:textId="10B8F796" w:rsidR="001C4BE4" w:rsidRPr="001C4BE4" w:rsidRDefault="001C4BE4" w:rsidP="001C4BE4">
      <w:pPr>
        <w:rPr>
          <w:szCs w:val="22"/>
        </w:rPr>
      </w:pPr>
      <w:proofErr w:type="spellStart"/>
      <w:r w:rsidRPr="001C4BE4">
        <w:rPr>
          <w:szCs w:val="22"/>
        </w:rPr>
        <w:t>Péter</w:t>
      </w:r>
      <w:proofErr w:type="spellEnd"/>
      <w:r w:rsidRPr="001C4BE4">
        <w:rPr>
          <w:szCs w:val="22"/>
        </w:rPr>
        <w:t xml:space="preserve"> MUNKÁCSI</w:t>
      </w:r>
      <w:r w:rsidR="00B02ED8">
        <w:rPr>
          <w:szCs w:val="22"/>
        </w:rPr>
        <w:t xml:space="preserve"> (Mr.)</w:t>
      </w:r>
      <w:r w:rsidRPr="001C4BE4">
        <w:rPr>
          <w:szCs w:val="22"/>
        </w:rPr>
        <w:t>, Senior Adviser, Department for Codification of Competition, Consumer Protection and Intellectual Property, Ministry of Justice, Budapest</w:t>
      </w:r>
    </w:p>
    <w:p w14:paraId="758B95D3" w14:textId="77777777" w:rsidR="001C4BE4" w:rsidRPr="001C4BE4" w:rsidRDefault="001C4BE4" w:rsidP="001C4BE4">
      <w:pPr>
        <w:rPr>
          <w:szCs w:val="22"/>
        </w:rPr>
      </w:pPr>
      <w:r w:rsidRPr="001C4BE4">
        <w:rPr>
          <w:szCs w:val="22"/>
          <w:u w:val="single"/>
        </w:rPr>
        <w:t xml:space="preserve">peter.munkacsi@im.gov.hu </w:t>
      </w:r>
    </w:p>
    <w:p w14:paraId="06FFC926" w14:textId="77777777" w:rsidR="001C4BE4" w:rsidRPr="001C4BE4" w:rsidRDefault="001C4BE4" w:rsidP="001C4BE4">
      <w:pPr>
        <w:rPr>
          <w:szCs w:val="22"/>
        </w:rPr>
      </w:pPr>
    </w:p>
    <w:p w14:paraId="1DD47645" w14:textId="77777777" w:rsidR="001C4BE4" w:rsidRPr="001C4BE4" w:rsidRDefault="001C4BE4" w:rsidP="001C4BE4">
      <w:pPr>
        <w:rPr>
          <w:szCs w:val="22"/>
        </w:rPr>
      </w:pPr>
    </w:p>
    <w:p w14:paraId="7ACA0922" w14:textId="77777777" w:rsidR="001C4BE4" w:rsidRPr="001C4BE4" w:rsidRDefault="001C4BE4" w:rsidP="001C4BE4">
      <w:pPr>
        <w:rPr>
          <w:szCs w:val="22"/>
          <w:u w:val="single"/>
        </w:rPr>
      </w:pPr>
      <w:r w:rsidRPr="001C4BE4">
        <w:rPr>
          <w:szCs w:val="22"/>
          <w:u w:val="single"/>
        </w:rPr>
        <w:t>INDE/INDIA</w:t>
      </w:r>
    </w:p>
    <w:p w14:paraId="33CD55EA" w14:textId="77777777" w:rsidR="001C4BE4" w:rsidRPr="001C4BE4" w:rsidRDefault="001C4BE4" w:rsidP="001C4BE4">
      <w:pPr>
        <w:rPr>
          <w:szCs w:val="22"/>
          <w:u w:val="single"/>
        </w:rPr>
      </w:pPr>
    </w:p>
    <w:p w14:paraId="6765AF86" w14:textId="22FEEDD7" w:rsidR="001C4BE4" w:rsidRPr="001C4BE4" w:rsidRDefault="001C4BE4" w:rsidP="001C4BE4">
      <w:pPr>
        <w:rPr>
          <w:szCs w:val="22"/>
        </w:rPr>
      </w:pPr>
      <w:proofErr w:type="spellStart"/>
      <w:r w:rsidRPr="001C4BE4">
        <w:rPr>
          <w:szCs w:val="22"/>
        </w:rPr>
        <w:t>Virander</w:t>
      </w:r>
      <w:proofErr w:type="spellEnd"/>
      <w:r w:rsidRPr="001C4BE4">
        <w:rPr>
          <w:szCs w:val="22"/>
        </w:rPr>
        <w:t xml:space="preserve"> PAUL</w:t>
      </w:r>
      <w:r w:rsidR="00B02ED8">
        <w:rPr>
          <w:szCs w:val="22"/>
        </w:rPr>
        <w:t xml:space="preserve"> (Mr.)</w:t>
      </w:r>
      <w:r w:rsidRPr="001C4BE4">
        <w:rPr>
          <w:szCs w:val="22"/>
        </w:rPr>
        <w:t>, Ambassador, Deputy Permanent Representative, Permanent Mission, Geneva</w:t>
      </w:r>
    </w:p>
    <w:p w14:paraId="430B8664" w14:textId="77777777" w:rsidR="001C4BE4" w:rsidRPr="001C4BE4" w:rsidRDefault="001C4BE4" w:rsidP="001C4BE4">
      <w:pPr>
        <w:rPr>
          <w:szCs w:val="22"/>
        </w:rPr>
      </w:pPr>
    </w:p>
    <w:p w14:paraId="33985232" w14:textId="77777777" w:rsidR="0040115A" w:rsidRDefault="0040115A" w:rsidP="001C4BE4">
      <w:pPr>
        <w:rPr>
          <w:szCs w:val="22"/>
        </w:rPr>
      </w:pPr>
    </w:p>
    <w:p w14:paraId="75960860" w14:textId="77777777" w:rsidR="001C4BE4" w:rsidRPr="001C4BE4" w:rsidRDefault="001C4BE4" w:rsidP="001C4BE4">
      <w:pPr>
        <w:rPr>
          <w:szCs w:val="22"/>
        </w:rPr>
      </w:pPr>
      <w:proofErr w:type="spellStart"/>
      <w:r w:rsidRPr="001C4BE4">
        <w:rPr>
          <w:szCs w:val="22"/>
        </w:rPr>
        <w:t>Surabhi</w:t>
      </w:r>
      <w:proofErr w:type="spellEnd"/>
      <w:r w:rsidRPr="001C4BE4">
        <w:rPr>
          <w:szCs w:val="22"/>
        </w:rPr>
        <w:t xml:space="preserve"> SHARMA (Ms.), Deputy Secretary, Department of Industrial Policy and Promotion, Ministry of Commerce and Industry, New Delhi</w:t>
      </w:r>
    </w:p>
    <w:p w14:paraId="17CC3E44" w14:textId="77777777" w:rsidR="001C4BE4" w:rsidRPr="001C4BE4" w:rsidRDefault="001C4BE4" w:rsidP="001C4BE4">
      <w:pPr>
        <w:rPr>
          <w:szCs w:val="22"/>
        </w:rPr>
      </w:pPr>
      <w:r w:rsidRPr="001C4BE4">
        <w:rPr>
          <w:szCs w:val="22"/>
          <w:u w:val="single"/>
        </w:rPr>
        <w:t xml:space="preserve">surabhi.sharma@nic.in </w:t>
      </w:r>
    </w:p>
    <w:p w14:paraId="117D860E" w14:textId="77777777" w:rsidR="001C4BE4" w:rsidRPr="001C4BE4" w:rsidRDefault="001C4BE4" w:rsidP="001C4BE4">
      <w:pPr>
        <w:rPr>
          <w:szCs w:val="22"/>
        </w:rPr>
      </w:pPr>
    </w:p>
    <w:p w14:paraId="178C8847" w14:textId="2AE1727D" w:rsidR="001C4BE4" w:rsidRPr="001C4BE4" w:rsidRDefault="001C4BE4" w:rsidP="001C4BE4">
      <w:pPr>
        <w:rPr>
          <w:szCs w:val="22"/>
        </w:rPr>
      </w:pPr>
      <w:proofErr w:type="spellStart"/>
      <w:r w:rsidRPr="001C4BE4">
        <w:rPr>
          <w:szCs w:val="22"/>
        </w:rPr>
        <w:t>Sumit</w:t>
      </w:r>
      <w:proofErr w:type="spellEnd"/>
      <w:r w:rsidRPr="001C4BE4">
        <w:rPr>
          <w:szCs w:val="22"/>
        </w:rPr>
        <w:t xml:space="preserve"> SETH</w:t>
      </w:r>
      <w:r w:rsidR="00B02ED8">
        <w:rPr>
          <w:szCs w:val="22"/>
        </w:rPr>
        <w:t xml:space="preserve"> (Mr.)</w:t>
      </w:r>
      <w:r w:rsidRPr="001C4BE4">
        <w:rPr>
          <w:szCs w:val="22"/>
        </w:rPr>
        <w:t>, First Secretary, Permanent Mission, Geneva</w:t>
      </w:r>
    </w:p>
    <w:p w14:paraId="0554C052" w14:textId="77777777" w:rsidR="001C4BE4" w:rsidRPr="001C4BE4" w:rsidRDefault="001C4BE4" w:rsidP="001C4BE4">
      <w:pPr>
        <w:rPr>
          <w:szCs w:val="22"/>
        </w:rPr>
      </w:pPr>
    </w:p>
    <w:p w14:paraId="1F62C9EE" w14:textId="77777777" w:rsidR="001C4BE4" w:rsidRPr="001C4BE4" w:rsidRDefault="001C4BE4" w:rsidP="001C4BE4">
      <w:pPr>
        <w:rPr>
          <w:szCs w:val="22"/>
        </w:rPr>
      </w:pPr>
    </w:p>
    <w:p w14:paraId="2BE97585" w14:textId="77777777" w:rsidR="001C4BE4" w:rsidRPr="001C4BE4" w:rsidRDefault="001C4BE4" w:rsidP="001C4BE4">
      <w:pPr>
        <w:rPr>
          <w:szCs w:val="22"/>
          <w:u w:val="single"/>
        </w:rPr>
      </w:pPr>
      <w:r w:rsidRPr="001C4BE4">
        <w:rPr>
          <w:szCs w:val="22"/>
          <w:u w:val="single"/>
        </w:rPr>
        <w:t>INDONÉSIE/INDONESIA</w:t>
      </w:r>
    </w:p>
    <w:p w14:paraId="364E42CA" w14:textId="77777777" w:rsidR="001C4BE4" w:rsidRPr="001C4BE4" w:rsidRDefault="001C4BE4" w:rsidP="001C4BE4">
      <w:pPr>
        <w:rPr>
          <w:szCs w:val="22"/>
          <w:u w:val="single"/>
        </w:rPr>
      </w:pPr>
    </w:p>
    <w:p w14:paraId="73650031" w14:textId="25F1E5A0" w:rsidR="001C4BE4" w:rsidRPr="001C4BE4" w:rsidRDefault="001C4BE4" w:rsidP="001C4BE4">
      <w:pPr>
        <w:rPr>
          <w:szCs w:val="22"/>
        </w:rPr>
      </w:pPr>
      <w:r w:rsidRPr="001C4BE4">
        <w:rPr>
          <w:szCs w:val="22"/>
        </w:rPr>
        <w:t xml:space="preserve">Robert </w:t>
      </w:r>
      <w:proofErr w:type="spellStart"/>
      <w:r w:rsidRPr="001C4BE4">
        <w:rPr>
          <w:szCs w:val="22"/>
        </w:rPr>
        <w:t>Matteus</w:t>
      </w:r>
      <w:proofErr w:type="spellEnd"/>
      <w:r w:rsidRPr="001C4BE4">
        <w:rPr>
          <w:szCs w:val="22"/>
        </w:rPr>
        <w:t xml:space="preserve"> Michael TENE</w:t>
      </w:r>
      <w:r w:rsidR="00B02ED8">
        <w:rPr>
          <w:szCs w:val="22"/>
        </w:rPr>
        <w:t xml:space="preserve"> (Mr.)</w:t>
      </w:r>
      <w:r w:rsidRPr="001C4BE4">
        <w:rPr>
          <w:szCs w:val="22"/>
        </w:rPr>
        <w:t>, Ambassador, Permanent Representative, Permanent Mission, Geneva</w:t>
      </w:r>
    </w:p>
    <w:p w14:paraId="04C55C94" w14:textId="77777777" w:rsidR="001C4BE4" w:rsidRPr="001C4BE4" w:rsidRDefault="001C4BE4" w:rsidP="001C4BE4">
      <w:pPr>
        <w:rPr>
          <w:szCs w:val="22"/>
        </w:rPr>
      </w:pPr>
    </w:p>
    <w:p w14:paraId="227D4826" w14:textId="77777777" w:rsidR="001C4BE4" w:rsidRPr="001C4BE4" w:rsidRDefault="001C4BE4" w:rsidP="001C4BE4">
      <w:pPr>
        <w:rPr>
          <w:szCs w:val="22"/>
        </w:rPr>
      </w:pPr>
      <w:proofErr w:type="spellStart"/>
      <w:r w:rsidRPr="001C4BE4">
        <w:rPr>
          <w:szCs w:val="22"/>
        </w:rPr>
        <w:t>Erni</w:t>
      </w:r>
      <w:proofErr w:type="spellEnd"/>
      <w:r w:rsidRPr="001C4BE4">
        <w:rPr>
          <w:szCs w:val="22"/>
        </w:rPr>
        <w:t xml:space="preserve"> WIDHYASTARI (Ms.), Director, Directorate of Copyright and Industrial Design, Directorate General of Intellectual Property (DGIP), Ministry Law and Human Rights, Jakarta</w:t>
      </w:r>
    </w:p>
    <w:p w14:paraId="3B459DFD" w14:textId="77777777" w:rsidR="001C4BE4" w:rsidRPr="001C4BE4" w:rsidRDefault="001C4BE4" w:rsidP="001C4BE4">
      <w:pPr>
        <w:rPr>
          <w:szCs w:val="22"/>
        </w:rPr>
      </w:pPr>
    </w:p>
    <w:p w14:paraId="78CAD7FC" w14:textId="77777777" w:rsidR="001C4BE4" w:rsidRPr="001C4BE4" w:rsidRDefault="001C4BE4" w:rsidP="001C4BE4">
      <w:pPr>
        <w:rPr>
          <w:szCs w:val="22"/>
        </w:rPr>
      </w:pPr>
      <w:proofErr w:type="spellStart"/>
      <w:r w:rsidRPr="001C4BE4">
        <w:rPr>
          <w:szCs w:val="22"/>
        </w:rPr>
        <w:t>Ika</w:t>
      </w:r>
      <w:proofErr w:type="spellEnd"/>
      <w:r w:rsidRPr="001C4BE4">
        <w:rPr>
          <w:szCs w:val="22"/>
        </w:rPr>
        <w:t xml:space="preserve"> KURNIAWATI (Ms.), Head, Intellectual Property Empowerment Division, Directorate of Cooperation and Empowerment of Intellectual Property, Directorate General of Intellectual Property, Ministry of Law and Human Rights, Jakarta</w:t>
      </w:r>
    </w:p>
    <w:p w14:paraId="18CCE007" w14:textId="77777777" w:rsidR="001C4BE4" w:rsidRPr="001C4BE4" w:rsidRDefault="001C4BE4" w:rsidP="001C4BE4">
      <w:pPr>
        <w:rPr>
          <w:szCs w:val="22"/>
        </w:rPr>
      </w:pPr>
    </w:p>
    <w:p w14:paraId="06BB1B3A" w14:textId="77777777" w:rsidR="001C4BE4" w:rsidRPr="001C4BE4" w:rsidRDefault="001C4BE4" w:rsidP="001C4BE4">
      <w:pPr>
        <w:rPr>
          <w:szCs w:val="22"/>
        </w:rPr>
      </w:pPr>
      <w:proofErr w:type="spellStart"/>
      <w:r w:rsidRPr="001C4BE4">
        <w:rPr>
          <w:szCs w:val="22"/>
        </w:rPr>
        <w:t>Irni</w:t>
      </w:r>
      <w:proofErr w:type="spellEnd"/>
      <w:r w:rsidRPr="001C4BE4">
        <w:rPr>
          <w:szCs w:val="22"/>
        </w:rPr>
        <w:t xml:space="preserve"> YUSLIANTI (Ms.), Head, International Organization Cooperation Section, Directorate of Cooperation and Empowerment of Intellectual Property, Directorate General of Intellectual Property, Ministry of Law and Human Rights, Jakarta</w:t>
      </w:r>
    </w:p>
    <w:p w14:paraId="531039C4" w14:textId="77777777" w:rsidR="001C4BE4" w:rsidRPr="001C4BE4" w:rsidRDefault="001C4BE4" w:rsidP="001C4BE4">
      <w:pPr>
        <w:rPr>
          <w:szCs w:val="22"/>
        </w:rPr>
      </w:pPr>
    </w:p>
    <w:p w14:paraId="3084E8CC" w14:textId="77777777" w:rsidR="001C4BE4" w:rsidRPr="001C4BE4" w:rsidRDefault="001C4BE4" w:rsidP="001C4BE4">
      <w:pPr>
        <w:rPr>
          <w:szCs w:val="22"/>
        </w:rPr>
      </w:pPr>
      <w:r w:rsidRPr="001C4BE4">
        <w:rPr>
          <w:szCs w:val="22"/>
        </w:rPr>
        <w:t xml:space="preserve">Ni </w:t>
      </w:r>
      <w:proofErr w:type="spellStart"/>
      <w:r w:rsidRPr="001C4BE4">
        <w:rPr>
          <w:szCs w:val="22"/>
        </w:rPr>
        <w:t>Putu</w:t>
      </w:r>
      <w:proofErr w:type="spellEnd"/>
      <w:r w:rsidRPr="001C4BE4">
        <w:rPr>
          <w:szCs w:val="22"/>
        </w:rPr>
        <w:t xml:space="preserve"> ANGGRAENI (Ms.), Legal Adviser, Directorate of Legal Affairs and Economic Treaty, Ministry of Foreign Affairs, Jakarta</w:t>
      </w:r>
    </w:p>
    <w:p w14:paraId="75E3B6B8" w14:textId="77777777" w:rsidR="001C4BE4" w:rsidRPr="001C4BE4" w:rsidRDefault="001C4BE4" w:rsidP="001C4BE4">
      <w:pPr>
        <w:rPr>
          <w:szCs w:val="22"/>
        </w:rPr>
      </w:pPr>
      <w:r w:rsidRPr="001C4BE4">
        <w:rPr>
          <w:szCs w:val="22"/>
          <w:u w:val="single"/>
        </w:rPr>
        <w:t xml:space="preserve">niputu.anggraeni@kemlu.go.id </w:t>
      </w:r>
    </w:p>
    <w:p w14:paraId="3BE59E2A" w14:textId="77777777" w:rsidR="001C4BE4" w:rsidRPr="001C4BE4" w:rsidRDefault="001C4BE4" w:rsidP="001C4BE4">
      <w:pPr>
        <w:rPr>
          <w:szCs w:val="22"/>
        </w:rPr>
      </w:pPr>
    </w:p>
    <w:p w14:paraId="72F18BB2" w14:textId="28F6BF85" w:rsidR="001C4BE4" w:rsidRPr="001C4BE4" w:rsidRDefault="001C4BE4" w:rsidP="001C4BE4">
      <w:pPr>
        <w:rPr>
          <w:szCs w:val="22"/>
        </w:rPr>
      </w:pPr>
      <w:proofErr w:type="spellStart"/>
      <w:r w:rsidRPr="001C4BE4">
        <w:rPr>
          <w:szCs w:val="22"/>
        </w:rPr>
        <w:t>Nugroho</w:t>
      </w:r>
      <w:proofErr w:type="spellEnd"/>
      <w:r w:rsidRPr="001C4BE4">
        <w:rPr>
          <w:szCs w:val="22"/>
        </w:rPr>
        <w:t xml:space="preserve"> MUJIANTO</w:t>
      </w:r>
      <w:r w:rsidR="00B02ED8">
        <w:rPr>
          <w:szCs w:val="22"/>
        </w:rPr>
        <w:t xml:space="preserve"> (Mr.)</w:t>
      </w:r>
      <w:r w:rsidRPr="001C4BE4">
        <w:rPr>
          <w:szCs w:val="22"/>
        </w:rPr>
        <w:t>, Adviser, International Organization Affairs, Coordinating Ministry for Political, Law and Security Affairs, Jakarta</w:t>
      </w:r>
    </w:p>
    <w:p w14:paraId="37890EB8" w14:textId="77777777" w:rsidR="001C4BE4" w:rsidRPr="001C4BE4" w:rsidRDefault="001C4BE4" w:rsidP="001C4BE4">
      <w:pPr>
        <w:rPr>
          <w:szCs w:val="22"/>
        </w:rPr>
      </w:pPr>
    </w:p>
    <w:p w14:paraId="200687C8" w14:textId="25B8B9C1" w:rsidR="001C4BE4" w:rsidRPr="001C4BE4" w:rsidRDefault="001C4BE4" w:rsidP="001C4BE4">
      <w:pPr>
        <w:rPr>
          <w:szCs w:val="22"/>
        </w:rPr>
      </w:pPr>
      <w:proofErr w:type="spellStart"/>
      <w:r w:rsidRPr="001C4BE4">
        <w:rPr>
          <w:szCs w:val="22"/>
        </w:rPr>
        <w:t>Erry</w:t>
      </w:r>
      <w:proofErr w:type="spellEnd"/>
      <w:r w:rsidRPr="001C4BE4">
        <w:rPr>
          <w:szCs w:val="22"/>
        </w:rPr>
        <w:t xml:space="preserve"> </w:t>
      </w:r>
      <w:proofErr w:type="spellStart"/>
      <w:r w:rsidRPr="001C4BE4">
        <w:rPr>
          <w:szCs w:val="22"/>
        </w:rPr>
        <w:t>Wahyu</w:t>
      </w:r>
      <w:proofErr w:type="spellEnd"/>
      <w:r w:rsidRPr="001C4BE4">
        <w:rPr>
          <w:szCs w:val="22"/>
        </w:rPr>
        <w:t xml:space="preserve"> PRASETYO</w:t>
      </w:r>
      <w:r w:rsidR="00B02ED8">
        <w:rPr>
          <w:szCs w:val="22"/>
        </w:rPr>
        <w:t xml:space="preserve"> (Mr.)</w:t>
      </w:r>
      <w:r w:rsidRPr="001C4BE4">
        <w:rPr>
          <w:szCs w:val="22"/>
        </w:rPr>
        <w:t>, Third Secretary, Permanent Mission, Geneva</w:t>
      </w:r>
    </w:p>
    <w:p w14:paraId="3593BC74" w14:textId="77777777" w:rsidR="001C4BE4" w:rsidRPr="001C4BE4" w:rsidRDefault="001C4BE4" w:rsidP="001C4BE4">
      <w:pPr>
        <w:rPr>
          <w:szCs w:val="22"/>
          <w:lang w:val="fr-FR"/>
        </w:rPr>
      </w:pPr>
      <w:r w:rsidRPr="001C4BE4">
        <w:rPr>
          <w:szCs w:val="22"/>
          <w:u w:val="single"/>
          <w:lang w:val="fr-FR"/>
        </w:rPr>
        <w:t xml:space="preserve">erry.prasetyo@mission-indonesia.org </w:t>
      </w:r>
    </w:p>
    <w:p w14:paraId="7FB17BD6" w14:textId="77777777" w:rsidR="001C4BE4" w:rsidRPr="001C4BE4" w:rsidRDefault="001C4BE4" w:rsidP="001C4BE4">
      <w:pPr>
        <w:rPr>
          <w:szCs w:val="22"/>
          <w:lang w:val="fr-FR"/>
        </w:rPr>
      </w:pPr>
    </w:p>
    <w:p w14:paraId="56E8CECE" w14:textId="77777777" w:rsidR="001C4BE4" w:rsidRPr="001C4BE4" w:rsidRDefault="001C4BE4" w:rsidP="001C4BE4">
      <w:pPr>
        <w:rPr>
          <w:szCs w:val="22"/>
          <w:lang w:val="fr-FR"/>
        </w:rPr>
      </w:pPr>
    </w:p>
    <w:p w14:paraId="3C529DA9" w14:textId="77777777" w:rsidR="001C4BE4" w:rsidRPr="001C4BE4" w:rsidRDefault="0040115A" w:rsidP="001C4BE4">
      <w:pPr>
        <w:rPr>
          <w:szCs w:val="22"/>
          <w:u w:val="single"/>
          <w:lang w:val="fr-FR"/>
        </w:rPr>
      </w:pPr>
      <w:r>
        <w:rPr>
          <w:szCs w:val="22"/>
          <w:u w:val="single"/>
          <w:lang w:val="fr-FR"/>
        </w:rPr>
        <w:t>IRAN (RÉPUBLIQUE ISLAMIQUE D’</w:t>
      </w:r>
      <w:r w:rsidR="001C4BE4" w:rsidRPr="001C4BE4">
        <w:rPr>
          <w:szCs w:val="22"/>
          <w:u w:val="single"/>
          <w:lang w:val="fr-FR"/>
        </w:rPr>
        <w:t>)/IRAN (ISLAMIC REPUBLIC OF)</w:t>
      </w:r>
    </w:p>
    <w:p w14:paraId="48773AA7" w14:textId="77777777" w:rsidR="001C4BE4" w:rsidRPr="001C4BE4" w:rsidRDefault="001C4BE4" w:rsidP="001C4BE4">
      <w:pPr>
        <w:rPr>
          <w:szCs w:val="22"/>
          <w:u w:val="single"/>
          <w:lang w:val="fr-FR"/>
        </w:rPr>
      </w:pPr>
    </w:p>
    <w:p w14:paraId="211205D7" w14:textId="2E6040AC" w:rsidR="001C4BE4" w:rsidRPr="001C4BE4" w:rsidRDefault="001C4BE4" w:rsidP="001C4BE4">
      <w:pPr>
        <w:rPr>
          <w:szCs w:val="22"/>
        </w:rPr>
      </w:pPr>
      <w:r w:rsidRPr="001C4BE4">
        <w:rPr>
          <w:szCs w:val="22"/>
        </w:rPr>
        <w:t>Reza DEHGHANI</w:t>
      </w:r>
      <w:r w:rsidR="00B02ED8">
        <w:rPr>
          <w:szCs w:val="22"/>
        </w:rPr>
        <w:t xml:space="preserve"> (Mr.)</w:t>
      </w:r>
      <w:r w:rsidRPr="001C4BE4">
        <w:rPr>
          <w:szCs w:val="22"/>
        </w:rPr>
        <w:t>, First Secretary, Permanent Mission, Geneva</w:t>
      </w:r>
    </w:p>
    <w:p w14:paraId="4B76D588" w14:textId="77777777" w:rsidR="001C4BE4" w:rsidRPr="001C4BE4" w:rsidRDefault="001C4BE4" w:rsidP="001C4BE4">
      <w:pPr>
        <w:rPr>
          <w:szCs w:val="22"/>
        </w:rPr>
      </w:pPr>
    </w:p>
    <w:p w14:paraId="28EAA6BD" w14:textId="77777777" w:rsidR="001C4BE4" w:rsidRPr="001C4BE4" w:rsidRDefault="001C4BE4" w:rsidP="001C4BE4">
      <w:pPr>
        <w:rPr>
          <w:szCs w:val="22"/>
          <w:u w:val="single"/>
        </w:rPr>
      </w:pPr>
    </w:p>
    <w:p w14:paraId="4D0B5C74" w14:textId="77777777" w:rsidR="001C4BE4" w:rsidRPr="001C4BE4" w:rsidRDefault="001C4BE4" w:rsidP="001C4BE4">
      <w:pPr>
        <w:rPr>
          <w:szCs w:val="22"/>
          <w:u w:val="single"/>
        </w:rPr>
      </w:pPr>
      <w:r w:rsidRPr="001C4BE4">
        <w:rPr>
          <w:szCs w:val="22"/>
          <w:u w:val="single"/>
        </w:rPr>
        <w:t>ISRAËL/ISRAEL</w:t>
      </w:r>
    </w:p>
    <w:p w14:paraId="47E6A608" w14:textId="77777777" w:rsidR="001C4BE4" w:rsidRPr="001C4BE4" w:rsidRDefault="001C4BE4" w:rsidP="001C4BE4">
      <w:pPr>
        <w:rPr>
          <w:szCs w:val="22"/>
          <w:u w:val="single"/>
        </w:rPr>
      </w:pPr>
    </w:p>
    <w:p w14:paraId="767C5D37" w14:textId="77777777" w:rsidR="001C4BE4" w:rsidRPr="001C4BE4" w:rsidRDefault="001C4BE4" w:rsidP="001C4BE4">
      <w:pPr>
        <w:rPr>
          <w:szCs w:val="22"/>
        </w:rPr>
      </w:pPr>
      <w:r w:rsidRPr="001C4BE4">
        <w:rPr>
          <w:szCs w:val="22"/>
        </w:rPr>
        <w:t>Judith GALILEE METZER (Ms.), Counsellor, Permanent Mission, Geneva</w:t>
      </w:r>
    </w:p>
    <w:p w14:paraId="1C10FECB" w14:textId="77777777" w:rsidR="001C4BE4" w:rsidRPr="001C4BE4" w:rsidRDefault="001C4BE4" w:rsidP="001C4BE4">
      <w:pPr>
        <w:rPr>
          <w:szCs w:val="22"/>
        </w:rPr>
      </w:pPr>
    </w:p>
    <w:p w14:paraId="530B764E" w14:textId="1195D3FD" w:rsidR="001C4BE4" w:rsidRPr="001C4BE4" w:rsidRDefault="001C4BE4" w:rsidP="001C4BE4">
      <w:pPr>
        <w:rPr>
          <w:szCs w:val="22"/>
        </w:rPr>
      </w:pPr>
      <w:r w:rsidRPr="001C4BE4">
        <w:rPr>
          <w:szCs w:val="22"/>
        </w:rPr>
        <w:t>Dan ZAFRIF</w:t>
      </w:r>
      <w:r w:rsidR="00B02ED8">
        <w:rPr>
          <w:szCs w:val="22"/>
        </w:rPr>
        <w:t xml:space="preserve"> (Mr.)</w:t>
      </w:r>
      <w:r w:rsidRPr="001C4BE4">
        <w:rPr>
          <w:szCs w:val="22"/>
        </w:rPr>
        <w:t>, Adviser, Permanent Mission, Geneva</w:t>
      </w:r>
    </w:p>
    <w:p w14:paraId="79C66FE4" w14:textId="77777777" w:rsidR="001C4BE4" w:rsidRPr="001C4BE4" w:rsidRDefault="001C4BE4" w:rsidP="001C4BE4">
      <w:pPr>
        <w:rPr>
          <w:szCs w:val="22"/>
        </w:rPr>
      </w:pPr>
    </w:p>
    <w:p w14:paraId="4CBF6AB3" w14:textId="77777777" w:rsidR="001C4BE4" w:rsidRPr="001C4BE4" w:rsidRDefault="001C4BE4" w:rsidP="001C4BE4">
      <w:pPr>
        <w:rPr>
          <w:szCs w:val="22"/>
        </w:rPr>
      </w:pPr>
    </w:p>
    <w:p w14:paraId="666D2C04" w14:textId="77777777" w:rsidR="001C4BE4" w:rsidRPr="001C4BE4" w:rsidRDefault="001C4BE4" w:rsidP="001C4BE4">
      <w:pPr>
        <w:rPr>
          <w:szCs w:val="22"/>
          <w:u w:val="single"/>
        </w:rPr>
      </w:pPr>
      <w:r w:rsidRPr="001C4BE4">
        <w:rPr>
          <w:szCs w:val="22"/>
          <w:u w:val="single"/>
        </w:rPr>
        <w:t>ITALIE/ITALY</w:t>
      </w:r>
    </w:p>
    <w:p w14:paraId="053E913D" w14:textId="77777777" w:rsidR="001C4BE4" w:rsidRPr="001C4BE4" w:rsidRDefault="001C4BE4" w:rsidP="001C4BE4">
      <w:pPr>
        <w:rPr>
          <w:szCs w:val="22"/>
          <w:u w:val="single"/>
        </w:rPr>
      </w:pPr>
    </w:p>
    <w:p w14:paraId="4C568755" w14:textId="77777777" w:rsidR="001C4BE4" w:rsidRPr="001C4BE4" w:rsidRDefault="001C4BE4" w:rsidP="001C4BE4">
      <w:pPr>
        <w:rPr>
          <w:szCs w:val="22"/>
        </w:rPr>
      </w:pPr>
      <w:r w:rsidRPr="001C4BE4">
        <w:rPr>
          <w:szCs w:val="22"/>
        </w:rPr>
        <w:t>Maria Chiara MALAGUTI (Ms.), Expert, Ministry of Foreign Affairs and International Cooperation, Rome</w:t>
      </w:r>
    </w:p>
    <w:p w14:paraId="2E92AE3B" w14:textId="77777777" w:rsidR="0040115A" w:rsidRDefault="0040115A" w:rsidP="0040115A">
      <w:pPr>
        <w:rPr>
          <w:szCs w:val="22"/>
        </w:rPr>
      </w:pPr>
    </w:p>
    <w:p w14:paraId="4C32EBEB" w14:textId="569D93CF" w:rsidR="0040115A" w:rsidRPr="0040115A" w:rsidRDefault="0040115A" w:rsidP="0040115A">
      <w:pPr>
        <w:rPr>
          <w:szCs w:val="22"/>
        </w:rPr>
      </w:pPr>
      <w:r w:rsidRPr="0040115A">
        <w:rPr>
          <w:szCs w:val="22"/>
        </w:rPr>
        <w:t>Vittorio RAGONESI</w:t>
      </w:r>
      <w:r w:rsidR="00B02ED8">
        <w:rPr>
          <w:szCs w:val="22"/>
        </w:rPr>
        <w:t xml:space="preserve"> (Mr.)</w:t>
      </w:r>
      <w:r w:rsidRPr="0040115A">
        <w:rPr>
          <w:szCs w:val="22"/>
        </w:rPr>
        <w:t>, Expert, Ministry of Culture, Roma</w:t>
      </w:r>
    </w:p>
    <w:p w14:paraId="58917215" w14:textId="77777777" w:rsidR="0040115A" w:rsidRPr="0040115A" w:rsidRDefault="0040115A" w:rsidP="0040115A">
      <w:pPr>
        <w:rPr>
          <w:szCs w:val="22"/>
        </w:rPr>
      </w:pPr>
      <w:r w:rsidRPr="0040115A">
        <w:rPr>
          <w:szCs w:val="22"/>
          <w:u w:val="single"/>
        </w:rPr>
        <w:t xml:space="preserve">vragonesi@libero.it </w:t>
      </w:r>
    </w:p>
    <w:p w14:paraId="5ED2760E" w14:textId="77777777" w:rsidR="001C4BE4" w:rsidRPr="001C4BE4" w:rsidRDefault="001C4BE4" w:rsidP="001C4BE4">
      <w:pPr>
        <w:rPr>
          <w:szCs w:val="22"/>
        </w:rPr>
      </w:pPr>
    </w:p>
    <w:p w14:paraId="4B07DC8A" w14:textId="77777777" w:rsidR="00AD7FF8" w:rsidRDefault="00AD7FF8" w:rsidP="001C4BE4">
      <w:pPr>
        <w:rPr>
          <w:szCs w:val="22"/>
        </w:rPr>
      </w:pPr>
    </w:p>
    <w:p w14:paraId="07A471BA" w14:textId="008E885D" w:rsidR="001C4BE4" w:rsidRPr="001C4BE4" w:rsidRDefault="001C4BE4" w:rsidP="001C4BE4">
      <w:pPr>
        <w:rPr>
          <w:szCs w:val="22"/>
        </w:rPr>
      </w:pPr>
      <w:r w:rsidRPr="001C4BE4">
        <w:rPr>
          <w:szCs w:val="22"/>
        </w:rPr>
        <w:t>Matteo EVANGELISTA</w:t>
      </w:r>
      <w:r w:rsidR="00B02ED8">
        <w:rPr>
          <w:szCs w:val="22"/>
        </w:rPr>
        <w:t xml:space="preserve"> (Mr.)</w:t>
      </w:r>
      <w:r w:rsidRPr="001C4BE4">
        <w:rPr>
          <w:szCs w:val="22"/>
        </w:rPr>
        <w:t>, First Secretary, Permanent Mission, Geneva</w:t>
      </w:r>
    </w:p>
    <w:p w14:paraId="4AABAD02" w14:textId="77777777" w:rsidR="001C4BE4" w:rsidRPr="001C4BE4" w:rsidRDefault="001C4BE4" w:rsidP="001C4BE4">
      <w:pPr>
        <w:rPr>
          <w:szCs w:val="22"/>
          <w:lang w:val="fr-FR"/>
        </w:rPr>
      </w:pPr>
      <w:r w:rsidRPr="001C4BE4">
        <w:rPr>
          <w:szCs w:val="22"/>
          <w:u w:val="single"/>
          <w:lang w:val="fr-FR"/>
        </w:rPr>
        <w:t xml:space="preserve">matteo.evangelista@esteri.it </w:t>
      </w:r>
    </w:p>
    <w:p w14:paraId="371907A9" w14:textId="77777777" w:rsidR="001C4BE4" w:rsidRPr="001C4BE4" w:rsidRDefault="001C4BE4" w:rsidP="001C4BE4">
      <w:pPr>
        <w:rPr>
          <w:szCs w:val="22"/>
          <w:lang w:val="fr-FR"/>
        </w:rPr>
      </w:pPr>
    </w:p>
    <w:p w14:paraId="5647A161" w14:textId="77777777" w:rsidR="001C4BE4" w:rsidRPr="001C4BE4" w:rsidRDefault="001C4BE4" w:rsidP="001C4BE4">
      <w:pPr>
        <w:rPr>
          <w:szCs w:val="22"/>
          <w:lang w:val="fr-FR"/>
        </w:rPr>
      </w:pPr>
    </w:p>
    <w:p w14:paraId="1506EEEB" w14:textId="77777777" w:rsidR="001C4BE4" w:rsidRPr="001C4BE4" w:rsidRDefault="001C4BE4" w:rsidP="001C4BE4">
      <w:pPr>
        <w:rPr>
          <w:szCs w:val="22"/>
          <w:u w:val="single"/>
          <w:lang w:val="fr-FR"/>
        </w:rPr>
      </w:pPr>
      <w:r w:rsidRPr="001C4BE4">
        <w:rPr>
          <w:szCs w:val="22"/>
          <w:u w:val="single"/>
          <w:lang w:val="fr-FR"/>
        </w:rPr>
        <w:t>JAPON/JAPAN</w:t>
      </w:r>
    </w:p>
    <w:p w14:paraId="46085755" w14:textId="77777777" w:rsidR="001C4BE4" w:rsidRPr="001C4BE4" w:rsidRDefault="001C4BE4" w:rsidP="001C4BE4">
      <w:pPr>
        <w:rPr>
          <w:szCs w:val="22"/>
          <w:u w:val="single"/>
          <w:lang w:val="fr-FR"/>
        </w:rPr>
      </w:pPr>
    </w:p>
    <w:p w14:paraId="490B26EE" w14:textId="3B1DF8E9" w:rsidR="0040115A" w:rsidRPr="0040115A" w:rsidRDefault="0040115A" w:rsidP="0040115A">
      <w:pPr>
        <w:rPr>
          <w:szCs w:val="22"/>
        </w:rPr>
      </w:pPr>
      <w:r w:rsidRPr="0040115A">
        <w:rPr>
          <w:szCs w:val="22"/>
        </w:rPr>
        <w:t>Kenji SHIMADA</w:t>
      </w:r>
      <w:r w:rsidR="00FC7127">
        <w:rPr>
          <w:szCs w:val="22"/>
        </w:rPr>
        <w:t xml:space="preserve"> (Mr.)</w:t>
      </w:r>
      <w:r w:rsidRPr="0040115A">
        <w:rPr>
          <w:szCs w:val="22"/>
        </w:rPr>
        <w:t>, Director, International Intellectual Property Policy Planning, International Policy Division, General Affairs Department, Japan Patent Office (JPO), Tokyo</w:t>
      </w:r>
    </w:p>
    <w:p w14:paraId="4BE14423" w14:textId="77777777" w:rsidR="0040115A" w:rsidRPr="0040115A" w:rsidRDefault="0040115A" w:rsidP="0040115A">
      <w:pPr>
        <w:rPr>
          <w:szCs w:val="22"/>
        </w:rPr>
      </w:pPr>
    </w:p>
    <w:p w14:paraId="1BFFDE17" w14:textId="423F648B" w:rsidR="001C4BE4" w:rsidRPr="001C4BE4" w:rsidRDefault="001C4BE4" w:rsidP="001C4BE4">
      <w:pPr>
        <w:rPr>
          <w:szCs w:val="22"/>
        </w:rPr>
      </w:pPr>
      <w:r w:rsidRPr="001C4BE4">
        <w:rPr>
          <w:szCs w:val="22"/>
        </w:rPr>
        <w:t>Yoshihito KOBAYASHI</w:t>
      </w:r>
      <w:r w:rsidR="00FC7127">
        <w:rPr>
          <w:szCs w:val="22"/>
        </w:rPr>
        <w:t xml:space="preserve"> (Mr.)</w:t>
      </w:r>
      <w:r w:rsidRPr="001C4BE4">
        <w:rPr>
          <w:szCs w:val="22"/>
        </w:rPr>
        <w:t>, Deputy Director, International Affairs Division, Agency for Cultural Affairs, Tokyo</w:t>
      </w:r>
    </w:p>
    <w:p w14:paraId="41F7D6FF" w14:textId="77777777" w:rsidR="001C4BE4" w:rsidRPr="001C4BE4" w:rsidRDefault="001C4BE4" w:rsidP="001C4BE4">
      <w:pPr>
        <w:rPr>
          <w:szCs w:val="22"/>
        </w:rPr>
      </w:pPr>
    </w:p>
    <w:p w14:paraId="5BFFC8C8" w14:textId="60620A54" w:rsidR="001C4BE4" w:rsidRPr="001C4BE4" w:rsidRDefault="001C4BE4" w:rsidP="001C4BE4">
      <w:pPr>
        <w:rPr>
          <w:szCs w:val="22"/>
        </w:rPr>
      </w:pPr>
      <w:r w:rsidRPr="001C4BE4">
        <w:rPr>
          <w:szCs w:val="22"/>
        </w:rPr>
        <w:t>Hirohisa OHSE</w:t>
      </w:r>
      <w:r w:rsidR="00FC7127">
        <w:rPr>
          <w:szCs w:val="22"/>
        </w:rPr>
        <w:t xml:space="preserve"> (Mr.)</w:t>
      </w:r>
      <w:r w:rsidRPr="001C4BE4">
        <w:rPr>
          <w:szCs w:val="22"/>
        </w:rPr>
        <w:t>, Deputy Director, Intellectual Property Affairs Division, Ministry of Foreign Affairs, Tokyo</w:t>
      </w:r>
    </w:p>
    <w:p w14:paraId="7EC679D1" w14:textId="77777777" w:rsidR="0040115A" w:rsidRDefault="0040115A" w:rsidP="0040115A">
      <w:pPr>
        <w:rPr>
          <w:szCs w:val="22"/>
        </w:rPr>
      </w:pPr>
    </w:p>
    <w:p w14:paraId="1F3C4CFA" w14:textId="42B50C4B" w:rsidR="0040115A" w:rsidRPr="0040115A" w:rsidRDefault="0040115A" w:rsidP="0040115A">
      <w:pPr>
        <w:rPr>
          <w:szCs w:val="22"/>
        </w:rPr>
      </w:pPr>
      <w:r w:rsidRPr="0040115A">
        <w:rPr>
          <w:szCs w:val="22"/>
        </w:rPr>
        <w:t>Hiroki UEJIMA</w:t>
      </w:r>
      <w:r w:rsidR="00FC7127">
        <w:rPr>
          <w:szCs w:val="22"/>
        </w:rPr>
        <w:t xml:space="preserve"> (Mr.)</w:t>
      </w:r>
      <w:r w:rsidRPr="0040115A">
        <w:rPr>
          <w:szCs w:val="22"/>
        </w:rPr>
        <w:t>, Deputy Director, International Policy Division, General Affairs Department, Japan Patent Office (JPO), Tokyo</w:t>
      </w:r>
    </w:p>
    <w:p w14:paraId="6761C4A5" w14:textId="77777777" w:rsidR="001C4BE4" w:rsidRPr="001C4BE4" w:rsidRDefault="001C4BE4" w:rsidP="001C4BE4">
      <w:pPr>
        <w:rPr>
          <w:szCs w:val="22"/>
        </w:rPr>
      </w:pPr>
    </w:p>
    <w:p w14:paraId="2CC1E621" w14:textId="0A9D7F60" w:rsidR="001C4BE4" w:rsidRPr="001C4BE4" w:rsidRDefault="001C4BE4" w:rsidP="001C4BE4">
      <w:pPr>
        <w:rPr>
          <w:szCs w:val="22"/>
        </w:rPr>
      </w:pPr>
      <w:proofErr w:type="spellStart"/>
      <w:r w:rsidRPr="001C4BE4">
        <w:rPr>
          <w:szCs w:val="22"/>
        </w:rPr>
        <w:t>Ryoei</w:t>
      </w:r>
      <w:proofErr w:type="spellEnd"/>
      <w:r w:rsidRPr="001C4BE4">
        <w:rPr>
          <w:szCs w:val="22"/>
        </w:rPr>
        <w:t xml:space="preserve"> CHIJIIWA</w:t>
      </w:r>
      <w:r w:rsidR="00FC7127">
        <w:rPr>
          <w:szCs w:val="22"/>
        </w:rPr>
        <w:t xml:space="preserve"> (Mr.)</w:t>
      </w:r>
      <w:r w:rsidRPr="001C4BE4">
        <w:rPr>
          <w:szCs w:val="22"/>
        </w:rPr>
        <w:t>, First Secretary, Permanent Mission, Geneva</w:t>
      </w:r>
    </w:p>
    <w:p w14:paraId="25A640F4" w14:textId="77777777" w:rsidR="001C4BE4" w:rsidRPr="001C4BE4" w:rsidRDefault="001C4BE4" w:rsidP="001C4BE4">
      <w:pPr>
        <w:rPr>
          <w:szCs w:val="22"/>
        </w:rPr>
      </w:pPr>
    </w:p>
    <w:p w14:paraId="7616969F" w14:textId="55CF2CCF" w:rsidR="001C4BE4" w:rsidRPr="001C4BE4" w:rsidRDefault="001C4BE4" w:rsidP="001C4BE4">
      <w:pPr>
        <w:rPr>
          <w:szCs w:val="22"/>
        </w:rPr>
      </w:pPr>
      <w:r w:rsidRPr="001C4BE4">
        <w:rPr>
          <w:szCs w:val="22"/>
        </w:rPr>
        <w:t>Kenji SAITO</w:t>
      </w:r>
      <w:r w:rsidR="00FC7127">
        <w:rPr>
          <w:szCs w:val="22"/>
        </w:rPr>
        <w:t xml:space="preserve"> (Mr.)</w:t>
      </w:r>
      <w:r w:rsidRPr="001C4BE4">
        <w:rPr>
          <w:szCs w:val="22"/>
        </w:rPr>
        <w:t>, First Secretary, Permanent Mission, Geneva</w:t>
      </w:r>
    </w:p>
    <w:p w14:paraId="5B9D44A0" w14:textId="77777777" w:rsidR="001C4BE4" w:rsidRPr="001C4BE4" w:rsidRDefault="001C4BE4" w:rsidP="001C4BE4">
      <w:pPr>
        <w:rPr>
          <w:szCs w:val="22"/>
        </w:rPr>
      </w:pPr>
    </w:p>
    <w:p w14:paraId="3B5E997F" w14:textId="77777777" w:rsidR="001C4BE4" w:rsidRPr="001C4BE4" w:rsidRDefault="001C4BE4" w:rsidP="001C4BE4">
      <w:pPr>
        <w:rPr>
          <w:szCs w:val="22"/>
        </w:rPr>
      </w:pPr>
    </w:p>
    <w:p w14:paraId="37338224" w14:textId="77777777" w:rsidR="001C4BE4" w:rsidRPr="001C4BE4" w:rsidRDefault="001C4BE4" w:rsidP="001C4BE4">
      <w:pPr>
        <w:rPr>
          <w:szCs w:val="22"/>
          <w:u w:val="single"/>
        </w:rPr>
      </w:pPr>
      <w:r w:rsidRPr="001C4BE4">
        <w:rPr>
          <w:szCs w:val="22"/>
          <w:u w:val="single"/>
        </w:rPr>
        <w:t>KENYA</w:t>
      </w:r>
    </w:p>
    <w:p w14:paraId="4E147339" w14:textId="77777777" w:rsidR="001C4BE4" w:rsidRPr="001C4BE4" w:rsidRDefault="001C4BE4" w:rsidP="001C4BE4">
      <w:pPr>
        <w:rPr>
          <w:szCs w:val="22"/>
          <w:u w:val="single"/>
        </w:rPr>
      </w:pPr>
    </w:p>
    <w:p w14:paraId="01952AE0" w14:textId="2343CB8F" w:rsidR="001C4BE4" w:rsidRPr="001C4BE4" w:rsidRDefault="001C4BE4" w:rsidP="001C4BE4">
      <w:pPr>
        <w:rPr>
          <w:szCs w:val="22"/>
        </w:rPr>
      </w:pPr>
      <w:r w:rsidRPr="001C4BE4">
        <w:rPr>
          <w:szCs w:val="22"/>
        </w:rPr>
        <w:t xml:space="preserve">Paul </w:t>
      </w:r>
      <w:proofErr w:type="spellStart"/>
      <w:r w:rsidRPr="001C4BE4">
        <w:rPr>
          <w:szCs w:val="22"/>
        </w:rPr>
        <w:t>Kiarie</w:t>
      </w:r>
      <w:proofErr w:type="spellEnd"/>
      <w:r w:rsidRPr="001C4BE4">
        <w:rPr>
          <w:szCs w:val="22"/>
        </w:rPr>
        <w:t xml:space="preserve"> KAINDO</w:t>
      </w:r>
      <w:r w:rsidR="00FC7127">
        <w:rPr>
          <w:szCs w:val="22"/>
        </w:rPr>
        <w:t xml:space="preserve"> (Mr.)</w:t>
      </w:r>
      <w:r w:rsidRPr="001C4BE4">
        <w:rPr>
          <w:szCs w:val="22"/>
        </w:rPr>
        <w:t>, Legal Counsel I, Kenya Copyright Board, Office of the Attorney General and Department of Justice, Nairobi</w:t>
      </w:r>
    </w:p>
    <w:p w14:paraId="529A8CB2" w14:textId="77777777" w:rsidR="001C4BE4" w:rsidRPr="001C4BE4" w:rsidRDefault="001C4BE4" w:rsidP="001C4BE4">
      <w:pPr>
        <w:rPr>
          <w:szCs w:val="22"/>
        </w:rPr>
      </w:pPr>
      <w:r w:rsidRPr="001C4BE4">
        <w:rPr>
          <w:szCs w:val="22"/>
          <w:u w:val="single"/>
        </w:rPr>
        <w:t xml:space="preserve">kiariekaindo@gmail.com </w:t>
      </w:r>
    </w:p>
    <w:p w14:paraId="0E1460C9" w14:textId="77777777" w:rsidR="001C4BE4" w:rsidRPr="001C4BE4" w:rsidRDefault="001C4BE4" w:rsidP="001C4BE4">
      <w:pPr>
        <w:rPr>
          <w:szCs w:val="22"/>
        </w:rPr>
      </w:pPr>
    </w:p>
    <w:p w14:paraId="3ED1AEF9" w14:textId="3B6E1128" w:rsidR="001C4BE4" w:rsidRPr="001C4BE4" w:rsidRDefault="001C4BE4" w:rsidP="001C4BE4">
      <w:pPr>
        <w:rPr>
          <w:szCs w:val="22"/>
        </w:rPr>
      </w:pPr>
      <w:r w:rsidRPr="001C4BE4">
        <w:rPr>
          <w:szCs w:val="22"/>
        </w:rPr>
        <w:t>Peter KAMAU</w:t>
      </w:r>
      <w:r w:rsidR="00FC7127">
        <w:rPr>
          <w:szCs w:val="22"/>
        </w:rPr>
        <w:t xml:space="preserve"> (Mr.)</w:t>
      </w:r>
      <w:r w:rsidRPr="001C4BE4">
        <w:rPr>
          <w:szCs w:val="22"/>
        </w:rPr>
        <w:t>, Counsellor, Permanent Mission, Geneva</w:t>
      </w:r>
    </w:p>
    <w:p w14:paraId="0D3269E4" w14:textId="77777777" w:rsidR="001C4BE4" w:rsidRPr="001C4BE4" w:rsidRDefault="001C4BE4" w:rsidP="001C4BE4">
      <w:pPr>
        <w:rPr>
          <w:szCs w:val="22"/>
        </w:rPr>
      </w:pPr>
      <w:r w:rsidRPr="001C4BE4">
        <w:rPr>
          <w:szCs w:val="22"/>
          <w:u w:val="single"/>
        </w:rPr>
        <w:t xml:space="preserve">pmkamau2012@gmail.com </w:t>
      </w:r>
    </w:p>
    <w:p w14:paraId="621504BA" w14:textId="77777777" w:rsidR="001C4BE4" w:rsidRPr="001C4BE4" w:rsidRDefault="001C4BE4" w:rsidP="001C4BE4">
      <w:pPr>
        <w:rPr>
          <w:szCs w:val="22"/>
        </w:rPr>
      </w:pPr>
    </w:p>
    <w:p w14:paraId="5B63368D" w14:textId="77777777" w:rsidR="001C4BE4" w:rsidRPr="001C4BE4" w:rsidRDefault="001C4BE4" w:rsidP="001C4BE4">
      <w:pPr>
        <w:rPr>
          <w:szCs w:val="22"/>
        </w:rPr>
      </w:pPr>
    </w:p>
    <w:p w14:paraId="0830970B" w14:textId="77777777" w:rsidR="001C4BE4" w:rsidRPr="001C4BE4" w:rsidRDefault="001C4BE4" w:rsidP="001C4BE4">
      <w:pPr>
        <w:rPr>
          <w:szCs w:val="22"/>
          <w:u w:val="single"/>
        </w:rPr>
      </w:pPr>
      <w:r w:rsidRPr="001C4BE4">
        <w:rPr>
          <w:szCs w:val="22"/>
          <w:u w:val="single"/>
        </w:rPr>
        <w:t>KIRGHIZISTAN/KYRGYZSTAN</w:t>
      </w:r>
    </w:p>
    <w:p w14:paraId="4B1F2FFA" w14:textId="77777777" w:rsidR="001C4BE4" w:rsidRPr="001C4BE4" w:rsidRDefault="001C4BE4" w:rsidP="001C4BE4">
      <w:pPr>
        <w:rPr>
          <w:szCs w:val="22"/>
          <w:u w:val="single"/>
        </w:rPr>
      </w:pPr>
    </w:p>
    <w:p w14:paraId="06805F64" w14:textId="55CE3846" w:rsidR="001C4BE4" w:rsidRPr="001C4BE4" w:rsidRDefault="001C4BE4" w:rsidP="001C4BE4">
      <w:pPr>
        <w:rPr>
          <w:szCs w:val="22"/>
        </w:rPr>
      </w:pPr>
      <w:proofErr w:type="spellStart"/>
      <w:r w:rsidRPr="001C4BE4">
        <w:rPr>
          <w:szCs w:val="22"/>
        </w:rPr>
        <w:t>Bakytbek</w:t>
      </w:r>
      <w:proofErr w:type="spellEnd"/>
      <w:r w:rsidRPr="001C4BE4">
        <w:rPr>
          <w:szCs w:val="22"/>
        </w:rPr>
        <w:t xml:space="preserve"> ABYSHBAEV</w:t>
      </w:r>
      <w:r w:rsidR="00FC7127">
        <w:rPr>
          <w:szCs w:val="22"/>
        </w:rPr>
        <w:t xml:space="preserve"> (Mr.)</w:t>
      </w:r>
      <w:r w:rsidRPr="001C4BE4">
        <w:rPr>
          <w:szCs w:val="22"/>
        </w:rPr>
        <w:t>, Leading Specialist, Section for Selection Achievements and Traditional Knowledge, State Service of Intellectual Property and Innovation under the Government of the Kyrgyz Republic (</w:t>
      </w:r>
      <w:proofErr w:type="spellStart"/>
      <w:r w:rsidRPr="001C4BE4">
        <w:rPr>
          <w:szCs w:val="22"/>
        </w:rPr>
        <w:t>Kyrgyzpatent</w:t>
      </w:r>
      <w:proofErr w:type="spellEnd"/>
      <w:r w:rsidRPr="001C4BE4">
        <w:rPr>
          <w:szCs w:val="22"/>
        </w:rPr>
        <w:t>), Bishkek</w:t>
      </w:r>
    </w:p>
    <w:p w14:paraId="05D84371" w14:textId="77777777" w:rsidR="00AD7FF8" w:rsidRDefault="00AD7FF8" w:rsidP="00AD7FF8">
      <w:pPr>
        <w:rPr>
          <w:szCs w:val="22"/>
        </w:rPr>
      </w:pPr>
    </w:p>
    <w:p w14:paraId="549FFDCC" w14:textId="77777777" w:rsidR="00AD7FF8" w:rsidRPr="00AD7FF8" w:rsidRDefault="00AD7FF8" w:rsidP="00AD7FF8">
      <w:pPr>
        <w:rPr>
          <w:szCs w:val="22"/>
        </w:rPr>
      </w:pPr>
    </w:p>
    <w:p w14:paraId="18D85A59" w14:textId="77777777" w:rsidR="00AD7FF8" w:rsidRPr="00AD7FF8" w:rsidRDefault="00AD7FF8" w:rsidP="00AD7FF8">
      <w:pPr>
        <w:rPr>
          <w:szCs w:val="22"/>
          <w:u w:val="single"/>
        </w:rPr>
      </w:pPr>
      <w:r w:rsidRPr="00AD7FF8">
        <w:rPr>
          <w:szCs w:val="22"/>
          <w:u w:val="single"/>
        </w:rPr>
        <w:t>LETTONIE/LATVIA</w:t>
      </w:r>
    </w:p>
    <w:p w14:paraId="3F0EB6A3" w14:textId="77777777" w:rsidR="00AD7FF8" w:rsidRPr="00AD7FF8" w:rsidRDefault="00AD7FF8" w:rsidP="00AD7FF8">
      <w:pPr>
        <w:rPr>
          <w:szCs w:val="22"/>
          <w:u w:val="single"/>
        </w:rPr>
      </w:pPr>
    </w:p>
    <w:p w14:paraId="32816ECC" w14:textId="77777777" w:rsidR="00AD7FF8" w:rsidRPr="00AD7FF8" w:rsidRDefault="00AD7FF8" w:rsidP="00AD7FF8">
      <w:pPr>
        <w:rPr>
          <w:szCs w:val="22"/>
        </w:rPr>
      </w:pPr>
      <w:proofErr w:type="spellStart"/>
      <w:r w:rsidRPr="00AD7FF8">
        <w:rPr>
          <w:szCs w:val="22"/>
        </w:rPr>
        <w:t>Liene</w:t>
      </w:r>
      <w:proofErr w:type="spellEnd"/>
      <w:r w:rsidRPr="00AD7FF8">
        <w:rPr>
          <w:szCs w:val="22"/>
        </w:rPr>
        <w:t xml:space="preserve"> GRIKE (Ms.), Adviser, Economic and Intellectual Property Affairs, Permanent </w:t>
      </w:r>
      <w:proofErr w:type="spellStart"/>
      <w:r w:rsidRPr="00AD7FF8">
        <w:rPr>
          <w:szCs w:val="22"/>
        </w:rPr>
        <w:t>Mssion</w:t>
      </w:r>
      <w:proofErr w:type="spellEnd"/>
      <w:r w:rsidRPr="00AD7FF8">
        <w:rPr>
          <w:szCs w:val="22"/>
        </w:rPr>
        <w:t>, Geneva</w:t>
      </w:r>
    </w:p>
    <w:p w14:paraId="2A844AF2" w14:textId="77777777" w:rsidR="001C4BE4" w:rsidRPr="001C4BE4" w:rsidRDefault="001C4BE4" w:rsidP="001C4BE4">
      <w:pPr>
        <w:rPr>
          <w:szCs w:val="22"/>
        </w:rPr>
      </w:pPr>
    </w:p>
    <w:p w14:paraId="303C00A7" w14:textId="77777777" w:rsidR="001C4BE4" w:rsidRPr="001C4BE4" w:rsidRDefault="001C4BE4" w:rsidP="001C4BE4">
      <w:pPr>
        <w:rPr>
          <w:szCs w:val="22"/>
        </w:rPr>
      </w:pPr>
    </w:p>
    <w:p w14:paraId="08F1DF3D" w14:textId="77777777" w:rsidR="001C4BE4" w:rsidRPr="001C4BE4" w:rsidRDefault="001C4BE4" w:rsidP="001C4BE4">
      <w:pPr>
        <w:rPr>
          <w:szCs w:val="22"/>
          <w:u w:val="single"/>
        </w:rPr>
      </w:pPr>
      <w:r w:rsidRPr="001C4BE4">
        <w:rPr>
          <w:szCs w:val="22"/>
          <w:u w:val="single"/>
        </w:rPr>
        <w:t>LIBAN/LEBANON</w:t>
      </w:r>
    </w:p>
    <w:p w14:paraId="420DCF19" w14:textId="77777777" w:rsidR="001C4BE4" w:rsidRPr="001C4BE4" w:rsidRDefault="001C4BE4" w:rsidP="001C4BE4">
      <w:pPr>
        <w:rPr>
          <w:szCs w:val="22"/>
          <w:u w:val="single"/>
        </w:rPr>
      </w:pPr>
    </w:p>
    <w:p w14:paraId="26CEC4CE" w14:textId="4EC0C71E" w:rsidR="001C4BE4" w:rsidRPr="001C4BE4" w:rsidRDefault="001C4BE4" w:rsidP="001C4BE4">
      <w:pPr>
        <w:rPr>
          <w:szCs w:val="22"/>
        </w:rPr>
      </w:pPr>
      <w:proofErr w:type="spellStart"/>
      <w:r w:rsidRPr="001C4BE4">
        <w:rPr>
          <w:szCs w:val="22"/>
        </w:rPr>
        <w:t>Charbel</w:t>
      </w:r>
      <w:proofErr w:type="spellEnd"/>
      <w:r w:rsidRPr="001C4BE4">
        <w:rPr>
          <w:szCs w:val="22"/>
        </w:rPr>
        <w:t xml:space="preserve"> SAADE</w:t>
      </w:r>
      <w:r w:rsidR="00FC7127">
        <w:rPr>
          <w:szCs w:val="22"/>
        </w:rPr>
        <w:t xml:space="preserve"> (Mr.)</w:t>
      </w:r>
      <w:r w:rsidRPr="001C4BE4">
        <w:rPr>
          <w:szCs w:val="22"/>
        </w:rPr>
        <w:t>, Responsible, Legal Affairs, Ministry of Culture, Beirut</w:t>
      </w:r>
    </w:p>
    <w:p w14:paraId="6560DAB1" w14:textId="77777777" w:rsidR="001C4BE4" w:rsidRPr="001C4BE4" w:rsidRDefault="001C4BE4" w:rsidP="001C4BE4">
      <w:pPr>
        <w:rPr>
          <w:szCs w:val="22"/>
        </w:rPr>
      </w:pPr>
      <w:r w:rsidRPr="001C4BE4">
        <w:rPr>
          <w:szCs w:val="22"/>
          <w:u w:val="single"/>
        </w:rPr>
        <w:t xml:space="preserve">saadecharbel@hotmail.com </w:t>
      </w:r>
    </w:p>
    <w:p w14:paraId="4FB2998F" w14:textId="77777777" w:rsidR="001C4BE4" w:rsidRPr="001C4BE4" w:rsidRDefault="001C4BE4" w:rsidP="001C4BE4">
      <w:pPr>
        <w:rPr>
          <w:szCs w:val="22"/>
          <w:u w:val="single"/>
        </w:rPr>
      </w:pPr>
    </w:p>
    <w:p w14:paraId="11B9D3F3" w14:textId="77777777" w:rsidR="001C4BE4" w:rsidRDefault="001C4BE4" w:rsidP="001C4BE4">
      <w:pPr>
        <w:rPr>
          <w:szCs w:val="22"/>
          <w:u w:val="single"/>
        </w:rPr>
      </w:pPr>
    </w:p>
    <w:p w14:paraId="2104D251" w14:textId="77777777" w:rsidR="00AD7FF8" w:rsidRDefault="00AD7FF8" w:rsidP="001C4BE4">
      <w:pPr>
        <w:rPr>
          <w:szCs w:val="22"/>
          <w:u w:val="single"/>
        </w:rPr>
      </w:pPr>
    </w:p>
    <w:p w14:paraId="51053A60" w14:textId="77777777" w:rsidR="00AD7FF8" w:rsidRDefault="00AD7FF8" w:rsidP="001C4BE4">
      <w:pPr>
        <w:rPr>
          <w:szCs w:val="22"/>
          <w:u w:val="single"/>
        </w:rPr>
      </w:pPr>
    </w:p>
    <w:p w14:paraId="509D639E" w14:textId="77777777" w:rsidR="001C4BE4" w:rsidRPr="001C4BE4" w:rsidRDefault="001C4BE4" w:rsidP="001C4BE4">
      <w:pPr>
        <w:rPr>
          <w:szCs w:val="22"/>
          <w:u w:val="single"/>
        </w:rPr>
      </w:pPr>
      <w:r w:rsidRPr="001C4BE4">
        <w:rPr>
          <w:szCs w:val="22"/>
          <w:u w:val="single"/>
        </w:rPr>
        <w:t>LITUANIE/LITHUANIA</w:t>
      </w:r>
    </w:p>
    <w:p w14:paraId="41039012" w14:textId="77777777" w:rsidR="001C4BE4" w:rsidRPr="001C4BE4" w:rsidRDefault="001C4BE4" w:rsidP="001C4BE4">
      <w:pPr>
        <w:rPr>
          <w:szCs w:val="22"/>
          <w:u w:val="single"/>
        </w:rPr>
      </w:pPr>
    </w:p>
    <w:p w14:paraId="40BADD0D" w14:textId="77777777" w:rsidR="001C4BE4" w:rsidRPr="001C4BE4" w:rsidRDefault="001C4BE4" w:rsidP="001C4BE4">
      <w:pPr>
        <w:rPr>
          <w:szCs w:val="22"/>
        </w:rPr>
      </w:pPr>
      <w:proofErr w:type="spellStart"/>
      <w:r w:rsidRPr="001C4BE4">
        <w:rPr>
          <w:szCs w:val="22"/>
        </w:rPr>
        <w:t>Nijole</w:t>
      </w:r>
      <w:proofErr w:type="spellEnd"/>
      <w:r w:rsidRPr="001C4BE4">
        <w:rPr>
          <w:szCs w:val="22"/>
        </w:rPr>
        <w:t xml:space="preserve"> Janina MATULEVICIENE (Ms.), Head, Copyright Section, Ministry of Culture, Vilnius</w:t>
      </w:r>
    </w:p>
    <w:p w14:paraId="5BBF25BF" w14:textId="77777777" w:rsidR="001C4BE4" w:rsidRPr="001C4BE4" w:rsidRDefault="001C4BE4" w:rsidP="001C4BE4">
      <w:pPr>
        <w:rPr>
          <w:szCs w:val="22"/>
        </w:rPr>
      </w:pPr>
      <w:r w:rsidRPr="001C4BE4">
        <w:rPr>
          <w:szCs w:val="22"/>
          <w:u w:val="single"/>
        </w:rPr>
        <w:t xml:space="preserve">nijole.matuleviciene@lrkm.lt </w:t>
      </w:r>
    </w:p>
    <w:p w14:paraId="4F17EB0D" w14:textId="77777777" w:rsidR="001C4BE4" w:rsidRPr="001C4BE4" w:rsidRDefault="001C4BE4" w:rsidP="001C4BE4">
      <w:pPr>
        <w:rPr>
          <w:szCs w:val="22"/>
        </w:rPr>
      </w:pPr>
    </w:p>
    <w:p w14:paraId="63A12351" w14:textId="77777777" w:rsidR="001C4BE4" w:rsidRPr="001C4BE4" w:rsidRDefault="001C4BE4" w:rsidP="001C4BE4">
      <w:pPr>
        <w:rPr>
          <w:szCs w:val="22"/>
        </w:rPr>
      </w:pPr>
      <w:r w:rsidRPr="001C4BE4">
        <w:rPr>
          <w:szCs w:val="22"/>
        </w:rPr>
        <w:t>Renata RINKAUSKIENNE (Ms.), Counsellor, Permanent Mission, Geneva</w:t>
      </w:r>
    </w:p>
    <w:p w14:paraId="37D4D336" w14:textId="77777777" w:rsidR="001C4BE4" w:rsidRPr="001C4BE4" w:rsidRDefault="001C4BE4" w:rsidP="001C4BE4">
      <w:pPr>
        <w:rPr>
          <w:szCs w:val="22"/>
        </w:rPr>
      </w:pPr>
      <w:r w:rsidRPr="001C4BE4">
        <w:rPr>
          <w:szCs w:val="22"/>
          <w:u w:val="single"/>
        </w:rPr>
        <w:t xml:space="preserve">renata.rinkauskiene@urm.lt </w:t>
      </w:r>
    </w:p>
    <w:p w14:paraId="7AB790F6" w14:textId="77777777" w:rsidR="001C4BE4" w:rsidRPr="001C4BE4" w:rsidRDefault="001C4BE4" w:rsidP="001C4BE4">
      <w:pPr>
        <w:rPr>
          <w:szCs w:val="22"/>
          <w:u w:val="single"/>
        </w:rPr>
      </w:pPr>
    </w:p>
    <w:p w14:paraId="6F411F1B" w14:textId="77777777" w:rsidR="001C4BE4" w:rsidRPr="001C4BE4" w:rsidRDefault="001C4BE4" w:rsidP="001C4BE4">
      <w:pPr>
        <w:rPr>
          <w:szCs w:val="22"/>
          <w:u w:val="single"/>
        </w:rPr>
      </w:pPr>
    </w:p>
    <w:p w14:paraId="305344D2" w14:textId="77777777" w:rsidR="001C4BE4" w:rsidRPr="001C4BE4" w:rsidRDefault="001C4BE4" w:rsidP="001C4BE4">
      <w:pPr>
        <w:rPr>
          <w:szCs w:val="22"/>
          <w:u w:val="single"/>
        </w:rPr>
      </w:pPr>
      <w:r w:rsidRPr="001C4BE4">
        <w:rPr>
          <w:szCs w:val="22"/>
          <w:u w:val="single"/>
        </w:rPr>
        <w:t>MALAWI</w:t>
      </w:r>
    </w:p>
    <w:p w14:paraId="0584096E" w14:textId="77777777" w:rsidR="001C4BE4" w:rsidRPr="001C4BE4" w:rsidRDefault="001C4BE4" w:rsidP="001C4BE4">
      <w:pPr>
        <w:rPr>
          <w:szCs w:val="22"/>
          <w:u w:val="single"/>
        </w:rPr>
      </w:pPr>
    </w:p>
    <w:p w14:paraId="356A6BF9" w14:textId="54A3B4AC" w:rsidR="001C4BE4" w:rsidRPr="001C4BE4" w:rsidRDefault="001C4BE4" w:rsidP="001C4BE4">
      <w:pPr>
        <w:rPr>
          <w:szCs w:val="22"/>
        </w:rPr>
      </w:pPr>
      <w:r w:rsidRPr="001C4BE4">
        <w:rPr>
          <w:szCs w:val="22"/>
        </w:rPr>
        <w:t>Robert DUFTER SALAMA</w:t>
      </w:r>
      <w:r w:rsidR="00FC7127">
        <w:rPr>
          <w:szCs w:val="22"/>
        </w:rPr>
        <w:t xml:space="preserve"> (Mr.)</w:t>
      </w:r>
      <w:r w:rsidRPr="001C4BE4">
        <w:rPr>
          <w:szCs w:val="22"/>
        </w:rPr>
        <w:t>, Ambassador, Permanent Representative, Permanent Mission, Geneva</w:t>
      </w:r>
    </w:p>
    <w:p w14:paraId="4EBCECF9" w14:textId="77777777" w:rsidR="001C4BE4" w:rsidRPr="001C4BE4" w:rsidRDefault="001C4BE4" w:rsidP="001C4BE4">
      <w:pPr>
        <w:rPr>
          <w:szCs w:val="22"/>
        </w:rPr>
      </w:pPr>
    </w:p>
    <w:p w14:paraId="40DBEB2B" w14:textId="4F5F208F" w:rsidR="001C4BE4" w:rsidRPr="001C4BE4" w:rsidRDefault="001C4BE4" w:rsidP="001C4BE4">
      <w:pPr>
        <w:rPr>
          <w:szCs w:val="22"/>
        </w:rPr>
      </w:pPr>
      <w:r w:rsidRPr="001C4BE4">
        <w:rPr>
          <w:szCs w:val="22"/>
        </w:rPr>
        <w:t>Loudon O. MATTIYA</w:t>
      </w:r>
      <w:r w:rsidR="00FC7127">
        <w:rPr>
          <w:szCs w:val="22"/>
        </w:rPr>
        <w:t xml:space="preserve"> (Mr.)</w:t>
      </w:r>
      <w:r w:rsidRPr="001C4BE4">
        <w:rPr>
          <w:szCs w:val="22"/>
        </w:rPr>
        <w:t>, Minister Counsellor, Deputy Permanent Representative, Permanent Mission, Geneva</w:t>
      </w:r>
    </w:p>
    <w:p w14:paraId="4FD99AE0" w14:textId="77777777" w:rsidR="001C4BE4" w:rsidRPr="001C4BE4" w:rsidRDefault="001C4BE4" w:rsidP="001C4BE4">
      <w:pPr>
        <w:rPr>
          <w:szCs w:val="22"/>
        </w:rPr>
      </w:pPr>
    </w:p>
    <w:p w14:paraId="6A175D70" w14:textId="77777777" w:rsidR="001C4BE4" w:rsidRPr="001C4BE4" w:rsidRDefault="001C4BE4" w:rsidP="001C4BE4">
      <w:pPr>
        <w:rPr>
          <w:szCs w:val="22"/>
        </w:rPr>
      </w:pPr>
      <w:r w:rsidRPr="001C4BE4">
        <w:rPr>
          <w:szCs w:val="22"/>
        </w:rPr>
        <w:t>Janet BANDA (Ms.), Solicitor General and Secretary for Justice, Ministry of Justice and Constitutional Affairs, Lilongwe</w:t>
      </w:r>
    </w:p>
    <w:p w14:paraId="1D687844" w14:textId="77777777" w:rsidR="001C4BE4" w:rsidRPr="001C4BE4" w:rsidRDefault="001C4BE4" w:rsidP="001C4BE4">
      <w:pPr>
        <w:rPr>
          <w:szCs w:val="22"/>
        </w:rPr>
      </w:pPr>
    </w:p>
    <w:p w14:paraId="4BDA95BB" w14:textId="16D667D6" w:rsidR="001C4BE4" w:rsidRPr="001C4BE4" w:rsidRDefault="001C4BE4" w:rsidP="001C4BE4">
      <w:pPr>
        <w:rPr>
          <w:szCs w:val="22"/>
        </w:rPr>
      </w:pPr>
      <w:proofErr w:type="spellStart"/>
      <w:r w:rsidRPr="001C4BE4">
        <w:rPr>
          <w:szCs w:val="22"/>
        </w:rPr>
        <w:t>Chikumbutso</w:t>
      </w:r>
      <w:proofErr w:type="spellEnd"/>
      <w:r w:rsidRPr="001C4BE4">
        <w:rPr>
          <w:szCs w:val="22"/>
        </w:rPr>
        <w:t xml:space="preserve"> NAMELO</w:t>
      </w:r>
      <w:r w:rsidR="00FC7127">
        <w:rPr>
          <w:szCs w:val="22"/>
        </w:rPr>
        <w:t xml:space="preserve"> (Mr.)</w:t>
      </w:r>
      <w:r w:rsidRPr="001C4BE4">
        <w:rPr>
          <w:szCs w:val="22"/>
        </w:rPr>
        <w:t>, Deputy Registrar General, Registrar General Department, Ministry of Justice and Constitutional Affairs, Blantyre</w:t>
      </w:r>
    </w:p>
    <w:p w14:paraId="1BAEF649" w14:textId="77777777" w:rsidR="001C4BE4" w:rsidRPr="001C4BE4" w:rsidRDefault="001C4BE4" w:rsidP="001C4BE4">
      <w:pPr>
        <w:rPr>
          <w:szCs w:val="22"/>
        </w:rPr>
      </w:pPr>
    </w:p>
    <w:p w14:paraId="222B0FB6" w14:textId="0CD4149A" w:rsidR="001C4BE4" w:rsidRPr="001C4BE4" w:rsidRDefault="001C4BE4" w:rsidP="001C4BE4">
      <w:pPr>
        <w:rPr>
          <w:szCs w:val="22"/>
          <w:lang w:val="fr-FR"/>
        </w:rPr>
      </w:pPr>
      <w:proofErr w:type="spellStart"/>
      <w:r w:rsidRPr="001C4BE4">
        <w:rPr>
          <w:szCs w:val="22"/>
          <w:lang w:val="fr-FR"/>
        </w:rPr>
        <w:t>Ulemu</w:t>
      </w:r>
      <w:proofErr w:type="spellEnd"/>
      <w:r w:rsidRPr="001C4BE4">
        <w:rPr>
          <w:szCs w:val="22"/>
          <w:lang w:val="fr-FR"/>
        </w:rPr>
        <w:t xml:space="preserve"> C. MALINDI</w:t>
      </w:r>
      <w:r w:rsidR="00FC7127">
        <w:rPr>
          <w:szCs w:val="22"/>
          <w:lang w:val="fr-FR"/>
        </w:rPr>
        <w:t xml:space="preserve"> (Mr.)</w:t>
      </w:r>
      <w:r w:rsidRPr="001C4BE4">
        <w:rPr>
          <w:szCs w:val="22"/>
          <w:lang w:val="fr-FR"/>
        </w:rPr>
        <w:t xml:space="preserve">, Administrative </w:t>
      </w:r>
      <w:r w:rsidRPr="00C40D5D">
        <w:rPr>
          <w:szCs w:val="22"/>
        </w:rPr>
        <w:t>Officer</w:t>
      </w:r>
      <w:r w:rsidRPr="001C4BE4">
        <w:rPr>
          <w:szCs w:val="22"/>
          <w:lang w:val="fr-FR"/>
        </w:rPr>
        <w:t>, Permanent Mission, Geneva</w:t>
      </w:r>
    </w:p>
    <w:p w14:paraId="69066DA4" w14:textId="77777777" w:rsidR="001C4BE4" w:rsidRPr="001C4BE4" w:rsidRDefault="001C4BE4" w:rsidP="001C4BE4">
      <w:pPr>
        <w:rPr>
          <w:szCs w:val="22"/>
          <w:lang w:val="fr-FR"/>
        </w:rPr>
      </w:pPr>
    </w:p>
    <w:p w14:paraId="36A91315" w14:textId="77777777" w:rsidR="001C4BE4" w:rsidRPr="001C4BE4" w:rsidRDefault="001C4BE4" w:rsidP="001C4BE4">
      <w:pPr>
        <w:rPr>
          <w:szCs w:val="22"/>
          <w:lang w:val="fr-FR"/>
        </w:rPr>
      </w:pPr>
    </w:p>
    <w:p w14:paraId="0F4DD2B1" w14:textId="77777777" w:rsidR="001C4BE4" w:rsidRPr="001C4BE4" w:rsidRDefault="001C4BE4" w:rsidP="001C4BE4">
      <w:pPr>
        <w:rPr>
          <w:szCs w:val="22"/>
          <w:u w:val="single"/>
          <w:lang w:val="fr-FR"/>
        </w:rPr>
      </w:pPr>
      <w:r w:rsidRPr="001C4BE4">
        <w:rPr>
          <w:szCs w:val="22"/>
          <w:u w:val="single"/>
          <w:lang w:val="fr-FR"/>
        </w:rPr>
        <w:t>MAROC/MOROCCO</w:t>
      </w:r>
    </w:p>
    <w:p w14:paraId="37987D69" w14:textId="77777777" w:rsidR="001C4BE4" w:rsidRPr="001C4BE4" w:rsidRDefault="001C4BE4" w:rsidP="001C4BE4">
      <w:pPr>
        <w:rPr>
          <w:szCs w:val="22"/>
          <w:lang w:val="fr-FR"/>
        </w:rPr>
      </w:pPr>
    </w:p>
    <w:p w14:paraId="700FE5F4" w14:textId="1D5A9545" w:rsidR="001C4BE4" w:rsidRPr="001C4BE4" w:rsidRDefault="001C4BE4" w:rsidP="001C4BE4">
      <w:pPr>
        <w:rPr>
          <w:szCs w:val="22"/>
          <w:lang w:val="fr-FR"/>
        </w:rPr>
      </w:pPr>
      <w:r w:rsidRPr="001C4BE4">
        <w:rPr>
          <w:szCs w:val="22"/>
          <w:lang w:val="fr-FR"/>
        </w:rPr>
        <w:t>Hassan BOUKILI</w:t>
      </w:r>
      <w:r w:rsidR="00FC7127">
        <w:rPr>
          <w:szCs w:val="22"/>
          <w:lang w:val="fr-FR"/>
        </w:rPr>
        <w:t xml:space="preserve"> (M.)</w:t>
      </w:r>
      <w:r w:rsidRPr="001C4BE4">
        <w:rPr>
          <w:szCs w:val="22"/>
          <w:lang w:val="fr-FR"/>
        </w:rPr>
        <w:t xml:space="preserve">, chargé d’affaires </w:t>
      </w:r>
      <w:proofErr w:type="spellStart"/>
      <w:proofErr w:type="gramStart"/>
      <w:r w:rsidRPr="001C4BE4">
        <w:rPr>
          <w:i/>
          <w:szCs w:val="22"/>
          <w:lang w:val="fr-FR"/>
        </w:rPr>
        <w:t>a.i</w:t>
      </w:r>
      <w:proofErr w:type="spellEnd"/>
      <w:r w:rsidRPr="001C4BE4">
        <w:rPr>
          <w:szCs w:val="22"/>
          <w:lang w:val="fr-FR"/>
        </w:rPr>
        <w:t>.,</w:t>
      </w:r>
      <w:proofErr w:type="gramEnd"/>
      <w:r w:rsidRPr="001C4BE4">
        <w:rPr>
          <w:szCs w:val="22"/>
          <w:lang w:val="fr-FR"/>
        </w:rPr>
        <w:t xml:space="preserve"> représentant permanent adjoint, Mission permanente, Genève</w:t>
      </w:r>
    </w:p>
    <w:p w14:paraId="2CF5C66A" w14:textId="77777777" w:rsidR="001C4BE4" w:rsidRPr="001C4BE4" w:rsidRDefault="001C4BE4" w:rsidP="001C4BE4">
      <w:pPr>
        <w:rPr>
          <w:szCs w:val="22"/>
          <w:u w:val="single"/>
          <w:lang w:val="fr-FR"/>
        </w:rPr>
      </w:pPr>
    </w:p>
    <w:p w14:paraId="6BC9A540" w14:textId="77777777" w:rsidR="001C4BE4" w:rsidRPr="001C4BE4" w:rsidRDefault="001C4BE4" w:rsidP="001C4BE4">
      <w:pPr>
        <w:rPr>
          <w:szCs w:val="22"/>
          <w:lang w:val="fr-FR"/>
        </w:rPr>
      </w:pPr>
      <w:proofErr w:type="spellStart"/>
      <w:r w:rsidRPr="001C4BE4">
        <w:rPr>
          <w:szCs w:val="22"/>
          <w:lang w:val="fr-FR"/>
        </w:rPr>
        <w:t>Mouna</w:t>
      </w:r>
      <w:proofErr w:type="spellEnd"/>
      <w:r w:rsidRPr="001C4BE4">
        <w:rPr>
          <w:szCs w:val="22"/>
          <w:lang w:val="fr-FR"/>
        </w:rPr>
        <w:t xml:space="preserve"> BENDAOUD (Mme), examinatrice de brevets, Département des brevets, Office marocain de la propriété industrielle et commerciale (OMPIC), Casablanca</w:t>
      </w:r>
    </w:p>
    <w:p w14:paraId="31D572CD" w14:textId="77777777" w:rsidR="001C4BE4" w:rsidRPr="00C40D5D" w:rsidRDefault="001C4BE4" w:rsidP="001C4BE4">
      <w:pPr>
        <w:rPr>
          <w:szCs w:val="22"/>
          <w:lang w:val="es-ES"/>
        </w:rPr>
      </w:pPr>
      <w:r w:rsidRPr="00C40D5D">
        <w:rPr>
          <w:szCs w:val="22"/>
          <w:u w:val="single"/>
          <w:lang w:val="es-ES"/>
        </w:rPr>
        <w:t xml:space="preserve">bendaoud@ompic.ma </w:t>
      </w:r>
    </w:p>
    <w:p w14:paraId="64A1E156" w14:textId="77777777" w:rsidR="001C4BE4" w:rsidRPr="00C40D5D" w:rsidRDefault="001C4BE4" w:rsidP="001C4BE4">
      <w:pPr>
        <w:rPr>
          <w:szCs w:val="22"/>
          <w:lang w:val="es-ES"/>
        </w:rPr>
      </w:pPr>
    </w:p>
    <w:p w14:paraId="314E894B" w14:textId="74F9C6B8" w:rsidR="001C4BE4" w:rsidRPr="00045641" w:rsidRDefault="001C4BE4" w:rsidP="001C4BE4">
      <w:pPr>
        <w:rPr>
          <w:szCs w:val="22"/>
          <w:lang w:val="fr-FR"/>
        </w:rPr>
      </w:pPr>
      <w:r w:rsidRPr="00045641">
        <w:rPr>
          <w:szCs w:val="22"/>
          <w:lang w:val="fr-FR"/>
        </w:rPr>
        <w:t>Khalid DAHBI</w:t>
      </w:r>
      <w:r w:rsidR="00FC7127" w:rsidRPr="009210E0">
        <w:rPr>
          <w:szCs w:val="22"/>
          <w:lang w:val="fr-FR"/>
        </w:rPr>
        <w:t xml:space="preserve"> (M.</w:t>
      </w:r>
      <w:r w:rsidR="00FC7127" w:rsidRPr="00C40D5D">
        <w:rPr>
          <w:szCs w:val="22"/>
          <w:lang w:val="fr-FR"/>
        </w:rPr>
        <w:t>)</w:t>
      </w:r>
      <w:r w:rsidRPr="00045641">
        <w:rPr>
          <w:szCs w:val="22"/>
          <w:lang w:val="fr-FR"/>
        </w:rPr>
        <w:t xml:space="preserve">, </w:t>
      </w:r>
      <w:proofErr w:type="gramStart"/>
      <w:r w:rsidRPr="00045641">
        <w:rPr>
          <w:szCs w:val="22"/>
          <w:lang w:val="fr-FR"/>
        </w:rPr>
        <w:t>conseiller</w:t>
      </w:r>
      <w:proofErr w:type="gramEnd"/>
      <w:r w:rsidRPr="00045641">
        <w:rPr>
          <w:szCs w:val="22"/>
          <w:lang w:val="fr-FR"/>
        </w:rPr>
        <w:t>, Mission permanente, Genève</w:t>
      </w:r>
    </w:p>
    <w:p w14:paraId="2CF5CF0D" w14:textId="77777777" w:rsidR="001C4BE4" w:rsidRPr="00FC7127" w:rsidRDefault="001C4BE4" w:rsidP="001C4BE4">
      <w:pPr>
        <w:rPr>
          <w:szCs w:val="22"/>
          <w:lang w:val="fr-FR"/>
        </w:rPr>
      </w:pPr>
    </w:p>
    <w:p w14:paraId="6D14E02A" w14:textId="77777777" w:rsidR="001C4BE4" w:rsidRPr="00FC7127" w:rsidRDefault="001C4BE4" w:rsidP="001C4BE4">
      <w:pPr>
        <w:rPr>
          <w:szCs w:val="22"/>
          <w:lang w:val="fr-FR"/>
        </w:rPr>
      </w:pPr>
    </w:p>
    <w:p w14:paraId="54E89F2C" w14:textId="77777777" w:rsidR="001C4BE4" w:rsidRPr="001C4BE4" w:rsidRDefault="001C4BE4" w:rsidP="001C4BE4">
      <w:pPr>
        <w:rPr>
          <w:szCs w:val="22"/>
          <w:u w:val="single"/>
          <w:lang w:val="es-ES"/>
        </w:rPr>
      </w:pPr>
      <w:r w:rsidRPr="001C4BE4">
        <w:rPr>
          <w:szCs w:val="22"/>
          <w:u w:val="single"/>
          <w:lang w:val="es-ES"/>
        </w:rPr>
        <w:t>MEXIQUE/MEXICO</w:t>
      </w:r>
    </w:p>
    <w:p w14:paraId="7B2F34D2" w14:textId="77777777" w:rsidR="001C4BE4" w:rsidRPr="001C4BE4" w:rsidRDefault="001C4BE4" w:rsidP="001C4BE4">
      <w:pPr>
        <w:rPr>
          <w:szCs w:val="22"/>
          <w:u w:val="single"/>
          <w:lang w:val="es-ES"/>
        </w:rPr>
      </w:pPr>
    </w:p>
    <w:p w14:paraId="5D0A5453" w14:textId="77777777" w:rsidR="001C4BE4" w:rsidRPr="001C4BE4" w:rsidRDefault="001C4BE4" w:rsidP="001C4BE4">
      <w:pPr>
        <w:rPr>
          <w:szCs w:val="22"/>
          <w:lang w:val="es-ES"/>
        </w:rPr>
      </w:pPr>
      <w:proofErr w:type="spellStart"/>
      <w:r w:rsidRPr="001C4BE4">
        <w:rPr>
          <w:szCs w:val="22"/>
          <w:lang w:val="es-ES"/>
        </w:rPr>
        <w:t>Emelia</w:t>
      </w:r>
      <w:proofErr w:type="spellEnd"/>
      <w:r w:rsidRPr="001C4BE4">
        <w:rPr>
          <w:szCs w:val="22"/>
          <w:lang w:val="es-ES"/>
        </w:rPr>
        <w:t xml:space="preserve"> HERNÁNDEZ PRIEGO (Sra.), Subdirectora Divisional, Subdirección Divisional de Examen de Fondo de Patentes, Instituto Mexicano de la Propiedad Industrial (IMPI), Ciudad de México</w:t>
      </w:r>
    </w:p>
    <w:p w14:paraId="7051CDB0" w14:textId="77777777" w:rsidR="001C4BE4" w:rsidRPr="001C4BE4" w:rsidRDefault="001C4BE4" w:rsidP="001C4BE4">
      <w:pPr>
        <w:rPr>
          <w:szCs w:val="22"/>
          <w:lang w:val="es-ES"/>
        </w:rPr>
      </w:pPr>
    </w:p>
    <w:p w14:paraId="0D4CDB77" w14:textId="6297872B" w:rsidR="001C4BE4" w:rsidRPr="001C4BE4" w:rsidRDefault="001C4BE4" w:rsidP="001C4BE4">
      <w:pPr>
        <w:rPr>
          <w:szCs w:val="22"/>
          <w:lang w:val="es-ES"/>
        </w:rPr>
      </w:pPr>
      <w:r w:rsidRPr="001C4BE4">
        <w:rPr>
          <w:szCs w:val="22"/>
          <w:lang w:val="es-ES"/>
        </w:rPr>
        <w:t>Juan Carlos MORALES VARGAS</w:t>
      </w:r>
      <w:r w:rsidR="00FC7127">
        <w:rPr>
          <w:szCs w:val="22"/>
          <w:lang w:val="es-ES"/>
        </w:rPr>
        <w:t xml:space="preserve"> (Sr.)</w:t>
      </w:r>
      <w:r w:rsidRPr="001C4BE4">
        <w:rPr>
          <w:szCs w:val="22"/>
          <w:lang w:val="es-ES"/>
        </w:rPr>
        <w:t>, Subdirector Divisional de Asuntos Multilaterales y Cooperación Técnica, Dirección Divisional de Relaciones Internacionales, Instituto Mexicano de la Propiedad Industrial (IMPI), Ciudad de México</w:t>
      </w:r>
    </w:p>
    <w:p w14:paraId="588C27E4" w14:textId="77777777" w:rsidR="001C4BE4" w:rsidRPr="001C4BE4" w:rsidRDefault="001C4BE4" w:rsidP="001C4BE4">
      <w:pPr>
        <w:rPr>
          <w:szCs w:val="22"/>
          <w:lang w:val="es-ES"/>
        </w:rPr>
      </w:pPr>
      <w:r w:rsidRPr="001C4BE4">
        <w:rPr>
          <w:szCs w:val="22"/>
          <w:u w:val="single"/>
          <w:lang w:val="es-ES"/>
        </w:rPr>
        <w:t xml:space="preserve">juancarlos.morales@impi.gob.mx </w:t>
      </w:r>
    </w:p>
    <w:p w14:paraId="13E3307F" w14:textId="77777777" w:rsidR="001C4BE4" w:rsidRPr="001C4BE4" w:rsidRDefault="001C4BE4" w:rsidP="001C4BE4">
      <w:pPr>
        <w:rPr>
          <w:szCs w:val="22"/>
          <w:lang w:val="es-ES"/>
        </w:rPr>
      </w:pPr>
    </w:p>
    <w:p w14:paraId="0DC82360" w14:textId="77777777" w:rsidR="001C4BE4" w:rsidRPr="001C4BE4" w:rsidRDefault="001C4BE4" w:rsidP="001C4BE4">
      <w:pPr>
        <w:rPr>
          <w:szCs w:val="22"/>
          <w:lang w:val="es-ES"/>
        </w:rPr>
      </w:pPr>
      <w:r w:rsidRPr="001C4BE4">
        <w:rPr>
          <w:szCs w:val="22"/>
          <w:lang w:val="es-ES"/>
        </w:rPr>
        <w:t>Maria del Pilar ESCOBAR (Sra.), Consejera, Misión Permanente, Ginebra</w:t>
      </w:r>
    </w:p>
    <w:p w14:paraId="5201C5EF" w14:textId="77777777" w:rsidR="001C4BE4" w:rsidRPr="00737182" w:rsidRDefault="001C4BE4" w:rsidP="001C4BE4">
      <w:pPr>
        <w:rPr>
          <w:szCs w:val="22"/>
          <w:lang w:val="es-ES_tradnl"/>
        </w:rPr>
      </w:pPr>
      <w:r w:rsidRPr="00737182">
        <w:rPr>
          <w:szCs w:val="22"/>
          <w:u w:val="single"/>
          <w:lang w:val="es-ES_tradnl"/>
        </w:rPr>
        <w:t xml:space="preserve">pescobar@sre.gob.mx </w:t>
      </w:r>
    </w:p>
    <w:p w14:paraId="2913342C" w14:textId="77777777" w:rsidR="00AD7FF8" w:rsidRDefault="00AD7FF8" w:rsidP="001C4BE4">
      <w:pPr>
        <w:rPr>
          <w:szCs w:val="22"/>
          <w:lang w:val="es-ES"/>
        </w:rPr>
      </w:pPr>
    </w:p>
    <w:p w14:paraId="60C5475C" w14:textId="77777777" w:rsidR="001C4BE4" w:rsidRPr="00AD7FF8" w:rsidRDefault="00AD7FF8" w:rsidP="001C4BE4">
      <w:pPr>
        <w:rPr>
          <w:szCs w:val="22"/>
          <w:lang w:val="es-ES"/>
        </w:rPr>
      </w:pPr>
      <w:r w:rsidRPr="00AD7FF8">
        <w:rPr>
          <w:szCs w:val="22"/>
          <w:lang w:val="es-ES"/>
        </w:rPr>
        <w:t>Magali ESQUINCA (Sra.), Asistente, Misión Permanente, Ginebra</w:t>
      </w:r>
    </w:p>
    <w:p w14:paraId="0B4F8A4A" w14:textId="77777777" w:rsidR="00AD7FF8" w:rsidRPr="00AD7FF8" w:rsidRDefault="00AD7FF8" w:rsidP="001C4BE4">
      <w:pPr>
        <w:rPr>
          <w:szCs w:val="22"/>
          <w:lang w:val="es-ES"/>
        </w:rPr>
      </w:pPr>
    </w:p>
    <w:p w14:paraId="0578E1A6" w14:textId="77777777" w:rsidR="00AD7FF8" w:rsidRPr="00AD7FF8" w:rsidRDefault="00AD7FF8" w:rsidP="001C4BE4">
      <w:pPr>
        <w:rPr>
          <w:szCs w:val="22"/>
          <w:lang w:val="es-ES"/>
        </w:rPr>
      </w:pPr>
    </w:p>
    <w:p w14:paraId="11055CD1" w14:textId="77777777" w:rsidR="00F57685" w:rsidRDefault="00F57685" w:rsidP="001C4BE4">
      <w:pPr>
        <w:rPr>
          <w:szCs w:val="22"/>
          <w:u w:val="single"/>
          <w:lang w:val="es-ES"/>
        </w:rPr>
      </w:pPr>
    </w:p>
    <w:p w14:paraId="7394E6BE" w14:textId="77777777" w:rsidR="001C4BE4" w:rsidRPr="00737182" w:rsidRDefault="001C4BE4" w:rsidP="001C4BE4">
      <w:pPr>
        <w:rPr>
          <w:szCs w:val="22"/>
          <w:u w:val="single"/>
        </w:rPr>
      </w:pPr>
      <w:r w:rsidRPr="00737182">
        <w:rPr>
          <w:szCs w:val="22"/>
          <w:u w:val="single"/>
        </w:rPr>
        <w:t>MOZAMBIQUE</w:t>
      </w:r>
    </w:p>
    <w:p w14:paraId="3264EC67" w14:textId="77777777" w:rsidR="001C4BE4" w:rsidRPr="00737182" w:rsidRDefault="001C4BE4" w:rsidP="001C4BE4">
      <w:pPr>
        <w:rPr>
          <w:szCs w:val="22"/>
        </w:rPr>
      </w:pPr>
    </w:p>
    <w:p w14:paraId="64CDFC1D" w14:textId="6A296119" w:rsidR="001C4BE4" w:rsidRPr="001C4BE4" w:rsidRDefault="001C4BE4" w:rsidP="001C4BE4">
      <w:pPr>
        <w:rPr>
          <w:szCs w:val="22"/>
        </w:rPr>
      </w:pPr>
      <w:r w:rsidRPr="001C4BE4">
        <w:rPr>
          <w:szCs w:val="22"/>
        </w:rPr>
        <w:t>Pedro COMISSÁRIO</w:t>
      </w:r>
      <w:r w:rsidR="00FC7127">
        <w:rPr>
          <w:szCs w:val="22"/>
        </w:rPr>
        <w:t xml:space="preserve"> (Mr.)</w:t>
      </w:r>
      <w:r w:rsidRPr="001C4BE4">
        <w:rPr>
          <w:szCs w:val="22"/>
        </w:rPr>
        <w:t>, Ambassador, Permanent Representative, Permanent Mission, Geneva</w:t>
      </w:r>
    </w:p>
    <w:p w14:paraId="4D4DD66D" w14:textId="77777777" w:rsidR="001C4BE4" w:rsidRPr="001C4BE4" w:rsidRDefault="001C4BE4" w:rsidP="001C4BE4">
      <w:pPr>
        <w:rPr>
          <w:szCs w:val="22"/>
        </w:rPr>
      </w:pPr>
      <w:r w:rsidRPr="001C4BE4">
        <w:rPr>
          <w:szCs w:val="22"/>
          <w:u w:val="single"/>
        </w:rPr>
        <w:t xml:space="preserve">mission.mozambique@bluewin.ch </w:t>
      </w:r>
    </w:p>
    <w:p w14:paraId="3E27F109" w14:textId="77777777" w:rsidR="001C4BE4" w:rsidRPr="001C4BE4" w:rsidRDefault="001C4BE4" w:rsidP="001C4BE4">
      <w:pPr>
        <w:rPr>
          <w:szCs w:val="22"/>
        </w:rPr>
      </w:pPr>
    </w:p>
    <w:p w14:paraId="1D56AD27" w14:textId="77777777" w:rsidR="001C4BE4" w:rsidRPr="001C4BE4" w:rsidRDefault="001C4BE4" w:rsidP="001C4BE4">
      <w:pPr>
        <w:rPr>
          <w:szCs w:val="22"/>
        </w:rPr>
      </w:pPr>
      <w:r w:rsidRPr="001C4BE4">
        <w:rPr>
          <w:szCs w:val="22"/>
        </w:rPr>
        <w:t>Margo BAGLEY (Ms.), Professor of Law, Emory University School of Law, Atlanta</w:t>
      </w:r>
    </w:p>
    <w:p w14:paraId="213D8491" w14:textId="77777777" w:rsidR="001C4BE4" w:rsidRPr="001C4BE4" w:rsidRDefault="001C4BE4" w:rsidP="001C4BE4">
      <w:pPr>
        <w:rPr>
          <w:szCs w:val="22"/>
        </w:rPr>
      </w:pPr>
      <w:r w:rsidRPr="001C4BE4">
        <w:rPr>
          <w:szCs w:val="22"/>
          <w:u w:val="single"/>
        </w:rPr>
        <w:t xml:space="preserve">margo.bagley@gmail.com </w:t>
      </w:r>
    </w:p>
    <w:p w14:paraId="50136885" w14:textId="77777777" w:rsidR="001C4BE4" w:rsidRPr="001C4BE4" w:rsidRDefault="001C4BE4" w:rsidP="001C4BE4">
      <w:pPr>
        <w:rPr>
          <w:szCs w:val="22"/>
        </w:rPr>
      </w:pPr>
    </w:p>
    <w:p w14:paraId="139D98DA" w14:textId="77777777" w:rsidR="001C4BE4" w:rsidRPr="001C4BE4" w:rsidRDefault="001C4BE4" w:rsidP="001C4BE4">
      <w:pPr>
        <w:rPr>
          <w:szCs w:val="22"/>
        </w:rPr>
      </w:pPr>
      <w:r w:rsidRPr="001C4BE4">
        <w:rPr>
          <w:szCs w:val="22"/>
        </w:rPr>
        <w:t>Olga MUNGUAMBE (Ms.), Counsellor, Permanent Mission, Geneva</w:t>
      </w:r>
    </w:p>
    <w:p w14:paraId="1FFD9134" w14:textId="77777777" w:rsidR="001C4BE4" w:rsidRPr="001C4BE4" w:rsidRDefault="001C4BE4" w:rsidP="001C4BE4">
      <w:pPr>
        <w:rPr>
          <w:szCs w:val="22"/>
        </w:rPr>
      </w:pPr>
      <w:r w:rsidRPr="001C4BE4">
        <w:rPr>
          <w:szCs w:val="22"/>
          <w:u w:val="single"/>
        </w:rPr>
        <w:t xml:space="preserve">mission.mozambique@bluewin.ch </w:t>
      </w:r>
    </w:p>
    <w:p w14:paraId="5DB83F98" w14:textId="77777777" w:rsidR="001C4BE4" w:rsidRPr="001C4BE4" w:rsidRDefault="001C4BE4" w:rsidP="001C4BE4">
      <w:pPr>
        <w:rPr>
          <w:szCs w:val="22"/>
        </w:rPr>
      </w:pPr>
    </w:p>
    <w:p w14:paraId="006CA3E8" w14:textId="77777777" w:rsidR="001C4BE4" w:rsidRPr="001C4BE4" w:rsidRDefault="001C4BE4" w:rsidP="001C4BE4">
      <w:pPr>
        <w:rPr>
          <w:szCs w:val="22"/>
        </w:rPr>
      </w:pPr>
      <w:proofErr w:type="spellStart"/>
      <w:r w:rsidRPr="001C4BE4">
        <w:rPr>
          <w:szCs w:val="22"/>
        </w:rPr>
        <w:t>Francelina</w:t>
      </w:r>
      <w:proofErr w:type="spellEnd"/>
      <w:r w:rsidRPr="001C4BE4">
        <w:rPr>
          <w:szCs w:val="22"/>
        </w:rPr>
        <w:t xml:space="preserve"> ROMÃO (Ms.), Health Counsellor, Permanent Mission, Geneva</w:t>
      </w:r>
    </w:p>
    <w:p w14:paraId="62D8AE28" w14:textId="77777777" w:rsidR="001C4BE4" w:rsidRPr="001C4BE4" w:rsidRDefault="001C4BE4" w:rsidP="001C4BE4">
      <w:pPr>
        <w:rPr>
          <w:szCs w:val="22"/>
          <w:lang w:val="fr-FR"/>
        </w:rPr>
      </w:pPr>
      <w:r w:rsidRPr="001C4BE4">
        <w:rPr>
          <w:szCs w:val="22"/>
          <w:u w:val="single"/>
          <w:lang w:val="fr-FR"/>
        </w:rPr>
        <w:t xml:space="preserve">mission.mozambique@bluewin.ch </w:t>
      </w:r>
    </w:p>
    <w:p w14:paraId="2D9E1B30" w14:textId="77777777" w:rsidR="001C4BE4" w:rsidRPr="001C4BE4" w:rsidRDefault="001C4BE4" w:rsidP="001C4BE4">
      <w:pPr>
        <w:rPr>
          <w:szCs w:val="22"/>
          <w:lang w:val="fr-FR"/>
        </w:rPr>
      </w:pPr>
    </w:p>
    <w:p w14:paraId="2585B989" w14:textId="77777777" w:rsidR="001C4BE4" w:rsidRPr="001C4BE4" w:rsidRDefault="001C4BE4" w:rsidP="001C4BE4">
      <w:pPr>
        <w:rPr>
          <w:szCs w:val="22"/>
          <w:lang w:val="fr-FR"/>
        </w:rPr>
      </w:pPr>
    </w:p>
    <w:p w14:paraId="162B7FFC" w14:textId="77777777" w:rsidR="001C4BE4" w:rsidRPr="001C4BE4" w:rsidRDefault="001C4BE4" w:rsidP="001C4BE4">
      <w:pPr>
        <w:rPr>
          <w:szCs w:val="22"/>
          <w:u w:val="single"/>
          <w:lang w:val="fr-FR"/>
        </w:rPr>
      </w:pPr>
      <w:r w:rsidRPr="001C4BE4">
        <w:rPr>
          <w:szCs w:val="22"/>
          <w:u w:val="single"/>
          <w:lang w:val="fr-FR"/>
        </w:rPr>
        <w:t>NAMIBIE/NAMIBIA</w:t>
      </w:r>
    </w:p>
    <w:p w14:paraId="1DD99767" w14:textId="77777777" w:rsidR="001C4BE4" w:rsidRPr="001C4BE4" w:rsidRDefault="001C4BE4" w:rsidP="001C4BE4">
      <w:pPr>
        <w:rPr>
          <w:szCs w:val="22"/>
          <w:u w:val="single"/>
          <w:lang w:val="fr-FR"/>
        </w:rPr>
      </w:pPr>
    </w:p>
    <w:p w14:paraId="3F920E61" w14:textId="303749FF" w:rsidR="001C4BE4" w:rsidRPr="001C4BE4" w:rsidRDefault="001C4BE4" w:rsidP="001C4BE4">
      <w:pPr>
        <w:rPr>
          <w:szCs w:val="22"/>
        </w:rPr>
      </w:pPr>
      <w:r w:rsidRPr="001C4BE4">
        <w:rPr>
          <w:szCs w:val="22"/>
        </w:rPr>
        <w:t>Pierre DU PLESSIS</w:t>
      </w:r>
      <w:r w:rsidR="00FC7127">
        <w:rPr>
          <w:szCs w:val="22"/>
        </w:rPr>
        <w:t xml:space="preserve"> (Mr.)</w:t>
      </w:r>
      <w:r w:rsidRPr="001C4BE4">
        <w:rPr>
          <w:szCs w:val="22"/>
        </w:rPr>
        <w:t>, Senior Consultant on ABS, Department of Environmental Affairs, Ministry of Environment and Tourism, Windhoek</w:t>
      </w:r>
    </w:p>
    <w:p w14:paraId="613E6F69" w14:textId="77777777" w:rsidR="001C4BE4" w:rsidRPr="001C4BE4" w:rsidRDefault="001C4BE4" w:rsidP="001C4BE4">
      <w:pPr>
        <w:rPr>
          <w:szCs w:val="22"/>
        </w:rPr>
      </w:pPr>
    </w:p>
    <w:p w14:paraId="3344F69F" w14:textId="77777777" w:rsidR="001C4BE4" w:rsidRPr="001C4BE4" w:rsidRDefault="001C4BE4" w:rsidP="001C4BE4">
      <w:pPr>
        <w:rPr>
          <w:szCs w:val="22"/>
        </w:rPr>
      </w:pPr>
    </w:p>
    <w:p w14:paraId="77B605AE" w14:textId="77777777" w:rsidR="001C4BE4" w:rsidRPr="001C4BE4" w:rsidRDefault="001C4BE4" w:rsidP="001C4BE4">
      <w:pPr>
        <w:rPr>
          <w:szCs w:val="22"/>
          <w:u w:val="single"/>
          <w:lang w:val="fr-FR"/>
        </w:rPr>
      </w:pPr>
      <w:r w:rsidRPr="001C4BE4">
        <w:rPr>
          <w:szCs w:val="22"/>
          <w:u w:val="single"/>
          <w:lang w:val="fr-FR"/>
        </w:rPr>
        <w:t>NIGER</w:t>
      </w:r>
    </w:p>
    <w:p w14:paraId="1D04CED6" w14:textId="77777777" w:rsidR="001C4BE4" w:rsidRPr="001C4BE4" w:rsidRDefault="001C4BE4" w:rsidP="001C4BE4">
      <w:pPr>
        <w:rPr>
          <w:szCs w:val="22"/>
          <w:u w:val="single"/>
          <w:lang w:val="fr-FR"/>
        </w:rPr>
      </w:pPr>
    </w:p>
    <w:p w14:paraId="5C7FAD80" w14:textId="14B49A2B" w:rsidR="001C4BE4" w:rsidRPr="001C4BE4" w:rsidRDefault="001C4BE4" w:rsidP="001C4BE4">
      <w:pPr>
        <w:rPr>
          <w:szCs w:val="22"/>
          <w:lang w:val="fr-FR"/>
        </w:rPr>
      </w:pPr>
      <w:r w:rsidRPr="001C4BE4">
        <w:rPr>
          <w:szCs w:val="22"/>
          <w:lang w:val="fr-FR"/>
        </w:rPr>
        <w:t>Amadou TANKOANO</w:t>
      </w:r>
      <w:r w:rsidR="00FC7127">
        <w:rPr>
          <w:szCs w:val="22"/>
          <w:lang w:val="fr-FR"/>
        </w:rPr>
        <w:t xml:space="preserve"> (Mr.)</w:t>
      </w:r>
      <w:r w:rsidRPr="001C4BE4">
        <w:rPr>
          <w:szCs w:val="22"/>
          <w:lang w:val="fr-FR"/>
        </w:rPr>
        <w:t xml:space="preserve">, professeur de droit de propriété industrielle, Faculté des sciences économiques et juridiques, Université Abdou </w:t>
      </w:r>
      <w:proofErr w:type="spellStart"/>
      <w:r w:rsidRPr="001C4BE4">
        <w:rPr>
          <w:szCs w:val="22"/>
          <w:lang w:val="fr-FR"/>
        </w:rPr>
        <w:t>Moumouni</w:t>
      </w:r>
      <w:proofErr w:type="spellEnd"/>
      <w:r w:rsidRPr="001C4BE4">
        <w:rPr>
          <w:szCs w:val="22"/>
          <w:lang w:val="fr-FR"/>
        </w:rPr>
        <w:t xml:space="preserve"> de Niamey, Niamey</w:t>
      </w:r>
    </w:p>
    <w:p w14:paraId="292FE576" w14:textId="77777777" w:rsidR="001C4BE4" w:rsidRPr="001C4BE4" w:rsidRDefault="001C4BE4" w:rsidP="001C4BE4">
      <w:pPr>
        <w:tabs>
          <w:tab w:val="left" w:pos="799"/>
        </w:tabs>
        <w:rPr>
          <w:szCs w:val="22"/>
          <w:lang w:val="fr-FR"/>
        </w:rPr>
      </w:pPr>
    </w:p>
    <w:p w14:paraId="2D82B12A" w14:textId="77777777" w:rsidR="001C4BE4" w:rsidRPr="001C4BE4" w:rsidRDefault="001C4BE4" w:rsidP="001C4BE4">
      <w:pPr>
        <w:tabs>
          <w:tab w:val="left" w:pos="799"/>
        </w:tabs>
        <w:rPr>
          <w:szCs w:val="22"/>
          <w:lang w:val="fr-FR"/>
        </w:rPr>
      </w:pPr>
    </w:p>
    <w:p w14:paraId="09D3752C" w14:textId="77777777" w:rsidR="001C4BE4" w:rsidRPr="001C4BE4" w:rsidRDefault="001C4BE4" w:rsidP="001C4BE4">
      <w:pPr>
        <w:rPr>
          <w:szCs w:val="22"/>
          <w:u w:val="single"/>
        </w:rPr>
      </w:pPr>
      <w:r w:rsidRPr="001C4BE4">
        <w:rPr>
          <w:szCs w:val="22"/>
          <w:u w:val="single"/>
        </w:rPr>
        <w:t>NIGÉRIA/NIGERIA</w:t>
      </w:r>
    </w:p>
    <w:p w14:paraId="1042D574" w14:textId="77777777" w:rsidR="001C4BE4" w:rsidRPr="001C4BE4" w:rsidRDefault="001C4BE4" w:rsidP="001C4BE4">
      <w:pPr>
        <w:rPr>
          <w:szCs w:val="22"/>
          <w:u w:val="single"/>
        </w:rPr>
      </w:pPr>
    </w:p>
    <w:p w14:paraId="6F038D04" w14:textId="492107CD" w:rsidR="00A71110" w:rsidRDefault="00A71110" w:rsidP="001C4BE4">
      <w:pPr>
        <w:rPr>
          <w:szCs w:val="22"/>
        </w:rPr>
      </w:pPr>
      <w:r w:rsidRPr="00A71110">
        <w:rPr>
          <w:szCs w:val="22"/>
        </w:rPr>
        <w:t>Ben OKOYEN</w:t>
      </w:r>
      <w:r w:rsidR="00FC7127">
        <w:rPr>
          <w:szCs w:val="22"/>
        </w:rPr>
        <w:t xml:space="preserve"> (Mr.)</w:t>
      </w:r>
      <w:r w:rsidRPr="00A71110">
        <w:rPr>
          <w:szCs w:val="22"/>
        </w:rPr>
        <w:t>, Minister, Permanent Mission, Geneva</w:t>
      </w:r>
    </w:p>
    <w:p w14:paraId="7645D666" w14:textId="77777777" w:rsidR="00A71110" w:rsidRDefault="00A71110" w:rsidP="001C4BE4">
      <w:pPr>
        <w:rPr>
          <w:szCs w:val="22"/>
        </w:rPr>
      </w:pPr>
    </w:p>
    <w:p w14:paraId="703F024F" w14:textId="77777777" w:rsidR="00A71110" w:rsidRDefault="00A71110" w:rsidP="00A71110">
      <w:pPr>
        <w:rPr>
          <w:szCs w:val="22"/>
        </w:rPr>
      </w:pPr>
      <w:proofErr w:type="spellStart"/>
      <w:r w:rsidRPr="00A71110">
        <w:rPr>
          <w:szCs w:val="22"/>
        </w:rPr>
        <w:t>Ugomma</w:t>
      </w:r>
      <w:proofErr w:type="spellEnd"/>
      <w:r w:rsidRPr="00A71110">
        <w:rPr>
          <w:szCs w:val="22"/>
        </w:rPr>
        <w:t xml:space="preserve"> EBIRIM (Ms.), Senior Lecturer, Global Policy Department, University of Nigeria, </w:t>
      </w:r>
      <w:proofErr w:type="spellStart"/>
      <w:r w:rsidRPr="00A71110">
        <w:rPr>
          <w:szCs w:val="22"/>
        </w:rPr>
        <w:t>Nsukka</w:t>
      </w:r>
      <w:proofErr w:type="spellEnd"/>
    </w:p>
    <w:p w14:paraId="3C488942" w14:textId="77777777" w:rsidR="00A71110" w:rsidRPr="00A71110" w:rsidRDefault="00A71110" w:rsidP="00A71110">
      <w:pPr>
        <w:rPr>
          <w:szCs w:val="22"/>
        </w:rPr>
      </w:pPr>
    </w:p>
    <w:p w14:paraId="45C68CDB" w14:textId="786A4F74" w:rsidR="001C4BE4" w:rsidRPr="001C4BE4" w:rsidRDefault="001C4BE4" w:rsidP="001C4BE4">
      <w:pPr>
        <w:rPr>
          <w:szCs w:val="22"/>
        </w:rPr>
      </w:pPr>
      <w:proofErr w:type="spellStart"/>
      <w:r w:rsidRPr="001C4BE4">
        <w:rPr>
          <w:szCs w:val="22"/>
        </w:rPr>
        <w:t>Chidi</w:t>
      </w:r>
      <w:proofErr w:type="spellEnd"/>
      <w:r w:rsidRPr="001C4BE4">
        <w:rPr>
          <w:szCs w:val="22"/>
        </w:rPr>
        <w:t xml:space="preserve"> OGUAMANAM</w:t>
      </w:r>
      <w:r w:rsidR="00FC7127">
        <w:rPr>
          <w:szCs w:val="22"/>
        </w:rPr>
        <w:t xml:space="preserve"> (Mr.)</w:t>
      </w:r>
      <w:r w:rsidRPr="001C4BE4">
        <w:rPr>
          <w:szCs w:val="22"/>
        </w:rPr>
        <w:t>, Professor of Law, University of Ottawa, Ottawa</w:t>
      </w:r>
    </w:p>
    <w:p w14:paraId="6D168C44" w14:textId="77777777" w:rsidR="001C4BE4" w:rsidRPr="001C4BE4" w:rsidRDefault="001C4BE4" w:rsidP="001C4BE4">
      <w:pPr>
        <w:rPr>
          <w:szCs w:val="22"/>
        </w:rPr>
      </w:pPr>
    </w:p>
    <w:p w14:paraId="150FFD53" w14:textId="77777777" w:rsidR="001C4BE4" w:rsidRPr="001C4BE4" w:rsidRDefault="001C4BE4" w:rsidP="001C4BE4">
      <w:pPr>
        <w:rPr>
          <w:szCs w:val="22"/>
        </w:rPr>
      </w:pPr>
      <w:r w:rsidRPr="001C4BE4">
        <w:rPr>
          <w:szCs w:val="22"/>
        </w:rPr>
        <w:t>Ruth OKEDIJI (Ms.), Professor of Law, Harvard Law School, Massachusetts</w:t>
      </w:r>
    </w:p>
    <w:p w14:paraId="21760CEE" w14:textId="77777777" w:rsidR="001C4BE4" w:rsidRPr="001C4BE4" w:rsidRDefault="001C4BE4" w:rsidP="001C4BE4">
      <w:pPr>
        <w:rPr>
          <w:szCs w:val="22"/>
        </w:rPr>
      </w:pPr>
    </w:p>
    <w:p w14:paraId="48DACDA5" w14:textId="77777777" w:rsidR="001C4BE4" w:rsidRPr="001C4BE4" w:rsidRDefault="001C4BE4" w:rsidP="001C4BE4">
      <w:pPr>
        <w:rPr>
          <w:szCs w:val="22"/>
        </w:rPr>
      </w:pPr>
      <w:r w:rsidRPr="001C4BE4">
        <w:rPr>
          <w:szCs w:val="22"/>
        </w:rPr>
        <w:t>Chichi UMESI (Ms.), Counsellor, Permanent Mission, Geneva</w:t>
      </w:r>
    </w:p>
    <w:p w14:paraId="0D0FFBDA" w14:textId="77777777" w:rsidR="001C4BE4" w:rsidRDefault="001C4BE4" w:rsidP="001C4BE4">
      <w:pPr>
        <w:rPr>
          <w:szCs w:val="22"/>
        </w:rPr>
      </w:pPr>
    </w:p>
    <w:p w14:paraId="393D838E" w14:textId="77777777" w:rsidR="00A71110" w:rsidRPr="001C4BE4" w:rsidRDefault="00A71110" w:rsidP="001C4BE4">
      <w:pPr>
        <w:rPr>
          <w:szCs w:val="22"/>
        </w:rPr>
      </w:pPr>
    </w:p>
    <w:p w14:paraId="07ECC29E" w14:textId="77777777" w:rsidR="00A71110" w:rsidRPr="00A71110" w:rsidRDefault="00A71110" w:rsidP="00A71110">
      <w:pPr>
        <w:rPr>
          <w:szCs w:val="22"/>
          <w:u w:val="single"/>
        </w:rPr>
      </w:pPr>
      <w:r w:rsidRPr="00A71110">
        <w:rPr>
          <w:szCs w:val="22"/>
          <w:u w:val="single"/>
        </w:rPr>
        <w:t>NORVÈGE/NORWAY</w:t>
      </w:r>
    </w:p>
    <w:p w14:paraId="20F2EDAF" w14:textId="77777777" w:rsidR="00A71110" w:rsidRPr="00A71110" w:rsidRDefault="00A71110" w:rsidP="00A71110">
      <w:pPr>
        <w:rPr>
          <w:szCs w:val="22"/>
          <w:u w:val="single"/>
        </w:rPr>
      </w:pPr>
    </w:p>
    <w:p w14:paraId="22951497" w14:textId="71215B36" w:rsidR="00A71110" w:rsidRPr="00A71110" w:rsidRDefault="00A71110" w:rsidP="00A71110">
      <w:pPr>
        <w:rPr>
          <w:szCs w:val="22"/>
        </w:rPr>
      </w:pPr>
      <w:r w:rsidRPr="00A71110">
        <w:rPr>
          <w:szCs w:val="22"/>
        </w:rPr>
        <w:t>Vincent TSANG</w:t>
      </w:r>
      <w:r w:rsidR="00FC7127">
        <w:rPr>
          <w:szCs w:val="22"/>
        </w:rPr>
        <w:t xml:space="preserve"> (Mr.)</w:t>
      </w:r>
      <w:r w:rsidRPr="00A71110">
        <w:rPr>
          <w:szCs w:val="22"/>
        </w:rPr>
        <w:t>, Adviser, Ministry of Justice, Oslo</w:t>
      </w:r>
    </w:p>
    <w:p w14:paraId="4C43994E" w14:textId="77777777" w:rsidR="00A71110" w:rsidRPr="00737182" w:rsidRDefault="00A71110" w:rsidP="00A71110">
      <w:pPr>
        <w:rPr>
          <w:szCs w:val="22"/>
          <w:lang w:val="fr-FR"/>
        </w:rPr>
      </w:pPr>
      <w:r w:rsidRPr="00737182">
        <w:rPr>
          <w:szCs w:val="22"/>
          <w:u w:val="single"/>
          <w:lang w:val="fr-FR"/>
        </w:rPr>
        <w:t xml:space="preserve">vincent.tsang@jd.dep.no </w:t>
      </w:r>
    </w:p>
    <w:p w14:paraId="585D24DE" w14:textId="77777777" w:rsidR="00A71110" w:rsidRPr="00737182" w:rsidRDefault="00A71110" w:rsidP="001C4BE4">
      <w:pPr>
        <w:rPr>
          <w:szCs w:val="22"/>
          <w:lang w:val="fr-FR"/>
        </w:rPr>
      </w:pPr>
    </w:p>
    <w:p w14:paraId="085C4932" w14:textId="77777777" w:rsidR="00A71110" w:rsidRPr="00737182" w:rsidRDefault="00A71110" w:rsidP="001C4BE4">
      <w:pPr>
        <w:rPr>
          <w:szCs w:val="22"/>
          <w:lang w:val="fr-FR"/>
        </w:rPr>
      </w:pPr>
    </w:p>
    <w:p w14:paraId="5770AFE5" w14:textId="77777777" w:rsidR="001C4BE4" w:rsidRPr="00737182" w:rsidRDefault="001C4BE4" w:rsidP="001C4BE4">
      <w:pPr>
        <w:rPr>
          <w:szCs w:val="22"/>
          <w:u w:val="single"/>
          <w:lang w:val="fr-FR"/>
        </w:rPr>
      </w:pPr>
      <w:r w:rsidRPr="00737182">
        <w:rPr>
          <w:szCs w:val="22"/>
          <w:u w:val="single"/>
          <w:lang w:val="fr-FR"/>
        </w:rPr>
        <w:t>NOUVELLE-ZÉLANDE/NEW ZEALAND</w:t>
      </w:r>
    </w:p>
    <w:p w14:paraId="1918CEE4" w14:textId="77777777" w:rsidR="001C4BE4" w:rsidRPr="00737182" w:rsidRDefault="001C4BE4" w:rsidP="001C4BE4">
      <w:pPr>
        <w:rPr>
          <w:szCs w:val="22"/>
          <w:u w:val="single"/>
          <w:lang w:val="fr-FR"/>
        </w:rPr>
      </w:pPr>
    </w:p>
    <w:p w14:paraId="67C5CD7A" w14:textId="77777777" w:rsidR="001C4BE4" w:rsidRPr="001C4BE4" w:rsidRDefault="001C4BE4" w:rsidP="001C4BE4">
      <w:pPr>
        <w:rPr>
          <w:szCs w:val="22"/>
        </w:rPr>
      </w:pPr>
      <w:r w:rsidRPr="001C4BE4">
        <w:rPr>
          <w:szCs w:val="22"/>
        </w:rPr>
        <w:t>Kim CONNOLLY-STONE (Ms.), Policy Director, Digital Economy, Ministry of Business Innovation and Employment, Wellington</w:t>
      </w:r>
    </w:p>
    <w:p w14:paraId="2A68BA8E" w14:textId="77777777" w:rsidR="001C4BE4" w:rsidRPr="001C4BE4" w:rsidRDefault="001C4BE4" w:rsidP="001C4BE4">
      <w:pPr>
        <w:rPr>
          <w:szCs w:val="22"/>
          <w:u w:val="single"/>
        </w:rPr>
      </w:pPr>
      <w:r w:rsidRPr="001C4BE4">
        <w:rPr>
          <w:szCs w:val="22"/>
          <w:u w:val="single"/>
        </w:rPr>
        <w:t xml:space="preserve">kim.connolly-stone@mbie.govt.nz </w:t>
      </w:r>
    </w:p>
    <w:p w14:paraId="0EC9AF62" w14:textId="77777777" w:rsidR="001C4BE4" w:rsidRPr="001C4BE4" w:rsidRDefault="001C4BE4" w:rsidP="001C4BE4">
      <w:pPr>
        <w:rPr>
          <w:szCs w:val="22"/>
        </w:rPr>
      </w:pPr>
    </w:p>
    <w:p w14:paraId="6A59F540" w14:textId="77777777" w:rsidR="001C4BE4" w:rsidRPr="001C4BE4" w:rsidRDefault="001C4BE4" w:rsidP="001C4BE4">
      <w:pPr>
        <w:rPr>
          <w:szCs w:val="22"/>
        </w:rPr>
      </w:pPr>
      <w:proofErr w:type="spellStart"/>
      <w:r w:rsidRPr="001C4BE4">
        <w:rPr>
          <w:szCs w:val="22"/>
        </w:rPr>
        <w:t>Ema</w:t>
      </w:r>
      <w:proofErr w:type="spellEnd"/>
      <w:r w:rsidRPr="001C4BE4">
        <w:rPr>
          <w:szCs w:val="22"/>
        </w:rPr>
        <w:t xml:space="preserve"> HAO’ULI (Ms.), Policy Advisor, Business Law, Ministry of Business, Innovation and Employment, Wellington</w:t>
      </w:r>
    </w:p>
    <w:p w14:paraId="1822905D" w14:textId="77777777" w:rsidR="001C4BE4" w:rsidRPr="001C4BE4" w:rsidRDefault="001C4BE4" w:rsidP="001C4BE4">
      <w:pPr>
        <w:rPr>
          <w:szCs w:val="22"/>
          <w:lang w:val="fr-FR"/>
        </w:rPr>
      </w:pPr>
      <w:r w:rsidRPr="001C4BE4">
        <w:rPr>
          <w:szCs w:val="22"/>
          <w:u w:val="single"/>
          <w:lang w:val="fr-FR"/>
        </w:rPr>
        <w:t xml:space="preserve">ema.haouli@mbie.govt.nz </w:t>
      </w:r>
    </w:p>
    <w:p w14:paraId="0108F9C9" w14:textId="77777777" w:rsidR="001C4BE4" w:rsidRPr="001C4BE4" w:rsidRDefault="001C4BE4" w:rsidP="001C4BE4">
      <w:pPr>
        <w:rPr>
          <w:szCs w:val="22"/>
          <w:lang w:val="fr-FR"/>
        </w:rPr>
      </w:pPr>
    </w:p>
    <w:p w14:paraId="506337C2" w14:textId="77777777" w:rsidR="001C4BE4" w:rsidRPr="001C4BE4" w:rsidRDefault="001C4BE4" w:rsidP="001C4BE4">
      <w:pPr>
        <w:rPr>
          <w:szCs w:val="22"/>
          <w:lang w:val="fr-FR"/>
        </w:rPr>
      </w:pPr>
    </w:p>
    <w:p w14:paraId="095EFFF9" w14:textId="77777777" w:rsidR="001C4BE4" w:rsidRPr="001C4BE4" w:rsidRDefault="001C4BE4" w:rsidP="001C4BE4">
      <w:pPr>
        <w:rPr>
          <w:szCs w:val="22"/>
          <w:u w:val="single"/>
          <w:lang w:val="fr-FR"/>
        </w:rPr>
      </w:pPr>
      <w:r w:rsidRPr="001C4BE4">
        <w:rPr>
          <w:szCs w:val="22"/>
          <w:u w:val="single"/>
          <w:lang w:val="fr-FR"/>
        </w:rPr>
        <w:t>OMAN</w:t>
      </w:r>
    </w:p>
    <w:p w14:paraId="1C8EA104" w14:textId="77777777" w:rsidR="001C4BE4" w:rsidRPr="001C4BE4" w:rsidRDefault="001C4BE4" w:rsidP="001C4BE4">
      <w:pPr>
        <w:rPr>
          <w:szCs w:val="22"/>
          <w:u w:val="single"/>
          <w:lang w:val="fr-FR"/>
        </w:rPr>
      </w:pPr>
    </w:p>
    <w:p w14:paraId="26C3DAB7" w14:textId="76E03F25" w:rsidR="001C4BE4" w:rsidRPr="001C4BE4" w:rsidRDefault="001C4BE4" w:rsidP="001C4BE4">
      <w:pPr>
        <w:rPr>
          <w:szCs w:val="22"/>
        </w:rPr>
      </w:pPr>
      <w:r w:rsidRPr="001C4BE4">
        <w:rPr>
          <w:szCs w:val="22"/>
        </w:rPr>
        <w:t xml:space="preserve">Ahmed Rashid </w:t>
      </w:r>
      <w:proofErr w:type="spellStart"/>
      <w:r w:rsidRPr="001C4BE4">
        <w:rPr>
          <w:szCs w:val="22"/>
        </w:rPr>
        <w:t>Rabia</w:t>
      </w:r>
      <w:proofErr w:type="spellEnd"/>
      <w:r w:rsidRPr="001C4BE4">
        <w:rPr>
          <w:szCs w:val="22"/>
        </w:rPr>
        <w:t xml:space="preserve"> ALSHIHHI</w:t>
      </w:r>
      <w:r w:rsidR="00FC7127">
        <w:rPr>
          <w:szCs w:val="22"/>
        </w:rPr>
        <w:t xml:space="preserve"> (Mr.)</w:t>
      </w:r>
      <w:r w:rsidRPr="001C4BE4">
        <w:rPr>
          <w:szCs w:val="22"/>
        </w:rPr>
        <w:t>, Specialist, Organization and Cultural Relations, Ministry of Heritage and Culture, Muscat</w:t>
      </w:r>
    </w:p>
    <w:p w14:paraId="42AA642A" w14:textId="77777777" w:rsidR="001C4BE4" w:rsidRPr="001C4BE4" w:rsidRDefault="001C4BE4" w:rsidP="001C4BE4">
      <w:pPr>
        <w:rPr>
          <w:szCs w:val="22"/>
        </w:rPr>
      </w:pPr>
    </w:p>
    <w:p w14:paraId="1DD17641" w14:textId="13A32986" w:rsidR="001C4BE4" w:rsidRPr="001C4BE4" w:rsidRDefault="001C4BE4" w:rsidP="001C4BE4">
      <w:pPr>
        <w:rPr>
          <w:szCs w:val="22"/>
        </w:rPr>
      </w:pPr>
      <w:r w:rsidRPr="001C4BE4">
        <w:rPr>
          <w:szCs w:val="22"/>
        </w:rPr>
        <w:t>Mohammed AL-BALUSHI</w:t>
      </w:r>
      <w:r w:rsidR="00FC7127">
        <w:rPr>
          <w:szCs w:val="22"/>
        </w:rPr>
        <w:t xml:space="preserve"> (Mr.)</w:t>
      </w:r>
      <w:r w:rsidRPr="001C4BE4">
        <w:rPr>
          <w:szCs w:val="22"/>
        </w:rPr>
        <w:t>, First Secretary, Permanent Mission, Geneva</w:t>
      </w:r>
    </w:p>
    <w:p w14:paraId="07B24AAC" w14:textId="77777777" w:rsidR="001C4BE4" w:rsidRPr="001C4BE4" w:rsidRDefault="001C4BE4" w:rsidP="001C4BE4">
      <w:pPr>
        <w:rPr>
          <w:szCs w:val="22"/>
        </w:rPr>
      </w:pPr>
    </w:p>
    <w:p w14:paraId="5DE75EA8" w14:textId="77777777" w:rsidR="001C4BE4" w:rsidRPr="001C4BE4" w:rsidRDefault="001C4BE4" w:rsidP="001C4BE4">
      <w:pPr>
        <w:rPr>
          <w:szCs w:val="22"/>
        </w:rPr>
      </w:pPr>
    </w:p>
    <w:p w14:paraId="10273963" w14:textId="77777777" w:rsidR="001C4BE4" w:rsidRPr="001C4BE4" w:rsidRDefault="001C4BE4" w:rsidP="001C4BE4">
      <w:pPr>
        <w:rPr>
          <w:szCs w:val="22"/>
          <w:u w:val="single"/>
        </w:rPr>
      </w:pPr>
      <w:r w:rsidRPr="001C4BE4">
        <w:rPr>
          <w:szCs w:val="22"/>
          <w:u w:val="single"/>
        </w:rPr>
        <w:t>OUGANDA/UGANDA</w:t>
      </w:r>
    </w:p>
    <w:p w14:paraId="4BD14316" w14:textId="77777777" w:rsidR="001C4BE4" w:rsidRPr="001C4BE4" w:rsidRDefault="001C4BE4" w:rsidP="001C4BE4">
      <w:pPr>
        <w:rPr>
          <w:szCs w:val="22"/>
          <w:u w:val="single"/>
        </w:rPr>
      </w:pPr>
    </w:p>
    <w:p w14:paraId="36077EB5" w14:textId="19C22FFC" w:rsidR="001C4BE4" w:rsidRPr="001C4BE4" w:rsidRDefault="001C4BE4" w:rsidP="001C4BE4">
      <w:pPr>
        <w:rPr>
          <w:szCs w:val="22"/>
        </w:rPr>
      </w:pPr>
      <w:proofErr w:type="spellStart"/>
      <w:r w:rsidRPr="001C4BE4">
        <w:rPr>
          <w:szCs w:val="22"/>
        </w:rPr>
        <w:t>Agaba</w:t>
      </w:r>
      <w:proofErr w:type="spellEnd"/>
      <w:r w:rsidRPr="001C4BE4">
        <w:rPr>
          <w:szCs w:val="22"/>
        </w:rPr>
        <w:t xml:space="preserve"> GILBERT</w:t>
      </w:r>
      <w:r w:rsidR="006F50EB">
        <w:rPr>
          <w:szCs w:val="22"/>
        </w:rPr>
        <w:t xml:space="preserve"> (Mr.)</w:t>
      </w:r>
      <w:r w:rsidRPr="001C4BE4">
        <w:rPr>
          <w:szCs w:val="22"/>
        </w:rPr>
        <w:t>, Manager Intellectual Property, Intellectual Property Department, Uganda Registration Services Bureau (URSB), Kampala</w:t>
      </w:r>
    </w:p>
    <w:p w14:paraId="5894A5D1" w14:textId="77777777" w:rsidR="001C4BE4" w:rsidRPr="001C4BE4" w:rsidRDefault="001C4BE4" w:rsidP="001C4BE4">
      <w:pPr>
        <w:rPr>
          <w:szCs w:val="22"/>
        </w:rPr>
      </w:pPr>
      <w:r w:rsidRPr="001C4BE4">
        <w:rPr>
          <w:szCs w:val="22"/>
          <w:u w:val="single"/>
        </w:rPr>
        <w:t xml:space="preserve">gilbert.agaba@ursb.go.ug </w:t>
      </w:r>
    </w:p>
    <w:p w14:paraId="59AA2861" w14:textId="77777777" w:rsidR="001C4BE4" w:rsidRPr="001C4BE4" w:rsidRDefault="001C4BE4" w:rsidP="001C4BE4">
      <w:pPr>
        <w:rPr>
          <w:szCs w:val="22"/>
        </w:rPr>
      </w:pPr>
    </w:p>
    <w:p w14:paraId="6FDBE8D4" w14:textId="77777777" w:rsidR="001C4BE4" w:rsidRPr="001C4BE4" w:rsidRDefault="001C4BE4" w:rsidP="001C4BE4">
      <w:pPr>
        <w:rPr>
          <w:szCs w:val="22"/>
        </w:rPr>
      </w:pPr>
      <w:r w:rsidRPr="001C4BE4">
        <w:rPr>
          <w:szCs w:val="22"/>
        </w:rPr>
        <w:t xml:space="preserve">Juliana </w:t>
      </w:r>
      <w:proofErr w:type="spellStart"/>
      <w:r w:rsidRPr="001C4BE4">
        <w:rPr>
          <w:szCs w:val="22"/>
        </w:rPr>
        <w:t>Naumo</w:t>
      </w:r>
      <w:proofErr w:type="spellEnd"/>
      <w:r w:rsidRPr="001C4BE4">
        <w:rPr>
          <w:szCs w:val="22"/>
        </w:rPr>
        <w:t xml:space="preserve"> AKORYO NAUMO (Ms.), Commissioner, Culture and Family Affairs, Ministry of Gender, </w:t>
      </w:r>
      <w:proofErr w:type="spellStart"/>
      <w:r w:rsidRPr="001C4BE4">
        <w:rPr>
          <w:szCs w:val="22"/>
        </w:rPr>
        <w:t>Labour</w:t>
      </w:r>
      <w:proofErr w:type="spellEnd"/>
      <w:r w:rsidRPr="001C4BE4">
        <w:rPr>
          <w:szCs w:val="22"/>
        </w:rPr>
        <w:t xml:space="preserve"> and Social Development (MGLSD), Kampala</w:t>
      </w:r>
    </w:p>
    <w:p w14:paraId="627FF3D1" w14:textId="77777777" w:rsidR="001C4BE4" w:rsidRPr="001C4BE4" w:rsidRDefault="001C4BE4" w:rsidP="001C4BE4">
      <w:pPr>
        <w:rPr>
          <w:szCs w:val="22"/>
        </w:rPr>
      </w:pPr>
      <w:r w:rsidRPr="001C4BE4">
        <w:rPr>
          <w:szCs w:val="22"/>
          <w:u w:val="single"/>
        </w:rPr>
        <w:t xml:space="preserve">jakoryon@yahoo.co.uk </w:t>
      </w:r>
    </w:p>
    <w:p w14:paraId="61B97ADB" w14:textId="77777777" w:rsidR="001C4BE4" w:rsidRPr="001C4BE4" w:rsidRDefault="001C4BE4" w:rsidP="001C4BE4">
      <w:pPr>
        <w:rPr>
          <w:szCs w:val="22"/>
        </w:rPr>
      </w:pPr>
    </w:p>
    <w:p w14:paraId="23AB0CE9" w14:textId="240587E4" w:rsidR="001C4BE4" w:rsidRPr="001C4BE4" w:rsidRDefault="001C4BE4" w:rsidP="001C4BE4">
      <w:pPr>
        <w:rPr>
          <w:szCs w:val="22"/>
        </w:rPr>
      </w:pPr>
      <w:r w:rsidRPr="001C4BE4">
        <w:rPr>
          <w:szCs w:val="22"/>
        </w:rPr>
        <w:t>George TEBAGANA</w:t>
      </w:r>
      <w:r w:rsidR="006F50EB">
        <w:rPr>
          <w:szCs w:val="22"/>
        </w:rPr>
        <w:t xml:space="preserve"> (Mr.)</w:t>
      </w:r>
      <w:r w:rsidRPr="001C4BE4">
        <w:rPr>
          <w:szCs w:val="22"/>
        </w:rPr>
        <w:t>, Third Secretary, Permanent Mission, Geneva</w:t>
      </w:r>
    </w:p>
    <w:p w14:paraId="741B08F4" w14:textId="77777777" w:rsidR="001C4BE4" w:rsidRPr="001C4BE4" w:rsidRDefault="001C4BE4" w:rsidP="001C4BE4">
      <w:pPr>
        <w:rPr>
          <w:szCs w:val="22"/>
        </w:rPr>
      </w:pPr>
    </w:p>
    <w:p w14:paraId="4C336F54" w14:textId="77777777" w:rsidR="001C4BE4" w:rsidRPr="001C4BE4" w:rsidRDefault="001C4BE4" w:rsidP="001C4BE4">
      <w:pPr>
        <w:rPr>
          <w:szCs w:val="22"/>
        </w:rPr>
      </w:pPr>
    </w:p>
    <w:p w14:paraId="6C42B890" w14:textId="77777777" w:rsidR="001C4BE4" w:rsidRPr="001C4BE4" w:rsidRDefault="001C4BE4" w:rsidP="001C4BE4">
      <w:pPr>
        <w:rPr>
          <w:szCs w:val="22"/>
          <w:u w:val="single"/>
        </w:rPr>
      </w:pPr>
      <w:r w:rsidRPr="001C4BE4">
        <w:rPr>
          <w:szCs w:val="22"/>
          <w:u w:val="single"/>
        </w:rPr>
        <w:t>PAKISTAN</w:t>
      </w:r>
    </w:p>
    <w:p w14:paraId="56AF5E5A" w14:textId="77777777" w:rsidR="001C4BE4" w:rsidRPr="001C4BE4" w:rsidRDefault="001C4BE4" w:rsidP="001C4BE4">
      <w:pPr>
        <w:rPr>
          <w:szCs w:val="22"/>
          <w:u w:val="single"/>
        </w:rPr>
      </w:pPr>
    </w:p>
    <w:p w14:paraId="20C38E38" w14:textId="074E78EA" w:rsidR="001C4BE4" w:rsidRPr="001C4BE4" w:rsidRDefault="001C4BE4" w:rsidP="001C4BE4">
      <w:pPr>
        <w:rPr>
          <w:szCs w:val="22"/>
        </w:rPr>
      </w:pPr>
      <w:proofErr w:type="spellStart"/>
      <w:r w:rsidRPr="001C4BE4">
        <w:rPr>
          <w:szCs w:val="22"/>
        </w:rPr>
        <w:t>Farukh</w:t>
      </w:r>
      <w:proofErr w:type="spellEnd"/>
      <w:r w:rsidRPr="001C4BE4">
        <w:rPr>
          <w:szCs w:val="22"/>
        </w:rPr>
        <w:t xml:space="preserve"> AMIL</w:t>
      </w:r>
      <w:r w:rsidR="006F50EB">
        <w:rPr>
          <w:szCs w:val="22"/>
        </w:rPr>
        <w:t xml:space="preserve"> (Mr.)</w:t>
      </w:r>
      <w:r w:rsidRPr="001C4BE4">
        <w:rPr>
          <w:szCs w:val="22"/>
        </w:rPr>
        <w:t>, Ambassador, Permanent Representative, Permanent Mission, Geneva</w:t>
      </w:r>
    </w:p>
    <w:p w14:paraId="0933C6ED" w14:textId="77777777" w:rsidR="001C4BE4" w:rsidRPr="001C4BE4" w:rsidRDefault="001C4BE4" w:rsidP="001C4BE4">
      <w:pPr>
        <w:rPr>
          <w:szCs w:val="22"/>
        </w:rPr>
      </w:pPr>
      <w:r w:rsidRPr="001C4BE4">
        <w:rPr>
          <w:szCs w:val="22"/>
          <w:u w:val="single"/>
        </w:rPr>
        <w:t xml:space="preserve">mission.pakistan@ties.itu.int </w:t>
      </w:r>
    </w:p>
    <w:p w14:paraId="226317A4" w14:textId="77777777" w:rsidR="001C4BE4" w:rsidRPr="001C4BE4" w:rsidRDefault="001C4BE4" w:rsidP="001C4BE4">
      <w:pPr>
        <w:rPr>
          <w:szCs w:val="22"/>
          <w:u w:val="single"/>
        </w:rPr>
      </w:pPr>
    </w:p>
    <w:p w14:paraId="4E8EA221" w14:textId="77777777" w:rsidR="001C4BE4" w:rsidRPr="001C4BE4" w:rsidRDefault="001C4BE4" w:rsidP="001C4BE4">
      <w:pPr>
        <w:rPr>
          <w:szCs w:val="22"/>
        </w:rPr>
      </w:pPr>
      <w:r w:rsidRPr="001C4BE4">
        <w:rPr>
          <w:szCs w:val="22"/>
        </w:rPr>
        <w:t>Mariam SAEED (Ms.), First Secretary, Permanent Mission, Geneva</w:t>
      </w:r>
    </w:p>
    <w:p w14:paraId="50EEA4A1" w14:textId="77777777" w:rsidR="001C4BE4" w:rsidRPr="001C4BE4" w:rsidRDefault="001C4BE4" w:rsidP="001C4BE4">
      <w:pPr>
        <w:rPr>
          <w:szCs w:val="22"/>
          <w:lang w:val="es-ES"/>
        </w:rPr>
      </w:pPr>
      <w:r w:rsidRPr="001C4BE4">
        <w:rPr>
          <w:szCs w:val="22"/>
          <w:u w:val="single"/>
          <w:lang w:val="es-ES"/>
        </w:rPr>
        <w:t xml:space="preserve">mission.pakistan@ties.itu.int </w:t>
      </w:r>
    </w:p>
    <w:p w14:paraId="6E2E89C1" w14:textId="77777777" w:rsidR="001C4BE4" w:rsidRPr="001C4BE4" w:rsidRDefault="001C4BE4" w:rsidP="001C4BE4">
      <w:pPr>
        <w:rPr>
          <w:szCs w:val="22"/>
          <w:lang w:val="es-ES"/>
        </w:rPr>
      </w:pPr>
    </w:p>
    <w:p w14:paraId="0A67A614" w14:textId="77777777" w:rsidR="001C4BE4" w:rsidRPr="001C4BE4" w:rsidRDefault="001C4BE4" w:rsidP="001C4BE4">
      <w:pPr>
        <w:rPr>
          <w:szCs w:val="22"/>
          <w:lang w:val="es-ES"/>
        </w:rPr>
      </w:pPr>
    </w:p>
    <w:p w14:paraId="455B1592" w14:textId="77777777" w:rsidR="001C4BE4" w:rsidRPr="001C4BE4" w:rsidRDefault="001C4BE4" w:rsidP="001C4BE4">
      <w:pPr>
        <w:rPr>
          <w:szCs w:val="22"/>
          <w:u w:val="single"/>
          <w:lang w:val="es-ES"/>
        </w:rPr>
      </w:pPr>
      <w:r w:rsidRPr="001C4BE4">
        <w:rPr>
          <w:szCs w:val="22"/>
          <w:u w:val="single"/>
          <w:lang w:val="es-ES"/>
        </w:rPr>
        <w:t>PARAGUAY</w:t>
      </w:r>
    </w:p>
    <w:p w14:paraId="525766BE" w14:textId="77777777" w:rsidR="001C4BE4" w:rsidRPr="001C4BE4" w:rsidRDefault="001C4BE4" w:rsidP="001C4BE4">
      <w:pPr>
        <w:rPr>
          <w:szCs w:val="22"/>
          <w:u w:val="single"/>
          <w:lang w:val="es-ES"/>
        </w:rPr>
      </w:pPr>
    </w:p>
    <w:p w14:paraId="7E0D65A8" w14:textId="77777777" w:rsidR="001C4BE4" w:rsidRPr="001C4BE4" w:rsidRDefault="001C4BE4" w:rsidP="001C4BE4">
      <w:pPr>
        <w:rPr>
          <w:szCs w:val="22"/>
          <w:lang w:val="es-ES"/>
        </w:rPr>
      </w:pPr>
      <w:r w:rsidRPr="001C4BE4">
        <w:rPr>
          <w:szCs w:val="22"/>
          <w:lang w:val="es-ES"/>
        </w:rPr>
        <w:t>Maria Gabriela COBELO BENÍTEZ (Sra.), Secretaria, Dirección General de la Propiedad Industrial, Dirección Nacional de Propiedad Intelectual (DINAPI), Asunción</w:t>
      </w:r>
    </w:p>
    <w:p w14:paraId="6301C7AE" w14:textId="77777777" w:rsidR="001C4BE4" w:rsidRPr="001C4BE4" w:rsidRDefault="001C4BE4" w:rsidP="001C4BE4">
      <w:pPr>
        <w:rPr>
          <w:szCs w:val="22"/>
          <w:lang w:val="es-ES"/>
        </w:rPr>
      </w:pPr>
      <w:r w:rsidRPr="001C4BE4">
        <w:rPr>
          <w:szCs w:val="22"/>
          <w:u w:val="single"/>
          <w:lang w:val="es-ES"/>
        </w:rPr>
        <w:t xml:space="preserve">gabycobelo@icloud.com </w:t>
      </w:r>
    </w:p>
    <w:p w14:paraId="56563C8B" w14:textId="77777777" w:rsidR="001C4BE4" w:rsidRPr="001C4BE4" w:rsidRDefault="001C4BE4" w:rsidP="001C4BE4">
      <w:pPr>
        <w:rPr>
          <w:szCs w:val="22"/>
          <w:lang w:val="es-ES"/>
        </w:rPr>
      </w:pPr>
    </w:p>
    <w:p w14:paraId="455D94A3" w14:textId="77777777" w:rsidR="001C4BE4" w:rsidRPr="001C4BE4" w:rsidRDefault="001C4BE4" w:rsidP="001C4BE4">
      <w:pPr>
        <w:rPr>
          <w:szCs w:val="22"/>
          <w:lang w:val="es-ES"/>
        </w:rPr>
      </w:pPr>
      <w:r w:rsidRPr="001C4BE4">
        <w:rPr>
          <w:szCs w:val="22"/>
          <w:lang w:val="es-ES"/>
        </w:rPr>
        <w:t>Cristina Raquel PEREIRA FARINA (Sra.), Agregada, Misión Permanente, Ginebra</w:t>
      </w:r>
    </w:p>
    <w:p w14:paraId="321BF986" w14:textId="77777777" w:rsidR="001C4BE4" w:rsidRPr="001C4BE4" w:rsidRDefault="001C4BE4" w:rsidP="001C4BE4">
      <w:pPr>
        <w:rPr>
          <w:szCs w:val="22"/>
          <w:lang w:val="es-ES"/>
        </w:rPr>
      </w:pPr>
    </w:p>
    <w:p w14:paraId="76404804" w14:textId="77777777" w:rsidR="001C4BE4" w:rsidRPr="001C4BE4" w:rsidRDefault="001C4BE4" w:rsidP="001C4BE4">
      <w:pPr>
        <w:rPr>
          <w:szCs w:val="22"/>
          <w:lang w:val="es-ES"/>
        </w:rPr>
      </w:pPr>
    </w:p>
    <w:p w14:paraId="1B17C674" w14:textId="77777777" w:rsidR="001C4BE4" w:rsidRPr="001C4BE4" w:rsidRDefault="001C4BE4" w:rsidP="001C4BE4">
      <w:pPr>
        <w:rPr>
          <w:szCs w:val="22"/>
          <w:u w:val="single"/>
          <w:lang w:val="es-ES"/>
        </w:rPr>
      </w:pPr>
      <w:r w:rsidRPr="001C4BE4">
        <w:rPr>
          <w:szCs w:val="22"/>
          <w:u w:val="single"/>
          <w:lang w:val="es-ES"/>
        </w:rPr>
        <w:t>PÉROU/PERU</w:t>
      </w:r>
    </w:p>
    <w:p w14:paraId="7A25137F" w14:textId="77777777" w:rsidR="001C4BE4" w:rsidRPr="001C4BE4" w:rsidRDefault="001C4BE4" w:rsidP="001C4BE4">
      <w:pPr>
        <w:rPr>
          <w:szCs w:val="22"/>
          <w:u w:val="single"/>
          <w:lang w:val="es-ES"/>
        </w:rPr>
      </w:pPr>
    </w:p>
    <w:p w14:paraId="7B69FAA6" w14:textId="4760F738" w:rsidR="001C4BE4" w:rsidRPr="001C4BE4" w:rsidRDefault="001C4BE4" w:rsidP="001C4BE4">
      <w:pPr>
        <w:rPr>
          <w:szCs w:val="22"/>
          <w:lang w:val="es-ES"/>
        </w:rPr>
      </w:pPr>
      <w:r w:rsidRPr="001C4BE4">
        <w:rPr>
          <w:szCs w:val="22"/>
          <w:lang w:val="es-ES"/>
        </w:rPr>
        <w:t>Cristóbal MELGAR</w:t>
      </w:r>
      <w:r w:rsidR="006F50EB">
        <w:rPr>
          <w:szCs w:val="22"/>
          <w:lang w:val="es-ES"/>
        </w:rPr>
        <w:t xml:space="preserve"> (Sr.)</w:t>
      </w:r>
      <w:r w:rsidRPr="001C4BE4">
        <w:rPr>
          <w:szCs w:val="22"/>
          <w:lang w:val="es-ES"/>
        </w:rPr>
        <w:t>, Ministro Consejero, Misión Permanente, Ginebra</w:t>
      </w:r>
    </w:p>
    <w:p w14:paraId="2BC1BAE7" w14:textId="77777777" w:rsidR="001C4BE4" w:rsidRPr="001C4BE4" w:rsidRDefault="001C4BE4" w:rsidP="001C4BE4">
      <w:pPr>
        <w:rPr>
          <w:szCs w:val="22"/>
          <w:lang w:val="es-ES"/>
        </w:rPr>
      </w:pPr>
    </w:p>
    <w:p w14:paraId="422BE87D" w14:textId="77777777" w:rsidR="001C4BE4" w:rsidRPr="001C4BE4" w:rsidRDefault="001C4BE4" w:rsidP="001C4BE4">
      <w:pPr>
        <w:rPr>
          <w:szCs w:val="22"/>
          <w:lang w:val="es-ES"/>
        </w:rPr>
      </w:pPr>
    </w:p>
    <w:p w14:paraId="2982E292" w14:textId="77777777" w:rsidR="001C4BE4" w:rsidRPr="001C4BE4" w:rsidRDefault="001C4BE4" w:rsidP="001C4BE4">
      <w:pPr>
        <w:rPr>
          <w:szCs w:val="22"/>
          <w:u w:val="single"/>
        </w:rPr>
      </w:pPr>
      <w:r w:rsidRPr="001C4BE4">
        <w:rPr>
          <w:szCs w:val="22"/>
          <w:u w:val="single"/>
        </w:rPr>
        <w:t>PHILIPPINES</w:t>
      </w:r>
    </w:p>
    <w:p w14:paraId="1D3AC8BE" w14:textId="77777777" w:rsidR="001C4BE4" w:rsidRPr="001C4BE4" w:rsidRDefault="001C4BE4" w:rsidP="001C4BE4">
      <w:pPr>
        <w:rPr>
          <w:szCs w:val="22"/>
          <w:u w:val="single"/>
        </w:rPr>
      </w:pPr>
    </w:p>
    <w:p w14:paraId="7333E25C" w14:textId="77777777" w:rsidR="001C4BE4" w:rsidRPr="001C4BE4" w:rsidRDefault="001C4BE4" w:rsidP="001C4BE4">
      <w:pPr>
        <w:rPr>
          <w:szCs w:val="22"/>
        </w:rPr>
      </w:pPr>
      <w:r w:rsidRPr="001C4BE4">
        <w:rPr>
          <w:szCs w:val="22"/>
        </w:rPr>
        <w:t>Cecilia PICACHE (Ms.), Head, Intangible Cultural Heritage Unit, National Commission for Culture and the Arts, Manila</w:t>
      </w:r>
    </w:p>
    <w:p w14:paraId="287FCC40" w14:textId="77777777" w:rsidR="001C4BE4" w:rsidRPr="001C4BE4" w:rsidRDefault="001C4BE4" w:rsidP="001C4BE4">
      <w:pPr>
        <w:rPr>
          <w:szCs w:val="22"/>
          <w:u w:val="single"/>
        </w:rPr>
      </w:pPr>
      <w:r w:rsidRPr="001C4BE4">
        <w:rPr>
          <w:szCs w:val="22"/>
          <w:u w:val="single"/>
        </w:rPr>
        <w:t xml:space="preserve">cvpicache@yahoo.com </w:t>
      </w:r>
    </w:p>
    <w:p w14:paraId="49CB6B39" w14:textId="77777777" w:rsidR="001C4BE4" w:rsidRPr="001C4BE4" w:rsidRDefault="001C4BE4" w:rsidP="001C4BE4">
      <w:pPr>
        <w:rPr>
          <w:szCs w:val="22"/>
        </w:rPr>
      </w:pPr>
    </w:p>
    <w:p w14:paraId="1BDD377C" w14:textId="77777777" w:rsidR="001C4BE4" w:rsidRPr="001C4BE4" w:rsidRDefault="001C4BE4" w:rsidP="001C4BE4">
      <w:pPr>
        <w:rPr>
          <w:szCs w:val="22"/>
        </w:rPr>
      </w:pPr>
      <w:r w:rsidRPr="001C4BE4">
        <w:rPr>
          <w:szCs w:val="22"/>
        </w:rPr>
        <w:t>Theresa TENAZAS (Ms.), Legal Officer, Biodiversity Management Bureau, Department of Environment and Natural Resources, Quezon City</w:t>
      </w:r>
    </w:p>
    <w:p w14:paraId="10A6585B" w14:textId="77777777" w:rsidR="001C4BE4" w:rsidRPr="001C4BE4" w:rsidRDefault="001C4BE4" w:rsidP="001C4BE4">
      <w:pPr>
        <w:rPr>
          <w:szCs w:val="22"/>
          <w:u w:val="single"/>
        </w:rPr>
      </w:pPr>
      <w:r w:rsidRPr="001C4BE4">
        <w:rPr>
          <w:szCs w:val="22"/>
          <w:u w:val="single"/>
        </w:rPr>
        <w:t xml:space="preserve">t_tenazas@yahoo.com </w:t>
      </w:r>
    </w:p>
    <w:p w14:paraId="58985966" w14:textId="77777777" w:rsidR="001C4BE4" w:rsidRPr="001C4BE4" w:rsidRDefault="001C4BE4" w:rsidP="001C4BE4">
      <w:pPr>
        <w:rPr>
          <w:szCs w:val="22"/>
        </w:rPr>
      </w:pPr>
    </w:p>
    <w:p w14:paraId="67AA7CB0" w14:textId="77777777" w:rsidR="001C4BE4" w:rsidRPr="001C4BE4" w:rsidRDefault="001C4BE4" w:rsidP="001C4BE4">
      <w:pPr>
        <w:rPr>
          <w:szCs w:val="22"/>
        </w:rPr>
      </w:pPr>
      <w:r w:rsidRPr="001C4BE4">
        <w:rPr>
          <w:szCs w:val="22"/>
        </w:rPr>
        <w:t xml:space="preserve">Rosa FERNANDEZ (Ms.), Intellectual Property Rights Specialist V, Bureau of Patents, Department of Trade and Industry, Intellectual Property Office of the Philippines (IPOPHIL), </w:t>
      </w:r>
      <w:proofErr w:type="spellStart"/>
      <w:r w:rsidRPr="001C4BE4">
        <w:rPr>
          <w:szCs w:val="22"/>
        </w:rPr>
        <w:t>Dasmarinas</w:t>
      </w:r>
      <w:proofErr w:type="spellEnd"/>
    </w:p>
    <w:p w14:paraId="127E5597" w14:textId="77777777" w:rsidR="001C4BE4" w:rsidRPr="001C4BE4" w:rsidRDefault="001C4BE4" w:rsidP="001C4BE4">
      <w:pPr>
        <w:rPr>
          <w:szCs w:val="22"/>
        </w:rPr>
      </w:pPr>
    </w:p>
    <w:p w14:paraId="13A639AE" w14:textId="0370D244" w:rsidR="001C4BE4" w:rsidRPr="001C4BE4" w:rsidRDefault="001C4BE4" w:rsidP="001C4BE4">
      <w:pPr>
        <w:rPr>
          <w:szCs w:val="22"/>
        </w:rPr>
      </w:pPr>
      <w:proofErr w:type="spellStart"/>
      <w:r w:rsidRPr="001C4BE4">
        <w:rPr>
          <w:szCs w:val="22"/>
        </w:rPr>
        <w:t>Arnel</w:t>
      </w:r>
      <w:proofErr w:type="spellEnd"/>
      <w:r w:rsidRPr="001C4BE4">
        <w:rPr>
          <w:szCs w:val="22"/>
        </w:rPr>
        <w:t xml:space="preserve"> TALISAYON</w:t>
      </w:r>
      <w:r w:rsidR="006F50EB">
        <w:rPr>
          <w:szCs w:val="22"/>
        </w:rPr>
        <w:t xml:space="preserve"> (Mr.)</w:t>
      </w:r>
      <w:r w:rsidRPr="001C4BE4">
        <w:rPr>
          <w:szCs w:val="22"/>
        </w:rPr>
        <w:t>, First Secretary, Permanent Mission, Geneva</w:t>
      </w:r>
    </w:p>
    <w:p w14:paraId="6AFF880C" w14:textId="77777777" w:rsidR="001C4BE4" w:rsidRPr="001C4BE4" w:rsidRDefault="001C4BE4" w:rsidP="001C4BE4">
      <w:pPr>
        <w:rPr>
          <w:szCs w:val="22"/>
          <w:lang w:val="fr-CH"/>
        </w:rPr>
      </w:pPr>
      <w:r w:rsidRPr="001C4BE4">
        <w:rPr>
          <w:szCs w:val="22"/>
          <w:u w:val="single"/>
          <w:lang w:val="fr-CH"/>
        </w:rPr>
        <w:t xml:space="preserve">agtalisayon@gmail.com </w:t>
      </w:r>
    </w:p>
    <w:p w14:paraId="68132B45" w14:textId="77777777" w:rsidR="001C4BE4" w:rsidRPr="001C4BE4" w:rsidRDefault="001C4BE4" w:rsidP="001C4BE4">
      <w:pPr>
        <w:rPr>
          <w:szCs w:val="22"/>
          <w:lang w:val="fr-FR"/>
        </w:rPr>
      </w:pPr>
    </w:p>
    <w:p w14:paraId="426FDA19" w14:textId="77777777" w:rsidR="001C4BE4" w:rsidRPr="001C4BE4" w:rsidRDefault="001C4BE4" w:rsidP="001C4BE4">
      <w:pPr>
        <w:rPr>
          <w:szCs w:val="22"/>
          <w:lang w:val="fr-FR"/>
        </w:rPr>
      </w:pPr>
      <w:proofErr w:type="spellStart"/>
      <w:r w:rsidRPr="001C4BE4">
        <w:rPr>
          <w:szCs w:val="22"/>
          <w:lang w:val="fr-FR"/>
        </w:rPr>
        <w:t>Jayroma</w:t>
      </w:r>
      <w:proofErr w:type="spellEnd"/>
      <w:r w:rsidRPr="001C4BE4">
        <w:rPr>
          <w:szCs w:val="22"/>
          <w:lang w:val="fr-FR"/>
        </w:rPr>
        <w:t xml:space="preserve"> BAYOTAS (Ms.), Attaché, Permanent Mission, Geneva</w:t>
      </w:r>
    </w:p>
    <w:p w14:paraId="580EB75D" w14:textId="77777777" w:rsidR="001C4BE4" w:rsidRPr="001C4BE4" w:rsidRDefault="001C4BE4" w:rsidP="001C4BE4">
      <w:pPr>
        <w:rPr>
          <w:szCs w:val="22"/>
          <w:lang w:val="fr-FR"/>
        </w:rPr>
      </w:pPr>
      <w:r w:rsidRPr="001C4BE4">
        <w:rPr>
          <w:szCs w:val="22"/>
          <w:u w:val="single"/>
          <w:lang w:val="fr-FR"/>
        </w:rPr>
        <w:t xml:space="preserve">jheng0503bayotas@gmail.com </w:t>
      </w:r>
    </w:p>
    <w:p w14:paraId="479D5329" w14:textId="77777777" w:rsidR="001C4BE4" w:rsidRDefault="001C4BE4" w:rsidP="001C4BE4">
      <w:pPr>
        <w:rPr>
          <w:szCs w:val="22"/>
          <w:lang w:val="fr-FR"/>
        </w:rPr>
      </w:pPr>
    </w:p>
    <w:p w14:paraId="798C26B4" w14:textId="77777777" w:rsidR="00A71110" w:rsidRPr="001C4BE4" w:rsidRDefault="00A71110" w:rsidP="001C4BE4">
      <w:pPr>
        <w:rPr>
          <w:szCs w:val="22"/>
          <w:lang w:val="fr-FR"/>
        </w:rPr>
      </w:pPr>
    </w:p>
    <w:p w14:paraId="10B5CD4A" w14:textId="77777777" w:rsidR="001C4BE4" w:rsidRPr="001C4BE4" w:rsidRDefault="001C4BE4" w:rsidP="001C4BE4">
      <w:pPr>
        <w:rPr>
          <w:szCs w:val="22"/>
          <w:u w:val="single"/>
        </w:rPr>
      </w:pPr>
      <w:r w:rsidRPr="001C4BE4">
        <w:rPr>
          <w:szCs w:val="22"/>
          <w:u w:val="single"/>
        </w:rPr>
        <w:t>POLOGNE/POLAND</w:t>
      </w:r>
    </w:p>
    <w:p w14:paraId="29915A23" w14:textId="77777777" w:rsidR="001C4BE4" w:rsidRPr="001C4BE4" w:rsidRDefault="001C4BE4" w:rsidP="001C4BE4">
      <w:pPr>
        <w:rPr>
          <w:szCs w:val="22"/>
          <w:u w:val="single"/>
        </w:rPr>
      </w:pPr>
    </w:p>
    <w:p w14:paraId="483BCAC7" w14:textId="07485074" w:rsidR="001C4BE4" w:rsidRPr="001C4BE4" w:rsidRDefault="001C4BE4" w:rsidP="001C4BE4">
      <w:pPr>
        <w:rPr>
          <w:szCs w:val="22"/>
        </w:rPr>
      </w:pPr>
      <w:proofErr w:type="spellStart"/>
      <w:r w:rsidRPr="001C4BE4">
        <w:rPr>
          <w:szCs w:val="22"/>
        </w:rPr>
        <w:t>Wojciech</w:t>
      </w:r>
      <w:proofErr w:type="spellEnd"/>
      <w:r w:rsidRPr="001C4BE4">
        <w:rPr>
          <w:szCs w:val="22"/>
        </w:rPr>
        <w:t xml:space="preserve"> PIATKOWSKI</w:t>
      </w:r>
      <w:r w:rsidR="006F50EB">
        <w:rPr>
          <w:szCs w:val="22"/>
        </w:rPr>
        <w:t xml:space="preserve"> (Mr.)</w:t>
      </w:r>
      <w:r w:rsidRPr="001C4BE4">
        <w:rPr>
          <w:szCs w:val="22"/>
        </w:rPr>
        <w:t>, Minister Counsellor, Permanent Mission, Geneva</w:t>
      </w:r>
    </w:p>
    <w:p w14:paraId="38DF1ADF" w14:textId="77777777" w:rsidR="001C4BE4" w:rsidRPr="001C4BE4" w:rsidRDefault="001C4BE4" w:rsidP="001C4BE4">
      <w:pPr>
        <w:rPr>
          <w:szCs w:val="22"/>
        </w:rPr>
      </w:pPr>
    </w:p>
    <w:p w14:paraId="6216AA09" w14:textId="77777777" w:rsidR="001C4BE4" w:rsidRPr="001C4BE4" w:rsidRDefault="001C4BE4" w:rsidP="001C4BE4">
      <w:pPr>
        <w:rPr>
          <w:szCs w:val="22"/>
        </w:rPr>
      </w:pPr>
      <w:r w:rsidRPr="001C4BE4">
        <w:rPr>
          <w:szCs w:val="22"/>
        </w:rPr>
        <w:t>Magdalena CHODYCZKO (Ms.), Expert, Intellectual Property and Media Department, Ministry of Culture and National Heritage, Warsaw</w:t>
      </w:r>
    </w:p>
    <w:p w14:paraId="1A8610FC" w14:textId="77777777" w:rsidR="001C4BE4" w:rsidRPr="00C40D5D" w:rsidRDefault="001C4BE4" w:rsidP="001C4BE4">
      <w:pPr>
        <w:rPr>
          <w:szCs w:val="22"/>
        </w:rPr>
      </w:pPr>
      <w:r w:rsidRPr="00C40D5D">
        <w:rPr>
          <w:szCs w:val="22"/>
          <w:u w:val="single"/>
        </w:rPr>
        <w:t xml:space="preserve">mchodyczko@mkidn.gov.pl </w:t>
      </w:r>
    </w:p>
    <w:p w14:paraId="244654BD" w14:textId="77777777" w:rsidR="001C4BE4" w:rsidRPr="00C40D5D" w:rsidRDefault="001C4BE4" w:rsidP="001C4BE4">
      <w:pPr>
        <w:rPr>
          <w:szCs w:val="22"/>
          <w:u w:val="single"/>
        </w:rPr>
      </w:pPr>
    </w:p>
    <w:p w14:paraId="392D8B30" w14:textId="77777777" w:rsidR="001C4BE4" w:rsidRPr="00C40D5D" w:rsidRDefault="001C4BE4" w:rsidP="001C4BE4">
      <w:pPr>
        <w:rPr>
          <w:szCs w:val="22"/>
          <w:u w:val="single"/>
        </w:rPr>
      </w:pPr>
    </w:p>
    <w:p w14:paraId="23417094" w14:textId="77777777" w:rsidR="001C4BE4" w:rsidRPr="00C40D5D" w:rsidRDefault="001C4BE4" w:rsidP="001C4BE4">
      <w:pPr>
        <w:rPr>
          <w:szCs w:val="22"/>
          <w:u w:val="single"/>
        </w:rPr>
      </w:pPr>
      <w:r w:rsidRPr="00C40D5D">
        <w:rPr>
          <w:szCs w:val="22"/>
          <w:u w:val="single"/>
        </w:rPr>
        <w:t>PORTUGAL</w:t>
      </w:r>
    </w:p>
    <w:p w14:paraId="2088A3D3" w14:textId="77777777" w:rsidR="001C4BE4" w:rsidRPr="00C40D5D" w:rsidRDefault="001C4BE4" w:rsidP="001C4BE4">
      <w:pPr>
        <w:rPr>
          <w:szCs w:val="22"/>
          <w:u w:val="single"/>
        </w:rPr>
      </w:pPr>
    </w:p>
    <w:p w14:paraId="3501A920" w14:textId="35CABE4C" w:rsidR="001C4BE4" w:rsidRPr="00C40D5D" w:rsidRDefault="001C4BE4" w:rsidP="001C4BE4">
      <w:pPr>
        <w:rPr>
          <w:szCs w:val="22"/>
        </w:rPr>
      </w:pPr>
      <w:proofErr w:type="spellStart"/>
      <w:r w:rsidRPr="00C40D5D">
        <w:rPr>
          <w:szCs w:val="22"/>
        </w:rPr>
        <w:t>João</w:t>
      </w:r>
      <w:proofErr w:type="spellEnd"/>
      <w:r w:rsidRPr="00C40D5D">
        <w:rPr>
          <w:szCs w:val="22"/>
        </w:rPr>
        <w:t xml:space="preserve"> PINA DE MORAIS</w:t>
      </w:r>
      <w:r w:rsidR="006F50EB" w:rsidRPr="00C40D5D">
        <w:rPr>
          <w:szCs w:val="22"/>
        </w:rPr>
        <w:t xml:space="preserve"> (Mr.</w:t>
      </w:r>
      <w:r w:rsidR="006F50EB">
        <w:rPr>
          <w:szCs w:val="22"/>
        </w:rPr>
        <w:t>)</w:t>
      </w:r>
      <w:r w:rsidRPr="00C40D5D">
        <w:rPr>
          <w:szCs w:val="22"/>
        </w:rPr>
        <w:t>, First Secretary, Permanent Mission, Geneva</w:t>
      </w:r>
    </w:p>
    <w:p w14:paraId="1BC1F171" w14:textId="77777777" w:rsidR="001C4BE4" w:rsidRPr="00C40D5D" w:rsidRDefault="001C4BE4" w:rsidP="001C4BE4">
      <w:pPr>
        <w:rPr>
          <w:szCs w:val="22"/>
        </w:rPr>
      </w:pPr>
    </w:p>
    <w:p w14:paraId="7A583418" w14:textId="77777777" w:rsidR="001C4BE4" w:rsidRPr="00C40D5D" w:rsidRDefault="001C4BE4" w:rsidP="001C4BE4">
      <w:pPr>
        <w:rPr>
          <w:szCs w:val="22"/>
        </w:rPr>
      </w:pPr>
    </w:p>
    <w:p w14:paraId="24D377D4" w14:textId="77777777" w:rsidR="001C4BE4" w:rsidRPr="001C4BE4" w:rsidRDefault="001C4BE4" w:rsidP="001C4BE4">
      <w:pPr>
        <w:rPr>
          <w:szCs w:val="22"/>
          <w:u w:val="single"/>
          <w:lang w:val="fr-FR"/>
        </w:rPr>
      </w:pPr>
      <w:r w:rsidRPr="001C4BE4">
        <w:rPr>
          <w:szCs w:val="22"/>
          <w:u w:val="single"/>
          <w:lang w:val="fr-FR"/>
        </w:rPr>
        <w:t>RÉPUBLIQUE DE CORÉE/REPUBLIC OF KOREA</w:t>
      </w:r>
    </w:p>
    <w:p w14:paraId="5FA8C446" w14:textId="77777777" w:rsidR="001C4BE4" w:rsidRPr="001C4BE4" w:rsidRDefault="001C4BE4" w:rsidP="001C4BE4">
      <w:pPr>
        <w:rPr>
          <w:szCs w:val="22"/>
          <w:u w:val="single"/>
          <w:lang w:val="fr-FR"/>
        </w:rPr>
      </w:pPr>
    </w:p>
    <w:p w14:paraId="687E9D79" w14:textId="2051B7D4" w:rsidR="001C4BE4" w:rsidRPr="001C4BE4" w:rsidRDefault="001C4BE4" w:rsidP="001C4BE4">
      <w:pPr>
        <w:rPr>
          <w:szCs w:val="22"/>
        </w:rPr>
      </w:pPr>
      <w:r w:rsidRPr="001C4BE4">
        <w:rPr>
          <w:szCs w:val="22"/>
        </w:rPr>
        <w:t xml:space="preserve">KIM </w:t>
      </w:r>
      <w:proofErr w:type="spellStart"/>
      <w:r w:rsidRPr="001C4BE4">
        <w:rPr>
          <w:szCs w:val="22"/>
        </w:rPr>
        <w:t>Minsang</w:t>
      </w:r>
      <w:proofErr w:type="spellEnd"/>
      <w:r w:rsidR="006F50EB">
        <w:rPr>
          <w:szCs w:val="22"/>
        </w:rPr>
        <w:t xml:space="preserve"> (Mr.)</w:t>
      </w:r>
      <w:r w:rsidRPr="001C4BE4">
        <w:rPr>
          <w:szCs w:val="22"/>
        </w:rPr>
        <w:t>, Judge, Research Division, Supreme Court, Seoul</w:t>
      </w:r>
    </w:p>
    <w:p w14:paraId="5C6C2850" w14:textId="77777777" w:rsidR="001C4BE4" w:rsidRPr="001C4BE4" w:rsidRDefault="001C4BE4" w:rsidP="001C4BE4">
      <w:pPr>
        <w:rPr>
          <w:szCs w:val="22"/>
        </w:rPr>
      </w:pPr>
    </w:p>
    <w:p w14:paraId="3C535A7B" w14:textId="531B6645" w:rsidR="001C4BE4" w:rsidRPr="001C4BE4" w:rsidRDefault="001C4BE4" w:rsidP="001C4BE4">
      <w:pPr>
        <w:rPr>
          <w:szCs w:val="22"/>
        </w:rPr>
      </w:pPr>
      <w:r w:rsidRPr="001C4BE4">
        <w:rPr>
          <w:szCs w:val="22"/>
        </w:rPr>
        <w:t xml:space="preserve">KIM </w:t>
      </w:r>
      <w:proofErr w:type="spellStart"/>
      <w:r w:rsidRPr="001C4BE4">
        <w:rPr>
          <w:szCs w:val="22"/>
        </w:rPr>
        <w:t>Sungyeol</w:t>
      </w:r>
      <w:proofErr w:type="spellEnd"/>
      <w:r w:rsidR="006F50EB">
        <w:rPr>
          <w:szCs w:val="22"/>
        </w:rPr>
        <w:t xml:space="preserve"> (Mr.)</w:t>
      </w:r>
      <w:r w:rsidRPr="001C4BE4">
        <w:rPr>
          <w:szCs w:val="22"/>
        </w:rPr>
        <w:t xml:space="preserve">, Deputy Director, Culture and Trade Team, Ministry of Culture, Sports and Tourism, </w:t>
      </w:r>
      <w:proofErr w:type="spellStart"/>
      <w:r w:rsidRPr="001C4BE4">
        <w:rPr>
          <w:szCs w:val="22"/>
        </w:rPr>
        <w:t>Sejong</w:t>
      </w:r>
      <w:proofErr w:type="spellEnd"/>
    </w:p>
    <w:p w14:paraId="64C2FD38" w14:textId="77777777" w:rsidR="001C4BE4" w:rsidRPr="001C4BE4" w:rsidRDefault="001C4BE4" w:rsidP="001C4BE4">
      <w:pPr>
        <w:rPr>
          <w:szCs w:val="22"/>
        </w:rPr>
      </w:pPr>
    </w:p>
    <w:p w14:paraId="277933B3" w14:textId="77777777" w:rsidR="001C4BE4" w:rsidRPr="001C4BE4" w:rsidRDefault="001C4BE4" w:rsidP="001C4BE4">
      <w:pPr>
        <w:rPr>
          <w:szCs w:val="22"/>
        </w:rPr>
      </w:pPr>
    </w:p>
    <w:p w14:paraId="6FC11225" w14:textId="77777777" w:rsidR="001C4BE4" w:rsidRPr="001C4BE4" w:rsidRDefault="001C4BE4" w:rsidP="001C4BE4">
      <w:pPr>
        <w:rPr>
          <w:szCs w:val="22"/>
          <w:u w:val="single"/>
        </w:rPr>
      </w:pPr>
      <w:r w:rsidRPr="001C4BE4">
        <w:rPr>
          <w:szCs w:val="22"/>
          <w:u w:val="single"/>
        </w:rPr>
        <w:t>RÉPUBLIQUE DE MOLDOVA/REPUBLIC OF MOLDOVA</w:t>
      </w:r>
    </w:p>
    <w:p w14:paraId="5CE21784" w14:textId="77777777" w:rsidR="001C4BE4" w:rsidRPr="001C4BE4" w:rsidRDefault="001C4BE4" w:rsidP="001C4BE4">
      <w:pPr>
        <w:rPr>
          <w:szCs w:val="22"/>
          <w:u w:val="single"/>
        </w:rPr>
      </w:pPr>
    </w:p>
    <w:p w14:paraId="68AD0961" w14:textId="77777777" w:rsidR="001C4BE4" w:rsidRPr="001C4BE4" w:rsidRDefault="001C4BE4" w:rsidP="001C4BE4">
      <w:pPr>
        <w:rPr>
          <w:szCs w:val="22"/>
        </w:rPr>
      </w:pPr>
      <w:r w:rsidRPr="001C4BE4">
        <w:rPr>
          <w:szCs w:val="22"/>
        </w:rPr>
        <w:t>Diana STICI (Ms.), Head, Legal Department, State Agency on Intellectual Property (AGEPI), Chisinau</w:t>
      </w:r>
    </w:p>
    <w:p w14:paraId="514DB3B1" w14:textId="77777777" w:rsidR="001C4BE4" w:rsidRPr="001C4BE4" w:rsidRDefault="001C4BE4" w:rsidP="001C4BE4">
      <w:pPr>
        <w:rPr>
          <w:szCs w:val="22"/>
        </w:rPr>
      </w:pPr>
    </w:p>
    <w:p w14:paraId="2CF364E5" w14:textId="79E60C6E" w:rsidR="001C4BE4" w:rsidRPr="001C4BE4" w:rsidRDefault="001C4BE4" w:rsidP="001C4BE4">
      <w:pPr>
        <w:rPr>
          <w:szCs w:val="22"/>
        </w:rPr>
      </w:pPr>
      <w:r w:rsidRPr="001C4BE4">
        <w:rPr>
          <w:szCs w:val="22"/>
        </w:rPr>
        <w:t>Marin CEBOTARI</w:t>
      </w:r>
      <w:r w:rsidR="006F50EB">
        <w:rPr>
          <w:szCs w:val="22"/>
        </w:rPr>
        <w:t xml:space="preserve"> (Mr.)</w:t>
      </w:r>
      <w:r w:rsidRPr="001C4BE4">
        <w:rPr>
          <w:szCs w:val="22"/>
        </w:rPr>
        <w:t>, Counsellor, Permanent Mission, Geneva</w:t>
      </w:r>
    </w:p>
    <w:p w14:paraId="107265A2" w14:textId="77777777" w:rsidR="001C4BE4" w:rsidRPr="001C4BE4" w:rsidRDefault="001C4BE4" w:rsidP="001C4BE4">
      <w:pPr>
        <w:rPr>
          <w:szCs w:val="22"/>
          <w:lang w:val="fr-FR"/>
        </w:rPr>
      </w:pPr>
      <w:r w:rsidRPr="001C4BE4">
        <w:rPr>
          <w:szCs w:val="22"/>
          <w:u w:val="single"/>
          <w:lang w:val="fr-FR"/>
        </w:rPr>
        <w:t xml:space="preserve">marin.cebotari@mfa.md </w:t>
      </w:r>
    </w:p>
    <w:p w14:paraId="0FB1B36C" w14:textId="77777777" w:rsidR="001C4BE4" w:rsidRPr="001C4BE4" w:rsidRDefault="001C4BE4" w:rsidP="001C4BE4">
      <w:pPr>
        <w:rPr>
          <w:szCs w:val="22"/>
          <w:lang w:val="fr-FR"/>
        </w:rPr>
      </w:pPr>
    </w:p>
    <w:p w14:paraId="2F3CF939" w14:textId="77777777" w:rsidR="001C4BE4" w:rsidRPr="001C4BE4" w:rsidRDefault="001C4BE4" w:rsidP="001C4BE4">
      <w:pPr>
        <w:rPr>
          <w:szCs w:val="22"/>
          <w:lang w:val="fr-FR"/>
        </w:rPr>
      </w:pPr>
    </w:p>
    <w:p w14:paraId="5131C205" w14:textId="77777777" w:rsidR="001C4BE4" w:rsidRPr="001C4BE4" w:rsidRDefault="001C4BE4" w:rsidP="001C4BE4">
      <w:pPr>
        <w:rPr>
          <w:szCs w:val="22"/>
          <w:u w:val="single"/>
          <w:lang w:val="fr-FR"/>
        </w:rPr>
      </w:pPr>
      <w:r w:rsidRPr="001C4BE4">
        <w:rPr>
          <w:szCs w:val="22"/>
          <w:u w:val="single"/>
          <w:lang w:val="fr-FR"/>
        </w:rPr>
        <w:t>RÉPUBLIQUE DÉMOCRATIQUE POPULAIRE LAO/LAO PEOPLE’S DEMOCRATIC REPUBLIC</w:t>
      </w:r>
    </w:p>
    <w:p w14:paraId="7CED0A23" w14:textId="77777777" w:rsidR="001C4BE4" w:rsidRPr="001C4BE4" w:rsidRDefault="001C4BE4" w:rsidP="001C4BE4">
      <w:pPr>
        <w:rPr>
          <w:szCs w:val="22"/>
          <w:u w:val="single"/>
          <w:lang w:val="fr-FR"/>
        </w:rPr>
      </w:pPr>
    </w:p>
    <w:p w14:paraId="2CAAD621" w14:textId="563C4E8A" w:rsidR="001C4BE4" w:rsidRPr="001C4BE4" w:rsidRDefault="001C4BE4" w:rsidP="001C4BE4">
      <w:pPr>
        <w:rPr>
          <w:szCs w:val="22"/>
        </w:rPr>
      </w:pPr>
      <w:proofErr w:type="spellStart"/>
      <w:r w:rsidRPr="001C4BE4">
        <w:rPr>
          <w:szCs w:val="22"/>
        </w:rPr>
        <w:t>Vilay</w:t>
      </w:r>
      <w:proofErr w:type="spellEnd"/>
      <w:r w:rsidRPr="001C4BE4">
        <w:rPr>
          <w:szCs w:val="22"/>
        </w:rPr>
        <w:t xml:space="preserve"> DUANG THONGLA</w:t>
      </w:r>
      <w:r w:rsidR="006F50EB">
        <w:rPr>
          <w:szCs w:val="22"/>
        </w:rPr>
        <w:t xml:space="preserve"> (Mr.)</w:t>
      </w:r>
      <w:r w:rsidRPr="001C4BE4">
        <w:rPr>
          <w:szCs w:val="22"/>
        </w:rPr>
        <w:t>, Intellectual Property Cooperation Officer, Department of Intellectual Property, Ministry of Science and Technology, Vientiane</w:t>
      </w:r>
    </w:p>
    <w:p w14:paraId="30E57BBE" w14:textId="77777777" w:rsidR="001C4BE4" w:rsidRPr="001C4BE4" w:rsidRDefault="001C4BE4" w:rsidP="001C4BE4">
      <w:pPr>
        <w:rPr>
          <w:szCs w:val="22"/>
        </w:rPr>
      </w:pPr>
    </w:p>
    <w:p w14:paraId="6EC8F400" w14:textId="77777777" w:rsidR="001C4BE4" w:rsidRDefault="001C4BE4" w:rsidP="001C4BE4">
      <w:pPr>
        <w:rPr>
          <w:szCs w:val="22"/>
        </w:rPr>
      </w:pPr>
    </w:p>
    <w:p w14:paraId="2E4584E2" w14:textId="77777777" w:rsidR="00224BD9" w:rsidRPr="001C4BE4" w:rsidRDefault="00224BD9" w:rsidP="001C4BE4">
      <w:pPr>
        <w:rPr>
          <w:szCs w:val="22"/>
        </w:rPr>
      </w:pPr>
    </w:p>
    <w:p w14:paraId="3C07A6B2" w14:textId="77777777" w:rsidR="001C4BE4" w:rsidRPr="001C4BE4" w:rsidRDefault="001C4BE4" w:rsidP="001C4BE4">
      <w:pPr>
        <w:rPr>
          <w:szCs w:val="22"/>
          <w:u w:val="single"/>
          <w:lang w:val="fr-FR"/>
        </w:rPr>
      </w:pPr>
      <w:r w:rsidRPr="001C4BE4">
        <w:rPr>
          <w:szCs w:val="22"/>
          <w:u w:val="single"/>
          <w:lang w:val="fr-FR"/>
        </w:rPr>
        <w:t>RÉPUBLIQUE POPULAIRE DÉMOCRATIQUE DE CORÉE/DEMOCRATIC PEOPLE’S REPUBLIC OF KOREA</w:t>
      </w:r>
    </w:p>
    <w:p w14:paraId="0C92D747" w14:textId="77777777" w:rsidR="001C4BE4" w:rsidRPr="001C4BE4" w:rsidRDefault="001C4BE4" w:rsidP="001C4BE4">
      <w:pPr>
        <w:rPr>
          <w:szCs w:val="22"/>
          <w:u w:val="single"/>
          <w:lang w:val="fr-FR"/>
        </w:rPr>
      </w:pPr>
    </w:p>
    <w:p w14:paraId="785985BF" w14:textId="5C315873" w:rsidR="001C4BE4" w:rsidRPr="001C4BE4" w:rsidRDefault="001C4BE4" w:rsidP="001C4BE4">
      <w:pPr>
        <w:rPr>
          <w:szCs w:val="22"/>
        </w:rPr>
      </w:pPr>
      <w:r w:rsidRPr="001C4BE4">
        <w:rPr>
          <w:szCs w:val="22"/>
        </w:rPr>
        <w:t xml:space="preserve">JONG </w:t>
      </w:r>
      <w:proofErr w:type="spellStart"/>
      <w:r w:rsidRPr="001C4BE4">
        <w:rPr>
          <w:szCs w:val="22"/>
        </w:rPr>
        <w:t>Myong</w:t>
      </w:r>
      <w:proofErr w:type="spellEnd"/>
      <w:r w:rsidRPr="001C4BE4">
        <w:rPr>
          <w:szCs w:val="22"/>
        </w:rPr>
        <w:t xml:space="preserve"> </w:t>
      </w:r>
      <w:proofErr w:type="spellStart"/>
      <w:r w:rsidRPr="001C4BE4">
        <w:rPr>
          <w:szCs w:val="22"/>
        </w:rPr>
        <w:t>Hak</w:t>
      </w:r>
      <w:proofErr w:type="spellEnd"/>
      <w:r w:rsidR="006F50EB">
        <w:rPr>
          <w:szCs w:val="22"/>
        </w:rPr>
        <w:t xml:space="preserve"> (Mr.)</w:t>
      </w:r>
      <w:r w:rsidRPr="001C4BE4">
        <w:rPr>
          <w:szCs w:val="22"/>
        </w:rPr>
        <w:t>, Counsellor, Permanent Mission, Geneva</w:t>
      </w:r>
    </w:p>
    <w:p w14:paraId="1D6CF11E" w14:textId="77777777" w:rsidR="001C4BE4" w:rsidRPr="001C4BE4" w:rsidRDefault="001C4BE4" w:rsidP="001C4BE4">
      <w:pPr>
        <w:rPr>
          <w:szCs w:val="22"/>
        </w:rPr>
      </w:pPr>
    </w:p>
    <w:p w14:paraId="776AC1C5" w14:textId="77777777" w:rsidR="001C4BE4" w:rsidRPr="001C4BE4" w:rsidRDefault="001C4BE4" w:rsidP="001C4BE4">
      <w:pPr>
        <w:rPr>
          <w:szCs w:val="22"/>
        </w:rPr>
      </w:pPr>
    </w:p>
    <w:p w14:paraId="55989368" w14:textId="77777777" w:rsidR="001C4BE4" w:rsidRPr="001C4BE4" w:rsidRDefault="001C4BE4" w:rsidP="001C4BE4">
      <w:pPr>
        <w:rPr>
          <w:szCs w:val="22"/>
          <w:u w:val="single"/>
        </w:rPr>
      </w:pPr>
      <w:r w:rsidRPr="001C4BE4">
        <w:rPr>
          <w:szCs w:val="22"/>
          <w:u w:val="single"/>
        </w:rPr>
        <w:t>RÉPUBLIQUE TCHÈQUE/CZECH REPUBLIC</w:t>
      </w:r>
    </w:p>
    <w:p w14:paraId="595BEBE6" w14:textId="77777777" w:rsidR="001C4BE4" w:rsidRPr="001C4BE4" w:rsidRDefault="001C4BE4" w:rsidP="001C4BE4">
      <w:pPr>
        <w:rPr>
          <w:szCs w:val="22"/>
          <w:u w:val="single"/>
        </w:rPr>
      </w:pPr>
    </w:p>
    <w:p w14:paraId="3675BEB5" w14:textId="77777777" w:rsidR="00224BD9" w:rsidRDefault="00224BD9" w:rsidP="00224BD9">
      <w:pPr>
        <w:rPr>
          <w:szCs w:val="22"/>
        </w:rPr>
      </w:pPr>
      <w:r w:rsidRPr="00224BD9">
        <w:rPr>
          <w:szCs w:val="22"/>
        </w:rPr>
        <w:t>Lucie ZAMYKALOVA (Ms.), Head, International Cooperation and Patent Law-related Matters</w:t>
      </w:r>
      <w:r>
        <w:rPr>
          <w:szCs w:val="22"/>
        </w:rPr>
        <w:t xml:space="preserve"> Unit</w:t>
      </w:r>
      <w:r w:rsidRPr="00224BD9">
        <w:rPr>
          <w:szCs w:val="22"/>
        </w:rPr>
        <w:t>, International Department, Industrial Property Office, Prague</w:t>
      </w:r>
    </w:p>
    <w:p w14:paraId="5E21EBA9" w14:textId="77777777" w:rsidR="00224BD9" w:rsidRPr="00224BD9" w:rsidRDefault="00224BD9" w:rsidP="00224BD9">
      <w:pPr>
        <w:rPr>
          <w:szCs w:val="22"/>
        </w:rPr>
      </w:pPr>
    </w:p>
    <w:p w14:paraId="565A9E4A" w14:textId="6533D494" w:rsidR="001C4BE4" w:rsidRPr="001C4BE4" w:rsidRDefault="001C4BE4" w:rsidP="001C4BE4">
      <w:pPr>
        <w:rPr>
          <w:szCs w:val="22"/>
        </w:rPr>
      </w:pPr>
      <w:r w:rsidRPr="001C4BE4">
        <w:rPr>
          <w:szCs w:val="22"/>
        </w:rPr>
        <w:t>Pavel ZEMAN, Head</w:t>
      </w:r>
      <w:r w:rsidR="006F50EB">
        <w:rPr>
          <w:szCs w:val="22"/>
        </w:rPr>
        <w:t xml:space="preserve"> (Mr.)</w:t>
      </w:r>
      <w:r w:rsidRPr="001C4BE4">
        <w:rPr>
          <w:szCs w:val="22"/>
        </w:rPr>
        <w:t>, Copyright Department, Ministry of Culture, Prague</w:t>
      </w:r>
    </w:p>
    <w:p w14:paraId="6D776C4C" w14:textId="77777777" w:rsidR="001C4BE4" w:rsidRPr="001C4BE4" w:rsidRDefault="001C4BE4" w:rsidP="001C4BE4">
      <w:pPr>
        <w:rPr>
          <w:szCs w:val="22"/>
          <w:lang w:val="fr-FR"/>
        </w:rPr>
      </w:pPr>
      <w:r w:rsidRPr="001C4BE4">
        <w:rPr>
          <w:szCs w:val="22"/>
          <w:u w:val="single"/>
          <w:lang w:val="fr-FR"/>
        </w:rPr>
        <w:t xml:space="preserve">pavel.zeman@mkcr.cz </w:t>
      </w:r>
    </w:p>
    <w:p w14:paraId="1982A3A3" w14:textId="77777777" w:rsidR="001C4BE4" w:rsidRPr="001C4BE4" w:rsidRDefault="001C4BE4" w:rsidP="001C4BE4">
      <w:pPr>
        <w:rPr>
          <w:szCs w:val="22"/>
          <w:lang w:val="fr-FR"/>
        </w:rPr>
      </w:pPr>
    </w:p>
    <w:p w14:paraId="43CC59CA" w14:textId="77777777" w:rsidR="001C4BE4" w:rsidRPr="001C4BE4" w:rsidRDefault="001C4BE4" w:rsidP="001C4BE4">
      <w:pPr>
        <w:rPr>
          <w:szCs w:val="22"/>
          <w:u w:val="single"/>
          <w:lang w:val="fr-FR"/>
        </w:rPr>
      </w:pPr>
    </w:p>
    <w:p w14:paraId="119D6F5B" w14:textId="77777777" w:rsidR="001C4BE4" w:rsidRPr="001C4BE4" w:rsidRDefault="001C4BE4" w:rsidP="001C4BE4">
      <w:pPr>
        <w:rPr>
          <w:szCs w:val="22"/>
          <w:u w:val="single"/>
          <w:lang w:val="fr-FR"/>
        </w:rPr>
      </w:pPr>
      <w:r w:rsidRPr="001C4BE4">
        <w:rPr>
          <w:szCs w:val="22"/>
          <w:u w:val="single"/>
          <w:lang w:val="fr-FR"/>
        </w:rPr>
        <w:t>ROUMANIE/ROMANIA</w:t>
      </w:r>
    </w:p>
    <w:p w14:paraId="5FC5A8C9" w14:textId="77777777" w:rsidR="001C4BE4" w:rsidRPr="001C4BE4" w:rsidRDefault="001C4BE4" w:rsidP="001C4BE4">
      <w:pPr>
        <w:rPr>
          <w:szCs w:val="22"/>
          <w:u w:val="single"/>
          <w:lang w:val="fr-FR"/>
        </w:rPr>
      </w:pPr>
    </w:p>
    <w:p w14:paraId="3CE8FFBC" w14:textId="0FA14509" w:rsidR="001C4BE4" w:rsidRPr="001C4BE4" w:rsidRDefault="001C4BE4" w:rsidP="001C4BE4">
      <w:pPr>
        <w:rPr>
          <w:szCs w:val="22"/>
        </w:rPr>
      </w:pPr>
      <w:proofErr w:type="spellStart"/>
      <w:r w:rsidRPr="001C4BE4">
        <w:rPr>
          <w:szCs w:val="22"/>
        </w:rPr>
        <w:t>Razvan</w:t>
      </w:r>
      <w:proofErr w:type="spellEnd"/>
      <w:r w:rsidRPr="001C4BE4">
        <w:rPr>
          <w:szCs w:val="22"/>
        </w:rPr>
        <w:t xml:space="preserve"> CASMOIU</w:t>
      </w:r>
      <w:r w:rsidR="006F50EB">
        <w:rPr>
          <w:szCs w:val="22"/>
        </w:rPr>
        <w:t xml:space="preserve"> (Mr.)</w:t>
      </w:r>
      <w:r w:rsidRPr="001C4BE4">
        <w:rPr>
          <w:szCs w:val="22"/>
        </w:rPr>
        <w:t>, Head, Expertise and Scientific Ascertainments Department, Romanian Copyright Office (ORDA), Bucharest</w:t>
      </w:r>
    </w:p>
    <w:p w14:paraId="51A7AB88" w14:textId="77777777" w:rsidR="001C4BE4" w:rsidRPr="001C4BE4" w:rsidRDefault="001C4BE4" w:rsidP="001C4BE4">
      <w:pPr>
        <w:rPr>
          <w:szCs w:val="22"/>
        </w:rPr>
      </w:pPr>
    </w:p>
    <w:p w14:paraId="286C7140" w14:textId="55E0F6F4" w:rsidR="001C4BE4" w:rsidRPr="001C4BE4" w:rsidRDefault="001C4BE4" w:rsidP="001C4BE4">
      <w:pPr>
        <w:rPr>
          <w:szCs w:val="22"/>
        </w:rPr>
      </w:pPr>
      <w:r w:rsidRPr="001C4BE4">
        <w:rPr>
          <w:szCs w:val="22"/>
        </w:rPr>
        <w:t>Cristian FLORESCU</w:t>
      </w:r>
      <w:r w:rsidR="006F50EB">
        <w:rPr>
          <w:szCs w:val="22"/>
        </w:rPr>
        <w:t xml:space="preserve"> (Mr.)</w:t>
      </w:r>
      <w:r w:rsidRPr="001C4BE4">
        <w:rPr>
          <w:szCs w:val="22"/>
        </w:rPr>
        <w:t>, Head, International Relations Department, Romanian Copyright Office (ORDA), Bucharest</w:t>
      </w:r>
    </w:p>
    <w:p w14:paraId="63416CDB" w14:textId="77777777" w:rsidR="001C4BE4" w:rsidRPr="001C4BE4" w:rsidRDefault="001C4BE4" w:rsidP="001C4BE4">
      <w:pPr>
        <w:rPr>
          <w:szCs w:val="22"/>
        </w:rPr>
      </w:pPr>
    </w:p>
    <w:p w14:paraId="5FF9E7C5" w14:textId="61698D32" w:rsidR="001C4BE4" w:rsidRPr="001C4BE4" w:rsidRDefault="001C4BE4" w:rsidP="001C4BE4">
      <w:pPr>
        <w:rPr>
          <w:szCs w:val="22"/>
        </w:rPr>
      </w:pPr>
      <w:r w:rsidRPr="001C4BE4">
        <w:rPr>
          <w:szCs w:val="22"/>
        </w:rPr>
        <w:t>Adrian NEGOITA</w:t>
      </w:r>
      <w:r w:rsidR="006F50EB">
        <w:rPr>
          <w:szCs w:val="22"/>
        </w:rPr>
        <w:t xml:space="preserve"> (Mr.)</w:t>
      </w:r>
      <w:r w:rsidRPr="001C4BE4">
        <w:rPr>
          <w:szCs w:val="22"/>
        </w:rPr>
        <w:t>, Head, Patents Department, Romanian State Office for Inventions and Trademarks (OSIM), Bucharest</w:t>
      </w:r>
    </w:p>
    <w:p w14:paraId="113D6515" w14:textId="77777777" w:rsidR="001C4BE4" w:rsidRPr="001C4BE4" w:rsidRDefault="001C4BE4" w:rsidP="001C4BE4">
      <w:pPr>
        <w:rPr>
          <w:szCs w:val="22"/>
        </w:rPr>
      </w:pPr>
      <w:r w:rsidRPr="001C4BE4">
        <w:rPr>
          <w:szCs w:val="22"/>
          <w:u w:val="single"/>
        </w:rPr>
        <w:t xml:space="preserve">negoita.adrian@osim.ro </w:t>
      </w:r>
    </w:p>
    <w:p w14:paraId="7B5B9B69" w14:textId="77777777" w:rsidR="001C4BE4" w:rsidRPr="001C4BE4" w:rsidRDefault="001C4BE4" w:rsidP="001C4BE4">
      <w:pPr>
        <w:rPr>
          <w:szCs w:val="22"/>
        </w:rPr>
      </w:pPr>
    </w:p>
    <w:p w14:paraId="0466019C" w14:textId="77777777" w:rsidR="001C4BE4" w:rsidRPr="001C4BE4" w:rsidRDefault="001C4BE4" w:rsidP="001C4BE4">
      <w:pPr>
        <w:rPr>
          <w:szCs w:val="22"/>
        </w:rPr>
      </w:pPr>
      <w:r w:rsidRPr="001C4BE4">
        <w:rPr>
          <w:szCs w:val="22"/>
        </w:rPr>
        <w:t>Monica SOARE-RADA (Ms.), Head, European Patents and International Applications Bureau, Patent Administration Division, Romanian State Office for Inventions and Trademarks (OSIM), Bucharest</w:t>
      </w:r>
    </w:p>
    <w:p w14:paraId="585877E4" w14:textId="77777777" w:rsidR="001C4BE4" w:rsidRPr="001C4BE4" w:rsidRDefault="001C4BE4" w:rsidP="001C4BE4">
      <w:pPr>
        <w:rPr>
          <w:szCs w:val="22"/>
        </w:rPr>
      </w:pPr>
      <w:r w:rsidRPr="001C4BE4">
        <w:rPr>
          <w:szCs w:val="22"/>
          <w:u w:val="single"/>
        </w:rPr>
        <w:t xml:space="preserve">monica.soare@osim.ro </w:t>
      </w:r>
    </w:p>
    <w:p w14:paraId="54FC44D6" w14:textId="77777777" w:rsidR="001C4BE4" w:rsidRPr="001C4BE4" w:rsidRDefault="001C4BE4" w:rsidP="001C4BE4">
      <w:pPr>
        <w:rPr>
          <w:szCs w:val="22"/>
        </w:rPr>
      </w:pPr>
    </w:p>
    <w:p w14:paraId="6CE9ABDE" w14:textId="77777777" w:rsidR="001C4BE4" w:rsidRPr="001C4BE4" w:rsidRDefault="001C4BE4" w:rsidP="001C4BE4">
      <w:pPr>
        <w:rPr>
          <w:szCs w:val="22"/>
        </w:rPr>
      </w:pPr>
    </w:p>
    <w:p w14:paraId="5B735397" w14:textId="77777777" w:rsidR="001C4BE4" w:rsidRPr="001C4BE4" w:rsidRDefault="001C4BE4" w:rsidP="001C4BE4">
      <w:pPr>
        <w:rPr>
          <w:szCs w:val="22"/>
          <w:u w:val="single"/>
        </w:rPr>
      </w:pPr>
      <w:r w:rsidRPr="001C4BE4">
        <w:rPr>
          <w:szCs w:val="22"/>
          <w:u w:val="single"/>
        </w:rPr>
        <w:t>ROYAUME-UNI/UNITED KINGDOM</w:t>
      </w:r>
    </w:p>
    <w:p w14:paraId="725AB014" w14:textId="77777777" w:rsidR="001C4BE4" w:rsidRPr="001C4BE4" w:rsidRDefault="001C4BE4" w:rsidP="001C4BE4">
      <w:pPr>
        <w:rPr>
          <w:szCs w:val="22"/>
          <w:u w:val="single"/>
        </w:rPr>
      </w:pPr>
    </w:p>
    <w:p w14:paraId="1C21E282" w14:textId="14F20896" w:rsidR="001C4BE4" w:rsidRPr="001C4BE4" w:rsidRDefault="001C4BE4" w:rsidP="001C4BE4">
      <w:pPr>
        <w:rPr>
          <w:szCs w:val="22"/>
        </w:rPr>
      </w:pPr>
      <w:r w:rsidRPr="001C4BE4">
        <w:rPr>
          <w:szCs w:val="22"/>
        </w:rPr>
        <w:t>Andrew SADLER</w:t>
      </w:r>
      <w:r w:rsidR="006F50EB">
        <w:rPr>
          <w:szCs w:val="22"/>
        </w:rPr>
        <w:t xml:space="preserve"> (Mr.)</w:t>
      </w:r>
      <w:r w:rsidRPr="001C4BE4">
        <w:rPr>
          <w:szCs w:val="22"/>
        </w:rPr>
        <w:t>, Senior Policy Adviser, Copyright and Enforcement Directorate, Intellectual Property Office (IPO), Newport</w:t>
      </w:r>
    </w:p>
    <w:p w14:paraId="5AFB56CA" w14:textId="77777777" w:rsidR="001C4BE4" w:rsidRPr="001C4BE4" w:rsidRDefault="001C4BE4" w:rsidP="001C4BE4">
      <w:pPr>
        <w:rPr>
          <w:szCs w:val="22"/>
        </w:rPr>
      </w:pPr>
    </w:p>
    <w:p w14:paraId="773D5ABF" w14:textId="4BA2C53A" w:rsidR="001C4BE4" w:rsidRPr="001C4BE4" w:rsidRDefault="001C4BE4" w:rsidP="001C4BE4">
      <w:pPr>
        <w:rPr>
          <w:szCs w:val="22"/>
        </w:rPr>
      </w:pPr>
      <w:r w:rsidRPr="001C4BE4">
        <w:rPr>
          <w:szCs w:val="22"/>
        </w:rPr>
        <w:t>Marc WILD</w:t>
      </w:r>
      <w:r w:rsidR="006F50EB">
        <w:rPr>
          <w:szCs w:val="22"/>
        </w:rPr>
        <w:t xml:space="preserve"> (Mr.)</w:t>
      </w:r>
      <w:r w:rsidRPr="001C4BE4">
        <w:rPr>
          <w:szCs w:val="22"/>
        </w:rPr>
        <w:t>, Policy Officer, International Policy Directorate, Intellectual Property Office (IPO), Newport</w:t>
      </w:r>
    </w:p>
    <w:p w14:paraId="07CF49A6" w14:textId="77777777" w:rsidR="001C4BE4" w:rsidRPr="001C4BE4" w:rsidRDefault="001C4BE4" w:rsidP="001C4BE4">
      <w:pPr>
        <w:rPr>
          <w:szCs w:val="22"/>
          <w:lang w:val="fr-FR"/>
        </w:rPr>
      </w:pPr>
      <w:r w:rsidRPr="001C4BE4">
        <w:rPr>
          <w:szCs w:val="22"/>
          <w:u w:val="single"/>
          <w:lang w:val="fr-FR"/>
        </w:rPr>
        <w:t xml:space="preserve">marc.wild@ipo.gov.uk </w:t>
      </w:r>
    </w:p>
    <w:p w14:paraId="36492D50" w14:textId="77777777" w:rsidR="001C4BE4" w:rsidRPr="001C4BE4" w:rsidRDefault="001C4BE4" w:rsidP="001C4BE4">
      <w:pPr>
        <w:rPr>
          <w:szCs w:val="22"/>
          <w:lang w:val="fr-FR"/>
        </w:rPr>
      </w:pPr>
    </w:p>
    <w:p w14:paraId="305C1EE5" w14:textId="77777777" w:rsidR="001C4BE4" w:rsidRPr="001C4BE4" w:rsidRDefault="001C4BE4" w:rsidP="001C4BE4">
      <w:pPr>
        <w:rPr>
          <w:szCs w:val="22"/>
          <w:lang w:val="fr-FR"/>
        </w:rPr>
      </w:pPr>
    </w:p>
    <w:p w14:paraId="5919FFF2" w14:textId="77777777" w:rsidR="001C4BE4" w:rsidRPr="001C4BE4" w:rsidRDefault="001C4BE4" w:rsidP="001C4BE4">
      <w:pPr>
        <w:rPr>
          <w:szCs w:val="22"/>
          <w:u w:val="single"/>
          <w:lang w:val="fr-FR"/>
        </w:rPr>
      </w:pPr>
      <w:r w:rsidRPr="001C4BE4">
        <w:rPr>
          <w:szCs w:val="22"/>
          <w:u w:val="single"/>
          <w:lang w:val="fr-FR"/>
        </w:rPr>
        <w:t>SÉNÉGAL/SENEGAL</w:t>
      </w:r>
    </w:p>
    <w:p w14:paraId="557CCF10" w14:textId="77777777" w:rsidR="001C4BE4" w:rsidRPr="001C4BE4" w:rsidRDefault="001C4BE4" w:rsidP="001C4BE4">
      <w:pPr>
        <w:rPr>
          <w:szCs w:val="22"/>
          <w:u w:val="single"/>
          <w:lang w:val="fr-FR"/>
        </w:rPr>
      </w:pPr>
    </w:p>
    <w:p w14:paraId="30208516" w14:textId="30406E59" w:rsidR="001C4BE4" w:rsidRPr="001C4BE4" w:rsidRDefault="001C4BE4" w:rsidP="001C4BE4">
      <w:pPr>
        <w:rPr>
          <w:szCs w:val="22"/>
          <w:lang w:val="fr-FR"/>
        </w:rPr>
      </w:pPr>
      <w:r w:rsidRPr="001C4BE4">
        <w:rPr>
          <w:szCs w:val="22"/>
          <w:lang w:val="fr-FR"/>
        </w:rPr>
        <w:t>Abdoul Aziz DIENG</w:t>
      </w:r>
      <w:r w:rsidR="006F50EB">
        <w:rPr>
          <w:szCs w:val="22"/>
          <w:lang w:val="fr-FR"/>
        </w:rPr>
        <w:t xml:space="preserve"> (M.)</w:t>
      </w:r>
      <w:r w:rsidRPr="001C4BE4">
        <w:rPr>
          <w:szCs w:val="22"/>
          <w:lang w:val="fr-FR"/>
        </w:rPr>
        <w:t>, conseiller technique, Ministère de la culture et de la communication, Dakar</w:t>
      </w:r>
    </w:p>
    <w:p w14:paraId="6A9E6286" w14:textId="77777777" w:rsidR="001C4BE4" w:rsidRPr="001C4BE4" w:rsidRDefault="001C4BE4" w:rsidP="001C4BE4">
      <w:pPr>
        <w:rPr>
          <w:szCs w:val="22"/>
          <w:lang w:val="fr-FR"/>
        </w:rPr>
      </w:pPr>
      <w:r w:rsidRPr="001C4BE4">
        <w:rPr>
          <w:szCs w:val="22"/>
          <w:u w:val="single"/>
          <w:lang w:val="fr-FR"/>
        </w:rPr>
        <w:t xml:space="preserve">abdoulaziz.doc@gmail.com </w:t>
      </w:r>
    </w:p>
    <w:p w14:paraId="59369E19" w14:textId="77777777" w:rsidR="001C4BE4" w:rsidRPr="001C4BE4" w:rsidRDefault="001C4BE4" w:rsidP="001C4BE4">
      <w:pPr>
        <w:rPr>
          <w:szCs w:val="22"/>
          <w:lang w:val="fr-FR"/>
        </w:rPr>
      </w:pPr>
    </w:p>
    <w:p w14:paraId="1F5C02BF" w14:textId="4A253499" w:rsidR="001C4BE4" w:rsidRPr="001C4BE4" w:rsidRDefault="001C4BE4" w:rsidP="001C4BE4">
      <w:pPr>
        <w:rPr>
          <w:szCs w:val="22"/>
          <w:lang w:val="fr-FR"/>
        </w:rPr>
      </w:pPr>
      <w:r w:rsidRPr="001C4BE4">
        <w:rPr>
          <w:szCs w:val="22"/>
          <w:lang w:val="fr-FR"/>
        </w:rPr>
        <w:t>Lamine Ka MBAYE</w:t>
      </w:r>
      <w:r w:rsidR="006F50EB">
        <w:rPr>
          <w:szCs w:val="22"/>
          <w:lang w:val="fr-FR"/>
        </w:rPr>
        <w:t xml:space="preserve"> (M.)</w:t>
      </w:r>
      <w:r w:rsidRPr="001C4BE4">
        <w:rPr>
          <w:szCs w:val="22"/>
          <w:lang w:val="fr-FR"/>
        </w:rPr>
        <w:t>, premier secrétaire, Mission permanente, Genève</w:t>
      </w:r>
    </w:p>
    <w:p w14:paraId="27E20ED0" w14:textId="77777777" w:rsidR="001C4BE4" w:rsidRPr="00737182" w:rsidRDefault="001C4BE4" w:rsidP="001C4BE4">
      <w:pPr>
        <w:rPr>
          <w:szCs w:val="22"/>
        </w:rPr>
      </w:pPr>
      <w:r w:rsidRPr="00737182">
        <w:rPr>
          <w:szCs w:val="22"/>
          <w:u w:val="single"/>
        </w:rPr>
        <w:t xml:space="preserve">repsengen@yahoo.fr </w:t>
      </w:r>
    </w:p>
    <w:p w14:paraId="265F0899" w14:textId="77777777" w:rsidR="001C4BE4" w:rsidRPr="00737182" w:rsidRDefault="001C4BE4" w:rsidP="001C4BE4">
      <w:pPr>
        <w:rPr>
          <w:szCs w:val="22"/>
        </w:rPr>
      </w:pPr>
    </w:p>
    <w:p w14:paraId="26D9908D" w14:textId="77777777" w:rsidR="00224BD9" w:rsidRPr="00737182" w:rsidRDefault="00224BD9" w:rsidP="001C4BE4">
      <w:pPr>
        <w:rPr>
          <w:szCs w:val="22"/>
        </w:rPr>
      </w:pPr>
    </w:p>
    <w:p w14:paraId="038B4931" w14:textId="77777777" w:rsidR="00224BD9" w:rsidRPr="00737182" w:rsidRDefault="00224BD9" w:rsidP="001C4BE4">
      <w:pPr>
        <w:rPr>
          <w:szCs w:val="22"/>
        </w:rPr>
      </w:pPr>
    </w:p>
    <w:p w14:paraId="118399B8" w14:textId="77777777" w:rsidR="00224BD9" w:rsidRPr="00737182" w:rsidRDefault="00224BD9" w:rsidP="001C4BE4">
      <w:pPr>
        <w:rPr>
          <w:szCs w:val="22"/>
        </w:rPr>
      </w:pPr>
    </w:p>
    <w:p w14:paraId="00ACF52D" w14:textId="77777777" w:rsidR="00224BD9" w:rsidRPr="00737182" w:rsidRDefault="00224BD9" w:rsidP="001C4BE4">
      <w:pPr>
        <w:rPr>
          <w:szCs w:val="22"/>
        </w:rPr>
      </w:pPr>
    </w:p>
    <w:p w14:paraId="06465DD9" w14:textId="77777777" w:rsidR="00224BD9" w:rsidRPr="00224BD9" w:rsidRDefault="00224BD9" w:rsidP="00224BD9">
      <w:pPr>
        <w:rPr>
          <w:szCs w:val="22"/>
          <w:u w:val="single"/>
        </w:rPr>
      </w:pPr>
      <w:r w:rsidRPr="00224BD9">
        <w:rPr>
          <w:szCs w:val="22"/>
          <w:u w:val="single"/>
        </w:rPr>
        <w:t>SLOVAQUIE/SLOVAKIA</w:t>
      </w:r>
    </w:p>
    <w:p w14:paraId="548AFE89" w14:textId="77777777" w:rsidR="00224BD9" w:rsidRPr="00224BD9" w:rsidRDefault="00224BD9" w:rsidP="00224BD9">
      <w:pPr>
        <w:rPr>
          <w:szCs w:val="22"/>
          <w:u w:val="single"/>
        </w:rPr>
      </w:pPr>
    </w:p>
    <w:p w14:paraId="7353B5A6" w14:textId="4187FCAC" w:rsidR="00224BD9" w:rsidRPr="00224BD9" w:rsidRDefault="00224BD9" w:rsidP="00224BD9">
      <w:pPr>
        <w:rPr>
          <w:szCs w:val="22"/>
        </w:rPr>
      </w:pPr>
      <w:r w:rsidRPr="00224BD9">
        <w:rPr>
          <w:szCs w:val="22"/>
        </w:rPr>
        <w:t>Jakub SLOVÁK</w:t>
      </w:r>
      <w:r w:rsidR="006F50EB">
        <w:rPr>
          <w:szCs w:val="22"/>
        </w:rPr>
        <w:t xml:space="preserve"> (Mr.)</w:t>
      </w:r>
      <w:r w:rsidRPr="00224BD9">
        <w:rPr>
          <w:szCs w:val="22"/>
        </w:rPr>
        <w:t>, Legal Adviser, Copyright Unit, Media, Audiovisual and Copyright Department, Ministry of Culture, Bratislava</w:t>
      </w:r>
    </w:p>
    <w:p w14:paraId="6D6CA720" w14:textId="77777777" w:rsidR="00224BD9" w:rsidRDefault="00224BD9" w:rsidP="00224BD9">
      <w:pPr>
        <w:rPr>
          <w:szCs w:val="22"/>
        </w:rPr>
      </w:pPr>
    </w:p>
    <w:p w14:paraId="7C546058" w14:textId="55B4FBDD" w:rsidR="00224BD9" w:rsidRPr="001C4BE4" w:rsidRDefault="00224BD9" w:rsidP="00224BD9">
      <w:pPr>
        <w:rPr>
          <w:szCs w:val="22"/>
        </w:rPr>
      </w:pPr>
      <w:r w:rsidRPr="001C4BE4">
        <w:rPr>
          <w:szCs w:val="22"/>
        </w:rPr>
        <w:t>Anton FRIC</w:t>
      </w:r>
      <w:r w:rsidR="006F50EB">
        <w:rPr>
          <w:szCs w:val="22"/>
        </w:rPr>
        <w:t xml:space="preserve"> </w:t>
      </w:r>
      <w:r w:rsidR="00045D0B">
        <w:rPr>
          <w:szCs w:val="22"/>
        </w:rPr>
        <w:t>(Mr.)</w:t>
      </w:r>
      <w:r w:rsidRPr="001C4BE4">
        <w:rPr>
          <w:szCs w:val="22"/>
        </w:rPr>
        <w:t>, Counsellor, Permanent Mission, Geneva</w:t>
      </w:r>
    </w:p>
    <w:p w14:paraId="4C011B8F" w14:textId="77777777" w:rsidR="00224BD9" w:rsidRPr="00737182" w:rsidRDefault="00224BD9" w:rsidP="00224BD9">
      <w:pPr>
        <w:rPr>
          <w:szCs w:val="22"/>
          <w:lang w:val="fr-FR"/>
        </w:rPr>
      </w:pPr>
      <w:r w:rsidRPr="00737182">
        <w:rPr>
          <w:szCs w:val="22"/>
          <w:u w:val="single"/>
          <w:lang w:val="fr-FR"/>
        </w:rPr>
        <w:t xml:space="preserve">anton.fric@mzv.sk </w:t>
      </w:r>
    </w:p>
    <w:p w14:paraId="618B2612" w14:textId="77777777" w:rsidR="001C4BE4" w:rsidRPr="00737182" w:rsidRDefault="001C4BE4" w:rsidP="001C4BE4">
      <w:pPr>
        <w:rPr>
          <w:szCs w:val="22"/>
          <w:lang w:val="fr-FR"/>
        </w:rPr>
      </w:pPr>
    </w:p>
    <w:p w14:paraId="32407AAC" w14:textId="77777777" w:rsidR="00224BD9" w:rsidRPr="00737182" w:rsidRDefault="00224BD9" w:rsidP="001C4BE4">
      <w:pPr>
        <w:rPr>
          <w:szCs w:val="22"/>
          <w:lang w:val="fr-FR"/>
        </w:rPr>
      </w:pPr>
    </w:p>
    <w:p w14:paraId="6EAEF52B" w14:textId="77777777" w:rsidR="001C4BE4" w:rsidRPr="001C4BE4" w:rsidRDefault="001C4BE4" w:rsidP="001C4BE4">
      <w:pPr>
        <w:rPr>
          <w:szCs w:val="22"/>
          <w:u w:val="single"/>
          <w:lang w:val="fr-FR"/>
        </w:rPr>
      </w:pPr>
      <w:r w:rsidRPr="001C4BE4">
        <w:rPr>
          <w:szCs w:val="22"/>
          <w:u w:val="single"/>
          <w:lang w:val="fr-FR"/>
        </w:rPr>
        <w:t>SRI LANKA</w:t>
      </w:r>
    </w:p>
    <w:p w14:paraId="490066E9" w14:textId="77777777" w:rsidR="001C4BE4" w:rsidRPr="001C4BE4" w:rsidRDefault="001C4BE4" w:rsidP="001C4BE4">
      <w:pPr>
        <w:rPr>
          <w:szCs w:val="22"/>
          <w:u w:val="single"/>
          <w:lang w:val="fr-FR"/>
        </w:rPr>
      </w:pPr>
    </w:p>
    <w:p w14:paraId="2F78CEE3" w14:textId="7D66CC7D" w:rsidR="001C4BE4" w:rsidRPr="00737182" w:rsidRDefault="001C4BE4" w:rsidP="001C4BE4">
      <w:pPr>
        <w:rPr>
          <w:szCs w:val="22"/>
        </w:rPr>
      </w:pPr>
      <w:proofErr w:type="spellStart"/>
      <w:r w:rsidRPr="00737182">
        <w:rPr>
          <w:szCs w:val="22"/>
        </w:rPr>
        <w:t>Ravinatha</w:t>
      </w:r>
      <w:proofErr w:type="spellEnd"/>
      <w:r w:rsidRPr="00737182">
        <w:rPr>
          <w:szCs w:val="22"/>
        </w:rPr>
        <w:t xml:space="preserve"> ARYASINGHA</w:t>
      </w:r>
      <w:r w:rsidR="00045D0B">
        <w:rPr>
          <w:szCs w:val="22"/>
        </w:rPr>
        <w:t xml:space="preserve"> (Mr.)</w:t>
      </w:r>
      <w:r w:rsidRPr="00737182">
        <w:rPr>
          <w:szCs w:val="22"/>
        </w:rPr>
        <w:t>, Ambassador, Permanent Representative, Permanent Mission, Geneva</w:t>
      </w:r>
    </w:p>
    <w:p w14:paraId="48A5B6ED" w14:textId="77777777" w:rsidR="001C4BE4" w:rsidRPr="00737182" w:rsidRDefault="001C4BE4" w:rsidP="001C4BE4">
      <w:pPr>
        <w:rPr>
          <w:szCs w:val="22"/>
        </w:rPr>
      </w:pPr>
    </w:p>
    <w:p w14:paraId="1867817C" w14:textId="77777777" w:rsidR="001C4BE4" w:rsidRPr="00737182" w:rsidRDefault="001C4BE4" w:rsidP="001C4BE4">
      <w:pPr>
        <w:rPr>
          <w:szCs w:val="22"/>
        </w:rPr>
      </w:pPr>
      <w:r w:rsidRPr="00737182">
        <w:rPr>
          <w:szCs w:val="22"/>
        </w:rPr>
        <w:t xml:space="preserve">Samantha JAYASURIYA (Ms.), Deputy Permanent </w:t>
      </w:r>
      <w:r w:rsidRPr="00224BD9">
        <w:rPr>
          <w:szCs w:val="22"/>
        </w:rPr>
        <w:t>Representative</w:t>
      </w:r>
      <w:r w:rsidRPr="00737182">
        <w:rPr>
          <w:szCs w:val="22"/>
        </w:rPr>
        <w:t>, Permanent Mission, Geneva</w:t>
      </w:r>
    </w:p>
    <w:p w14:paraId="55DF2E4A" w14:textId="77777777" w:rsidR="001C4BE4" w:rsidRPr="00737182" w:rsidRDefault="001C4BE4" w:rsidP="001C4BE4">
      <w:pPr>
        <w:rPr>
          <w:szCs w:val="22"/>
        </w:rPr>
      </w:pPr>
    </w:p>
    <w:p w14:paraId="6DFFA838" w14:textId="39215AD2" w:rsidR="001C4BE4" w:rsidRPr="001C4BE4" w:rsidRDefault="001C4BE4" w:rsidP="001C4BE4">
      <w:pPr>
        <w:rPr>
          <w:szCs w:val="22"/>
        </w:rPr>
      </w:pPr>
      <w:proofErr w:type="spellStart"/>
      <w:r w:rsidRPr="001C4BE4">
        <w:rPr>
          <w:szCs w:val="22"/>
        </w:rPr>
        <w:t>Chinthaka</w:t>
      </w:r>
      <w:proofErr w:type="spellEnd"/>
      <w:r w:rsidRPr="001C4BE4">
        <w:rPr>
          <w:szCs w:val="22"/>
        </w:rPr>
        <w:t xml:space="preserve"> </w:t>
      </w:r>
      <w:proofErr w:type="spellStart"/>
      <w:r w:rsidRPr="001C4BE4">
        <w:rPr>
          <w:szCs w:val="22"/>
        </w:rPr>
        <w:t>Samarawicrama</w:t>
      </w:r>
      <w:proofErr w:type="spellEnd"/>
      <w:r w:rsidRPr="001C4BE4">
        <w:rPr>
          <w:szCs w:val="22"/>
        </w:rPr>
        <w:t xml:space="preserve"> LOKUHETTI</w:t>
      </w:r>
      <w:r w:rsidR="00045D0B">
        <w:rPr>
          <w:szCs w:val="22"/>
        </w:rPr>
        <w:t xml:space="preserve"> (Mr.)</w:t>
      </w:r>
      <w:r w:rsidRPr="001C4BE4">
        <w:rPr>
          <w:szCs w:val="22"/>
        </w:rPr>
        <w:t>, Secretary, Ministry of Industry and Commerce, Colombo</w:t>
      </w:r>
    </w:p>
    <w:p w14:paraId="03E5564C" w14:textId="77777777" w:rsidR="001C4BE4" w:rsidRPr="001C4BE4" w:rsidRDefault="001C4BE4" w:rsidP="001C4BE4">
      <w:pPr>
        <w:rPr>
          <w:szCs w:val="22"/>
        </w:rPr>
      </w:pPr>
    </w:p>
    <w:p w14:paraId="102C4F18" w14:textId="2E63BE63" w:rsidR="001C4BE4" w:rsidRPr="001C4BE4" w:rsidRDefault="001C4BE4" w:rsidP="001C4BE4">
      <w:pPr>
        <w:rPr>
          <w:szCs w:val="22"/>
        </w:rPr>
      </w:pPr>
      <w:proofErr w:type="spellStart"/>
      <w:r w:rsidRPr="001C4BE4">
        <w:rPr>
          <w:szCs w:val="22"/>
        </w:rPr>
        <w:t>Shashika</w:t>
      </w:r>
      <w:proofErr w:type="spellEnd"/>
      <w:r w:rsidRPr="001C4BE4">
        <w:rPr>
          <w:szCs w:val="22"/>
        </w:rPr>
        <w:t xml:space="preserve"> SOMERATHNE</w:t>
      </w:r>
      <w:r w:rsidR="00045D0B">
        <w:rPr>
          <w:szCs w:val="22"/>
        </w:rPr>
        <w:t xml:space="preserve"> (Mr.)</w:t>
      </w:r>
      <w:r w:rsidRPr="001C4BE4">
        <w:rPr>
          <w:szCs w:val="22"/>
        </w:rPr>
        <w:t>, Counsellor, Permanent Mission, Geneva</w:t>
      </w:r>
    </w:p>
    <w:p w14:paraId="0EE30903" w14:textId="77777777" w:rsidR="001C4BE4" w:rsidRPr="001C4BE4" w:rsidRDefault="001C4BE4" w:rsidP="001C4BE4">
      <w:pPr>
        <w:rPr>
          <w:szCs w:val="22"/>
        </w:rPr>
      </w:pPr>
    </w:p>
    <w:p w14:paraId="36DD81E5" w14:textId="77777777" w:rsidR="001C4BE4" w:rsidRPr="001C4BE4" w:rsidRDefault="001C4BE4" w:rsidP="001C4BE4">
      <w:pPr>
        <w:rPr>
          <w:szCs w:val="22"/>
          <w:u w:val="single"/>
        </w:rPr>
      </w:pPr>
    </w:p>
    <w:p w14:paraId="6ACD04CE" w14:textId="77777777" w:rsidR="001C4BE4" w:rsidRPr="001C4BE4" w:rsidRDefault="001C4BE4" w:rsidP="001C4BE4">
      <w:pPr>
        <w:rPr>
          <w:szCs w:val="22"/>
          <w:u w:val="single"/>
        </w:rPr>
      </w:pPr>
      <w:r w:rsidRPr="001C4BE4">
        <w:rPr>
          <w:szCs w:val="22"/>
          <w:u w:val="single"/>
        </w:rPr>
        <w:t>SOMALIE/SOMALIA</w:t>
      </w:r>
    </w:p>
    <w:p w14:paraId="563E5223" w14:textId="77777777" w:rsidR="001C4BE4" w:rsidRPr="001C4BE4" w:rsidRDefault="001C4BE4" w:rsidP="001C4BE4">
      <w:pPr>
        <w:rPr>
          <w:szCs w:val="22"/>
          <w:u w:val="single"/>
        </w:rPr>
      </w:pPr>
    </w:p>
    <w:p w14:paraId="2FE1F9EF" w14:textId="47523770" w:rsidR="001C4BE4" w:rsidRPr="001C4BE4" w:rsidRDefault="001C4BE4" w:rsidP="001C4BE4">
      <w:pPr>
        <w:rPr>
          <w:szCs w:val="22"/>
        </w:rPr>
      </w:pPr>
      <w:proofErr w:type="spellStart"/>
      <w:r w:rsidRPr="001C4BE4">
        <w:rPr>
          <w:szCs w:val="22"/>
        </w:rPr>
        <w:t>Sharmake</w:t>
      </w:r>
      <w:proofErr w:type="spellEnd"/>
      <w:r w:rsidRPr="001C4BE4">
        <w:rPr>
          <w:szCs w:val="22"/>
        </w:rPr>
        <w:t xml:space="preserve"> Ali HASSAN</w:t>
      </w:r>
      <w:r w:rsidR="00045D0B">
        <w:rPr>
          <w:szCs w:val="22"/>
        </w:rPr>
        <w:t xml:space="preserve"> (Mr.)</w:t>
      </w:r>
      <w:r w:rsidRPr="001C4BE4">
        <w:rPr>
          <w:szCs w:val="22"/>
        </w:rPr>
        <w:t>, Third Secretary, Permanent Mission, Geneva</w:t>
      </w:r>
    </w:p>
    <w:p w14:paraId="0B3E0AE9" w14:textId="77777777" w:rsidR="001C4BE4" w:rsidRPr="001C4BE4" w:rsidRDefault="001C4BE4" w:rsidP="001C4BE4">
      <w:pPr>
        <w:rPr>
          <w:szCs w:val="22"/>
          <w:lang w:val="fr-FR"/>
        </w:rPr>
      </w:pPr>
      <w:r w:rsidRPr="001C4BE4">
        <w:rPr>
          <w:szCs w:val="22"/>
          <w:u w:val="single"/>
          <w:lang w:val="fr-FR"/>
        </w:rPr>
        <w:t xml:space="preserve">genevasomalia@gmail.com </w:t>
      </w:r>
    </w:p>
    <w:p w14:paraId="66355240" w14:textId="77777777" w:rsidR="001C4BE4" w:rsidRPr="001C4BE4" w:rsidRDefault="001C4BE4" w:rsidP="001C4BE4">
      <w:pPr>
        <w:rPr>
          <w:szCs w:val="22"/>
          <w:u w:val="single"/>
          <w:lang w:val="fr-FR"/>
        </w:rPr>
      </w:pPr>
    </w:p>
    <w:p w14:paraId="26A157A3" w14:textId="77777777" w:rsidR="001C4BE4" w:rsidRPr="001C4BE4" w:rsidRDefault="001C4BE4" w:rsidP="001C4BE4">
      <w:pPr>
        <w:rPr>
          <w:szCs w:val="22"/>
          <w:u w:val="single"/>
          <w:lang w:val="fr-FR"/>
        </w:rPr>
      </w:pPr>
    </w:p>
    <w:p w14:paraId="16ABE1C2" w14:textId="77777777" w:rsidR="001C4BE4" w:rsidRPr="001C4BE4" w:rsidRDefault="001C4BE4" w:rsidP="001C4BE4">
      <w:pPr>
        <w:rPr>
          <w:szCs w:val="22"/>
          <w:u w:val="single"/>
          <w:lang w:val="fr-FR"/>
        </w:rPr>
      </w:pPr>
      <w:r w:rsidRPr="001C4BE4">
        <w:rPr>
          <w:szCs w:val="22"/>
          <w:u w:val="single"/>
          <w:lang w:val="fr-FR"/>
        </w:rPr>
        <w:t>SUISSE/SWITZERLAND</w:t>
      </w:r>
    </w:p>
    <w:p w14:paraId="5B008546" w14:textId="77777777" w:rsidR="001C4BE4" w:rsidRPr="001C4BE4" w:rsidRDefault="001C4BE4" w:rsidP="001C4BE4">
      <w:pPr>
        <w:rPr>
          <w:szCs w:val="22"/>
          <w:u w:val="single"/>
          <w:lang w:val="fr-FR"/>
        </w:rPr>
      </w:pPr>
    </w:p>
    <w:p w14:paraId="3E05B84E" w14:textId="148C6791" w:rsidR="001C4BE4" w:rsidRPr="001C4BE4" w:rsidRDefault="001C4BE4" w:rsidP="001C4BE4">
      <w:pPr>
        <w:rPr>
          <w:szCs w:val="22"/>
          <w:lang w:val="fr-FR"/>
        </w:rPr>
      </w:pPr>
      <w:r w:rsidRPr="001C4BE4">
        <w:rPr>
          <w:szCs w:val="22"/>
          <w:lang w:val="fr-FR"/>
        </w:rPr>
        <w:t>Martin GIRSBERGER</w:t>
      </w:r>
      <w:r w:rsidR="00045D0B">
        <w:rPr>
          <w:szCs w:val="22"/>
          <w:lang w:val="fr-FR"/>
        </w:rPr>
        <w:t xml:space="preserve"> (M.)</w:t>
      </w:r>
      <w:r w:rsidRPr="001C4BE4">
        <w:rPr>
          <w:szCs w:val="22"/>
          <w:lang w:val="fr-FR"/>
        </w:rPr>
        <w:t>, chef, Développement durable et coopération internationale, Division droit et affaires internationales, Institut fédéral de la propriété intellectuelle (IPI), Berne</w:t>
      </w:r>
    </w:p>
    <w:p w14:paraId="7C7C550F" w14:textId="77777777" w:rsidR="001C4BE4" w:rsidRPr="001C4BE4" w:rsidRDefault="001C4BE4" w:rsidP="001C4BE4">
      <w:pPr>
        <w:rPr>
          <w:szCs w:val="22"/>
          <w:lang w:val="fr-FR"/>
        </w:rPr>
      </w:pPr>
    </w:p>
    <w:p w14:paraId="48D820A7" w14:textId="351C8B42" w:rsidR="001C4BE4" w:rsidRPr="001C4BE4" w:rsidRDefault="001C4BE4" w:rsidP="001C4BE4">
      <w:pPr>
        <w:rPr>
          <w:szCs w:val="22"/>
          <w:lang w:val="fr-FR"/>
        </w:rPr>
      </w:pPr>
      <w:r w:rsidRPr="001C4BE4">
        <w:rPr>
          <w:szCs w:val="22"/>
          <w:lang w:val="fr-FR"/>
        </w:rPr>
        <w:t>Marco D’ALESSANDRO</w:t>
      </w:r>
      <w:r w:rsidR="00045D0B">
        <w:rPr>
          <w:szCs w:val="22"/>
          <w:lang w:val="fr-FR"/>
        </w:rPr>
        <w:t xml:space="preserve"> (M.)</w:t>
      </w:r>
      <w:r w:rsidRPr="001C4BE4">
        <w:rPr>
          <w:szCs w:val="22"/>
          <w:lang w:val="fr-FR"/>
        </w:rPr>
        <w:t>, conseiller politique, Division droit et affaires internationales, Institut fédéral de la propriété intellectuelle (IPI), Berne</w:t>
      </w:r>
    </w:p>
    <w:p w14:paraId="2669786B" w14:textId="77777777" w:rsidR="001C4BE4" w:rsidRPr="001C4BE4" w:rsidRDefault="001C4BE4" w:rsidP="001C4BE4">
      <w:pPr>
        <w:rPr>
          <w:szCs w:val="22"/>
          <w:lang w:val="fr-FR"/>
        </w:rPr>
      </w:pPr>
    </w:p>
    <w:p w14:paraId="373D5ADE" w14:textId="77777777" w:rsidR="001C4BE4" w:rsidRPr="001C4BE4" w:rsidRDefault="001C4BE4" w:rsidP="001C4BE4">
      <w:pPr>
        <w:rPr>
          <w:szCs w:val="22"/>
          <w:lang w:val="fr-FR"/>
        </w:rPr>
      </w:pPr>
      <w:proofErr w:type="spellStart"/>
      <w:r w:rsidRPr="001C4BE4">
        <w:rPr>
          <w:szCs w:val="22"/>
          <w:lang w:val="fr-FR"/>
        </w:rPr>
        <w:t>Kathrin</w:t>
      </w:r>
      <w:proofErr w:type="spellEnd"/>
      <w:r w:rsidRPr="001C4BE4">
        <w:rPr>
          <w:szCs w:val="22"/>
          <w:lang w:val="fr-FR"/>
        </w:rPr>
        <w:t xml:space="preserve"> RÜEGSEGGER (Mme), stagiaire, Division droit et affaires internationales, Institut fédéral de la propriété intellectuelle (IPI), Berne</w:t>
      </w:r>
    </w:p>
    <w:p w14:paraId="47D3C0C1" w14:textId="77777777" w:rsidR="001C4BE4" w:rsidRPr="001C4BE4" w:rsidRDefault="001C4BE4" w:rsidP="001C4BE4">
      <w:pPr>
        <w:rPr>
          <w:szCs w:val="22"/>
          <w:lang w:val="fr-FR"/>
        </w:rPr>
      </w:pPr>
    </w:p>
    <w:p w14:paraId="2196783E" w14:textId="497FDDE5" w:rsidR="001C4BE4" w:rsidRPr="001C4BE4" w:rsidRDefault="001C4BE4" w:rsidP="001C4BE4">
      <w:pPr>
        <w:rPr>
          <w:szCs w:val="22"/>
          <w:lang w:val="fr-FR"/>
        </w:rPr>
      </w:pPr>
      <w:r w:rsidRPr="001C4BE4">
        <w:rPr>
          <w:szCs w:val="22"/>
          <w:lang w:val="fr-FR"/>
        </w:rPr>
        <w:t>Reynald VEILLARD</w:t>
      </w:r>
      <w:r w:rsidR="00045D0B">
        <w:rPr>
          <w:szCs w:val="22"/>
          <w:lang w:val="fr-FR"/>
        </w:rPr>
        <w:t xml:space="preserve"> (M.)</w:t>
      </w:r>
      <w:r w:rsidRPr="001C4BE4">
        <w:rPr>
          <w:szCs w:val="22"/>
          <w:lang w:val="fr-FR"/>
        </w:rPr>
        <w:t xml:space="preserve">, </w:t>
      </w:r>
      <w:proofErr w:type="gramStart"/>
      <w:r w:rsidRPr="001C4BE4">
        <w:rPr>
          <w:szCs w:val="22"/>
          <w:lang w:val="fr-FR"/>
        </w:rPr>
        <w:t>conseiller</w:t>
      </w:r>
      <w:proofErr w:type="gramEnd"/>
      <w:r w:rsidRPr="001C4BE4">
        <w:rPr>
          <w:szCs w:val="22"/>
          <w:lang w:val="fr-FR"/>
        </w:rPr>
        <w:t>, Mission permanente, Genève</w:t>
      </w:r>
    </w:p>
    <w:p w14:paraId="248FAAFB" w14:textId="77777777" w:rsidR="001C4BE4" w:rsidRPr="001C4BE4" w:rsidRDefault="001C4BE4" w:rsidP="001C4BE4">
      <w:pPr>
        <w:rPr>
          <w:szCs w:val="22"/>
          <w:lang w:val="fr-FR"/>
        </w:rPr>
      </w:pPr>
    </w:p>
    <w:p w14:paraId="369F2B76" w14:textId="77777777" w:rsidR="001C4BE4" w:rsidRPr="001C4BE4" w:rsidRDefault="001C4BE4" w:rsidP="001C4BE4">
      <w:pPr>
        <w:rPr>
          <w:szCs w:val="22"/>
          <w:lang w:val="fr-FR"/>
        </w:rPr>
      </w:pPr>
    </w:p>
    <w:p w14:paraId="13532443" w14:textId="77777777" w:rsidR="001C4BE4" w:rsidRPr="001C4BE4" w:rsidRDefault="001C4BE4" w:rsidP="001C4BE4">
      <w:pPr>
        <w:rPr>
          <w:szCs w:val="22"/>
          <w:u w:val="single"/>
        </w:rPr>
      </w:pPr>
      <w:r w:rsidRPr="001C4BE4">
        <w:rPr>
          <w:szCs w:val="22"/>
          <w:u w:val="single"/>
        </w:rPr>
        <w:t>TADJIKISTAN/TAJIKISTAN</w:t>
      </w:r>
    </w:p>
    <w:p w14:paraId="77A2E25F" w14:textId="77777777" w:rsidR="001C4BE4" w:rsidRPr="001C4BE4" w:rsidRDefault="001C4BE4" w:rsidP="001C4BE4">
      <w:pPr>
        <w:rPr>
          <w:szCs w:val="22"/>
          <w:u w:val="single"/>
        </w:rPr>
      </w:pPr>
    </w:p>
    <w:p w14:paraId="3ED35404" w14:textId="43DB61BD" w:rsidR="001C4BE4" w:rsidRPr="001C4BE4" w:rsidRDefault="001C4BE4" w:rsidP="001C4BE4">
      <w:pPr>
        <w:rPr>
          <w:szCs w:val="22"/>
        </w:rPr>
      </w:pPr>
      <w:proofErr w:type="spellStart"/>
      <w:r w:rsidRPr="001C4BE4">
        <w:rPr>
          <w:szCs w:val="22"/>
        </w:rPr>
        <w:t>Parviz</w:t>
      </w:r>
      <w:proofErr w:type="spellEnd"/>
      <w:r w:rsidRPr="001C4BE4">
        <w:rPr>
          <w:szCs w:val="22"/>
        </w:rPr>
        <w:t xml:space="preserve"> EMOMOV</w:t>
      </w:r>
      <w:r w:rsidR="00045D0B">
        <w:rPr>
          <w:szCs w:val="22"/>
        </w:rPr>
        <w:t xml:space="preserve"> (Mr.)</w:t>
      </w:r>
      <w:r w:rsidRPr="001C4BE4">
        <w:rPr>
          <w:szCs w:val="22"/>
        </w:rPr>
        <w:t>, Second Secretary, Permanent Mission, Geneva</w:t>
      </w:r>
    </w:p>
    <w:p w14:paraId="4C4B00E2" w14:textId="77777777" w:rsidR="001C4BE4" w:rsidRPr="001C4BE4" w:rsidRDefault="001C4BE4" w:rsidP="001C4BE4">
      <w:pPr>
        <w:rPr>
          <w:szCs w:val="22"/>
        </w:rPr>
      </w:pPr>
    </w:p>
    <w:p w14:paraId="746DB95D" w14:textId="77777777" w:rsidR="001C4BE4" w:rsidRPr="001C4BE4" w:rsidRDefault="001C4BE4" w:rsidP="001C4BE4">
      <w:pPr>
        <w:rPr>
          <w:szCs w:val="22"/>
        </w:rPr>
      </w:pPr>
    </w:p>
    <w:p w14:paraId="306D07C4" w14:textId="77777777" w:rsidR="001C4BE4" w:rsidRPr="001C4BE4" w:rsidRDefault="001C4BE4" w:rsidP="001C4BE4">
      <w:pPr>
        <w:rPr>
          <w:szCs w:val="22"/>
          <w:u w:val="single"/>
        </w:rPr>
      </w:pPr>
      <w:r w:rsidRPr="001C4BE4">
        <w:rPr>
          <w:szCs w:val="22"/>
          <w:u w:val="single"/>
        </w:rPr>
        <w:t>THAÏLANDE/THAILAND</w:t>
      </w:r>
    </w:p>
    <w:p w14:paraId="61CFC218" w14:textId="77777777" w:rsidR="001C4BE4" w:rsidRPr="001C4BE4" w:rsidRDefault="001C4BE4" w:rsidP="001C4BE4">
      <w:pPr>
        <w:rPr>
          <w:szCs w:val="22"/>
          <w:u w:val="single"/>
        </w:rPr>
      </w:pPr>
    </w:p>
    <w:p w14:paraId="7A55EF07" w14:textId="77777777" w:rsidR="001C4BE4" w:rsidRPr="001C4BE4" w:rsidRDefault="001C4BE4" w:rsidP="001C4BE4">
      <w:pPr>
        <w:rPr>
          <w:szCs w:val="22"/>
        </w:rPr>
      </w:pPr>
      <w:proofErr w:type="spellStart"/>
      <w:r w:rsidRPr="001C4BE4">
        <w:rPr>
          <w:szCs w:val="22"/>
        </w:rPr>
        <w:t>Savitri</w:t>
      </w:r>
      <w:proofErr w:type="spellEnd"/>
      <w:r w:rsidRPr="001C4BE4">
        <w:rPr>
          <w:szCs w:val="22"/>
        </w:rPr>
        <w:t xml:space="preserve"> SUWANSATHIT (Ms.), Adviser to the Ministry of Culture, Office of the Permanent Secretary, Ministry of Culture, Bangkok</w:t>
      </w:r>
    </w:p>
    <w:p w14:paraId="4DBFD75A" w14:textId="77777777" w:rsidR="001C4BE4" w:rsidRPr="001C4BE4" w:rsidRDefault="001C4BE4" w:rsidP="001C4BE4">
      <w:pPr>
        <w:rPr>
          <w:szCs w:val="22"/>
          <w:u w:val="single"/>
        </w:rPr>
      </w:pPr>
      <w:r w:rsidRPr="001C4BE4">
        <w:rPr>
          <w:szCs w:val="22"/>
          <w:u w:val="single"/>
        </w:rPr>
        <w:t xml:space="preserve">savitrikantkrai@gmail.com </w:t>
      </w:r>
    </w:p>
    <w:p w14:paraId="53B5829E" w14:textId="77777777" w:rsidR="001C4BE4" w:rsidRPr="001C4BE4" w:rsidRDefault="001C4BE4" w:rsidP="001C4BE4">
      <w:pPr>
        <w:rPr>
          <w:szCs w:val="22"/>
        </w:rPr>
      </w:pPr>
    </w:p>
    <w:p w14:paraId="7560C8F4" w14:textId="32902423" w:rsidR="001C4BE4" w:rsidRPr="001C4BE4" w:rsidRDefault="001C4BE4" w:rsidP="001C4BE4">
      <w:pPr>
        <w:rPr>
          <w:szCs w:val="22"/>
        </w:rPr>
      </w:pPr>
      <w:proofErr w:type="spellStart"/>
      <w:r w:rsidRPr="001C4BE4">
        <w:rPr>
          <w:szCs w:val="22"/>
        </w:rPr>
        <w:t>Nuttawit</w:t>
      </w:r>
      <w:proofErr w:type="spellEnd"/>
      <w:r w:rsidRPr="001C4BE4">
        <w:rPr>
          <w:szCs w:val="22"/>
        </w:rPr>
        <w:t xml:space="preserve"> CHOBISARA</w:t>
      </w:r>
      <w:r w:rsidR="00045D0B">
        <w:rPr>
          <w:szCs w:val="22"/>
        </w:rPr>
        <w:t xml:space="preserve"> (Mr.)</w:t>
      </w:r>
      <w:r w:rsidRPr="001C4BE4">
        <w:rPr>
          <w:szCs w:val="22"/>
        </w:rPr>
        <w:t>, Divisional Public Prosecutor, Department of Intellectual Property and International Trade Litigation, Office of the Attorney General, Bangkok</w:t>
      </w:r>
    </w:p>
    <w:p w14:paraId="1D0A2584" w14:textId="77777777" w:rsidR="001C4BE4" w:rsidRPr="001C4BE4" w:rsidRDefault="001C4BE4" w:rsidP="001C4BE4">
      <w:pPr>
        <w:rPr>
          <w:szCs w:val="22"/>
          <w:u w:val="single"/>
        </w:rPr>
      </w:pPr>
      <w:r w:rsidRPr="001C4BE4">
        <w:rPr>
          <w:szCs w:val="22"/>
          <w:u w:val="single"/>
        </w:rPr>
        <w:t xml:space="preserve">nuke_kee@hotmail.com </w:t>
      </w:r>
    </w:p>
    <w:p w14:paraId="294DE995" w14:textId="77777777" w:rsidR="001C4BE4" w:rsidRPr="001C4BE4" w:rsidRDefault="001C4BE4" w:rsidP="001C4BE4">
      <w:pPr>
        <w:rPr>
          <w:szCs w:val="22"/>
          <w:u w:val="single"/>
        </w:rPr>
      </w:pPr>
    </w:p>
    <w:p w14:paraId="2D06CE8C" w14:textId="77777777" w:rsidR="001C4BE4" w:rsidRPr="001C4BE4" w:rsidRDefault="001C4BE4" w:rsidP="001C4BE4">
      <w:pPr>
        <w:rPr>
          <w:szCs w:val="22"/>
        </w:rPr>
      </w:pPr>
      <w:proofErr w:type="spellStart"/>
      <w:r w:rsidRPr="001C4BE4">
        <w:rPr>
          <w:szCs w:val="22"/>
        </w:rPr>
        <w:t>Kitiyaporn</w:t>
      </w:r>
      <w:proofErr w:type="spellEnd"/>
      <w:r w:rsidRPr="001C4BE4">
        <w:rPr>
          <w:szCs w:val="22"/>
        </w:rPr>
        <w:t xml:space="preserve"> SATHUSEN (Ms.), Senior Trade Officer, Department of Intellectual Property, Ministry of Commerce, Nonthaburi</w:t>
      </w:r>
    </w:p>
    <w:p w14:paraId="792EAD65" w14:textId="77777777" w:rsidR="001C4BE4" w:rsidRPr="001C4BE4" w:rsidRDefault="001C4BE4" w:rsidP="001C4BE4">
      <w:pPr>
        <w:rPr>
          <w:szCs w:val="22"/>
          <w:u w:val="single"/>
        </w:rPr>
      </w:pPr>
      <w:r w:rsidRPr="001C4BE4">
        <w:rPr>
          <w:szCs w:val="22"/>
          <w:u w:val="single"/>
        </w:rPr>
        <w:t xml:space="preserve">sathusen_k@hotmail.com </w:t>
      </w:r>
    </w:p>
    <w:p w14:paraId="0EBEE20C" w14:textId="77777777" w:rsidR="001C4BE4" w:rsidRPr="001C4BE4" w:rsidRDefault="001C4BE4" w:rsidP="001C4BE4">
      <w:pPr>
        <w:rPr>
          <w:szCs w:val="22"/>
        </w:rPr>
      </w:pPr>
    </w:p>
    <w:p w14:paraId="4BF29EA1" w14:textId="1AC2CCBA" w:rsidR="001C4BE4" w:rsidRPr="001C4BE4" w:rsidRDefault="001C4BE4" w:rsidP="001C4BE4">
      <w:pPr>
        <w:rPr>
          <w:szCs w:val="22"/>
        </w:rPr>
      </w:pPr>
      <w:proofErr w:type="spellStart"/>
      <w:r w:rsidRPr="001C4BE4">
        <w:rPr>
          <w:szCs w:val="22"/>
        </w:rPr>
        <w:t>Phubed</w:t>
      </w:r>
      <w:proofErr w:type="spellEnd"/>
      <w:r w:rsidRPr="001C4BE4">
        <w:rPr>
          <w:szCs w:val="22"/>
        </w:rPr>
        <w:t xml:space="preserve"> PISANAKA</w:t>
      </w:r>
      <w:r w:rsidR="00045D0B">
        <w:rPr>
          <w:szCs w:val="22"/>
        </w:rPr>
        <w:t xml:space="preserve"> (Mr.)</w:t>
      </w:r>
      <w:r w:rsidRPr="001C4BE4">
        <w:rPr>
          <w:szCs w:val="22"/>
        </w:rPr>
        <w:t>, Legal Officer, Department of Intellectual Property, Ministry of Commerce, Nonthaburi</w:t>
      </w:r>
    </w:p>
    <w:p w14:paraId="35BC7023" w14:textId="77777777" w:rsidR="001C4BE4" w:rsidRPr="001C4BE4" w:rsidRDefault="001C4BE4" w:rsidP="001C4BE4">
      <w:pPr>
        <w:rPr>
          <w:szCs w:val="22"/>
        </w:rPr>
      </w:pPr>
    </w:p>
    <w:p w14:paraId="1926CCE7" w14:textId="77777777" w:rsidR="001C4BE4" w:rsidRPr="001C4BE4" w:rsidRDefault="001C4BE4" w:rsidP="001C4BE4">
      <w:pPr>
        <w:rPr>
          <w:szCs w:val="22"/>
        </w:rPr>
      </w:pPr>
      <w:proofErr w:type="spellStart"/>
      <w:r w:rsidRPr="001C4BE4">
        <w:rPr>
          <w:szCs w:val="22"/>
        </w:rPr>
        <w:t>Hathaipat</w:t>
      </w:r>
      <w:proofErr w:type="spellEnd"/>
      <w:r w:rsidRPr="001C4BE4">
        <w:rPr>
          <w:szCs w:val="22"/>
        </w:rPr>
        <w:t xml:space="preserve"> CHEECHERN (Ms.), Cultural Officer, International Relations Bureau, Office of the Permanent Secretary, Ministry of Culture, Bangkok</w:t>
      </w:r>
    </w:p>
    <w:p w14:paraId="008F79C3" w14:textId="77777777" w:rsidR="001C4BE4" w:rsidRPr="001C4BE4" w:rsidRDefault="001C4BE4" w:rsidP="001C4BE4">
      <w:pPr>
        <w:rPr>
          <w:szCs w:val="22"/>
        </w:rPr>
      </w:pPr>
    </w:p>
    <w:p w14:paraId="1B3ED807" w14:textId="77777777" w:rsidR="001C4BE4" w:rsidRPr="001C4BE4" w:rsidRDefault="001C4BE4" w:rsidP="001C4BE4">
      <w:pPr>
        <w:rPr>
          <w:szCs w:val="22"/>
        </w:rPr>
      </w:pPr>
      <w:r w:rsidRPr="001C4BE4">
        <w:rPr>
          <w:szCs w:val="22"/>
        </w:rPr>
        <w:t>Ratchada SUKKA (Ms.), Cultural Officer, Department of Cultural Promotion, Ministry of Culture, Bangkok</w:t>
      </w:r>
    </w:p>
    <w:p w14:paraId="54F24222" w14:textId="77777777" w:rsidR="001C4BE4" w:rsidRPr="001C4BE4" w:rsidRDefault="001C4BE4" w:rsidP="001C4BE4">
      <w:pPr>
        <w:rPr>
          <w:szCs w:val="22"/>
        </w:rPr>
      </w:pPr>
      <w:r w:rsidRPr="001C4BE4">
        <w:rPr>
          <w:szCs w:val="22"/>
          <w:u w:val="single"/>
        </w:rPr>
        <w:t xml:space="preserve">dadasukka@gmail.com </w:t>
      </w:r>
    </w:p>
    <w:p w14:paraId="6CE00387" w14:textId="77777777" w:rsidR="001C4BE4" w:rsidRPr="001C4BE4" w:rsidRDefault="001C4BE4" w:rsidP="001C4BE4">
      <w:pPr>
        <w:rPr>
          <w:szCs w:val="22"/>
        </w:rPr>
      </w:pPr>
    </w:p>
    <w:p w14:paraId="68F44D39" w14:textId="3B79807F" w:rsidR="001C4BE4" w:rsidRPr="001C4BE4" w:rsidRDefault="001C4BE4" w:rsidP="001C4BE4">
      <w:pPr>
        <w:rPr>
          <w:szCs w:val="22"/>
        </w:rPr>
      </w:pPr>
      <w:proofErr w:type="spellStart"/>
      <w:r w:rsidRPr="001C4BE4">
        <w:rPr>
          <w:szCs w:val="22"/>
        </w:rPr>
        <w:t>Tohpong</w:t>
      </w:r>
      <w:proofErr w:type="spellEnd"/>
      <w:r w:rsidRPr="001C4BE4">
        <w:rPr>
          <w:szCs w:val="22"/>
        </w:rPr>
        <w:t xml:space="preserve"> SMITI</w:t>
      </w:r>
      <w:r w:rsidR="00D012FA">
        <w:rPr>
          <w:szCs w:val="22"/>
        </w:rPr>
        <w:t xml:space="preserve"> (Mr.)</w:t>
      </w:r>
      <w:r w:rsidRPr="001C4BE4">
        <w:rPr>
          <w:szCs w:val="22"/>
        </w:rPr>
        <w:t>, Delegate, Department of International Economic Affairs, Ministry of Foreign Affairs, Bangkok</w:t>
      </w:r>
    </w:p>
    <w:p w14:paraId="7F437538" w14:textId="77777777" w:rsidR="001C4BE4" w:rsidRPr="001C4BE4" w:rsidRDefault="001C4BE4" w:rsidP="001C4BE4">
      <w:pPr>
        <w:rPr>
          <w:szCs w:val="22"/>
        </w:rPr>
      </w:pPr>
      <w:r w:rsidRPr="001C4BE4">
        <w:rPr>
          <w:szCs w:val="22"/>
          <w:u w:val="single"/>
        </w:rPr>
        <w:t xml:space="preserve">tohpong15@hotmail.com </w:t>
      </w:r>
    </w:p>
    <w:p w14:paraId="59F4ECAA" w14:textId="77777777" w:rsidR="001C4BE4" w:rsidRPr="001C4BE4" w:rsidRDefault="001C4BE4" w:rsidP="001C4BE4">
      <w:pPr>
        <w:rPr>
          <w:szCs w:val="22"/>
        </w:rPr>
      </w:pPr>
    </w:p>
    <w:p w14:paraId="24281166" w14:textId="77777777" w:rsidR="001C4BE4" w:rsidRPr="001C4BE4" w:rsidRDefault="001C4BE4" w:rsidP="001C4BE4">
      <w:pPr>
        <w:rPr>
          <w:szCs w:val="22"/>
        </w:rPr>
      </w:pPr>
      <w:proofErr w:type="spellStart"/>
      <w:r w:rsidRPr="001C4BE4">
        <w:rPr>
          <w:szCs w:val="22"/>
        </w:rPr>
        <w:t>Pajaree</w:t>
      </w:r>
      <w:proofErr w:type="spellEnd"/>
      <w:r w:rsidRPr="001C4BE4">
        <w:rPr>
          <w:szCs w:val="22"/>
        </w:rPr>
        <w:t xml:space="preserve"> UNGTRAKUL (Ms.), Trainee, Permanent Mission to the World Trade Organization (WTO), Geneva</w:t>
      </w:r>
    </w:p>
    <w:p w14:paraId="30302F27" w14:textId="77777777" w:rsidR="001C4BE4" w:rsidRPr="001C4BE4" w:rsidRDefault="001C4BE4" w:rsidP="001C4BE4">
      <w:pPr>
        <w:rPr>
          <w:szCs w:val="22"/>
          <w:lang w:val="fr-FR"/>
        </w:rPr>
      </w:pPr>
      <w:r w:rsidRPr="001C4BE4">
        <w:rPr>
          <w:szCs w:val="22"/>
          <w:u w:val="single"/>
          <w:lang w:val="fr-FR"/>
        </w:rPr>
        <w:t xml:space="preserve">ploy.pajareeu@gmail.com </w:t>
      </w:r>
    </w:p>
    <w:p w14:paraId="438DAE61" w14:textId="77777777" w:rsidR="001C4BE4" w:rsidRPr="001C4BE4" w:rsidRDefault="001C4BE4" w:rsidP="001C4BE4">
      <w:pPr>
        <w:rPr>
          <w:szCs w:val="22"/>
          <w:lang w:val="fr-FR"/>
        </w:rPr>
      </w:pPr>
    </w:p>
    <w:p w14:paraId="2D679675" w14:textId="77777777" w:rsidR="001C4BE4" w:rsidRPr="001C4BE4" w:rsidRDefault="001C4BE4" w:rsidP="001C4BE4">
      <w:pPr>
        <w:rPr>
          <w:szCs w:val="22"/>
          <w:lang w:val="fr-FR"/>
        </w:rPr>
      </w:pPr>
    </w:p>
    <w:p w14:paraId="7A03CA76" w14:textId="77777777" w:rsidR="001C4BE4" w:rsidRPr="001C4BE4" w:rsidRDefault="001C4BE4" w:rsidP="001C4BE4">
      <w:pPr>
        <w:rPr>
          <w:szCs w:val="22"/>
          <w:u w:val="single"/>
          <w:lang w:val="fr-FR"/>
        </w:rPr>
      </w:pPr>
      <w:r w:rsidRPr="001C4BE4">
        <w:rPr>
          <w:szCs w:val="22"/>
          <w:u w:val="single"/>
          <w:lang w:val="fr-FR"/>
        </w:rPr>
        <w:t>TOGO</w:t>
      </w:r>
    </w:p>
    <w:p w14:paraId="7E7B0766" w14:textId="77777777" w:rsidR="001C4BE4" w:rsidRPr="001C4BE4" w:rsidRDefault="001C4BE4" w:rsidP="001C4BE4">
      <w:pPr>
        <w:rPr>
          <w:szCs w:val="22"/>
          <w:u w:val="single"/>
          <w:lang w:val="fr-FR"/>
        </w:rPr>
      </w:pPr>
    </w:p>
    <w:p w14:paraId="50D7E20B" w14:textId="31A0D589" w:rsidR="001C4BE4" w:rsidRPr="001C4BE4" w:rsidRDefault="001C4BE4" w:rsidP="001C4BE4">
      <w:pPr>
        <w:rPr>
          <w:szCs w:val="22"/>
          <w:lang w:val="fr-FR"/>
        </w:rPr>
      </w:pPr>
      <w:proofErr w:type="spellStart"/>
      <w:r w:rsidRPr="001C4BE4">
        <w:rPr>
          <w:szCs w:val="22"/>
          <w:lang w:val="fr-FR"/>
        </w:rPr>
        <w:t>Wédiabalo</w:t>
      </w:r>
      <w:proofErr w:type="spellEnd"/>
      <w:r w:rsidRPr="001C4BE4">
        <w:rPr>
          <w:szCs w:val="22"/>
          <w:lang w:val="fr-FR"/>
        </w:rPr>
        <w:t xml:space="preserve"> </w:t>
      </w:r>
      <w:proofErr w:type="spellStart"/>
      <w:r w:rsidRPr="001C4BE4">
        <w:rPr>
          <w:szCs w:val="22"/>
          <w:lang w:val="fr-FR"/>
        </w:rPr>
        <w:t>Kossi</w:t>
      </w:r>
      <w:proofErr w:type="spellEnd"/>
      <w:r w:rsidRPr="001C4BE4">
        <w:rPr>
          <w:szCs w:val="22"/>
          <w:lang w:val="fr-FR"/>
        </w:rPr>
        <w:t xml:space="preserve"> TINAKA</w:t>
      </w:r>
      <w:r w:rsidR="00D012FA">
        <w:rPr>
          <w:szCs w:val="22"/>
          <w:lang w:val="fr-FR"/>
        </w:rPr>
        <w:t xml:space="preserve"> (M.)</w:t>
      </w:r>
      <w:r w:rsidRPr="001C4BE4">
        <w:rPr>
          <w:szCs w:val="22"/>
          <w:lang w:val="fr-FR"/>
        </w:rPr>
        <w:t>, secrétaire général, Ministère de la communication, de la culture, du sport et de la formation civique, Lomé</w:t>
      </w:r>
    </w:p>
    <w:p w14:paraId="0507A1EE" w14:textId="77777777" w:rsidR="001C4BE4" w:rsidRPr="001C4BE4" w:rsidRDefault="001C4BE4" w:rsidP="001C4BE4">
      <w:pPr>
        <w:rPr>
          <w:szCs w:val="22"/>
          <w:lang w:val="fr-FR"/>
        </w:rPr>
      </w:pPr>
      <w:r w:rsidRPr="001C4BE4">
        <w:rPr>
          <w:szCs w:val="22"/>
          <w:u w:val="single"/>
          <w:lang w:val="fr-FR"/>
        </w:rPr>
        <w:t xml:space="preserve">tinakakossi@yahoo.fr </w:t>
      </w:r>
    </w:p>
    <w:p w14:paraId="10DBEA73" w14:textId="77777777" w:rsidR="001C4BE4" w:rsidRPr="001C4BE4" w:rsidRDefault="001C4BE4" w:rsidP="001C4BE4">
      <w:pPr>
        <w:rPr>
          <w:szCs w:val="22"/>
          <w:lang w:val="fr-FR"/>
        </w:rPr>
      </w:pPr>
    </w:p>
    <w:p w14:paraId="5FBE0016" w14:textId="08F0BAD5" w:rsidR="001C4BE4" w:rsidRPr="001C4BE4" w:rsidRDefault="001C4BE4" w:rsidP="001C4BE4">
      <w:pPr>
        <w:rPr>
          <w:szCs w:val="22"/>
          <w:lang w:val="fr-FR"/>
        </w:rPr>
      </w:pPr>
      <w:proofErr w:type="spellStart"/>
      <w:r w:rsidRPr="001C4BE4">
        <w:rPr>
          <w:szCs w:val="22"/>
          <w:lang w:val="fr-FR"/>
        </w:rPr>
        <w:t>Afo</w:t>
      </w:r>
      <w:proofErr w:type="spellEnd"/>
      <w:r w:rsidRPr="001C4BE4">
        <w:rPr>
          <w:szCs w:val="22"/>
          <w:lang w:val="fr-FR"/>
        </w:rPr>
        <w:t xml:space="preserve"> Ousmane SALIFOU</w:t>
      </w:r>
      <w:r w:rsidR="00D012FA">
        <w:rPr>
          <w:szCs w:val="22"/>
          <w:lang w:val="fr-FR"/>
        </w:rPr>
        <w:t xml:space="preserve"> (M.)</w:t>
      </w:r>
      <w:r w:rsidRPr="001C4BE4">
        <w:rPr>
          <w:szCs w:val="22"/>
          <w:lang w:val="fr-FR"/>
        </w:rPr>
        <w:t xml:space="preserve">, </w:t>
      </w:r>
      <w:proofErr w:type="gramStart"/>
      <w:r w:rsidRPr="001C4BE4">
        <w:rPr>
          <w:szCs w:val="22"/>
          <w:lang w:val="fr-FR"/>
        </w:rPr>
        <w:t>conseiller</w:t>
      </w:r>
      <w:proofErr w:type="gramEnd"/>
      <w:r w:rsidRPr="001C4BE4">
        <w:rPr>
          <w:szCs w:val="22"/>
          <w:lang w:val="fr-FR"/>
        </w:rPr>
        <w:t>, Mission permanente, Genève</w:t>
      </w:r>
    </w:p>
    <w:p w14:paraId="171642AE" w14:textId="77777777" w:rsidR="001C4BE4" w:rsidRPr="00C40D5D" w:rsidRDefault="001C4BE4" w:rsidP="001C4BE4">
      <w:pPr>
        <w:rPr>
          <w:szCs w:val="22"/>
        </w:rPr>
      </w:pPr>
      <w:r w:rsidRPr="00C40D5D">
        <w:rPr>
          <w:szCs w:val="22"/>
          <w:u w:val="single"/>
        </w:rPr>
        <w:t xml:space="preserve">orpheesalifou@gmail.com </w:t>
      </w:r>
    </w:p>
    <w:p w14:paraId="4C08DC43" w14:textId="77777777" w:rsidR="001C4BE4" w:rsidRPr="00C40D5D" w:rsidRDefault="001C4BE4" w:rsidP="001C4BE4">
      <w:pPr>
        <w:rPr>
          <w:szCs w:val="22"/>
        </w:rPr>
      </w:pPr>
    </w:p>
    <w:p w14:paraId="0AF6C205" w14:textId="77777777" w:rsidR="001C4BE4" w:rsidRPr="00C40D5D" w:rsidRDefault="001C4BE4" w:rsidP="001C4BE4">
      <w:pPr>
        <w:rPr>
          <w:szCs w:val="22"/>
        </w:rPr>
      </w:pPr>
    </w:p>
    <w:p w14:paraId="377DFED4" w14:textId="77777777" w:rsidR="001C4BE4" w:rsidRPr="00C40D5D" w:rsidRDefault="001C4BE4" w:rsidP="001C4BE4">
      <w:pPr>
        <w:rPr>
          <w:szCs w:val="22"/>
          <w:u w:val="single"/>
        </w:rPr>
      </w:pPr>
      <w:r w:rsidRPr="00C40D5D">
        <w:rPr>
          <w:szCs w:val="22"/>
          <w:u w:val="single"/>
        </w:rPr>
        <w:t>TRINITÉ-ET-TOBAGO/TRINIDAD AND TOBAGO</w:t>
      </w:r>
    </w:p>
    <w:p w14:paraId="77A5C9A7" w14:textId="77777777" w:rsidR="001C4BE4" w:rsidRPr="00C40D5D" w:rsidRDefault="001C4BE4" w:rsidP="001C4BE4">
      <w:pPr>
        <w:rPr>
          <w:szCs w:val="22"/>
          <w:u w:val="single"/>
        </w:rPr>
      </w:pPr>
    </w:p>
    <w:p w14:paraId="2E36062D" w14:textId="77777777" w:rsidR="001C4BE4" w:rsidRPr="001C4BE4" w:rsidRDefault="001C4BE4" w:rsidP="001C4BE4">
      <w:pPr>
        <w:rPr>
          <w:szCs w:val="22"/>
        </w:rPr>
      </w:pPr>
      <w:r w:rsidRPr="00C40D5D">
        <w:rPr>
          <w:szCs w:val="22"/>
        </w:rPr>
        <w:t xml:space="preserve">Anne Marie JOSEPH (Ms.), Deputy Controller, Intellectual </w:t>
      </w:r>
      <w:r w:rsidRPr="001C4BE4">
        <w:rPr>
          <w:szCs w:val="22"/>
        </w:rPr>
        <w:t>Property Office, Ministry of the Attorney General and Legal Affairs, San Juan</w:t>
      </w:r>
    </w:p>
    <w:p w14:paraId="6997C596" w14:textId="77777777" w:rsidR="001C4BE4" w:rsidRPr="001C4BE4" w:rsidRDefault="001C4BE4" w:rsidP="001C4BE4">
      <w:pPr>
        <w:rPr>
          <w:szCs w:val="22"/>
        </w:rPr>
      </w:pPr>
    </w:p>
    <w:p w14:paraId="7E83F224" w14:textId="77777777" w:rsidR="001C4BE4" w:rsidRPr="001C4BE4" w:rsidRDefault="001C4BE4" w:rsidP="001C4BE4">
      <w:pPr>
        <w:rPr>
          <w:szCs w:val="22"/>
          <w:u w:val="single"/>
        </w:rPr>
      </w:pPr>
    </w:p>
    <w:p w14:paraId="26ED4970" w14:textId="77777777" w:rsidR="001C4BE4" w:rsidRPr="001C4BE4" w:rsidRDefault="001C4BE4" w:rsidP="001C4BE4">
      <w:pPr>
        <w:rPr>
          <w:szCs w:val="22"/>
          <w:u w:val="single"/>
          <w:lang w:val="fr-FR"/>
        </w:rPr>
      </w:pPr>
      <w:r w:rsidRPr="001C4BE4">
        <w:rPr>
          <w:szCs w:val="22"/>
          <w:u w:val="single"/>
          <w:lang w:val="fr-FR"/>
        </w:rPr>
        <w:t>TUNISIE/TUNISIA</w:t>
      </w:r>
    </w:p>
    <w:p w14:paraId="782718FD" w14:textId="77777777" w:rsidR="001C4BE4" w:rsidRPr="001C4BE4" w:rsidRDefault="001C4BE4" w:rsidP="001C4BE4">
      <w:pPr>
        <w:rPr>
          <w:szCs w:val="22"/>
          <w:lang w:val="fr-FR"/>
        </w:rPr>
      </w:pPr>
    </w:p>
    <w:p w14:paraId="0EF690CF" w14:textId="19CE039A" w:rsidR="001C4BE4" w:rsidRPr="001C4BE4" w:rsidRDefault="001C4BE4" w:rsidP="001C4BE4">
      <w:pPr>
        <w:rPr>
          <w:szCs w:val="22"/>
          <w:lang w:val="fr-FR"/>
        </w:rPr>
      </w:pPr>
      <w:r w:rsidRPr="001C4BE4">
        <w:rPr>
          <w:szCs w:val="22"/>
          <w:lang w:val="fr-FR"/>
        </w:rPr>
        <w:t>Youssef BEN BRAHIM</w:t>
      </w:r>
      <w:r w:rsidR="00D012FA">
        <w:rPr>
          <w:szCs w:val="22"/>
          <w:lang w:val="fr-FR"/>
        </w:rPr>
        <w:t xml:space="preserve"> (M.)</w:t>
      </w:r>
      <w:r w:rsidRPr="001C4BE4">
        <w:rPr>
          <w:szCs w:val="22"/>
          <w:lang w:val="fr-FR"/>
        </w:rPr>
        <w:t>, directeur général, Organisme tunisien des droits d’auteur et des droits voisins (OTDAV), Tunis</w:t>
      </w:r>
    </w:p>
    <w:p w14:paraId="241E0215" w14:textId="77777777" w:rsidR="001C4BE4" w:rsidRPr="00C40D5D" w:rsidRDefault="001C4BE4" w:rsidP="001C4BE4">
      <w:pPr>
        <w:rPr>
          <w:szCs w:val="22"/>
        </w:rPr>
      </w:pPr>
      <w:r w:rsidRPr="00C40D5D">
        <w:rPr>
          <w:szCs w:val="22"/>
          <w:u w:val="single"/>
        </w:rPr>
        <w:t xml:space="preserve">otdav@otdav.tn </w:t>
      </w:r>
    </w:p>
    <w:p w14:paraId="2E42B1E7" w14:textId="77777777" w:rsidR="001C4BE4" w:rsidRPr="00C40D5D" w:rsidRDefault="001C4BE4" w:rsidP="001C4BE4">
      <w:pPr>
        <w:rPr>
          <w:szCs w:val="22"/>
        </w:rPr>
      </w:pPr>
    </w:p>
    <w:p w14:paraId="4FAFAF54" w14:textId="0F6CE6BE" w:rsidR="001C4BE4" w:rsidRPr="00045641" w:rsidRDefault="001C4BE4" w:rsidP="001C4BE4">
      <w:pPr>
        <w:rPr>
          <w:szCs w:val="22"/>
          <w:lang w:val="fr-FR"/>
        </w:rPr>
      </w:pPr>
      <w:proofErr w:type="spellStart"/>
      <w:r w:rsidRPr="00045641">
        <w:rPr>
          <w:szCs w:val="22"/>
          <w:lang w:val="fr-FR"/>
        </w:rPr>
        <w:t>Nasreddine</w:t>
      </w:r>
      <w:proofErr w:type="spellEnd"/>
      <w:r w:rsidRPr="00045641">
        <w:rPr>
          <w:szCs w:val="22"/>
          <w:lang w:val="fr-FR"/>
        </w:rPr>
        <w:t xml:space="preserve"> NAOUALI</w:t>
      </w:r>
      <w:r w:rsidR="00D012FA" w:rsidRPr="009210E0">
        <w:rPr>
          <w:szCs w:val="22"/>
          <w:lang w:val="fr-FR"/>
        </w:rPr>
        <w:t xml:space="preserve"> (M</w:t>
      </w:r>
      <w:r w:rsidR="00D012FA">
        <w:rPr>
          <w:szCs w:val="22"/>
          <w:lang w:val="fr-FR"/>
        </w:rPr>
        <w:t>.)</w:t>
      </w:r>
      <w:r w:rsidRPr="00045641">
        <w:rPr>
          <w:szCs w:val="22"/>
          <w:lang w:val="fr-FR"/>
        </w:rPr>
        <w:t xml:space="preserve">, </w:t>
      </w:r>
      <w:proofErr w:type="gramStart"/>
      <w:r w:rsidRPr="00045641">
        <w:rPr>
          <w:szCs w:val="22"/>
          <w:lang w:val="fr-FR"/>
        </w:rPr>
        <w:t>conseiller</w:t>
      </w:r>
      <w:proofErr w:type="gramEnd"/>
      <w:r w:rsidRPr="00045641">
        <w:rPr>
          <w:szCs w:val="22"/>
          <w:lang w:val="fr-FR"/>
        </w:rPr>
        <w:t>, Mission permanente, Genève</w:t>
      </w:r>
    </w:p>
    <w:p w14:paraId="21E5FD23" w14:textId="77777777" w:rsidR="001C4BE4" w:rsidRPr="001C4BE4" w:rsidRDefault="001C4BE4" w:rsidP="001C4BE4">
      <w:pPr>
        <w:rPr>
          <w:szCs w:val="22"/>
        </w:rPr>
      </w:pPr>
      <w:r w:rsidRPr="001C4BE4">
        <w:rPr>
          <w:szCs w:val="22"/>
          <w:u w:val="single"/>
        </w:rPr>
        <w:t xml:space="preserve">n.naouali@diplomatie.gov.tn </w:t>
      </w:r>
    </w:p>
    <w:p w14:paraId="0F2CF678" w14:textId="77777777" w:rsidR="001C4BE4" w:rsidRPr="001C4BE4" w:rsidRDefault="001C4BE4" w:rsidP="001C4BE4">
      <w:pPr>
        <w:rPr>
          <w:szCs w:val="22"/>
        </w:rPr>
      </w:pPr>
    </w:p>
    <w:p w14:paraId="4AF80966" w14:textId="77777777" w:rsidR="001C4BE4" w:rsidRDefault="001C4BE4" w:rsidP="001C4BE4">
      <w:pPr>
        <w:rPr>
          <w:szCs w:val="22"/>
        </w:rPr>
      </w:pPr>
    </w:p>
    <w:p w14:paraId="288D638D" w14:textId="77777777" w:rsidR="00224BD9" w:rsidRDefault="00224BD9" w:rsidP="001C4BE4">
      <w:pPr>
        <w:rPr>
          <w:szCs w:val="22"/>
        </w:rPr>
      </w:pPr>
    </w:p>
    <w:p w14:paraId="5330D55D" w14:textId="77777777" w:rsidR="00224BD9" w:rsidRPr="001C4BE4" w:rsidRDefault="00224BD9" w:rsidP="001C4BE4">
      <w:pPr>
        <w:rPr>
          <w:szCs w:val="22"/>
        </w:rPr>
      </w:pPr>
    </w:p>
    <w:p w14:paraId="13763305" w14:textId="77777777" w:rsidR="001C4BE4" w:rsidRPr="001C4BE4" w:rsidRDefault="001C4BE4" w:rsidP="001C4BE4">
      <w:pPr>
        <w:rPr>
          <w:szCs w:val="22"/>
          <w:u w:val="single"/>
        </w:rPr>
      </w:pPr>
      <w:r w:rsidRPr="001C4BE4">
        <w:rPr>
          <w:szCs w:val="22"/>
          <w:u w:val="single"/>
        </w:rPr>
        <w:t>TURKMÉNISTAN/TURKMENISTAN</w:t>
      </w:r>
    </w:p>
    <w:p w14:paraId="388FFF50" w14:textId="77777777" w:rsidR="001C4BE4" w:rsidRPr="001C4BE4" w:rsidRDefault="001C4BE4" w:rsidP="001C4BE4">
      <w:pPr>
        <w:rPr>
          <w:szCs w:val="22"/>
          <w:u w:val="single"/>
        </w:rPr>
      </w:pPr>
    </w:p>
    <w:p w14:paraId="07427842" w14:textId="77777777" w:rsidR="001C4BE4" w:rsidRPr="001C4BE4" w:rsidRDefault="001C4BE4" w:rsidP="001C4BE4">
      <w:pPr>
        <w:rPr>
          <w:szCs w:val="22"/>
        </w:rPr>
      </w:pPr>
      <w:proofErr w:type="spellStart"/>
      <w:r w:rsidRPr="001C4BE4">
        <w:rPr>
          <w:szCs w:val="22"/>
        </w:rPr>
        <w:t>Sulgun</w:t>
      </w:r>
      <w:proofErr w:type="spellEnd"/>
      <w:r w:rsidRPr="001C4BE4">
        <w:rPr>
          <w:szCs w:val="22"/>
        </w:rPr>
        <w:t xml:space="preserve"> GURBANOVA (Ms.), Head, Trademark and Industrial Designs Department, State Service on Intellectual Property under the Ministry of Economy and Development of Turkmenistan, Ashgabat</w:t>
      </w:r>
    </w:p>
    <w:p w14:paraId="1C0C2770" w14:textId="77777777" w:rsidR="001C4BE4" w:rsidRPr="001C4BE4" w:rsidRDefault="001C4BE4" w:rsidP="001C4BE4">
      <w:pPr>
        <w:rPr>
          <w:szCs w:val="22"/>
        </w:rPr>
      </w:pPr>
      <w:r w:rsidRPr="001C4BE4">
        <w:rPr>
          <w:szCs w:val="22"/>
          <w:u w:val="single"/>
        </w:rPr>
        <w:t xml:space="preserve">sulgun@list.ru </w:t>
      </w:r>
    </w:p>
    <w:p w14:paraId="1951B4A7" w14:textId="77777777" w:rsidR="001C4BE4" w:rsidRPr="001C4BE4" w:rsidRDefault="001C4BE4" w:rsidP="001C4BE4">
      <w:pPr>
        <w:rPr>
          <w:szCs w:val="22"/>
        </w:rPr>
      </w:pPr>
    </w:p>
    <w:p w14:paraId="6E8C30A6" w14:textId="77777777" w:rsidR="001C4BE4" w:rsidRPr="001C4BE4" w:rsidRDefault="001C4BE4" w:rsidP="001C4BE4">
      <w:pPr>
        <w:rPr>
          <w:szCs w:val="22"/>
        </w:rPr>
      </w:pPr>
    </w:p>
    <w:p w14:paraId="1333432C" w14:textId="77777777" w:rsidR="001C4BE4" w:rsidRPr="001C4BE4" w:rsidRDefault="001C4BE4" w:rsidP="001C4BE4">
      <w:pPr>
        <w:rPr>
          <w:szCs w:val="22"/>
          <w:u w:val="single"/>
        </w:rPr>
      </w:pPr>
      <w:r w:rsidRPr="001C4BE4">
        <w:rPr>
          <w:szCs w:val="22"/>
          <w:u w:val="single"/>
        </w:rPr>
        <w:t>TURQUIE/TURKEY</w:t>
      </w:r>
    </w:p>
    <w:p w14:paraId="30A4B3FF" w14:textId="77777777" w:rsidR="001C4BE4" w:rsidRPr="001C4BE4" w:rsidRDefault="001C4BE4" w:rsidP="001C4BE4">
      <w:pPr>
        <w:rPr>
          <w:szCs w:val="22"/>
          <w:u w:val="single"/>
        </w:rPr>
      </w:pPr>
    </w:p>
    <w:p w14:paraId="3999FC47" w14:textId="61767E09" w:rsidR="001C4BE4" w:rsidRPr="001C4BE4" w:rsidRDefault="001C4BE4" w:rsidP="001C4BE4">
      <w:pPr>
        <w:rPr>
          <w:szCs w:val="22"/>
        </w:rPr>
      </w:pPr>
      <w:r w:rsidRPr="001C4BE4">
        <w:rPr>
          <w:szCs w:val="22"/>
        </w:rPr>
        <w:t>Mehmet SAVAŞ</w:t>
      </w:r>
      <w:r w:rsidR="00D012FA">
        <w:rPr>
          <w:szCs w:val="22"/>
        </w:rPr>
        <w:t xml:space="preserve"> (Mr.)</w:t>
      </w:r>
      <w:r w:rsidRPr="001C4BE4">
        <w:rPr>
          <w:szCs w:val="22"/>
        </w:rPr>
        <w:t>, Expert, General Directorate of Copyright, Ministry of Culture and Tourism, Ankara</w:t>
      </w:r>
    </w:p>
    <w:p w14:paraId="637003F0" w14:textId="77777777" w:rsidR="001C4BE4" w:rsidRPr="001C4BE4" w:rsidRDefault="001C4BE4" w:rsidP="001C4BE4">
      <w:pPr>
        <w:rPr>
          <w:szCs w:val="22"/>
        </w:rPr>
      </w:pPr>
      <w:r w:rsidRPr="001C4BE4">
        <w:rPr>
          <w:szCs w:val="22"/>
          <w:u w:val="single"/>
        </w:rPr>
        <w:t xml:space="preserve">mehmettsavass@gmail.com </w:t>
      </w:r>
    </w:p>
    <w:p w14:paraId="5B53E75A" w14:textId="77777777" w:rsidR="001C4BE4" w:rsidRPr="001C4BE4" w:rsidRDefault="001C4BE4" w:rsidP="001C4BE4">
      <w:pPr>
        <w:rPr>
          <w:szCs w:val="22"/>
        </w:rPr>
      </w:pPr>
    </w:p>
    <w:p w14:paraId="3CDF4761" w14:textId="77777777" w:rsidR="001C4BE4" w:rsidRPr="001C4BE4" w:rsidRDefault="001C4BE4" w:rsidP="001C4BE4">
      <w:pPr>
        <w:rPr>
          <w:szCs w:val="22"/>
        </w:rPr>
      </w:pPr>
    </w:p>
    <w:p w14:paraId="5CC22C5A" w14:textId="77777777" w:rsidR="001C4BE4" w:rsidRPr="001C4BE4" w:rsidRDefault="001C4BE4" w:rsidP="001C4BE4">
      <w:pPr>
        <w:rPr>
          <w:szCs w:val="22"/>
          <w:u w:val="single"/>
        </w:rPr>
      </w:pPr>
      <w:r w:rsidRPr="001C4BE4">
        <w:rPr>
          <w:szCs w:val="22"/>
          <w:u w:val="single"/>
        </w:rPr>
        <w:t>UKRAINE</w:t>
      </w:r>
    </w:p>
    <w:p w14:paraId="202C69EA" w14:textId="77777777" w:rsidR="001C4BE4" w:rsidRPr="001C4BE4" w:rsidRDefault="001C4BE4" w:rsidP="001C4BE4">
      <w:pPr>
        <w:rPr>
          <w:szCs w:val="22"/>
          <w:u w:val="single"/>
        </w:rPr>
      </w:pPr>
    </w:p>
    <w:p w14:paraId="62E7FB17" w14:textId="1E47E8EF" w:rsidR="001C4BE4" w:rsidRPr="001C4BE4" w:rsidRDefault="001C4BE4" w:rsidP="001C4BE4">
      <w:pPr>
        <w:rPr>
          <w:szCs w:val="22"/>
        </w:rPr>
      </w:pPr>
      <w:r w:rsidRPr="001C4BE4">
        <w:rPr>
          <w:szCs w:val="22"/>
        </w:rPr>
        <w:t>Andrew KUDIN</w:t>
      </w:r>
      <w:r w:rsidR="00D012FA">
        <w:rPr>
          <w:szCs w:val="22"/>
        </w:rPr>
        <w:t xml:space="preserve"> (Mr.)</w:t>
      </w:r>
      <w:r w:rsidRPr="001C4BE4">
        <w:rPr>
          <w:szCs w:val="22"/>
        </w:rPr>
        <w:t>, General Director, State Intellectual Property Service of Ukraine (SIPS), Ukrainian Intellectual Property Institute (</w:t>
      </w:r>
      <w:proofErr w:type="spellStart"/>
      <w:r w:rsidRPr="001C4BE4">
        <w:rPr>
          <w:szCs w:val="22"/>
        </w:rPr>
        <w:t>Ukrpatent</w:t>
      </w:r>
      <w:proofErr w:type="spellEnd"/>
      <w:r w:rsidRPr="001C4BE4">
        <w:rPr>
          <w:szCs w:val="22"/>
        </w:rPr>
        <w:t>), Ministry of Economic Development and Trade of Ukraine, Kyiv</w:t>
      </w:r>
    </w:p>
    <w:p w14:paraId="78988D53" w14:textId="77777777" w:rsidR="001C4BE4" w:rsidRPr="001C4BE4" w:rsidRDefault="001C4BE4" w:rsidP="001C4BE4">
      <w:pPr>
        <w:rPr>
          <w:szCs w:val="22"/>
        </w:rPr>
      </w:pPr>
    </w:p>
    <w:p w14:paraId="0F729F8B" w14:textId="77777777" w:rsidR="001C4BE4" w:rsidRPr="001C4BE4" w:rsidRDefault="001C4BE4" w:rsidP="001C4BE4">
      <w:pPr>
        <w:rPr>
          <w:szCs w:val="22"/>
        </w:rPr>
      </w:pPr>
      <w:r w:rsidRPr="001C4BE4">
        <w:rPr>
          <w:szCs w:val="22"/>
        </w:rPr>
        <w:t>Eleonora KUDINA (Ms.), Adviser of General Director, State Intellectual Property Service of Ukraine (SIPS), Ukrainian Intellectual Property Institute (</w:t>
      </w:r>
      <w:proofErr w:type="spellStart"/>
      <w:r w:rsidRPr="001C4BE4">
        <w:rPr>
          <w:szCs w:val="22"/>
        </w:rPr>
        <w:t>Ukrpatent</w:t>
      </w:r>
      <w:proofErr w:type="spellEnd"/>
      <w:r w:rsidRPr="001C4BE4">
        <w:rPr>
          <w:szCs w:val="22"/>
        </w:rPr>
        <w:t>), Ministry of Economic Development and Trade of Ukraine, Kyiv</w:t>
      </w:r>
    </w:p>
    <w:p w14:paraId="3B5F4AAC" w14:textId="77777777" w:rsidR="001C4BE4" w:rsidRPr="001C4BE4" w:rsidRDefault="001C4BE4" w:rsidP="001C4BE4">
      <w:pPr>
        <w:rPr>
          <w:szCs w:val="22"/>
        </w:rPr>
      </w:pPr>
    </w:p>
    <w:p w14:paraId="51C084A5" w14:textId="2D44E644" w:rsidR="001C4BE4" w:rsidRPr="001C4BE4" w:rsidRDefault="001C4BE4" w:rsidP="001C4BE4">
      <w:pPr>
        <w:rPr>
          <w:szCs w:val="22"/>
        </w:rPr>
      </w:pPr>
      <w:proofErr w:type="spellStart"/>
      <w:r w:rsidRPr="001C4BE4">
        <w:rPr>
          <w:szCs w:val="22"/>
        </w:rPr>
        <w:t>Oleksii</w:t>
      </w:r>
      <w:proofErr w:type="spellEnd"/>
      <w:r w:rsidRPr="001C4BE4">
        <w:rPr>
          <w:szCs w:val="22"/>
        </w:rPr>
        <w:t xml:space="preserve"> SKUBKO</w:t>
      </w:r>
      <w:r w:rsidR="00D012FA">
        <w:rPr>
          <w:szCs w:val="22"/>
        </w:rPr>
        <w:t xml:space="preserve"> (Mr.)</w:t>
      </w:r>
      <w:r w:rsidRPr="001C4BE4">
        <w:rPr>
          <w:szCs w:val="22"/>
        </w:rPr>
        <w:t>, Deputy Head, Department of Public Relations and Protocol Events, State Intellectual Property Service of Ukraine (SIPS), Ukrainian Intellectual Property Institute (</w:t>
      </w:r>
      <w:proofErr w:type="spellStart"/>
      <w:r w:rsidRPr="001C4BE4">
        <w:rPr>
          <w:szCs w:val="22"/>
        </w:rPr>
        <w:t>Ukrpatent</w:t>
      </w:r>
      <w:proofErr w:type="spellEnd"/>
      <w:r w:rsidRPr="001C4BE4">
        <w:rPr>
          <w:szCs w:val="22"/>
        </w:rPr>
        <w:t>), Ministry of Economic Development and Trade of Ukraine, Kyiv</w:t>
      </w:r>
    </w:p>
    <w:p w14:paraId="61AD97D0" w14:textId="77777777" w:rsidR="001C4BE4" w:rsidRPr="001C4BE4" w:rsidRDefault="001C4BE4" w:rsidP="001C4BE4">
      <w:pPr>
        <w:rPr>
          <w:szCs w:val="22"/>
        </w:rPr>
      </w:pPr>
    </w:p>
    <w:p w14:paraId="5BA5F9A7" w14:textId="60F6FD43" w:rsidR="001C4BE4" w:rsidRPr="001C4BE4" w:rsidRDefault="001C4BE4" w:rsidP="001C4BE4">
      <w:pPr>
        <w:rPr>
          <w:szCs w:val="22"/>
        </w:rPr>
      </w:pPr>
      <w:proofErr w:type="spellStart"/>
      <w:r w:rsidRPr="001C4BE4">
        <w:rPr>
          <w:szCs w:val="22"/>
        </w:rPr>
        <w:t>Sergii</w:t>
      </w:r>
      <w:proofErr w:type="spellEnd"/>
      <w:r w:rsidRPr="001C4BE4">
        <w:rPr>
          <w:szCs w:val="22"/>
        </w:rPr>
        <w:t xml:space="preserve"> TORIANIK</w:t>
      </w:r>
      <w:r w:rsidR="00D012FA">
        <w:rPr>
          <w:szCs w:val="22"/>
        </w:rPr>
        <w:t xml:space="preserve"> (Mr.)</w:t>
      </w:r>
      <w:r w:rsidRPr="001C4BE4">
        <w:rPr>
          <w:szCs w:val="22"/>
        </w:rPr>
        <w:t>, Deputy Head, Department of Examination of Applications for Inventions, Utility Models and Topographies of Integrated Circuits, State Intellectual Property Service of Ukraine (SIPS), Ukrainian Intellectual Property Institute (</w:t>
      </w:r>
      <w:proofErr w:type="spellStart"/>
      <w:r w:rsidRPr="001C4BE4">
        <w:rPr>
          <w:szCs w:val="22"/>
        </w:rPr>
        <w:t>Ukrpatent</w:t>
      </w:r>
      <w:proofErr w:type="spellEnd"/>
      <w:r w:rsidRPr="001C4BE4">
        <w:rPr>
          <w:szCs w:val="22"/>
        </w:rPr>
        <w:t>), Ministry of Economic Development and Trade of Ukraine, Kyiv</w:t>
      </w:r>
    </w:p>
    <w:p w14:paraId="09675583" w14:textId="77777777" w:rsidR="001C4BE4" w:rsidRPr="001C4BE4" w:rsidRDefault="001C4BE4" w:rsidP="001C4BE4">
      <w:pPr>
        <w:rPr>
          <w:szCs w:val="22"/>
          <w:lang w:val="es-ES"/>
        </w:rPr>
      </w:pPr>
      <w:r w:rsidRPr="001C4BE4">
        <w:rPr>
          <w:szCs w:val="22"/>
          <w:u w:val="single"/>
          <w:lang w:val="es-ES"/>
        </w:rPr>
        <w:t xml:space="preserve">s.toryanik@ukrpatent.org </w:t>
      </w:r>
    </w:p>
    <w:p w14:paraId="5C482DE6" w14:textId="77777777" w:rsidR="001C4BE4" w:rsidRPr="001C4BE4" w:rsidRDefault="001C4BE4" w:rsidP="001C4BE4">
      <w:pPr>
        <w:rPr>
          <w:szCs w:val="22"/>
          <w:lang w:val="es-ES"/>
        </w:rPr>
      </w:pPr>
    </w:p>
    <w:p w14:paraId="5815A9F1" w14:textId="77777777" w:rsidR="001C4BE4" w:rsidRPr="001C4BE4" w:rsidRDefault="001C4BE4" w:rsidP="001C4BE4">
      <w:pPr>
        <w:rPr>
          <w:szCs w:val="22"/>
          <w:lang w:val="es-ES"/>
        </w:rPr>
      </w:pPr>
    </w:p>
    <w:p w14:paraId="52257723" w14:textId="77777777" w:rsidR="001C4BE4" w:rsidRPr="001C4BE4" w:rsidRDefault="001C4BE4" w:rsidP="001C4BE4">
      <w:pPr>
        <w:rPr>
          <w:szCs w:val="22"/>
          <w:u w:val="single"/>
          <w:lang w:val="es-ES"/>
        </w:rPr>
      </w:pPr>
      <w:r w:rsidRPr="001C4BE4">
        <w:rPr>
          <w:szCs w:val="22"/>
          <w:u w:val="single"/>
          <w:lang w:val="es-ES"/>
        </w:rPr>
        <w:t>URUGUAY</w:t>
      </w:r>
    </w:p>
    <w:p w14:paraId="02586BD6" w14:textId="77777777" w:rsidR="001C4BE4" w:rsidRPr="001C4BE4" w:rsidRDefault="001C4BE4" w:rsidP="001C4BE4">
      <w:pPr>
        <w:rPr>
          <w:szCs w:val="22"/>
          <w:u w:val="single"/>
          <w:lang w:val="es-ES"/>
        </w:rPr>
      </w:pPr>
    </w:p>
    <w:p w14:paraId="152D965C" w14:textId="58B3A079" w:rsidR="001C4BE4" w:rsidRPr="001C4BE4" w:rsidRDefault="001C4BE4" w:rsidP="001C4BE4">
      <w:pPr>
        <w:rPr>
          <w:szCs w:val="22"/>
          <w:lang w:val="es-ES"/>
        </w:rPr>
      </w:pPr>
      <w:r w:rsidRPr="001C4BE4">
        <w:rPr>
          <w:szCs w:val="22"/>
          <w:lang w:val="es-ES"/>
        </w:rPr>
        <w:t>Juan BARBOZA</w:t>
      </w:r>
      <w:r w:rsidR="00D012FA">
        <w:rPr>
          <w:szCs w:val="22"/>
          <w:lang w:val="es-ES"/>
        </w:rPr>
        <w:t xml:space="preserve"> (Sr.)</w:t>
      </w:r>
      <w:r w:rsidRPr="001C4BE4">
        <w:rPr>
          <w:szCs w:val="22"/>
          <w:lang w:val="es-ES"/>
        </w:rPr>
        <w:t>, Consejero, Misión Permanente ante la Organización Mundial del Comercio (OMC), Ginebra</w:t>
      </w:r>
    </w:p>
    <w:p w14:paraId="10EE01F2" w14:textId="77777777" w:rsidR="001C4BE4" w:rsidRPr="001C4BE4" w:rsidRDefault="001C4BE4" w:rsidP="001C4BE4">
      <w:pPr>
        <w:rPr>
          <w:szCs w:val="22"/>
        </w:rPr>
      </w:pPr>
      <w:r w:rsidRPr="001C4BE4">
        <w:rPr>
          <w:szCs w:val="22"/>
          <w:u w:val="single"/>
        </w:rPr>
        <w:t xml:space="preserve">juan.barboza@mrree.gub.uy </w:t>
      </w:r>
    </w:p>
    <w:p w14:paraId="15CD6613" w14:textId="77777777" w:rsidR="001C4BE4" w:rsidRPr="001C4BE4" w:rsidRDefault="001C4BE4" w:rsidP="001C4BE4">
      <w:pPr>
        <w:rPr>
          <w:szCs w:val="22"/>
          <w:u w:val="single"/>
        </w:rPr>
      </w:pPr>
    </w:p>
    <w:p w14:paraId="03D1B37C" w14:textId="77777777" w:rsidR="001C4BE4" w:rsidRPr="001C4BE4" w:rsidRDefault="001C4BE4" w:rsidP="001C4BE4">
      <w:pPr>
        <w:rPr>
          <w:szCs w:val="22"/>
          <w:u w:val="single"/>
        </w:rPr>
      </w:pPr>
    </w:p>
    <w:p w14:paraId="1EDF4197" w14:textId="77777777" w:rsidR="001C4BE4" w:rsidRPr="001C4BE4" w:rsidRDefault="001C4BE4" w:rsidP="001C4BE4">
      <w:pPr>
        <w:rPr>
          <w:szCs w:val="22"/>
          <w:u w:val="single"/>
        </w:rPr>
      </w:pPr>
      <w:r w:rsidRPr="001C4BE4">
        <w:rPr>
          <w:szCs w:val="22"/>
          <w:u w:val="single"/>
        </w:rPr>
        <w:t>VIET NAM</w:t>
      </w:r>
    </w:p>
    <w:p w14:paraId="75E3F167" w14:textId="77777777" w:rsidR="001C4BE4" w:rsidRPr="001C4BE4" w:rsidRDefault="001C4BE4" w:rsidP="001C4BE4">
      <w:pPr>
        <w:rPr>
          <w:szCs w:val="22"/>
          <w:u w:val="single"/>
        </w:rPr>
      </w:pPr>
    </w:p>
    <w:p w14:paraId="44B0FB6C" w14:textId="30D732C8" w:rsidR="001C4BE4" w:rsidRPr="001C4BE4" w:rsidRDefault="001C4BE4" w:rsidP="001C4BE4">
      <w:pPr>
        <w:rPr>
          <w:szCs w:val="22"/>
        </w:rPr>
      </w:pPr>
      <w:r w:rsidRPr="001C4BE4">
        <w:rPr>
          <w:szCs w:val="22"/>
        </w:rPr>
        <w:t>LE Ngoc Lam</w:t>
      </w:r>
      <w:r w:rsidR="00D012FA">
        <w:rPr>
          <w:szCs w:val="22"/>
        </w:rPr>
        <w:t xml:space="preserve"> (Mr.)</w:t>
      </w:r>
      <w:r w:rsidRPr="001C4BE4">
        <w:rPr>
          <w:szCs w:val="22"/>
        </w:rPr>
        <w:t>, Deputy Director General, National Intellectual Property Office (NOIP), Hanoi</w:t>
      </w:r>
    </w:p>
    <w:p w14:paraId="54AA3394" w14:textId="77777777" w:rsidR="001C4BE4" w:rsidRPr="001C4BE4" w:rsidRDefault="001C4BE4" w:rsidP="001C4BE4">
      <w:pPr>
        <w:rPr>
          <w:szCs w:val="22"/>
        </w:rPr>
      </w:pPr>
    </w:p>
    <w:p w14:paraId="20898A56" w14:textId="77777777" w:rsidR="001C4BE4" w:rsidRPr="001C4BE4" w:rsidRDefault="001C4BE4" w:rsidP="001C4BE4">
      <w:pPr>
        <w:rPr>
          <w:szCs w:val="22"/>
        </w:rPr>
      </w:pPr>
      <w:r w:rsidRPr="001C4BE4">
        <w:rPr>
          <w:szCs w:val="22"/>
        </w:rPr>
        <w:t xml:space="preserve">PHAM </w:t>
      </w:r>
      <w:proofErr w:type="spellStart"/>
      <w:r w:rsidRPr="001C4BE4">
        <w:rPr>
          <w:szCs w:val="22"/>
        </w:rPr>
        <w:t>Thi</w:t>
      </w:r>
      <w:proofErr w:type="spellEnd"/>
      <w:r w:rsidRPr="001C4BE4">
        <w:rPr>
          <w:szCs w:val="22"/>
        </w:rPr>
        <w:t xml:space="preserve"> Kim </w:t>
      </w:r>
      <w:proofErr w:type="spellStart"/>
      <w:r w:rsidRPr="001C4BE4">
        <w:rPr>
          <w:szCs w:val="22"/>
        </w:rPr>
        <w:t>Oanh</w:t>
      </w:r>
      <w:proofErr w:type="spellEnd"/>
      <w:r w:rsidRPr="001C4BE4">
        <w:rPr>
          <w:szCs w:val="22"/>
        </w:rPr>
        <w:t xml:space="preserve"> (Ms.), Deputy Director General, Copyright Office of Vietnam (COV), Ministry of Culture, Sport and Tourism, Hanoi</w:t>
      </w:r>
    </w:p>
    <w:p w14:paraId="578CC95A" w14:textId="77777777" w:rsidR="001C4BE4" w:rsidRPr="001C4BE4" w:rsidRDefault="001C4BE4" w:rsidP="001C4BE4">
      <w:pPr>
        <w:rPr>
          <w:szCs w:val="22"/>
        </w:rPr>
      </w:pPr>
      <w:r w:rsidRPr="001C4BE4">
        <w:rPr>
          <w:szCs w:val="22"/>
          <w:u w:val="single"/>
        </w:rPr>
        <w:t xml:space="preserve">oanhpk@cov.gov.vn </w:t>
      </w:r>
    </w:p>
    <w:p w14:paraId="4F155FCE" w14:textId="77777777" w:rsidR="001C4BE4" w:rsidRPr="001C4BE4" w:rsidRDefault="001C4BE4" w:rsidP="001C4BE4">
      <w:pPr>
        <w:rPr>
          <w:szCs w:val="22"/>
        </w:rPr>
      </w:pPr>
    </w:p>
    <w:p w14:paraId="02094113" w14:textId="77777777" w:rsidR="001C4BE4" w:rsidRPr="001C4BE4" w:rsidRDefault="001C4BE4" w:rsidP="001C4BE4">
      <w:pPr>
        <w:rPr>
          <w:szCs w:val="22"/>
        </w:rPr>
      </w:pPr>
      <w:r w:rsidRPr="001C4BE4">
        <w:rPr>
          <w:szCs w:val="22"/>
        </w:rPr>
        <w:t xml:space="preserve">NGUYEN </w:t>
      </w:r>
      <w:proofErr w:type="spellStart"/>
      <w:r w:rsidRPr="001C4BE4">
        <w:rPr>
          <w:szCs w:val="22"/>
        </w:rPr>
        <w:t>Thi</w:t>
      </w:r>
      <w:proofErr w:type="spellEnd"/>
      <w:r w:rsidRPr="001C4BE4">
        <w:rPr>
          <w:szCs w:val="22"/>
        </w:rPr>
        <w:t xml:space="preserve"> Ngoc Ha (Ms.), Official, Copyright Office of Viet Nam (COV), Hanoi</w:t>
      </w:r>
    </w:p>
    <w:p w14:paraId="38122435" w14:textId="77777777" w:rsidR="001C4BE4" w:rsidRPr="001C4BE4" w:rsidRDefault="001C4BE4" w:rsidP="001C4BE4">
      <w:pPr>
        <w:rPr>
          <w:szCs w:val="22"/>
          <w:u w:val="single"/>
        </w:rPr>
      </w:pPr>
    </w:p>
    <w:p w14:paraId="2B03E8D6" w14:textId="77777777" w:rsidR="001C4BE4" w:rsidRDefault="001C4BE4" w:rsidP="001C4BE4">
      <w:pPr>
        <w:rPr>
          <w:szCs w:val="22"/>
          <w:u w:val="single"/>
        </w:rPr>
      </w:pPr>
    </w:p>
    <w:p w14:paraId="50083395" w14:textId="77777777" w:rsidR="00224BD9" w:rsidRPr="001C4BE4" w:rsidRDefault="00224BD9" w:rsidP="001C4BE4">
      <w:pPr>
        <w:rPr>
          <w:szCs w:val="22"/>
          <w:u w:val="single"/>
        </w:rPr>
      </w:pPr>
    </w:p>
    <w:p w14:paraId="65AFACCC" w14:textId="77777777" w:rsidR="001C4BE4" w:rsidRPr="001C4BE4" w:rsidRDefault="001C4BE4" w:rsidP="001C4BE4">
      <w:pPr>
        <w:rPr>
          <w:szCs w:val="22"/>
          <w:u w:val="single"/>
        </w:rPr>
      </w:pPr>
      <w:r w:rsidRPr="001C4BE4">
        <w:rPr>
          <w:szCs w:val="22"/>
          <w:u w:val="single"/>
        </w:rPr>
        <w:t>YÉMEN/YEMEN</w:t>
      </w:r>
    </w:p>
    <w:p w14:paraId="1F850DDD" w14:textId="77777777" w:rsidR="001C4BE4" w:rsidRPr="001C4BE4" w:rsidRDefault="001C4BE4" w:rsidP="001C4BE4">
      <w:pPr>
        <w:rPr>
          <w:szCs w:val="22"/>
          <w:u w:val="single"/>
        </w:rPr>
      </w:pPr>
    </w:p>
    <w:p w14:paraId="4E71A582" w14:textId="5BAEE653" w:rsidR="001C4BE4" w:rsidRPr="001C4BE4" w:rsidRDefault="001C4BE4" w:rsidP="001C4BE4">
      <w:pPr>
        <w:rPr>
          <w:szCs w:val="22"/>
        </w:rPr>
      </w:pPr>
      <w:r w:rsidRPr="001C4BE4">
        <w:rPr>
          <w:szCs w:val="22"/>
        </w:rPr>
        <w:t>Mohammed FAKHER</w:t>
      </w:r>
      <w:r w:rsidR="00D012FA">
        <w:rPr>
          <w:szCs w:val="22"/>
        </w:rPr>
        <w:t xml:space="preserve"> (Mr.)</w:t>
      </w:r>
      <w:r w:rsidRPr="001C4BE4">
        <w:rPr>
          <w:szCs w:val="22"/>
        </w:rPr>
        <w:t>, First Secretary, Permanent Mission, Geneva</w:t>
      </w:r>
    </w:p>
    <w:p w14:paraId="78E75E57" w14:textId="77777777" w:rsidR="001C4BE4" w:rsidRPr="001C4BE4" w:rsidRDefault="001C4BE4" w:rsidP="001C4BE4">
      <w:pPr>
        <w:rPr>
          <w:szCs w:val="22"/>
        </w:rPr>
      </w:pPr>
    </w:p>
    <w:p w14:paraId="5F1B21F2" w14:textId="77777777" w:rsidR="001C4BE4" w:rsidRPr="001C4BE4" w:rsidRDefault="001C4BE4" w:rsidP="001C4BE4">
      <w:pPr>
        <w:rPr>
          <w:szCs w:val="22"/>
        </w:rPr>
      </w:pPr>
    </w:p>
    <w:p w14:paraId="2EF221F3" w14:textId="77777777" w:rsidR="001C4BE4" w:rsidRPr="001C4BE4" w:rsidRDefault="001C4BE4" w:rsidP="001C4BE4">
      <w:pPr>
        <w:rPr>
          <w:szCs w:val="22"/>
          <w:u w:val="single"/>
        </w:rPr>
      </w:pPr>
      <w:r w:rsidRPr="001C4BE4">
        <w:rPr>
          <w:szCs w:val="22"/>
          <w:u w:val="single"/>
        </w:rPr>
        <w:t>ZIMBABWE</w:t>
      </w:r>
    </w:p>
    <w:p w14:paraId="1A0D235F" w14:textId="77777777" w:rsidR="001C4BE4" w:rsidRPr="001C4BE4" w:rsidRDefault="001C4BE4" w:rsidP="001C4BE4">
      <w:pPr>
        <w:rPr>
          <w:szCs w:val="22"/>
          <w:u w:val="single"/>
        </w:rPr>
      </w:pPr>
    </w:p>
    <w:p w14:paraId="0512C0EB" w14:textId="6CC02144" w:rsidR="001C4BE4" w:rsidRPr="001C4BE4" w:rsidRDefault="001C4BE4" w:rsidP="001C4BE4">
      <w:pPr>
        <w:rPr>
          <w:szCs w:val="22"/>
        </w:rPr>
      </w:pPr>
      <w:proofErr w:type="spellStart"/>
      <w:r w:rsidRPr="001C4BE4">
        <w:rPr>
          <w:szCs w:val="22"/>
        </w:rPr>
        <w:t>Taonga</w:t>
      </w:r>
      <w:proofErr w:type="spellEnd"/>
      <w:r w:rsidRPr="001C4BE4">
        <w:rPr>
          <w:szCs w:val="22"/>
        </w:rPr>
        <w:t xml:space="preserve"> MUSHAYAVANHU</w:t>
      </w:r>
      <w:r w:rsidR="00D012FA">
        <w:rPr>
          <w:szCs w:val="22"/>
        </w:rPr>
        <w:t xml:space="preserve"> (Mr.)</w:t>
      </w:r>
      <w:r w:rsidRPr="001C4BE4">
        <w:rPr>
          <w:szCs w:val="22"/>
        </w:rPr>
        <w:t>, Ambassador, Permanent Representative, Permanent Mission, Geneva</w:t>
      </w:r>
    </w:p>
    <w:p w14:paraId="3B7F9CD6" w14:textId="77777777" w:rsidR="001C4BE4" w:rsidRPr="001C4BE4" w:rsidRDefault="001C4BE4" w:rsidP="001C4BE4">
      <w:pPr>
        <w:rPr>
          <w:szCs w:val="22"/>
          <w:u w:val="single"/>
        </w:rPr>
      </w:pPr>
    </w:p>
    <w:p w14:paraId="29B090B1" w14:textId="77777777" w:rsidR="001C4BE4" w:rsidRPr="001C4BE4" w:rsidRDefault="001C4BE4" w:rsidP="001C4BE4">
      <w:pPr>
        <w:rPr>
          <w:szCs w:val="22"/>
        </w:rPr>
      </w:pPr>
      <w:r w:rsidRPr="001C4BE4">
        <w:rPr>
          <w:szCs w:val="22"/>
        </w:rPr>
        <w:t xml:space="preserve">Rhoda </w:t>
      </w:r>
      <w:proofErr w:type="spellStart"/>
      <w:r w:rsidRPr="001C4BE4">
        <w:rPr>
          <w:szCs w:val="22"/>
        </w:rPr>
        <w:t>Tafadzwa</w:t>
      </w:r>
      <w:proofErr w:type="spellEnd"/>
      <w:r w:rsidRPr="001C4BE4">
        <w:rPr>
          <w:szCs w:val="22"/>
        </w:rPr>
        <w:t xml:space="preserve"> NGARANDE (Ms.), Counsellor, Permanent Mission, Geneva</w:t>
      </w:r>
    </w:p>
    <w:p w14:paraId="75AB8CB2" w14:textId="77777777" w:rsidR="001C4BE4" w:rsidRPr="00C40D5D" w:rsidRDefault="001C4BE4" w:rsidP="001C4BE4">
      <w:pPr>
        <w:rPr>
          <w:szCs w:val="22"/>
          <w:lang w:val="fr-FR"/>
        </w:rPr>
      </w:pPr>
      <w:r w:rsidRPr="00C40D5D">
        <w:rPr>
          <w:szCs w:val="22"/>
          <w:u w:val="single"/>
          <w:lang w:val="fr-FR"/>
        </w:rPr>
        <w:t xml:space="preserve">zimbabwemission@bluewin.ch </w:t>
      </w:r>
    </w:p>
    <w:p w14:paraId="514183EC" w14:textId="77777777" w:rsidR="001C4BE4" w:rsidRPr="00C40D5D" w:rsidRDefault="001C4BE4" w:rsidP="001C4BE4">
      <w:pPr>
        <w:rPr>
          <w:szCs w:val="22"/>
          <w:lang w:val="fr-FR"/>
        </w:rPr>
      </w:pPr>
    </w:p>
    <w:p w14:paraId="596EC6EE" w14:textId="77777777" w:rsidR="001C4BE4" w:rsidRPr="00C40D5D" w:rsidRDefault="001C4BE4" w:rsidP="001C4BE4">
      <w:pPr>
        <w:rPr>
          <w:szCs w:val="22"/>
          <w:lang w:val="fr-FR"/>
        </w:rPr>
      </w:pPr>
    </w:p>
    <w:p w14:paraId="09D27C45" w14:textId="77777777" w:rsidR="001C4BE4" w:rsidRPr="00C40D5D" w:rsidRDefault="001C4BE4" w:rsidP="001C4BE4">
      <w:pPr>
        <w:rPr>
          <w:szCs w:val="22"/>
          <w:lang w:val="fr-FR"/>
        </w:rPr>
      </w:pPr>
    </w:p>
    <w:p w14:paraId="6AF61471" w14:textId="77777777" w:rsidR="001C4BE4" w:rsidRPr="00C40D5D" w:rsidRDefault="001C4BE4" w:rsidP="001C4BE4">
      <w:pPr>
        <w:rPr>
          <w:caps/>
          <w:szCs w:val="22"/>
          <w:u w:val="single"/>
          <w:lang w:val="fr-FR"/>
        </w:rPr>
      </w:pPr>
      <w:r w:rsidRPr="00C40D5D">
        <w:rPr>
          <w:szCs w:val="22"/>
          <w:lang w:val="fr-FR"/>
        </w:rPr>
        <w:t xml:space="preserve">II.  </w:t>
      </w:r>
      <w:r w:rsidRPr="00C40D5D">
        <w:rPr>
          <w:caps/>
          <w:szCs w:val="22"/>
          <w:u w:val="single"/>
          <w:lang w:val="fr-FR"/>
        </w:rPr>
        <w:t>DÉlÉgation SpÉciale/Special Delegation</w:t>
      </w:r>
    </w:p>
    <w:p w14:paraId="7D7B27C9" w14:textId="77777777" w:rsidR="001C4BE4" w:rsidRPr="00C40D5D" w:rsidRDefault="001C4BE4" w:rsidP="001C4BE4">
      <w:pPr>
        <w:rPr>
          <w:caps/>
          <w:szCs w:val="22"/>
          <w:u w:val="single"/>
          <w:lang w:val="fr-FR"/>
        </w:rPr>
      </w:pPr>
    </w:p>
    <w:p w14:paraId="78B24A38" w14:textId="77777777" w:rsidR="001C4BE4" w:rsidRPr="00C40D5D" w:rsidRDefault="001C4BE4" w:rsidP="001C4BE4">
      <w:pPr>
        <w:rPr>
          <w:caps/>
          <w:szCs w:val="22"/>
          <w:u w:val="single"/>
          <w:lang w:val="fr-FR"/>
        </w:rPr>
      </w:pPr>
    </w:p>
    <w:p w14:paraId="6AD63E74" w14:textId="77777777" w:rsidR="001C4BE4" w:rsidRPr="001C4BE4" w:rsidRDefault="001C4BE4" w:rsidP="001C4BE4">
      <w:pPr>
        <w:rPr>
          <w:szCs w:val="22"/>
          <w:u w:val="single"/>
          <w:lang w:val="fr-FR"/>
        </w:rPr>
      </w:pPr>
      <w:r w:rsidRPr="001C4BE4">
        <w:rPr>
          <w:szCs w:val="22"/>
          <w:u w:val="single"/>
          <w:lang w:val="fr-FR"/>
        </w:rPr>
        <w:t xml:space="preserve">UNION EUROPÉENNE (UE)/EUROPEAN UNION (EU) </w:t>
      </w:r>
    </w:p>
    <w:p w14:paraId="3826C893" w14:textId="77777777" w:rsidR="001C4BE4" w:rsidRPr="001C4BE4" w:rsidRDefault="001C4BE4" w:rsidP="001C4BE4">
      <w:pPr>
        <w:rPr>
          <w:szCs w:val="22"/>
          <w:u w:val="single"/>
          <w:lang w:val="fr-FR"/>
        </w:rPr>
      </w:pPr>
    </w:p>
    <w:p w14:paraId="42E9808D" w14:textId="77777777" w:rsidR="001C4BE4" w:rsidRPr="001C4BE4" w:rsidRDefault="001C4BE4" w:rsidP="001C4BE4">
      <w:pPr>
        <w:rPr>
          <w:szCs w:val="22"/>
        </w:rPr>
      </w:pPr>
      <w:r w:rsidRPr="001C4BE4">
        <w:rPr>
          <w:szCs w:val="22"/>
        </w:rPr>
        <w:t>Anne VON ZUKOWSKI (Ms.), Political Officer, Brussels</w:t>
      </w:r>
    </w:p>
    <w:p w14:paraId="12F57033" w14:textId="77777777" w:rsidR="001C4BE4" w:rsidRPr="001C4BE4" w:rsidRDefault="001C4BE4" w:rsidP="001C4BE4">
      <w:pPr>
        <w:rPr>
          <w:szCs w:val="22"/>
        </w:rPr>
      </w:pPr>
    </w:p>
    <w:p w14:paraId="6CDE193C" w14:textId="3DF2EF07" w:rsidR="001C4BE4" w:rsidRPr="001C4BE4" w:rsidRDefault="001C4BE4" w:rsidP="001C4BE4">
      <w:pPr>
        <w:rPr>
          <w:szCs w:val="22"/>
        </w:rPr>
      </w:pPr>
      <w:r w:rsidRPr="001C4BE4">
        <w:rPr>
          <w:szCs w:val="22"/>
        </w:rPr>
        <w:t>Oliver HALL ALLEN</w:t>
      </w:r>
      <w:r w:rsidR="00D012FA">
        <w:rPr>
          <w:szCs w:val="22"/>
        </w:rPr>
        <w:t xml:space="preserve"> (Mr.)</w:t>
      </w:r>
      <w:r w:rsidRPr="001C4BE4">
        <w:rPr>
          <w:szCs w:val="22"/>
        </w:rPr>
        <w:t>, First Counsellor, Permanent Delegation, Geneva</w:t>
      </w:r>
    </w:p>
    <w:p w14:paraId="1F7B024B" w14:textId="77777777" w:rsidR="001C4BE4" w:rsidRPr="001C4BE4" w:rsidRDefault="001C4BE4" w:rsidP="001C4BE4">
      <w:pPr>
        <w:rPr>
          <w:szCs w:val="22"/>
        </w:rPr>
      </w:pPr>
    </w:p>
    <w:p w14:paraId="4D13B583" w14:textId="77777777" w:rsidR="001C4BE4" w:rsidRPr="001C4BE4" w:rsidRDefault="001C4BE4" w:rsidP="001C4BE4">
      <w:pPr>
        <w:rPr>
          <w:szCs w:val="22"/>
        </w:rPr>
      </w:pPr>
    </w:p>
    <w:p w14:paraId="08273A42" w14:textId="77777777" w:rsidR="001C4BE4" w:rsidRPr="001C4BE4" w:rsidRDefault="001C4BE4" w:rsidP="001C4BE4">
      <w:pPr>
        <w:rPr>
          <w:szCs w:val="22"/>
          <w:lang w:eastAsia="en-US"/>
        </w:rPr>
      </w:pPr>
    </w:p>
    <w:p w14:paraId="63F2BD62" w14:textId="77777777" w:rsidR="001C4BE4" w:rsidRPr="001C4BE4" w:rsidRDefault="001C4BE4" w:rsidP="001C4BE4">
      <w:pPr>
        <w:outlineLvl w:val="7"/>
        <w:rPr>
          <w:rFonts w:eastAsia="Times New Roman"/>
          <w:iCs/>
          <w:szCs w:val="22"/>
          <w:lang w:eastAsia="en-US"/>
        </w:rPr>
      </w:pPr>
      <w:r w:rsidRPr="001C4BE4">
        <w:rPr>
          <w:rFonts w:eastAsia="Times New Roman"/>
          <w:iCs/>
          <w:szCs w:val="22"/>
          <w:lang w:eastAsia="en-US"/>
        </w:rPr>
        <w:t>III</w:t>
      </w:r>
      <w:proofErr w:type="gramStart"/>
      <w:r w:rsidRPr="001C4BE4">
        <w:rPr>
          <w:rFonts w:eastAsia="Times New Roman"/>
          <w:iCs/>
          <w:szCs w:val="22"/>
          <w:lang w:eastAsia="en-US"/>
        </w:rPr>
        <w:t xml:space="preserve">.  </w:t>
      </w:r>
      <w:r w:rsidRPr="001C4BE4">
        <w:rPr>
          <w:rFonts w:eastAsia="Times New Roman"/>
          <w:iCs/>
          <w:szCs w:val="22"/>
          <w:u w:val="single"/>
          <w:lang w:eastAsia="en-US"/>
        </w:rPr>
        <w:t>OBSERVATEURS</w:t>
      </w:r>
      <w:proofErr w:type="gramEnd"/>
      <w:r w:rsidRPr="001C4BE4">
        <w:rPr>
          <w:rFonts w:eastAsia="Times New Roman"/>
          <w:iCs/>
          <w:szCs w:val="22"/>
          <w:u w:val="single"/>
          <w:lang w:eastAsia="en-US"/>
        </w:rPr>
        <w:t>/OBSERVERS</w:t>
      </w:r>
    </w:p>
    <w:p w14:paraId="72583669" w14:textId="77777777" w:rsidR="001C4BE4" w:rsidRPr="001C4BE4" w:rsidRDefault="001C4BE4" w:rsidP="001C4BE4">
      <w:pPr>
        <w:rPr>
          <w:szCs w:val="22"/>
          <w:lang w:eastAsia="en-US"/>
        </w:rPr>
      </w:pPr>
    </w:p>
    <w:p w14:paraId="3D2C43DE" w14:textId="77777777" w:rsidR="001C4BE4" w:rsidRPr="001C4BE4" w:rsidRDefault="001C4BE4" w:rsidP="001C4BE4">
      <w:pPr>
        <w:rPr>
          <w:szCs w:val="22"/>
          <w:lang w:eastAsia="en-US"/>
        </w:rPr>
      </w:pPr>
    </w:p>
    <w:p w14:paraId="663480E0" w14:textId="77777777" w:rsidR="001C4BE4" w:rsidRPr="001C4BE4" w:rsidRDefault="001C4BE4" w:rsidP="001C4BE4">
      <w:pPr>
        <w:rPr>
          <w:szCs w:val="22"/>
          <w:u w:val="single"/>
          <w:lang w:eastAsia="en-US"/>
        </w:rPr>
      </w:pPr>
      <w:r w:rsidRPr="001C4BE4">
        <w:rPr>
          <w:szCs w:val="22"/>
          <w:u w:val="single"/>
          <w:lang w:eastAsia="en-US"/>
        </w:rPr>
        <w:t>PALESTINE</w:t>
      </w:r>
    </w:p>
    <w:p w14:paraId="0740FA6E" w14:textId="77777777" w:rsidR="001C4BE4" w:rsidRPr="001C4BE4" w:rsidRDefault="001C4BE4" w:rsidP="001C4BE4">
      <w:pPr>
        <w:rPr>
          <w:szCs w:val="22"/>
          <w:u w:val="single"/>
          <w:lang w:eastAsia="en-US"/>
        </w:rPr>
      </w:pPr>
    </w:p>
    <w:p w14:paraId="62D3F466" w14:textId="4F76CB05" w:rsidR="001C4BE4" w:rsidRPr="001C4BE4" w:rsidRDefault="001C4BE4" w:rsidP="001C4BE4">
      <w:pPr>
        <w:rPr>
          <w:szCs w:val="22"/>
          <w:lang w:eastAsia="en-US"/>
        </w:rPr>
      </w:pPr>
      <w:r w:rsidRPr="001C4BE4">
        <w:rPr>
          <w:szCs w:val="22"/>
          <w:lang w:eastAsia="en-US"/>
        </w:rPr>
        <w:t>Sami M.K. BATRAWI</w:t>
      </w:r>
      <w:r w:rsidR="00D012FA">
        <w:rPr>
          <w:szCs w:val="22"/>
          <w:lang w:eastAsia="en-US"/>
        </w:rPr>
        <w:t xml:space="preserve"> </w:t>
      </w:r>
      <w:r w:rsidR="00D012FA">
        <w:rPr>
          <w:szCs w:val="22"/>
        </w:rPr>
        <w:t>(Mr.)</w:t>
      </w:r>
      <w:r w:rsidRPr="001C4BE4">
        <w:rPr>
          <w:szCs w:val="22"/>
          <w:lang w:eastAsia="en-US"/>
        </w:rPr>
        <w:t>, Director General, Intellectual Property Unit, Ministry of Culture, Ramallah</w:t>
      </w:r>
    </w:p>
    <w:p w14:paraId="7853CDDC" w14:textId="77777777" w:rsidR="001C4BE4" w:rsidRPr="001C4BE4" w:rsidRDefault="001C4BE4" w:rsidP="001C4BE4">
      <w:pPr>
        <w:rPr>
          <w:szCs w:val="22"/>
          <w:lang w:eastAsia="en-US"/>
        </w:rPr>
      </w:pPr>
    </w:p>
    <w:p w14:paraId="420D64D6" w14:textId="77777777" w:rsidR="001C4BE4" w:rsidRPr="001C4BE4" w:rsidRDefault="001C4BE4" w:rsidP="001C4BE4">
      <w:pPr>
        <w:rPr>
          <w:szCs w:val="22"/>
          <w:lang w:eastAsia="en-US"/>
        </w:rPr>
      </w:pPr>
    </w:p>
    <w:p w14:paraId="16E23F96" w14:textId="77777777" w:rsidR="001C4BE4" w:rsidRPr="001C4BE4" w:rsidRDefault="001C4BE4" w:rsidP="001C4BE4">
      <w:pPr>
        <w:rPr>
          <w:szCs w:val="22"/>
          <w:lang w:eastAsia="en-US"/>
        </w:rPr>
      </w:pPr>
    </w:p>
    <w:p w14:paraId="00AE08CE" w14:textId="77777777" w:rsidR="001C4BE4" w:rsidRPr="001C4BE4" w:rsidRDefault="001C4BE4" w:rsidP="003B5F75">
      <w:pPr>
        <w:ind w:left="360" w:hanging="360"/>
        <w:rPr>
          <w:szCs w:val="22"/>
          <w:lang w:val="fr-FR"/>
        </w:rPr>
      </w:pPr>
      <w:r w:rsidRPr="001C4BE4">
        <w:rPr>
          <w:szCs w:val="22"/>
          <w:lang w:val="fr-FR"/>
        </w:rPr>
        <w:t xml:space="preserve">IV.  </w:t>
      </w:r>
      <w:r w:rsidRPr="001C4BE4">
        <w:rPr>
          <w:szCs w:val="22"/>
          <w:u w:val="single"/>
          <w:lang w:val="fr-FR"/>
        </w:rPr>
        <w:t>ORGANISATIONS INTERNATIONALES INTERGOUVERNEMENTALES/</w:t>
      </w:r>
      <w:r w:rsidRPr="001C4BE4">
        <w:rPr>
          <w:szCs w:val="22"/>
          <w:u w:val="single"/>
          <w:lang w:val="fr-FR"/>
        </w:rPr>
        <w:br/>
      </w:r>
      <w:r w:rsidRPr="001C4BE4">
        <w:rPr>
          <w:noProof/>
          <w:szCs w:val="22"/>
          <w:u w:val="single"/>
          <w:lang w:val="fr-FR"/>
        </w:rPr>
        <w:t>INTERNATIONAL INTERGOVERNMENTAL ORGANIZATIONS</w:t>
      </w:r>
    </w:p>
    <w:p w14:paraId="2F9479DD" w14:textId="77777777" w:rsidR="001C4BE4" w:rsidRPr="001C4BE4" w:rsidRDefault="001C4BE4" w:rsidP="001C4BE4">
      <w:pPr>
        <w:outlineLvl w:val="7"/>
        <w:rPr>
          <w:rFonts w:eastAsia="Times New Roman"/>
          <w:iCs/>
          <w:szCs w:val="22"/>
          <w:lang w:val="fr-FR" w:eastAsia="en-US"/>
        </w:rPr>
      </w:pPr>
    </w:p>
    <w:p w14:paraId="6E13E182" w14:textId="77777777" w:rsidR="001C4BE4" w:rsidRPr="001C4BE4" w:rsidRDefault="001C4BE4" w:rsidP="001C4BE4">
      <w:pPr>
        <w:rPr>
          <w:caps/>
          <w:noProof/>
          <w:szCs w:val="22"/>
          <w:lang w:val="fr-FR"/>
        </w:rPr>
      </w:pPr>
    </w:p>
    <w:p w14:paraId="0BBF35D9" w14:textId="77777777" w:rsidR="001C4BE4" w:rsidRPr="001C4BE4" w:rsidRDefault="001C4BE4" w:rsidP="001C4BE4">
      <w:pPr>
        <w:rPr>
          <w:szCs w:val="22"/>
          <w:u w:val="single"/>
          <w:lang w:val="fr-FR"/>
        </w:rPr>
      </w:pPr>
      <w:r w:rsidRPr="001C4BE4">
        <w:rPr>
          <w:szCs w:val="22"/>
          <w:u w:val="single"/>
          <w:lang w:val="fr-FR"/>
        </w:rPr>
        <w:t xml:space="preserve">CENTRE SUD (CS)/SOUTH CENTRE (SC) </w:t>
      </w:r>
    </w:p>
    <w:p w14:paraId="41817A35" w14:textId="77777777" w:rsidR="001C4BE4" w:rsidRPr="001C4BE4" w:rsidRDefault="001C4BE4" w:rsidP="001C4BE4">
      <w:pPr>
        <w:rPr>
          <w:szCs w:val="22"/>
          <w:u w:val="single"/>
          <w:lang w:val="fr-FR"/>
        </w:rPr>
      </w:pPr>
    </w:p>
    <w:p w14:paraId="1F3A1BD2" w14:textId="77777777" w:rsidR="001C4BE4" w:rsidRPr="001C4BE4" w:rsidRDefault="001C4BE4" w:rsidP="001C4BE4">
      <w:pPr>
        <w:rPr>
          <w:szCs w:val="22"/>
        </w:rPr>
      </w:pPr>
      <w:proofErr w:type="spellStart"/>
      <w:r w:rsidRPr="001C4BE4">
        <w:rPr>
          <w:szCs w:val="22"/>
        </w:rPr>
        <w:t>Sanaz</w:t>
      </w:r>
      <w:proofErr w:type="spellEnd"/>
      <w:r w:rsidRPr="001C4BE4">
        <w:rPr>
          <w:szCs w:val="22"/>
        </w:rPr>
        <w:t xml:space="preserve"> JAVADI (Ms.), Intern, Development, Innovation and Intellectual Property Programme (DIIP), Geneva</w:t>
      </w:r>
    </w:p>
    <w:p w14:paraId="134A1598" w14:textId="77777777" w:rsidR="001C4BE4" w:rsidRPr="001C4BE4" w:rsidRDefault="001C4BE4" w:rsidP="001C4BE4">
      <w:pPr>
        <w:rPr>
          <w:szCs w:val="22"/>
        </w:rPr>
      </w:pPr>
      <w:r w:rsidRPr="001C4BE4">
        <w:rPr>
          <w:szCs w:val="22"/>
          <w:u w:val="single"/>
        </w:rPr>
        <w:t xml:space="preserve">javadi@southcentre.int </w:t>
      </w:r>
    </w:p>
    <w:p w14:paraId="1C2B1494" w14:textId="77777777" w:rsidR="001C4BE4" w:rsidRPr="001C4BE4" w:rsidRDefault="001C4BE4" w:rsidP="001C4BE4">
      <w:pPr>
        <w:rPr>
          <w:szCs w:val="22"/>
        </w:rPr>
      </w:pPr>
    </w:p>
    <w:p w14:paraId="3BC1399F" w14:textId="77777777" w:rsidR="001C4BE4" w:rsidRPr="001C4BE4" w:rsidRDefault="001C4BE4" w:rsidP="001C4BE4">
      <w:pPr>
        <w:rPr>
          <w:szCs w:val="22"/>
        </w:rPr>
      </w:pPr>
    </w:p>
    <w:p w14:paraId="7ECC6A04" w14:textId="77777777" w:rsidR="001C4BE4" w:rsidRPr="001C4BE4" w:rsidRDefault="001C4BE4" w:rsidP="001C4BE4">
      <w:pPr>
        <w:rPr>
          <w:szCs w:val="22"/>
          <w:u w:val="single"/>
        </w:rPr>
      </w:pPr>
      <w:r w:rsidRPr="001C4BE4">
        <w:rPr>
          <w:szCs w:val="22"/>
          <w:u w:val="single"/>
        </w:rPr>
        <w:t xml:space="preserve">GENERAL SECRETARIAT OF THE ANDEAN COMMUNITY </w:t>
      </w:r>
    </w:p>
    <w:p w14:paraId="030C12D1" w14:textId="77777777" w:rsidR="001C4BE4" w:rsidRPr="001C4BE4" w:rsidRDefault="001C4BE4" w:rsidP="001C4BE4">
      <w:pPr>
        <w:rPr>
          <w:szCs w:val="22"/>
          <w:u w:val="single"/>
        </w:rPr>
      </w:pPr>
    </w:p>
    <w:p w14:paraId="013A9D0B" w14:textId="77777777" w:rsidR="001C4BE4" w:rsidRPr="001C4BE4" w:rsidRDefault="001C4BE4" w:rsidP="001C4BE4">
      <w:pPr>
        <w:rPr>
          <w:szCs w:val="22"/>
          <w:lang w:val="es-ES"/>
        </w:rPr>
      </w:pPr>
      <w:r w:rsidRPr="001C4BE4">
        <w:rPr>
          <w:szCs w:val="22"/>
          <w:lang w:val="es-ES"/>
        </w:rPr>
        <w:t>Deyanira CAMACHO TORAL (Sra.), Funcionaria Internacional en Propiedad Intelectual y Recursos Genéticos, Dirección General 3, Propiedad Intelectual, Lima</w:t>
      </w:r>
    </w:p>
    <w:p w14:paraId="40A75C8E" w14:textId="77777777" w:rsidR="001C4BE4" w:rsidRPr="001C4BE4" w:rsidRDefault="001C4BE4" w:rsidP="001C4BE4">
      <w:pPr>
        <w:rPr>
          <w:szCs w:val="22"/>
          <w:lang w:val="es-ES"/>
        </w:rPr>
      </w:pPr>
      <w:r w:rsidRPr="001C4BE4">
        <w:rPr>
          <w:szCs w:val="22"/>
          <w:u w:val="single"/>
          <w:lang w:val="es-ES"/>
        </w:rPr>
        <w:t xml:space="preserve">dcamacho@comunidadandina.org </w:t>
      </w:r>
    </w:p>
    <w:p w14:paraId="6F968ED7" w14:textId="77777777" w:rsidR="001C4BE4" w:rsidRPr="001C4BE4" w:rsidRDefault="001C4BE4" w:rsidP="001C4BE4">
      <w:pPr>
        <w:rPr>
          <w:szCs w:val="22"/>
          <w:u w:val="single"/>
          <w:lang w:val="es-ES"/>
        </w:rPr>
      </w:pPr>
    </w:p>
    <w:p w14:paraId="7DF2C457" w14:textId="77777777" w:rsidR="001C4BE4" w:rsidRPr="001C4BE4" w:rsidRDefault="001C4BE4" w:rsidP="001C4BE4">
      <w:pPr>
        <w:rPr>
          <w:szCs w:val="22"/>
          <w:u w:val="single"/>
          <w:lang w:val="es-ES"/>
        </w:rPr>
      </w:pPr>
    </w:p>
    <w:p w14:paraId="65632FB8" w14:textId="77777777" w:rsidR="001C4BE4" w:rsidRPr="001C4BE4" w:rsidRDefault="001C4BE4" w:rsidP="001C4BE4">
      <w:pPr>
        <w:rPr>
          <w:szCs w:val="22"/>
          <w:u w:val="single"/>
          <w:lang w:val="es-ES"/>
        </w:rPr>
      </w:pPr>
      <w:r w:rsidRPr="001C4BE4">
        <w:rPr>
          <w:szCs w:val="22"/>
          <w:u w:val="single"/>
          <w:lang w:val="es-ES"/>
        </w:rPr>
        <w:t xml:space="preserve">OFFICE DES BREVETS DU CONSEIL DE COOPÉRATION DES ÉTATS ARABES DU GOLFE (CCG)/PATENT OFFICE OF THE COOPERATION COUNCIL FOR THE ARAB STATES OF THE GULF (GCC PATENT OFFICE) </w:t>
      </w:r>
    </w:p>
    <w:p w14:paraId="292A9843" w14:textId="77777777" w:rsidR="001C4BE4" w:rsidRPr="001C4BE4" w:rsidRDefault="001C4BE4" w:rsidP="001C4BE4">
      <w:pPr>
        <w:rPr>
          <w:szCs w:val="22"/>
          <w:u w:val="single"/>
          <w:lang w:val="es-ES"/>
        </w:rPr>
      </w:pPr>
    </w:p>
    <w:p w14:paraId="622003D3" w14:textId="77777777" w:rsidR="001C4BE4" w:rsidRPr="001C4BE4" w:rsidRDefault="001C4BE4" w:rsidP="001C4BE4">
      <w:pPr>
        <w:rPr>
          <w:szCs w:val="22"/>
          <w:lang w:val="fr-FR"/>
        </w:rPr>
      </w:pPr>
      <w:proofErr w:type="spellStart"/>
      <w:r w:rsidRPr="001C4BE4">
        <w:rPr>
          <w:szCs w:val="22"/>
          <w:lang w:val="fr-FR"/>
        </w:rPr>
        <w:t>Saja</w:t>
      </w:r>
      <w:proofErr w:type="spellEnd"/>
      <w:r w:rsidRPr="001C4BE4">
        <w:rPr>
          <w:szCs w:val="22"/>
          <w:lang w:val="fr-FR"/>
        </w:rPr>
        <w:t xml:space="preserve"> ALHASSAN (Ms.), Examiner, </w:t>
      </w:r>
      <w:proofErr w:type="spellStart"/>
      <w:r w:rsidRPr="001C4BE4">
        <w:rPr>
          <w:szCs w:val="22"/>
          <w:lang w:val="fr-FR"/>
        </w:rPr>
        <w:t>Riyadh</w:t>
      </w:r>
      <w:proofErr w:type="spellEnd"/>
    </w:p>
    <w:p w14:paraId="013FAC6B" w14:textId="77777777" w:rsidR="001C4BE4" w:rsidRPr="001C4BE4" w:rsidRDefault="001C4BE4" w:rsidP="001C4BE4">
      <w:pPr>
        <w:rPr>
          <w:szCs w:val="22"/>
          <w:lang w:val="fr-FR"/>
        </w:rPr>
      </w:pPr>
      <w:r w:rsidRPr="001C4BE4">
        <w:rPr>
          <w:szCs w:val="22"/>
          <w:u w:val="single"/>
          <w:lang w:val="fr-FR"/>
        </w:rPr>
        <w:t xml:space="preserve">sjalhassan@gccsg.org </w:t>
      </w:r>
    </w:p>
    <w:p w14:paraId="02C63488" w14:textId="77777777" w:rsidR="001C4BE4" w:rsidRPr="001C4BE4" w:rsidRDefault="001C4BE4" w:rsidP="001C4BE4">
      <w:pPr>
        <w:rPr>
          <w:szCs w:val="22"/>
          <w:lang w:val="fr-FR"/>
        </w:rPr>
      </w:pPr>
    </w:p>
    <w:p w14:paraId="08D9E69B" w14:textId="04A2AC29" w:rsidR="001C4BE4" w:rsidRPr="001C4BE4" w:rsidRDefault="001C4BE4" w:rsidP="001C4BE4">
      <w:pPr>
        <w:rPr>
          <w:szCs w:val="22"/>
          <w:lang w:val="fr-FR"/>
        </w:rPr>
      </w:pPr>
      <w:proofErr w:type="spellStart"/>
      <w:r w:rsidRPr="001C4BE4">
        <w:rPr>
          <w:szCs w:val="22"/>
          <w:lang w:val="fr-FR"/>
        </w:rPr>
        <w:t>Faisal</w:t>
      </w:r>
      <w:proofErr w:type="spellEnd"/>
      <w:r w:rsidRPr="001C4BE4">
        <w:rPr>
          <w:szCs w:val="22"/>
          <w:lang w:val="fr-FR"/>
        </w:rPr>
        <w:t xml:space="preserve"> ALJARDAN</w:t>
      </w:r>
      <w:r w:rsidR="00D012FA">
        <w:rPr>
          <w:szCs w:val="22"/>
          <w:lang w:val="fr-FR"/>
        </w:rPr>
        <w:t xml:space="preserve"> </w:t>
      </w:r>
      <w:r w:rsidR="00D012FA" w:rsidRPr="00C40D5D">
        <w:rPr>
          <w:szCs w:val="22"/>
          <w:lang w:val="fr-FR"/>
        </w:rPr>
        <w:t>(Mr.)</w:t>
      </w:r>
      <w:r w:rsidRPr="001C4BE4">
        <w:rPr>
          <w:szCs w:val="22"/>
          <w:lang w:val="fr-FR"/>
        </w:rPr>
        <w:t xml:space="preserve">, Patent Examiner, </w:t>
      </w:r>
      <w:proofErr w:type="spellStart"/>
      <w:r w:rsidRPr="001C4BE4">
        <w:rPr>
          <w:szCs w:val="22"/>
          <w:lang w:val="fr-FR"/>
        </w:rPr>
        <w:t>Riyadh</w:t>
      </w:r>
      <w:proofErr w:type="spellEnd"/>
    </w:p>
    <w:p w14:paraId="2A7072D4" w14:textId="77777777" w:rsidR="001C4BE4" w:rsidRPr="001C4BE4" w:rsidRDefault="001C4BE4" w:rsidP="001C4BE4">
      <w:pPr>
        <w:rPr>
          <w:szCs w:val="22"/>
          <w:lang w:val="fr-FR"/>
        </w:rPr>
      </w:pPr>
      <w:r w:rsidRPr="001C4BE4">
        <w:rPr>
          <w:szCs w:val="22"/>
          <w:u w:val="single"/>
          <w:lang w:val="fr-FR"/>
        </w:rPr>
        <w:t xml:space="preserve">faljardan@gccsg.org </w:t>
      </w:r>
    </w:p>
    <w:p w14:paraId="36F20827" w14:textId="77777777" w:rsidR="001C4BE4" w:rsidRPr="001C4BE4" w:rsidRDefault="001C4BE4" w:rsidP="001C4BE4">
      <w:pPr>
        <w:rPr>
          <w:szCs w:val="22"/>
          <w:lang w:val="fr-FR"/>
        </w:rPr>
      </w:pPr>
    </w:p>
    <w:p w14:paraId="7E2F986E" w14:textId="77777777" w:rsidR="001C4BE4" w:rsidRPr="001C4BE4" w:rsidRDefault="001C4BE4" w:rsidP="001C4BE4">
      <w:pPr>
        <w:rPr>
          <w:szCs w:val="22"/>
          <w:lang w:val="fr-FR"/>
        </w:rPr>
      </w:pPr>
    </w:p>
    <w:p w14:paraId="02F7B31E" w14:textId="77777777" w:rsidR="001C4BE4" w:rsidRPr="001C4BE4" w:rsidRDefault="001C4BE4" w:rsidP="001C4BE4">
      <w:pPr>
        <w:rPr>
          <w:szCs w:val="22"/>
          <w:u w:val="single"/>
          <w:lang w:val="fr-FR"/>
        </w:rPr>
      </w:pPr>
      <w:r w:rsidRPr="001C4BE4">
        <w:rPr>
          <w:szCs w:val="22"/>
          <w:u w:val="single"/>
          <w:lang w:val="fr-FR"/>
        </w:rPr>
        <w:t xml:space="preserve">ORGANISATION AFRICAINE DE LA PROPRIÉTÉ INTELLECTUELLE (OAPI)/AFRICAN INTELLECTUAL PROPERTY ORGANIZATION (OAPI) </w:t>
      </w:r>
    </w:p>
    <w:p w14:paraId="739F42D0" w14:textId="77777777" w:rsidR="001C4BE4" w:rsidRPr="001C4BE4" w:rsidRDefault="001C4BE4" w:rsidP="001C4BE4">
      <w:pPr>
        <w:rPr>
          <w:szCs w:val="22"/>
          <w:u w:val="single"/>
          <w:lang w:val="fr-FR"/>
        </w:rPr>
      </w:pPr>
    </w:p>
    <w:p w14:paraId="3FD31941" w14:textId="77777777" w:rsidR="001C4BE4" w:rsidRPr="001C4BE4" w:rsidRDefault="001C4BE4" w:rsidP="001C4BE4">
      <w:pPr>
        <w:rPr>
          <w:szCs w:val="22"/>
          <w:lang w:val="fr-FR"/>
        </w:rPr>
      </w:pPr>
      <w:r w:rsidRPr="001C4BE4">
        <w:rPr>
          <w:szCs w:val="22"/>
          <w:lang w:val="fr-FR"/>
        </w:rPr>
        <w:t>Solange DAO SANON (Mme), chargée du droit d’auteur et du suivi des questions émergentes, Département des affaires juridiques, de la coopération et des questions émergentes, Yaoundé</w:t>
      </w:r>
    </w:p>
    <w:p w14:paraId="207CAE8D" w14:textId="77777777" w:rsidR="001C4BE4" w:rsidRPr="001C4BE4" w:rsidRDefault="001C4BE4" w:rsidP="001C4BE4">
      <w:pPr>
        <w:rPr>
          <w:szCs w:val="22"/>
          <w:lang w:val="fr-FR"/>
        </w:rPr>
      </w:pPr>
      <w:r w:rsidRPr="001C4BE4">
        <w:rPr>
          <w:szCs w:val="22"/>
          <w:u w:val="single"/>
          <w:lang w:val="fr-FR"/>
        </w:rPr>
        <w:t xml:space="preserve">sdaosolange@gmail.com </w:t>
      </w:r>
    </w:p>
    <w:p w14:paraId="6A412C30" w14:textId="77777777" w:rsidR="001C4BE4" w:rsidRPr="001C4BE4" w:rsidRDefault="001C4BE4" w:rsidP="001C4BE4">
      <w:pPr>
        <w:rPr>
          <w:szCs w:val="22"/>
          <w:lang w:val="fr-FR"/>
        </w:rPr>
      </w:pPr>
    </w:p>
    <w:p w14:paraId="61492CE4" w14:textId="77777777" w:rsidR="001C4BE4" w:rsidRPr="001C4BE4" w:rsidRDefault="001C4BE4" w:rsidP="001C4BE4">
      <w:pPr>
        <w:rPr>
          <w:szCs w:val="22"/>
          <w:lang w:val="fr-FR"/>
        </w:rPr>
      </w:pPr>
    </w:p>
    <w:p w14:paraId="4F4BFF8B" w14:textId="77777777" w:rsidR="001C4BE4" w:rsidRPr="001C4BE4" w:rsidRDefault="001C4BE4" w:rsidP="001C4BE4">
      <w:pPr>
        <w:rPr>
          <w:szCs w:val="22"/>
          <w:u w:val="single"/>
          <w:lang w:val="fr-FR"/>
        </w:rPr>
      </w:pPr>
      <w:r w:rsidRPr="001C4BE4">
        <w:rPr>
          <w:szCs w:val="22"/>
          <w:u w:val="single"/>
          <w:lang w:val="fr-FR"/>
        </w:rPr>
        <w:t xml:space="preserve">ORGANISATION EUROPÉENNE DES BREVETS (OEB)/EUROPEAN PATENT ORGANISATION (EPO) </w:t>
      </w:r>
    </w:p>
    <w:p w14:paraId="319753BC" w14:textId="77777777" w:rsidR="003B5F75" w:rsidRPr="00737182" w:rsidRDefault="003B5F75" w:rsidP="003B5F75">
      <w:pPr>
        <w:rPr>
          <w:szCs w:val="22"/>
          <w:lang w:val="fr-FR"/>
        </w:rPr>
      </w:pPr>
    </w:p>
    <w:p w14:paraId="15741DC7" w14:textId="4BB04997" w:rsidR="003B5F75" w:rsidRPr="003B5F75" w:rsidRDefault="003B5F75" w:rsidP="003B5F75">
      <w:pPr>
        <w:rPr>
          <w:szCs w:val="22"/>
        </w:rPr>
      </w:pPr>
      <w:r w:rsidRPr="003B5F75">
        <w:rPr>
          <w:szCs w:val="22"/>
        </w:rPr>
        <w:t>Enrico LUZZATTO</w:t>
      </w:r>
      <w:r w:rsidR="00D012FA">
        <w:rPr>
          <w:szCs w:val="22"/>
        </w:rPr>
        <w:t xml:space="preserve"> (Mr.)</w:t>
      </w:r>
      <w:r w:rsidRPr="003B5F75">
        <w:rPr>
          <w:szCs w:val="22"/>
        </w:rPr>
        <w:t>, Director, Directorate General 1 - Cluster Pure and Applied Organic Chemistry, Munich</w:t>
      </w:r>
    </w:p>
    <w:p w14:paraId="22A723E7" w14:textId="77777777" w:rsidR="003B5F75" w:rsidRPr="003B5F75" w:rsidRDefault="003B5F75" w:rsidP="003B5F75">
      <w:pPr>
        <w:rPr>
          <w:szCs w:val="22"/>
        </w:rPr>
      </w:pPr>
      <w:r w:rsidRPr="003B5F75">
        <w:rPr>
          <w:szCs w:val="22"/>
          <w:u w:val="single"/>
        </w:rPr>
        <w:t xml:space="preserve">eluzzatto@epo.org </w:t>
      </w:r>
    </w:p>
    <w:p w14:paraId="011908C6" w14:textId="77777777" w:rsidR="001C4BE4" w:rsidRPr="00737182" w:rsidRDefault="001C4BE4" w:rsidP="001C4BE4">
      <w:pPr>
        <w:rPr>
          <w:szCs w:val="22"/>
          <w:u w:val="single"/>
        </w:rPr>
      </w:pPr>
    </w:p>
    <w:p w14:paraId="38723BB8" w14:textId="77777777" w:rsidR="001C4BE4" w:rsidRPr="001C4BE4" w:rsidRDefault="001C4BE4" w:rsidP="001C4BE4">
      <w:pPr>
        <w:rPr>
          <w:szCs w:val="22"/>
        </w:rPr>
      </w:pPr>
      <w:r w:rsidRPr="001C4BE4">
        <w:rPr>
          <w:szCs w:val="22"/>
        </w:rPr>
        <w:t>Alessia VOLPE (Ms.), Coordinator, International Cooperation, Munich</w:t>
      </w:r>
    </w:p>
    <w:p w14:paraId="1169C6A2" w14:textId="77777777" w:rsidR="001C4BE4" w:rsidRPr="001C4BE4" w:rsidRDefault="001C4BE4" w:rsidP="001C4BE4">
      <w:pPr>
        <w:rPr>
          <w:szCs w:val="22"/>
          <w:lang w:val="fr-FR"/>
        </w:rPr>
      </w:pPr>
      <w:r w:rsidRPr="001C4BE4">
        <w:rPr>
          <w:szCs w:val="22"/>
          <w:u w:val="single"/>
          <w:lang w:val="fr-FR"/>
        </w:rPr>
        <w:t xml:space="preserve">avolpe@epo.org </w:t>
      </w:r>
    </w:p>
    <w:p w14:paraId="21F5EA0E" w14:textId="77777777" w:rsidR="001C4BE4" w:rsidRPr="001C4BE4" w:rsidRDefault="001C4BE4" w:rsidP="001C4BE4">
      <w:pPr>
        <w:rPr>
          <w:szCs w:val="22"/>
          <w:lang w:val="fr-FR"/>
        </w:rPr>
      </w:pPr>
    </w:p>
    <w:p w14:paraId="7220CD36" w14:textId="77777777" w:rsidR="003B5F75" w:rsidRDefault="003B5F75" w:rsidP="001C4BE4">
      <w:pPr>
        <w:rPr>
          <w:szCs w:val="22"/>
          <w:u w:val="single"/>
          <w:lang w:val="fr-FR"/>
        </w:rPr>
      </w:pPr>
    </w:p>
    <w:p w14:paraId="6F6D7E4F" w14:textId="77777777" w:rsidR="001C4BE4" w:rsidRPr="001C4BE4" w:rsidRDefault="001C4BE4" w:rsidP="001C4BE4">
      <w:pPr>
        <w:rPr>
          <w:szCs w:val="22"/>
          <w:u w:val="single"/>
          <w:lang w:val="fr-FR"/>
        </w:rPr>
      </w:pPr>
      <w:r w:rsidRPr="001C4BE4">
        <w:rPr>
          <w:szCs w:val="22"/>
          <w:u w:val="single"/>
          <w:lang w:val="fr-FR"/>
        </w:rPr>
        <w:t xml:space="preserve">ORGANISATION INTERNATIONALE DE LA FRANCOPHONIE (OIF) </w:t>
      </w:r>
    </w:p>
    <w:p w14:paraId="569399E7" w14:textId="77777777" w:rsidR="001C4BE4" w:rsidRPr="001C4BE4" w:rsidRDefault="001C4BE4" w:rsidP="001C4BE4">
      <w:pPr>
        <w:rPr>
          <w:szCs w:val="22"/>
          <w:u w:val="single"/>
          <w:lang w:val="fr-FR"/>
        </w:rPr>
      </w:pPr>
    </w:p>
    <w:p w14:paraId="778420D6" w14:textId="47F344A0" w:rsidR="001C4BE4" w:rsidRPr="001C4BE4" w:rsidRDefault="001C4BE4" w:rsidP="001C4BE4">
      <w:pPr>
        <w:rPr>
          <w:szCs w:val="22"/>
          <w:lang w:val="fr-FR"/>
        </w:rPr>
      </w:pPr>
      <w:proofErr w:type="spellStart"/>
      <w:r w:rsidRPr="001C4BE4">
        <w:rPr>
          <w:szCs w:val="22"/>
          <w:lang w:val="fr-FR"/>
        </w:rPr>
        <w:t>Lorick</w:t>
      </w:r>
      <w:proofErr w:type="spellEnd"/>
      <w:r w:rsidRPr="001C4BE4">
        <w:rPr>
          <w:szCs w:val="22"/>
          <w:lang w:val="fr-FR"/>
        </w:rPr>
        <w:t xml:space="preserve"> </w:t>
      </w:r>
      <w:proofErr w:type="spellStart"/>
      <w:r w:rsidRPr="001C4BE4">
        <w:rPr>
          <w:szCs w:val="22"/>
          <w:lang w:val="fr-FR"/>
        </w:rPr>
        <w:t>Stephane</w:t>
      </w:r>
      <w:proofErr w:type="spellEnd"/>
      <w:r w:rsidRPr="001C4BE4">
        <w:rPr>
          <w:szCs w:val="22"/>
          <w:lang w:val="fr-FR"/>
        </w:rPr>
        <w:t xml:space="preserve"> MOUBACKA</w:t>
      </w:r>
      <w:r w:rsidR="00D012FA">
        <w:rPr>
          <w:szCs w:val="22"/>
          <w:lang w:val="fr-FR"/>
        </w:rPr>
        <w:t xml:space="preserve"> (M.)</w:t>
      </w:r>
      <w:r w:rsidRPr="001C4BE4">
        <w:rPr>
          <w:szCs w:val="22"/>
          <w:lang w:val="fr-FR"/>
        </w:rPr>
        <w:t>, assistant de coopération pour les affaires économiques et de développement, Genève</w:t>
      </w:r>
    </w:p>
    <w:p w14:paraId="22EC9D7E" w14:textId="77777777" w:rsidR="001C4BE4" w:rsidRPr="001C4BE4" w:rsidRDefault="001C4BE4" w:rsidP="001C4BE4">
      <w:pPr>
        <w:rPr>
          <w:szCs w:val="22"/>
          <w:lang w:val="fr-FR"/>
        </w:rPr>
      </w:pPr>
      <w:r w:rsidRPr="001C4BE4">
        <w:rPr>
          <w:szCs w:val="22"/>
          <w:u w:val="single"/>
          <w:lang w:val="fr-FR"/>
        </w:rPr>
        <w:t xml:space="preserve">stephane.moubacka@francophonie.org </w:t>
      </w:r>
    </w:p>
    <w:p w14:paraId="6A62A60A" w14:textId="77777777" w:rsidR="001C4BE4" w:rsidRPr="001C4BE4" w:rsidRDefault="001C4BE4" w:rsidP="001C4BE4">
      <w:pPr>
        <w:rPr>
          <w:szCs w:val="22"/>
          <w:lang w:val="fr-FR"/>
        </w:rPr>
      </w:pPr>
    </w:p>
    <w:p w14:paraId="6588C178" w14:textId="77777777" w:rsidR="001C4BE4" w:rsidRPr="001C4BE4" w:rsidRDefault="001C4BE4" w:rsidP="001C4BE4">
      <w:pPr>
        <w:rPr>
          <w:szCs w:val="22"/>
          <w:u w:val="single"/>
          <w:lang w:val="fr-FR"/>
        </w:rPr>
      </w:pPr>
    </w:p>
    <w:p w14:paraId="4A7311C1" w14:textId="77777777" w:rsidR="001C4BE4" w:rsidRPr="001C4BE4" w:rsidRDefault="001C4BE4" w:rsidP="001C4BE4">
      <w:pPr>
        <w:rPr>
          <w:szCs w:val="22"/>
          <w:u w:val="single"/>
          <w:lang w:val="fr-FR"/>
        </w:rPr>
      </w:pPr>
    </w:p>
    <w:p w14:paraId="3B7CE7F0" w14:textId="77777777" w:rsidR="001C4BE4" w:rsidRPr="001C4BE4" w:rsidRDefault="001C4BE4" w:rsidP="003B5F75">
      <w:pPr>
        <w:ind w:left="360" w:hanging="360"/>
        <w:rPr>
          <w:caps/>
          <w:noProof/>
          <w:szCs w:val="22"/>
          <w:u w:val="single"/>
          <w:lang w:val="fr-FR"/>
        </w:rPr>
      </w:pPr>
      <w:r w:rsidRPr="001C4BE4">
        <w:rPr>
          <w:caps/>
          <w:noProof/>
          <w:szCs w:val="22"/>
          <w:lang w:val="fr-FR"/>
        </w:rPr>
        <w:t xml:space="preserve">V.  </w:t>
      </w:r>
      <w:r w:rsidRPr="001C4BE4">
        <w:rPr>
          <w:caps/>
          <w:noProof/>
          <w:szCs w:val="22"/>
          <w:u w:val="single"/>
          <w:lang w:val="fr-FR"/>
        </w:rPr>
        <w:t>Organisations internationales non Gouvernementales/</w:t>
      </w:r>
      <w:r w:rsidRPr="001C4BE4">
        <w:rPr>
          <w:caps/>
          <w:noProof/>
          <w:szCs w:val="22"/>
          <w:u w:val="single"/>
          <w:lang w:val="fr-FR"/>
        </w:rPr>
        <w:br/>
      </w:r>
      <w:r w:rsidRPr="001C4BE4">
        <w:rPr>
          <w:caps/>
          <w:noProof/>
          <w:szCs w:val="22"/>
          <w:lang w:val="fr-FR"/>
        </w:rPr>
        <w:t>I</w:t>
      </w:r>
      <w:r w:rsidRPr="001C4BE4">
        <w:rPr>
          <w:caps/>
          <w:noProof/>
          <w:szCs w:val="22"/>
          <w:u w:val="single"/>
          <w:lang w:val="fr-FR"/>
        </w:rPr>
        <w:t>nternational Non-Governmental Organizations</w:t>
      </w:r>
    </w:p>
    <w:p w14:paraId="41DABF53" w14:textId="77777777" w:rsidR="001C4BE4" w:rsidRPr="001C4BE4" w:rsidRDefault="001C4BE4" w:rsidP="001C4BE4">
      <w:pPr>
        <w:rPr>
          <w:szCs w:val="22"/>
          <w:u w:val="single"/>
          <w:lang w:val="fr-FR"/>
        </w:rPr>
      </w:pPr>
    </w:p>
    <w:p w14:paraId="7FEAA485" w14:textId="77777777" w:rsidR="001C4BE4" w:rsidRPr="001C4BE4" w:rsidRDefault="001C4BE4" w:rsidP="001C4BE4">
      <w:pPr>
        <w:rPr>
          <w:szCs w:val="22"/>
          <w:u w:val="single"/>
          <w:lang w:val="fr-FR"/>
        </w:rPr>
      </w:pPr>
    </w:p>
    <w:p w14:paraId="67B68C8F" w14:textId="77777777" w:rsidR="001C4BE4" w:rsidRPr="001C4BE4" w:rsidRDefault="001C4BE4" w:rsidP="001C4BE4">
      <w:pPr>
        <w:rPr>
          <w:szCs w:val="22"/>
          <w:u w:val="single"/>
        </w:rPr>
      </w:pPr>
      <w:r w:rsidRPr="001C4BE4">
        <w:rPr>
          <w:szCs w:val="22"/>
          <w:u w:val="single"/>
        </w:rPr>
        <w:t>ADJMOR</w:t>
      </w:r>
    </w:p>
    <w:p w14:paraId="613B28BB" w14:textId="3764443C" w:rsidR="001C4BE4" w:rsidRPr="00C40D5D" w:rsidRDefault="001C4BE4" w:rsidP="001C4BE4">
      <w:pPr>
        <w:rPr>
          <w:szCs w:val="22"/>
        </w:rPr>
      </w:pPr>
      <w:r w:rsidRPr="00C40D5D">
        <w:rPr>
          <w:szCs w:val="22"/>
        </w:rPr>
        <w:t>Hamady AG MOHAMED ABBA</w:t>
      </w:r>
      <w:r w:rsidR="00D012FA" w:rsidRPr="00C40D5D">
        <w:rPr>
          <w:szCs w:val="22"/>
        </w:rPr>
        <w:t xml:space="preserve"> (M.),</w:t>
      </w:r>
      <w:r w:rsidRPr="00C40D5D">
        <w:rPr>
          <w:szCs w:val="22"/>
        </w:rPr>
        <w:t xml:space="preserve"> </w:t>
      </w:r>
      <w:proofErr w:type="spellStart"/>
      <w:r w:rsidRPr="00C40D5D">
        <w:rPr>
          <w:szCs w:val="22"/>
        </w:rPr>
        <w:t>président</w:t>
      </w:r>
      <w:proofErr w:type="spellEnd"/>
      <w:r w:rsidRPr="00C40D5D">
        <w:rPr>
          <w:szCs w:val="22"/>
        </w:rPr>
        <w:t>, Tombouctou</w:t>
      </w:r>
    </w:p>
    <w:p w14:paraId="35968585" w14:textId="77777777" w:rsidR="001C4BE4" w:rsidRPr="00C84FE4" w:rsidRDefault="001C4BE4" w:rsidP="001C4BE4">
      <w:pPr>
        <w:rPr>
          <w:szCs w:val="22"/>
          <w:lang w:val="es-ES"/>
        </w:rPr>
      </w:pPr>
      <w:r w:rsidRPr="00C84FE4">
        <w:rPr>
          <w:szCs w:val="22"/>
          <w:u w:val="single"/>
          <w:lang w:val="es-ES"/>
        </w:rPr>
        <w:t xml:space="preserve">tassanafalte@yahoo.fr </w:t>
      </w:r>
    </w:p>
    <w:p w14:paraId="6A8D1542" w14:textId="77777777" w:rsidR="001C4BE4" w:rsidRPr="00C84FE4" w:rsidRDefault="001C4BE4" w:rsidP="001C4BE4">
      <w:pPr>
        <w:rPr>
          <w:szCs w:val="22"/>
          <w:lang w:val="es-ES"/>
        </w:rPr>
      </w:pPr>
    </w:p>
    <w:p w14:paraId="41756BEE" w14:textId="77777777" w:rsidR="001C4BE4" w:rsidRPr="001C4BE4" w:rsidRDefault="001C4BE4" w:rsidP="001C4BE4">
      <w:pPr>
        <w:rPr>
          <w:szCs w:val="22"/>
          <w:u w:val="single"/>
          <w:lang w:val="es-ES"/>
        </w:rPr>
      </w:pPr>
      <w:r w:rsidRPr="001C4BE4">
        <w:rPr>
          <w:szCs w:val="22"/>
          <w:u w:val="single"/>
          <w:lang w:val="es-ES"/>
        </w:rPr>
        <w:t xml:space="preserve">Agencia Internacional de Prensa Indígena (AIPIN) </w:t>
      </w:r>
    </w:p>
    <w:p w14:paraId="50BA52F7" w14:textId="77777777" w:rsidR="001C4BE4" w:rsidRPr="001C4BE4" w:rsidRDefault="001C4BE4" w:rsidP="001C4BE4">
      <w:pPr>
        <w:rPr>
          <w:szCs w:val="22"/>
          <w:lang w:val="es-ES"/>
        </w:rPr>
      </w:pPr>
      <w:proofErr w:type="spellStart"/>
      <w:r w:rsidRPr="001C4BE4">
        <w:rPr>
          <w:szCs w:val="22"/>
          <w:lang w:val="es-ES"/>
        </w:rPr>
        <w:t>Saron</w:t>
      </w:r>
      <w:proofErr w:type="spellEnd"/>
      <w:r w:rsidRPr="001C4BE4">
        <w:rPr>
          <w:szCs w:val="22"/>
          <w:lang w:val="es-ES"/>
        </w:rPr>
        <w:t xml:space="preserve"> CABERO (Sra.), Asistente B, Ciudad de México</w:t>
      </w:r>
    </w:p>
    <w:p w14:paraId="170DAED7" w14:textId="77777777" w:rsidR="001C4BE4" w:rsidRPr="001C4BE4" w:rsidRDefault="001C4BE4" w:rsidP="001C4BE4">
      <w:pPr>
        <w:rPr>
          <w:szCs w:val="22"/>
          <w:lang w:val="es-ES"/>
        </w:rPr>
      </w:pPr>
      <w:r w:rsidRPr="001C4BE4">
        <w:rPr>
          <w:szCs w:val="22"/>
          <w:lang w:val="es-ES"/>
        </w:rPr>
        <w:t>Carmen Lucero HERNÁNDEZ CRUZ (Sra.), Asistente, Relaciones Políticas y Asuntos Internacionales, Ciudad de México</w:t>
      </w:r>
    </w:p>
    <w:p w14:paraId="02F9312C" w14:textId="77777777" w:rsidR="001C4BE4" w:rsidRPr="001C4BE4" w:rsidRDefault="001C4BE4" w:rsidP="001C4BE4">
      <w:pPr>
        <w:rPr>
          <w:szCs w:val="22"/>
          <w:u w:val="single"/>
          <w:lang w:val="es-ES"/>
        </w:rPr>
      </w:pPr>
    </w:p>
    <w:p w14:paraId="2CE007E7" w14:textId="77777777" w:rsidR="001C4BE4" w:rsidRPr="001C4BE4" w:rsidRDefault="001C4BE4" w:rsidP="001C4BE4">
      <w:pPr>
        <w:rPr>
          <w:szCs w:val="22"/>
          <w:u w:val="single"/>
        </w:rPr>
      </w:pPr>
      <w:r w:rsidRPr="001C4BE4">
        <w:rPr>
          <w:szCs w:val="22"/>
          <w:u w:val="single"/>
        </w:rPr>
        <w:t xml:space="preserve">Assembly of Armenians of Western Armenia, The </w:t>
      </w:r>
    </w:p>
    <w:p w14:paraId="299BF520" w14:textId="77777777" w:rsidR="001C4BE4" w:rsidRPr="001C4BE4" w:rsidRDefault="001C4BE4" w:rsidP="001C4BE4">
      <w:pPr>
        <w:rPr>
          <w:szCs w:val="22"/>
          <w:lang w:val="fr-FR"/>
        </w:rPr>
      </w:pPr>
      <w:r w:rsidRPr="001C4BE4">
        <w:rPr>
          <w:szCs w:val="22"/>
          <w:lang w:val="fr-FR"/>
        </w:rPr>
        <w:t>Lydia MARGOSSIAN (Mme), déléguée, Mission diplomatique, Bagneux</w:t>
      </w:r>
    </w:p>
    <w:p w14:paraId="5F178CB0" w14:textId="77777777" w:rsidR="001C4BE4" w:rsidRDefault="001C4BE4" w:rsidP="001C4BE4">
      <w:pPr>
        <w:rPr>
          <w:szCs w:val="22"/>
          <w:lang w:val="fr-FR"/>
        </w:rPr>
      </w:pPr>
    </w:p>
    <w:p w14:paraId="257D2164" w14:textId="77777777" w:rsidR="003B5F75" w:rsidRPr="001C4BE4" w:rsidRDefault="003B5F75" w:rsidP="001C4BE4">
      <w:pPr>
        <w:rPr>
          <w:szCs w:val="22"/>
          <w:lang w:val="fr-FR"/>
        </w:rPr>
      </w:pPr>
    </w:p>
    <w:p w14:paraId="4C76D0EB" w14:textId="77777777" w:rsidR="00266235" w:rsidRPr="00266235" w:rsidRDefault="00266235" w:rsidP="00266235">
      <w:pPr>
        <w:rPr>
          <w:szCs w:val="22"/>
          <w:u w:val="single"/>
          <w:lang w:val="fr-FR"/>
        </w:rPr>
      </w:pPr>
      <w:r w:rsidRPr="00266235">
        <w:rPr>
          <w:szCs w:val="22"/>
          <w:u w:val="single"/>
          <w:lang w:val="fr-FR"/>
        </w:rPr>
        <w:t xml:space="preserve">Association internationale pour la protection de la propriété intellectuelle (AIPPI)/International Association for the Protection of Intellectual Property (AIPPI) </w:t>
      </w:r>
    </w:p>
    <w:p w14:paraId="0539AE2D" w14:textId="42E7D717" w:rsidR="00266235" w:rsidRPr="00266235" w:rsidRDefault="00266235" w:rsidP="00266235">
      <w:pPr>
        <w:rPr>
          <w:szCs w:val="22"/>
        </w:rPr>
      </w:pPr>
      <w:r w:rsidRPr="00266235">
        <w:rPr>
          <w:szCs w:val="22"/>
        </w:rPr>
        <w:t>Maria Carmen DE SOUZA BRITO</w:t>
      </w:r>
      <w:r w:rsidR="00D012FA">
        <w:rPr>
          <w:szCs w:val="22"/>
        </w:rPr>
        <w:t xml:space="preserve"> (Ms.)</w:t>
      </w:r>
      <w:r w:rsidRPr="00266235">
        <w:rPr>
          <w:szCs w:val="22"/>
        </w:rPr>
        <w:t>, Observer, Zurich</w:t>
      </w:r>
    </w:p>
    <w:p w14:paraId="10DBAFEB" w14:textId="77777777" w:rsidR="00266235" w:rsidRDefault="00266235" w:rsidP="001C4BE4">
      <w:pPr>
        <w:rPr>
          <w:szCs w:val="22"/>
          <w:u w:val="single"/>
        </w:rPr>
      </w:pPr>
    </w:p>
    <w:p w14:paraId="56F88D5B" w14:textId="77777777" w:rsidR="001C4BE4" w:rsidRPr="001C4BE4" w:rsidRDefault="001C4BE4" w:rsidP="001C4BE4">
      <w:pPr>
        <w:rPr>
          <w:szCs w:val="22"/>
          <w:u w:val="single"/>
        </w:rPr>
      </w:pPr>
      <w:r w:rsidRPr="001C4BE4">
        <w:rPr>
          <w:szCs w:val="22"/>
          <w:u w:val="single"/>
        </w:rPr>
        <w:t xml:space="preserve">Australian Centre for Intellectual Property in Agriculture (ACIPA) </w:t>
      </w:r>
    </w:p>
    <w:p w14:paraId="1853C4BC" w14:textId="77806A05" w:rsidR="001C4BE4" w:rsidRPr="001C4BE4" w:rsidRDefault="001C4BE4" w:rsidP="001C4BE4">
      <w:pPr>
        <w:rPr>
          <w:szCs w:val="22"/>
        </w:rPr>
      </w:pPr>
      <w:r w:rsidRPr="001C4BE4">
        <w:rPr>
          <w:szCs w:val="22"/>
        </w:rPr>
        <w:t>Charles LAWSON</w:t>
      </w:r>
      <w:r w:rsidR="00D012FA">
        <w:rPr>
          <w:szCs w:val="22"/>
        </w:rPr>
        <w:t xml:space="preserve"> (Mr.)</w:t>
      </w:r>
      <w:r w:rsidRPr="001C4BE4">
        <w:rPr>
          <w:szCs w:val="22"/>
        </w:rPr>
        <w:t>, Professor, Griffith University, Gold Coast</w:t>
      </w:r>
    </w:p>
    <w:p w14:paraId="60AF309E" w14:textId="77777777" w:rsidR="001C4BE4" w:rsidRPr="001C4BE4" w:rsidRDefault="001C4BE4" w:rsidP="001C4BE4">
      <w:pPr>
        <w:rPr>
          <w:szCs w:val="22"/>
        </w:rPr>
      </w:pPr>
      <w:r w:rsidRPr="001C4BE4">
        <w:rPr>
          <w:szCs w:val="22"/>
          <w:u w:val="single"/>
        </w:rPr>
        <w:t xml:space="preserve">c.lawson@griffith.edu.au </w:t>
      </w:r>
    </w:p>
    <w:p w14:paraId="3BE912D0" w14:textId="77777777" w:rsidR="001C4BE4" w:rsidRPr="001C4BE4" w:rsidRDefault="001C4BE4" w:rsidP="001C4BE4">
      <w:pPr>
        <w:rPr>
          <w:szCs w:val="22"/>
        </w:rPr>
      </w:pPr>
    </w:p>
    <w:p w14:paraId="7783813D" w14:textId="77777777" w:rsidR="001C4BE4" w:rsidRPr="001C4BE4" w:rsidRDefault="001C4BE4" w:rsidP="001C4BE4">
      <w:pPr>
        <w:rPr>
          <w:szCs w:val="22"/>
          <w:u w:val="single"/>
        </w:rPr>
      </w:pPr>
      <w:r w:rsidRPr="001C4BE4">
        <w:rPr>
          <w:szCs w:val="22"/>
          <w:u w:val="single"/>
        </w:rPr>
        <w:t xml:space="preserve">Brazilian Association of Intellectual Property (ABPI) </w:t>
      </w:r>
    </w:p>
    <w:p w14:paraId="0B01EC89" w14:textId="77777777" w:rsidR="001C4BE4" w:rsidRPr="001C4BE4" w:rsidRDefault="001C4BE4" w:rsidP="001C4BE4">
      <w:pPr>
        <w:rPr>
          <w:szCs w:val="22"/>
          <w:lang w:val="es-ES"/>
        </w:rPr>
      </w:pPr>
      <w:r w:rsidRPr="001C4BE4">
        <w:rPr>
          <w:szCs w:val="22"/>
          <w:lang w:val="es-ES"/>
        </w:rPr>
        <w:t xml:space="preserve">Maria Carmen SOUZA BRITO (Ms.), </w:t>
      </w:r>
      <w:proofErr w:type="spellStart"/>
      <w:r w:rsidRPr="001C4BE4">
        <w:rPr>
          <w:szCs w:val="22"/>
          <w:lang w:val="es-ES"/>
        </w:rPr>
        <w:t>President</w:t>
      </w:r>
      <w:proofErr w:type="spellEnd"/>
      <w:r w:rsidRPr="001C4BE4">
        <w:rPr>
          <w:szCs w:val="22"/>
          <w:lang w:val="es-ES"/>
        </w:rPr>
        <w:t>, Rio de Janeiro</w:t>
      </w:r>
    </w:p>
    <w:p w14:paraId="63DC027C" w14:textId="77777777" w:rsidR="001C4BE4" w:rsidRPr="001C4BE4" w:rsidRDefault="001C4BE4" w:rsidP="001C4BE4">
      <w:pPr>
        <w:rPr>
          <w:szCs w:val="22"/>
          <w:lang w:val="es-ES"/>
        </w:rPr>
      </w:pPr>
      <w:r w:rsidRPr="001C4BE4">
        <w:rPr>
          <w:szCs w:val="22"/>
          <w:u w:val="single"/>
          <w:lang w:val="es-ES"/>
        </w:rPr>
        <w:t xml:space="preserve">abpi@abpi.org.br </w:t>
      </w:r>
    </w:p>
    <w:p w14:paraId="0A582A2A" w14:textId="77777777" w:rsidR="001C4BE4" w:rsidRPr="001C4BE4" w:rsidRDefault="001C4BE4" w:rsidP="001C4BE4">
      <w:pPr>
        <w:rPr>
          <w:szCs w:val="22"/>
          <w:lang w:val="es-ES"/>
        </w:rPr>
      </w:pPr>
    </w:p>
    <w:p w14:paraId="73563BEF" w14:textId="77777777" w:rsidR="001C4BE4" w:rsidRPr="001C4BE4" w:rsidRDefault="001C4BE4" w:rsidP="001C4BE4">
      <w:pPr>
        <w:rPr>
          <w:szCs w:val="22"/>
          <w:u w:val="single"/>
          <w:lang w:val="es-ES"/>
        </w:rPr>
      </w:pPr>
      <w:r w:rsidRPr="001C4BE4">
        <w:rPr>
          <w:szCs w:val="22"/>
          <w:u w:val="single"/>
          <w:lang w:val="es-ES"/>
        </w:rPr>
        <w:t xml:space="preserve">Center </w:t>
      </w:r>
      <w:proofErr w:type="spellStart"/>
      <w:r w:rsidRPr="001C4BE4">
        <w:rPr>
          <w:szCs w:val="22"/>
          <w:u w:val="single"/>
          <w:lang w:val="es-ES"/>
        </w:rPr>
        <w:t>for</w:t>
      </w:r>
      <w:proofErr w:type="spellEnd"/>
      <w:r w:rsidRPr="001C4BE4">
        <w:rPr>
          <w:szCs w:val="22"/>
          <w:u w:val="single"/>
          <w:lang w:val="es-ES"/>
        </w:rPr>
        <w:t xml:space="preserve"> </w:t>
      </w:r>
      <w:proofErr w:type="spellStart"/>
      <w:r w:rsidRPr="001C4BE4">
        <w:rPr>
          <w:szCs w:val="22"/>
          <w:u w:val="single"/>
          <w:lang w:val="es-ES"/>
        </w:rPr>
        <w:t>Multidisciplinary</w:t>
      </w:r>
      <w:proofErr w:type="spellEnd"/>
      <w:r w:rsidRPr="001C4BE4">
        <w:rPr>
          <w:szCs w:val="22"/>
          <w:u w:val="single"/>
          <w:lang w:val="es-ES"/>
        </w:rPr>
        <w:t xml:space="preserve"> </w:t>
      </w:r>
      <w:proofErr w:type="spellStart"/>
      <w:r w:rsidRPr="001C4BE4">
        <w:rPr>
          <w:szCs w:val="22"/>
          <w:u w:val="single"/>
          <w:lang w:val="es-ES"/>
        </w:rPr>
        <w:t>Studies</w:t>
      </w:r>
      <w:proofErr w:type="spellEnd"/>
      <w:r w:rsidRPr="001C4BE4">
        <w:rPr>
          <w:szCs w:val="22"/>
          <w:u w:val="single"/>
          <w:lang w:val="es-ES"/>
        </w:rPr>
        <w:t xml:space="preserve"> </w:t>
      </w:r>
      <w:proofErr w:type="spellStart"/>
      <w:r w:rsidRPr="001C4BE4">
        <w:rPr>
          <w:szCs w:val="22"/>
          <w:u w:val="single"/>
          <w:lang w:val="es-ES"/>
        </w:rPr>
        <w:t>Aymara</w:t>
      </w:r>
      <w:proofErr w:type="spellEnd"/>
      <w:r w:rsidRPr="001C4BE4">
        <w:rPr>
          <w:szCs w:val="22"/>
          <w:u w:val="single"/>
          <w:lang w:val="es-ES"/>
        </w:rPr>
        <w:t xml:space="preserve"> (CEM-</w:t>
      </w:r>
      <w:proofErr w:type="spellStart"/>
      <w:r w:rsidRPr="001C4BE4">
        <w:rPr>
          <w:szCs w:val="22"/>
          <w:u w:val="single"/>
          <w:lang w:val="es-ES"/>
        </w:rPr>
        <w:t>Aymara</w:t>
      </w:r>
      <w:proofErr w:type="spellEnd"/>
      <w:r w:rsidRPr="001C4BE4">
        <w:rPr>
          <w:szCs w:val="22"/>
          <w:u w:val="single"/>
          <w:lang w:val="es-ES"/>
        </w:rPr>
        <w:t xml:space="preserve">) </w:t>
      </w:r>
    </w:p>
    <w:p w14:paraId="4E46463F" w14:textId="0D951684" w:rsidR="001C4BE4" w:rsidRPr="00C40D5D" w:rsidRDefault="001C4BE4" w:rsidP="001C4BE4">
      <w:pPr>
        <w:rPr>
          <w:szCs w:val="22"/>
          <w:lang w:val="es-ES"/>
        </w:rPr>
      </w:pPr>
      <w:r w:rsidRPr="00C40D5D">
        <w:rPr>
          <w:szCs w:val="22"/>
          <w:lang w:val="es-ES"/>
        </w:rPr>
        <w:t>Q’apaj CONDE CHOQUE</w:t>
      </w:r>
      <w:r w:rsidR="00D012FA" w:rsidRPr="00C40D5D">
        <w:rPr>
          <w:szCs w:val="22"/>
          <w:lang w:val="es-ES"/>
        </w:rPr>
        <w:t xml:space="preserve"> (Mr.)</w:t>
      </w:r>
      <w:r w:rsidRPr="00C40D5D">
        <w:rPr>
          <w:szCs w:val="22"/>
          <w:lang w:val="es-ES"/>
        </w:rPr>
        <w:t xml:space="preserve">, </w:t>
      </w:r>
      <w:proofErr w:type="spellStart"/>
      <w:r w:rsidRPr="00C40D5D">
        <w:rPr>
          <w:szCs w:val="22"/>
          <w:lang w:val="es-ES"/>
        </w:rPr>
        <w:t>Member</w:t>
      </w:r>
      <w:proofErr w:type="spellEnd"/>
      <w:r w:rsidRPr="00C40D5D">
        <w:rPr>
          <w:szCs w:val="22"/>
          <w:lang w:val="es-ES"/>
        </w:rPr>
        <w:t>, La Paz</w:t>
      </w:r>
    </w:p>
    <w:p w14:paraId="7901B3A1" w14:textId="77777777" w:rsidR="001C4BE4" w:rsidRPr="00C40D5D" w:rsidRDefault="001C4BE4" w:rsidP="001C4BE4">
      <w:pPr>
        <w:rPr>
          <w:szCs w:val="22"/>
          <w:lang w:val="es-ES"/>
        </w:rPr>
      </w:pPr>
    </w:p>
    <w:p w14:paraId="51551209" w14:textId="77777777" w:rsidR="001C4BE4" w:rsidRPr="001C4BE4" w:rsidRDefault="001C4BE4" w:rsidP="001C4BE4">
      <w:pPr>
        <w:rPr>
          <w:szCs w:val="22"/>
          <w:u w:val="single"/>
          <w:lang w:val="fr-FR"/>
        </w:rPr>
      </w:pPr>
      <w:r w:rsidRPr="001C4BE4">
        <w:rPr>
          <w:szCs w:val="22"/>
          <w:u w:val="single"/>
          <w:lang w:val="fr-FR"/>
        </w:rPr>
        <w:t>Centre de documentation, de recherche et d’information des peuples autochtones (</w:t>
      </w:r>
      <w:proofErr w:type="spellStart"/>
      <w:r w:rsidRPr="001C4BE4">
        <w:rPr>
          <w:szCs w:val="22"/>
          <w:u w:val="single"/>
          <w:lang w:val="fr-FR"/>
        </w:rPr>
        <w:t>DoCip</w:t>
      </w:r>
      <w:proofErr w:type="spellEnd"/>
      <w:r w:rsidRPr="001C4BE4">
        <w:rPr>
          <w:szCs w:val="22"/>
          <w:u w:val="single"/>
          <w:lang w:val="fr-FR"/>
        </w:rPr>
        <w:t>)/</w:t>
      </w:r>
      <w:proofErr w:type="spellStart"/>
      <w:r w:rsidRPr="001C4BE4">
        <w:rPr>
          <w:szCs w:val="22"/>
          <w:u w:val="single"/>
          <w:lang w:val="fr-FR"/>
        </w:rPr>
        <w:t>Indigenous</w:t>
      </w:r>
      <w:proofErr w:type="spellEnd"/>
      <w:r w:rsidRPr="001C4BE4">
        <w:rPr>
          <w:szCs w:val="22"/>
          <w:u w:val="single"/>
          <w:lang w:val="fr-FR"/>
        </w:rPr>
        <w:t xml:space="preserve"> Peoples’ Center for Documentation, </w:t>
      </w:r>
      <w:proofErr w:type="spellStart"/>
      <w:r w:rsidRPr="001C4BE4">
        <w:rPr>
          <w:szCs w:val="22"/>
          <w:u w:val="single"/>
          <w:lang w:val="fr-FR"/>
        </w:rPr>
        <w:t>Research</w:t>
      </w:r>
      <w:proofErr w:type="spellEnd"/>
      <w:r w:rsidRPr="001C4BE4">
        <w:rPr>
          <w:szCs w:val="22"/>
          <w:u w:val="single"/>
          <w:lang w:val="fr-FR"/>
        </w:rPr>
        <w:t xml:space="preserve"> and Information (</w:t>
      </w:r>
      <w:proofErr w:type="spellStart"/>
      <w:r w:rsidRPr="001C4BE4">
        <w:rPr>
          <w:szCs w:val="22"/>
          <w:u w:val="single"/>
          <w:lang w:val="fr-FR"/>
        </w:rPr>
        <w:t>DoCip</w:t>
      </w:r>
      <w:proofErr w:type="spellEnd"/>
      <w:r w:rsidRPr="001C4BE4">
        <w:rPr>
          <w:szCs w:val="22"/>
          <w:u w:val="single"/>
          <w:lang w:val="fr-FR"/>
        </w:rPr>
        <w:t xml:space="preserve">) </w:t>
      </w:r>
    </w:p>
    <w:p w14:paraId="47A1C87F" w14:textId="77777777" w:rsidR="001C4BE4" w:rsidRPr="001C4BE4" w:rsidRDefault="001C4BE4" w:rsidP="001C4BE4">
      <w:pPr>
        <w:rPr>
          <w:szCs w:val="22"/>
        </w:rPr>
      </w:pPr>
      <w:r w:rsidRPr="001C4BE4">
        <w:rPr>
          <w:szCs w:val="22"/>
        </w:rPr>
        <w:t>Karen PFEFFERLI (Ms.), Technical Secretariat Coordinator, Geneva</w:t>
      </w:r>
    </w:p>
    <w:p w14:paraId="24959930" w14:textId="77777777" w:rsidR="001C4BE4" w:rsidRPr="00C40D5D" w:rsidRDefault="001C4BE4" w:rsidP="001C4BE4">
      <w:pPr>
        <w:rPr>
          <w:szCs w:val="22"/>
        </w:rPr>
      </w:pPr>
      <w:r w:rsidRPr="00C40D5D">
        <w:rPr>
          <w:szCs w:val="22"/>
          <w:u w:val="single"/>
        </w:rPr>
        <w:t xml:space="preserve">karen@docip.org </w:t>
      </w:r>
    </w:p>
    <w:p w14:paraId="1A22933E" w14:textId="77777777" w:rsidR="001C4BE4" w:rsidRPr="00C40D5D" w:rsidRDefault="001C4BE4" w:rsidP="001C4BE4">
      <w:pPr>
        <w:rPr>
          <w:szCs w:val="22"/>
        </w:rPr>
      </w:pPr>
      <w:r w:rsidRPr="00C40D5D">
        <w:rPr>
          <w:szCs w:val="22"/>
        </w:rPr>
        <w:t>Maria BAYLE (Ms.), Interpreter, Geneva</w:t>
      </w:r>
    </w:p>
    <w:p w14:paraId="3B776BF8" w14:textId="6CEB68F8" w:rsidR="003B5F75" w:rsidRPr="00C40D5D" w:rsidRDefault="003B5F75" w:rsidP="003B5F75">
      <w:pPr>
        <w:rPr>
          <w:szCs w:val="22"/>
        </w:rPr>
      </w:pPr>
      <w:r w:rsidRPr="00C40D5D">
        <w:rPr>
          <w:szCs w:val="22"/>
        </w:rPr>
        <w:t>Olivier BIASI</w:t>
      </w:r>
      <w:r w:rsidR="00D012FA" w:rsidRPr="00C40D5D">
        <w:rPr>
          <w:szCs w:val="22"/>
        </w:rPr>
        <w:t xml:space="preserve"> </w:t>
      </w:r>
      <w:r w:rsidR="00D012FA">
        <w:rPr>
          <w:szCs w:val="22"/>
        </w:rPr>
        <w:t>(Mr.)</w:t>
      </w:r>
      <w:r w:rsidRPr="00C40D5D">
        <w:rPr>
          <w:szCs w:val="22"/>
        </w:rPr>
        <w:t>, Interpreter, Geneva</w:t>
      </w:r>
    </w:p>
    <w:p w14:paraId="6F75D6A4" w14:textId="77777777" w:rsidR="001C4BE4" w:rsidRPr="001C4BE4" w:rsidRDefault="001C4BE4" w:rsidP="001C4BE4">
      <w:pPr>
        <w:rPr>
          <w:szCs w:val="22"/>
        </w:rPr>
      </w:pPr>
      <w:proofErr w:type="spellStart"/>
      <w:r w:rsidRPr="001C4BE4">
        <w:rPr>
          <w:szCs w:val="22"/>
        </w:rPr>
        <w:t>Elodie</w:t>
      </w:r>
      <w:proofErr w:type="spellEnd"/>
      <w:r w:rsidRPr="001C4BE4">
        <w:rPr>
          <w:szCs w:val="22"/>
        </w:rPr>
        <w:t xml:space="preserve"> FLACHAIRE (Ms.), Interpreter, Geneva</w:t>
      </w:r>
    </w:p>
    <w:p w14:paraId="16B851B5" w14:textId="77777777" w:rsidR="001C4BE4" w:rsidRPr="001C4BE4" w:rsidRDefault="001C4BE4" w:rsidP="001C4BE4">
      <w:pPr>
        <w:rPr>
          <w:szCs w:val="22"/>
        </w:rPr>
      </w:pPr>
      <w:r w:rsidRPr="001C4BE4">
        <w:rPr>
          <w:szCs w:val="22"/>
        </w:rPr>
        <w:t>Laurence MARTINOT (Ms.), Interpreter, Geneva</w:t>
      </w:r>
    </w:p>
    <w:p w14:paraId="3823579C" w14:textId="77777777" w:rsidR="001C4BE4" w:rsidRPr="001C4BE4" w:rsidRDefault="001C4BE4" w:rsidP="001C4BE4">
      <w:pPr>
        <w:rPr>
          <w:szCs w:val="22"/>
        </w:rPr>
      </w:pPr>
      <w:r w:rsidRPr="001C4BE4">
        <w:rPr>
          <w:szCs w:val="22"/>
        </w:rPr>
        <w:t>Pamela VALDÉS (Ms.), Interpreter, Geneva</w:t>
      </w:r>
    </w:p>
    <w:p w14:paraId="3EE4C0C2" w14:textId="77777777" w:rsidR="001C4BE4" w:rsidRPr="00737182" w:rsidRDefault="001C4BE4" w:rsidP="001C4BE4">
      <w:pPr>
        <w:rPr>
          <w:szCs w:val="22"/>
        </w:rPr>
      </w:pPr>
      <w:r w:rsidRPr="00737182">
        <w:rPr>
          <w:szCs w:val="22"/>
        </w:rPr>
        <w:t>Claire MORETTO (Ms.), Publications Manager, Geneva</w:t>
      </w:r>
    </w:p>
    <w:p w14:paraId="68C39815" w14:textId="77777777" w:rsidR="001C4BE4" w:rsidRPr="00737182" w:rsidRDefault="001C4BE4" w:rsidP="001C4BE4">
      <w:pPr>
        <w:rPr>
          <w:szCs w:val="22"/>
        </w:rPr>
      </w:pPr>
      <w:r w:rsidRPr="00737182">
        <w:rPr>
          <w:szCs w:val="22"/>
          <w:u w:val="single"/>
        </w:rPr>
        <w:t xml:space="preserve">claire@docip.org </w:t>
      </w:r>
    </w:p>
    <w:p w14:paraId="32AE5404" w14:textId="77777777" w:rsidR="001C4BE4" w:rsidRPr="00737182" w:rsidRDefault="001C4BE4" w:rsidP="001C4BE4">
      <w:pPr>
        <w:rPr>
          <w:szCs w:val="22"/>
        </w:rPr>
      </w:pPr>
      <w:proofErr w:type="spellStart"/>
      <w:r w:rsidRPr="00737182">
        <w:rPr>
          <w:szCs w:val="22"/>
        </w:rPr>
        <w:t>Pierrette</w:t>
      </w:r>
      <w:proofErr w:type="spellEnd"/>
      <w:r w:rsidRPr="00737182">
        <w:rPr>
          <w:szCs w:val="22"/>
        </w:rPr>
        <w:t xml:space="preserve"> BIRRAUX (Ms.), Member, Geneva</w:t>
      </w:r>
    </w:p>
    <w:p w14:paraId="64D9F6FE" w14:textId="77777777" w:rsidR="003B5F75" w:rsidRPr="00737182" w:rsidRDefault="003B5F75" w:rsidP="003B5F75">
      <w:pPr>
        <w:rPr>
          <w:szCs w:val="22"/>
        </w:rPr>
      </w:pPr>
      <w:r w:rsidRPr="00737182">
        <w:rPr>
          <w:szCs w:val="22"/>
        </w:rPr>
        <w:t>Zuleika ROMERO (Ms.), Intern, Geneva</w:t>
      </w:r>
    </w:p>
    <w:p w14:paraId="18E54A70" w14:textId="77777777" w:rsidR="003B5F75" w:rsidRPr="00737182" w:rsidRDefault="003B5F75" w:rsidP="003B5F75">
      <w:pPr>
        <w:rPr>
          <w:szCs w:val="22"/>
          <w:lang w:val="fr-FR"/>
        </w:rPr>
      </w:pPr>
      <w:r w:rsidRPr="00737182">
        <w:rPr>
          <w:szCs w:val="22"/>
          <w:u w:val="single"/>
          <w:lang w:val="fr-FR"/>
        </w:rPr>
        <w:t xml:space="preserve">intern.st@docip.org </w:t>
      </w:r>
    </w:p>
    <w:p w14:paraId="2F656E33" w14:textId="77777777" w:rsidR="003B5F75" w:rsidRPr="00737182" w:rsidRDefault="003B5F75" w:rsidP="001C4BE4">
      <w:pPr>
        <w:rPr>
          <w:szCs w:val="22"/>
          <w:u w:val="single"/>
          <w:lang w:val="fr-FR"/>
        </w:rPr>
      </w:pPr>
    </w:p>
    <w:p w14:paraId="61416741" w14:textId="77777777" w:rsidR="001C4BE4" w:rsidRPr="001C4BE4" w:rsidRDefault="001C4BE4" w:rsidP="001C4BE4">
      <w:pPr>
        <w:rPr>
          <w:szCs w:val="22"/>
          <w:u w:val="single"/>
          <w:lang w:val="fr-FR"/>
        </w:rPr>
      </w:pPr>
      <w:r w:rsidRPr="001C4BE4">
        <w:rPr>
          <w:szCs w:val="22"/>
          <w:u w:val="single"/>
          <w:lang w:val="fr-FR"/>
        </w:rPr>
        <w:t xml:space="preserve">Centre du commerce international pour le développement (CECIDE)/International Trade Center for Development (CECIDE) </w:t>
      </w:r>
    </w:p>
    <w:p w14:paraId="25230274" w14:textId="265AB581" w:rsidR="001C4BE4" w:rsidRPr="001C4BE4" w:rsidRDefault="001C4BE4" w:rsidP="001C4BE4">
      <w:pPr>
        <w:rPr>
          <w:szCs w:val="22"/>
          <w:lang w:val="fr-FR"/>
        </w:rPr>
      </w:pPr>
      <w:proofErr w:type="spellStart"/>
      <w:r w:rsidRPr="001C4BE4">
        <w:rPr>
          <w:szCs w:val="22"/>
          <w:lang w:val="fr-FR"/>
        </w:rPr>
        <w:t>Biro</w:t>
      </w:r>
      <w:proofErr w:type="spellEnd"/>
      <w:r w:rsidRPr="001C4BE4">
        <w:rPr>
          <w:szCs w:val="22"/>
          <w:lang w:val="fr-FR"/>
        </w:rPr>
        <w:t xml:space="preserve"> DIAWARA</w:t>
      </w:r>
      <w:r w:rsidR="00D012FA">
        <w:rPr>
          <w:szCs w:val="22"/>
          <w:lang w:val="fr-FR"/>
        </w:rPr>
        <w:t xml:space="preserve"> </w:t>
      </w:r>
      <w:r w:rsidR="00D012FA" w:rsidRPr="00045641">
        <w:rPr>
          <w:szCs w:val="22"/>
          <w:lang w:val="fr-FR"/>
        </w:rPr>
        <w:t>(M</w:t>
      </w:r>
      <w:r w:rsidR="00D012FA" w:rsidRPr="00C40D5D">
        <w:rPr>
          <w:szCs w:val="22"/>
          <w:lang w:val="fr-FR"/>
        </w:rPr>
        <w:t>.)</w:t>
      </w:r>
      <w:r w:rsidRPr="001C4BE4">
        <w:rPr>
          <w:szCs w:val="22"/>
          <w:lang w:val="fr-FR"/>
        </w:rPr>
        <w:t>, coordinateur du programme, Genève</w:t>
      </w:r>
    </w:p>
    <w:p w14:paraId="4B21EDD0" w14:textId="77777777" w:rsidR="001C4BE4" w:rsidRPr="001C4BE4" w:rsidRDefault="001C4BE4" w:rsidP="001C4BE4">
      <w:pPr>
        <w:rPr>
          <w:szCs w:val="22"/>
          <w:lang w:val="fr-FR"/>
        </w:rPr>
      </w:pPr>
    </w:p>
    <w:p w14:paraId="6FAD1DF3" w14:textId="77777777" w:rsidR="001C4BE4" w:rsidRPr="001C4BE4" w:rsidRDefault="001C4BE4" w:rsidP="001C4BE4">
      <w:pPr>
        <w:rPr>
          <w:szCs w:val="22"/>
          <w:u w:val="single"/>
        </w:rPr>
      </w:pPr>
      <w:r w:rsidRPr="001C4BE4">
        <w:rPr>
          <w:szCs w:val="22"/>
          <w:u w:val="single"/>
        </w:rPr>
        <w:t xml:space="preserve">Centre for International Governance Innovation (CIGI) </w:t>
      </w:r>
    </w:p>
    <w:p w14:paraId="5F62E7DD" w14:textId="77777777" w:rsidR="001C4BE4" w:rsidRPr="001C4BE4" w:rsidRDefault="001C4BE4" w:rsidP="001C4BE4">
      <w:pPr>
        <w:rPr>
          <w:szCs w:val="22"/>
        </w:rPr>
      </w:pPr>
      <w:proofErr w:type="spellStart"/>
      <w:r w:rsidRPr="001C4BE4">
        <w:rPr>
          <w:szCs w:val="22"/>
        </w:rPr>
        <w:t>Oonagh</w:t>
      </w:r>
      <w:proofErr w:type="spellEnd"/>
      <w:r w:rsidRPr="001C4BE4">
        <w:rPr>
          <w:szCs w:val="22"/>
        </w:rPr>
        <w:t xml:space="preserve"> FITZGERALD (Ms.), Director, International Law Research Program, Waterloo</w:t>
      </w:r>
    </w:p>
    <w:p w14:paraId="7065FB66" w14:textId="77777777" w:rsidR="001C4BE4" w:rsidRPr="001C4BE4" w:rsidRDefault="001C4BE4" w:rsidP="001C4BE4">
      <w:pPr>
        <w:rPr>
          <w:szCs w:val="22"/>
        </w:rPr>
      </w:pPr>
      <w:r w:rsidRPr="001C4BE4">
        <w:rPr>
          <w:szCs w:val="22"/>
          <w:u w:val="single"/>
        </w:rPr>
        <w:t xml:space="preserve">ofitzgerald@cigionline.org </w:t>
      </w:r>
    </w:p>
    <w:p w14:paraId="136A6A66" w14:textId="2FB3596D" w:rsidR="001C4BE4" w:rsidRPr="001C4BE4" w:rsidRDefault="001C4BE4" w:rsidP="001C4BE4">
      <w:pPr>
        <w:rPr>
          <w:szCs w:val="22"/>
        </w:rPr>
      </w:pPr>
      <w:proofErr w:type="spellStart"/>
      <w:r w:rsidRPr="001C4BE4">
        <w:rPr>
          <w:szCs w:val="22"/>
        </w:rPr>
        <w:t>Bassem</w:t>
      </w:r>
      <w:proofErr w:type="spellEnd"/>
      <w:r w:rsidRPr="001C4BE4">
        <w:rPr>
          <w:szCs w:val="22"/>
        </w:rPr>
        <w:t xml:space="preserve"> AWAD</w:t>
      </w:r>
      <w:r w:rsidR="00D012FA">
        <w:rPr>
          <w:szCs w:val="22"/>
        </w:rPr>
        <w:t xml:space="preserve"> (Mr.)</w:t>
      </w:r>
      <w:r w:rsidRPr="001C4BE4">
        <w:rPr>
          <w:szCs w:val="22"/>
        </w:rPr>
        <w:t>, Deputy Director, Intellectual Property Law and Innovation, Waterloo</w:t>
      </w:r>
    </w:p>
    <w:p w14:paraId="748085B8" w14:textId="77777777" w:rsidR="001C4BE4" w:rsidRPr="001C4BE4" w:rsidRDefault="001C4BE4" w:rsidP="001C4BE4">
      <w:pPr>
        <w:rPr>
          <w:szCs w:val="22"/>
        </w:rPr>
      </w:pPr>
      <w:r w:rsidRPr="001C4BE4">
        <w:rPr>
          <w:szCs w:val="22"/>
          <w:u w:val="single"/>
        </w:rPr>
        <w:t xml:space="preserve">bawad@cigionline.org </w:t>
      </w:r>
    </w:p>
    <w:p w14:paraId="0196ECAB" w14:textId="0C03FC33" w:rsidR="001C4BE4" w:rsidRPr="001C4BE4" w:rsidRDefault="001C4BE4" w:rsidP="001C4BE4">
      <w:pPr>
        <w:rPr>
          <w:szCs w:val="22"/>
        </w:rPr>
      </w:pPr>
      <w:proofErr w:type="spellStart"/>
      <w:r w:rsidRPr="001C4BE4">
        <w:rPr>
          <w:szCs w:val="22"/>
        </w:rPr>
        <w:t>Oluwatobiloba</w:t>
      </w:r>
      <w:proofErr w:type="spellEnd"/>
      <w:r w:rsidRPr="001C4BE4">
        <w:rPr>
          <w:szCs w:val="22"/>
        </w:rPr>
        <w:t xml:space="preserve"> MOODY</w:t>
      </w:r>
      <w:r w:rsidR="00D012FA">
        <w:rPr>
          <w:szCs w:val="22"/>
        </w:rPr>
        <w:t xml:space="preserve"> (Mr.)</w:t>
      </w:r>
      <w:r w:rsidRPr="001C4BE4">
        <w:rPr>
          <w:szCs w:val="22"/>
        </w:rPr>
        <w:t>, CIGI Post-Doctoral Fellow, Waterloo</w:t>
      </w:r>
    </w:p>
    <w:p w14:paraId="16020350" w14:textId="77777777" w:rsidR="001C4BE4" w:rsidRPr="001C4BE4" w:rsidRDefault="001C4BE4" w:rsidP="001C4BE4">
      <w:pPr>
        <w:rPr>
          <w:szCs w:val="22"/>
        </w:rPr>
      </w:pPr>
      <w:r w:rsidRPr="001C4BE4">
        <w:rPr>
          <w:szCs w:val="22"/>
          <w:u w:val="single"/>
        </w:rPr>
        <w:t xml:space="preserve">omoody@cigionline.org </w:t>
      </w:r>
    </w:p>
    <w:p w14:paraId="6645C776" w14:textId="77777777" w:rsidR="001C4BE4" w:rsidRPr="001C4BE4" w:rsidRDefault="001C4BE4" w:rsidP="001C4BE4">
      <w:pPr>
        <w:rPr>
          <w:szCs w:val="22"/>
        </w:rPr>
      </w:pPr>
    </w:p>
    <w:p w14:paraId="1E01F670" w14:textId="77777777" w:rsidR="001C4BE4" w:rsidRPr="001C4BE4" w:rsidRDefault="001C4BE4" w:rsidP="001C4BE4">
      <w:pPr>
        <w:rPr>
          <w:szCs w:val="22"/>
          <w:u w:val="single"/>
        </w:rPr>
      </w:pPr>
      <w:r w:rsidRPr="001C4BE4">
        <w:rPr>
          <w:szCs w:val="22"/>
          <w:u w:val="single"/>
        </w:rPr>
        <w:t xml:space="preserve">Centre for Support of Indigenous Peoples of the North/Russian Indigenous Training Centre (CSIPN/RITC) </w:t>
      </w:r>
    </w:p>
    <w:p w14:paraId="4C57EC85" w14:textId="77777777" w:rsidR="001C4BE4" w:rsidRPr="001C4BE4" w:rsidRDefault="001C4BE4" w:rsidP="001C4BE4">
      <w:pPr>
        <w:rPr>
          <w:szCs w:val="22"/>
        </w:rPr>
      </w:pPr>
      <w:proofErr w:type="spellStart"/>
      <w:r w:rsidRPr="001C4BE4">
        <w:rPr>
          <w:szCs w:val="22"/>
        </w:rPr>
        <w:t>Polina</w:t>
      </w:r>
      <w:proofErr w:type="spellEnd"/>
      <w:r w:rsidRPr="001C4BE4">
        <w:rPr>
          <w:szCs w:val="22"/>
        </w:rPr>
        <w:t xml:space="preserve"> SHULBAEVA (Ms.), Member, Tomsk</w:t>
      </w:r>
    </w:p>
    <w:p w14:paraId="64198F3E" w14:textId="77777777" w:rsidR="001C4BE4" w:rsidRPr="001C4BE4" w:rsidRDefault="001C4BE4" w:rsidP="001C4BE4">
      <w:pPr>
        <w:rPr>
          <w:szCs w:val="22"/>
        </w:rPr>
      </w:pPr>
      <w:r w:rsidRPr="001C4BE4">
        <w:rPr>
          <w:szCs w:val="22"/>
          <w:u w:val="single"/>
        </w:rPr>
        <w:t xml:space="preserve">pshulbaeva@gmail.com </w:t>
      </w:r>
    </w:p>
    <w:p w14:paraId="43993110" w14:textId="77777777" w:rsidR="001C4BE4" w:rsidRPr="001C4BE4" w:rsidRDefault="001C4BE4" w:rsidP="001C4BE4">
      <w:pPr>
        <w:rPr>
          <w:szCs w:val="22"/>
        </w:rPr>
      </w:pPr>
    </w:p>
    <w:p w14:paraId="66FC1019" w14:textId="77777777" w:rsidR="001C4BE4" w:rsidRPr="001C4BE4" w:rsidRDefault="001C4BE4" w:rsidP="001C4BE4">
      <w:pPr>
        <w:rPr>
          <w:szCs w:val="22"/>
          <w:u w:val="single"/>
        </w:rPr>
      </w:pPr>
      <w:r w:rsidRPr="001C4BE4">
        <w:rPr>
          <w:szCs w:val="22"/>
          <w:u w:val="single"/>
        </w:rPr>
        <w:t xml:space="preserve">Civil Society Coalition (CSC) </w:t>
      </w:r>
    </w:p>
    <w:p w14:paraId="6F026E63" w14:textId="5D73CC17" w:rsidR="001C4BE4" w:rsidRPr="001C4BE4" w:rsidRDefault="001C4BE4" w:rsidP="001C4BE4">
      <w:pPr>
        <w:rPr>
          <w:szCs w:val="22"/>
        </w:rPr>
      </w:pPr>
      <w:r w:rsidRPr="001C4BE4">
        <w:rPr>
          <w:szCs w:val="22"/>
        </w:rPr>
        <w:t>Marc PERLMAN</w:t>
      </w:r>
      <w:r w:rsidR="00D012FA">
        <w:rPr>
          <w:szCs w:val="22"/>
        </w:rPr>
        <w:t xml:space="preserve"> (Mr.)</w:t>
      </w:r>
      <w:r w:rsidRPr="001C4BE4">
        <w:rPr>
          <w:szCs w:val="22"/>
        </w:rPr>
        <w:t>, Fellow, Providence</w:t>
      </w:r>
    </w:p>
    <w:p w14:paraId="4B51CDF7" w14:textId="77777777" w:rsidR="001C4BE4" w:rsidRPr="001C4BE4" w:rsidRDefault="001C4BE4" w:rsidP="001C4BE4">
      <w:pPr>
        <w:rPr>
          <w:szCs w:val="22"/>
          <w:u w:val="single"/>
        </w:rPr>
      </w:pPr>
    </w:p>
    <w:p w14:paraId="1C575C44" w14:textId="77777777" w:rsidR="001C4BE4" w:rsidRPr="001C4BE4" w:rsidRDefault="001C4BE4" w:rsidP="001C4BE4">
      <w:pPr>
        <w:rPr>
          <w:szCs w:val="22"/>
          <w:u w:val="single"/>
        </w:rPr>
      </w:pPr>
      <w:proofErr w:type="spellStart"/>
      <w:r w:rsidRPr="001C4BE4">
        <w:rPr>
          <w:szCs w:val="22"/>
          <w:u w:val="single"/>
        </w:rPr>
        <w:t>CropLife</w:t>
      </w:r>
      <w:proofErr w:type="spellEnd"/>
      <w:r w:rsidRPr="001C4BE4">
        <w:rPr>
          <w:szCs w:val="22"/>
          <w:u w:val="single"/>
        </w:rPr>
        <w:t xml:space="preserve"> International/</w:t>
      </w:r>
      <w:proofErr w:type="spellStart"/>
      <w:r w:rsidRPr="001C4BE4">
        <w:rPr>
          <w:szCs w:val="22"/>
          <w:u w:val="single"/>
        </w:rPr>
        <w:t>CropLife</w:t>
      </w:r>
      <w:proofErr w:type="spellEnd"/>
      <w:r w:rsidRPr="001C4BE4">
        <w:rPr>
          <w:szCs w:val="22"/>
          <w:u w:val="single"/>
        </w:rPr>
        <w:t xml:space="preserve"> International (CROPLIFE) </w:t>
      </w:r>
    </w:p>
    <w:p w14:paraId="5E7B66E1" w14:textId="77777777" w:rsidR="001C4BE4" w:rsidRPr="001C4BE4" w:rsidRDefault="001C4BE4" w:rsidP="001C4BE4">
      <w:pPr>
        <w:rPr>
          <w:szCs w:val="22"/>
        </w:rPr>
      </w:pPr>
      <w:r w:rsidRPr="001C4BE4">
        <w:rPr>
          <w:szCs w:val="22"/>
        </w:rPr>
        <w:t>Tatjana SACHSE (Ms.), Legal Adviser, Geneva</w:t>
      </w:r>
    </w:p>
    <w:p w14:paraId="3F26BF33" w14:textId="77777777" w:rsidR="001C4BE4" w:rsidRPr="001C4BE4" w:rsidRDefault="001C4BE4" w:rsidP="001C4BE4">
      <w:pPr>
        <w:rPr>
          <w:szCs w:val="22"/>
          <w:u w:val="single"/>
        </w:rPr>
      </w:pPr>
    </w:p>
    <w:p w14:paraId="4C81CBDD" w14:textId="77777777" w:rsidR="001C4BE4" w:rsidRPr="001C4BE4" w:rsidRDefault="001C4BE4" w:rsidP="001C4BE4">
      <w:pPr>
        <w:rPr>
          <w:szCs w:val="22"/>
          <w:u w:val="single"/>
          <w:lang w:val="es-ES"/>
        </w:rPr>
      </w:pPr>
      <w:r w:rsidRPr="001C4BE4">
        <w:rPr>
          <w:szCs w:val="22"/>
          <w:u w:val="single"/>
          <w:lang w:val="es-ES"/>
        </w:rPr>
        <w:t xml:space="preserve">Comisión Jurídica para el Autodesarrollo de los Pueblos Originarios Andinos (CAPAJ) </w:t>
      </w:r>
    </w:p>
    <w:p w14:paraId="2A76A9F0" w14:textId="77777777" w:rsidR="001C4BE4" w:rsidRPr="001C4BE4" w:rsidRDefault="001C4BE4" w:rsidP="001C4BE4">
      <w:pPr>
        <w:rPr>
          <w:szCs w:val="22"/>
          <w:lang w:val="es-ES"/>
        </w:rPr>
      </w:pPr>
      <w:r w:rsidRPr="001C4BE4">
        <w:rPr>
          <w:szCs w:val="22"/>
          <w:lang w:val="es-ES"/>
        </w:rPr>
        <w:t>Rosario LUQUE GIL (Sra.), Asesora, Guayaquil</w:t>
      </w:r>
    </w:p>
    <w:p w14:paraId="25622F0F" w14:textId="77777777" w:rsidR="001C4BE4" w:rsidRPr="001C4BE4" w:rsidRDefault="001C4BE4" w:rsidP="001C4BE4">
      <w:pPr>
        <w:rPr>
          <w:szCs w:val="22"/>
          <w:u w:val="single"/>
        </w:rPr>
      </w:pPr>
      <w:r w:rsidRPr="001C4BE4">
        <w:rPr>
          <w:szCs w:val="22"/>
          <w:u w:val="single"/>
        </w:rPr>
        <w:t xml:space="preserve">CS Consulting </w:t>
      </w:r>
    </w:p>
    <w:p w14:paraId="42B4283E" w14:textId="77777777" w:rsidR="001C4BE4" w:rsidRPr="001C4BE4" w:rsidRDefault="001C4BE4" w:rsidP="001C4BE4">
      <w:pPr>
        <w:rPr>
          <w:szCs w:val="22"/>
        </w:rPr>
      </w:pPr>
      <w:r w:rsidRPr="001C4BE4">
        <w:rPr>
          <w:szCs w:val="22"/>
        </w:rPr>
        <w:t>Susanna CHUNG (Ms.), Director, Ankara</w:t>
      </w:r>
    </w:p>
    <w:p w14:paraId="1478AB8B" w14:textId="77777777" w:rsidR="001C4BE4" w:rsidRPr="001C4BE4" w:rsidRDefault="001C4BE4" w:rsidP="001C4BE4">
      <w:pPr>
        <w:rPr>
          <w:szCs w:val="22"/>
        </w:rPr>
      </w:pPr>
    </w:p>
    <w:p w14:paraId="74599EE0" w14:textId="77777777" w:rsidR="001C4BE4" w:rsidRPr="001C4BE4" w:rsidRDefault="001C4BE4" w:rsidP="001C4BE4">
      <w:pPr>
        <w:rPr>
          <w:szCs w:val="22"/>
          <w:u w:val="single"/>
          <w:lang w:val="fr-FR"/>
        </w:rPr>
      </w:pPr>
      <w:r w:rsidRPr="001C4BE4">
        <w:rPr>
          <w:szCs w:val="22"/>
          <w:u w:val="single"/>
          <w:lang w:val="fr-FR"/>
        </w:rPr>
        <w:t xml:space="preserve">Fédération internationale de la vidéo (IFV)/International Video </w:t>
      </w:r>
      <w:proofErr w:type="spellStart"/>
      <w:r w:rsidRPr="001C4BE4">
        <w:rPr>
          <w:szCs w:val="22"/>
          <w:u w:val="single"/>
          <w:lang w:val="fr-FR"/>
        </w:rPr>
        <w:t>Federation</w:t>
      </w:r>
      <w:proofErr w:type="spellEnd"/>
      <w:r w:rsidRPr="001C4BE4">
        <w:rPr>
          <w:szCs w:val="22"/>
          <w:u w:val="single"/>
          <w:lang w:val="fr-FR"/>
        </w:rPr>
        <w:t xml:space="preserve"> (IVF) </w:t>
      </w:r>
    </w:p>
    <w:p w14:paraId="2D30FE19" w14:textId="6F6CD9B3" w:rsidR="001C4BE4" w:rsidRPr="001C4BE4" w:rsidRDefault="001C4BE4" w:rsidP="001C4BE4">
      <w:pPr>
        <w:rPr>
          <w:szCs w:val="22"/>
        </w:rPr>
      </w:pPr>
      <w:proofErr w:type="spellStart"/>
      <w:r w:rsidRPr="001C4BE4">
        <w:rPr>
          <w:szCs w:val="22"/>
        </w:rPr>
        <w:t>Benoît</w:t>
      </w:r>
      <w:proofErr w:type="spellEnd"/>
      <w:r w:rsidRPr="001C4BE4">
        <w:rPr>
          <w:szCs w:val="22"/>
        </w:rPr>
        <w:t xml:space="preserve"> MÜLLER</w:t>
      </w:r>
      <w:r w:rsidR="00D012FA">
        <w:rPr>
          <w:szCs w:val="22"/>
        </w:rPr>
        <w:t xml:space="preserve"> (Mr.)</w:t>
      </w:r>
      <w:r w:rsidRPr="001C4BE4">
        <w:rPr>
          <w:szCs w:val="22"/>
        </w:rPr>
        <w:t>, Policy Adviser, Brussels</w:t>
      </w:r>
    </w:p>
    <w:p w14:paraId="4B90CF56" w14:textId="77777777" w:rsidR="001C4BE4" w:rsidRPr="00C40D5D" w:rsidRDefault="001C4BE4" w:rsidP="001C4BE4">
      <w:pPr>
        <w:rPr>
          <w:szCs w:val="22"/>
          <w:lang w:val="fr-FR"/>
        </w:rPr>
      </w:pPr>
      <w:r w:rsidRPr="00C40D5D">
        <w:rPr>
          <w:szCs w:val="22"/>
          <w:lang w:val="fr-FR"/>
        </w:rPr>
        <w:t xml:space="preserve">Marie ARBACHE (Ms.), </w:t>
      </w:r>
      <w:proofErr w:type="spellStart"/>
      <w:r w:rsidRPr="00C40D5D">
        <w:rPr>
          <w:szCs w:val="22"/>
          <w:lang w:val="fr-FR"/>
        </w:rPr>
        <w:t>Intern</w:t>
      </w:r>
      <w:proofErr w:type="spellEnd"/>
      <w:r w:rsidRPr="00C40D5D">
        <w:rPr>
          <w:szCs w:val="22"/>
          <w:lang w:val="fr-FR"/>
        </w:rPr>
        <w:t>, Geneva</w:t>
      </w:r>
    </w:p>
    <w:p w14:paraId="0D6EF04F" w14:textId="77777777" w:rsidR="001C4BE4" w:rsidRPr="00C40D5D" w:rsidRDefault="001C4BE4" w:rsidP="001C4BE4">
      <w:pPr>
        <w:rPr>
          <w:szCs w:val="22"/>
          <w:lang w:val="fr-FR"/>
        </w:rPr>
      </w:pPr>
    </w:p>
    <w:p w14:paraId="7405C6E9" w14:textId="77777777" w:rsidR="001C4BE4" w:rsidRPr="001C4BE4" w:rsidRDefault="001C4BE4" w:rsidP="001C4BE4">
      <w:pPr>
        <w:rPr>
          <w:szCs w:val="22"/>
          <w:u w:val="single"/>
          <w:lang w:val="fr-FR"/>
        </w:rPr>
      </w:pPr>
      <w:r w:rsidRPr="001C4BE4">
        <w:rPr>
          <w:szCs w:val="22"/>
          <w:u w:val="single"/>
          <w:lang w:val="fr-FR"/>
        </w:rPr>
        <w:t xml:space="preserve">Fédération internationale des associations de bibliothécaires et des bibliothèques (FIAB)/International </w:t>
      </w:r>
      <w:proofErr w:type="spellStart"/>
      <w:r w:rsidRPr="001C4BE4">
        <w:rPr>
          <w:szCs w:val="22"/>
          <w:u w:val="single"/>
          <w:lang w:val="fr-FR"/>
        </w:rPr>
        <w:t>Federation</w:t>
      </w:r>
      <w:proofErr w:type="spellEnd"/>
      <w:r w:rsidRPr="001C4BE4">
        <w:rPr>
          <w:szCs w:val="22"/>
          <w:u w:val="single"/>
          <w:lang w:val="fr-FR"/>
        </w:rPr>
        <w:t xml:space="preserve"> of Library Associations and Institutions (IFLA) </w:t>
      </w:r>
    </w:p>
    <w:p w14:paraId="1CACCC09" w14:textId="214E53F9" w:rsidR="001C4BE4" w:rsidRPr="001C4BE4" w:rsidRDefault="001C4BE4" w:rsidP="001C4BE4">
      <w:pPr>
        <w:rPr>
          <w:szCs w:val="22"/>
        </w:rPr>
      </w:pPr>
      <w:r w:rsidRPr="001C4BE4">
        <w:rPr>
          <w:szCs w:val="22"/>
        </w:rPr>
        <w:t>Stephen WYBER</w:t>
      </w:r>
      <w:r w:rsidR="00D012FA">
        <w:rPr>
          <w:szCs w:val="22"/>
        </w:rPr>
        <w:t xml:space="preserve"> (Mr.)</w:t>
      </w:r>
      <w:r w:rsidRPr="001C4BE4">
        <w:rPr>
          <w:szCs w:val="22"/>
        </w:rPr>
        <w:t>, Manager, Policy and Advocacy, The Hague</w:t>
      </w:r>
    </w:p>
    <w:p w14:paraId="2C1C449F" w14:textId="77777777" w:rsidR="001C4BE4" w:rsidRPr="001C4BE4" w:rsidRDefault="001C4BE4" w:rsidP="001C4BE4">
      <w:pPr>
        <w:rPr>
          <w:szCs w:val="22"/>
          <w:u w:val="single"/>
        </w:rPr>
      </w:pPr>
    </w:p>
    <w:p w14:paraId="538148F3" w14:textId="77777777" w:rsidR="001C4BE4" w:rsidRPr="001C4BE4" w:rsidRDefault="001C4BE4" w:rsidP="001C4BE4">
      <w:pPr>
        <w:rPr>
          <w:szCs w:val="22"/>
          <w:u w:val="single"/>
        </w:rPr>
      </w:pPr>
      <w:r w:rsidRPr="001C4BE4">
        <w:rPr>
          <w:szCs w:val="22"/>
          <w:u w:val="single"/>
        </w:rPr>
        <w:t xml:space="preserve">France Freedoms - Danielle Mitterrand Foundation </w:t>
      </w:r>
    </w:p>
    <w:p w14:paraId="21D86D2B" w14:textId="5311DC46" w:rsidR="001C4BE4" w:rsidRPr="001C4BE4" w:rsidRDefault="001C4BE4" w:rsidP="001C4BE4">
      <w:pPr>
        <w:rPr>
          <w:szCs w:val="22"/>
        </w:rPr>
      </w:pPr>
      <w:r w:rsidRPr="001C4BE4">
        <w:rPr>
          <w:szCs w:val="22"/>
        </w:rPr>
        <w:t>Leandro VARISON COSTA</w:t>
      </w:r>
      <w:r w:rsidR="00D012FA">
        <w:rPr>
          <w:szCs w:val="22"/>
        </w:rPr>
        <w:t xml:space="preserve"> (Mr.)</w:t>
      </w:r>
      <w:r w:rsidRPr="001C4BE4">
        <w:rPr>
          <w:szCs w:val="22"/>
        </w:rPr>
        <w:t>, Legal Adviser, Paris</w:t>
      </w:r>
    </w:p>
    <w:p w14:paraId="06E0CAC3" w14:textId="77777777" w:rsidR="001C4BE4" w:rsidRPr="001C4BE4" w:rsidRDefault="001C4BE4" w:rsidP="001C4BE4">
      <w:pPr>
        <w:rPr>
          <w:szCs w:val="22"/>
        </w:rPr>
      </w:pPr>
      <w:r w:rsidRPr="001C4BE4">
        <w:rPr>
          <w:szCs w:val="22"/>
          <w:u w:val="single"/>
        </w:rPr>
        <w:t xml:space="preserve">leandro.varison@france-libertes.fr </w:t>
      </w:r>
    </w:p>
    <w:p w14:paraId="78CF60E5" w14:textId="77777777" w:rsidR="001C4BE4" w:rsidRPr="001C4BE4" w:rsidRDefault="001C4BE4" w:rsidP="001C4BE4">
      <w:pPr>
        <w:rPr>
          <w:szCs w:val="22"/>
        </w:rPr>
      </w:pPr>
      <w:r w:rsidRPr="001C4BE4">
        <w:rPr>
          <w:szCs w:val="22"/>
        </w:rPr>
        <w:t>Marion VEBER (Ms.), Programme Officer, Paris</w:t>
      </w:r>
    </w:p>
    <w:p w14:paraId="46C52B06" w14:textId="77777777" w:rsidR="001C4BE4" w:rsidRPr="001C4BE4" w:rsidRDefault="001C4BE4" w:rsidP="001C4BE4">
      <w:pPr>
        <w:rPr>
          <w:szCs w:val="22"/>
        </w:rPr>
      </w:pPr>
      <w:r w:rsidRPr="001C4BE4">
        <w:rPr>
          <w:szCs w:val="22"/>
          <w:u w:val="single"/>
        </w:rPr>
        <w:t xml:space="preserve">marion.veber@france-libertes.fr </w:t>
      </w:r>
    </w:p>
    <w:p w14:paraId="15106C82" w14:textId="77777777" w:rsidR="001C4BE4" w:rsidRPr="001C4BE4" w:rsidRDefault="001C4BE4" w:rsidP="001C4BE4">
      <w:pPr>
        <w:rPr>
          <w:szCs w:val="22"/>
          <w:u w:val="single"/>
        </w:rPr>
      </w:pPr>
    </w:p>
    <w:p w14:paraId="321F7D36" w14:textId="77777777" w:rsidR="001C4BE4" w:rsidRPr="001C4BE4" w:rsidRDefault="001C4BE4" w:rsidP="001C4BE4">
      <w:pPr>
        <w:rPr>
          <w:szCs w:val="22"/>
          <w:u w:val="single"/>
        </w:rPr>
      </w:pPr>
      <w:proofErr w:type="spellStart"/>
      <w:r w:rsidRPr="001C4BE4">
        <w:rPr>
          <w:szCs w:val="22"/>
          <w:u w:val="single"/>
        </w:rPr>
        <w:t>Gesellschaft</w:t>
      </w:r>
      <w:proofErr w:type="spellEnd"/>
      <w:r w:rsidRPr="001C4BE4">
        <w:rPr>
          <w:szCs w:val="22"/>
          <w:u w:val="single"/>
        </w:rPr>
        <w:t xml:space="preserve"> </w:t>
      </w:r>
      <w:proofErr w:type="spellStart"/>
      <w:r w:rsidRPr="001C4BE4">
        <w:rPr>
          <w:szCs w:val="22"/>
          <w:u w:val="single"/>
        </w:rPr>
        <w:t>für</w:t>
      </w:r>
      <w:proofErr w:type="spellEnd"/>
      <w:r w:rsidRPr="001C4BE4">
        <w:rPr>
          <w:szCs w:val="22"/>
          <w:u w:val="single"/>
        </w:rPr>
        <w:t xml:space="preserve"> </w:t>
      </w:r>
      <w:proofErr w:type="spellStart"/>
      <w:r w:rsidRPr="001C4BE4">
        <w:rPr>
          <w:szCs w:val="22"/>
          <w:u w:val="single"/>
        </w:rPr>
        <w:t>Internationale</w:t>
      </w:r>
      <w:proofErr w:type="spellEnd"/>
      <w:r w:rsidRPr="001C4BE4">
        <w:rPr>
          <w:szCs w:val="22"/>
          <w:u w:val="single"/>
        </w:rPr>
        <w:t xml:space="preserve"> </w:t>
      </w:r>
      <w:proofErr w:type="spellStart"/>
      <w:r w:rsidRPr="001C4BE4">
        <w:rPr>
          <w:szCs w:val="22"/>
          <w:u w:val="single"/>
        </w:rPr>
        <w:t>Zusammenarbeit</w:t>
      </w:r>
      <w:proofErr w:type="spellEnd"/>
      <w:r w:rsidRPr="001C4BE4">
        <w:rPr>
          <w:szCs w:val="22"/>
          <w:u w:val="single"/>
        </w:rPr>
        <w:t xml:space="preserve"> (GIZ) GmbH </w:t>
      </w:r>
    </w:p>
    <w:p w14:paraId="7D134D1E" w14:textId="79433953" w:rsidR="001C4BE4" w:rsidRPr="001C4BE4" w:rsidRDefault="001C4BE4" w:rsidP="001C4BE4">
      <w:pPr>
        <w:rPr>
          <w:szCs w:val="22"/>
        </w:rPr>
      </w:pPr>
      <w:proofErr w:type="spellStart"/>
      <w:r w:rsidRPr="001C4BE4">
        <w:rPr>
          <w:szCs w:val="22"/>
        </w:rPr>
        <w:t>Hartmut</w:t>
      </w:r>
      <w:proofErr w:type="spellEnd"/>
      <w:r w:rsidRPr="001C4BE4">
        <w:rPr>
          <w:szCs w:val="22"/>
        </w:rPr>
        <w:t xml:space="preserve"> MEYER</w:t>
      </w:r>
      <w:r w:rsidR="00D012FA">
        <w:rPr>
          <w:szCs w:val="22"/>
        </w:rPr>
        <w:t xml:space="preserve"> (Mr.)</w:t>
      </w:r>
      <w:r w:rsidRPr="001C4BE4">
        <w:rPr>
          <w:szCs w:val="22"/>
        </w:rPr>
        <w:t xml:space="preserve">, Program Officer, </w:t>
      </w:r>
      <w:proofErr w:type="spellStart"/>
      <w:r w:rsidRPr="001C4BE4">
        <w:rPr>
          <w:szCs w:val="22"/>
        </w:rPr>
        <w:t>Eschborn</w:t>
      </w:r>
      <w:proofErr w:type="spellEnd"/>
    </w:p>
    <w:p w14:paraId="68826332" w14:textId="77777777" w:rsidR="001C4BE4" w:rsidRPr="001C4BE4" w:rsidRDefault="001C4BE4" w:rsidP="001C4BE4">
      <w:pPr>
        <w:rPr>
          <w:szCs w:val="22"/>
        </w:rPr>
      </w:pPr>
      <w:r w:rsidRPr="001C4BE4">
        <w:rPr>
          <w:szCs w:val="22"/>
          <w:u w:val="single"/>
        </w:rPr>
        <w:t xml:space="preserve">hartmut.meyer@giz.de </w:t>
      </w:r>
    </w:p>
    <w:p w14:paraId="6D245332" w14:textId="77777777" w:rsidR="001C4BE4" w:rsidRPr="001C4BE4" w:rsidRDefault="001C4BE4" w:rsidP="001C4BE4">
      <w:pPr>
        <w:rPr>
          <w:szCs w:val="22"/>
        </w:rPr>
      </w:pPr>
    </w:p>
    <w:p w14:paraId="2598A3CB" w14:textId="77777777" w:rsidR="001C4BE4" w:rsidRPr="001C4BE4" w:rsidRDefault="001C4BE4" w:rsidP="001C4BE4">
      <w:pPr>
        <w:rPr>
          <w:szCs w:val="22"/>
          <w:u w:val="single"/>
        </w:rPr>
      </w:pPr>
      <w:r w:rsidRPr="001C4BE4">
        <w:rPr>
          <w:szCs w:val="22"/>
          <w:u w:val="single"/>
        </w:rPr>
        <w:t xml:space="preserve">Health and Environment Program (HEP) </w:t>
      </w:r>
    </w:p>
    <w:p w14:paraId="6BD07BAF" w14:textId="77777777" w:rsidR="001C4BE4" w:rsidRPr="001C4BE4" w:rsidRDefault="001C4BE4" w:rsidP="001C4BE4">
      <w:pPr>
        <w:rPr>
          <w:szCs w:val="22"/>
          <w:lang w:val="fr-FR"/>
        </w:rPr>
      </w:pPr>
      <w:r w:rsidRPr="001C4BE4">
        <w:rPr>
          <w:szCs w:val="22"/>
          <w:lang w:val="fr-FR"/>
        </w:rPr>
        <w:t>Madeleine SCHERB (Mme), présidente, Genève</w:t>
      </w:r>
    </w:p>
    <w:p w14:paraId="3825D9B7" w14:textId="77777777" w:rsidR="001C4BE4" w:rsidRPr="001C4BE4" w:rsidRDefault="001C4BE4" w:rsidP="001C4BE4">
      <w:pPr>
        <w:rPr>
          <w:szCs w:val="22"/>
          <w:lang w:val="fr-FR"/>
        </w:rPr>
      </w:pPr>
      <w:r w:rsidRPr="001C4BE4">
        <w:rPr>
          <w:szCs w:val="22"/>
          <w:u w:val="single"/>
          <w:lang w:val="fr-FR"/>
        </w:rPr>
        <w:t xml:space="preserve">madeleine@health-environment-program.org </w:t>
      </w:r>
    </w:p>
    <w:p w14:paraId="1F1E261D" w14:textId="47A94131" w:rsidR="001C4BE4" w:rsidRPr="001C4BE4" w:rsidRDefault="001C4BE4" w:rsidP="001C4BE4">
      <w:pPr>
        <w:rPr>
          <w:szCs w:val="22"/>
          <w:lang w:val="fr-FR"/>
        </w:rPr>
      </w:pPr>
      <w:r w:rsidRPr="001C4BE4">
        <w:rPr>
          <w:szCs w:val="22"/>
          <w:lang w:val="fr-FR"/>
        </w:rPr>
        <w:t>Pierre SCHERB</w:t>
      </w:r>
      <w:r w:rsidR="00D012FA">
        <w:rPr>
          <w:szCs w:val="22"/>
          <w:lang w:val="fr-FR"/>
        </w:rPr>
        <w:t xml:space="preserve"> </w:t>
      </w:r>
      <w:r w:rsidR="00D012FA" w:rsidRPr="00045641">
        <w:rPr>
          <w:szCs w:val="22"/>
          <w:lang w:val="fr-FR"/>
        </w:rPr>
        <w:t>(M</w:t>
      </w:r>
      <w:r w:rsidR="00D012FA" w:rsidRPr="00C40D5D">
        <w:rPr>
          <w:szCs w:val="22"/>
          <w:lang w:val="fr-FR"/>
        </w:rPr>
        <w:t>.)</w:t>
      </w:r>
      <w:r w:rsidRPr="001C4BE4">
        <w:rPr>
          <w:szCs w:val="22"/>
          <w:lang w:val="fr-FR"/>
        </w:rPr>
        <w:t>, conseiller juridique, Genève</w:t>
      </w:r>
    </w:p>
    <w:p w14:paraId="62A8D7D6" w14:textId="77777777" w:rsidR="001C4BE4" w:rsidRPr="00C40D5D" w:rsidRDefault="001C4BE4" w:rsidP="001C4BE4">
      <w:pPr>
        <w:rPr>
          <w:szCs w:val="22"/>
        </w:rPr>
      </w:pPr>
      <w:r w:rsidRPr="00C40D5D">
        <w:rPr>
          <w:szCs w:val="22"/>
          <w:u w:val="single"/>
        </w:rPr>
        <w:t xml:space="preserve">avocat@pierrescherb.ch </w:t>
      </w:r>
    </w:p>
    <w:p w14:paraId="026D1A84" w14:textId="77777777" w:rsidR="001C4BE4" w:rsidRPr="00C40D5D" w:rsidRDefault="001C4BE4" w:rsidP="001C4BE4">
      <w:pPr>
        <w:rPr>
          <w:szCs w:val="22"/>
        </w:rPr>
      </w:pPr>
    </w:p>
    <w:p w14:paraId="2E9EF167" w14:textId="77777777" w:rsidR="001C4BE4" w:rsidRPr="001C4BE4" w:rsidRDefault="001C4BE4" w:rsidP="001C4BE4">
      <w:pPr>
        <w:rPr>
          <w:szCs w:val="22"/>
          <w:u w:val="single"/>
        </w:rPr>
      </w:pPr>
      <w:r w:rsidRPr="001C4BE4">
        <w:rPr>
          <w:szCs w:val="22"/>
          <w:u w:val="single"/>
        </w:rPr>
        <w:t xml:space="preserve">Himalayan Folklore and Biodiversity Study Program IPs Society for Wetland Biodiversity Conservation Nepal </w:t>
      </w:r>
    </w:p>
    <w:p w14:paraId="229FBFC8" w14:textId="5B57CBA4" w:rsidR="001C4BE4" w:rsidRPr="001C4BE4" w:rsidRDefault="001C4BE4" w:rsidP="001C4BE4">
      <w:pPr>
        <w:rPr>
          <w:szCs w:val="22"/>
        </w:rPr>
      </w:pPr>
      <w:r w:rsidRPr="001C4BE4">
        <w:rPr>
          <w:szCs w:val="22"/>
        </w:rPr>
        <w:t>Kamal Kumar RAI</w:t>
      </w:r>
      <w:r w:rsidR="00D012FA">
        <w:rPr>
          <w:szCs w:val="22"/>
        </w:rPr>
        <w:t xml:space="preserve"> (Mr.)</w:t>
      </w:r>
      <w:r w:rsidRPr="001C4BE4">
        <w:rPr>
          <w:szCs w:val="22"/>
        </w:rPr>
        <w:t>, Member, Kathmandu</w:t>
      </w:r>
    </w:p>
    <w:p w14:paraId="658D3172" w14:textId="77777777" w:rsidR="001C4BE4" w:rsidRPr="001C4BE4" w:rsidRDefault="001C4BE4" w:rsidP="001C4BE4">
      <w:pPr>
        <w:rPr>
          <w:szCs w:val="22"/>
        </w:rPr>
      </w:pPr>
      <w:r w:rsidRPr="001C4BE4">
        <w:rPr>
          <w:szCs w:val="22"/>
          <w:u w:val="single"/>
        </w:rPr>
        <w:t xml:space="preserve">pronatura.org.np@gmail.com </w:t>
      </w:r>
    </w:p>
    <w:p w14:paraId="74AEE1CA" w14:textId="77777777" w:rsidR="001C4BE4" w:rsidRPr="001C4BE4" w:rsidRDefault="001C4BE4" w:rsidP="001C4BE4">
      <w:pPr>
        <w:rPr>
          <w:szCs w:val="22"/>
        </w:rPr>
      </w:pPr>
    </w:p>
    <w:p w14:paraId="7418FA7D" w14:textId="77777777" w:rsidR="001C4BE4" w:rsidRPr="001C4BE4" w:rsidRDefault="001C4BE4" w:rsidP="001C4BE4">
      <w:pPr>
        <w:rPr>
          <w:szCs w:val="22"/>
          <w:u w:val="single"/>
        </w:rPr>
      </w:pPr>
      <w:r w:rsidRPr="001C4BE4">
        <w:rPr>
          <w:szCs w:val="22"/>
          <w:u w:val="single"/>
        </w:rPr>
        <w:t xml:space="preserve">Independent Film and Television Alliance (I.F.T.A) </w:t>
      </w:r>
    </w:p>
    <w:p w14:paraId="7D4E9434" w14:textId="77777777" w:rsidR="001C4BE4" w:rsidRPr="001C4BE4" w:rsidRDefault="001C4BE4" w:rsidP="001C4BE4">
      <w:pPr>
        <w:rPr>
          <w:szCs w:val="22"/>
          <w:lang w:val="es-ES"/>
        </w:rPr>
      </w:pPr>
      <w:r w:rsidRPr="001C4BE4">
        <w:rPr>
          <w:szCs w:val="22"/>
          <w:lang w:val="es-ES"/>
        </w:rPr>
        <w:t xml:space="preserve">Vera CAASTANHEIRA (Ms.), Legal </w:t>
      </w:r>
      <w:proofErr w:type="spellStart"/>
      <w:r w:rsidRPr="001C4BE4">
        <w:rPr>
          <w:szCs w:val="22"/>
          <w:lang w:val="es-ES"/>
        </w:rPr>
        <w:t>Adviser</w:t>
      </w:r>
      <w:proofErr w:type="spellEnd"/>
      <w:r w:rsidRPr="001C4BE4">
        <w:rPr>
          <w:szCs w:val="22"/>
          <w:lang w:val="es-ES"/>
        </w:rPr>
        <w:t xml:space="preserve">, Los </w:t>
      </w:r>
      <w:proofErr w:type="spellStart"/>
      <w:r w:rsidRPr="001C4BE4">
        <w:rPr>
          <w:szCs w:val="22"/>
          <w:lang w:val="es-ES"/>
        </w:rPr>
        <w:t>Angeles</w:t>
      </w:r>
      <w:proofErr w:type="spellEnd"/>
    </w:p>
    <w:p w14:paraId="4A988667" w14:textId="77777777" w:rsidR="001C4BE4" w:rsidRPr="001C4BE4" w:rsidRDefault="001C4BE4" w:rsidP="001C4BE4">
      <w:pPr>
        <w:rPr>
          <w:szCs w:val="22"/>
          <w:lang w:val="es-ES"/>
        </w:rPr>
      </w:pPr>
      <w:r w:rsidRPr="001C4BE4">
        <w:rPr>
          <w:szCs w:val="22"/>
          <w:u w:val="single"/>
          <w:lang w:val="es-ES"/>
        </w:rPr>
        <w:t xml:space="preserve">vca.law2017@gmail.com </w:t>
      </w:r>
    </w:p>
    <w:p w14:paraId="5868EC77" w14:textId="77777777" w:rsidR="001C4BE4" w:rsidRPr="001C4BE4" w:rsidRDefault="001C4BE4" w:rsidP="001C4BE4">
      <w:pPr>
        <w:rPr>
          <w:szCs w:val="22"/>
          <w:lang w:val="es-ES"/>
        </w:rPr>
      </w:pPr>
    </w:p>
    <w:p w14:paraId="4C448345" w14:textId="77777777" w:rsidR="001C4BE4" w:rsidRPr="001C4BE4" w:rsidRDefault="001C4BE4" w:rsidP="001C4BE4">
      <w:pPr>
        <w:rPr>
          <w:szCs w:val="22"/>
          <w:u w:val="single"/>
          <w:lang w:val="es-ES"/>
        </w:rPr>
      </w:pPr>
      <w:proofErr w:type="spellStart"/>
      <w:r w:rsidRPr="001C4BE4">
        <w:rPr>
          <w:szCs w:val="22"/>
          <w:u w:val="single"/>
          <w:lang w:val="es-ES"/>
        </w:rPr>
        <w:t>Indian</w:t>
      </w:r>
      <w:proofErr w:type="spellEnd"/>
      <w:r w:rsidRPr="001C4BE4">
        <w:rPr>
          <w:szCs w:val="22"/>
          <w:u w:val="single"/>
          <w:lang w:val="es-ES"/>
        </w:rPr>
        <w:t xml:space="preserve"> </w:t>
      </w:r>
      <w:proofErr w:type="spellStart"/>
      <w:r w:rsidRPr="001C4BE4">
        <w:rPr>
          <w:szCs w:val="22"/>
          <w:u w:val="single"/>
          <w:lang w:val="es-ES"/>
        </w:rPr>
        <w:t>Movement</w:t>
      </w:r>
      <w:proofErr w:type="spellEnd"/>
      <w:r w:rsidRPr="001C4BE4">
        <w:rPr>
          <w:szCs w:val="22"/>
          <w:u w:val="single"/>
          <w:lang w:val="es-ES"/>
        </w:rPr>
        <w:t xml:space="preserve"> - Tupaj Amaru </w:t>
      </w:r>
    </w:p>
    <w:p w14:paraId="7B6CD96F" w14:textId="053AB04B" w:rsidR="001C4BE4" w:rsidRPr="001C4BE4" w:rsidRDefault="001C4BE4" w:rsidP="001C4BE4">
      <w:pPr>
        <w:rPr>
          <w:szCs w:val="22"/>
          <w:lang w:val="es-ES"/>
        </w:rPr>
      </w:pPr>
      <w:r w:rsidRPr="001C4BE4">
        <w:rPr>
          <w:szCs w:val="22"/>
          <w:lang w:val="es-ES"/>
        </w:rPr>
        <w:t>Lázaro PARY ANAGUA</w:t>
      </w:r>
      <w:r w:rsidR="00D012FA">
        <w:rPr>
          <w:szCs w:val="22"/>
          <w:lang w:val="es-ES"/>
        </w:rPr>
        <w:t xml:space="preserve"> (Sr.)</w:t>
      </w:r>
      <w:r w:rsidRPr="001C4BE4">
        <w:rPr>
          <w:szCs w:val="22"/>
          <w:lang w:val="es-ES"/>
        </w:rPr>
        <w:t xml:space="preserve">, Coordinador, </w:t>
      </w:r>
      <w:proofErr w:type="spellStart"/>
      <w:r w:rsidRPr="001C4BE4">
        <w:rPr>
          <w:szCs w:val="22"/>
          <w:lang w:val="es-ES"/>
        </w:rPr>
        <w:t>Potosi</w:t>
      </w:r>
      <w:proofErr w:type="spellEnd"/>
    </w:p>
    <w:p w14:paraId="19DE82B2" w14:textId="77777777" w:rsidR="001C4BE4" w:rsidRPr="001C4BE4" w:rsidRDefault="001C4BE4" w:rsidP="001C4BE4">
      <w:pPr>
        <w:rPr>
          <w:szCs w:val="22"/>
          <w:lang w:val="es-ES"/>
        </w:rPr>
      </w:pPr>
    </w:p>
    <w:p w14:paraId="08489473" w14:textId="77777777" w:rsidR="001C4BE4" w:rsidRPr="001C4BE4" w:rsidRDefault="001C4BE4" w:rsidP="001C4BE4">
      <w:pPr>
        <w:rPr>
          <w:szCs w:val="22"/>
          <w:u w:val="single"/>
          <w:lang w:val="es-ES"/>
        </w:rPr>
      </w:pPr>
      <w:proofErr w:type="spellStart"/>
      <w:r w:rsidRPr="001C4BE4">
        <w:rPr>
          <w:szCs w:val="22"/>
          <w:u w:val="single"/>
          <w:lang w:val="es-ES"/>
        </w:rPr>
        <w:t>Indigenous</w:t>
      </w:r>
      <w:proofErr w:type="spellEnd"/>
      <w:r w:rsidRPr="001C4BE4">
        <w:rPr>
          <w:szCs w:val="22"/>
          <w:u w:val="single"/>
          <w:lang w:val="es-ES"/>
        </w:rPr>
        <w:t xml:space="preserve"> World Association (IWA) </w:t>
      </w:r>
    </w:p>
    <w:p w14:paraId="6373B294" w14:textId="77777777" w:rsidR="001C4BE4" w:rsidRPr="001C4BE4" w:rsidRDefault="001C4BE4" w:rsidP="001C4BE4">
      <w:pPr>
        <w:rPr>
          <w:szCs w:val="22"/>
          <w:lang w:val="es-ES"/>
        </w:rPr>
      </w:pPr>
      <w:r w:rsidRPr="001C4BE4">
        <w:rPr>
          <w:szCs w:val="22"/>
          <w:lang w:val="es-ES"/>
        </w:rPr>
        <w:t xml:space="preserve">June LORENZO (Ms.), </w:t>
      </w:r>
      <w:proofErr w:type="spellStart"/>
      <w:r w:rsidRPr="001C4BE4">
        <w:rPr>
          <w:szCs w:val="22"/>
          <w:lang w:val="es-ES"/>
        </w:rPr>
        <w:t>Consultant</w:t>
      </w:r>
      <w:proofErr w:type="spellEnd"/>
      <w:r w:rsidRPr="001C4BE4">
        <w:rPr>
          <w:szCs w:val="22"/>
          <w:lang w:val="es-ES"/>
        </w:rPr>
        <w:t xml:space="preserve">, </w:t>
      </w:r>
      <w:proofErr w:type="spellStart"/>
      <w:r w:rsidRPr="001C4BE4">
        <w:rPr>
          <w:szCs w:val="22"/>
          <w:lang w:val="es-ES"/>
        </w:rPr>
        <w:t>Paguate</w:t>
      </w:r>
      <w:proofErr w:type="spellEnd"/>
    </w:p>
    <w:p w14:paraId="6896B772" w14:textId="77777777" w:rsidR="001C4BE4" w:rsidRPr="001C4BE4" w:rsidRDefault="001C4BE4" w:rsidP="001C4BE4">
      <w:pPr>
        <w:rPr>
          <w:szCs w:val="22"/>
          <w:lang w:val="es-ES"/>
        </w:rPr>
      </w:pPr>
    </w:p>
    <w:p w14:paraId="79088EE4" w14:textId="77777777" w:rsidR="001C4BE4" w:rsidRPr="001C4BE4" w:rsidRDefault="001C4BE4" w:rsidP="001C4BE4">
      <w:pPr>
        <w:rPr>
          <w:szCs w:val="22"/>
          <w:u w:val="single"/>
          <w:lang w:val="es-ES"/>
        </w:rPr>
      </w:pPr>
      <w:r w:rsidRPr="001C4BE4">
        <w:rPr>
          <w:szCs w:val="22"/>
          <w:u w:val="single"/>
          <w:lang w:val="es-ES"/>
        </w:rPr>
        <w:t xml:space="preserve">Instituto Indígena Brasilero da </w:t>
      </w:r>
      <w:proofErr w:type="spellStart"/>
      <w:r w:rsidRPr="001C4BE4">
        <w:rPr>
          <w:szCs w:val="22"/>
          <w:u w:val="single"/>
          <w:lang w:val="es-ES"/>
        </w:rPr>
        <w:t>Propriedade</w:t>
      </w:r>
      <w:proofErr w:type="spellEnd"/>
      <w:r w:rsidRPr="001C4BE4">
        <w:rPr>
          <w:szCs w:val="22"/>
          <w:u w:val="single"/>
          <w:lang w:val="es-ES"/>
        </w:rPr>
        <w:t xml:space="preserve"> Intelectual (</w:t>
      </w:r>
      <w:proofErr w:type="spellStart"/>
      <w:r w:rsidRPr="001C4BE4">
        <w:rPr>
          <w:szCs w:val="22"/>
          <w:u w:val="single"/>
          <w:lang w:val="es-ES"/>
        </w:rPr>
        <w:t>InBraPi</w:t>
      </w:r>
      <w:proofErr w:type="spellEnd"/>
      <w:r w:rsidRPr="001C4BE4">
        <w:rPr>
          <w:szCs w:val="22"/>
          <w:u w:val="single"/>
          <w:lang w:val="es-ES"/>
        </w:rPr>
        <w:t xml:space="preserve">) </w:t>
      </w:r>
    </w:p>
    <w:p w14:paraId="585EB20B" w14:textId="77777777" w:rsidR="001C4BE4" w:rsidRPr="001C4BE4" w:rsidRDefault="001C4BE4" w:rsidP="001C4BE4">
      <w:pPr>
        <w:rPr>
          <w:szCs w:val="22"/>
          <w:lang w:val="es-ES"/>
        </w:rPr>
      </w:pPr>
      <w:r w:rsidRPr="001C4BE4">
        <w:rPr>
          <w:szCs w:val="22"/>
          <w:lang w:val="es-ES"/>
        </w:rPr>
        <w:t xml:space="preserve">Lucia Fernanda INACIO BELFORT SALES (Ms.), </w:t>
      </w:r>
      <w:proofErr w:type="spellStart"/>
      <w:r w:rsidRPr="001C4BE4">
        <w:rPr>
          <w:szCs w:val="22"/>
          <w:lang w:val="es-ES"/>
        </w:rPr>
        <w:t>Expert</w:t>
      </w:r>
      <w:proofErr w:type="spellEnd"/>
      <w:r w:rsidRPr="001C4BE4">
        <w:rPr>
          <w:szCs w:val="22"/>
          <w:lang w:val="es-ES"/>
        </w:rPr>
        <w:t xml:space="preserve">, </w:t>
      </w:r>
      <w:proofErr w:type="spellStart"/>
      <w:r w:rsidRPr="001C4BE4">
        <w:rPr>
          <w:szCs w:val="22"/>
          <w:lang w:val="es-ES"/>
        </w:rPr>
        <w:t>Indigenous</w:t>
      </w:r>
      <w:proofErr w:type="spellEnd"/>
      <w:r w:rsidRPr="001C4BE4">
        <w:rPr>
          <w:szCs w:val="22"/>
          <w:lang w:val="es-ES"/>
        </w:rPr>
        <w:t xml:space="preserve"> Human </w:t>
      </w:r>
      <w:proofErr w:type="spellStart"/>
      <w:r w:rsidRPr="001C4BE4">
        <w:rPr>
          <w:szCs w:val="22"/>
          <w:lang w:val="es-ES"/>
        </w:rPr>
        <w:t>Rights</w:t>
      </w:r>
      <w:proofErr w:type="spellEnd"/>
      <w:r w:rsidRPr="001C4BE4">
        <w:rPr>
          <w:szCs w:val="22"/>
          <w:lang w:val="es-ES"/>
        </w:rPr>
        <w:t xml:space="preserve"> and Intellectual Property, Cultural </w:t>
      </w:r>
      <w:proofErr w:type="spellStart"/>
      <w:r w:rsidRPr="001C4BE4">
        <w:rPr>
          <w:szCs w:val="22"/>
          <w:lang w:val="es-ES"/>
        </w:rPr>
        <w:t>Heritage</w:t>
      </w:r>
      <w:proofErr w:type="spellEnd"/>
      <w:r w:rsidRPr="001C4BE4">
        <w:rPr>
          <w:szCs w:val="22"/>
          <w:lang w:val="es-ES"/>
        </w:rPr>
        <w:t xml:space="preserve"> Division, Ronda Alta</w:t>
      </w:r>
    </w:p>
    <w:p w14:paraId="43E13B85" w14:textId="77777777" w:rsidR="001C4BE4" w:rsidRPr="001C4BE4" w:rsidRDefault="001C4BE4" w:rsidP="001C4BE4">
      <w:pPr>
        <w:rPr>
          <w:szCs w:val="22"/>
        </w:rPr>
      </w:pPr>
      <w:r w:rsidRPr="001C4BE4">
        <w:rPr>
          <w:szCs w:val="22"/>
          <w:u w:val="single"/>
        </w:rPr>
        <w:t xml:space="preserve">jofejkaingang@hotmail.com </w:t>
      </w:r>
    </w:p>
    <w:p w14:paraId="32B529E5" w14:textId="77777777" w:rsidR="001C4BE4" w:rsidRPr="001C4BE4" w:rsidRDefault="001C4BE4" w:rsidP="001C4BE4">
      <w:pPr>
        <w:rPr>
          <w:szCs w:val="22"/>
        </w:rPr>
      </w:pPr>
    </w:p>
    <w:p w14:paraId="7A1D22BE" w14:textId="77777777" w:rsidR="001C4BE4" w:rsidRPr="001C4BE4" w:rsidRDefault="001C4BE4" w:rsidP="001C4BE4">
      <w:pPr>
        <w:rPr>
          <w:szCs w:val="22"/>
          <w:u w:val="single"/>
        </w:rPr>
      </w:pPr>
      <w:r w:rsidRPr="001C4BE4">
        <w:rPr>
          <w:szCs w:val="22"/>
          <w:u w:val="single"/>
        </w:rPr>
        <w:t xml:space="preserve">International Trademark Association (INTA) </w:t>
      </w:r>
    </w:p>
    <w:p w14:paraId="4ACACF8E" w14:textId="3FDAE6BE" w:rsidR="001C4BE4" w:rsidRPr="001C4BE4" w:rsidRDefault="001C4BE4" w:rsidP="001C4BE4">
      <w:pPr>
        <w:rPr>
          <w:szCs w:val="22"/>
        </w:rPr>
      </w:pPr>
      <w:r w:rsidRPr="001C4BE4">
        <w:rPr>
          <w:szCs w:val="22"/>
        </w:rPr>
        <w:t>Bruno MACHADO</w:t>
      </w:r>
      <w:r w:rsidR="00D012FA">
        <w:rPr>
          <w:szCs w:val="22"/>
        </w:rPr>
        <w:t xml:space="preserve"> (Mr.)</w:t>
      </w:r>
      <w:r w:rsidRPr="001C4BE4">
        <w:rPr>
          <w:szCs w:val="22"/>
        </w:rPr>
        <w:t>, Geneva Representative, Rolle</w:t>
      </w:r>
    </w:p>
    <w:p w14:paraId="6189503A" w14:textId="77777777" w:rsidR="001C4BE4" w:rsidRPr="001C4BE4" w:rsidRDefault="001C4BE4" w:rsidP="001C4BE4">
      <w:pPr>
        <w:rPr>
          <w:szCs w:val="22"/>
        </w:rPr>
      </w:pPr>
      <w:r w:rsidRPr="001C4BE4">
        <w:rPr>
          <w:szCs w:val="22"/>
          <w:u w:val="single"/>
        </w:rPr>
        <w:t xml:space="preserve">bruno.machado@bluewin.ch </w:t>
      </w:r>
    </w:p>
    <w:p w14:paraId="6BD7B282" w14:textId="77777777" w:rsidR="001C4BE4" w:rsidRPr="001C4BE4" w:rsidRDefault="001C4BE4" w:rsidP="001C4BE4">
      <w:pPr>
        <w:rPr>
          <w:szCs w:val="22"/>
          <w:u w:val="single"/>
        </w:rPr>
      </w:pPr>
    </w:p>
    <w:p w14:paraId="4CE82594" w14:textId="77777777" w:rsidR="001C4BE4" w:rsidRPr="001C4BE4" w:rsidRDefault="001C4BE4" w:rsidP="001C4BE4">
      <w:pPr>
        <w:rPr>
          <w:szCs w:val="22"/>
          <w:u w:val="single"/>
        </w:rPr>
      </w:pPr>
      <w:proofErr w:type="spellStart"/>
      <w:r w:rsidRPr="001C4BE4">
        <w:rPr>
          <w:szCs w:val="22"/>
          <w:u w:val="single"/>
        </w:rPr>
        <w:t>Maasai</w:t>
      </w:r>
      <w:proofErr w:type="spellEnd"/>
      <w:r w:rsidRPr="001C4BE4">
        <w:rPr>
          <w:szCs w:val="22"/>
          <w:u w:val="single"/>
        </w:rPr>
        <w:t xml:space="preserve"> Cultural Heritage Foundation (MCHF) </w:t>
      </w:r>
    </w:p>
    <w:p w14:paraId="00F67E74" w14:textId="77777777" w:rsidR="001C4BE4" w:rsidRPr="001C4BE4" w:rsidRDefault="001C4BE4" w:rsidP="001C4BE4">
      <w:pPr>
        <w:rPr>
          <w:szCs w:val="22"/>
        </w:rPr>
      </w:pPr>
      <w:r w:rsidRPr="001C4BE4">
        <w:rPr>
          <w:szCs w:val="22"/>
        </w:rPr>
        <w:t>Hellen KISIO (Ms.), Coordinator, Nairobi</w:t>
      </w:r>
    </w:p>
    <w:p w14:paraId="0B5DD9E6" w14:textId="77777777" w:rsidR="001C4BE4" w:rsidRPr="001C4BE4" w:rsidRDefault="001C4BE4" w:rsidP="001C4BE4">
      <w:pPr>
        <w:rPr>
          <w:szCs w:val="22"/>
          <w:u w:val="single"/>
        </w:rPr>
      </w:pPr>
      <w:r w:rsidRPr="001C4BE4">
        <w:rPr>
          <w:szCs w:val="22"/>
          <w:u w:val="single"/>
        </w:rPr>
        <w:t xml:space="preserve">kisiohellen@gmail.com </w:t>
      </w:r>
    </w:p>
    <w:p w14:paraId="2A7CF10C" w14:textId="77777777" w:rsidR="00266235" w:rsidRPr="00737182" w:rsidRDefault="00266235" w:rsidP="00266235">
      <w:pPr>
        <w:rPr>
          <w:szCs w:val="22"/>
          <w:u w:val="single"/>
        </w:rPr>
      </w:pPr>
    </w:p>
    <w:p w14:paraId="163829F3" w14:textId="77777777" w:rsidR="00266235" w:rsidRPr="00266235" w:rsidRDefault="00266235" w:rsidP="00266235">
      <w:pPr>
        <w:rPr>
          <w:szCs w:val="22"/>
          <w:u w:val="single"/>
          <w:lang w:val="fr-FR"/>
        </w:rPr>
      </w:pPr>
      <w:r w:rsidRPr="00266235">
        <w:rPr>
          <w:szCs w:val="22"/>
          <w:u w:val="single"/>
          <w:lang w:val="fr-FR"/>
        </w:rPr>
        <w:t xml:space="preserve">Massai </w:t>
      </w:r>
      <w:proofErr w:type="spellStart"/>
      <w:r w:rsidRPr="00266235">
        <w:rPr>
          <w:szCs w:val="22"/>
          <w:u w:val="single"/>
          <w:lang w:val="fr-FR"/>
        </w:rPr>
        <w:t>Experience</w:t>
      </w:r>
      <w:proofErr w:type="spellEnd"/>
      <w:r w:rsidRPr="00266235">
        <w:rPr>
          <w:szCs w:val="22"/>
          <w:u w:val="single"/>
          <w:lang w:val="fr-FR"/>
        </w:rPr>
        <w:t xml:space="preserve"> </w:t>
      </w:r>
    </w:p>
    <w:p w14:paraId="03ADFD2D" w14:textId="77777777" w:rsidR="00266235" w:rsidRPr="00266235" w:rsidRDefault="00266235" w:rsidP="00266235">
      <w:pPr>
        <w:rPr>
          <w:szCs w:val="22"/>
          <w:lang w:val="fr-FR"/>
        </w:rPr>
      </w:pPr>
      <w:r>
        <w:rPr>
          <w:szCs w:val="22"/>
          <w:lang w:val="fr-FR"/>
        </w:rPr>
        <w:t>Z</w:t>
      </w:r>
      <w:r w:rsidRPr="00266235">
        <w:rPr>
          <w:szCs w:val="22"/>
          <w:lang w:val="fr-FR"/>
        </w:rPr>
        <w:t>ohra A</w:t>
      </w:r>
      <w:r>
        <w:rPr>
          <w:szCs w:val="22"/>
          <w:lang w:val="fr-FR"/>
        </w:rPr>
        <w:t>IT-KACI-ALI (Mme), présidente, G</w:t>
      </w:r>
      <w:r w:rsidRPr="00266235">
        <w:rPr>
          <w:szCs w:val="22"/>
          <w:lang w:val="fr-FR"/>
        </w:rPr>
        <w:t>enève</w:t>
      </w:r>
    </w:p>
    <w:p w14:paraId="44D6516C" w14:textId="77777777" w:rsidR="001C4BE4" w:rsidRPr="00266235" w:rsidRDefault="001C4BE4" w:rsidP="001C4BE4">
      <w:pPr>
        <w:rPr>
          <w:szCs w:val="22"/>
          <w:u w:val="single"/>
          <w:lang w:val="fr-FR"/>
        </w:rPr>
      </w:pPr>
    </w:p>
    <w:p w14:paraId="6CFE628D" w14:textId="77777777" w:rsidR="001C4BE4" w:rsidRPr="001C4BE4" w:rsidRDefault="001C4BE4" w:rsidP="001C4BE4">
      <w:pPr>
        <w:rPr>
          <w:szCs w:val="22"/>
          <w:u w:val="single"/>
          <w:lang w:val="es-ES"/>
        </w:rPr>
      </w:pPr>
      <w:r w:rsidRPr="001C4BE4">
        <w:rPr>
          <w:szCs w:val="22"/>
          <w:u w:val="single"/>
          <w:lang w:val="es-ES"/>
        </w:rPr>
        <w:t xml:space="preserve">MALOCA </w:t>
      </w:r>
      <w:proofErr w:type="spellStart"/>
      <w:r w:rsidRPr="001C4BE4">
        <w:rPr>
          <w:szCs w:val="22"/>
          <w:u w:val="single"/>
          <w:lang w:val="es-ES"/>
        </w:rPr>
        <w:t>Internationale</w:t>
      </w:r>
      <w:proofErr w:type="spellEnd"/>
      <w:r w:rsidRPr="001C4BE4">
        <w:rPr>
          <w:szCs w:val="22"/>
          <w:u w:val="single"/>
          <w:lang w:val="es-ES"/>
        </w:rPr>
        <w:t xml:space="preserve"> </w:t>
      </w:r>
    </w:p>
    <w:p w14:paraId="7617BA4C" w14:textId="71742DB3" w:rsidR="001C4BE4" w:rsidRPr="001C4BE4" w:rsidRDefault="001C4BE4" w:rsidP="001C4BE4">
      <w:pPr>
        <w:rPr>
          <w:szCs w:val="22"/>
          <w:lang w:val="es-ES"/>
        </w:rPr>
      </w:pPr>
      <w:r w:rsidRPr="001C4BE4">
        <w:rPr>
          <w:szCs w:val="22"/>
          <w:lang w:val="es-ES"/>
        </w:rPr>
        <w:t>Leonardo RODRÍGUEZ PÉREZ</w:t>
      </w:r>
      <w:r w:rsidR="00D012FA">
        <w:rPr>
          <w:szCs w:val="22"/>
          <w:lang w:val="es-ES"/>
        </w:rPr>
        <w:t xml:space="preserve"> </w:t>
      </w:r>
      <w:r w:rsidR="00D012FA" w:rsidRPr="00C40D5D">
        <w:rPr>
          <w:szCs w:val="22"/>
          <w:lang w:val="es-ES"/>
        </w:rPr>
        <w:t>(Mr.)</w:t>
      </w:r>
      <w:r w:rsidRPr="001C4BE4">
        <w:rPr>
          <w:szCs w:val="22"/>
          <w:lang w:val="es-ES"/>
        </w:rPr>
        <w:t xml:space="preserve">, </w:t>
      </w:r>
      <w:proofErr w:type="spellStart"/>
      <w:r w:rsidRPr="001C4BE4">
        <w:rPr>
          <w:szCs w:val="22"/>
          <w:lang w:val="es-ES"/>
        </w:rPr>
        <w:t>Expert</w:t>
      </w:r>
      <w:proofErr w:type="spellEnd"/>
      <w:r w:rsidRPr="001C4BE4">
        <w:rPr>
          <w:szCs w:val="22"/>
          <w:lang w:val="es-ES"/>
        </w:rPr>
        <w:t>, Geneva</w:t>
      </w:r>
    </w:p>
    <w:p w14:paraId="0752F837" w14:textId="77777777" w:rsidR="001C4BE4" w:rsidRPr="001C4BE4" w:rsidRDefault="001C4BE4" w:rsidP="001C4BE4">
      <w:pPr>
        <w:rPr>
          <w:szCs w:val="22"/>
          <w:lang w:val="fr-FR"/>
        </w:rPr>
      </w:pPr>
      <w:r w:rsidRPr="001C4BE4">
        <w:rPr>
          <w:szCs w:val="22"/>
          <w:u w:val="single"/>
          <w:lang w:val="fr-FR"/>
        </w:rPr>
        <w:t xml:space="preserve">perez.rodriguez@graduateinstitute.ch </w:t>
      </w:r>
    </w:p>
    <w:p w14:paraId="1508FA2C" w14:textId="77777777" w:rsidR="001C4BE4" w:rsidRPr="001C4BE4" w:rsidRDefault="001C4BE4" w:rsidP="001C4BE4">
      <w:pPr>
        <w:rPr>
          <w:szCs w:val="22"/>
          <w:lang w:val="fr-FR"/>
        </w:rPr>
      </w:pPr>
    </w:p>
    <w:p w14:paraId="14723990" w14:textId="77777777" w:rsidR="001C4BE4" w:rsidRPr="001C4BE4" w:rsidRDefault="001C4BE4" w:rsidP="001C4BE4">
      <w:pPr>
        <w:rPr>
          <w:szCs w:val="22"/>
          <w:u w:val="single"/>
          <w:lang w:val="fr-FR"/>
        </w:rPr>
      </w:pPr>
      <w:r w:rsidRPr="001C4BE4">
        <w:rPr>
          <w:szCs w:val="22"/>
          <w:u w:val="single"/>
          <w:lang w:val="fr-FR"/>
        </w:rPr>
        <w:t xml:space="preserve">MARQUES - Association des propriétaires européens de marques de commerce/MARQUES - The Association of </w:t>
      </w:r>
      <w:proofErr w:type="spellStart"/>
      <w:r w:rsidRPr="001C4BE4">
        <w:rPr>
          <w:szCs w:val="22"/>
          <w:u w:val="single"/>
          <w:lang w:val="fr-FR"/>
        </w:rPr>
        <w:t>European</w:t>
      </w:r>
      <w:proofErr w:type="spellEnd"/>
      <w:r w:rsidRPr="001C4BE4">
        <w:rPr>
          <w:szCs w:val="22"/>
          <w:u w:val="single"/>
          <w:lang w:val="fr-FR"/>
        </w:rPr>
        <w:t xml:space="preserve"> </w:t>
      </w:r>
      <w:proofErr w:type="spellStart"/>
      <w:r w:rsidRPr="001C4BE4">
        <w:rPr>
          <w:szCs w:val="22"/>
          <w:u w:val="single"/>
          <w:lang w:val="fr-FR"/>
        </w:rPr>
        <w:t>Trademark</w:t>
      </w:r>
      <w:proofErr w:type="spellEnd"/>
      <w:r w:rsidRPr="001C4BE4">
        <w:rPr>
          <w:szCs w:val="22"/>
          <w:u w:val="single"/>
          <w:lang w:val="fr-FR"/>
        </w:rPr>
        <w:t xml:space="preserve"> </w:t>
      </w:r>
      <w:proofErr w:type="spellStart"/>
      <w:r w:rsidRPr="001C4BE4">
        <w:rPr>
          <w:szCs w:val="22"/>
          <w:u w:val="single"/>
          <w:lang w:val="fr-FR"/>
        </w:rPr>
        <w:t>Owners</w:t>
      </w:r>
      <w:proofErr w:type="spellEnd"/>
      <w:r w:rsidRPr="001C4BE4">
        <w:rPr>
          <w:szCs w:val="22"/>
          <w:u w:val="single"/>
          <w:lang w:val="fr-FR"/>
        </w:rPr>
        <w:t xml:space="preserve"> </w:t>
      </w:r>
    </w:p>
    <w:p w14:paraId="7D16F90A" w14:textId="77777777" w:rsidR="001C4BE4" w:rsidRPr="001C4BE4" w:rsidRDefault="001C4BE4" w:rsidP="001C4BE4">
      <w:pPr>
        <w:rPr>
          <w:szCs w:val="22"/>
        </w:rPr>
      </w:pPr>
      <w:r w:rsidRPr="001C4BE4">
        <w:rPr>
          <w:szCs w:val="22"/>
        </w:rPr>
        <w:t>Marion HEATHCOTE (Ms.), Expert Member, Sydney</w:t>
      </w:r>
    </w:p>
    <w:p w14:paraId="755CE985" w14:textId="77777777" w:rsidR="001C4BE4" w:rsidRPr="001C4BE4" w:rsidRDefault="001C4BE4" w:rsidP="001C4BE4">
      <w:pPr>
        <w:rPr>
          <w:szCs w:val="22"/>
        </w:rPr>
      </w:pPr>
    </w:p>
    <w:p w14:paraId="08777AF2" w14:textId="77777777" w:rsidR="001C4BE4" w:rsidRPr="001C4BE4" w:rsidRDefault="001C4BE4" w:rsidP="001C4BE4">
      <w:pPr>
        <w:rPr>
          <w:szCs w:val="22"/>
          <w:u w:val="single"/>
        </w:rPr>
      </w:pPr>
      <w:r w:rsidRPr="001C4BE4">
        <w:rPr>
          <w:szCs w:val="22"/>
          <w:u w:val="single"/>
        </w:rPr>
        <w:t xml:space="preserve">Native American Rights Fund (NARF) </w:t>
      </w:r>
    </w:p>
    <w:p w14:paraId="6AB4517B" w14:textId="4C8F395B" w:rsidR="001C4BE4" w:rsidRPr="001C4BE4" w:rsidRDefault="001C4BE4" w:rsidP="001C4BE4">
      <w:pPr>
        <w:rPr>
          <w:szCs w:val="22"/>
        </w:rPr>
      </w:pPr>
      <w:r w:rsidRPr="001C4BE4">
        <w:rPr>
          <w:szCs w:val="22"/>
        </w:rPr>
        <w:t>Kim Jerome GOTTSCHALK</w:t>
      </w:r>
      <w:r w:rsidR="00D012FA">
        <w:rPr>
          <w:szCs w:val="22"/>
        </w:rPr>
        <w:t xml:space="preserve"> (Mr.)</w:t>
      </w:r>
      <w:r w:rsidRPr="001C4BE4">
        <w:rPr>
          <w:szCs w:val="22"/>
        </w:rPr>
        <w:t>, Staff Attorney, Boulder</w:t>
      </w:r>
    </w:p>
    <w:p w14:paraId="22A6C509" w14:textId="77777777" w:rsidR="001C4BE4" w:rsidRPr="001C4BE4" w:rsidRDefault="001C4BE4" w:rsidP="001C4BE4">
      <w:pPr>
        <w:rPr>
          <w:szCs w:val="22"/>
        </w:rPr>
      </w:pPr>
      <w:r w:rsidRPr="001C4BE4">
        <w:rPr>
          <w:szCs w:val="22"/>
          <w:u w:val="single"/>
        </w:rPr>
        <w:t xml:space="preserve">jeronimo@narf.org </w:t>
      </w:r>
    </w:p>
    <w:p w14:paraId="72E1AC94" w14:textId="77777777" w:rsidR="001C4BE4" w:rsidRPr="001C4BE4" w:rsidRDefault="001C4BE4" w:rsidP="001C4BE4">
      <w:pPr>
        <w:rPr>
          <w:szCs w:val="22"/>
        </w:rPr>
      </w:pPr>
      <w:r w:rsidRPr="001C4BE4">
        <w:rPr>
          <w:szCs w:val="22"/>
        </w:rPr>
        <w:t>Susan NOE (Ms.), Staff Attorney, Boulder</w:t>
      </w:r>
    </w:p>
    <w:p w14:paraId="56A6A073" w14:textId="77777777" w:rsidR="001C4BE4" w:rsidRPr="001C4BE4" w:rsidRDefault="001C4BE4" w:rsidP="001C4BE4">
      <w:pPr>
        <w:rPr>
          <w:szCs w:val="22"/>
          <w:lang w:val="es-ES"/>
        </w:rPr>
      </w:pPr>
      <w:r w:rsidRPr="001C4BE4">
        <w:rPr>
          <w:szCs w:val="22"/>
          <w:u w:val="single"/>
          <w:lang w:val="es-ES"/>
        </w:rPr>
        <w:t xml:space="preserve">suenoe@narf.org </w:t>
      </w:r>
    </w:p>
    <w:p w14:paraId="51665130" w14:textId="77777777" w:rsidR="001C4BE4" w:rsidRPr="001C4BE4" w:rsidRDefault="001C4BE4" w:rsidP="001C4BE4">
      <w:pPr>
        <w:rPr>
          <w:szCs w:val="22"/>
          <w:lang w:val="es-ES"/>
        </w:rPr>
      </w:pPr>
    </w:p>
    <w:p w14:paraId="5D45907A" w14:textId="77777777" w:rsidR="001C4BE4" w:rsidRPr="001C4BE4" w:rsidRDefault="001C4BE4" w:rsidP="001C4BE4">
      <w:pPr>
        <w:rPr>
          <w:szCs w:val="22"/>
          <w:u w:val="single"/>
          <w:lang w:val="es-ES"/>
        </w:rPr>
      </w:pPr>
      <w:r w:rsidRPr="001C4BE4">
        <w:rPr>
          <w:szCs w:val="22"/>
          <w:u w:val="single"/>
          <w:lang w:val="es-ES"/>
        </w:rPr>
        <w:t xml:space="preserve">Proyecto ETNOMAT, Departamento de Antropología Social, Universidad de Barcelona (España) </w:t>
      </w:r>
    </w:p>
    <w:p w14:paraId="50C483B1" w14:textId="77777777" w:rsidR="001C4BE4" w:rsidRPr="001C4BE4" w:rsidRDefault="001C4BE4" w:rsidP="001C4BE4">
      <w:pPr>
        <w:rPr>
          <w:szCs w:val="22"/>
          <w:lang w:val="es-ES"/>
        </w:rPr>
      </w:pPr>
      <w:proofErr w:type="spellStart"/>
      <w:r w:rsidRPr="001C4BE4">
        <w:rPr>
          <w:szCs w:val="22"/>
          <w:lang w:val="es-ES"/>
        </w:rPr>
        <w:t>Mònica</w:t>
      </w:r>
      <w:proofErr w:type="spellEnd"/>
      <w:r w:rsidRPr="001C4BE4">
        <w:rPr>
          <w:szCs w:val="22"/>
          <w:lang w:val="es-ES"/>
        </w:rPr>
        <w:t xml:space="preserve"> MARTÍNEZ MAURI (Sra.), Investigadora Principal, Barcelona</w:t>
      </w:r>
    </w:p>
    <w:p w14:paraId="1DFD024E" w14:textId="77777777" w:rsidR="001C4BE4" w:rsidRPr="001C4BE4" w:rsidRDefault="001C4BE4" w:rsidP="001C4BE4">
      <w:pPr>
        <w:rPr>
          <w:szCs w:val="22"/>
        </w:rPr>
      </w:pPr>
      <w:r w:rsidRPr="001C4BE4">
        <w:rPr>
          <w:szCs w:val="22"/>
          <w:u w:val="single"/>
        </w:rPr>
        <w:t xml:space="preserve">martinezmauri@ub.edu </w:t>
      </w:r>
    </w:p>
    <w:p w14:paraId="0E4E3E7C" w14:textId="77777777" w:rsidR="001C4BE4" w:rsidRPr="001C4BE4" w:rsidRDefault="001C4BE4" w:rsidP="001C4BE4">
      <w:pPr>
        <w:rPr>
          <w:szCs w:val="22"/>
        </w:rPr>
      </w:pPr>
    </w:p>
    <w:p w14:paraId="6ABFCDD9" w14:textId="77777777" w:rsidR="001C4BE4" w:rsidRPr="001C4BE4" w:rsidRDefault="001C4BE4" w:rsidP="001C4BE4">
      <w:pPr>
        <w:rPr>
          <w:szCs w:val="22"/>
          <w:u w:val="single"/>
        </w:rPr>
      </w:pPr>
      <w:r w:rsidRPr="001C4BE4">
        <w:rPr>
          <w:szCs w:val="22"/>
          <w:u w:val="single"/>
        </w:rPr>
        <w:t xml:space="preserve">Sámi Parliamentary Council (SPC) </w:t>
      </w:r>
    </w:p>
    <w:p w14:paraId="5B48DD84" w14:textId="77777777" w:rsidR="001C4BE4" w:rsidRPr="001C4BE4" w:rsidRDefault="001C4BE4" w:rsidP="001C4BE4">
      <w:pPr>
        <w:rPr>
          <w:szCs w:val="22"/>
        </w:rPr>
      </w:pPr>
      <w:r w:rsidRPr="001C4BE4">
        <w:rPr>
          <w:szCs w:val="22"/>
        </w:rPr>
        <w:t xml:space="preserve">Inka </w:t>
      </w:r>
      <w:proofErr w:type="spellStart"/>
      <w:r w:rsidRPr="001C4BE4">
        <w:rPr>
          <w:szCs w:val="22"/>
        </w:rPr>
        <w:t>Saara</w:t>
      </w:r>
      <w:proofErr w:type="spellEnd"/>
      <w:r w:rsidRPr="001C4BE4">
        <w:rPr>
          <w:szCs w:val="22"/>
        </w:rPr>
        <w:t xml:space="preserve"> ARTTIJEFF (Ms.), Adviser, Inari</w:t>
      </w:r>
    </w:p>
    <w:p w14:paraId="1566E912" w14:textId="77777777" w:rsidR="001C4BE4" w:rsidRPr="001C4BE4" w:rsidRDefault="001C4BE4" w:rsidP="001C4BE4">
      <w:pPr>
        <w:rPr>
          <w:szCs w:val="22"/>
          <w:lang w:val="es-ES"/>
        </w:rPr>
      </w:pPr>
      <w:r w:rsidRPr="001C4BE4">
        <w:rPr>
          <w:szCs w:val="22"/>
          <w:u w:val="single"/>
          <w:lang w:val="es-ES"/>
        </w:rPr>
        <w:t xml:space="preserve">inka-saara.arttijeff@samediggi.fi </w:t>
      </w:r>
    </w:p>
    <w:p w14:paraId="28082265" w14:textId="77777777" w:rsidR="001C4BE4" w:rsidRPr="001C4BE4" w:rsidRDefault="001C4BE4" w:rsidP="001C4BE4">
      <w:pPr>
        <w:rPr>
          <w:szCs w:val="22"/>
          <w:lang w:val="es-ES"/>
        </w:rPr>
      </w:pPr>
    </w:p>
    <w:p w14:paraId="5B1C41C6" w14:textId="77777777" w:rsidR="001C4BE4" w:rsidRPr="001C4BE4" w:rsidRDefault="001C4BE4" w:rsidP="001C4BE4">
      <w:pPr>
        <w:rPr>
          <w:szCs w:val="22"/>
          <w:u w:val="single"/>
          <w:lang w:val="es-ES"/>
        </w:rPr>
      </w:pPr>
      <w:proofErr w:type="spellStart"/>
      <w:r w:rsidRPr="001C4BE4">
        <w:rPr>
          <w:szCs w:val="22"/>
          <w:u w:val="single"/>
          <w:lang w:val="es-ES"/>
        </w:rPr>
        <w:t>Società</w:t>
      </w:r>
      <w:proofErr w:type="spellEnd"/>
      <w:r w:rsidRPr="001C4BE4">
        <w:rPr>
          <w:szCs w:val="22"/>
          <w:u w:val="single"/>
          <w:lang w:val="es-ES"/>
        </w:rPr>
        <w:t xml:space="preserve"> Italiana per la </w:t>
      </w:r>
      <w:proofErr w:type="spellStart"/>
      <w:r w:rsidRPr="001C4BE4">
        <w:rPr>
          <w:szCs w:val="22"/>
          <w:u w:val="single"/>
          <w:lang w:val="es-ES"/>
        </w:rPr>
        <w:t>Museografia</w:t>
      </w:r>
      <w:proofErr w:type="spellEnd"/>
      <w:r w:rsidRPr="001C4BE4">
        <w:rPr>
          <w:szCs w:val="22"/>
          <w:u w:val="single"/>
          <w:lang w:val="es-ES"/>
        </w:rPr>
        <w:t xml:space="preserve"> e i Beni </w:t>
      </w:r>
      <w:proofErr w:type="spellStart"/>
      <w:r w:rsidRPr="001C4BE4">
        <w:rPr>
          <w:szCs w:val="22"/>
          <w:u w:val="single"/>
          <w:lang w:val="es-ES"/>
        </w:rPr>
        <w:t>Demoetnoantropologici</w:t>
      </w:r>
      <w:proofErr w:type="spellEnd"/>
      <w:r w:rsidRPr="001C4BE4">
        <w:rPr>
          <w:szCs w:val="22"/>
          <w:u w:val="single"/>
          <w:lang w:val="es-ES"/>
        </w:rPr>
        <w:t xml:space="preserve"> (SIMBDEA) </w:t>
      </w:r>
    </w:p>
    <w:p w14:paraId="661434E6" w14:textId="77777777" w:rsidR="001C4BE4" w:rsidRPr="001C4BE4" w:rsidRDefault="001C4BE4" w:rsidP="001C4BE4">
      <w:pPr>
        <w:rPr>
          <w:szCs w:val="22"/>
        </w:rPr>
      </w:pPr>
      <w:r w:rsidRPr="001C4BE4">
        <w:rPr>
          <w:szCs w:val="22"/>
        </w:rPr>
        <w:t>Harriet DEACON (Ms.), Member, Epsom</w:t>
      </w:r>
    </w:p>
    <w:p w14:paraId="303E51F1" w14:textId="77777777" w:rsidR="001C4BE4" w:rsidRPr="001C4BE4" w:rsidRDefault="001C4BE4" w:rsidP="001C4BE4">
      <w:pPr>
        <w:rPr>
          <w:szCs w:val="22"/>
        </w:rPr>
      </w:pPr>
    </w:p>
    <w:p w14:paraId="61DA6417" w14:textId="77777777" w:rsidR="001C4BE4" w:rsidRPr="001C4BE4" w:rsidRDefault="001C4BE4" w:rsidP="001C4BE4">
      <w:pPr>
        <w:rPr>
          <w:szCs w:val="22"/>
          <w:u w:val="single"/>
        </w:rPr>
      </w:pPr>
      <w:proofErr w:type="spellStart"/>
      <w:r w:rsidRPr="001C4BE4">
        <w:rPr>
          <w:szCs w:val="22"/>
          <w:u w:val="single"/>
        </w:rPr>
        <w:t>Tebtebba</w:t>
      </w:r>
      <w:proofErr w:type="spellEnd"/>
      <w:r w:rsidRPr="001C4BE4">
        <w:rPr>
          <w:szCs w:val="22"/>
          <w:u w:val="single"/>
        </w:rPr>
        <w:t xml:space="preserve"> Foundation - Indigenous Peoples’ International Centre for Policy Research and Education </w:t>
      </w:r>
    </w:p>
    <w:p w14:paraId="123EA285" w14:textId="77777777" w:rsidR="001C4BE4" w:rsidRPr="001C4BE4" w:rsidRDefault="001C4BE4" w:rsidP="001C4BE4">
      <w:pPr>
        <w:rPr>
          <w:szCs w:val="22"/>
        </w:rPr>
      </w:pPr>
      <w:r w:rsidRPr="001C4BE4">
        <w:rPr>
          <w:szCs w:val="22"/>
        </w:rPr>
        <w:t xml:space="preserve">Jennifer TAULI CORPUZ (Ms.), Legal Coordinator, </w:t>
      </w:r>
      <w:proofErr w:type="spellStart"/>
      <w:r w:rsidRPr="001C4BE4">
        <w:rPr>
          <w:szCs w:val="22"/>
        </w:rPr>
        <w:t>Quenzon</w:t>
      </w:r>
      <w:proofErr w:type="spellEnd"/>
      <w:r w:rsidRPr="001C4BE4">
        <w:rPr>
          <w:szCs w:val="22"/>
        </w:rPr>
        <w:t xml:space="preserve"> City</w:t>
      </w:r>
    </w:p>
    <w:p w14:paraId="07ED8BD5" w14:textId="77777777" w:rsidR="00266235" w:rsidRPr="00737182" w:rsidRDefault="00266235" w:rsidP="00266235">
      <w:pPr>
        <w:rPr>
          <w:szCs w:val="22"/>
          <w:u w:val="single"/>
        </w:rPr>
      </w:pPr>
    </w:p>
    <w:p w14:paraId="3F1A10BE" w14:textId="77777777" w:rsidR="00266235" w:rsidRPr="00737182" w:rsidRDefault="00266235" w:rsidP="00266235">
      <w:pPr>
        <w:rPr>
          <w:szCs w:val="22"/>
          <w:u w:val="single"/>
        </w:rPr>
      </w:pPr>
      <w:r w:rsidRPr="00737182">
        <w:rPr>
          <w:szCs w:val="22"/>
          <w:u w:val="single"/>
        </w:rPr>
        <w:t xml:space="preserve">Traditions pour </w:t>
      </w:r>
      <w:proofErr w:type="spellStart"/>
      <w:r w:rsidRPr="00737182">
        <w:rPr>
          <w:szCs w:val="22"/>
          <w:u w:val="single"/>
        </w:rPr>
        <w:t>demain</w:t>
      </w:r>
      <w:proofErr w:type="spellEnd"/>
      <w:r w:rsidRPr="00737182">
        <w:rPr>
          <w:szCs w:val="22"/>
          <w:u w:val="single"/>
        </w:rPr>
        <w:t xml:space="preserve">/Traditions for Tomorrow </w:t>
      </w:r>
    </w:p>
    <w:p w14:paraId="660122DC" w14:textId="77777777" w:rsidR="00266235" w:rsidRPr="00737182" w:rsidRDefault="00266235" w:rsidP="00266235">
      <w:pPr>
        <w:rPr>
          <w:szCs w:val="22"/>
        </w:rPr>
      </w:pPr>
      <w:r w:rsidRPr="00737182">
        <w:rPr>
          <w:szCs w:val="22"/>
        </w:rPr>
        <w:t>Claire LAURANT (</w:t>
      </w:r>
      <w:proofErr w:type="spellStart"/>
      <w:r w:rsidRPr="00737182">
        <w:rPr>
          <w:szCs w:val="22"/>
        </w:rPr>
        <w:t>Mme</w:t>
      </w:r>
      <w:proofErr w:type="spellEnd"/>
      <w:r w:rsidRPr="00737182">
        <w:rPr>
          <w:szCs w:val="22"/>
        </w:rPr>
        <w:t xml:space="preserve">), </w:t>
      </w:r>
      <w:proofErr w:type="spellStart"/>
      <w:r w:rsidRPr="00737182">
        <w:rPr>
          <w:szCs w:val="22"/>
        </w:rPr>
        <w:t>deléguée</w:t>
      </w:r>
      <w:proofErr w:type="spellEnd"/>
      <w:r w:rsidRPr="00737182">
        <w:rPr>
          <w:szCs w:val="22"/>
        </w:rPr>
        <w:t>, Rolle</w:t>
      </w:r>
    </w:p>
    <w:p w14:paraId="54A349F5" w14:textId="77777777" w:rsidR="001C4BE4" w:rsidRPr="00737182" w:rsidRDefault="001C4BE4" w:rsidP="001C4BE4">
      <w:pPr>
        <w:rPr>
          <w:szCs w:val="22"/>
        </w:rPr>
      </w:pPr>
    </w:p>
    <w:p w14:paraId="17591565" w14:textId="77777777" w:rsidR="001C4BE4" w:rsidRPr="001C4BE4" w:rsidRDefault="001C4BE4" w:rsidP="001C4BE4">
      <w:pPr>
        <w:rPr>
          <w:szCs w:val="22"/>
          <w:u w:val="single"/>
        </w:rPr>
      </w:pPr>
      <w:r w:rsidRPr="001C4BE4">
        <w:rPr>
          <w:szCs w:val="22"/>
          <w:u w:val="single"/>
        </w:rPr>
        <w:t xml:space="preserve">Tulalip Tribes of Washington Governmental Affairs Department </w:t>
      </w:r>
    </w:p>
    <w:p w14:paraId="4F9691EA" w14:textId="4254BB03" w:rsidR="001C4BE4" w:rsidRPr="001C4BE4" w:rsidRDefault="001C4BE4" w:rsidP="001C4BE4">
      <w:pPr>
        <w:rPr>
          <w:szCs w:val="22"/>
        </w:rPr>
      </w:pPr>
      <w:r w:rsidRPr="001C4BE4">
        <w:rPr>
          <w:szCs w:val="22"/>
        </w:rPr>
        <w:t>Raymond FRYBERG</w:t>
      </w:r>
      <w:r w:rsidR="00D012FA">
        <w:rPr>
          <w:szCs w:val="22"/>
        </w:rPr>
        <w:t xml:space="preserve"> (Mr.)</w:t>
      </w:r>
      <w:r w:rsidRPr="001C4BE4">
        <w:rPr>
          <w:szCs w:val="22"/>
        </w:rPr>
        <w:t>, Director of National Resources, Tulalip</w:t>
      </w:r>
    </w:p>
    <w:p w14:paraId="5E68B01F" w14:textId="0FAC4D98" w:rsidR="001C4BE4" w:rsidRPr="001C4BE4" w:rsidRDefault="001C4BE4" w:rsidP="001C4BE4">
      <w:pPr>
        <w:rPr>
          <w:szCs w:val="22"/>
        </w:rPr>
      </w:pPr>
      <w:r w:rsidRPr="001C4BE4">
        <w:rPr>
          <w:szCs w:val="22"/>
        </w:rPr>
        <w:t>Preston HARDISON</w:t>
      </w:r>
      <w:r w:rsidR="00D012FA">
        <w:rPr>
          <w:szCs w:val="22"/>
        </w:rPr>
        <w:t xml:space="preserve"> (Mr.)</w:t>
      </w:r>
      <w:r w:rsidRPr="001C4BE4">
        <w:rPr>
          <w:szCs w:val="22"/>
        </w:rPr>
        <w:t>, Policy Analyst, Seattle</w:t>
      </w:r>
    </w:p>
    <w:p w14:paraId="7139879A" w14:textId="77777777" w:rsidR="001C4BE4" w:rsidRPr="00C40D5D" w:rsidRDefault="001C4BE4" w:rsidP="001C4BE4">
      <w:pPr>
        <w:rPr>
          <w:szCs w:val="22"/>
          <w:lang w:val="fr-FR"/>
        </w:rPr>
      </w:pPr>
      <w:r w:rsidRPr="00C40D5D">
        <w:rPr>
          <w:szCs w:val="22"/>
          <w:u w:val="single"/>
          <w:lang w:val="fr-FR"/>
        </w:rPr>
        <w:t xml:space="preserve">prestonh@comcast.net </w:t>
      </w:r>
    </w:p>
    <w:p w14:paraId="4713FFD4" w14:textId="77777777" w:rsidR="001C4BE4" w:rsidRPr="00C40D5D" w:rsidRDefault="001C4BE4" w:rsidP="001C4BE4">
      <w:pPr>
        <w:rPr>
          <w:szCs w:val="22"/>
          <w:lang w:val="fr-FR"/>
        </w:rPr>
      </w:pPr>
    </w:p>
    <w:p w14:paraId="654A3C9C" w14:textId="77777777" w:rsidR="001C4BE4" w:rsidRPr="001C4BE4" w:rsidRDefault="001C4BE4" w:rsidP="001C4BE4">
      <w:pPr>
        <w:rPr>
          <w:szCs w:val="22"/>
          <w:u w:val="single"/>
          <w:lang w:val="fr-FR"/>
        </w:rPr>
      </w:pPr>
      <w:r w:rsidRPr="001C4BE4">
        <w:rPr>
          <w:szCs w:val="22"/>
          <w:u w:val="single"/>
          <w:lang w:val="fr-FR"/>
        </w:rPr>
        <w:t xml:space="preserve">Union internationale des éditeurs (UIE)/International </w:t>
      </w:r>
      <w:proofErr w:type="spellStart"/>
      <w:r w:rsidRPr="001C4BE4">
        <w:rPr>
          <w:szCs w:val="22"/>
          <w:u w:val="single"/>
          <w:lang w:val="fr-FR"/>
        </w:rPr>
        <w:t>Publishers</w:t>
      </w:r>
      <w:proofErr w:type="spellEnd"/>
      <w:r w:rsidRPr="001C4BE4">
        <w:rPr>
          <w:szCs w:val="22"/>
          <w:u w:val="single"/>
          <w:lang w:val="fr-FR"/>
        </w:rPr>
        <w:t xml:space="preserve"> Association (IPA) </w:t>
      </w:r>
    </w:p>
    <w:p w14:paraId="6C040948" w14:textId="31736366" w:rsidR="001C4BE4" w:rsidRPr="001C4BE4" w:rsidRDefault="001C4BE4" w:rsidP="001C4BE4">
      <w:pPr>
        <w:rPr>
          <w:szCs w:val="22"/>
        </w:rPr>
      </w:pPr>
      <w:r w:rsidRPr="001C4BE4">
        <w:rPr>
          <w:szCs w:val="22"/>
        </w:rPr>
        <w:t>Ben STEWARD</w:t>
      </w:r>
      <w:r w:rsidR="00D012FA">
        <w:rPr>
          <w:szCs w:val="22"/>
        </w:rPr>
        <w:t xml:space="preserve"> (Mr.)</w:t>
      </w:r>
      <w:r w:rsidRPr="001C4BE4">
        <w:rPr>
          <w:szCs w:val="22"/>
        </w:rPr>
        <w:t>, Director, Communications and Freedom to Publish, Geneva</w:t>
      </w:r>
    </w:p>
    <w:p w14:paraId="71E4FC79" w14:textId="77777777" w:rsidR="001C4BE4" w:rsidRPr="00C40D5D" w:rsidRDefault="001C4BE4" w:rsidP="001C4BE4">
      <w:pPr>
        <w:rPr>
          <w:szCs w:val="22"/>
        </w:rPr>
      </w:pPr>
      <w:r w:rsidRPr="00C40D5D">
        <w:rPr>
          <w:szCs w:val="22"/>
          <w:u w:val="single"/>
        </w:rPr>
        <w:t xml:space="preserve">steward@internationalpublishers.org </w:t>
      </w:r>
    </w:p>
    <w:p w14:paraId="78B6AEC1" w14:textId="77777777" w:rsidR="001C4BE4" w:rsidRPr="00C40D5D" w:rsidRDefault="001C4BE4" w:rsidP="001C4BE4">
      <w:pPr>
        <w:rPr>
          <w:szCs w:val="22"/>
        </w:rPr>
      </w:pPr>
    </w:p>
    <w:p w14:paraId="135B2B9C" w14:textId="77777777" w:rsidR="001C4BE4" w:rsidRPr="00C40D5D" w:rsidRDefault="001C4BE4" w:rsidP="001C4BE4">
      <w:pPr>
        <w:rPr>
          <w:szCs w:val="22"/>
          <w:u w:val="single"/>
        </w:rPr>
      </w:pPr>
      <w:proofErr w:type="spellStart"/>
      <w:r w:rsidRPr="00C40D5D">
        <w:rPr>
          <w:szCs w:val="22"/>
          <w:u w:val="single"/>
        </w:rPr>
        <w:t>Université</w:t>
      </w:r>
      <w:proofErr w:type="spellEnd"/>
      <w:r w:rsidRPr="00C40D5D">
        <w:rPr>
          <w:szCs w:val="22"/>
          <w:u w:val="single"/>
        </w:rPr>
        <w:t xml:space="preserve"> de Lausanne (IEPHI)/University of Lausanne (IEPHI) </w:t>
      </w:r>
    </w:p>
    <w:p w14:paraId="2BA4BF23" w14:textId="7E8E411D" w:rsidR="001C4BE4" w:rsidRPr="00C40D5D" w:rsidRDefault="001C4BE4" w:rsidP="001C4BE4">
      <w:pPr>
        <w:rPr>
          <w:szCs w:val="22"/>
        </w:rPr>
      </w:pPr>
      <w:r w:rsidRPr="00C40D5D">
        <w:rPr>
          <w:szCs w:val="22"/>
        </w:rPr>
        <w:t>Nicolas HOUET</w:t>
      </w:r>
      <w:r w:rsidR="00D012FA">
        <w:rPr>
          <w:szCs w:val="22"/>
        </w:rPr>
        <w:t xml:space="preserve"> (Mr.)</w:t>
      </w:r>
      <w:r w:rsidRPr="00C40D5D">
        <w:rPr>
          <w:szCs w:val="22"/>
        </w:rPr>
        <w:t>, Researcher, Lausanne</w:t>
      </w:r>
    </w:p>
    <w:p w14:paraId="6A4575C8" w14:textId="77777777" w:rsidR="001C4BE4" w:rsidRPr="00C40D5D" w:rsidRDefault="001C4BE4" w:rsidP="001C4BE4">
      <w:pPr>
        <w:rPr>
          <w:szCs w:val="22"/>
        </w:rPr>
      </w:pPr>
      <w:r w:rsidRPr="00C40D5D">
        <w:rPr>
          <w:szCs w:val="22"/>
          <w:u w:val="single"/>
        </w:rPr>
        <w:t xml:space="preserve">nicolas.houet@unil.ch </w:t>
      </w:r>
    </w:p>
    <w:p w14:paraId="05C47238" w14:textId="77777777" w:rsidR="001C4BE4" w:rsidRPr="00C40D5D" w:rsidRDefault="001C4BE4" w:rsidP="001C4BE4">
      <w:pPr>
        <w:rPr>
          <w:szCs w:val="22"/>
        </w:rPr>
      </w:pPr>
    </w:p>
    <w:p w14:paraId="5C5E8BC9" w14:textId="77777777" w:rsidR="001C4BE4" w:rsidRPr="00C40D5D" w:rsidRDefault="001C4BE4" w:rsidP="001C4BE4">
      <w:pPr>
        <w:rPr>
          <w:szCs w:val="22"/>
        </w:rPr>
      </w:pPr>
    </w:p>
    <w:p w14:paraId="322575C3" w14:textId="77777777" w:rsidR="001C4BE4" w:rsidRPr="00C40D5D" w:rsidRDefault="001C4BE4" w:rsidP="001C4BE4">
      <w:pPr>
        <w:rPr>
          <w:szCs w:val="22"/>
        </w:rPr>
      </w:pPr>
    </w:p>
    <w:p w14:paraId="62238837" w14:textId="77777777" w:rsidR="006A0BAC" w:rsidRDefault="006A0BAC" w:rsidP="00266235">
      <w:pPr>
        <w:ind w:left="450" w:hanging="450"/>
        <w:rPr>
          <w:caps/>
          <w:sz w:val="24"/>
          <w:szCs w:val="22"/>
        </w:rPr>
      </w:pPr>
    </w:p>
    <w:p w14:paraId="251F8703" w14:textId="77777777" w:rsidR="0095463F" w:rsidRDefault="0095463F" w:rsidP="00266235">
      <w:pPr>
        <w:ind w:left="450" w:hanging="450"/>
        <w:rPr>
          <w:caps/>
          <w:sz w:val="24"/>
          <w:szCs w:val="22"/>
        </w:rPr>
      </w:pPr>
    </w:p>
    <w:p w14:paraId="458B530F" w14:textId="77777777" w:rsidR="0095463F" w:rsidRDefault="0095463F" w:rsidP="00266235">
      <w:pPr>
        <w:ind w:left="450" w:hanging="450"/>
        <w:rPr>
          <w:caps/>
          <w:sz w:val="24"/>
          <w:szCs w:val="22"/>
        </w:rPr>
      </w:pPr>
    </w:p>
    <w:p w14:paraId="0CFE3F8B" w14:textId="77777777" w:rsidR="0095463F" w:rsidRPr="00C40D5D" w:rsidRDefault="0095463F" w:rsidP="00266235">
      <w:pPr>
        <w:ind w:left="450" w:hanging="450"/>
        <w:rPr>
          <w:caps/>
          <w:sz w:val="24"/>
          <w:szCs w:val="22"/>
        </w:rPr>
      </w:pPr>
    </w:p>
    <w:p w14:paraId="082D7FAC" w14:textId="77777777" w:rsidR="001C4BE4" w:rsidRPr="001C4BE4" w:rsidRDefault="001C4BE4" w:rsidP="00266235">
      <w:pPr>
        <w:ind w:left="450" w:hanging="450"/>
        <w:rPr>
          <w:szCs w:val="22"/>
          <w:u w:val="single"/>
          <w:lang w:val="fr-FR"/>
        </w:rPr>
      </w:pPr>
      <w:r w:rsidRPr="00C40D5D">
        <w:rPr>
          <w:caps/>
          <w:sz w:val="24"/>
          <w:szCs w:val="22"/>
          <w:lang w:val="fr-FR"/>
        </w:rPr>
        <w:t xml:space="preserve">VI.  </w:t>
      </w:r>
      <w:r w:rsidRPr="001C4BE4">
        <w:rPr>
          <w:caps/>
          <w:sz w:val="24"/>
          <w:szCs w:val="22"/>
          <w:u w:val="single"/>
          <w:lang w:val="fr-FR"/>
        </w:rPr>
        <w:t>groupe des communautÉs autochtones et locales/</w:t>
      </w:r>
      <w:r w:rsidRPr="001C4BE4">
        <w:rPr>
          <w:caps/>
          <w:sz w:val="24"/>
          <w:szCs w:val="22"/>
          <w:u w:val="single"/>
          <w:lang w:val="fr-FR"/>
        </w:rPr>
        <w:br/>
      </w:r>
      <w:r w:rsidRPr="001C4BE4">
        <w:rPr>
          <w:szCs w:val="22"/>
          <w:u w:val="single"/>
          <w:lang w:val="fr-FR"/>
        </w:rPr>
        <w:t>INDIGENOUS PANEL</w:t>
      </w:r>
    </w:p>
    <w:p w14:paraId="5487AD38" w14:textId="77777777" w:rsidR="001C4BE4" w:rsidRPr="001C4BE4" w:rsidRDefault="001C4BE4" w:rsidP="001C4BE4">
      <w:pPr>
        <w:rPr>
          <w:szCs w:val="22"/>
          <w:u w:val="single"/>
          <w:lang w:val="fr-FR"/>
        </w:rPr>
      </w:pPr>
    </w:p>
    <w:p w14:paraId="740D1EF9" w14:textId="77777777" w:rsidR="001C4BE4" w:rsidRPr="001C4BE4" w:rsidRDefault="001C4BE4" w:rsidP="001C4BE4">
      <w:pPr>
        <w:rPr>
          <w:szCs w:val="22"/>
          <w:u w:val="single"/>
          <w:lang w:val="fr-FR"/>
        </w:rPr>
      </w:pPr>
    </w:p>
    <w:p w14:paraId="366A2A4C" w14:textId="67ACB48A" w:rsidR="001C4BE4" w:rsidRPr="001C4BE4" w:rsidRDefault="001C4BE4" w:rsidP="001C4BE4">
      <w:pPr>
        <w:rPr>
          <w:szCs w:val="22"/>
        </w:rPr>
      </w:pPr>
      <w:r w:rsidRPr="001C4BE4">
        <w:rPr>
          <w:szCs w:val="22"/>
        </w:rPr>
        <w:t>James ANAYA</w:t>
      </w:r>
      <w:r w:rsidR="00D012FA">
        <w:rPr>
          <w:szCs w:val="22"/>
        </w:rPr>
        <w:t xml:space="preserve"> (Mr.)</w:t>
      </w:r>
      <w:r w:rsidRPr="001C4BE4">
        <w:rPr>
          <w:szCs w:val="22"/>
        </w:rPr>
        <w:t>, Dean and Thomson Professor of Law, University of Colorado Law School, Colorado</w:t>
      </w:r>
    </w:p>
    <w:p w14:paraId="21E5788F" w14:textId="77777777" w:rsidR="001C4BE4" w:rsidRPr="001C4BE4" w:rsidRDefault="001C4BE4" w:rsidP="001C4BE4">
      <w:pPr>
        <w:rPr>
          <w:szCs w:val="22"/>
          <w:u w:val="single"/>
        </w:rPr>
      </w:pPr>
    </w:p>
    <w:p w14:paraId="7B4EBC58" w14:textId="77777777" w:rsidR="001C4BE4" w:rsidRPr="001C4BE4" w:rsidRDefault="001C4BE4" w:rsidP="001C4BE4">
      <w:pPr>
        <w:rPr>
          <w:szCs w:val="22"/>
        </w:rPr>
      </w:pPr>
      <w:r w:rsidRPr="001C4BE4">
        <w:rPr>
          <w:szCs w:val="22"/>
        </w:rPr>
        <w:t xml:space="preserve">Aroha </w:t>
      </w:r>
      <w:proofErr w:type="spellStart"/>
      <w:r w:rsidRPr="001C4BE4">
        <w:rPr>
          <w:szCs w:val="22"/>
        </w:rPr>
        <w:t>Te</w:t>
      </w:r>
      <w:proofErr w:type="spellEnd"/>
      <w:r w:rsidRPr="001C4BE4">
        <w:rPr>
          <w:szCs w:val="22"/>
        </w:rPr>
        <w:t xml:space="preserve"> </w:t>
      </w:r>
      <w:proofErr w:type="spellStart"/>
      <w:r w:rsidRPr="001C4BE4">
        <w:rPr>
          <w:szCs w:val="22"/>
        </w:rPr>
        <w:t>Pareake</w:t>
      </w:r>
      <w:proofErr w:type="spellEnd"/>
      <w:r w:rsidRPr="001C4BE4">
        <w:rPr>
          <w:szCs w:val="22"/>
        </w:rPr>
        <w:t xml:space="preserve"> MEAD (Ms.), Member, </w:t>
      </w:r>
      <w:proofErr w:type="spellStart"/>
      <w:r w:rsidRPr="001C4BE4">
        <w:rPr>
          <w:szCs w:val="22"/>
        </w:rPr>
        <w:t>Ngati</w:t>
      </w:r>
      <w:proofErr w:type="spellEnd"/>
      <w:r w:rsidRPr="001C4BE4">
        <w:rPr>
          <w:szCs w:val="22"/>
        </w:rPr>
        <w:t xml:space="preserve"> Awa and </w:t>
      </w:r>
      <w:proofErr w:type="spellStart"/>
      <w:r w:rsidRPr="001C4BE4">
        <w:rPr>
          <w:szCs w:val="22"/>
        </w:rPr>
        <w:t>Ngati</w:t>
      </w:r>
      <w:proofErr w:type="spellEnd"/>
      <w:r w:rsidRPr="001C4BE4">
        <w:rPr>
          <w:szCs w:val="22"/>
        </w:rPr>
        <w:t xml:space="preserve"> </w:t>
      </w:r>
      <w:proofErr w:type="spellStart"/>
      <w:r w:rsidRPr="001C4BE4">
        <w:rPr>
          <w:szCs w:val="22"/>
        </w:rPr>
        <w:t>Porou</w:t>
      </w:r>
      <w:proofErr w:type="spellEnd"/>
      <w:r w:rsidRPr="001C4BE4">
        <w:rPr>
          <w:szCs w:val="22"/>
        </w:rPr>
        <w:t xml:space="preserve"> Tribes, Wellington</w:t>
      </w:r>
    </w:p>
    <w:p w14:paraId="169C773B" w14:textId="77777777" w:rsidR="001C4BE4" w:rsidRPr="001C4BE4" w:rsidRDefault="001C4BE4" w:rsidP="001C4BE4">
      <w:pPr>
        <w:rPr>
          <w:szCs w:val="22"/>
          <w:u w:val="single"/>
        </w:rPr>
      </w:pPr>
    </w:p>
    <w:p w14:paraId="0B96BE45" w14:textId="77777777" w:rsidR="001C4BE4" w:rsidRPr="001C4BE4" w:rsidRDefault="001C4BE4" w:rsidP="001C4BE4">
      <w:pPr>
        <w:rPr>
          <w:szCs w:val="22"/>
        </w:rPr>
      </w:pPr>
      <w:r w:rsidRPr="001C4BE4">
        <w:rPr>
          <w:szCs w:val="22"/>
        </w:rPr>
        <w:t xml:space="preserve">Jennifer TAULI CORPUZ (Ms.), Legal Coordinator, </w:t>
      </w:r>
      <w:proofErr w:type="spellStart"/>
      <w:r w:rsidRPr="001C4BE4">
        <w:rPr>
          <w:szCs w:val="22"/>
        </w:rPr>
        <w:t>Tebtebba</w:t>
      </w:r>
      <w:proofErr w:type="spellEnd"/>
      <w:r w:rsidRPr="001C4BE4">
        <w:rPr>
          <w:szCs w:val="22"/>
        </w:rPr>
        <w:t xml:space="preserve"> Foundation - Indigenous Peoples’ International Centre for Policy Research and Education, </w:t>
      </w:r>
      <w:proofErr w:type="spellStart"/>
      <w:r w:rsidRPr="001C4BE4">
        <w:rPr>
          <w:szCs w:val="22"/>
        </w:rPr>
        <w:t>Quenzon</w:t>
      </w:r>
      <w:proofErr w:type="spellEnd"/>
      <w:r w:rsidRPr="001C4BE4">
        <w:rPr>
          <w:szCs w:val="22"/>
        </w:rPr>
        <w:t xml:space="preserve"> City</w:t>
      </w:r>
    </w:p>
    <w:p w14:paraId="310E1A82" w14:textId="77777777" w:rsidR="001C4BE4" w:rsidRPr="001C4BE4" w:rsidRDefault="001C4BE4" w:rsidP="001C4BE4">
      <w:pPr>
        <w:rPr>
          <w:szCs w:val="22"/>
          <w:u w:val="single"/>
        </w:rPr>
      </w:pPr>
    </w:p>
    <w:p w14:paraId="051BC4F9" w14:textId="77777777" w:rsidR="001C4BE4" w:rsidRPr="001C4BE4" w:rsidRDefault="001C4BE4" w:rsidP="001C4BE4">
      <w:pPr>
        <w:rPr>
          <w:szCs w:val="22"/>
          <w:u w:val="single"/>
        </w:rPr>
      </w:pPr>
    </w:p>
    <w:p w14:paraId="15602C79" w14:textId="77777777" w:rsidR="001C4BE4" w:rsidRPr="001C4BE4" w:rsidRDefault="001C4BE4" w:rsidP="001C4BE4">
      <w:pPr>
        <w:rPr>
          <w:szCs w:val="22"/>
          <w:u w:val="single"/>
        </w:rPr>
      </w:pPr>
    </w:p>
    <w:p w14:paraId="2596D149" w14:textId="77777777" w:rsidR="001C4BE4" w:rsidRPr="001C4BE4" w:rsidRDefault="001C4BE4" w:rsidP="001C4BE4">
      <w:pPr>
        <w:rPr>
          <w:szCs w:val="22"/>
          <w:u w:val="single"/>
          <w:lang w:val="fr-FR"/>
        </w:rPr>
      </w:pPr>
      <w:r w:rsidRPr="001C4BE4">
        <w:rPr>
          <w:szCs w:val="22"/>
          <w:lang w:val="fr-FR"/>
        </w:rPr>
        <w:t xml:space="preserve">VII.  </w:t>
      </w:r>
      <w:r w:rsidRPr="001C4BE4">
        <w:rPr>
          <w:szCs w:val="22"/>
          <w:u w:val="single"/>
          <w:lang w:val="fr-FR"/>
        </w:rPr>
        <w:t>BUREAU/OFFICERS</w:t>
      </w:r>
    </w:p>
    <w:p w14:paraId="25E7A142" w14:textId="77777777" w:rsidR="001C4BE4" w:rsidRPr="001C4BE4" w:rsidRDefault="001C4BE4" w:rsidP="001C4BE4">
      <w:pPr>
        <w:rPr>
          <w:szCs w:val="22"/>
          <w:lang w:val="fr-FR"/>
        </w:rPr>
      </w:pPr>
    </w:p>
    <w:p w14:paraId="42221C3F" w14:textId="77777777" w:rsidR="001C4BE4" w:rsidRPr="001C4BE4" w:rsidRDefault="001C4BE4" w:rsidP="001C4BE4">
      <w:pPr>
        <w:rPr>
          <w:szCs w:val="22"/>
          <w:lang w:val="fr-FR"/>
        </w:rPr>
      </w:pPr>
    </w:p>
    <w:p w14:paraId="31A26A5D" w14:textId="50FEA549" w:rsidR="001C4BE4" w:rsidRPr="001C4BE4" w:rsidRDefault="001C4BE4" w:rsidP="001C4BE4">
      <w:pPr>
        <w:tabs>
          <w:tab w:val="left" w:pos="3402"/>
        </w:tabs>
        <w:rPr>
          <w:szCs w:val="22"/>
          <w:lang w:val="fr-CH"/>
        </w:rPr>
      </w:pPr>
      <w:proofErr w:type="spellStart"/>
      <w:r w:rsidRPr="00C40D5D">
        <w:rPr>
          <w:szCs w:val="22"/>
        </w:rPr>
        <w:t>Président</w:t>
      </w:r>
      <w:proofErr w:type="spellEnd"/>
      <w:r w:rsidRPr="00C40D5D">
        <w:rPr>
          <w:szCs w:val="22"/>
        </w:rPr>
        <w:t>/Chair:</w:t>
      </w:r>
      <w:r w:rsidRPr="00C40D5D">
        <w:rPr>
          <w:szCs w:val="22"/>
        </w:rPr>
        <w:tab/>
        <w:t xml:space="preserve">Ian GOSS </w:t>
      </w:r>
      <w:r w:rsidR="00747698" w:rsidRPr="00C40D5D">
        <w:rPr>
          <w:szCs w:val="22"/>
        </w:rPr>
        <w:t>(M</w:t>
      </w:r>
      <w:proofErr w:type="gramStart"/>
      <w:r w:rsidR="00747698" w:rsidRPr="00C40D5D">
        <w:rPr>
          <w:szCs w:val="22"/>
        </w:rPr>
        <w:t>./</w:t>
      </w:r>
      <w:proofErr w:type="gramEnd"/>
      <w:r w:rsidR="00747698" w:rsidRPr="00C40D5D">
        <w:rPr>
          <w:szCs w:val="22"/>
        </w:rPr>
        <w:t xml:space="preserve">Mr.) </w:t>
      </w:r>
      <w:r w:rsidRPr="001C4BE4">
        <w:rPr>
          <w:szCs w:val="22"/>
          <w:lang w:val="fr-CH"/>
        </w:rPr>
        <w:t>(Australie/</w:t>
      </w:r>
      <w:proofErr w:type="spellStart"/>
      <w:r w:rsidRPr="001C4BE4">
        <w:rPr>
          <w:szCs w:val="22"/>
          <w:lang w:val="fr-CH"/>
        </w:rPr>
        <w:t>Australia</w:t>
      </w:r>
      <w:proofErr w:type="spellEnd"/>
      <w:r w:rsidRPr="001C4BE4">
        <w:rPr>
          <w:szCs w:val="22"/>
          <w:lang w:val="fr-CH"/>
        </w:rPr>
        <w:t>)</w:t>
      </w:r>
    </w:p>
    <w:p w14:paraId="3ED74495" w14:textId="77777777" w:rsidR="001C4BE4" w:rsidRPr="001C4BE4" w:rsidRDefault="001C4BE4" w:rsidP="001C4BE4">
      <w:pPr>
        <w:tabs>
          <w:tab w:val="left" w:pos="3402"/>
        </w:tabs>
        <w:rPr>
          <w:szCs w:val="22"/>
          <w:lang w:val="fr-CH"/>
        </w:rPr>
      </w:pPr>
    </w:p>
    <w:p w14:paraId="636ED6F4" w14:textId="2F1F3737" w:rsidR="001C4BE4" w:rsidRPr="001C4BE4" w:rsidRDefault="001C4BE4" w:rsidP="001C4BE4">
      <w:pPr>
        <w:tabs>
          <w:tab w:val="left" w:pos="3402"/>
        </w:tabs>
        <w:rPr>
          <w:szCs w:val="22"/>
          <w:lang w:val="fr-CH"/>
        </w:rPr>
      </w:pPr>
      <w:r w:rsidRPr="001C4BE4">
        <w:rPr>
          <w:szCs w:val="22"/>
          <w:lang w:val="fr-CH"/>
        </w:rPr>
        <w:t>Vice-présidents/Vice-Chairs:</w:t>
      </w:r>
      <w:r w:rsidRPr="001C4BE4">
        <w:rPr>
          <w:szCs w:val="22"/>
          <w:lang w:val="fr-CH"/>
        </w:rPr>
        <w:tab/>
      </w:r>
      <w:proofErr w:type="spellStart"/>
      <w:r w:rsidRPr="001C4BE4">
        <w:rPr>
          <w:szCs w:val="22"/>
          <w:lang w:val="fr-CH"/>
        </w:rPr>
        <w:t>Jukka</w:t>
      </w:r>
      <w:proofErr w:type="spellEnd"/>
      <w:r w:rsidRPr="001C4BE4">
        <w:rPr>
          <w:szCs w:val="22"/>
          <w:lang w:val="fr-CH"/>
        </w:rPr>
        <w:t xml:space="preserve"> LIEDES </w:t>
      </w:r>
      <w:r w:rsidR="00747698" w:rsidRPr="008A3D67">
        <w:rPr>
          <w:szCs w:val="22"/>
          <w:lang w:val="fr-FR"/>
        </w:rPr>
        <w:t>(M</w:t>
      </w:r>
      <w:proofErr w:type="gramStart"/>
      <w:r w:rsidR="00747698" w:rsidRPr="008A3D67">
        <w:rPr>
          <w:szCs w:val="22"/>
          <w:lang w:val="fr-FR"/>
        </w:rPr>
        <w:t>.</w:t>
      </w:r>
      <w:r w:rsidR="00747698">
        <w:rPr>
          <w:szCs w:val="22"/>
          <w:lang w:val="fr-FR"/>
        </w:rPr>
        <w:t>/</w:t>
      </w:r>
      <w:proofErr w:type="gramEnd"/>
      <w:r w:rsidR="00747698">
        <w:rPr>
          <w:szCs w:val="22"/>
          <w:lang w:val="fr-FR"/>
        </w:rPr>
        <w:t>Mr.</w:t>
      </w:r>
      <w:r w:rsidR="00747698" w:rsidRPr="008A3D67">
        <w:rPr>
          <w:szCs w:val="22"/>
          <w:lang w:val="fr-FR"/>
        </w:rPr>
        <w:t>)</w:t>
      </w:r>
      <w:r w:rsidR="00747698" w:rsidRPr="001C4BE4">
        <w:rPr>
          <w:szCs w:val="22"/>
          <w:lang w:val="fr-CH"/>
        </w:rPr>
        <w:t xml:space="preserve"> </w:t>
      </w:r>
      <w:r w:rsidRPr="001C4BE4">
        <w:rPr>
          <w:szCs w:val="22"/>
          <w:lang w:val="fr-CH"/>
        </w:rPr>
        <w:t>(Finlande/</w:t>
      </w:r>
      <w:proofErr w:type="spellStart"/>
      <w:r w:rsidRPr="001C4BE4">
        <w:rPr>
          <w:szCs w:val="22"/>
          <w:lang w:val="fr-CH"/>
        </w:rPr>
        <w:t>Finland</w:t>
      </w:r>
      <w:proofErr w:type="spellEnd"/>
      <w:r w:rsidRPr="001C4BE4">
        <w:rPr>
          <w:szCs w:val="22"/>
          <w:lang w:val="fr-CH"/>
        </w:rPr>
        <w:t xml:space="preserve">) </w:t>
      </w:r>
    </w:p>
    <w:p w14:paraId="2E392BC7" w14:textId="77777777" w:rsidR="001C4BE4" w:rsidRPr="001C4BE4" w:rsidRDefault="001C4BE4" w:rsidP="001C4BE4">
      <w:pPr>
        <w:tabs>
          <w:tab w:val="left" w:pos="3402"/>
        </w:tabs>
        <w:rPr>
          <w:szCs w:val="22"/>
          <w:lang w:val="fr-CH"/>
        </w:rPr>
      </w:pPr>
    </w:p>
    <w:p w14:paraId="625142AA" w14:textId="1C9A88CB" w:rsidR="001C4BE4" w:rsidRPr="00045641" w:rsidRDefault="001C4BE4" w:rsidP="00C40D5D">
      <w:pPr>
        <w:tabs>
          <w:tab w:val="left" w:pos="3402"/>
        </w:tabs>
        <w:ind w:left="3420"/>
        <w:rPr>
          <w:szCs w:val="22"/>
        </w:rPr>
      </w:pPr>
      <w:r w:rsidRPr="00045641">
        <w:rPr>
          <w:szCs w:val="22"/>
        </w:rPr>
        <w:t xml:space="preserve">Robert Matheus Michael TENE </w:t>
      </w:r>
      <w:r w:rsidR="00747698" w:rsidRPr="00C40D5D">
        <w:rPr>
          <w:szCs w:val="22"/>
        </w:rPr>
        <w:t>(M</w:t>
      </w:r>
      <w:proofErr w:type="gramStart"/>
      <w:r w:rsidR="00747698" w:rsidRPr="00C40D5D">
        <w:rPr>
          <w:szCs w:val="22"/>
        </w:rPr>
        <w:t>./</w:t>
      </w:r>
      <w:proofErr w:type="gramEnd"/>
      <w:r w:rsidR="00747698" w:rsidRPr="00C40D5D">
        <w:rPr>
          <w:szCs w:val="22"/>
        </w:rPr>
        <w:t xml:space="preserve">Mr.) </w:t>
      </w:r>
      <w:r w:rsidRPr="00045641">
        <w:rPr>
          <w:szCs w:val="22"/>
        </w:rPr>
        <w:t>(Indonésie/Indonesia)</w:t>
      </w:r>
    </w:p>
    <w:p w14:paraId="627757A3" w14:textId="374EE3C2" w:rsidR="001C4BE4" w:rsidRPr="00747698" w:rsidRDefault="001C4BE4" w:rsidP="001C4BE4">
      <w:pPr>
        <w:tabs>
          <w:tab w:val="left" w:pos="3402"/>
        </w:tabs>
        <w:rPr>
          <w:szCs w:val="22"/>
        </w:rPr>
      </w:pPr>
    </w:p>
    <w:p w14:paraId="1769E6ED" w14:textId="23C62185" w:rsidR="001C4BE4" w:rsidRPr="00045641" w:rsidRDefault="001C4BE4" w:rsidP="001C4BE4">
      <w:pPr>
        <w:tabs>
          <w:tab w:val="left" w:pos="3402"/>
        </w:tabs>
        <w:rPr>
          <w:szCs w:val="22"/>
        </w:rPr>
      </w:pPr>
      <w:proofErr w:type="spellStart"/>
      <w:r w:rsidRPr="00747698">
        <w:rPr>
          <w:szCs w:val="22"/>
        </w:rPr>
        <w:t>Secrétaire</w:t>
      </w:r>
      <w:proofErr w:type="spellEnd"/>
      <w:r w:rsidRPr="00747698">
        <w:rPr>
          <w:szCs w:val="22"/>
        </w:rPr>
        <w:t>/Secretary:</w:t>
      </w:r>
      <w:r w:rsidRPr="00747698">
        <w:rPr>
          <w:szCs w:val="22"/>
        </w:rPr>
        <w:tab/>
        <w:t xml:space="preserve">Wend WENDLAND </w:t>
      </w:r>
      <w:r w:rsidR="00747698" w:rsidRPr="00C40D5D">
        <w:rPr>
          <w:szCs w:val="22"/>
        </w:rPr>
        <w:t>(M./Mr.)</w:t>
      </w:r>
      <w:r w:rsidR="00747698" w:rsidRPr="00045641">
        <w:rPr>
          <w:szCs w:val="22"/>
        </w:rPr>
        <w:t xml:space="preserve"> </w:t>
      </w:r>
      <w:r w:rsidRPr="00045641">
        <w:rPr>
          <w:szCs w:val="22"/>
        </w:rPr>
        <w:t>(OMPI/WIPO)</w:t>
      </w:r>
    </w:p>
    <w:p w14:paraId="54CCDC5A" w14:textId="77777777" w:rsidR="001C4BE4" w:rsidRPr="00747698" w:rsidRDefault="001C4BE4" w:rsidP="001C4BE4">
      <w:pPr>
        <w:rPr>
          <w:szCs w:val="22"/>
        </w:rPr>
      </w:pPr>
    </w:p>
    <w:p w14:paraId="522E42C2" w14:textId="77777777" w:rsidR="001C4BE4" w:rsidRPr="00747698" w:rsidRDefault="001C4BE4" w:rsidP="001C4BE4">
      <w:pPr>
        <w:rPr>
          <w:szCs w:val="22"/>
        </w:rPr>
      </w:pPr>
    </w:p>
    <w:p w14:paraId="53C3F30D" w14:textId="77777777" w:rsidR="001C4BE4" w:rsidRPr="00747698" w:rsidRDefault="001C4BE4" w:rsidP="001C4BE4">
      <w:pPr>
        <w:rPr>
          <w:szCs w:val="22"/>
          <w:u w:val="single"/>
        </w:rPr>
      </w:pPr>
    </w:p>
    <w:p w14:paraId="1F502D1D" w14:textId="77777777" w:rsidR="001C4BE4" w:rsidRPr="00747698" w:rsidRDefault="001C4BE4" w:rsidP="001C4BE4">
      <w:pPr>
        <w:rPr>
          <w:szCs w:val="22"/>
        </w:rPr>
      </w:pPr>
      <w:r w:rsidRPr="00747698">
        <w:rPr>
          <w:szCs w:val="22"/>
        </w:rPr>
        <w:br w:type="page"/>
      </w:r>
    </w:p>
    <w:p w14:paraId="61DF80E2" w14:textId="77777777" w:rsidR="001C4BE4" w:rsidRPr="00C40D5D" w:rsidRDefault="001C4BE4" w:rsidP="00266235">
      <w:pPr>
        <w:ind w:left="540" w:hanging="540"/>
        <w:rPr>
          <w:szCs w:val="22"/>
        </w:rPr>
      </w:pPr>
      <w:r w:rsidRPr="00C40D5D">
        <w:rPr>
          <w:szCs w:val="22"/>
        </w:rPr>
        <w:t>VIII</w:t>
      </w:r>
      <w:proofErr w:type="gramStart"/>
      <w:r w:rsidRPr="00C40D5D">
        <w:rPr>
          <w:szCs w:val="22"/>
        </w:rPr>
        <w:t xml:space="preserve">.  </w:t>
      </w:r>
      <w:r w:rsidRPr="00C40D5D">
        <w:rPr>
          <w:szCs w:val="22"/>
          <w:u w:val="single"/>
        </w:rPr>
        <w:t>BUREAU</w:t>
      </w:r>
      <w:proofErr w:type="gramEnd"/>
      <w:r w:rsidRPr="00C40D5D">
        <w:rPr>
          <w:szCs w:val="22"/>
          <w:u w:val="single"/>
        </w:rPr>
        <w:t xml:space="preserve"> INTERNATIONAL DE L’ORGANISATION MONDIALE</w:t>
      </w:r>
      <w:r w:rsidRPr="00C40D5D">
        <w:rPr>
          <w:szCs w:val="22"/>
          <w:u w:val="single"/>
        </w:rPr>
        <w:br/>
        <w:t>DE LA PROPRIÉTÉ INTELLECTUELLE (OMPI)/</w:t>
      </w:r>
      <w:r w:rsidRPr="00C40D5D">
        <w:rPr>
          <w:szCs w:val="22"/>
          <w:u w:val="single"/>
        </w:rPr>
        <w:br/>
        <w:t>INTERNATIONAL BUREAU OF THE</w:t>
      </w:r>
      <w:r w:rsidRPr="00C40D5D">
        <w:rPr>
          <w:szCs w:val="22"/>
          <w:u w:val="single"/>
        </w:rPr>
        <w:br/>
        <w:t>WORLD INTELLECTUAL PROPERTY ORGANIZATION (WIPO)</w:t>
      </w:r>
    </w:p>
    <w:p w14:paraId="566045A7" w14:textId="77777777" w:rsidR="001C4BE4" w:rsidRPr="00C40D5D" w:rsidRDefault="001C4BE4" w:rsidP="00266235">
      <w:pPr>
        <w:ind w:left="540" w:hanging="540"/>
        <w:rPr>
          <w:szCs w:val="22"/>
        </w:rPr>
      </w:pPr>
    </w:p>
    <w:p w14:paraId="465CF28E" w14:textId="77777777" w:rsidR="001C4BE4" w:rsidRPr="00C40D5D" w:rsidRDefault="001C4BE4" w:rsidP="001C4BE4">
      <w:pPr>
        <w:keepNext/>
        <w:rPr>
          <w:szCs w:val="22"/>
        </w:rPr>
      </w:pPr>
    </w:p>
    <w:p w14:paraId="76D21816" w14:textId="77A1270C" w:rsidR="001C4BE4" w:rsidRPr="00C84FE4" w:rsidRDefault="001C4BE4" w:rsidP="001C4BE4">
      <w:pPr>
        <w:keepNext/>
        <w:rPr>
          <w:szCs w:val="22"/>
        </w:rPr>
      </w:pPr>
      <w:r w:rsidRPr="00C84FE4">
        <w:rPr>
          <w:szCs w:val="22"/>
        </w:rPr>
        <w:t>Francis GURRY</w:t>
      </w:r>
      <w:r w:rsidR="00D012FA" w:rsidRPr="00C84FE4">
        <w:rPr>
          <w:szCs w:val="22"/>
        </w:rPr>
        <w:t xml:space="preserve"> (M./Mr.)</w:t>
      </w:r>
      <w:r w:rsidRPr="00C84FE4">
        <w:rPr>
          <w:szCs w:val="22"/>
        </w:rPr>
        <w:t>, directeur général/Director General</w:t>
      </w:r>
    </w:p>
    <w:p w14:paraId="74F2F069" w14:textId="77777777" w:rsidR="001C4BE4" w:rsidRPr="00C84FE4" w:rsidRDefault="001C4BE4" w:rsidP="001C4BE4">
      <w:pPr>
        <w:keepNext/>
        <w:rPr>
          <w:szCs w:val="22"/>
        </w:rPr>
      </w:pPr>
    </w:p>
    <w:p w14:paraId="26FDE60E" w14:textId="7C63FB3B" w:rsidR="001C4BE4" w:rsidRPr="00C84FE4" w:rsidRDefault="001C4BE4" w:rsidP="001C4BE4">
      <w:pPr>
        <w:keepNext/>
        <w:rPr>
          <w:szCs w:val="22"/>
          <w:lang w:eastAsia="en-US"/>
        </w:rPr>
      </w:pPr>
      <w:r w:rsidRPr="00C84FE4">
        <w:rPr>
          <w:szCs w:val="22"/>
          <w:lang w:eastAsia="en-US"/>
        </w:rPr>
        <w:t>Minelik Alemu GETAHUN</w:t>
      </w:r>
      <w:r w:rsidR="00D012FA" w:rsidRPr="00C84FE4">
        <w:rPr>
          <w:szCs w:val="22"/>
          <w:lang w:eastAsia="en-US"/>
        </w:rPr>
        <w:t xml:space="preserve"> </w:t>
      </w:r>
      <w:r w:rsidR="00D012FA" w:rsidRPr="00C84FE4">
        <w:rPr>
          <w:szCs w:val="22"/>
        </w:rPr>
        <w:t>(M</w:t>
      </w:r>
      <w:proofErr w:type="gramStart"/>
      <w:r w:rsidR="00D012FA" w:rsidRPr="00C84FE4">
        <w:rPr>
          <w:szCs w:val="22"/>
        </w:rPr>
        <w:t>./</w:t>
      </w:r>
      <w:proofErr w:type="gramEnd"/>
      <w:r w:rsidR="00D012FA" w:rsidRPr="00C84FE4">
        <w:rPr>
          <w:szCs w:val="22"/>
        </w:rPr>
        <w:t>Mr.)</w:t>
      </w:r>
      <w:r w:rsidRPr="00C84FE4">
        <w:rPr>
          <w:bCs/>
          <w:szCs w:val="22"/>
          <w:lang w:eastAsia="en-US"/>
        </w:rPr>
        <w:t>, sous-directeur général/</w:t>
      </w:r>
      <w:r w:rsidRPr="00C84FE4">
        <w:rPr>
          <w:szCs w:val="22"/>
          <w:lang w:eastAsia="en-US"/>
        </w:rPr>
        <w:t>Assistant Director General</w:t>
      </w:r>
      <w:r w:rsidR="001839C9" w:rsidRPr="00C84FE4">
        <w:rPr>
          <w:szCs w:val="22"/>
          <w:lang w:eastAsia="en-US"/>
        </w:rPr>
        <w:t>, Global Issues Sector</w:t>
      </w:r>
    </w:p>
    <w:p w14:paraId="756F6EF0" w14:textId="77777777" w:rsidR="001C4BE4" w:rsidRPr="00C84FE4" w:rsidRDefault="001C4BE4" w:rsidP="001C4BE4">
      <w:pPr>
        <w:keepNext/>
        <w:rPr>
          <w:szCs w:val="22"/>
        </w:rPr>
      </w:pPr>
    </w:p>
    <w:p w14:paraId="4EFFF4CF" w14:textId="22A9FAA6" w:rsidR="001C4BE4" w:rsidRPr="001C4BE4" w:rsidRDefault="001C4BE4" w:rsidP="001C4BE4">
      <w:pPr>
        <w:rPr>
          <w:snapToGrid w:val="0"/>
          <w:szCs w:val="22"/>
          <w:lang w:val="fr-FR"/>
        </w:rPr>
      </w:pPr>
      <w:r w:rsidRPr="001C4BE4">
        <w:rPr>
          <w:snapToGrid w:val="0"/>
          <w:szCs w:val="22"/>
          <w:lang w:val="fr-FR"/>
        </w:rPr>
        <w:t>Edward KWAKWA</w:t>
      </w:r>
      <w:r w:rsidR="00D012FA">
        <w:rPr>
          <w:snapToGrid w:val="0"/>
          <w:szCs w:val="22"/>
          <w:lang w:val="fr-FR"/>
        </w:rPr>
        <w:t xml:space="preserve"> </w:t>
      </w:r>
      <w:r w:rsidR="00D012FA" w:rsidRPr="008A3D67">
        <w:rPr>
          <w:szCs w:val="22"/>
          <w:lang w:val="fr-FR"/>
        </w:rPr>
        <w:t>(M</w:t>
      </w:r>
      <w:proofErr w:type="gramStart"/>
      <w:r w:rsidR="00D012FA" w:rsidRPr="008A3D67">
        <w:rPr>
          <w:szCs w:val="22"/>
          <w:lang w:val="fr-FR"/>
        </w:rPr>
        <w:t>.</w:t>
      </w:r>
      <w:r w:rsidR="00D012FA">
        <w:rPr>
          <w:szCs w:val="22"/>
          <w:lang w:val="fr-FR"/>
        </w:rPr>
        <w:t>/</w:t>
      </w:r>
      <w:proofErr w:type="gramEnd"/>
      <w:r w:rsidR="00D012FA">
        <w:rPr>
          <w:szCs w:val="22"/>
          <w:lang w:val="fr-FR"/>
        </w:rPr>
        <w:t>Mr.</w:t>
      </w:r>
      <w:r w:rsidR="00D012FA" w:rsidRPr="008A3D67">
        <w:rPr>
          <w:szCs w:val="22"/>
          <w:lang w:val="fr-FR"/>
        </w:rPr>
        <w:t>)</w:t>
      </w:r>
      <w:r w:rsidRPr="001C4BE4">
        <w:rPr>
          <w:snapToGrid w:val="0"/>
          <w:szCs w:val="22"/>
          <w:lang w:val="fr-FR"/>
        </w:rPr>
        <w:t xml:space="preserve">, directeur principal, Département des savoirs traditionnels et des défis mondiaux/Senior </w:t>
      </w:r>
      <w:proofErr w:type="spellStart"/>
      <w:r w:rsidRPr="001C4BE4">
        <w:rPr>
          <w:snapToGrid w:val="0"/>
          <w:szCs w:val="22"/>
          <w:lang w:val="fr-FR"/>
        </w:rPr>
        <w:t>Director</w:t>
      </w:r>
      <w:proofErr w:type="spellEnd"/>
      <w:r w:rsidRPr="001C4BE4">
        <w:rPr>
          <w:snapToGrid w:val="0"/>
          <w:szCs w:val="22"/>
          <w:lang w:val="fr-FR"/>
        </w:rPr>
        <w:t xml:space="preserve">, </w:t>
      </w:r>
      <w:proofErr w:type="spellStart"/>
      <w:r w:rsidRPr="001C4BE4">
        <w:rPr>
          <w:snapToGrid w:val="0"/>
          <w:szCs w:val="22"/>
          <w:lang w:val="fr-FR"/>
        </w:rPr>
        <w:t>Department</w:t>
      </w:r>
      <w:proofErr w:type="spellEnd"/>
      <w:r w:rsidRPr="001C4BE4">
        <w:rPr>
          <w:snapToGrid w:val="0"/>
          <w:szCs w:val="22"/>
          <w:lang w:val="fr-FR"/>
        </w:rPr>
        <w:t xml:space="preserve"> for Traditional Knowledge and Global Challenges</w:t>
      </w:r>
    </w:p>
    <w:p w14:paraId="4C5F7A59" w14:textId="77777777" w:rsidR="001C4BE4" w:rsidRPr="001C4BE4" w:rsidRDefault="001C4BE4" w:rsidP="001C4BE4">
      <w:pPr>
        <w:rPr>
          <w:snapToGrid w:val="0"/>
          <w:szCs w:val="22"/>
          <w:lang w:val="fr-FR"/>
        </w:rPr>
      </w:pPr>
    </w:p>
    <w:p w14:paraId="05E5774F" w14:textId="6E0181A7" w:rsidR="001C4BE4" w:rsidRPr="001C4BE4" w:rsidRDefault="001C4BE4" w:rsidP="001C4BE4">
      <w:pPr>
        <w:rPr>
          <w:szCs w:val="22"/>
          <w:lang w:val="fr-FR"/>
        </w:rPr>
      </w:pPr>
      <w:r w:rsidRPr="001C4BE4">
        <w:rPr>
          <w:snapToGrid w:val="0"/>
          <w:szCs w:val="22"/>
          <w:lang w:val="fr-FR"/>
        </w:rPr>
        <w:t>Wend WENDLAND</w:t>
      </w:r>
      <w:r w:rsidR="00D012FA">
        <w:rPr>
          <w:snapToGrid w:val="0"/>
          <w:szCs w:val="22"/>
          <w:lang w:val="fr-FR"/>
        </w:rPr>
        <w:t xml:space="preserve"> </w:t>
      </w:r>
      <w:r w:rsidR="00D012FA" w:rsidRPr="008A3D67">
        <w:rPr>
          <w:szCs w:val="22"/>
          <w:lang w:val="fr-FR"/>
        </w:rPr>
        <w:t>(M</w:t>
      </w:r>
      <w:proofErr w:type="gramStart"/>
      <w:r w:rsidR="00D012FA" w:rsidRPr="008A3D67">
        <w:rPr>
          <w:szCs w:val="22"/>
          <w:lang w:val="fr-FR"/>
        </w:rPr>
        <w:t>.</w:t>
      </w:r>
      <w:r w:rsidR="00D012FA">
        <w:rPr>
          <w:szCs w:val="22"/>
          <w:lang w:val="fr-FR"/>
        </w:rPr>
        <w:t>/</w:t>
      </w:r>
      <w:proofErr w:type="gramEnd"/>
      <w:r w:rsidR="00D012FA">
        <w:rPr>
          <w:szCs w:val="22"/>
          <w:lang w:val="fr-FR"/>
        </w:rPr>
        <w:t>Mr.</w:t>
      </w:r>
      <w:r w:rsidR="00D012FA" w:rsidRPr="008A3D67">
        <w:rPr>
          <w:szCs w:val="22"/>
          <w:lang w:val="fr-FR"/>
        </w:rPr>
        <w:t>)</w:t>
      </w:r>
      <w:r w:rsidRPr="001C4BE4">
        <w:rPr>
          <w:snapToGrid w:val="0"/>
          <w:szCs w:val="22"/>
          <w:lang w:val="fr-FR"/>
        </w:rPr>
        <w:t xml:space="preserve">, directeur, </w:t>
      </w:r>
      <w:r w:rsidRPr="001C4BE4">
        <w:rPr>
          <w:szCs w:val="22"/>
          <w:lang w:val="fr-FR"/>
        </w:rPr>
        <w:t>Division des savoirs traditionnels</w:t>
      </w:r>
      <w:r w:rsidRPr="001C4BE4">
        <w:rPr>
          <w:snapToGrid w:val="0"/>
          <w:szCs w:val="22"/>
          <w:lang w:val="fr-FR"/>
        </w:rPr>
        <w:t>/</w:t>
      </w:r>
      <w:proofErr w:type="spellStart"/>
      <w:r w:rsidRPr="001C4BE4">
        <w:rPr>
          <w:snapToGrid w:val="0"/>
          <w:szCs w:val="22"/>
          <w:lang w:val="fr-FR"/>
        </w:rPr>
        <w:t>Director</w:t>
      </w:r>
      <w:proofErr w:type="spellEnd"/>
      <w:r w:rsidRPr="001C4BE4">
        <w:rPr>
          <w:snapToGrid w:val="0"/>
          <w:szCs w:val="22"/>
          <w:lang w:val="fr-FR"/>
        </w:rPr>
        <w:t xml:space="preserve">, </w:t>
      </w:r>
      <w:r w:rsidRPr="001C4BE4">
        <w:rPr>
          <w:szCs w:val="22"/>
          <w:lang w:val="fr-FR"/>
        </w:rPr>
        <w:t>Traditional Knowledge Division</w:t>
      </w:r>
    </w:p>
    <w:p w14:paraId="4F1ED668" w14:textId="77777777" w:rsidR="001C4BE4" w:rsidRPr="001C4BE4" w:rsidRDefault="001C4BE4" w:rsidP="001C4BE4">
      <w:pPr>
        <w:rPr>
          <w:snapToGrid w:val="0"/>
          <w:szCs w:val="22"/>
          <w:lang w:val="fr-FR"/>
        </w:rPr>
      </w:pPr>
    </w:p>
    <w:p w14:paraId="6D144346" w14:textId="77777777" w:rsidR="001C4BE4" w:rsidRPr="001C4BE4" w:rsidRDefault="001C4BE4" w:rsidP="001C4BE4">
      <w:pPr>
        <w:rPr>
          <w:szCs w:val="22"/>
          <w:lang w:val="fr-FR"/>
        </w:rPr>
      </w:pPr>
      <w:r w:rsidRPr="001C4BE4">
        <w:rPr>
          <w:snapToGrid w:val="0"/>
          <w:szCs w:val="22"/>
          <w:lang w:val="fr-FR"/>
        </w:rPr>
        <w:t xml:space="preserve">Begoña VENERO AGUIRRE (Mme/Ms.), conseillère principale, </w:t>
      </w:r>
      <w:r w:rsidRPr="001C4BE4">
        <w:rPr>
          <w:szCs w:val="22"/>
          <w:lang w:val="fr-FR"/>
        </w:rPr>
        <w:t xml:space="preserve">Division des savoirs traditionnels/Senior </w:t>
      </w:r>
      <w:proofErr w:type="spellStart"/>
      <w:r w:rsidRPr="001C4BE4">
        <w:rPr>
          <w:szCs w:val="22"/>
          <w:lang w:val="fr-FR"/>
        </w:rPr>
        <w:t>Counsellor</w:t>
      </w:r>
      <w:proofErr w:type="spellEnd"/>
      <w:r w:rsidRPr="001C4BE4">
        <w:rPr>
          <w:szCs w:val="22"/>
          <w:lang w:val="fr-FR"/>
        </w:rPr>
        <w:t>, Traditional Knowledge Division</w:t>
      </w:r>
    </w:p>
    <w:p w14:paraId="3D65B90F" w14:textId="77777777" w:rsidR="001C4BE4" w:rsidRPr="001C4BE4" w:rsidRDefault="001C4BE4" w:rsidP="001C4BE4">
      <w:pPr>
        <w:rPr>
          <w:snapToGrid w:val="0"/>
          <w:szCs w:val="22"/>
          <w:lang w:val="fr-FR"/>
        </w:rPr>
      </w:pPr>
    </w:p>
    <w:p w14:paraId="02794C32" w14:textId="6F7E82CC" w:rsidR="001C4BE4" w:rsidRPr="001C4BE4" w:rsidRDefault="001C4BE4" w:rsidP="001C4BE4">
      <w:pPr>
        <w:rPr>
          <w:szCs w:val="22"/>
          <w:lang w:val="fr-FR"/>
        </w:rPr>
      </w:pPr>
      <w:r w:rsidRPr="001C4BE4">
        <w:rPr>
          <w:snapToGrid w:val="0"/>
          <w:szCs w:val="22"/>
          <w:lang w:val="fr-FR"/>
        </w:rPr>
        <w:t>Shakeel BHATTI</w:t>
      </w:r>
      <w:r w:rsidR="00D012FA">
        <w:rPr>
          <w:snapToGrid w:val="0"/>
          <w:szCs w:val="22"/>
          <w:lang w:val="fr-FR"/>
        </w:rPr>
        <w:t xml:space="preserve"> </w:t>
      </w:r>
      <w:r w:rsidR="00D012FA" w:rsidRPr="008A3D67">
        <w:rPr>
          <w:szCs w:val="22"/>
          <w:lang w:val="fr-FR"/>
        </w:rPr>
        <w:t>(M</w:t>
      </w:r>
      <w:proofErr w:type="gramStart"/>
      <w:r w:rsidR="00D012FA" w:rsidRPr="008A3D67">
        <w:rPr>
          <w:szCs w:val="22"/>
          <w:lang w:val="fr-FR"/>
        </w:rPr>
        <w:t>.</w:t>
      </w:r>
      <w:r w:rsidR="00D012FA">
        <w:rPr>
          <w:szCs w:val="22"/>
          <w:lang w:val="fr-FR"/>
        </w:rPr>
        <w:t>/</w:t>
      </w:r>
      <w:proofErr w:type="gramEnd"/>
      <w:r w:rsidR="00D012FA">
        <w:rPr>
          <w:szCs w:val="22"/>
          <w:lang w:val="fr-FR"/>
        </w:rPr>
        <w:t>Mr.</w:t>
      </w:r>
      <w:r w:rsidR="00D012FA" w:rsidRPr="008A3D67">
        <w:rPr>
          <w:szCs w:val="22"/>
          <w:lang w:val="fr-FR"/>
        </w:rPr>
        <w:t>)</w:t>
      </w:r>
      <w:r w:rsidR="00D012FA" w:rsidRPr="001C4BE4">
        <w:rPr>
          <w:snapToGrid w:val="0"/>
          <w:szCs w:val="22"/>
          <w:lang w:val="fr-FR"/>
        </w:rPr>
        <w:t>,</w:t>
      </w:r>
      <w:r w:rsidRPr="001C4BE4">
        <w:rPr>
          <w:snapToGrid w:val="0"/>
          <w:szCs w:val="22"/>
          <w:lang w:val="fr-FR"/>
        </w:rPr>
        <w:t xml:space="preserve"> conseiller,</w:t>
      </w:r>
      <w:r w:rsidRPr="001C4BE4">
        <w:rPr>
          <w:szCs w:val="22"/>
          <w:lang w:val="fr-FR"/>
        </w:rPr>
        <w:t xml:space="preserve"> Division des savoirs traditionnels/</w:t>
      </w:r>
      <w:proofErr w:type="spellStart"/>
      <w:r w:rsidRPr="001C4BE4">
        <w:rPr>
          <w:szCs w:val="22"/>
          <w:lang w:val="fr-FR"/>
        </w:rPr>
        <w:t>Counsellor</w:t>
      </w:r>
      <w:proofErr w:type="spellEnd"/>
      <w:r w:rsidRPr="001C4BE4">
        <w:rPr>
          <w:szCs w:val="22"/>
          <w:lang w:val="fr-FR"/>
        </w:rPr>
        <w:t>, Traditional Knowledge Division</w:t>
      </w:r>
    </w:p>
    <w:p w14:paraId="026CC22E" w14:textId="77777777" w:rsidR="001C4BE4" w:rsidRPr="001C4BE4" w:rsidRDefault="001C4BE4" w:rsidP="001C4BE4">
      <w:pPr>
        <w:rPr>
          <w:snapToGrid w:val="0"/>
          <w:szCs w:val="22"/>
          <w:lang w:val="fr-FR"/>
        </w:rPr>
      </w:pPr>
    </w:p>
    <w:p w14:paraId="2162120B" w14:textId="169EABED" w:rsidR="001C4BE4" w:rsidRPr="001C4BE4" w:rsidRDefault="001C4BE4" w:rsidP="001C4BE4">
      <w:pPr>
        <w:rPr>
          <w:szCs w:val="22"/>
          <w:lang w:val="fr-FR"/>
        </w:rPr>
      </w:pPr>
      <w:r w:rsidRPr="001C4BE4">
        <w:rPr>
          <w:szCs w:val="22"/>
          <w:lang w:val="fr-FR"/>
        </w:rPr>
        <w:t>Simon LEGRAND</w:t>
      </w:r>
      <w:r w:rsidR="00D012FA">
        <w:rPr>
          <w:szCs w:val="22"/>
          <w:lang w:val="fr-FR"/>
        </w:rPr>
        <w:t xml:space="preserve"> </w:t>
      </w:r>
      <w:r w:rsidR="00D012FA" w:rsidRPr="008A3D67">
        <w:rPr>
          <w:szCs w:val="22"/>
          <w:lang w:val="fr-FR"/>
        </w:rPr>
        <w:t>(M</w:t>
      </w:r>
      <w:proofErr w:type="gramStart"/>
      <w:r w:rsidR="00D012FA" w:rsidRPr="008A3D67">
        <w:rPr>
          <w:szCs w:val="22"/>
          <w:lang w:val="fr-FR"/>
        </w:rPr>
        <w:t>.</w:t>
      </w:r>
      <w:r w:rsidR="00D012FA">
        <w:rPr>
          <w:szCs w:val="22"/>
          <w:lang w:val="fr-FR"/>
        </w:rPr>
        <w:t>/</w:t>
      </w:r>
      <w:proofErr w:type="gramEnd"/>
      <w:r w:rsidR="00D012FA">
        <w:rPr>
          <w:szCs w:val="22"/>
          <w:lang w:val="fr-FR"/>
        </w:rPr>
        <w:t>Mr.</w:t>
      </w:r>
      <w:r w:rsidR="00D012FA" w:rsidRPr="008A3D67">
        <w:rPr>
          <w:szCs w:val="22"/>
          <w:lang w:val="fr-FR"/>
        </w:rPr>
        <w:t>)</w:t>
      </w:r>
      <w:r w:rsidRPr="001C4BE4">
        <w:rPr>
          <w:szCs w:val="22"/>
          <w:lang w:val="fr-FR"/>
        </w:rPr>
        <w:t>, conseiller, Division des savoirs traditionnels/</w:t>
      </w:r>
      <w:proofErr w:type="spellStart"/>
      <w:r w:rsidRPr="001C4BE4">
        <w:rPr>
          <w:szCs w:val="22"/>
          <w:lang w:val="fr-FR"/>
        </w:rPr>
        <w:t>Counsellor</w:t>
      </w:r>
      <w:proofErr w:type="spellEnd"/>
      <w:r w:rsidRPr="001C4BE4">
        <w:rPr>
          <w:szCs w:val="22"/>
          <w:lang w:val="fr-FR"/>
        </w:rPr>
        <w:t>, Traditional Knowledge Division</w:t>
      </w:r>
    </w:p>
    <w:p w14:paraId="4A5AE45E" w14:textId="77777777" w:rsidR="001C4BE4" w:rsidRPr="001C4BE4" w:rsidRDefault="001C4BE4" w:rsidP="001C4BE4">
      <w:pPr>
        <w:rPr>
          <w:szCs w:val="22"/>
          <w:lang w:val="fr-FR"/>
        </w:rPr>
      </w:pPr>
    </w:p>
    <w:p w14:paraId="1BF7BB13" w14:textId="77777777" w:rsidR="001C4BE4" w:rsidRPr="001C4BE4" w:rsidRDefault="001C4BE4" w:rsidP="001C4BE4">
      <w:pPr>
        <w:rPr>
          <w:szCs w:val="22"/>
          <w:lang w:val="fr-FR"/>
        </w:rPr>
      </w:pPr>
      <w:r w:rsidRPr="001C4BE4">
        <w:rPr>
          <w:szCs w:val="22"/>
          <w:lang w:val="fr-FR"/>
        </w:rPr>
        <w:t>Daphne ZOGRAFOS JOHNSSON (Mme/Ms.), juriste, Division des savoirs traditionnels/</w:t>
      </w:r>
      <w:proofErr w:type="spellStart"/>
      <w:r w:rsidRPr="001C4BE4">
        <w:rPr>
          <w:szCs w:val="22"/>
          <w:lang w:val="fr-FR"/>
        </w:rPr>
        <w:t>Legal</w:t>
      </w:r>
      <w:proofErr w:type="spellEnd"/>
      <w:r w:rsidRPr="001C4BE4">
        <w:rPr>
          <w:szCs w:val="22"/>
          <w:lang w:val="fr-FR"/>
        </w:rPr>
        <w:t xml:space="preserve"> </w:t>
      </w:r>
      <w:proofErr w:type="spellStart"/>
      <w:r w:rsidRPr="001C4BE4">
        <w:rPr>
          <w:szCs w:val="22"/>
          <w:lang w:val="fr-FR"/>
        </w:rPr>
        <w:t>Officer</w:t>
      </w:r>
      <w:proofErr w:type="spellEnd"/>
      <w:r w:rsidRPr="001C4BE4">
        <w:rPr>
          <w:szCs w:val="22"/>
          <w:lang w:val="fr-FR"/>
        </w:rPr>
        <w:t xml:space="preserve">, </w:t>
      </w:r>
      <w:r w:rsidRPr="001C4BE4">
        <w:rPr>
          <w:snapToGrid w:val="0"/>
          <w:szCs w:val="22"/>
          <w:lang w:val="fr-FR"/>
        </w:rPr>
        <w:t>Traditional</w:t>
      </w:r>
      <w:r w:rsidRPr="001C4BE4">
        <w:rPr>
          <w:szCs w:val="22"/>
          <w:lang w:val="fr-FR"/>
        </w:rPr>
        <w:t xml:space="preserve"> Knowledge Division</w:t>
      </w:r>
    </w:p>
    <w:p w14:paraId="09D081FA" w14:textId="77777777" w:rsidR="001C4BE4" w:rsidRPr="001C4BE4" w:rsidRDefault="001C4BE4" w:rsidP="001C4BE4">
      <w:pPr>
        <w:rPr>
          <w:szCs w:val="22"/>
          <w:lang w:val="fr-FR"/>
        </w:rPr>
      </w:pPr>
    </w:p>
    <w:p w14:paraId="1F16FE88" w14:textId="77777777" w:rsidR="001C4BE4" w:rsidRPr="001C4BE4" w:rsidRDefault="001C4BE4" w:rsidP="001C4BE4">
      <w:pPr>
        <w:rPr>
          <w:szCs w:val="22"/>
          <w:lang w:val="fr-FR"/>
        </w:rPr>
      </w:pPr>
      <w:r w:rsidRPr="001C4BE4">
        <w:rPr>
          <w:szCs w:val="22"/>
          <w:lang w:val="fr-FR"/>
        </w:rPr>
        <w:t xml:space="preserve">Kiri TOKI (Mlle/Ms.), boursier à l’intention des peuples autochtones, Division des savoirs traditionnels/WIPO </w:t>
      </w:r>
      <w:proofErr w:type="spellStart"/>
      <w:r w:rsidRPr="001C4BE4">
        <w:rPr>
          <w:szCs w:val="22"/>
          <w:lang w:val="fr-FR"/>
        </w:rPr>
        <w:t>Indigenous</w:t>
      </w:r>
      <w:proofErr w:type="spellEnd"/>
      <w:r w:rsidRPr="001C4BE4">
        <w:rPr>
          <w:szCs w:val="22"/>
          <w:lang w:val="fr-FR"/>
        </w:rPr>
        <w:t xml:space="preserve"> </w:t>
      </w:r>
      <w:proofErr w:type="spellStart"/>
      <w:r w:rsidRPr="001C4BE4">
        <w:rPr>
          <w:szCs w:val="22"/>
          <w:lang w:val="fr-FR"/>
        </w:rPr>
        <w:t>Fellow</w:t>
      </w:r>
      <w:proofErr w:type="spellEnd"/>
      <w:r w:rsidRPr="001C4BE4">
        <w:rPr>
          <w:szCs w:val="22"/>
          <w:lang w:val="fr-FR"/>
        </w:rPr>
        <w:t>, Traditional Knowledge Division</w:t>
      </w:r>
    </w:p>
    <w:p w14:paraId="502F6F69" w14:textId="77777777" w:rsidR="001C4BE4" w:rsidRPr="001C4BE4" w:rsidRDefault="001C4BE4" w:rsidP="001C4BE4">
      <w:pPr>
        <w:rPr>
          <w:szCs w:val="22"/>
          <w:lang w:val="fr-FR"/>
        </w:rPr>
      </w:pPr>
    </w:p>
    <w:p w14:paraId="46D1FE57" w14:textId="77777777" w:rsidR="001C4BE4" w:rsidRPr="001C4BE4" w:rsidRDefault="001C4BE4" w:rsidP="001C4BE4">
      <w:pPr>
        <w:rPr>
          <w:szCs w:val="22"/>
          <w:lang w:val="fr-FR"/>
        </w:rPr>
      </w:pPr>
      <w:r w:rsidRPr="001C4BE4">
        <w:rPr>
          <w:szCs w:val="22"/>
          <w:lang w:val="fr-FR"/>
        </w:rPr>
        <w:t>Alice MANERO (Mlle/Ms.), consultante, Division des savoirs traditionnels/Consultant, Traditional Knowledge Division</w:t>
      </w:r>
    </w:p>
    <w:p w14:paraId="0117185D" w14:textId="77777777" w:rsidR="001C4BE4" w:rsidRPr="001C4BE4" w:rsidRDefault="001C4BE4" w:rsidP="001C4BE4">
      <w:pPr>
        <w:rPr>
          <w:szCs w:val="22"/>
          <w:lang w:val="fr-FR"/>
        </w:rPr>
      </w:pPr>
    </w:p>
    <w:p w14:paraId="6E0E6992" w14:textId="77777777" w:rsidR="001C4BE4" w:rsidRPr="001C4BE4" w:rsidRDefault="001C4BE4" w:rsidP="001C4BE4">
      <w:pPr>
        <w:rPr>
          <w:szCs w:val="22"/>
          <w:lang w:val="fr-FR"/>
        </w:rPr>
      </w:pPr>
      <w:r w:rsidRPr="001C4BE4">
        <w:rPr>
          <w:szCs w:val="22"/>
          <w:lang w:val="fr-FR"/>
        </w:rPr>
        <w:t>Rhona RWANGYEZI (Mlle/Ms.), stagiaire, Division des savoirs traditionnels/</w:t>
      </w:r>
      <w:proofErr w:type="spellStart"/>
      <w:r w:rsidRPr="001C4BE4">
        <w:rPr>
          <w:szCs w:val="22"/>
          <w:lang w:val="fr-FR"/>
        </w:rPr>
        <w:t>Intern</w:t>
      </w:r>
      <w:proofErr w:type="spellEnd"/>
      <w:r w:rsidRPr="001C4BE4">
        <w:rPr>
          <w:szCs w:val="22"/>
          <w:lang w:val="fr-FR"/>
        </w:rPr>
        <w:t>, Traditional Knowledge Division</w:t>
      </w:r>
    </w:p>
    <w:p w14:paraId="39F4F250" w14:textId="77777777" w:rsidR="008B7E70" w:rsidRPr="001C4BE4" w:rsidRDefault="008B7E70" w:rsidP="008B7E70">
      <w:pPr>
        <w:rPr>
          <w:szCs w:val="22"/>
          <w:lang w:val="fr-FR"/>
        </w:rPr>
      </w:pPr>
    </w:p>
    <w:p w14:paraId="0500B837" w14:textId="77777777" w:rsidR="00EE0507" w:rsidRDefault="00EE0507" w:rsidP="008B7E70">
      <w:pPr>
        <w:rPr>
          <w:szCs w:val="22"/>
          <w:lang w:val="fr-FR"/>
        </w:rPr>
      </w:pPr>
    </w:p>
    <w:p w14:paraId="07A7BE98" w14:textId="77777777" w:rsidR="008D6686" w:rsidRPr="00180D49" w:rsidRDefault="008D6686" w:rsidP="008D6686">
      <w:pPr>
        <w:rPr>
          <w:rFonts w:eastAsia="Times New Roman"/>
          <w:szCs w:val="22"/>
          <w:lang w:val="fr-FR" w:eastAsia="en-US"/>
        </w:rPr>
      </w:pPr>
    </w:p>
    <w:p w14:paraId="494791EE" w14:textId="77777777" w:rsidR="008D6686" w:rsidRPr="008D6686" w:rsidRDefault="009947B4" w:rsidP="008D6686">
      <w:pPr>
        <w:spacing w:after="120" w:line="260" w:lineRule="atLeast"/>
        <w:ind w:left="5534"/>
        <w:contextualSpacing/>
        <w:rPr>
          <w:rFonts w:asciiTheme="minorHAnsi" w:eastAsiaTheme="minorHAnsi" w:hAnsiTheme="minorHAnsi" w:cstheme="minorBidi"/>
          <w:szCs w:val="22"/>
          <w:lang w:eastAsia="en-US"/>
        </w:rPr>
      </w:pPr>
      <w:r>
        <w:rPr>
          <w:rFonts w:eastAsia="Times New Roman" w:cs="Times New Roman"/>
          <w:szCs w:val="22"/>
          <w:lang w:eastAsia="en-US"/>
        </w:rPr>
        <w:t>[End of Annex</w:t>
      </w:r>
      <w:r w:rsidR="008D6686" w:rsidRPr="008D6686">
        <w:rPr>
          <w:rFonts w:eastAsia="Times New Roman" w:cs="Times New Roman"/>
          <w:szCs w:val="22"/>
          <w:lang w:eastAsia="en-US"/>
        </w:rPr>
        <w:t xml:space="preserve"> and of document]</w:t>
      </w:r>
    </w:p>
    <w:sectPr w:rsidR="008D6686" w:rsidRPr="008D6686" w:rsidSect="00284F8C">
      <w:headerReference w:type="default" r:id="rId17"/>
      <w:pgSz w:w="11907" w:h="16839" w:code="9"/>
      <w:pgMar w:top="1440" w:right="1138" w:bottom="1440" w:left="1411" w:header="706" w:footer="706"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882EF" w14:textId="77777777" w:rsidR="00C40D5D" w:rsidRDefault="00C40D5D">
      <w:r>
        <w:separator/>
      </w:r>
    </w:p>
  </w:endnote>
  <w:endnote w:type="continuationSeparator" w:id="0">
    <w:p w14:paraId="75B741A0" w14:textId="77777777" w:rsidR="00C40D5D" w:rsidRDefault="00C40D5D" w:rsidP="003B38C1">
      <w:r>
        <w:separator/>
      </w:r>
    </w:p>
    <w:p w14:paraId="125D9036" w14:textId="77777777" w:rsidR="00C40D5D" w:rsidRPr="003B38C1" w:rsidRDefault="00C40D5D" w:rsidP="003B38C1">
      <w:pPr>
        <w:spacing w:after="60"/>
        <w:rPr>
          <w:sz w:val="17"/>
        </w:rPr>
      </w:pPr>
      <w:r>
        <w:rPr>
          <w:sz w:val="17"/>
        </w:rPr>
        <w:t>[Endnote continued from previous page]</w:t>
      </w:r>
    </w:p>
  </w:endnote>
  <w:endnote w:type="continuationNotice" w:id="1">
    <w:p w14:paraId="79941636" w14:textId="77777777" w:rsidR="00C40D5D" w:rsidRPr="003B38C1" w:rsidRDefault="00C40D5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1F846" w14:textId="77777777" w:rsidR="00C40D5D" w:rsidRDefault="00C40D5D">
      <w:r>
        <w:separator/>
      </w:r>
    </w:p>
  </w:footnote>
  <w:footnote w:type="continuationSeparator" w:id="0">
    <w:p w14:paraId="5B68068B" w14:textId="77777777" w:rsidR="00C40D5D" w:rsidRDefault="00C40D5D" w:rsidP="008B60B2">
      <w:r>
        <w:separator/>
      </w:r>
    </w:p>
    <w:p w14:paraId="40CFF13E" w14:textId="77777777" w:rsidR="00C40D5D" w:rsidRPr="00ED77FB" w:rsidRDefault="00C40D5D" w:rsidP="008B60B2">
      <w:pPr>
        <w:spacing w:after="60"/>
        <w:rPr>
          <w:sz w:val="17"/>
          <w:szCs w:val="17"/>
        </w:rPr>
      </w:pPr>
      <w:r w:rsidRPr="00ED77FB">
        <w:rPr>
          <w:sz w:val="17"/>
          <w:szCs w:val="17"/>
        </w:rPr>
        <w:t>[Footnote continued from previous page]</w:t>
      </w:r>
    </w:p>
  </w:footnote>
  <w:footnote w:type="continuationNotice" w:id="1">
    <w:p w14:paraId="6F9B71E4" w14:textId="77777777" w:rsidR="00C40D5D" w:rsidRPr="00ED77FB" w:rsidRDefault="00C40D5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39AFF" w14:textId="77777777" w:rsidR="00C40D5D" w:rsidRDefault="00C40D5D"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B1557" w14:textId="77777777" w:rsidR="00C40D5D" w:rsidRDefault="00C40D5D" w:rsidP="000C61C6">
    <w:pPr>
      <w:pStyle w:val="Header"/>
      <w:tabs>
        <w:tab w:val="clear" w:pos="4536"/>
        <w:tab w:val="clear" w:pos="9072"/>
        <w:tab w:val="center" w:pos="4677"/>
        <w:tab w:val="right" w:pos="935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6D830" w14:textId="3B3DE058" w:rsidR="00C40D5D" w:rsidRPr="00587B2C" w:rsidRDefault="00C40D5D" w:rsidP="00477D6B">
    <w:pPr>
      <w:jc w:val="right"/>
      <w:rPr>
        <w:lang w:val="fr-FR"/>
      </w:rPr>
    </w:pPr>
    <w:r>
      <w:rPr>
        <w:lang w:val="fr-FR"/>
      </w:rPr>
      <w:t>WIPO/GRTKF/IC/34/14</w:t>
    </w:r>
    <w:r w:rsidRPr="00587B2C">
      <w:rPr>
        <w:lang w:val="fr-FR"/>
      </w:rPr>
      <w:t xml:space="preserve"> </w:t>
    </w:r>
    <w:proofErr w:type="spellStart"/>
    <w:r w:rsidRPr="00587B2C">
      <w:rPr>
        <w:lang w:val="fr-FR"/>
      </w:rPr>
      <w:t>Prov</w:t>
    </w:r>
    <w:proofErr w:type="spellEnd"/>
    <w:r w:rsidRPr="00587B2C">
      <w:rPr>
        <w:lang w:val="fr-FR"/>
      </w:rPr>
      <w:t>.</w:t>
    </w:r>
    <w:r>
      <w:rPr>
        <w:lang w:val="fr-FR"/>
      </w:rPr>
      <w:t xml:space="preserve"> 2</w:t>
    </w:r>
  </w:p>
  <w:p w14:paraId="3B608C7E" w14:textId="77777777" w:rsidR="00C40D5D" w:rsidRPr="00587B2C" w:rsidRDefault="00C40D5D" w:rsidP="00477D6B">
    <w:pPr>
      <w:jc w:val="right"/>
      <w:rPr>
        <w:lang w:val="fr-FR"/>
      </w:rPr>
    </w:pPr>
    <w:proofErr w:type="gramStart"/>
    <w:r w:rsidRPr="00587B2C">
      <w:rPr>
        <w:lang w:val="fr-FR"/>
      </w:rPr>
      <w:t>page</w:t>
    </w:r>
    <w:proofErr w:type="gramEnd"/>
    <w:r w:rsidRPr="00587B2C">
      <w:rPr>
        <w:lang w:val="fr-FR"/>
      </w:rPr>
      <w:t xml:space="preserve"> </w:t>
    </w:r>
    <w:r>
      <w:fldChar w:fldCharType="begin"/>
    </w:r>
    <w:r>
      <w:instrText xml:space="preserve"> PAGE   \* MERGEFORMAT </w:instrText>
    </w:r>
    <w:r>
      <w:fldChar w:fldCharType="separate"/>
    </w:r>
    <w:r w:rsidR="00C84FE4" w:rsidRPr="00C84FE4">
      <w:rPr>
        <w:bCs/>
        <w:noProof/>
        <w:szCs w:val="22"/>
        <w:lang w:val="fr-FR"/>
      </w:rPr>
      <w:t>68</w:t>
    </w:r>
    <w:r>
      <w:rPr>
        <w:bCs/>
        <w:noProof/>
        <w:szCs w:val="22"/>
        <w:lang w:val="fr-F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424357"/>
      <w:docPartObj>
        <w:docPartGallery w:val="Page Numbers (Top of Page)"/>
        <w:docPartUnique/>
      </w:docPartObj>
    </w:sdtPr>
    <w:sdtEndPr>
      <w:rPr>
        <w:noProof/>
      </w:rPr>
    </w:sdtEndPr>
    <w:sdtContent>
      <w:p w14:paraId="0654EB2D" w14:textId="47B31276" w:rsidR="00C40D5D" w:rsidRDefault="00C40D5D" w:rsidP="00D85015">
        <w:pPr>
          <w:jc w:val="right"/>
        </w:pPr>
        <w:r>
          <w:t>WIPO/GRTKF/IC/34/14 Prov. 2</w:t>
        </w:r>
      </w:p>
      <w:p w14:paraId="02CECCEF" w14:textId="77777777" w:rsidR="00C40D5D" w:rsidRDefault="00C40D5D">
        <w:pPr>
          <w:pStyle w:val="Header"/>
          <w:jc w:val="right"/>
        </w:pPr>
        <w:r>
          <w:t>ANNEX</w:t>
        </w:r>
      </w:p>
    </w:sdtContent>
  </w:sdt>
  <w:p w14:paraId="52989E0B" w14:textId="77777777" w:rsidR="00C40D5D" w:rsidRDefault="00C40D5D"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445760"/>
      <w:docPartObj>
        <w:docPartGallery w:val="Page Numbers (Top of Page)"/>
        <w:docPartUnique/>
      </w:docPartObj>
    </w:sdtPr>
    <w:sdtEndPr>
      <w:rPr>
        <w:noProof/>
      </w:rPr>
    </w:sdtEndPr>
    <w:sdtContent>
      <w:p w14:paraId="7E6D2362" w14:textId="6A1D6AE1" w:rsidR="00C40D5D" w:rsidRDefault="00C40D5D" w:rsidP="00284F8C">
        <w:pPr>
          <w:jc w:val="right"/>
        </w:pPr>
        <w:r>
          <w:t>WIPO/GRTKF/IC/34/14 Prov. 2</w:t>
        </w:r>
      </w:p>
      <w:p w14:paraId="3BF36947" w14:textId="77777777" w:rsidR="00C40D5D" w:rsidRDefault="00C40D5D">
        <w:pPr>
          <w:pStyle w:val="Header"/>
          <w:jc w:val="right"/>
        </w:pPr>
        <w:r>
          <w:t xml:space="preserve">Annex, page </w:t>
        </w:r>
        <w:r>
          <w:fldChar w:fldCharType="begin"/>
        </w:r>
        <w:r>
          <w:instrText xml:space="preserve"> PAGE   \* MERGEFORMAT </w:instrText>
        </w:r>
        <w:r>
          <w:fldChar w:fldCharType="separate"/>
        </w:r>
        <w:r w:rsidR="00C84FE4">
          <w:rPr>
            <w:noProof/>
          </w:rPr>
          <w:t>24</w:t>
        </w:r>
        <w:r>
          <w:rPr>
            <w:noProof/>
          </w:rPr>
          <w:fldChar w:fldCharType="end"/>
        </w:r>
      </w:p>
    </w:sdtContent>
  </w:sdt>
  <w:p w14:paraId="041A9A3E" w14:textId="77777777" w:rsidR="00C40D5D" w:rsidRDefault="00C40D5D"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80421"/>
    <w:multiLevelType w:val="hybridMultilevel"/>
    <w:tmpl w:val="4C023AE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81757E6"/>
    <w:multiLevelType w:val="hybridMultilevel"/>
    <w:tmpl w:val="A8E4C024"/>
    <w:lvl w:ilvl="0" w:tplc="59AECBB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F4C4C3B"/>
    <w:multiLevelType w:val="hybridMultilevel"/>
    <w:tmpl w:val="8E0E4DF0"/>
    <w:lvl w:ilvl="0" w:tplc="C2AE29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0F938E0"/>
    <w:multiLevelType w:val="hybridMultilevel"/>
    <w:tmpl w:val="4F0E1B0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23C44C6A"/>
    <w:multiLevelType w:val="hybridMultilevel"/>
    <w:tmpl w:val="6F8824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48D450E"/>
    <w:multiLevelType w:val="hybridMultilevel"/>
    <w:tmpl w:val="A8E4C024"/>
    <w:lvl w:ilvl="0" w:tplc="59AECBB6">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E5547F"/>
    <w:multiLevelType w:val="hybridMultilevel"/>
    <w:tmpl w:val="A8E4C024"/>
    <w:lvl w:ilvl="0" w:tplc="59AECBB6">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B54631"/>
    <w:multiLevelType w:val="hybridMultilevel"/>
    <w:tmpl w:val="E2B4CBE4"/>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9343DE2"/>
    <w:multiLevelType w:val="hybridMultilevel"/>
    <w:tmpl w:val="AE2C493C"/>
    <w:lvl w:ilvl="0" w:tplc="496ABDC8">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7F77A1"/>
    <w:multiLevelType w:val="hybridMultilevel"/>
    <w:tmpl w:val="38C2CBF0"/>
    <w:styleLink w:val="ImportierterStil1"/>
    <w:lvl w:ilvl="0" w:tplc="0807000F">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19">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07001B">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7000F">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070019">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07001B">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07000F">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070019">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07001B">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761E281A"/>
    <w:multiLevelType w:val="hybridMultilevel"/>
    <w:tmpl w:val="5D586C8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0"/>
  </w:num>
  <w:num w:numId="2">
    <w:abstractNumId w:val="1"/>
  </w:num>
  <w:num w:numId="3">
    <w:abstractNumId w:val="4"/>
  </w:num>
  <w:num w:numId="4">
    <w:abstractNumId w:val="11"/>
  </w:num>
  <w:num w:numId="5">
    <w:abstractNumId w:val="13"/>
  </w:num>
  <w:num w:numId="6">
    <w:abstractNumId w:val="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12"/>
  </w:num>
  <w:num w:numId="11">
    <w:abstractNumId w:val="2"/>
  </w:num>
  <w:num w:numId="12">
    <w:abstractNumId w:val="7"/>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1C6"/>
    <w:rsid w:val="00000C01"/>
    <w:rsid w:val="000019AE"/>
    <w:rsid w:val="00002737"/>
    <w:rsid w:val="000032CE"/>
    <w:rsid w:val="00003757"/>
    <w:rsid w:val="000045C9"/>
    <w:rsid w:val="000066D4"/>
    <w:rsid w:val="00007111"/>
    <w:rsid w:val="000108E4"/>
    <w:rsid w:val="00010C25"/>
    <w:rsid w:val="00013E3F"/>
    <w:rsid w:val="0001432D"/>
    <w:rsid w:val="00015B2D"/>
    <w:rsid w:val="00016A0C"/>
    <w:rsid w:val="00016A5B"/>
    <w:rsid w:val="000170D6"/>
    <w:rsid w:val="00017370"/>
    <w:rsid w:val="00025097"/>
    <w:rsid w:val="000259AB"/>
    <w:rsid w:val="00026977"/>
    <w:rsid w:val="00026BD1"/>
    <w:rsid w:val="0002735E"/>
    <w:rsid w:val="00030241"/>
    <w:rsid w:val="0003164F"/>
    <w:rsid w:val="000319C3"/>
    <w:rsid w:val="00032384"/>
    <w:rsid w:val="00033FD7"/>
    <w:rsid w:val="000341CD"/>
    <w:rsid w:val="0003499B"/>
    <w:rsid w:val="00037306"/>
    <w:rsid w:val="00040155"/>
    <w:rsid w:val="00040768"/>
    <w:rsid w:val="00043636"/>
    <w:rsid w:val="00043CAA"/>
    <w:rsid w:val="0004503D"/>
    <w:rsid w:val="00045641"/>
    <w:rsid w:val="00045C18"/>
    <w:rsid w:val="00045D0B"/>
    <w:rsid w:val="00046FCA"/>
    <w:rsid w:val="00052A7E"/>
    <w:rsid w:val="00053BDA"/>
    <w:rsid w:val="00056523"/>
    <w:rsid w:val="000566C8"/>
    <w:rsid w:val="00057DCA"/>
    <w:rsid w:val="0006010B"/>
    <w:rsid w:val="000611E5"/>
    <w:rsid w:val="000617F6"/>
    <w:rsid w:val="00061E60"/>
    <w:rsid w:val="000622BA"/>
    <w:rsid w:val="00062F47"/>
    <w:rsid w:val="00063083"/>
    <w:rsid w:val="000633C7"/>
    <w:rsid w:val="00063D7F"/>
    <w:rsid w:val="000642B9"/>
    <w:rsid w:val="00064941"/>
    <w:rsid w:val="00064DC0"/>
    <w:rsid w:val="000664DA"/>
    <w:rsid w:val="00066720"/>
    <w:rsid w:val="00066976"/>
    <w:rsid w:val="00066A18"/>
    <w:rsid w:val="00066BED"/>
    <w:rsid w:val="00066D8A"/>
    <w:rsid w:val="00067D17"/>
    <w:rsid w:val="00070998"/>
    <w:rsid w:val="00072BAD"/>
    <w:rsid w:val="00075432"/>
    <w:rsid w:val="0007579F"/>
    <w:rsid w:val="00075B1D"/>
    <w:rsid w:val="00076754"/>
    <w:rsid w:val="00082636"/>
    <w:rsid w:val="00082EF9"/>
    <w:rsid w:val="0008372D"/>
    <w:rsid w:val="00085308"/>
    <w:rsid w:val="00085F6B"/>
    <w:rsid w:val="00086AB2"/>
    <w:rsid w:val="0008730B"/>
    <w:rsid w:val="00087CF8"/>
    <w:rsid w:val="000900DC"/>
    <w:rsid w:val="000912F5"/>
    <w:rsid w:val="00093F87"/>
    <w:rsid w:val="00094C89"/>
    <w:rsid w:val="00095257"/>
    <w:rsid w:val="000968ED"/>
    <w:rsid w:val="00096F93"/>
    <w:rsid w:val="000A1C56"/>
    <w:rsid w:val="000A34B5"/>
    <w:rsid w:val="000A46FB"/>
    <w:rsid w:val="000A48A3"/>
    <w:rsid w:val="000A49FE"/>
    <w:rsid w:val="000A5130"/>
    <w:rsid w:val="000A5889"/>
    <w:rsid w:val="000A5D72"/>
    <w:rsid w:val="000A625E"/>
    <w:rsid w:val="000A6D07"/>
    <w:rsid w:val="000A6F4C"/>
    <w:rsid w:val="000B1A72"/>
    <w:rsid w:val="000B445D"/>
    <w:rsid w:val="000B71F0"/>
    <w:rsid w:val="000C07F0"/>
    <w:rsid w:val="000C19F3"/>
    <w:rsid w:val="000C21DA"/>
    <w:rsid w:val="000C2501"/>
    <w:rsid w:val="000C33F7"/>
    <w:rsid w:val="000C4FE0"/>
    <w:rsid w:val="000C6133"/>
    <w:rsid w:val="000C61C6"/>
    <w:rsid w:val="000C647C"/>
    <w:rsid w:val="000C6C08"/>
    <w:rsid w:val="000D0021"/>
    <w:rsid w:val="000D0D43"/>
    <w:rsid w:val="000D25D4"/>
    <w:rsid w:val="000D3ACD"/>
    <w:rsid w:val="000D3D3D"/>
    <w:rsid w:val="000D4E6C"/>
    <w:rsid w:val="000D756F"/>
    <w:rsid w:val="000E2193"/>
    <w:rsid w:val="000E344F"/>
    <w:rsid w:val="000E3BAB"/>
    <w:rsid w:val="000E5DDF"/>
    <w:rsid w:val="000F17A3"/>
    <w:rsid w:val="000F2456"/>
    <w:rsid w:val="000F5973"/>
    <w:rsid w:val="000F5E56"/>
    <w:rsid w:val="000F6584"/>
    <w:rsid w:val="000F6E5E"/>
    <w:rsid w:val="00100100"/>
    <w:rsid w:val="00100129"/>
    <w:rsid w:val="00100896"/>
    <w:rsid w:val="00101667"/>
    <w:rsid w:val="0010280B"/>
    <w:rsid w:val="00102F3A"/>
    <w:rsid w:val="0010361F"/>
    <w:rsid w:val="00104D76"/>
    <w:rsid w:val="00106FD5"/>
    <w:rsid w:val="00110769"/>
    <w:rsid w:val="00110ADC"/>
    <w:rsid w:val="001127C6"/>
    <w:rsid w:val="0011513A"/>
    <w:rsid w:val="00115508"/>
    <w:rsid w:val="00120E2F"/>
    <w:rsid w:val="00121414"/>
    <w:rsid w:val="0012170C"/>
    <w:rsid w:val="00121A16"/>
    <w:rsid w:val="00121D65"/>
    <w:rsid w:val="00122509"/>
    <w:rsid w:val="0012554C"/>
    <w:rsid w:val="00125928"/>
    <w:rsid w:val="001267D2"/>
    <w:rsid w:val="001301BE"/>
    <w:rsid w:val="00132D39"/>
    <w:rsid w:val="00133BE2"/>
    <w:rsid w:val="00134400"/>
    <w:rsid w:val="00135BB2"/>
    <w:rsid w:val="00136220"/>
    <w:rsid w:val="001362EE"/>
    <w:rsid w:val="00136422"/>
    <w:rsid w:val="001378C8"/>
    <w:rsid w:val="00144BF5"/>
    <w:rsid w:val="00144F0E"/>
    <w:rsid w:val="001468DA"/>
    <w:rsid w:val="00147CA4"/>
    <w:rsid w:val="001513D0"/>
    <w:rsid w:val="0015271F"/>
    <w:rsid w:val="00153A21"/>
    <w:rsid w:val="00153D26"/>
    <w:rsid w:val="00155025"/>
    <w:rsid w:val="001559E2"/>
    <w:rsid w:val="00157342"/>
    <w:rsid w:val="0016126B"/>
    <w:rsid w:val="00162936"/>
    <w:rsid w:val="0016373E"/>
    <w:rsid w:val="0016441D"/>
    <w:rsid w:val="001667DC"/>
    <w:rsid w:val="00170E9B"/>
    <w:rsid w:val="00171002"/>
    <w:rsid w:val="00171DD9"/>
    <w:rsid w:val="001725B8"/>
    <w:rsid w:val="0017404B"/>
    <w:rsid w:val="0017482C"/>
    <w:rsid w:val="001752BE"/>
    <w:rsid w:val="00176086"/>
    <w:rsid w:val="001765A7"/>
    <w:rsid w:val="0017678A"/>
    <w:rsid w:val="00177EDE"/>
    <w:rsid w:val="00180D49"/>
    <w:rsid w:val="00181BBF"/>
    <w:rsid w:val="00182AC7"/>
    <w:rsid w:val="001832A6"/>
    <w:rsid w:val="001839C9"/>
    <w:rsid w:val="0018420C"/>
    <w:rsid w:val="00186217"/>
    <w:rsid w:val="00186C65"/>
    <w:rsid w:val="00186F84"/>
    <w:rsid w:val="0019039B"/>
    <w:rsid w:val="00190DFA"/>
    <w:rsid w:val="00191845"/>
    <w:rsid w:val="00192265"/>
    <w:rsid w:val="0019299B"/>
    <w:rsid w:val="00192A29"/>
    <w:rsid w:val="001935DE"/>
    <w:rsid w:val="00193E0C"/>
    <w:rsid w:val="00194A88"/>
    <w:rsid w:val="00194FB2"/>
    <w:rsid w:val="00195261"/>
    <w:rsid w:val="0019576D"/>
    <w:rsid w:val="00197130"/>
    <w:rsid w:val="001971ED"/>
    <w:rsid w:val="001A0315"/>
    <w:rsid w:val="001A0662"/>
    <w:rsid w:val="001A138E"/>
    <w:rsid w:val="001A2D8C"/>
    <w:rsid w:val="001A2FF9"/>
    <w:rsid w:val="001A3B85"/>
    <w:rsid w:val="001A3F29"/>
    <w:rsid w:val="001A425B"/>
    <w:rsid w:val="001A4C45"/>
    <w:rsid w:val="001A6331"/>
    <w:rsid w:val="001B0B29"/>
    <w:rsid w:val="001B0ED2"/>
    <w:rsid w:val="001B2483"/>
    <w:rsid w:val="001B2DC4"/>
    <w:rsid w:val="001B32F4"/>
    <w:rsid w:val="001B3C42"/>
    <w:rsid w:val="001B3F0F"/>
    <w:rsid w:val="001B7B3C"/>
    <w:rsid w:val="001C0C6A"/>
    <w:rsid w:val="001C0D9B"/>
    <w:rsid w:val="001C2C93"/>
    <w:rsid w:val="001C4BE4"/>
    <w:rsid w:val="001C723A"/>
    <w:rsid w:val="001C7E81"/>
    <w:rsid w:val="001D1347"/>
    <w:rsid w:val="001D21E9"/>
    <w:rsid w:val="001D42A7"/>
    <w:rsid w:val="001D681F"/>
    <w:rsid w:val="001E1401"/>
    <w:rsid w:val="001E1952"/>
    <w:rsid w:val="001E40AE"/>
    <w:rsid w:val="001E5A70"/>
    <w:rsid w:val="001F2382"/>
    <w:rsid w:val="001F2E17"/>
    <w:rsid w:val="001F37AC"/>
    <w:rsid w:val="001F55EC"/>
    <w:rsid w:val="001F5655"/>
    <w:rsid w:val="00202DE5"/>
    <w:rsid w:val="0020391D"/>
    <w:rsid w:val="00205349"/>
    <w:rsid w:val="00205BFC"/>
    <w:rsid w:val="002119C4"/>
    <w:rsid w:val="0021445E"/>
    <w:rsid w:val="00215685"/>
    <w:rsid w:val="00217087"/>
    <w:rsid w:val="00221721"/>
    <w:rsid w:val="00221B87"/>
    <w:rsid w:val="0022239D"/>
    <w:rsid w:val="00223200"/>
    <w:rsid w:val="00223241"/>
    <w:rsid w:val="002235B9"/>
    <w:rsid w:val="0022372B"/>
    <w:rsid w:val="00223DFB"/>
    <w:rsid w:val="00224BD9"/>
    <w:rsid w:val="00225129"/>
    <w:rsid w:val="00225584"/>
    <w:rsid w:val="002261AE"/>
    <w:rsid w:val="00230787"/>
    <w:rsid w:val="00230BB0"/>
    <w:rsid w:val="00230C66"/>
    <w:rsid w:val="002317D1"/>
    <w:rsid w:val="00233FA9"/>
    <w:rsid w:val="00233FEC"/>
    <w:rsid w:val="00236932"/>
    <w:rsid w:val="00241BD2"/>
    <w:rsid w:val="00242E42"/>
    <w:rsid w:val="00243105"/>
    <w:rsid w:val="002432CC"/>
    <w:rsid w:val="00243AEB"/>
    <w:rsid w:val="0024521A"/>
    <w:rsid w:val="0024663E"/>
    <w:rsid w:val="00246C12"/>
    <w:rsid w:val="002479F3"/>
    <w:rsid w:val="0025057D"/>
    <w:rsid w:val="00250D3B"/>
    <w:rsid w:val="00252862"/>
    <w:rsid w:val="00252F4F"/>
    <w:rsid w:val="00253955"/>
    <w:rsid w:val="0025462E"/>
    <w:rsid w:val="00256A3C"/>
    <w:rsid w:val="00256FD2"/>
    <w:rsid w:val="00257AEF"/>
    <w:rsid w:val="00261224"/>
    <w:rsid w:val="0026147A"/>
    <w:rsid w:val="00261BFC"/>
    <w:rsid w:val="00262C71"/>
    <w:rsid w:val="002632E0"/>
    <w:rsid w:val="002634C4"/>
    <w:rsid w:val="00263BBB"/>
    <w:rsid w:val="002646CE"/>
    <w:rsid w:val="002655AF"/>
    <w:rsid w:val="00265B05"/>
    <w:rsid w:val="00266125"/>
    <w:rsid w:val="00266235"/>
    <w:rsid w:val="00266401"/>
    <w:rsid w:val="00266688"/>
    <w:rsid w:val="00266DD9"/>
    <w:rsid w:val="002673A6"/>
    <w:rsid w:val="00271B50"/>
    <w:rsid w:val="00276F36"/>
    <w:rsid w:val="00277215"/>
    <w:rsid w:val="002807DC"/>
    <w:rsid w:val="00280F7B"/>
    <w:rsid w:val="002828E2"/>
    <w:rsid w:val="00284F8C"/>
    <w:rsid w:val="00285366"/>
    <w:rsid w:val="00285EA7"/>
    <w:rsid w:val="002870B1"/>
    <w:rsid w:val="002875C4"/>
    <w:rsid w:val="00287C93"/>
    <w:rsid w:val="00291A02"/>
    <w:rsid w:val="00292065"/>
    <w:rsid w:val="002928D3"/>
    <w:rsid w:val="00292971"/>
    <w:rsid w:val="00292D5E"/>
    <w:rsid w:val="00295B03"/>
    <w:rsid w:val="002961EE"/>
    <w:rsid w:val="0029625D"/>
    <w:rsid w:val="00296D66"/>
    <w:rsid w:val="002A300F"/>
    <w:rsid w:val="002A59E8"/>
    <w:rsid w:val="002B0E22"/>
    <w:rsid w:val="002B1245"/>
    <w:rsid w:val="002B2AC6"/>
    <w:rsid w:val="002B2B48"/>
    <w:rsid w:val="002B633E"/>
    <w:rsid w:val="002B722B"/>
    <w:rsid w:val="002B7524"/>
    <w:rsid w:val="002C0AFD"/>
    <w:rsid w:val="002C1333"/>
    <w:rsid w:val="002C13CC"/>
    <w:rsid w:val="002C1434"/>
    <w:rsid w:val="002C291A"/>
    <w:rsid w:val="002C4DAB"/>
    <w:rsid w:val="002C6FD8"/>
    <w:rsid w:val="002C7CB0"/>
    <w:rsid w:val="002D2A7F"/>
    <w:rsid w:val="002E01D8"/>
    <w:rsid w:val="002E2E0E"/>
    <w:rsid w:val="002E5451"/>
    <w:rsid w:val="002E590D"/>
    <w:rsid w:val="002F04D1"/>
    <w:rsid w:val="002F0F98"/>
    <w:rsid w:val="002F113D"/>
    <w:rsid w:val="002F13FD"/>
    <w:rsid w:val="002F1FE6"/>
    <w:rsid w:val="002F38A8"/>
    <w:rsid w:val="002F4AEE"/>
    <w:rsid w:val="002F4E68"/>
    <w:rsid w:val="002F6CF1"/>
    <w:rsid w:val="002F7785"/>
    <w:rsid w:val="0030060D"/>
    <w:rsid w:val="003053EC"/>
    <w:rsid w:val="00306034"/>
    <w:rsid w:val="00306574"/>
    <w:rsid w:val="003116D5"/>
    <w:rsid w:val="00312077"/>
    <w:rsid w:val="00312F7F"/>
    <w:rsid w:val="00313540"/>
    <w:rsid w:val="00316193"/>
    <w:rsid w:val="00316E72"/>
    <w:rsid w:val="00317713"/>
    <w:rsid w:val="003212A7"/>
    <w:rsid w:val="00322696"/>
    <w:rsid w:val="0032307C"/>
    <w:rsid w:val="00323735"/>
    <w:rsid w:val="00324851"/>
    <w:rsid w:val="00326520"/>
    <w:rsid w:val="00326ED3"/>
    <w:rsid w:val="00330017"/>
    <w:rsid w:val="00332FEB"/>
    <w:rsid w:val="00335D4E"/>
    <w:rsid w:val="00337ED5"/>
    <w:rsid w:val="00340132"/>
    <w:rsid w:val="00343EBF"/>
    <w:rsid w:val="00345715"/>
    <w:rsid w:val="0034634A"/>
    <w:rsid w:val="0034681B"/>
    <w:rsid w:val="00347847"/>
    <w:rsid w:val="00347962"/>
    <w:rsid w:val="00353BAF"/>
    <w:rsid w:val="003546FA"/>
    <w:rsid w:val="00354BCB"/>
    <w:rsid w:val="00354E5D"/>
    <w:rsid w:val="00357814"/>
    <w:rsid w:val="003603EC"/>
    <w:rsid w:val="00361450"/>
    <w:rsid w:val="003629C8"/>
    <w:rsid w:val="00365B7B"/>
    <w:rsid w:val="00365E0F"/>
    <w:rsid w:val="00366B42"/>
    <w:rsid w:val="003672D0"/>
    <w:rsid w:val="003673CF"/>
    <w:rsid w:val="003678E3"/>
    <w:rsid w:val="003725AC"/>
    <w:rsid w:val="00373192"/>
    <w:rsid w:val="003748EA"/>
    <w:rsid w:val="00374C52"/>
    <w:rsid w:val="00376D93"/>
    <w:rsid w:val="00376DB5"/>
    <w:rsid w:val="00376E3D"/>
    <w:rsid w:val="00377A1A"/>
    <w:rsid w:val="00380E58"/>
    <w:rsid w:val="00380F14"/>
    <w:rsid w:val="0038107B"/>
    <w:rsid w:val="00381B54"/>
    <w:rsid w:val="00382839"/>
    <w:rsid w:val="003845C1"/>
    <w:rsid w:val="00385953"/>
    <w:rsid w:val="00387A80"/>
    <w:rsid w:val="003905DC"/>
    <w:rsid w:val="00391729"/>
    <w:rsid w:val="00391C71"/>
    <w:rsid w:val="00392295"/>
    <w:rsid w:val="00395433"/>
    <w:rsid w:val="00395A2B"/>
    <w:rsid w:val="00397B0B"/>
    <w:rsid w:val="00397C28"/>
    <w:rsid w:val="003A2565"/>
    <w:rsid w:val="003A6F89"/>
    <w:rsid w:val="003A70E6"/>
    <w:rsid w:val="003A72B1"/>
    <w:rsid w:val="003A734D"/>
    <w:rsid w:val="003B0F51"/>
    <w:rsid w:val="003B1695"/>
    <w:rsid w:val="003B17C3"/>
    <w:rsid w:val="003B38C1"/>
    <w:rsid w:val="003B4B38"/>
    <w:rsid w:val="003B5775"/>
    <w:rsid w:val="003B58AB"/>
    <w:rsid w:val="003B5C65"/>
    <w:rsid w:val="003B5F75"/>
    <w:rsid w:val="003C10BA"/>
    <w:rsid w:val="003C1DC5"/>
    <w:rsid w:val="003C4338"/>
    <w:rsid w:val="003C5FB5"/>
    <w:rsid w:val="003C639D"/>
    <w:rsid w:val="003C6EF6"/>
    <w:rsid w:val="003C6F72"/>
    <w:rsid w:val="003D0F2E"/>
    <w:rsid w:val="003D173E"/>
    <w:rsid w:val="003D2718"/>
    <w:rsid w:val="003D44F7"/>
    <w:rsid w:val="003D7057"/>
    <w:rsid w:val="003E0A12"/>
    <w:rsid w:val="003E0C3E"/>
    <w:rsid w:val="003E109F"/>
    <w:rsid w:val="003E11F7"/>
    <w:rsid w:val="003E255D"/>
    <w:rsid w:val="003E2ED4"/>
    <w:rsid w:val="003E5A84"/>
    <w:rsid w:val="003E6451"/>
    <w:rsid w:val="003E64AA"/>
    <w:rsid w:val="003E7C2D"/>
    <w:rsid w:val="003F142C"/>
    <w:rsid w:val="003F15AD"/>
    <w:rsid w:val="003F32E6"/>
    <w:rsid w:val="003F3A07"/>
    <w:rsid w:val="003F3B60"/>
    <w:rsid w:val="003F4578"/>
    <w:rsid w:val="003F4F67"/>
    <w:rsid w:val="003F6250"/>
    <w:rsid w:val="003F6454"/>
    <w:rsid w:val="003F6594"/>
    <w:rsid w:val="003F6B97"/>
    <w:rsid w:val="003F732D"/>
    <w:rsid w:val="0040072A"/>
    <w:rsid w:val="0040115A"/>
    <w:rsid w:val="00401719"/>
    <w:rsid w:val="00401F80"/>
    <w:rsid w:val="00404018"/>
    <w:rsid w:val="0040471D"/>
    <w:rsid w:val="004047B4"/>
    <w:rsid w:val="00406A6E"/>
    <w:rsid w:val="00406FE9"/>
    <w:rsid w:val="004102E7"/>
    <w:rsid w:val="004105DF"/>
    <w:rsid w:val="00410C79"/>
    <w:rsid w:val="00411D23"/>
    <w:rsid w:val="0041269F"/>
    <w:rsid w:val="00412AA0"/>
    <w:rsid w:val="00412BF5"/>
    <w:rsid w:val="00414E18"/>
    <w:rsid w:val="00415A6F"/>
    <w:rsid w:val="004212A1"/>
    <w:rsid w:val="004215EE"/>
    <w:rsid w:val="0042387B"/>
    <w:rsid w:val="00423E3E"/>
    <w:rsid w:val="00424138"/>
    <w:rsid w:val="00427AF4"/>
    <w:rsid w:val="004316A7"/>
    <w:rsid w:val="00432D8A"/>
    <w:rsid w:val="004352BD"/>
    <w:rsid w:val="0043565E"/>
    <w:rsid w:val="00436C94"/>
    <w:rsid w:val="00442E27"/>
    <w:rsid w:val="004436A8"/>
    <w:rsid w:val="00443DAE"/>
    <w:rsid w:val="00444FB6"/>
    <w:rsid w:val="0044538D"/>
    <w:rsid w:val="004455D9"/>
    <w:rsid w:val="00445D87"/>
    <w:rsid w:val="00445FAF"/>
    <w:rsid w:val="0044667D"/>
    <w:rsid w:val="00447922"/>
    <w:rsid w:val="00451C20"/>
    <w:rsid w:val="00453A2B"/>
    <w:rsid w:val="0045438D"/>
    <w:rsid w:val="0045523D"/>
    <w:rsid w:val="00455F69"/>
    <w:rsid w:val="004564D0"/>
    <w:rsid w:val="004568EC"/>
    <w:rsid w:val="00456D79"/>
    <w:rsid w:val="00456E48"/>
    <w:rsid w:val="0045789F"/>
    <w:rsid w:val="0046037A"/>
    <w:rsid w:val="00460F21"/>
    <w:rsid w:val="004621BE"/>
    <w:rsid w:val="00464563"/>
    <w:rsid w:val="004647DA"/>
    <w:rsid w:val="004654E8"/>
    <w:rsid w:val="00466059"/>
    <w:rsid w:val="004663CB"/>
    <w:rsid w:val="00466ADA"/>
    <w:rsid w:val="00466DC0"/>
    <w:rsid w:val="00466FF6"/>
    <w:rsid w:val="00467313"/>
    <w:rsid w:val="0046752E"/>
    <w:rsid w:val="0046778D"/>
    <w:rsid w:val="00470C2F"/>
    <w:rsid w:val="00471D2C"/>
    <w:rsid w:val="00473B9B"/>
    <w:rsid w:val="00474062"/>
    <w:rsid w:val="00475620"/>
    <w:rsid w:val="004765CD"/>
    <w:rsid w:val="00477158"/>
    <w:rsid w:val="00477D07"/>
    <w:rsid w:val="00477D6B"/>
    <w:rsid w:val="00477F4F"/>
    <w:rsid w:val="004809FE"/>
    <w:rsid w:val="004829F9"/>
    <w:rsid w:val="00483966"/>
    <w:rsid w:val="00484B58"/>
    <w:rsid w:val="0048557A"/>
    <w:rsid w:val="00485BAF"/>
    <w:rsid w:val="00485F63"/>
    <w:rsid w:val="0048645A"/>
    <w:rsid w:val="004868D0"/>
    <w:rsid w:val="0049135D"/>
    <w:rsid w:val="00492CF0"/>
    <w:rsid w:val="004931E5"/>
    <w:rsid w:val="00493EE3"/>
    <w:rsid w:val="004950EE"/>
    <w:rsid w:val="004958B5"/>
    <w:rsid w:val="004A36B3"/>
    <w:rsid w:val="004A6AA7"/>
    <w:rsid w:val="004B0C5B"/>
    <w:rsid w:val="004B4F3C"/>
    <w:rsid w:val="004B54C0"/>
    <w:rsid w:val="004B5565"/>
    <w:rsid w:val="004B569F"/>
    <w:rsid w:val="004B5B60"/>
    <w:rsid w:val="004B62A0"/>
    <w:rsid w:val="004B79ED"/>
    <w:rsid w:val="004B7D8D"/>
    <w:rsid w:val="004C1776"/>
    <w:rsid w:val="004C31C5"/>
    <w:rsid w:val="004C5017"/>
    <w:rsid w:val="004C561B"/>
    <w:rsid w:val="004C5FE4"/>
    <w:rsid w:val="004C72B7"/>
    <w:rsid w:val="004C7557"/>
    <w:rsid w:val="004C7909"/>
    <w:rsid w:val="004D0E82"/>
    <w:rsid w:val="004D104F"/>
    <w:rsid w:val="004D1323"/>
    <w:rsid w:val="004D1B5C"/>
    <w:rsid w:val="004D3D1B"/>
    <w:rsid w:val="004D3ED0"/>
    <w:rsid w:val="004D4A85"/>
    <w:rsid w:val="004D7C2C"/>
    <w:rsid w:val="004E0AD7"/>
    <w:rsid w:val="004E2B35"/>
    <w:rsid w:val="004E4110"/>
    <w:rsid w:val="004E55ED"/>
    <w:rsid w:val="004E5ECC"/>
    <w:rsid w:val="004E6065"/>
    <w:rsid w:val="004E69D2"/>
    <w:rsid w:val="004E74AA"/>
    <w:rsid w:val="004F06F2"/>
    <w:rsid w:val="004F33E9"/>
    <w:rsid w:val="004F3C8F"/>
    <w:rsid w:val="004F5FD1"/>
    <w:rsid w:val="004F6CEB"/>
    <w:rsid w:val="004F7EC0"/>
    <w:rsid w:val="00500199"/>
    <w:rsid w:val="0050071B"/>
    <w:rsid w:val="005019FF"/>
    <w:rsid w:val="00504320"/>
    <w:rsid w:val="00504E07"/>
    <w:rsid w:val="005058D7"/>
    <w:rsid w:val="00507C84"/>
    <w:rsid w:val="00507C93"/>
    <w:rsid w:val="00507EA5"/>
    <w:rsid w:val="00511CE6"/>
    <w:rsid w:val="00514335"/>
    <w:rsid w:val="00515038"/>
    <w:rsid w:val="00515786"/>
    <w:rsid w:val="00516503"/>
    <w:rsid w:val="00516CEB"/>
    <w:rsid w:val="00521441"/>
    <w:rsid w:val="0052288A"/>
    <w:rsid w:val="005237A9"/>
    <w:rsid w:val="005258D2"/>
    <w:rsid w:val="00526B5C"/>
    <w:rsid w:val="00527015"/>
    <w:rsid w:val="00530389"/>
    <w:rsid w:val="0053057A"/>
    <w:rsid w:val="00533148"/>
    <w:rsid w:val="0053504B"/>
    <w:rsid w:val="00535690"/>
    <w:rsid w:val="00536499"/>
    <w:rsid w:val="0054043B"/>
    <w:rsid w:val="00540E96"/>
    <w:rsid w:val="00541561"/>
    <w:rsid w:val="00542300"/>
    <w:rsid w:val="00542895"/>
    <w:rsid w:val="0054337A"/>
    <w:rsid w:val="005433DB"/>
    <w:rsid w:val="00545145"/>
    <w:rsid w:val="0054570C"/>
    <w:rsid w:val="00547899"/>
    <w:rsid w:val="0055011D"/>
    <w:rsid w:val="00550AFD"/>
    <w:rsid w:val="00551656"/>
    <w:rsid w:val="005516DE"/>
    <w:rsid w:val="0055211A"/>
    <w:rsid w:val="005555AD"/>
    <w:rsid w:val="00555EB4"/>
    <w:rsid w:val="005566B9"/>
    <w:rsid w:val="005579DE"/>
    <w:rsid w:val="00560A29"/>
    <w:rsid w:val="00562437"/>
    <w:rsid w:val="00565101"/>
    <w:rsid w:val="00573272"/>
    <w:rsid w:val="00573D7B"/>
    <w:rsid w:val="00574E73"/>
    <w:rsid w:val="00575186"/>
    <w:rsid w:val="0057545B"/>
    <w:rsid w:val="005756F4"/>
    <w:rsid w:val="0057753E"/>
    <w:rsid w:val="00577782"/>
    <w:rsid w:val="005803FF"/>
    <w:rsid w:val="00580617"/>
    <w:rsid w:val="00581792"/>
    <w:rsid w:val="00582C5C"/>
    <w:rsid w:val="00585ED7"/>
    <w:rsid w:val="005865CE"/>
    <w:rsid w:val="00586A88"/>
    <w:rsid w:val="00587955"/>
    <w:rsid w:val="00587B2C"/>
    <w:rsid w:val="0059186B"/>
    <w:rsid w:val="00592480"/>
    <w:rsid w:val="00593B48"/>
    <w:rsid w:val="00594B67"/>
    <w:rsid w:val="00594C9F"/>
    <w:rsid w:val="005A0108"/>
    <w:rsid w:val="005A3C45"/>
    <w:rsid w:val="005A44A4"/>
    <w:rsid w:val="005A648C"/>
    <w:rsid w:val="005A7666"/>
    <w:rsid w:val="005B173A"/>
    <w:rsid w:val="005B241E"/>
    <w:rsid w:val="005B2EC1"/>
    <w:rsid w:val="005B3244"/>
    <w:rsid w:val="005B4706"/>
    <w:rsid w:val="005B4E7B"/>
    <w:rsid w:val="005B7227"/>
    <w:rsid w:val="005B739E"/>
    <w:rsid w:val="005C018D"/>
    <w:rsid w:val="005C1389"/>
    <w:rsid w:val="005C1C38"/>
    <w:rsid w:val="005C1C95"/>
    <w:rsid w:val="005C2DA6"/>
    <w:rsid w:val="005C2E7E"/>
    <w:rsid w:val="005C3159"/>
    <w:rsid w:val="005C57E6"/>
    <w:rsid w:val="005C59E0"/>
    <w:rsid w:val="005C6122"/>
    <w:rsid w:val="005C6649"/>
    <w:rsid w:val="005D03CD"/>
    <w:rsid w:val="005D0568"/>
    <w:rsid w:val="005D1CD0"/>
    <w:rsid w:val="005D1F17"/>
    <w:rsid w:val="005D31AD"/>
    <w:rsid w:val="005D55CB"/>
    <w:rsid w:val="005D649C"/>
    <w:rsid w:val="005E0F75"/>
    <w:rsid w:val="005E1BE4"/>
    <w:rsid w:val="005E3054"/>
    <w:rsid w:val="005E3FA8"/>
    <w:rsid w:val="005E52DA"/>
    <w:rsid w:val="005E78DA"/>
    <w:rsid w:val="005E7F1E"/>
    <w:rsid w:val="005F0848"/>
    <w:rsid w:val="005F0CC4"/>
    <w:rsid w:val="005F1165"/>
    <w:rsid w:val="005F3144"/>
    <w:rsid w:val="005F3815"/>
    <w:rsid w:val="005F38DD"/>
    <w:rsid w:val="005F3AA6"/>
    <w:rsid w:val="005F5C99"/>
    <w:rsid w:val="005F5F7E"/>
    <w:rsid w:val="005F699A"/>
    <w:rsid w:val="00601453"/>
    <w:rsid w:val="00602571"/>
    <w:rsid w:val="0060349E"/>
    <w:rsid w:val="006037DC"/>
    <w:rsid w:val="00603D8F"/>
    <w:rsid w:val="00605827"/>
    <w:rsid w:val="00606623"/>
    <w:rsid w:val="00606BB7"/>
    <w:rsid w:val="0060748A"/>
    <w:rsid w:val="0060772E"/>
    <w:rsid w:val="006078AD"/>
    <w:rsid w:val="00607FE9"/>
    <w:rsid w:val="0061024D"/>
    <w:rsid w:val="00610E3D"/>
    <w:rsid w:val="006117F5"/>
    <w:rsid w:val="00614EB9"/>
    <w:rsid w:val="00621038"/>
    <w:rsid w:val="00623F54"/>
    <w:rsid w:val="00624116"/>
    <w:rsid w:val="00625654"/>
    <w:rsid w:val="00625BBB"/>
    <w:rsid w:val="00626632"/>
    <w:rsid w:val="00626B62"/>
    <w:rsid w:val="00627672"/>
    <w:rsid w:val="00631C5E"/>
    <w:rsid w:val="006363E6"/>
    <w:rsid w:val="00640A04"/>
    <w:rsid w:val="0064100B"/>
    <w:rsid w:val="00644FF0"/>
    <w:rsid w:val="00646050"/>
    <w:rsid w:val="006506BF"/>
    <w:rsid w:val="00651426"/>
    <w:rsid w:val="0065173B"/>
    <w:rsid w:val="00652744"/>
    <w:rsid w:val="0065476D"/>
    <w:rsid w:val="00654D27"/>
    <w:rsid w:val="006578DB"/>
    <w:rsid w:val="0066043F"/>
    <w:rsid w:val="00660B17"/>
    <w:rsid w:val="006616E4"/>
    <w:rsid w:val="00661E7A"/>
    <w:rsid w:val="0066268B"/>
    <w:rsid w:val="00663520"/>
    <w:rsid w:val="006653FC"/>
    <w:rsid w:val="00666018"/>
    <w:rsid w:val="00666079"/>
    <w:rsid w:val="006700DD"/>
    <w:rsid w:val="00670378"/>
    <w:rsid w:val="00670403"/>
    <w:rsid w:val="006706FB"/>
    <w:rsid w:val="006713CA"/>
    <w:rsid w:val="006748B2"/>
    <w:rsid w:val="00675344"/>
    <w:rsid w:val="006753D3"/>
    <w:rsid w:val="00676C5C"/>
    <w:rsid w:val="006800DB"/>
    <w:rsid w:val="00680E2F"/>
    <w:rsid w:val="00681906"/>
    <w:rsid w:val="00682077"/>
    <w:rsid w:val="006834F5"/>
    <w:rsid w:val="006838DB"/>
    <w:rsid w:val="00684B07"/>
    <w:rsid w:val="006873D7"/>
    <w:rsid w:val="00690E95"/>
    <w:rsid w:val="006913F7"/>
    <w:rsid w:val="00694528"/>
    <w:rsid w:val="006950C1"/>
    <w:rsid w:val="0069662E"/>
    <w:rsid w:val="006A0BAC"/>
    <w:rsid w:val="006A5D4A"/>
    <w:rsid w:val="006A733A"/>
    <w:rsid w:val="006A7604"/>
    <w:rsid w:val="006B08AA"/>
    <w:rsid w:val="006B0F89"/>
    <w:rsid w:val="006B182B"/>
    <w:rsid w:val="006B30A9"/>
    <w:rsid w:val="006B3A1C"/>
    <w:rsid w:val="006B3F2C"/>
    <w:rsid w:val="006B45E5"/>
    <w:rsid w:val="006B64E4"/>
    <w:rsid w:val="006B73F7"/>
    <w:rsid w:val="006B74C1"/>
    <w:rsid w:val="006B76A9"/>
    <w:rsid w:val="006B7E86"/>
    <w:rsid w:val="006C1403"/>
    <w:rsid w:val="006C182B"/>
    <w:rsid w:val="006C3BFD"/>
    <w:rsid w:val="006C5B4C"/>
    <w:rsid w:val="006C7FFA"/>
    <w:rsid w:val="006D171B"/>
    <w:rsid w:val="006D1907"/>
    <w:rsid w:val="006D3408"/>
    <w:rsid w:val="006D4409"/>
    <w:rsid w:val="006D5CEF"/>
    <w:rsid w:val="006D5DFB"/>
    <w:rsid w:val="006D78B6"/>
    <w:rsid w:val="006E00BB"/>
    <w:rsid w:val="006E0E3F"/>
    <w:rsid w:val="006E1D7B"/>
    <w:rsid w:val="006E7AD4"/>
    <w:rsid w:val="006E7D05"/>
    <w:rsid w:val="006F088E"/>
    <w:rsid w:val="006F1F51"/>
    <w:rsid w:val="006F2685"/>
    <w:rsid w:val="006F3619"/>
    <w:rsid w:val="006F50EB"/>
    <w:rsid w:val="006F58BA"/>
    <w:rsid w:val="006F6A01"/>
    <w:rsid w:val="006F6A60"/>
    <w:rsid w:val="007020EF"/>
    <w:rsid w:val="007033DC"/>
    <w:rsid w:val="007047AD"/>
    <w:rsid w:val="00704EDD"/>
    <w:rsid w:val="00705BD4"/>
    <w:rsid w:val="00705C8A"/>
    <w:rsid w:val="0070617A"/>
    <w:rsid w:val="007108CF"/>
    <w:rsid w:val="00710BD3"/>
    <w:rsid w:val="007113DB"/>
    <w:rsid w:val="00715A1C"/>
    <w:rsid w:val="00715D45"/>
    <w:rsid w:val="00717E44"/>
    <w:rsid w:val="00720C3A"/>
    <w:rsid w:val="00720C9C"/>
    <w:rsid w:val="0072267D"/>
    <w:rsid w:val="007226C8"/>
    <w:rsid w:val="00723BE0"/>
    <w:rsid w:val="00724BED"/>
    <w:rsid w:val="00726862"/>
    <w:rsid w:val="00726AA2"/>
    <w:rsid w:val="00727373"/>
    <w:rsid w:val="007302BA"/>
    <w:rsid w:val="00730401"/>
    <w:rsid w:val="00730B2D"/>
    <w:rsid w:val="0073197B"/>
    <w:rsid w:val="00734F5B"/>
    <w:rsid w:val="0073563A"/>
    <w:rsid w:val="00737182"/>
    <w:rsid w:val="00737569"/>
    <w:rsid w:val="00740677"/>
    <w:rsid w:val="0074263B"/>
    <w:rsid w:val="00746145"/>
    <w:rsid w:val="00746281"/>
    <w:rsid w:val="00747693"/>
    <w:rsid w:val="00747698"/>
    <w:rsid w:val="00752E5F"/>
    <w:rsid w:val="00752E77"/>
    <w:rsid w:val="007547E8"/>
    <w:rsid w:val="00756435"/>
    <w:rsid w:val="00756C75"/>
    <w:rsid w:val="00757519"/>
    <w:rsid w:val="00757E46"/>
    <w:rsid w:val="00757FAC"/>
    <w:rsid w:val="00760B7D"/>
    <w:rsid w:val="00761BCD"/>
    <w:rsid w:val="00762F6D"/>
    <w:rsid w:val="007630A5"/>
    <w:rsid w:val="00763182"/>
    <w:rsid w:val="0076428F"/>
    <w:rsid w:val="00764905"/>
    <w:rsid w:val="00764A48"/>
    <w:rsid w:val="007654B0"/>
    <w:rsid w:val="0076553F"/>
    <w:rsid w:val="00770AAA"/>
    <w:rsid w:val="00770C28"/>
    <w:rsid w:val="0077194D"/>
    <w:rsid w:val="00772C93"/>
    <w:rsid w:val="00773B17"/>
    <w:rsid w:val="00773B59"/>
    <w:rsid w:val="0077576B"/>
    <w:rsid w:val="00775CD2"/>
    <w:rsid w:val="00776339"/>
    <w:rsid w:val="007767F0"/>
    <w:rsid w:val="007821D8"/>
    <w:rsid w:val="00783676"/>
    <w:rsid w:val="0078484F"/>
    <w:rsid w:val="00785FFC"/>
    <w:rsid w:val="007920F9"/>
    <w:rsid w:val="00792A9A"/>
    <w:rsid w:val="00792E5D"/>
    <w:rsid w:val="007A00FC"/>
    <w:rsid w:val="007A0BAC"/>
    <w:rsid w:val="007A0C20"/>
    <w:rsid w:val="007A264B"/>
    <w:rsid w:val="007A2BEE"/>
    <w:rsid w:val="007A2C51"/>
    <w:rsid w:val="007B1468"/>
    <w:rsid w:val="007B1A0D"/>
    <w:rsid w:val="007B1C5A"/>
    <w:rsid w:val="007B2C9A"/>
    <w:rsid w:val="007B3B4A"/>
    <w:rsid w:val="007B3BD3"/>
    <w:rsid w:val="007B3E7B"/>
    <w:rsid w:val="007B4929"/>
    <w:rsid w:val="007B5694"/>
    <w:rsid w:val="007C13AE"/>
    <w:rsid w:val="007C5471"/>
    <w:rsid w:val="007D1613"/>
    <w:rsid w:val="007D22BD"/>
    <w:rsid w:val="007D3A74"/>
    <w:rsid w:val="007D3AA8"/>
    <w:rsid w:val="007D44F7"/>
    <w:rsid w:val="007D6284"/>
    <w:rsid w:val="007D70A6"/>
    <w:rsid w:val="007D7A96"/>
    <w:rsid w:val="007E05A2"/>
    <w:rsid w:val="007E36B8"/>
    <w:rsid w:val="007E3D1E"/>
    <w:rsid w:val="007E4588"/>
    <w:rsid w:val="007E57A8"/>
    <w:rsid w:val="007E6DFE"/>
    <w:rsid w:val="007E6F8B"/>
    <w:rsid w:val="007F400B"/>
    <w:rsid w:val="007F5C67"/>
    <w:rsid w:val="007F5D8D"/>
    <w:rsid w:val="007F7880"/>
    <w:rsid w:val="007F799D"/>
    <w:rsid w:val="00802060"/>
    <w:rsid w:val="0080604D"/>
    <w:rsid w:val="00806ECA"/>
    <w:rsid w:val="0080746C"/>
    <w:rsid w:val="00810192"/>
    <w:rsid w:val="00810392"/>
    <w:rsid w:val="008108DE"/>
    <w:rsid w:val="00812414"/>
    <w:rsid w:val="0081259C"/>
    <w:rsid w:val="0082076E"/>
    <w:rsid w:val="0082140E"/>
    <w:rsid w:val="00822401"/>
    <w:rsid w:val="00822F68"/>
    <w:rsid w:val="008252C9"/>
    <w:rsid w:val="0082548E"/>
    <w:rsid w:val="00826EA7"/>
    <w:rsid w:val="00827841"/>
    <w:rsid w:val="00832615"/>
    <w:rsid w:val="00833C04"/>
    <w:rsid w:val="00835F6A"/>
    <w:rsid w:val="008374A9"/>
    <w:rsid w:val="00837D52"/>
    <w:rsid w:val="008404F2"/>
    <w:rsid w:val="008414FB"/>
    <w:rsid w:val="008456B1"/>
    <w:rsid w:val="00846226"/>
    <w:rsid w:val="008479CC"/>
    <w:rsid w:val="008509BF"/>
    <w:rsid w:val="00853CED"/>
    <w:rsid w:val="0085446B"/>
    <w:rsid w:val="0086040E"/>
    <w:rsid w:val="00860ECD"/>
    <w:rsid w:val="00862C1A"/>
    <w:rsid w:val="00862F71"/>
    <w:rsid w:val="00864913"/>
    <w:rsid w:val="00866002"/>
    <w:rsid w:val="00872D6C"/>
    <w:rsid w:val="008743D8"/>
    <w:rsid w:val="008748CA"/>
    <w:rsid w:val="00876925"/>
    <w:rsid w:val="008769AF"/>
    <w:rsid w:val="00877D38"/>
    <w:rsid w:val="00877D98"/>
    <w:rsid w:val="00883AF2"/>
    <w:rsid w:val="00886383"/>
    <w:rsid w:val="00886CC2"/>
    <w:rsid w:val="0089207A"/>
    <w:rsid w:val="00893B4B"/>
    <w:rsid w:val="00893D96"/>
    <w:rsid w:val="00893E70"/>
    <w:rsid w:val="00895B4C"/>
    <w:rsid w:val="00896625"/>
    <w:rsid w:val="008A1822"/>
    <w:rsid w:val="008A1DE5"/>
    <w:rsid w:val="008A2713"/>
    <w:rsid w:val="008A3388"/>
    <w:rsid w:val="008A46D6"/>
    <w:rsid w:val="008A4D01"/>
    <w:rsid w:val="008A55F1"/>
    <w:rsid w:val="008B2CC1"/>
    <w:rsid w:val="008B3D19"/>
    <w:rsid w:val="008B406C"/>
    <w:rsid w:val="008B5A78"/>
    <w:rsid w:val="008B60B2"/>
    <w:rsid w:val="008B77CA"/>
    <w:rsid w:val="008B7E70"/>
    <w:rsid w:val="008C0654"/>
    <w:rsid w:val="008C3AFA"/>
    <w:rsid w:val="008C5767"/>
    <w:rsid w:val="008C5E00"/>
    <w:rsid w:val="008C6544"/>
    <w:rsid w:val="008C6B9C"/>
    <w:rsid w:val="008D0AC0"/>
    <w:rsid w:val="008D16CC"/>
    <w:rsid w:val="008D21FA"/>
    <w:rsid w:val="008D30E0"/>
    <w:rsid w:val="008D3D28"/>
    <w:rsid w:val="008D3F6F"/>
    <w:rsid w:val="008D3FC5"/>
    <w:rsid w:val="008D4D36"/>
    <w:rsid w:val="008D5E7B"/>
    <w:rsid w:val="008D6686"/>
    <w:rsid w:val="008D7334"/>
    <w:rsid w:val="008D77FD"/>
    <w:rsid w:val="008E3235"/>
    <w:rsid w:val="008E3393"/>
    <w:rsid w:val="008E37E6"/>
    <w:rsid w:val="008E5AB9"/>
    <w:rsid w:val="008E619C"/>
    <w:rsid w:val="008F0352"/>
    <w:rsid w:val="008F07BF"/>
    <w:rsid w:val="008F0C1E"/>
    <w:rsid w:val="008F1310"/>
    <w:rsid w:val="008F19A7"/>
    <w:rsid w:val="008F2E68"/>
    <w:rsid w:val="008F6701"/>
    <w:rsid w:val="008F7499"/>
    <w:rsid w:val="008F7588"/>
    <w:rsid w:val="008F7A70"/>
    <w:rsid w:val="00904C22"/>
    <w:rsid w:val="00904DE3"/>
    <w:rsid w:val="009054FC"/>
    <w:rsid w:val="00906ED6"/>
    <w:rsid w:val="0090731E"/>
    <w:rsid w:val="0091378B"/>
    <w:rsid w:val="00915D64"/>
    <w:rsid w:val="009164C1"/>
    <w:rsid w:val="00916EE2"/>
    <w:rsid w:val="00920D43"/>
    <w:rsid w:val="009210E0"/>
    <w:rsid w:val="009217C6"/>
    <w:rsid w:val="00921C4E"/>
    <w:rsid w:val="00923F98"/>
    <w:rsid w:val="00924FB1"/>
    <w:rsid w:val="00925570"/>
    <w:rsid w:val="0092580A"/>
    <w:rsid w:val="0093011C"/>
    <w:rsid w:val="00930AB2"/>
    <w:rsid w:val="009318E8"/>
    <w:rsid w:val="00932604"/>
    <w:rsid w:val="00936A80"/>
    <w:rsid w:val="0093761A"/>
    <w:rsid w:val="00937DDD"/>
    <w:rsid w:val="0094110D"/>
    <w:rsid w:val="009411DB"/>
    <w:rsid w:val="00941729"/>
    <w:rsid w:val="00942B56"/>
    <w:rsid w:val="00943FBA"/>
    <w:rsid w:val="009455E8"/>
    <w:rsid w:val="00946444"/>
    <w:rsid w:val="00947268"/>
    <w:rsid w:val="00947452"/>
    <w:rsid w:val="00947BE3"/>
    <w:rsid w:val="00950FC6"/>
    <w:rsid w:val="00951752"/>
    <w:rsid w:val="00952080"/>
    <w:rsid w:val="00953D6D"/>
    <w:rsid w:val="0095463F"/>
    <w:rsid w:val="00956CB6"/>
    <w:rsid w:val="00957AA0"/>
    <w:rsid w:val="00957BAD"/>
    <w:rsid w:val="00957D11"/>
    <w:rsid w:val="009600B2"/>
    <w:rsid w:val="00961063"/>
    <w:rsid w:val="00963BA7"/>
    <w:rsid w:val="00964383"/>
    <w:rsid w:val="00966A22"/>
    <w:rsid w:val="0096722F"/>
    <w:rsid w:val="009707C4"/>
    <w:rsid w:val="00970F56"/>
    <w:rsid w:val="0097179E"/>
    <w:rsid w:val="0097318B"/>
    <w:rsid w:val="00973B2F"/>
    <w:rsid w:val="00973C5A"/>
    <w:rsid w:val="00975481"/>
    <w:rsid w:val="0097627E"/>
    <w:rsid w:val="009777D1"/>
    <w:rsid w:val="00980843"/>
    <w:rsid w:val="00987563"/>
    <w:rsid w:val="009878AB"/>
    <w:rsid w:val="009901A1"/>
    <w:rsid w:val="00990234"/>
    <w:rsid w:val="00990EC3"/>
    <w:rsid w:val="00992438"/>
    <w:rsid w:val="00992B7D"/>
    <w:rsid w:val="00993769"/>
    <w:rsid w:val="009947B4"/>
    <w:rsid w:val="009956B8"/>
    <w:rsid w:val="0099623A"/>
    <w:rsid w:val="00997D7B"/>
    <w:rsid w:val="009A14AC"/>
    <w:rsid w:val="009A1DB9"/>
    <w:rsid w:val="009A1E6B"/>
    <w:rsid w:val="009A40BE"/>
    <w:rsid w:val="009A5A1C"/>
    <w:rsid w:val="009A5BF0"/>
    <w:rsid w:val="009A6867"/>
    <w:rsid w:val="009A7502"/>
    <w:rsid w:val="009A7CA7"/>
    <w:rsid w:val="009B076A"/>
    <w:rsid w:val="009B08F4"/>
    <w:rsid w:val="009B090D"/>
    <w:rsid w:val="009B092A"/>
    <w:rsid w:val="009B459C"/>
    <w:rsid w:val="009B4766"/>
    <w:rsid w:val="009B4A7E"/>
    <w:rsid w:val="009B54E8"/>
    <w:rsid w:val="009B628C"/>
    <w:rsid w:val="009B7956"/>
    <w:rsid w:val="009B7AB0"/>
    <w:rsid w:val="009C13F3"/>
    <w:rsid w:val="009C19A8"/>
    <w:rsid w:val="009C2492"/>
    <w:rsid w:val="009C2862"/>
    <w:rsid w:val="009C2CA1"/>
    <w:rsid w:val="009C53C4"/>
    <w:rsid w:val="009C6D3B"/>
    <w:rsid w:val="009D136A"/>
    <w:rsid w:val="009D2A8C"/>
    <w:rsid w:val="009D2B64"/>
    <w:rsid w:val="009D2B6B"/>
    <w:rsid w:val="009D2D07"/>
    <w:rsid w:val="009D3B2F"/>
    <w:rsid w:val="009D3C73"/>
    <w:rsid w:val="009D3C7C"/>
    <w:rsid w:val="009E1A24"/>
    <w:rsid w:val="009E2791"/>
    <w:rsid w:val="009E3F6F"/>
    <w:rsid w:val="009E43B7"/>
    <w:rsid w:val="009E52B2"/>
    <w:rsid w:val="009E52CB"/>
    <w:rsid w:val="009E632A"/>
    <w:rsid w:val="009F160C"/>
    <w:rsid w:val="009F1CCC"/>
    <w:rsid w:val="009F2417"/>
    <w:rsid w:val="009F499F"/>
    <w:rsid w:val="009F4E20"/>
    <w:rsid w:val="009F53CA"/>
    <w:rsid w:val="009F5EE5"/>
    <w:rsid w:val="009F63D7"/>
    <w:rsid w:val="009F665E"/>
    <w:rsid w:val="00A0010D"/>
    <w:rsid w:val="00A00645"/>
    <w:rsid w:val="00A02194"/>
    <w:rsid w:val="00A02472"/>
    <w:rsid w:val="00A0291F"/>
    <w:rsid w:val="00A02DC4"/>
    <w:rsid w:val="00A109CD"/>
    <w:rsid w:val="00A12677"/>
    <w:rsid w:val="00A127EF"/>
    <w:rsid w:val="00A12DCB"/>
    <w:rsid w:val="00A1463E"/>
    <w:rsid w:val="00A15422"/>
    <w:rsid w:val="00A15441"/>
    <w:rsid w:val="00A163CE"/>
    <w:rsid w:val="00A177DC"/>
    <w:rsid w:val="00A20665"/>
    <w:rsid w:val="00A21B65"/>
    <w:rsid w:val="00A23422"/>
    <w:rsid w:val="00A23B2E"/>
    <w:rsid w:val="00A23F16"/>
    <w:rsid w:val="00A24379"/>
    <w:rsid w:val="00A263F3"/>
    <w:rsid w:val="00A26A6C"/>
    <w:rsid w:val="00A26E5C"/>
    <w:rsid w:val="00A2794E"/>
    <w:rsid w:val="00A31C7E"/>
    <w:rsid w:val="00A31EB3"/>
    <w:rsid w:val="00A33331"/>
    <w:rsid w:val="00A33575"/>
    <w:rsid w:val="00A33D09"/>
    <w:rsid w:val="00A35607"/>
    <w:rsid w:val="00A35D04"/>
    <w:rsid w:val="00A37F90"/>
    <w:rsid w:val="00A4152E"/>
    <w:rsid w:val="00A4294F"/>
    <w:rsid w:val="00A42DAF"/>
    <w:rsid w:val="00A444CF"/>
    <w:rsid w:val="00A449C1"/>
    <w:rsid w:val="00A45ADE"/>
    <w:rsid w:val="00A45BD8"/>
    <w:rsid w:val="00A467DC"/>
    <w:rsid w:val="00A51D34"/>
    <w:rsid w:val="00A52A95"/>
    <w:rsid w:val="00A52FA2"/>
    <w:rsid w:val="00A5547D"/>
    <w:rsid w:val="00A56F61"/>
    <w:rsid w:val="00A572B4"/>
    <w:rsid w:val="00A574E8"/>
    <w:rsid w:val="00A6083A"/>
    <w:rsid w:val="00A61FA8"/>
    <w:rsid w:val="00A63B0D"/>
    <w:rsid w:val="00A64501"/>
    <w:rsid w:val="00A65622"/>
    <w:rsid w:val="00A669D5"/>
    <w:rsid w:val="00A71110"/>
    <w:rsid w:val="00A714E3"/>
    <w:rsid w:val="00A7167D"/>
    <w:rsid w:val="00A72B09"/>
    <w:rsid w:val="00A73439"/>
    <w:rsid w:val="00A7460F"/>
    <w:rsid w:val="00A764A0"/>
    <w:rsid w:val="00A8034B"/>
    <w:rsid w:val="00A809AF"/>
    <w:rsid w:val="00A826E9"/>
    <w:rsid w:val="00A839DF"/>
    <w:rsid w:val="00A84B5A"/>
    <w:rsid w:val="00A852ED"/>
    <w:rsid w:val="00A85D9B"/>
    <w:rsid w:val="00A869B7"/>
    <w:rsid w:val="00A92135"/>
    <w:rsid w:val="00A9382E"/>
    <w:rsid w:val="00A93EC0"/>
    <w:rsid w:val="00A94726"/>
    <w:rsid w:val="00A9497D"/>
    <w:rsid w:val="00A94BDB"/>
    <w:rsid w:val="00A95B3A"/>
    <w:rsid w:val="00A97681"/>
    <w:rsid w:val="00AA0112"/>
    <w:rsid w:val="00AA063A"/>
    <w:rsid w:val="00AA46BA"/>
    <w:rsid w:val="00AA4722"/>
    <w:rsid w:val="00AA7134"/>
    <w:rsid w:val="00AB1BB8"/>
    <w:rsid w:val="00AB2135"/>
    <w:rsid w:val="00AB47E8"/>
    <w:rsid w:val="00AB53B7"/>
    <w:rsid w:val="00AB6CDD"/>
    <w:rsid w:val="00AB7FCD"/>
    <w:rsid w:val="00AC0915"/>
    <w:rsid w:val="00AC144A"/>
    <w:rsid w:val="00AC1789"/>
    <w:rsid w:val="00AC205C"/>
    <w:rsid w:val="00AC4DB4"/>
    <w:rsid w:val="00AC60C8"/>
    <w:rsid w:val="00AC6DA8"/>
    <w:rsid w:val="00AD064F"/>
    <w:rsid w:val="00AD19FD"/>
    <w:rsid w:val="00AD1A87"/>
    <w:rsid w:val="00AD21E1"/>
    <w:rsid w:val="00AD24C1"/>
    <w:rsid w:val="00AD2882"/>
    <w:rsid w:val="00AD463F"/>
    <w:rsid w:val="00AD61CD"/>
    <w:rsid w:val="00AD7FF8"/>
    <w:rsid w:val="00AE0B56"/>
    <w:rsid w:val="00AE11F2"/>
    <w:rsid w:val="00AE13FD"/>
    <w:rsid w:val="00AE1D54"/>
    <w:rsid w:val="00AE41D2"/>
    <w:rsid w:val="00AE5D5D"/>
    <w:rsid w:val="00AE67E8"/>
    <w:rsid w:val="00AF0A6B"/>
    <w:rsid w:val="00AF0FA5"/>
    <w:rsid w:val="00AF3F65"/>
    <w:rsid w:val="00AF4DFC"/>
    <w:rsid w:val="00AF59A5"/>
    <w:rsid w:val="00AF60F8"/>
    <w:rsid w:val="00AF685D"/>
    <w:rsid w:val="00AF7D5E"/>
    <w:rsid w:val="00B0129D"/>
    <w:rsid w:val="00B02073"/>
    <w:rsid w:val="00B024E2"/>
    <w:rsid w:val="00B028B7"/>
    <w:rsid w:val="00B029A7"/>
    <w:rsid w:val="00B02ED8"/>
    <w:rsid w:val="00B0369F"/>
    <w:rsid w:val="00B03F9D"/>
    <w:rsid w:val="00B05A69"/>
    <w:rsid w:val="00B06440"/>
    <w:rsid w:val="00B072B7"/>
    <w:rsid w:val="00B0735A"/>
    <w:rsid w:val="00B11FC5"/>
    <w:rsid w:val="00B122DA"/>
    <w:rsid w:val="00B13F76"/>
    <w:rsid w:val="00B16DAF"/>
    <w:rsid w:val="00B2175A"/>
    <w:rsid w:val="00B21B6F"/>
    <w:rsid w:val="00B23BB2"/>
    <w:rsid w:val="00B2441E"/>
    <w:rsid w:val="00B24A21"/>
    <w:rsid w:val="00B2608B"/>
    <w:rsid w:val="00B2723F"/>
    <w:rsid w:val="00B30C5C"/>
    <w:rsid w:val="00B31064"/>
    <w:rsid w:val="00B33C8E"/>
    <w:rsid w:val="00B3486A"/>
    <w:rsid w:val="00B35214"/>
    <w:rsid w:val="00B36164"/>
    <w:rsid w:val="00B40F89"/>
    <w:rsid w:val="00B42688"/>
    <w:rsid w:val="00B440D3"/>
    <w:rsid w:val="00B4472D"/>
    <w:rsid w:val="00B44CE2"/>
    <w:rsid w:val="00B453C5"/>
    <w:rsid w:val="00B4570D"/>
    <w:rsid w:val="00B45F2D"/>
    <w:rsid w:val="00B462B9"/>
    <w:rsid w:val="00B5009B"/>
    <w:rsid w:val="00B51F7D"/>
    <w:rsid w:val="00B5312B"/>
    <w:rsid w:val="00B53836"/>
    <w:rsid w:val="00B53AA2"/>
    <w:rsid w:val="00B5432B"/>
    <w:rsid w:val="00B56FA7"/>
    <w:rsid w:val="00B60CFE"/>
    <w:rsid w:val="00B61487"/>
    <w:rsid w:val="00B619EE"/>
    <w:rsid w:val="00B62B6B"/>
    <w:rsid w:val="00B66B97"/>
    <w:rsid w:val="00B67C23"/>
    <w:rsid w:val="00B72678"/>
    <w:rsid w:val="00B72956"/>
    <w:rsid w:val="00B72D5B"/>
    <w:rsid w:val="00B74C0A"/>
    <w:rsid w:val="00B74D35"/>
    <w:rsid w:val="00B76756"/>
    <w:rsid w:val="00B770E2"/>
    <w:rsid w:val="00B77E7E"/>
    <w:rsid w:val="00B80A34"/>
    <w:rsid w:val="00B81128"/>
    <w:rsid w:val="00B81BB1"/>
    <w:rsid w:val="00B81ECB"/>
    <w:rsid w:val="00B84CBD"/>
    <w:rsid w:val="00B916A1"/>
    <w:rsid w:val="00B92D88"/>
    <w:rsid w:val="00B93489"/>
    <w:rsid w:val="00B9411F"/>
    <w:rsid w:val="00B943E3"/>
    <w:rsid w:val="00B9734B"/>
    <w:rsid w:val="00BA059B"/>
    <w:rsid w:val="00BA40AF"/>
    <w:rsid w:val="00BA498F"/>
    <w:rsid w:val="00BA725B"/>
    <w:rsid w:val="00BB1BE0"/>
    <w:rsid w:val="00BB37E9"/>
    <w:rsid w:val="00BB37FC"/>
    <w:rsid w:val="00BB3A10"/>
    <w:rsid w:val="00BB3ED4"/>
    <w:rsid w:val="00BB3F72"/>
    <w:rsid w:val="00BB6911"/>
    <w:rsid w:val="00BC0F5B"/>
    <w:rsid w:val="00BC10C6"/>
    <w:rsid w:val="00BC39B6"/>
    <w:rsid w:val="00BC6844"/>
    <w:rsid w:val="00BC6AB4"/>
    <w:rsid w:val="00BC7151"/>
    <w:rsid w:val="00BD0B02"/>
    <w:rsid w:val="00BD1D3F"/>
    <w:rsid w:val="00BD2710"/>
    <w:rsid w:val="00BD4C1B"/>
    <w:rsid w:val="00BD5C8A"/>
    <w:rsid w:val="00BD6FB8"/>
    <w:rsid w:val="00BE136F"/>
    <w:rsid w:val="00BE1539"/>
    <w:rsid w:val="00BE1B6C"/>
    <w:rsid w:val="00BE21BA"/>
    <w:rsid w:val="00BE2F67"/>
    <w:rsid w:val="00BE6873"/>
    <w:rsid w:val="00BF0E2E"/>
    <w:rsid w:val="00BF0E65"/>
    <w:rsid w:val="00BF16B8"/>
    <w:rsid w:val="00BF2931"/>
    <w:rsid w:val="00BF3CE9"/>
    <w:rsid w:val="00BF3F9A"/>
    <w:rsid w:val="00BF5621"/>
    <w:rsid w:val="00BF6168"/>
    <w:rsid w:val="00BF676B"/>
    <w:rsid w:val="00C016CB"/>
    <w:rsid w:val="00C0207F"/>
    <w:rsid w:val="00C02C3F"/>
    <w:rsid w:val="00C03B70"/>
    <w:rsid w:val="00C05966"/>
    <w:rsid w:val="00C1033C"/>
    <w:rsid w:val="00C11244"/>
    <w:rsid w:val="00C11BFE"/>
    <w:rsid w:val="00C11CC1"/>
    <w:rsid w:val="00C120E3"/>
    <w:rsid w:val="00C13E68"/>
    <w:rsid w:val="00C16501"/>
    <w:rsid w:val="00C166F8"/>
    <w:rsid w:val="00C1730B"/>
    <w:rsid w:val="00C17EE9"/>
    <w:rsid w:val="00C209F4"/>
    <w:rsid w:val="00C20C01"/>
    <w:rsid w:val="00C21DF8"/>
    <w:rsid w:val="00C22E97"/>
    <w:rsid w:val="00C23D68"/>
    <w:rsid w:val="00C2443C"/>
    <w:rsid w:val="00C2476A"/>
    <w:rsid w:val="00C25C02"/>
    <w:rsid w:val="00C261CA"/>
    <w:rsid w:val="00C30913"/>
    <w:rsid w:val="00C3200D"/>
    <w:rsid w:val="00C33452"/>
    <w:rsid w:val="00C3625F"/>
    <w:rsid w:val="00C40D5D"/>
    <w:rsid w:val="00C40DC7"/>
    <w:rsid w:val="00C411C7"/>
    <w:rsid w:val="00C41BF9"/>
    <w:rsid w:val="00C42E73"/>
    <w:rsid w:val="00C4346B"/>
    <w:rsid w:val="00C44577"/>
    <w:rsid w:val="00C4538E"/>
    <w:rsid w:val="00C46078"/>
    <w:rsid w:val="00C50882"/>
    <w:rsid w:val="00C51676"/>
    <w:rsid w:val="00C51B16"/>
    <w:rsid w:val="00C51F86"/>
    <w:rsid w:val="00C52166"/>
    <w:rsid w:val="00C603FF"/>
    <w:rsid w:val="00C60412"/>
    <w:rsid w:val="00C6076D"/>
    <w:rsid w:val="00C609DE"/>
    <w:rsid w:val="00C6166A"/>
    <w:rsid w:val="00C65F25"/>
    <w:rsid w:val="00C70E72"/>
    <w:rsid w:val="00C7180E"/>
    <w:rsid w:val="00C71B59"/>
    <w:rsid w:val="00C72364"/>
    <w:rsid w:val="00C73F0F"/>
    <w:rsid w:val="00C74BDD"/>
    <w:rsid w:val="00C76299"/>
    <w:rsid w:val="00C76C59"/>
    <w:rsid w:val="00C809F3"/>
    <w:rsid w:val="00C81098"/>
    <w:rsid w:val="00C82251"/>
    <w:rsid w:val="00C826CC"/>
    <w:rsid w:val="00C84FE4"/>
    <w:rsid w:val="00C86B0A"/>
    <w:rsid w:val="00C86FEE"/>
    <w:rsid w:val="00C912E4"/>
    <w:rsid w:val="00C925E9"/>
    <w:rsid w:val="00C92807"/>
    <w:rsid w:val="00C944C4"/>
    <w:rsid w:val="00C952EC"/>
    <w:rsid w:val="00C97009"/>
    <w:rsid w:val="00C9778A"/>
    <w:rsid w:val="00C97793"/>
    <w:rsid w:val="00CA0615"/>
    <w:rsid w:val="00CA08C3"/>
    <w:rsid w:val="00CA0ADE"/>
    <w:rsid w:val="00CA1505"/>
    <w:rsid w:val="00CA3AA9"/>
    <w:rsid w:val="00CA4C6D"/>
    <w:rsid w:val="00CA579C"/>
    <w:rsid w:val="00CA7069"/>
    <w:rsid w:val="00CB4035"/>
    <w:rsid w:val="00CB508B"/>
    <w:rsid w:val="00CB525F"/>
    <w:rsid w:val="00CC11F8"/>
    <w:rsid w:val="00CC1338"/>
    <w:rsid w:val="00CC2E46"/>
    <w:rsid w:val="00CC4000"/>
    <w:rsid w:val="00CC46F3"/>
    <w:rsid w:val="00CC47C2"/>
    <w:rsid w:val="00CC5E15"/>
    <w:rsid w:val="00CC75C2"/>
    <w:rsid w:val="00CC761E"/>
    <w:rsid w:val="00CC7AE3"/>
    <w:rsid w:val="00CD03A4"/>
    <w:rsid w:val="00CD12E7"/>
    <w:rsid w:val="00CD2176"/>
    <w:rsid w:val="00CD2D3E"/>
    <w:rsid w:val="00CD5144"/>
    <w:rsid w:val="00CD541C"/>
    <w:rsid w:val="00CD67B9"/>
    <w:rsid w:val="00CD6CD0"/>
    <w:rsid w:val="00CD7C27"/>
    <w:rsid w:val="00CE1E57"/>
    <w:rsid w:val="00CE2CB6"/>
    <w:rsid w:val="00CE3AE4"/>
    <w:rsid w:val="00CE449D"/>
    <w:rsid w:val="00CE4F9C"/>
    <w:rsid w:val="00CE5C6E"/>
    <w:rsid w:val="00CE5E99"/>
    <w:rsid w:val="00CE7017"/>
    <w:rsid w:val="00CF1D7C"/>
    <w:rsid w:val="00CF2052"/>
    <w:rsid w:val="00CF5138"/>
    <w:rsid w:val="00CF59D0"/>
    <w:rsid w:val="00CF6E0C"/>
    <w:rsid w:val="00CF74D7"/>
    <w:rsid w:val="00D001BF"/>
    <w:rsid w:val="00D008B5"/>
    <w:rsid w:val="00D012FA"/>
    <w:rsid w:val="00D02A99"/>
    <w:rsid w:val="00D02FAA"/>
    <w:rsid w:val="00D02FF3"/>
    <w:rsid w:val="00D03265"/>
    <w:rsid w:val="00D041DA"/>
    <w:rsid w:val="00D05786"/>
    <w:rsid w:val="00D062E9"/>
    <w:rsid w:val="00D0661C"/>
    <w:rsid w:val="00D067F7"/>
    <w:rsid w:val="00D06B00"/>
    <w:rsid w:val="00D12201"/>
    <w:rsid w:val="00D12492"/>
    <w:rsid w:val="00D12DCC"/>
    <w:rsid w:val="00D147AC"/>
    <w:rsid w:val="00D149DB"/>
    <w:rsid w:val="00D17AD2"/>
    <w:rsid w:val="00D2051D"/>
    <w:rsid w:val="00D21047"/>
    <w:rsid w:val="00D25F53"/>
    <w:rsid w:val="00D25FE8"/>
    <w:rsid w:val="00D26BCE"/>
    <w:rsid w:val="00D2769C"/>
    <w:rsid w:val="00D27AC3"/>
    <w:rsid w:val="00D27B73"/>
    <w:rsid w:val="00D34423"/>
    <w:rsid w:val="00D34897"/>
    <w:rsid w:val="00D35288"/>
    <w:rsid w:val="00D36434"/>
    <w:rsid w:val="00D3734D"/>
    <w:rsid w:val="00D373E7"/>
    <w:rsid w:val="00D376A6"/>
    <w:rsid w:val="00D410C0"/>
    <w:rsid w:val="00D43A01"/>
    <w:rsid w:val="00D44518"/>
    <w:rsid w:val="00D45252"/>
    <w:rsid w:val="00D458B0"/>
    <w:rsid w:val="00D4594A"/>
    <w:rsid w:val="00D4623A"/>
    <w:rsid w:val="00D46873"/>
    <w:rsid w:val="00D47C96"/>
    <w:rsid w:val="00D500E1"/>
    <w:rsid w:val="00D50B98"/>
    <w:rsid w:val="00D52DED"/>
    <w:rsid w:val="00D53FD5"/>
    <w:rsid w:val="00D541EA"/>
    <w:rsid w:val="00D545E8"/>
    <w:rsid w:val="00D54A50"/>
    <w:rsid w:val="00D54FB1"/>
    <w:rsid w:val="00D608DA"/>
    <w:rsid w:val="00D611B0"/>
    <w:rsid w:val="00D617CE"/>
    <w:rsid w:val="00D61984"/>
    <w:rsid w:val="00D64715"/>
    <w:rsid w:val="00D64E79"/>
    <w:rsid w:val="00D65C8E"/>
    <w:rsid w:val="00D66C86"/>
    <w:rsid w:val="00D7111B"/>
    <w:rsid w:val="00D7166E"/>
    <w:rsid w:val="00D71B4D"/>
    <w:rsid w:val="00D737DF"/>
    <w:rsid w:val="00D73CA7"/>
    <w:rsid w:val="00D74248"/>
    <w:rsid w:val="00D7557C"/>
    <w:rsid w:val="00D76163"/>
    <w:rsid w:val="00D764ED"/>
    <w:rsid w:val="00D765AB"/>
    <w:rsid w:val="00D8049F"/>
    <w:rsid w:val="00D834B7"/>
    <w:rsid w:val="00D842D1"/>
    <w:rsid w:val="00D85015"/>
    <w:rsid w:val="00D85928"/>
    <w:rsid w:val="00D87A33"/>
    <w:rsid w:val="00D91EDB"/>
    <w:rsid w:val="00D92BB0"/>
    <w:rsid w:val="00D93D55"/>
    <w:rsid w:val="00D94241"/>
    <w:rsid w:val="00D954CB"/>
    <w:rsid w:val="00D96F77"/>
    <w:rsid w:val="00D97509"/>
    <w:rsid w:val="00D97E99"/>
    <w:rsid w:val="00D97F1A"/>
    <w:rsid w:val="00DA02CF"/>
    <w:rsid w:val="00DA384C"/>
    <w:rsid w:val="00DA44D8"/>
    <w:rsid w:val="00DB0B8E"/>
    <w:rsid w:val="00DB23B7"/>
    <w:rsid w:val="00DB3CD0"/>
    <w:rsid w:val="00DB4EFF"/>
    <w:rsid w:val="00DB526F"/>
    <w:rsid w:val="00DB57AF"/>
    <w:rsid w:val="00DB6F16"/>
    <w:rsid w:val="00DB7B48"/>
    <w:rsid w:val="00DC18EB"/>
    <w:rsid w:val="00DC1A1D"/>
    <w:rsid w:val="00DC3ED8"/>
    <w:rsid w:val="00DC482C"/>
    <w:rsid w:val="00DC5694"/>
    <w:rsid w:val="00DC5D46"/>
    <w:rsid w:val="00DC6A82"/>
    <w:rsid w:val="00DC6ED1"/>
    <w:rsid w:val="00DD287A"/>
    <w:rsid w:val="00DD2D79"/>
    <w:rsid w:val="00DD37A1"/>
    <w:rsid w:val="00DD3E07"/>
    <w:rsid w:val="00DD769C"/>
    <w:rsid w:val="00DE17C0"/>
    <w:rsid w:val="00DE1EA3"/>
    <w:rsid w:val="00DE1FA2"/>
    <w:rsid w:val="00DE2F5C"/>
    <w:rsid w:val="00DE67CB"/>
    <w:rsid w:val="00DE7109"/>
    <w:rsid w:val="00DF63AE"/>
    <w:rsid w:val="00E00AD2"/>
    <w:rsid w:val="00E00CF8"/>
    <w:rsid w:val="00E01E5E"/>
    <w:rsid w:val="00E0203A"/>
    <w:rsid w:val="00E03B81"/>
    <w:rsid w:val="00E0424B"/>
    <w:rsid w:val="00E0497C"/>
    <w:rsid w:val="00E04A46"/>
    <w:rsid w:val="00E04CA4"/>
    <w:rsid w:val="00E05921"/>
    <w:rsid w:val="00E1011A"/>
    <w:rsid w:val="00E10AB0"/>
    <w:rsid w:val="00E10B66"/>
    <w:rsid w:val="00E10EDB"/>
    <w:rsid w:val="00E12037"/>
    <w:rsid w:val="00E12336"/>
    <w:rsid w:val="00E1506A"/>
    <w:rsid w:val="00E15FA9"/>
    <w:rsid w:val="00E1655B"/>
    <w:rsid w:val="00E168BB"/>
    <w:rsid w:val="00E17607"/>
    <w:rsid w:val="00E17893"/>
    <w:rsid w:val="00E17F3C"/>
    <w:rsid w:val="00E20778"/>
    <w:rsid w:val="00E21D5F"/>
    <w:rsid w:val="00E23912"/>
    <w:rsid w:val="00E2655D"/>
    <w:rsid w:val="00E26940"/>
    <w:rsid w:val="00E26D74"/>
    <w:rsid w:val="00E26DEB"/>
    <w:rsid w:val="00E27A99"/>
    <w:rsid w:val="00E313CB"/>
    <w:rsid w:val="00E32194"/>
    <w:rsid w:val="00E335FE"/>
    <w:rsid w:val="00E33BAC"/>
    <w:rsid w:val="00E34738"/>
    <w:rsid w:val="00E34CB8"/>
    <w:rsid w:val="00E36913"/>
    <w:rsid w:val="00E36D9C"/>
    <w:rsid w:val="00E4181A"/>
    <w:rsid w:val="00E423C3"/>
    <w:rsid w:val="00E43B78"/>
    <w:rsid w:val="00E4415C"/>
    <w:rsid w:val="00E4679C"/>
    <w:rsid w:val="00E47277"/>
    <w:rsid w:val="00E475FE"/>
    <w:rsid w:val="00E50B06"/>
    <w:rsid w:val="00E5111C"/>
    <w:rsid w:val="00E51D57"/>
    <w:rsid w:val="00E52912"/>
    <w:rsid w:val="00E52A6F"/>
    <w:rsid w:val="00E55AC0"/>
    <w:rsid w:val="00E566D7"/>
    <w:rsid w:val="00E57C96"/>
    <w:rsid w:val="00E6065B"/>
    <w:rsid w:val="00E60909"/>
    <w:rsid w:val="00E632C1"/>
    <w:rsid w:val="00E6337B"/>
    <w:rsid w:val="00E63F4F"/>
    <w:rsid w:val="00E64E46"/>
    <w:rsid w:val="00E652A2"/>
    <w:rsid w:val="00E66BA0"/>
    <w:rsid w:val="00E700DB"/>
    <w:rsid w:val="00E7085F"/>
    <w:rsid w:val="00E7142F"/>
    <w:rsid w:val="00E71A3B"/>
    <w:rsid w:val="00E72195"/>
    <w:rsid w:val="00E72A28"/>
    <w:rsid w:val="00E73B13"/>
    <w:rsid w:val="00E75746"/>
    <w:rsid w:val="00E7624E"/>
    <w:rsid w:val="00E76E1A"/>
    <w:rsid w:val="00E77721"/>
    <w:rsid w:val="00E80075"/>
    <w:rsid w:val="00E802EB"/>
    <w:rsid w:val="00E824FB"/>
    <w:rsid w:val="00E826CC"/>
    <w:rsid w:val="00E83667"/>
    <w:rsid w:val="00E87E42"/>
    <w:rsid w:val="00E93C08"/>
    <w:rsid w:val="00E945BB"/>
    <w:rsid w:val="00E94987"/>
    <w:rsid w:val="00E96787"/>
    <w:rsid w:val="00EA2DB1"/>
    <w:rsid w:val="00EA2F53"/>
    <w:rsid w:val="00EA6060"/>
    <w:rsid w:val="00EA652C"/>
    <w:rsid w:val="00EA75A8"/>
    <w:rsid w:val="00EB0C94"/>
    <w:rsid w:val="00EB2359"/>
    <w:rsid w:val="00EB3216"/>
    <w:rsid w:val="00EB3680"/>
    <w:rsid w:val="00EB5415"/>
    <w:rsid w:val="00EB5C73"/>
    <w:rsid w:val="00EC1F43"/>
    <w:rsid w:val="00EC2A6F"/>
    <w:rsid w:val="00EC3127"/>
    <w:rsid w:val="00EC4E49"/>
    <w:rsid w:val="00EC7504"/>
    <w:rsid w:val="00ED02DB"/>
    <w:rsid w:val="00ED11DF"/>
    <w:rsid w:val="00ED246C"/>
    <w:rsid w:val="00ED2B98"/>
    <w:rsid w:val="00ED2FCB"/>
    <w:rsid w:val="00ED3531"/>
    <w:rsid w:val="00ED39FD"/>
    <w:rsid w:val="00ED4628"/>
    <w:rsid w:val="00ED4C2D"/>
    <w:rsid w:val="00ED50D6"/>
    <w:rsid w:val="00ED50F8"/>
    <w:rsid w:val="00ED5D6A"/>
    <w:rsid w:val="00ED64C7"/>
    <w:rsid w:val="00ED77FB"/>
    <w:rsid w:val="00EE0507"/>
    <w:rsid w:val="00EE05DC"/>
    <w:rsid w:val="00EE1CA8"/>
    <w:rsid w:val="00EE2761"/>
    <w:rsid w:val="00EE27EA"/>
    <w:rsid w:val="00EE28EF"/>
    <w:rsid w:val="00EE376C"/>
    <w:rsid w:val="00EE45FA"/>
    <w:rsid w:val="00EE48DA"/>
    <w:rsid w:val="00EE4909"/>
    <w:rsid w:val="00EE5715"/>
    <w:rsid w:val="00EE659D"/>
    <w:rsid w:val="00EE68D9"/>
    <w:rsid w:val="00EE73E2"/>
    <w:rsid w:val="00EE7CA8"/>
    <w:rsid w:val="00EF0916"/>
    <w:rsid w:val="00EF1957"/>
    <w:rsid w:val="00EF2263"/>
    <w:rsid w:val="00EF2AE4"/>
    <w:rsid w:val="00EF2D7B"/>
    <w:rsid w:val="00EF4399"/>
    <w:rsid w:val="00EF50F0"/>
    <w:rsid w:val="00EF6716"/>
    <w:rsid w:val="00EF748D"/>
    <w:rsid w:val="00EF75BD"/>
    <w:rsid w:val="00F03832"/>
    <w:rsid w:val="00F041F5"/>
    <w:rsid w:val="00F0581A"/>
    <w:rsid w:val="00F06F8E"/>
    <w:rsid w:val="00F0702F"/>
    <w:rsid w:val="00F10AFF"/>
    <w:rsid w:val="00F10D1D"/>
    <w:rsid w:val="00F10E74"/>
    <w:rsid w:val="00F12B1F"/>
    <w:rsid w:val="00F133A7"/>
    <w:rsid w:val="00F13727"/>
    <w:rsid w:val="00F13A26"/>
    <w:rsid w:val="00F151BE"/>
    <w:rsid w:val="00F17437"/>
    <w:rsid w:val="00F21480"/>
    <w:rsid w:val="00F23137"/>
    <w:rsid w:val="00F23CB4"/>
    <w:rsid w:val="00F2447E"/>
    <w:rsid w:val="00F26B68"/>
    <w:rsid w:val="00F27404"/>
    <w:rsid w:val="00F27EAA"/>
    <w:rsid w:val="00F33B47"/>
    <w:rsid w:val="00F34242"/>
    <w:rsid w:val="00F3504B"/>
    <w:rsid w:val="00F36A5F"/>
    <w:rsid w:val="00F36B02"/>
    <w:rsid w:val="00F37480"/>
    <w:rsid w:val="00F400FB"/>
    <w:rsid w:val="00F430B8"/>
    <w:rsid w:val="00F43A9F"/>
    <w:rsid w:val="00F45A36"/>
    <w:rsid w:val="00F45E6C"/>
    <w:rsid w:val="00F46014"/>
    <w:rsid w:val="00F46493"/>
    <w:rsid w:val="00F47285"/>
    <w:rsid w:val="00F47EE4"/>
    <w:rsid w:val="00F53CA1"/>
    <w:rsid w:val="00F53FA9"/>
    <w:rsid w:val="00F5465D"/>
    <w:rsid w:val="00F54AAD"/>
    <w:rsid w:val="00F55E1B"/>
    <w:rsid w:val="00F560ED"/>
    <w:rsid w:val="00F563B1"/>
    <w:rsid w:val="00F57685"/>
    <w:rsid w:val="00F61B11"/>
    <w:rsid w:val="00F647AF"/>
    <w:rsid w:val="00F659CE"/>
    <w:rsid w:val="00F66152"/>
    <w:rsid w:val="00F662BA"/>
    <w:rsid w:val="00F66692"/>
    <w:rsid w:val="00F6730F"/>
    <w:rsid w:val="00F67CC6"/>
    <w:rsid w:val="00F7034A"/>
    <w:rsid w:val="00F77A59"/>
    <w:rsid w:val="00F80BC1"/>
    <w:rsid w:val="00F81987"/>
    <w:rsid w:val="00F845E7"/>
    <w:rsid w:val="00F86EF0"/>
    <w:rsid w:val="00F8728E"/>
    <w:rsid w:val="00F87587"/>
    <w:rsid w:val="00F90271"/>
    <w:rsid w:val="00F91333"/>
    <w:rsid w:val="00F918BD"/>
    <w:rsid w:val="00F92F2B"/>
    <w:rsid w:val="00F931EE"/>
    <w:rsid w:val="00F93630"/>
    <w:rsid w:val="00F94CC0"/>
    <w:rsid w:val="00F956D9"/>
    <w:rsid w:val="00FA00E4"/>
    <w:rsid w:val="00FA0D8D"/>
    <w:rsid w:val="00FA0ED1"/>
    <w:rsid w:val="00FA1045"/>
    <w:rsid w:val="00FA2A02"/>
    <w:rsid w:val="00FA31D7"/>
    <w:rsid w:val="00FA3438"/>
    <w:rsid w:val="00FA4FB9"/>
    <w:rsid w:val="00FA523A"/>
    <w:rsid w:val="00FA5A7A"/>
    <w:rsid w:val="00FA5D71"/>
    <w:rsid w:val="00FA6BCA"/>
    <w:rsid w:val="00FA7098"/>
    <w:rsid w:val="00FA7596"/>
    <w:rsid w:val="00FB171B"/>
    <w:rsid w:val="00FB2CB9"/>
    <w:rsid w:val="00FB38EF"/>
    <w:rsid w:val="00FB3DE9"/>
    <w:rsid w:val="00FB52EF"/>
    <w:rsid w:val="00FB5DEC"/>
    <w:rsid w:val="00FB634A"/>
    <w:rsid w:val="00FC032E"/>
    <w:rsid w:val="00FC07A7"/>
    <w:rsid w:val="00FC14ED"/>
    <w:rsid w:val="00FC2402"/>
    <w:rsid w:val="00FC28A7"/>
    <w:rsid w:val="00FC53D5"/>
    <w:rsid w:val="00FC6B49"/>
    <w:rsid w:val="00FC7127"/>
    <w:rsid w:val="00FC7CAE"/>
    <w:rsid w:val="00FD01AB"/>
    <w:rsid w:val="00FD0A27"/>
    <w:rsid w:val="00FD1446"/>
    <w:rsid w:val="00FD1DC2"/>
    <w:rsid w:val="00FD3E6A"/>
    <w:rsid w:val="00FD50AF"/>
    <w:rsid w:val="00FE0218"/>
    <w:rsid w:val="00FE093B"/>
    <w:rsid w:val="00FE484C"/>
    <w:rsid w:val="00FE6758"/>
    <w:rsid w:val="00FE6DD2"/>
    <w:rsid w:val="00FE73FB"/>
    <w:rsid w:val="00FE74BE"/>
    <w:rsid w:val="00FE7D37"/>
    <w:rsid w:val="00FF158C"/>
    <w:rsid w:val="00FF2161"/>
    <w:rsid w:val="00FF72EC"/>
    <w:rsid w:val="00FF75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064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8" w:qFormat="1"/>
    <w:lsdException w:name="header" w:uiPriority="99"/>
    <w:lsdException w:name="Normal (Web)" w:uiPriority="99"/>
    <w:lsdException w:name="List Paragraph" w:uiPriority="34" w:qFormat="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8">
    <w:name w:val="heading 8"/>
    <w:basedOn w:val="Normal"/>
    <w:next w:val="Normal"/>
    <w:link w:val="Heading8Char"/>
    <w:unhideWhenUsed/>
    <w:qFormat/>
    <w:rsid w:val="003F6250"/>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uiPriority w:val="99"/>
    <w:rsid w:val="000C61C6"/>
    <w:rPr>
      <w:rFonts w:ascii="Tahoma" w:hAnsi="Tahoma" w:cs="Tahoma"/>
      <w:sz w:val="16"/>
      <w:szCs w:val="16"/>
    </w:rPr>
  </w:style>
  <w:style w:type="paragraph" w:styleId="FootnoteText">
    <w:name w:val="footnote text"/>
    <w:basedOn w:val="Normal"/>
    <w:link w:val="FootnoteTextChar"/>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basedOn w:val="DefaultParagraphFont"/>
    <w:link w:val="BalloonText"/>
    <w:uiPriority w:val="99"/>
    <w:rsid w:val="000C61C6"/>
    <w:rPr>
      <w:rFonts w:ascii="Tahoma" w:eastAsia="SimSun" w:hAnsi="Tahoma" w:cs="Tahoma"/>
      <w:sz w:val="16"/>
      <w:szCs w:val="16"/>
      <w:lang w:eastAsia="zh-CN"/>
    </w:rPr>
  </w:style>
  <w:style w:type="character" w:customStyle="1" w:styleId="HeaderChar">
    <w:name w:val="Header Char"/>
    <w:aliases w:val="Heading Char"/>
    <w:link w:val="Header"/>
    <w:uiPriority w:val="99"/>
    <w:rsid w:val="000C61C6"/>
    <w:rPr>
      <w:rFonts w:ascii="Arial" w:eastAsia="SimSun" w:hAnsi="Arial" w:cs="Arial"/>
      <w:sz w:val="22"/>
      <w:lang w:eastAsia="zh-CN"/>
    </w:rPr>
  </w:style>
  <w:style w:type="paragraph" w:styleId="ListParagraph">
    <w:name w:val="List Paragraph"/>
    <w:basedOn w:val="Normal"/>
    <w:uiPriority w:val="34"/>
    <w:qFormat/>
    <w:rsid w:val="009A1E6B"/>
    <w:pPr>
      <w:ind w:left="720"/>
      <w:contextualSpacing/>
    </w:pPr>
  </w:style>
  <w:style w:type="paragraph" w:customStyle="1" w:styleId="ByContin1">
    <w:name w:val="By  Contin 1"/>
    <w:basedOn w:val="Normal"/>
    <w:uiPriority w:val="99"/>
    <w:rsid w:val="009B459C"/>
    <w:pPr>
      <w:widowControl w:val="0"/>
      <w:tabs>
        <w:tab w:val="left" w:pos="2535"/>
      </w:tabs>
      <w:autoSpaceDE w:val="0"/>
      <w:autoSpaceDN w:val="0"/>
      <w:adjustRightInd w:val="0"/>
    </w:pPr>
    <w:rPr>
      <w:rFonts w:ascii="Courier New" w:eastAsiaTheme="minorEastAsia" w:hAnsi="Courier New" w:cs="Courier New"/>
      <w:sz w:val="24"/>
      <w:lang w:eastAsia="en-US"/>
    </w:rPr>
  </w:style>
  <w:style w:type="paragraph" w:customStyle="1" w:styleId="Default">
    <w:name w:val="Default"/>
    <w:rsid w:val="009B459C"/>
    <w:pPr>
      <w:autoSpaceDE w:val="0"/>
      <w:autoSpaceDN w:val="0"/>
      <w:adjustRightInd w:val="0"/>
    </w:pPr>
    <w:rPr>
      <w:rFonts w:ascii="Arial" w:eastAsiaTheme="minorEastAsia" w:hAnsi="Arial" w:cs="Arial"/>
      <w:color w:val="000000"/>
      <w:lang w:eastAsia="zh-CN"/>
    </w:rPr>
  </w:style>
  <w:style w:type="paragraph" w:customStyle="1" w:styleId="Fixed">
    <w:name w:val="Fixed"/>
    <w:rsid w:val="00E51D57"/>
    <w:pPr>
      <w:widowControl w:val="0"/>
      <w:autoSpaceDE w:val="0"/>
      <w:autoSpaceDN w:val="0"/>
      <w:adjustRightInd w:val="0"/>
      <w:spacing w:line="528" w:lineRule="atLeast"/>
      <w:ind w:right="2880" w:firstLine="432"/>
    </w:pPr>
    <w:rPr>
      <w:rFonts w:ascii="Arial" w:eastAsiaTheme="minorEastAsia" w:hAnsi="Arial" w:cs="Arial"/>
    </w:rPr>
  </w:style>
  <w:style w:type="paragraph" w:customStyle="1" w:styleId="Question">
    <w:name w:val="Question"/>
    <w:basedOn w:val="Fixed"/>
    <w:next w:val="Fixed"/>
    <w:uiPriority w:val="99"/>
    <w:rsid w:val="00E51D57"/>
    <w:pPr>
      <w:ind w:right="1152" w:firstLine="720"/>
    </w:pPr>
  </w:style>
  <w:style w:type="paragraph" w:customStyle="1" w:styleId="Answer">
    <w:name w:val="Answer"/>
    <w:basedOn w:val="Fixed"/>
    <w:next w:val="Fixed"/>
    <w:uiPriority w:val="99"/>
    <w:rsid w:val="00E51D57"/>
    <w:pPr>
      <w:ind w:right="1152" w:firstLine="720"/>
    </w:pPr>
  </w:style>
  <w:style w:type="paragraph" w:customStyle="1" w:styleId="Colloquy">
    <w:name w:val="Colloquy"/>
    <w:basedOn w:val="Fixed"/>
    <w:next w:val="Fixed"/>
    <w:uiPriority w:val="99"/>
    <w:rsid w:val="00E51D57"/>
    <w:pPr>
      <w:ind w:left="720" w:right="1152" w:firstLine="720"/>
    </w:pPr>
  </w:style>
  <w:style w:type="paragraph" w:customStyle="1" w:styleId="ContinQ">
    <w:name w:val="Contin Q"/>
    <w:basedOn w:val="Fixed"/>
    <w:next w:val="Fixed"/>
    <w:uiPriority w:val="99"/>
    <w:rsid w:val="00E51D57"/>
    <w:pPr>
      <w:ind w:right="1152" w:firstLine="2160"/>
    </w:pPr>
  </w:style>
  <w:style w:type="paragraph" w:customStyle="1" w:styleId="ContinA">
    <w:name w:val="Contin A"/>
    <w:basedOn w:val="Fixed"/>
    <w:next w:val="Fixed"/>
    <w:uiPriority w:val="99"/>
    <w:rsid w:val="00E51D57"/>
    <w:pPr>
      <w:ind w:right="1152" w:firstLine="2160"/>
    </w:pPr>
  </w:style>
  <w:style w:type="paragraph" w:customStyle="1" w:styleId="ContinCol">
    <w:name w:val="Contin Col"/>
    <w:basedOn w:val="Fixed"/>
    <w:next w:val="Fixed"/>
    <w:uiPriority w:val="99"/>
    <w:rsid w:val="00E51D57"/>
    <w:pPr>
      <w:ind w:left="720" w:right="1152" w:firstLine="720"/>
    </w:pPr>
  </w:style>
  <w:style w:type="paragraph" w:customStyle="1" w:styleId="Parenthetical">
    <w:name w:val="Parenthetical"/>
    <w:basedOn w:val="Fixed"/>
    <w:next w:val="Fixed"/>
    <w:uiPriority w:val="99"/>
    <w:rsid w:val="00E51D57"/>
    <w:pPr>
      <w:ind w:left="2880" w:right="1152" w:firstLine="0"/>
    </w:pPr>
  </w:style>
  <w:style w:type="paragraph" w:customStyle="1" w:styleId="Centered">
    <w:name w:val="Centered"/>
    <w:basedOn w:val="Fixed"/>
    <w:next w:val="Fixed"/>
    <w:uiPriority w:val="99"/>
    <w:rsid w:val="00E51D57"/>
    <w:pPr>
      <w:ind w:right="1152" w:firstLine="0"/>
      <w:jc w:val="center"/>
    </w:pPr>
  </w:style>
  <w:style w:type="paragraph" w:customStyle="1" w:styleId="Rightflush">
    <w:name w:val="Right flush"/>
    <w:basedOn w:val="Fixed"/>
    <w:next w:val="Fixed"/>
    <w:uiPriority w:val="99"/>
    <w:rsid w:val="00E51D57"/>
    <w:pPr>
      <w:ind w:left="2880" w:right="1152" w:firstLine="0"/>
      <w:jc w:val="right"/>
    </w:pPr>
  </w:style>
  <w:style w:type="paragraph" w:customStyle="1" w:styleId="BylineSQ">
    <w:name w:val="By line (SQ)"/>
    <w:basedOn w:val="Fixed"/>
    <w:next w:val="Fixed"/>
    <w:uiPriority w:val="99"/>
    <w:rsid w:val="00E51D57"/>
    <w:pPr>
      <w:ind w:right="1152" w:firstLine="0"/>
    </w:pPr>
  </w:style>
  <w:style w:type="paragraph" w:customStyle="1" w:styleId="BylineQS">
    <w:name w:val="By line (QS)"/>
    <w:basedOn w:val="Fixed"/>
    <w:next w:val="Fixed"/>
    <w:uiPriority w:val="99"/>
    <w:rsid w:val="00E51D57"/>
    <w:pPr>
      <w:ind w:right="1152" w:firstLine="720"/>
    </w:pPr>
  </w:style>
  <w:style w:type="paragraph" w:customStyle="1" w:styleId="0Style">
    <w:name w:val="0 Style"/>
    <w:basedOn w:val="Fixed"/>
    <w:next w:val="Fixed"/>
    <w:uiPriority w:val="99"/>
    <w:rsid w:val="00E51D57"/>
    <w:pPr>
      <w:ind w:right="1152" w:firstLine="0"/>
    </w:pPr>
  </w:style>
  <w:style w:type="paragraph" w:customStyle="1" w:styleId="Normal1">
    <w:name w:val="Normal 1"/>
    <w:basedOn w:val="Fixed"/>
    <w:next w:val="Fixed"/>
    <w:uiPriority w:val="99"/>
    <w:rsid w:val="00E51D57"/>
    <w:pPr>
      <w:ind w:right="1152" w:firstLine="720"/>
    </w:pPr>
  </w:style>
  <w:style w:type="paragraph" w:customStyle="1" w:styleId="Normal2">
    <w:name w:val="Normal 2"/>
    <w:basedOn w:val="Fixed"/>
    <w:next w:val="Fixed"/>
    <w:uiPriority w:val="99"/>
    <w:rsid w:val="00E51D57"/>
    <w:pPr>
      <w:ind w:left="720" w:right="1152" w:firstLine="0"/>
    </w:pPr>
  </w:style>
  <w:style w:type="paragraph" w:customStyle="1" w:styleId="Normal3">
    <w:name w:val="Normal 3"/>
    <w:basedOn w:val="Fixed"/>
    <w:next w:val="Fixed"/>
    <w:uiPriority w:val="99"/>
    <w:rsid w:val="00E51D57"/>
    <w:pPr>
      <w:ind w:left="720" w:right="1152" w:hanging="720"/>
    </w:pPr>
  </w:style>
  <w:style w:type="paragraph" w:customStyle="1" w:styleId="Normal4">
    <w:name w:val="Normal 4"/>
    <w:basedOn w:val="Fixed"/>
    <w:next w:val="Fixed"/>
    <w:uiPriority w:val="99"/>
    <w:rsid w:val="00E51D57"/>
    <w:pPr>
      <w:ind w:right="1152" w:firstLine="1440"/>
    </w:pPr>
  </w:style>
  <w:style w:type="paragraph" w:customStyle="1" w:styleId="Normal5">
    <w:name w:val="Normal 5"/>
    <w:basedOn w:val="Fixed"/>
    <w:next w:val="Fixed"/>
    <w:uiPriority w:val="99"/>
    <w:rsid w:val="00E51D57"/>
    <w:pPr>
      <w:ind w:left="1440" w:right="1152" w:firstLine="0"/>
    </w:pPr>
  </w:style>
  <w:style w:type="paragraph" w:customStyle="1" w:styleId="Normal6">
    <w:name w:val="Normal 6"/>
    <w:basedOn w:val="Fixed"/>
    <w:next w:val="Fixed"/>
    <w:uiPriority w:val="99"/>
    <w:rsid w:val="00E51D57"/>
    <w:pPr>
      <w:ind w:left="1440" w:right="1152" w:hanging="1440"/>
    </w:pPr>
  </w:style>
  <w:style w:type="paragraph" w:customStyle="1" w:styleId="Normal7">
    <w:name w:val="Normal 7"/>
    <w:basedOn w:val="Fixed"/>
    <w:next w:val="Fixed"/>
    <w:uiPriority w:val="99"/>
    <w:rsid w:val="00E51D57"/>
    <w:pPr>
      <w:ind w:right="1152" w:firstLine="2160"/>
    </w:pPr>
  </w:style>
  <w:style w:type="paragraph" w:customStyle="1" w:styleId="Normal8">
    <w:name w:val="Normal 8"/>
    <w:basedOn w:val="Fixed"/>
    <w:next w:val="Fixed"/>
    <w:uiPriority w:val="99"/>
    <w:rsid w:val="00E51D57"/>
    <w:pPr>
      <w:ind w:left="2160" w:right="1152" w:firstLine="0"/>
    </w:pPr>
  </w:style>
  <w:style w:type="paragraph" w:customStyle="1" w:styleId="9Style">
    <w:name w:val="9 Style"/>
    <w:basedOn w:val="Fixed"/>
    <w:next w:val="Fixed"/>
    <w:uiPriority w:val="99"/>
    <w:rsid w:val="00E51D57"/>
    <w:pPr>
      <w:ind w:left="2160" w:right="1152" w:hanging="2160"/>
    </w:pPr>
  </w:style>
  <w:style w:type="character" w:customStyle="1" w:styleId="FooterChar">
    <w:name w:val="Footer Char"/>
    <w:basedOn w:val="DefaultParagraphFont"/>
    <w:link w:val="Footer"/>
    <w:uiPriority w:val="99"/>
    <w:rsid w:val="00E51D57"/>
    <w:rPr>
      <w:rFonts w:ascii="Arial" w:eastAsia="SimSun" w:hAnsi="Arial" w:cs="Arial"/>
      <w:sz w:val="22"/>
      <w:lang w:eastAsia="zh-CN"/>
    </w:rPr>
  </w:style>
  <w:style w:type="paragraph" w:customStyle="1" w:styleId="Questionquoted">
    <w:name w:val="Question (quoted)"/>
    <w:basedOn w:val="Fixed"/>
    <w:next w:val="Fixed"/>
    <w:uiPriority w:val="99"/>
    <w:rsid w:val="00E51D57"/>
    <w:pPr>
      <w:ind w:left="720" w:right="1152" w:firstLine="576"/>
    </w:pPr>
  </w:style>
  <w:style w:type="paragraph" w:customStyle="1" w:styleId="Answerquoted">
    <w:name w:val="Answer (quoted)"/>
    <w:basedOn w:val="Fixed"/>
    <w:next w:val="Fixed"/>
    <w:uiPriority w:val="99"/>
    <w:rsid w:val="00E51D57"/>
    <w:pPr>
      <w:ind w:left="720" w:right="1152" w:firstLine="576"/>
    </w:pPr>
  </w:style>
  <w:style w:type="paragraph" w:customStyle="1" w:styleId="Speakerquoted">
    <w:name w:val="Speaker (quoted)"/>
    <w:basedOn w:val="Fixed"/>
    <w:next w:val="Fixed"/>
    <w:uiPriority w:val="99"/>
    <w:rsid w:val="00E51D57"/>
    <w:pPr>
      <w:ind w:left="1440" w:right="1152" w:firstLine="720"/>
    </w:pPr>
  </w:style>
  <w:style w:type="paragraph" w:customStyle="1" w:styleId="questionPghquoted">
    <w:name w:val="question Pgh (quoted)"/>
    <w:basedOn w:val="Fixed"/>
    <w:next w:val="Fixed"/>
    <w:uiPriority w:val="99"/>
    <w:rsid w:val="00E51D57"/>
    <w:pPr>
      <w:ind w:left="720" w:right="1152" w:firstLine="2160"/>
    </w:pPr>
  </w:style>
  <w:style w:type="paragraph" w:customStyle="1" w:styleId="answerPghquoted">
    <w:name w:val="answer Pgh (quoted)"/>
    <w:basedOn w:val="Fixed"/>
    <w:next w:val="Fixed"/>
    <w:uiPriority w:val="99"/>
    <w:rsid w:val="00E51D57"/>
    <w:pPr>
      <w:ind w:left="720" w:right="1152" w:firstLine="2160"/>
    </w:pPr>
  </w:style>
  <w:style w:type="paragraph" w:customStyle="1" w:styleId="speakerPghquoted">
    <w:name w:val="speaker Pgh (quoted)"/>
    <w:basedOn w:val="Fixed"/>
    <w:next w:val="Fixed"/>
    <w:uiPriority w:val="99"/>
    <w:rsid w:val="00E51D57"/>
    <w:pPr>
      <w:ind w:left="1440" w:right="1152" w:firstLine="720"/>
    </w:pPr>
  </w:style>
  <w:style w:type="paragraph" w:customStyle="1" w:styleId="certifiedQuestion">
    <w:name w:val="certified Question"/>
    <w:basedOn w:val="Fixed"/>
    <w:next w:val="Fixed"/>
    <w:uiPriority w:val="99"/>
    <w:rsid w:val="00E51D57"/>
    <w:pPr>
      <w:ind w:right="1152" w:firstLine="288"/>
    </w:pPr>
  </w:style>
  <w:style w:type="paragraph" w:customStyle="1" w:styleId="Index1">
    <w:name w:val="Index1"/>
    <w:basedOn w:val="Fixed"/>
    <w:next w:val="Fixed"/>
    <w:uiPriority w:val="99"/>
    <w:rsid w:val="00E51D57"/>
    <w:pPr>
      <w:spacing w:line="264" w:lineRule="atLeast"/>
      <w:ind w:left="1440" w:hanging="1440"/>
    </w:pPr>
  </w:style>
  <w:style w:type="paragraph" w:customStyle="1" w:styleId="IndexBlank">
    <w:name w:val="IndexBlank"/>
    <w:basedOn w:val="Fixed"/>
    <w:next w:val="Fixed"/>
    <w:uiPriority w:val="99"/>
    <w:rsid w:val="00E51D57"/>
    <w:pPr>
      <w:spacing w:line="264" w:lineRule="atLeast"/>
      <w:ind w:left="1440" w:hanging="1584"/>
    </w:pPr>
  </w:style>
  <w:style w:type="paragraph" w:customStyle="1" w:styleId="captionbox">
    <w:name w:val="caption box"/>
    <w:basedOn w:val="Fixed"/>
    <w:next w:val="Fixed"/>
    <w:uiPriority w:val="99"/>
    <w:rsid w:val="00E51D57"/>
    <w:pPr>
      <w:spacing w:line="264" w:lineRule="atLeast"/>
      <w:ind w:right="4320" w:firstLine="0"/>
    </w:pPr>
  </w:style>
  <w:style w:type="character" w:styleId="CommentReference">
    <w:name w:val="annotation reference"/>
    <w:basedOn w:val="DefaultParagraphFont"/>
    <w:uiPriority w:val="99"/>
    <w:unhideWhenUsed/>
    <w:rsid w:val="00E51D57"/>
    <w:rPr>
      <w:rFonts w:cs="Times New Roman"/>
      <w:sz w:val="16"/>
      <w:szCs w:val="16"/>
    </w:rPr>
  </w:style>
  <w:style w:type="character" w:customStyle="1" w:styleId="CommentTextChar">
    <w:name w:val="Comment Text Char"/>
    <w:basedOn w:val="DefaultParagraphFont"/>
    <w:uiPriority w:val="99"/>
    <w:semiHidden/>
    <w:rsid w:val="00E51D57"/>
    <w:rPr>
      <w:rFonts w:ascii="Arial" w:hAnsi="Arial" w:cs="Arial"/>
      <w:sz w:val="20"/>
      <w:szCs w:val="20"/>
      <w:lang w:eastAsia="en-US"/>
    </w:rPr>
  </w:style>
  <w:style w:type="paragraph" w:styleId="CommentSubject">
    <w:name w:val="annotation subject"/>
    <w:basedOn w:val="CommentText"/>
    <w:next w:val="CommentText"/>
    <w:link w:val="CommentSubjectChar"/>
    <w:uiPriority w:val="99"/>
    <w:unhideWhenUsed/>
    <w:rsid w:val="00E51D57"/>
    <w:pPr>
      <w:widowControl w:val="0"/>
      <w:autoSpaceDE w:val="0"/>
      <w:autoSpaceDN w:val="0"/>
      <w:adjustRightInd w:val="0"/>
      <w:spacing w:line="528" w:lineRule="atLeast"/>
      <w:ind w:right="-576" w:firstLine="432"/>
    </w:pPr>
    <w:rPr>
      <w:rFonts w:eastAsiaTheme="minorEastAsia"/>
      <w:b/>
      <w:bCs/>
      <w:sz w:val="20"/>
      <w:lang w:eastAsia="en-US"/>
    </w:rPr>
  </w:style>
  <w:style w:type="character" w:customStyle="1" w:styleId="CommentTextChar1">
    <w:name w:val="Comment Text Char1"/>
    <w:basedOn w:val="DefaultParagraphFont"/>
    <w:link w:val="CommentText"/>
    <w:uiPriority w:val="99"/>
    <w:semiHidden/>
    <w:rsid w:val="00E51D57"/>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E51D57"/>
    <w:rPr>
      <w:rFonts w:ascii="Arial" w:eastAsiaTheme="minorEastAsia" w:hAnsi="Arial" w:cs="Arial"/>
      <w:b/>
      <w:bCs/>
      <w:sz w:val="18"/>
      <w:lang w:eastAsia="zh-CN"/>
    </w:rPr>
  </w:style>
  <w:style w:type="paragraph" w:customStyle="1" w:styleId="Left1">
    <w:name w:val="Left 1"/>
    <w:basedOn w:val="Fixed"/>
    <w:next w:val="Fixed"/>
    <w:uiPriority w:val="99"/>
    <w:rsid w:val="007E6DF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7E6DF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7E6DF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7E6DF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7E6DF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7E6DFE"/>
    <w:pPr>
      <w:spacing w:line="285" w:lineRule="atLeast"/>
      <w:ind w:left="1728" w:right="4708" w:firstLine="0"/>
    </w:pPr>
    <w:rPr>
      <w:rFonts w:ascii="Courier New" w:hAnsi="Courier New" w:cs="Courier New"/>
    </w:rPr>
  </w:style>
  <w:style w:type="paragraph" w:styleId="Revision">
    <w:name w:val="Revision"/>
    <w:hidden/>
    <w:uiPriority w:val="99"/>
    <w:semiHidden/>
    <w:rsid w:val="007E6DFE"/>
    <w:rPr>
      <w:rFonts w:asciiTheme="minorHAnsi" w:eastAsiaTheme="minorEastAsia" w:hAnsiTheme="minorHAnsi"/>
      <w:sz w:val="22"/>
      <w:szCs w:val="22"/>
    </w:rPr>
  </w:style>
  <w:style w:type="character" w:styleId="Hyperlink">
    <w:name w:val="Hyperlink"/>
    <w:basedOn w:val="DefaultParagraphFont"/>
    <w:unhideWhenUsed/>
    <w:rsid w:val="007E6DFE"/>
    <w:rPr>
      <w:rFonts w:cs="Times New Roman"/>
      <w:color w:val="0000FF" w:themeColor="hyperlink"/>
      <w:u w:val="single"/>
    </w:rPr>
  </w:style>
  <w:style w:type="character" w:customStyle="1" w:styleId="Heading8Char">
    <w:name w:val="Heading 8 Char"/>
    <w:basedOn w:val="DefaultParagraphFont"/>
    <w:link w:val="Heading8"/>
    <w:rsid w:val="003F6250"/>
    <w:rPr>
      <w:rFonts w:asciiTheme="majorHAnsi" w:eastAsiaTheme="majorEastAsia" w:hAnsiTheme="majorHAnsi" w:cstheme="majorBidi"/>
      <w:color w:val="404040" w:themeColor="text1" w:themeTint="BF"/>
      <w:lang w:eastAsia="zh-CN"/>
    </w:rPr>
  </w:style>
  <w:style w:type="character" w:customStyle="1" w:styleId="Heading1Char">
    <w:name w:val="Heading 1 Char"/>
    <w:basedOn w:val="DefaultParagraphFont"/>
    <w:link w:val="Heading1"/>
    <w:uiPriority w:val="9"/>
    <w:rsid w:val="003F6250"/>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3F6250"/>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3F6250"/>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3F6250"/>
    <w:rPr>
      <w:rFonts w:ascii="Arial" w:eastAsia="SimSun" w:hAnsi="Arial" w:cs="Arial"/>
      <w:bCs/>
      <w:i/>
      <w:sz w:val="22"/>
      <w:szCs w:val="28"/>
      <w:lang w:eastAsia="zh-CN"/>
    </w:rPr>
  </w:style>
  <w:style w:type="character" w:customStyle="1" w:styleId="BodyTextChar">
    <w:name w:val="Body Text Char"/>
    <w:basedOn w:val="DefaultParagraphFont"/>
    <w:link w:val="BodyText"/>
    <w:rsid w:val="003F6250"/>
    <w:rPr>
      <w:rFonts w:ascii="Arial" w:eastAsia="SimSun" w:hAnsi="Arial" w:cs="Arial"/>
      <w:sz w:val="22"/>
      <w:lang w:eastAsia="zh-CN"/>
    </w:rPr>
  </w:style>
  <w:style w:type="character" w:styleId="FootnoteReference">
    <w:name w:val="footnote reference"/>
    <w:rsid w:val="003F6250"/>
    <w:rPr>
      <w:vertAlign w:val="superscript"/>
    </w:rPr>
  </w:style>
  <w:style w:type="character" w:customStyle="1" w:styleId="EndnoteTextChar">
    <w:name w:val="Endnote Text Char"/>
    <w:basedOn w:val="DefaultParagraphFont"/>
    <w:link w:val="EndnoteText"/>
    <w:semiHidden/>
    <w:rsid w:val="003F6250"/>
    <w:rPr>
      <w:rFonts w:ascii="Arial" w:eastAsia="SimSun" w:hAnsi="Arial" w:cs="Arial"/>
      <w:sz w:val="18"/>
      <w:lang w:eastAsia="zh-CN"/>
    </w:rPr>
  </w:style>
  <w:style w:type="character" w:customStyle="1" w:styleId="FootnoteTextChar">
    <w:name w:val="Footnote Text Char"/>
    <w:basedOn w:val="DefaultParagraphFont"/>
    <w:link w:val="FootnoteText"/>
    <w:rsid w:val="003F6250"/>
    <w:rPr>
      <w:rFonts w:ascii="Arial" w:eastAsia="SimSun" w:hAnsi="Arial" w:cs="Arial"/>
      <w:sz w:val="18"/>
      <w:lang w:eastAsia="zh-CN"/>
    </w:rPr>
  </w:style>
  <w:style w:type="character" w:customStyle="1" w:styleId="SalutationChar">
    <w:name w:val="Salutation Char"/>
    <w:basedOn w:val="DefaultParagraphFont"/>
    <w:link w:val="Salutation"/>
    <w:semiHidden/>
    <w:rsid w:val="003F6250"/>
    <w:rPr>
      <w:rFonts w:ascii="Arial" w:eastAsia="SimSun" w:hAnsi="Arial" w:cs="Arial"/>
      <w:sz w:val="22"/>
      <w:lang w:eastAsia="zh-CN"/>
    </w:rPr>
  </w:style>
  <w:style w:type="character" w:customStyle="1" w:styleId="SignatureChar">
    <w:name w:val="Signature Char"/>
    <w:basedOn w:val="DefaultParagraphFont"/>
    <w:link w:val="Signature"/>
    <w:semiHidden/>
    <w:rsid w:val="003F6250"/>
    <w:rPr>
      <w:rFonts w:ascii="Arial" w:eastAsia="SimSun" w:hAnsi="Arial" w:cs="Arial"/>
      <w:sz w:val="22"/>
      <w:lang w:eastAsia="zh-CN"/>
    </w:rPr>
  </w:style>
  <w:style w:type="paragraph" w:customStyle="1" w:styleId="preparedby">
    <w:name w:val="preparedby"/>
    <w:basedOn w:val="Normal"/>
    <w:next w:val="Normal"/>
    <w:rsid w:val="003F6250"/>
    <w:pPr>
      <w:spacing w:after="600"/>
      <w:jc w:val="center"/>
    </w:pPr>
    <w:rPr>
      <w:rFonts w:ascii="Times New Roman" w:eastAsia="Times New Roman" w:hAnsi="Times New Roman" w:cs="Times New Roman"/>
      <w:i/>
      <w:sz w:val="24"/>
      <w:lang w:eastAsia="en-US"/>
    </w:rPr>
  </w:style>
  <w:style w:type="paragraph" w:customStyle="1" w:styleId="CarCarCharCharCarCarCharCharCarCar">
    <w:name w:val="Car Car Char Char Car Car Char Char Car Car"/>
    <w:basedOn w:val="Normal"/>
    <w:rsid w:val="003F6250"/>
    <w:pPr>
      <w:spacing w:after="160" w:line="240" w:lineRule="exact"/>
    </w:pPr>
    <w:rPr>
      <w:rFonts w:ascii="Verdana" w:eastAsia="PMingLiU" w:hAnsi="Verdana" w:cs="Times New Roman"/>
      <w:sz w:val="20"/>
      <w:lang w:eastAsia="en-US"/>
    </w:rPr>
  </w:style>
  <w:style w:type="paragraph" w:customStyle="1" w:styleId="CharCharCharChar">
    <w:name w:val="Char Char Char Char"/>
    <w:basedOn w:val="Normal"/>
    <w:rsid w:val="003F6250"/>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Normal"/>
    <w:rsid w:val="003F6250"/>
    <w:pPr>
      <w:spacing w:after="120" w:line="260" w:lineRule="exact"/>
      <w:ind w:left="5534"/>
    </w:pPr>
    <w:rPr>
      <w:rFonts w:eastAsia="Times New Roman" w:cs="Times New Roman"/>
      <w:sz w:val="20"/>
      <w:lang w:eastAsia="en-US"/>
    </w:rPr>
  </w:style>
  <w:style w:type="paragraph" w:customStyle="1" w:styleId="Draft">
    <w:name w:val="Draft"/>
    <w:basedOn w:val="Normal"/>
    <w:link w:val="DraftChar"/>
    <w:rsid w:val="003F6250"/>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3F6250"/>
    <w:rPr>
      <w:rFonts w:ascii="Arial" w:hAnsi="Arial"/>
      <w:lang w:val="en-GB" w:eastAsia="en-US" w:bidi="ar-SA"/>
    </w:rPr>
  </w:style>
  <w:style w:type="character" w:customStyle="1" w:styleId="DraftChar">
    <w:name w:val="Draft Char"/>
    <w:link w:val="Draft"/>
    <w:rsid w:val="003F6250"/>
    <w:rPr>
      <w:caps/>
      <w:sz w:val="24"/>
    </w:rPr>
  </w:style>
  <w:style w:type="character" w:styleId="FollowedHyperlink">
    <w:name w:val="FollowedHyperlink"/>
    <w:rsid w:val="003F6250"/>
    <w:rPr>
      <w:color w:val="606420"/>
      <w:u w:val="single"/>
    </w:rPr>
  </w:style>
  <w:style w:type="character" w:styleId="Emphasis">
    <w:name w:val="Emphasis"/>
    <w:qFormat/>
    <w:rsid w:val="003F6250"/>
    <w:rPr>
      <w:b/>
      <w:bCs/>
      <w:i w:val="0"/>
      <w:iCs w:val="0"/>
    </w:rPr>
  </w:style>
  <w:style w:type="paragraph" w:customStyle="1" w:styleId="CarCarCharCharCarCarCharCharCarCar0">
    <w:name w:val="Car Car Char Char Car Car Char Char Car Car"/>
    <w:basedOn w:val="Normal"/>
    <w:rsid w:val="008B7E70"/>
    <w:pPr>
      <w:spacing w:after="160" w:line="240" w:lineRule="exact"/>
    </w:pPr>
    <w:rPr>
      <w:rFonts w:ascii="Verdana" w:eastAsia="PMingLiU" w:hAnsi="Verdana" w:cs="Times New Roman"/>
      <w:sz w:val="20"/>
      <w:lang w:eastAsia="en-US"/>
    </w:rPr>
  </w:style>
  <w:style w:type="paragraph" w:customStyle="1" w:styleId="CharCharCharChar0">
    <w:name w:val="Char Char Char Char"/>
    <w:basedOn w:val="Normal"/>
    <w:rsid w:val="008B7E70"/>
    <w:pPr>
      <w:spacing w:after="160" w:line="240" w:lineRule="exact"/>
    </w:pPr>
    <w:rPr>
      <w:rFonts w:ascii="Verdana" w:eastAsia="Times New Roman" w:hAnsi="Verdana" w:cs="Times New Roman"/>
      <w:sz w:val="20"/>
      <w:lang w:val="en-GB" w:eastAsia="en-US"/>
    </w:rPr>
  </w:style>
  <w:style w:type="paragraph" w:customStyle="1" w:styleId="Standard">
    <w:name w:val="Standard"/>
    <w:rsid w:val="007A0BAC"/>
    <w:pPr>
      <w:pBdr>
        <w:top w:val="nil"/>
        <w:left w:val="nil"/>
        <w:bottom w:val="nil"/>
        <w:right w:val="nil"/>
        <w:between w:val="nil"/>
        <w:bar w:val="nil"/>
      </w:pBdr>
    </w:pPr>
    <w:rPr>
      <w:rFonts w:eastAsia="Arial Unicode MS" w:cs="Arial Unicode MS"/>
      <w:color w:val="000000"/>
      <w:u w:color="000000"/>
      <w:bdr w:val="nil"/>
      <w:lang w:val="nl-NL" w:eastAsia="zh-CN"/>
    </w:rPr>
  </w:style>
  <w:style w:type="paragraph" w:styleId="NormalWeb">
    <w:name w:val="Normal (Web)"/>
    <w:basedOn w:val="Normal"/>
    <w:uiPriority w:val="99"/>
    <w:rsid w:val="007A0BAC"/>
    <w:pPr>
      <w:spacing w:beforeLines="1" w:afterLines="1"/>
    </w:pPr>
    <w:rPr>
      <w:rFonts w:ascii="Times" w:eastAsiaTheme="minorEastAsia" w:hAnsi="Times" w:cs="Times New Roman"/>
      <w:sz w:val="20"/>
      <w:lang w:val="fr-FR" w:eastAsia="fr-FR"/>
    </w:rPr>
  </w:style>
  <w:style w:type="character" w:styleId="Strong">
    <w:name w:val="Strong"/>
    <w:basedOn w:val="DefaultParagraphFont"/>
    <w:uiPriority w:val="22"/>
    <w:qFormat/>
    <w:rsid w:val="007A0BAC"/>
    <w:rPr>
      <w:b/>
      <w:bCs/>
    </w:rPr>
  </w:style>
  <w:style w:type="paragraph" w:styleId="PlainText">
    <w:name w:val="Plain Text"/>
    <w:basedOn w:val="Normal"/>
    <w:link w:val="PlainTextChar"/>
    <w:uiPriority w:val="99"/>
    <w:unhideWhenUsed/>
    <w:rsid w:val="007A0BAC"/>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7A0BAC"/>
    <w:rPr>
      <w:rFonts w:ascii="Consolas" w:eastAsiaTheme="minorHAnsi" w:hAnsi="Consolas" w:cstheme="minorBidi"/>
      <w:sz w:val="21"/>
      <w:szCs w:val="21"/>
    </w:rPr>
  </w:style>
  <w:style w:type="paragraph" w:customStyle="1" w:styleId="Normal0">
    <w:name w:val="Normal 0"/>
    <w:rsid w:val="007A0BAC"/>
    <w:pPr>
      <w:widowControl w:val="0"/>
      <w:autoSpaceDE w:val="0"/>
      <w:autoSpaceDN w:val="0"/>
      <w:adjustRightInd w:val="0"/>
      <w:ind w:hanging="338"/>
    </w:pPr>
    <w:rPr>
      <w:rFonts w:ascii="Courier New" w:eastAsiaTheme="minorEastAsia" w:hAnsi="Courier New" w:cs="Courier New"/>
    </w:rPr>
  </w:style>
  <w:style w:type="paragraph" w:customStyle="1" w:styleId="Question1">
    <w:name w:val="Question 1"/>
    <w:basedOn w:val="Normal0"/>
    <w:next w:val="Qu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7A0BAC"/>
    <w:rPr>
      <w:color w:val="808080"/>
    </w:rPr>
  </w:style>
  <w:style w:type="paragraph" w:customStyle="1" w:styleId="Text">
    <w:name w:val="Text"/>
    <w:rsid w:val="007A0BA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7A0BAC"/>
    <w:pPr>
      <w:numPr>
        <w:numId w:val="5"/>
      </w:numPr>
    </w:pPr>
  </w:style>
  <w:style w:type="paragraph" w:customStyle="1" w:styleId="8">
    <w:name w:val="바탕글 사본8"/>
    <w:basedOn w:val="Normal"/>
    <w:rsid w:val="007A0BAC"/>
    <w:pPr>
      <w:widowControl w:val="0"/>
      <w:wordWrap w:val="0"/>
      <w:autoSpaceDE w:val="0"/>
      <w:autoSpaceDN w:val="0"/>
      <w:jc w:val="both"/>
      <w:textAlignment w:val="baseline"/>
    </w:pPr>
    <w:rPr>
      <w:rFonts w:ascii="Malgun Gothic" w:eastAsia="Gulim" w:hAnsi="Gulim" w:cs="Gulim"/>
      <w:color w:val="000000"/>
      <w:kern w:val="2"/>
      <w:sz w:val="20"/>
      <w:lang w:eastAsia="ko-KR"/>
    </w:rPr>
  </w:style>
  <w:style w:type="paragraph" w:customStyle="1" w:styleId="1">
    <w:name w:val="바탕글1"/>
    <w:basedOn w:val="Normal"/>
    <w:rsid w:val="007A0BAC"/>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lang w:eastAsia="ko-KR"/>
    </w:rPr>
  </w:style>
  <w:style w:type="paragraph" w:styleId="Date">
    <w:name w:val="Date"/>
    <w:basedOn w:val="Normal"/>
    <w:next w:val="Normal"/>
    <w:link w:val="DateChar"/>
    <w:rsid w:val="006078AD"/>
  </w:style>
  <w:style w:type="character" w:customStyle="1" w:styleId="DateChar">
    <w:name w:val="Date Char"/>
    <w:basedOn w:val="DefaultParagraphFont"/>
    <w:link w:val="Date"/>
    <w:rsid w:val="006078AD"/>
    <w:rPr>
      <w:rFonts w:ascii="Arial" w:eastAsia="SimSun" w:hAnsi="Arial" w:cs="Arial"/>
      <w:sz w:val="22"/>
      <w:lang w:eastAsia="zh-CN"/>
    </w:rPr>
  </w:style>
  <w:style w:type="character" w:customStyle="1" w:styleId="Fuentedeprrafopredeter1">
    <w:name w:val="Fuente de párrafo predeter.1"/>
    <w:rsid w:val="008769AF"/>
  </w:style>
  <w:style w:type="character" w:customStyle="1" w:styleId="s5">
    <w:name w:val="s5"/>
    <w:rsid w:val="008769AF"/>
  </w:style>
  <w:style w:type="character" w:customStyle="1" w:styleId="apple-converted-space">
    <w:name w:val="apple-converted-space"/>
    <w:basedOn w:val="DefaultParagraphFont"/>
    <w:rsid w:val="008769AF"/>
  </w:style>
  <w:style w:type="paragraph" w:customStyle="1" w:styleId="m-4401434326846168952standard1">
    <w:name w:val="m_-4401434326846168952standard1"/>
    <w:basedOn w:val="Normal"/>
    <w:rsid w:val="00003757"/>
    <w:pPr>
      <w:spacing w:beforeLines="1" w:afterLines="1"/>
    </w:pPr>
    <w:rPr>
      <w:rFonts w:ascii="Times" w:eastAsiaTheme="minorHAnsi" w:hAnsi="Times" w:cstheme="minorBidi"/>
      <w:sz w:val="20"/>
      <w:szCs w:val="20"/>
      <w:lang w:val="fr-FR" w:eastAsia="fr-FR"/>
    </w:rPr>
  </w:style>
  <w:style w:type="paragraph" w:customStyle="1" w:styleId="m-4401434326846168952standard">
    <w:name w:val="m_-4401434326846168952standard"/>
    <w:basedOn w:val="Normal"/>
    <w:rsid w:val="00003757"/>
    <w:pPr>
      <w:spacing w:beforeLines="1" w:afterLines="1"/>
    </w:pPr>
    <w:rPr>
      <w:rFonts w:ascii="Times" w:eastAsiaTheme="minorHAnsi" w:hAnsi="Times" w:cstheme="minorBidi"/>
      <w:sz w:val="20"/>
      <w:szCs w:val="20"/>
      <w:lang w:val="fr-FR" w:eastAsia="fr-FR"/>
    </w:rPr>
  </w:style>
  <w:style w:type="paragraph" w:customStyle="1" w:styleId="a">
    <w:name w:val="바탕글"/>
    <w:basedOn w:val="Normal"/>
    <w:rsid w:val="000A48A3"/>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szCs w:val="20"/>
      <w:lang w:eastAsia="ko-KR"/>
    </w:rPr>
  </w:style>
  <w:style w:type="numbering" w:customStyle="1" w:styleId="NoList1">
    <w:name w:val="No List1"/>
    <w:next w:val="NoList"/>
    <w:uiPriority w:val="99"/>
    <w:semiHidden/>
    <w:unhideWhenUsed/>
    <w:rsid w:val="001C4BE4"/>
  </w:style>
  <w:style w:type="character" w:customStyle="1" w:styleId="ft">
    <w:name w:val="ft"/>
    <w:basedOn w:val="DefaultParagraphFont"/>
    <w:uiPriority w:val="99"/>
    <w:rsid w:val="002961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8" w:qFormat="1"/>
    <w:lsdException w:name="header" w:uiPriority="99"/>
    <w:lsdException w:name="Normal (Web)" w:uiPriority="99"/>
    <w:lsdException w:name="List Paragraph" w:uiPriority="34" w:qFormat="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8">
    <w:name w:val="heading 8"/>
    <w:basedOn w:val="Normal"/>
    <w:next w:val="Normal"/>
    <w:link w:val="Heading8Char"/>
    <w:unhideWhenUsed/>
    <w:qFormat/>
    <w:rsid w:val="003F6250"/>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uiPriority w:val="99"/>
    <w:rsid w:val="000C61C6"/>
    <w:rPr>
      <w:rFonts w:ascii="Tahoma" w:hAnsi="Tahoma" w:cs="Tahoma"/>
      <w:sz w:val="16"/>
      <w:szCs w:val="16"/>
    </w:rPr>
  </w:style>
  <w:style w:type="paragraph" w:styleId="FootnoteText">
    <w:name w:val="footnote text"/>
    <w:basedOn w:val="Normal"/>
    <w:link w:val="FootnoteTextChar"/>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basedOn w:val="DefaultParagraphFont"/>
    <w:link w:val="BalloonText"/>
    <w:uiPriority w:val="99"/>
    <w:rsid w:val="000C61C6"/>
    <w:rPr>
      <w:rFonts w:ascii="Tahoma" w:eastAsia="SimSun" w:hAnsi="Tahoma" w:cs="Tahoma"/>
      <w:sz w:val="16"/>
      <w:szCs w:val="16"/>
      <w:lang w:eastAsia="zh-CN"/>
    </w:rPr>
  </w:style>
  <w:style w:type="character" w:customStyle="1" w:styleId="HeaderChar">
    <w:name w:val="Header Char"/>
    <w:aliases w:val="Heading Char"/>
    <w:link w:val="Header"/>
    <w:uiPriority w:val="99"/>
    <w:rsid w:val="000C61C6"/>
    <w:rPr>
      <w:rFonts w:ascii="Arial" w:eastAsia="SimSun" w:hAnsi="Arial" w:cs="Arial"/>
      <w:sz w:val="22"/>
      <w:lang w:eastAsia="zh-CN"/>
    </w:rPr>
  </w:style>
  <w:style w:type="paragraph" w:styleId="ListParagraph">
    <w:name w:val="List Paragraph"/>
    <w:basedOn w:val="Normal"/>
    <w:uiPriority w:val="34"/>
    <w:qFormat/>
    <w:rsid w:val="009A1E6B"/>
    <w:pPr>
      <w:ind w:left="720"/>
      <w:contextualSpacing/>
    </w:pPr>
  </w:style>
  <w:style w:type="paragraph" w:customStyle="1" w:styleId="ByContin1">
    <w:name w:val="By  Contin 1"/>
    <w:basedOn w:val="Normal"/>
    <w:uiPriority w:val="99"/>
    <w:rsid w:val="009B459C"/>
    <w:pPr>
      <w:widowControl w:val="0"/>
      <w:tabs>
        <w:tab w:val="left" w:pos="2535"/>
      </w:tabs>
      <w:autoSpaceDE w:val="0"/>
      <w:autoSpaceDN w:val="0"/>
      <w:adjustRightInd w:val="0"/>
    </w:pPr>
    <w:rPr>
      <w:rFonts w:ascii="Courier New" w:eastAsiaTheme="minorEastAsia" w:hAnsi="Courier New" w:cs="Courier New"/>
      <w:sz w:val="24"/>
      <w:lang w:eastAsia="en-US"/>
    </w:rPr>
  </w:style>
  <w:style w:type="paragraph" w:customStyle="1" w:styleId="Default">
    <w:name w:val="Default"/>
    <w:rsid w:val="009B459C"/>
    <w:pPr>
      <w:autoSpaceDE w:val="0"/>
      <w:autoSpaceDN w:val="0"/>
      <w:adjustRightInd w:val="0"/>
    </w:pPr>
    <w:rPr>
      <w:rFonts w:ascii="Arial" w:eastAsiaTheme="minorEastAsia" w:hAnsi="Arial" w:cs="Arial"/>
      <w:color w:val="000000"/>
      <w:lang w:eastAsia="zh-CN"/>
    </w:rPr>
  </w:style>
  <w:style w:type="paragraph" w:customStyle="1" w:styleId="Fixed">
    <w:name w:val="Fixed"/>
    <w:rsid w:val="00E51D57"/>
    <w:pPr>
      <w:widowControl w:val="0"/>
      <w:autoSpaceDE w:val="0"/>
      <w:autoSpaceDN w:val="0"/>
      <w:adjustRightInd w:val="0"/>
      <w:spacing w:line="528" w:lineRule="atLeast"/>
      <w:ind w:right="2880" w:firstLine="432"/>
    </w:pPr>
    <w:rPr>
      <w:rFonts w:ascii="Arial" w:eastAsiaTheme="minorEastAsia" w:hAnsi="Arial" w:cs="Arial"/>
    </w:rPr>
  </w:style>
  <w:style w:type="paragraph" w:customStyle="1" w:styleId="Question">
    <w:name w:val="Question"/>
    <w:basedOn w:val="Fixed"/>
    <w:next w:val="Fixed"/>
    <w:uiPriority w:val="99"/>
    <w:rsid w:val="00E51D57"/>
    <w:pPr>
      <w:ind w:right="1152" w:firstLine="720"/>
    </w:pPr>
  </w:style>
  <w:style w:type="paragraph" w:customStyle="1" w:styleId="Answer">
    <w:name w:val="Answer"/>
    <w:basedOn w:val="Fixed"/>
    <w:next w:val="Fixed"/>
    <w:uiPriority w:val="99"/>
    <w:rsid w:val="00E51D57"/>
    <w:pPr>
      <w:ind w:right="1152" w:firstLine="720"/>
    </w:pPr>
  </w:style>
  <w:style w:type="paragraph" w:customStyle="1" w:styleId="Colloquy">
    <w:name w:val="Colloquy"/>
    <w:basedOn w:val="Fixed"/>
    <w:next w:val="Fixed"/>
    <w:uiPriority w:val="99"/>
    <w:rsid w:val="00E51D57"/>
    <w:pPr>
      <w:ind w:left="720" w:right="1152" w:firstLine="720"/>
    </w:pPr>
  </w:style>
  <w:style w:type="paragraph" w:customStyle="1" w:styleId="ContinQ">
    <w:name w:val="Contin Q"/>
    <w:basedOn w:val="Fixed"/>
    <w:next w:val="Fixed"/>
    <w:uiPriority w:val="99"/>
    <w:rsid w:val="00E51D57"/>
    <w:pPr>
      <w:ind w:right="1152" w:firstLine="2160"/>
    </w:pPr>
  </w:style>
  <w:style w:type="paragraph" w:customStyle="1" w:styleId="ContinA">
    <w:name w:val="Contin A"/>
    <w:basedOn w:val="Fixed"/>
    <w:next w:val="Fixed"/>
    <w:uiPriority w:val="99"/>
    <w:rsid w:val="00E51D57"/>
    <w:pPr>
      <w:ind w:right="1152" w:firstLine="2160"/>
    </w:pPr>
  </w:style>
  <w:style w:type="paragraph" w:customStyle="1" w:styleId="ContinCol">
    <w:name w:val="Contin Col"/>
    <w:basedOn w:val="Fixed"/>
    <w:next w:val="Fixed"/>
    <w:uiPriority w:val="99"/>
    <w:rsid w:val="00E51D57"/>
    <w:pPr>
      <w:ind w:left="720" w:right="1152" w:firstLine="720"/>
    </w:pPr>
  </w:style>
  <w:style w:type="paragraph" w:customStyle="1" w:styleId="Parenthetical">
    <w:name w:val="Parenthetical"/>
    <w:basedOn w:val="Fixed"/>
    <w:next w:val="Fixed"/>
    <w:uiPriority w:val="99"/>
    <w:rsid w:val="00E51D57"/>
    <w:pPr>
      <w:ind w:left="2880" w:right="1152" w:firstLine="0"/>
    </w:pPr>
  </w:style>
  <w:style w:type="paragraph" w:customStyle="1" w:styleId="Centered">
    <w:name w:val="Centered"/>
    <w:basedOn w:val="Fixed"/>
    <w:next w:val="Fixed"/>
    <w:uiPriority w:val="99"/>
    <w:rsid w:val="00E51D57"/>
    <w:pPr>
      <w:ind w:right="1152" w:firstLine="0"/>
      <w:jc w:val="center"/>
    </w:pPr>
  </w:style>
  <w:style w:type="paragraph" w:customStyle="1" w:styleId="Rightflush">
    <w:name w:val="Right flush"/>
    <w:basedOn w:val="Fixed"/>
    <w:next w:val="Fixed"/>
    <w:uiPriority w:val="99"/>
    <w:rsid w:val="00E51D57"/>
    <w:pPr>
      <w:ind w:left="2880" w:right="1152" w:firstLine="0"/>
      <w:jc w:val="right"/>
    </w:pPr>
  </w:style>
  <w:style w:type="paragraph" w:customStyle="1" w:styleId="BylineSQ">
    <w:name w:val="By line (SQ)"/>
    <w:basedOn w:val="Fixed"/>
    <w:next w:val="Fixed"/>
    <w:uiPriority w:val="99"/>
    <w:rsid w:val="00E51D57"/>
    <w:pPr>
      <w:ind w:right="1152" w:firstLine="0"/>
    </w:pPr>
  </w:style>
  <w:style w:type="paragraph" w:customStyle="1" w:styleId="BylineQS">
    <w:name w:val="By line (QS)"/>
    <w:basedOn w:val="Fixed"/>
    <w:next w:val="Fixed"/>
    <w:uiPriority w:val="99"/>
    <w:rsid w:val="00E51D57"/>
    <w:pPr>
      <w:ind w:right="1152" w:firstLine="720"/>
    </w:pPr>
  </w:style>
  <w:style w:type="paragraph" w:customStyle="1" w:styleId="0Style">
    <w:name w:val="0 Style"/>
    <w:basedOn w:val="Fixed"/>
    <w:next w:val="Fixed"/>
    <w:uiPriority w:val="99"/>
    <w:rsid w:val="00E51D57"/>
    <w:pPr>
      <w:ind w:right="1152" w:firstLine="0"/>
    </w:pPr>
  </w:style>
  <w:style w:type="paragraph" w:customStyle="1" w:styleId="Normal1">
    <w:name w:val="Normal 1"/>
    <w:basedOn w:val="Fixed"/>
    <w:next w:val="Fixed"/>
    <w:uiPriority w:val="99"/>
    <w:rsid w:val="00E51D57"/>
    <w:pPr>
      <w:ind w:right="1152" w:firstLine="720"/>
    </w:pPr>
  </w:style>
  <w:style w:type="paragraph" w:customStyle="1" w:styleId="Normal2">
    <w:name w:val="Normal 2"/>
    <w:basedOn w:val="Fixed"/>
    <w:next w:val="Fixed"/>
    <w:uiPriority w:val="99"/>
    <w:rsid w:val="00E51D57"/>
    <w:pPr>
      <w:ind w:left="720" w:right="1152" w:firstLine="0"/>
    </w:pPr>
  </w:style>
  <w:style w:type="paragraph" w:customStyle="1" w:styleId="Normal3">
    <w:name w:val="Normal 3"/>
    <w:basedOn w:val="Fixed"/>
    <w:next w:val="Fixed"/>
    <w:uiPriority w:val="99"/>
    <w:rsid w:val="00E51D57"/>
    <w:pPr>
      <w:ind w:left="720" w:right="1152" w:hanging="720"/>
    </w:pPr>
  </w:style>
  <w:style w:type="paragraph" w:customStyle="1" w:styleId="Normal4">
    <w:name w:val="Normal 4"/>
    <w:basedOn w:val="Fixed"/>
    <w:next w:val="Fixed"/>
    <w:uiPriority w:val="99"/>
    <w:rsid w:val="00E51D57"/>
    <w:pPr>
      <w:ind w:right="1152" w:firstLine="1440"/>
    </w:pPr>
  </w:style>
  <w:style w:type="paragraph" w:customStyle="1" w:styleId="Normal5">
    <w:name w:val="Normal 5"/>
    <w:basedOn w:val="Fixed"/>
    <w:next w:val="Fixed"/>
    <w:uiPriority w:val="99"/>
    <w:rsid w:val="00E51D57"/>
    <w:pPr>
      <w:ind w:left="1440" w:right="1152" w:firstLine="0"/>
    </w:pPr>
  </w:style>
  <w:style w:type="paragraph" w:customStyle="1" w:styleId="Normal6">
    <w:name w:val="Normal 6"/>
    <w:basedOn w:val="Fixed"/>
    <w:next w:val="Fixed"/>
    <w:uiPriority w:val="99"/>
    <w:rsid w:val="00E51D57"/>
    <w:pPr>
      <w:ind w:left="1440" w:right="1152" w:hanging="1440"/>
    </w:pPr>
  </w:style>
  <w:style w:type="paragraph" w:customStyle="1" w:styleId="Normal7">
    <w:name w:val="Normal 7"/>
    <w:basedOn w:val="Fixed"/>
    <w:next w:val="Fixed"/>
    <w:uiPriority w:val="99"/>
    <w:rsid w:val="00E51D57"/>
    <w:pPr>
      <w:ind w:right="1152" w:firstLine="2160"/>
    </w:pPr>
  </w:style>
  <w:style w:type="paragraph" w:customStyle="1" w:styleId="Normal8">
    <w:name w:val="Normal 8"/>
    <w:basedOn w:val="Fixed"/>
    <w:next w:val="Fixed"/>
    <w:uiPriority w:val="99"/>
    <w:rsid w:val="00E51D57"/>
    <w:pPr>
      <w:ind w:left="2160" w:right="1152" w:firstLine="0"/>
    </w:pPr>
  </w:style>
  <w:style w:type="paragraph" w:customStyle="1" w:styleId="9Style">
    <w:name w:val="9 Style"/>
    <w:basedOn w:val="Fixed"/>
    <w:next w:val="Fixed"/>
    <w:uiPriority w:val="99"/>
    <w:rsid w:val="00E51D57"/>
    <w:pPr>
      <w:ind w:left="2160" w:right="1152" w:hanging="2160"/>
    </w:pPr>
  </w:style>
  <w:style w:type="character" w:customStyle="1" w:styleId="FooterChar">
    <w:name w:val="Footer Char"/>
    <w:basedOn w:val="DefaultParagraphFont"/>
    <w:link w:val="Footer"/>
    <w:uiPriority w:val="99"/>
    <w:rsid w:val="00E51D57"/>
    <w:rPr>
      <w:rFonts w:ascii="Arial" w:eastAsia="SimSun" w:hAnsi="Arial" w:cs="Arial"/>
      <w:sz w:val="22"/>
      <w:lang w:eastAsia="zh-CN"/>
    </w:rPr>
  </w:style>
  <w:style w:type="paragraph" w:customStyle="1" w:styleId="Questionquoted">
    <w:name w:val="Question (quoted)"/>
    <w:basedOn w:val="Fixed"/>
    <w:next w:val="Fixed"/>
    <w:uiPriority w:val="99"/>
    <w:rsid w:val="00E51D57"/>
    <w:pPr>
      <w:ind w:left="720" w:right="1152" w:firstLine="576"/>
    </w:pPr>
  </w:style>
  <w:style w:type="paragraph" w:customStyle="1" w:styleId="Answerquoted">
    <w:name w:val="Answer (quoted)"/>
    <w:basedOn w:val="Fixed"/>
    <w:next w:val="Fixed"/>
    <w:uiPriority w:val="99"/>
    <w:rsid w:val="00E51D57"/>
    <w:pPr>
      <w:ind w:left="720" w:right="1152" w:firstLine="576"/>
    </w:pPr>
  </w:style>
  <w:style w:type="paragraph" w:customStyle="1" w:styleId="Speakerquoted">
    <w:name w:val="Speaker (quoted)"/>
    <w:basedOn w:val="Fixed"/>
    <w:next w:val="Fixed"/>
    <w:uiPriority w:val="99"/>
    <w:rsid w:val="00E51D57"/>
    <w:pPr>
      <w:ind w:left="1440" w:right="1152" w:firstLine="720"/>
    </w:pPr>
  </w:style>
  <w:style w:type="paragraph" w:customStyle="1" w:styleId="questionPghquoted">
    <w:name w:val="question Pgh (quoted)"/>
    <w:basedOn w:val="Fixed"/>
    <w:next w:val="Fixed"/>
    <w:uiPriority w:val="99"/>
    <w:rsid w:val="00E51D57"/>
    <w:pPr>
      <w:ind w:left="720" w:right="1152" w:firstLine="2160"/>
    </w:pPr>
  </w:style>
  <w:style w:type="paragraph" w:customStyle="1" w:styleId="answerPghquoted">
    <w:name w:val="answer Pgh (quoted)"/>
    <w:basedOn w:val="Fixed"/>
    <w:next w:val="Fixed"/>
    <w:uiPriority w:val="99"/>
    <w:rsid w:val="00E51D57"/>
    <w:pPr>
      <w:ind w:left="720" w:right="1152" w:firstLine="2160"/>
    </w:pPr>
  </w:style>
  <w:style w:type="paragraph" w:customStyle="1" w:styleId="speakerPghquoted">
    <w:name w:val="speaker Pgh (quoted)"/>
    <w:basedOn w:val="Fixed"/>
    <w:next w:val="Fixed"/>
    <w:uiPriority w:val="99"/>
    <w:rsid w:val="00E51D57"/>
    <w:pPr>
      <w:ind w:left="1440" w:right="1152" w:firstLine="720"/>
    </w:pPr>
  </w:style>
  <w:style w:type="paragraph" w:customStyle="1" w:styleId="certifiedQuestion">
    <w:name w:val="certified Question"/>
    <w:basedOn w:val="Fixed"/>
    <w:next w:val="Fixed"/>
    <w:uiPriority w:val="99"/>
    <w:rsid w:val="00E51D57"/>
    <w:pPr>
      <w:ind w:right="1152" w:firstLine="288"/>
    </w:pPr>
  </w:style>
  <w:style w:type="paragraph" w:customStyle="1" w:styleId="Index1">
    <w:name w:val="Index1"/>
    <w:basedOn w:val="Fixed"/>
    <w:next w:val="Fixed"/>
    <w:uiPriority w:val="99"/>
    <w:rsid w:val="00E51D57"/>
    <w:pPr>
      <w:spacing w:line="264" w:lineRule="atLeast"/>
      <w:ind w:left="1440" w:hanging="1440"/>
    </w:pPr>
  </w:style>
  <w:style w:type="paragraph" w:customStyle="1" w:styleId="IndexBlank">
    <w:name w:val="IndexBlank"/>
    <w:basedOn w:val="Fixed"/>
    <w:next w:val="Fixed"/>
    <w:uiPriority w:val="99"/>
    <w:rsid w:val="00E51D57"/>
    <w:pPr>
      <w:spacing w:line="264" w:lineRule="atLeast"/>
      <w:ind w:left="1440" w:hanging="1584"/>
    </w:pPr>
  </w:style>
  <w:style w:type="paragraph" w:customStyle="1" w:styleId="captionbox">
    <w:name w:val="caption box"/>
    <w:basedOn w:val="Fixed"/>
    <w:next w:val="Fixed"/>
    <w:uiPriority w:val="99"/>
    <w:rsid w:val="00E51D57"/>
    <w:pPr>
      <w:spacing w:line="264" w:lineRule="atLeast"/>
      <w:ind w:right="4320" w:firstLine="0"/>
    </w:pPr>
  </w:style>
  <w:style w:type="character" w:styleId="CommentReference">
    <w:name w:val="annotation reference"/>
    <w:basedOn w:val="DefaultParagraphFont"/>
    <w:uiPriority w:val="99"/>
    <w:unhideWhenUsed/>
    <w:rsid w:val="00E51D57"/>
    <w:rPr>
      <w:rFonts w:cs="Times New Roman"/>
      <w:sz w:val="16"/>
      <w:szCs w:val="16"/>
    </w:rPr>
  </w:style>
  <w:style w:type="character" w:customStyle="1" w:styleId="CommentTextChar">
    <w:name w:val="Comment Text Char"/>
    <w:basedOn w:val="DefaultParagraphFont"/>
    <w:uiPriority w:val="99"/>
    <w:semiHidden/>
    <w:rsid w:val="00E51D57"/>
    <w:rPr>
      <w:rFonts w:ascii="Arial" w:hAnsi="Arial" w:cs="Arial"/>
      <w:sz w:val="20"/>
      <w:szCs w:val="20"/>
      <w:lang w:eastAsia="en-US"/>
    </w:rPr>
  </w:style>
  <w:style w:type="paragraph" w:styleId="CommentSubject">
    <w:name w:val="annotation subject"/>
    <w:basedOn w:val="CommentText"/>
    <w:next w:val="CommentText"/>
    <w:link w:val="CommentSubjectChar"/>
    <w:uiPriority w:val="99"/>
    <w:unhideWhenUsed/>
    <w:rsid w:val="00E51D57"/>
    <w:pPr>
      <w:widowControl w:val="0"/>
      <w:autoSpaceDE w:val="0"/>
      <w:autoSpaceDN w:val="0"/>
      <w:adjustRightInd w:val="0"/>
      <w:spacing w:line="528" w:lineRule="atLeast"/>
      <w:ind w:right="-576" w:firstLine="432"/>
    </w:pPr>
    <w:rPr>
      <w:rFonts w:eastAsiaTheme="minorEastAsia"/>
      <w:b/>
      <w:bCs/>
      <w:sz w:val="20"/>
      <w:lang w:eastAsia="en-US"/>
    </w:rPr>
  </w:style>
  <w:style w:type="character" w:customStyle="1" w:styleId="CommentTextChar1">
    <w:name w:val="Comment Text Char1"/>
    <w:basedOn w:val="DefaultParagraphFont"/>
    <w:link w:val="CommentText"/>
    <w:uiPriority w:val="99"/>
    <w:semiHidden/>
    <w:rsid w:val="00E51D57"/>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E51D57"/>
    <w:rPr>
      <w:rFonts w:ascii="Arial" w:eastAsiaTheme="minorEastAsia" w:hAnsi="Arial" w:cs="Arial"/>
      <w:b/>
      <w:bCs/>
      <w:sz w:val="18"/>
      <w:lang w:eastAsia="zh-CN"/>
    </w:rPr>
  </w:style>
  <w:style w:type="paragraph" w:customStyle="1" w:styleId="Left1">
    <w:name w:val="Left 1"/>
    <w:basedOn w:val="Fixed"/>
    <w:next w:val="Fixed"/>
    <w:uiPriority w:val="99"/>
    <w:rsid w:val="007E6DF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7E6DF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7E6DF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7E6DF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7E6DF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7E6DFE"/>
    <w:pPr>
      <w:spacing w:line="285" w:lineRule="atLeast"/>
      <w:ind w:left="1728" w:right="4708" w:firstLine="0"/>
    </w:pPr>
    <w:rPr>
      <w:rFonts w:ascii="Courier New" w:hAnsi="Courier New" w:cs="Courier New"/>
    </w:rPr>
  </w:style>
  <w:style w:type="paragraph" w:styleId="Revision">
    <w:name w:val="Revision"/>
    <w:hidden/>
    <w:uiPriority w:val="99"/>
    <w:semiHidden/>
    <w:rsid w:val="007E6DFE"/>
    <w:rPr>
      <w:rFonts w:asciiTheme="minorHAnsi" w:eastAsiaTheme="minorEastAsia" w:hAnsiTheme="minorHAnsi"/>
      <w:sz w:val="22"/>
      <w:szCs w:val="22"/>
    </w:rPr>
  </w:style>
  <w:style w:type="character" w:styleId="Hyperlink">
    <w:name w:val="Hyperlink"/>
    <w:basedOn w:val="DefaultParagraphFont"/>
    <w:unhideWhenUsed/>
    <w:rsid w:val="007E6DFE"/>
    <w:rPr>
      <w:rFonts w:cs="Times New Roman"/>
      <w:color w:val="0000FF" w:themeColor="hyperlink"/>
      <w:u w:val="single"/>
    </w:rPr>
  </w:style>
  <w:style w:type="character" w:customStyle="1" w:styleId="Heading8Char">
    <w:name w:val="Heading 8 Char"/>
    <w:basedOn w:val="DefaultParagraphFont"/>
    <w:link w:val="Heading8"/>
    <w:rsid w:val="003F6250"/>
    <w:rPr>
      <w:rFonts w:asciiTheme="majorHAnsi" w:eastAsiaTheme="majorEastAsia" w:hAnsiTheme="majorHAnsi" w:cstheme="majorBidi"/>
      <w:color w:val="404040" w:themeColor="text1" w:themeTint="BF"/>
      <w:lang w:eastAsia="zh-CN"/>
    </w:rPr>
  </w:style>
  <w:style w:type="character" w:customStyle="1" w:styleId="Heading1Char">
    <w:name w:val="Heading 1 Char"/>
    <w:basedOn w:val="DefaultParagraphFont"/>
    <w:link w:val="Heading1"/>
    <w:uiPriority w:val="9"/>
    <w:rsid w:val="003F6250"/>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3F6250"/>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3F6250"/>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3F6250"/>
    <w:rPr>
      <w:rFonts w:ascii="Arial" w:eastAsia="SimSun" w:hAnsi="Arial" w:cs="Arial"/>
      <w:bCs/>
      <w:i/>
      <w:sz w:val="22"/>
      <w:szCs w:val="28"/>
      <w:lang w:eastAsia="zh-CN"/>
    </w:rPr>
  </w:style>
  <w:style w:type="character" w:customStyle="1" w:styleId="BodyTextChar">
    <w:name w:val="Body Text Char"/>
    <w:basedOn w:val="DefaultParagraphFont"/>
    <w:link w:val="BodyText"/>
    <w:rsid w:val="003F6250"/>
    <w:rPr>
      <w:rFonts w:ascii="Arial" w:eastAsia="SimSun" w:hAnsi="Arial" w:cs="Arial"/>
      <w:sz w:val="22"/>
      <w:lang w:eastAsia="zh-CN"/>
    </w:rPr>
  </w:style>
  <w:style w:type="character" w:styleId="FootnoteReference">
    <w:name w:val="footnote reference"/>
    <w:rsid w:val="003F6250"/>
    <w:rPr>
      <w:vertAlign w:val="superscript"/>
    </w:rPr>
  </w:style>
  <w:style w:type="character" w:customStyle="1" w:styleId="EndnoteTextChar">
    <w:name w:val="Endnote Text Char"/>
    <w:basedOn w:val="DefaultParagraphFont"/>
    <w:link w:val="EndnoteText"/>
    <w:semiHidden/>
    <w:rsid w:val="003F6250"/>
    <w:rPr>
      <w:rFonts w:ascii="Arial" w:eastAsia="SimSun" w:hAnsi="Arial" w:cs="Arial"/>
      <w:sz w:val="18"/>
      <w:lang w:eastAsia="zh-CN"/>
    </w:rPr>
  </w:style>
  <w:style w:type="character" w:customStyle="1" w:styleId="FootnoteTextChar">
    <w:name w:val="Footnote Text Char"/>
    <w:basedOn w:val="DefaultParagraphFont"/>
    <w:link w:val="FootnoteText"/>
    <w:rsid w:val="003F6250"/>
    <w:rPr>
      <w:rFonts w:ascii="Arial" w:eastAsia="SimSun" w:hAnsi="Arial" w:cs="Arial"/>
      <w:sz w:val="18"/>
      <w:lang w:eastAsia="zh-CN"/>
    </w:rPr>
  </w:style>
  <w:style w:type="character" w:customStyle="1" w:styleId="SalutationChar">
    <w:name w:val="Salutation Char"/>
    <w:basedOn w:val="DefaultParagraphFont"/>
    <w:link w:val="Salutation"/>
    <w:semiHidden/>
    <w:rsid w:val="003F6250"/>
    <w:rPr>
      <w:rFonts w:ascii="Arial" w:eastAsia="SimSun" w:hAnsi="Arial" w:cs="Arial"/>
      <w:sz w:val="22"/>
      <w:lang w:eastAsia="zh-CN"/>
    </w:rPr>
  </w:style>
  <w:style w:type="character" w:customStyle="1" w:styleId="SignatureChar">
    <w:name w:val="Signature Char"/>
    <w:basedOn w:val="DefaultParagraphFont"/>
    <w:link w:val="Signature"/>
    <w:semiHidden/>
    <w:rsid w:val="003F6250"/>
    <w:rPr>
      <w:rFonts w:ascii="Arial" w:eastAsia="SimSun" w:hAnsi="Arial" w:cs="Arial"/>
      <w:sz w:val="22"/>
      <w:lang w:eastAsia="zh-CN"/>
    </w:rPr>
  </w:style>
  <w:style w:type="paragraph" w:customStyle="1" w:styleId="preparedby">
    <w:name w:val="preparedby"/>
    <w:basedOn w:val="Normal"/>
    <w:next w:val="Normal"/>
    <w:rsid w:val="003F6250"/>
    <w:pPr>
      <w:spacing w:after="600"/>
      <w:jc w:val="center"/>
    </w:pPr>
    <w:rPr>
      <w:rFonts w:ascii="Times New Roman" w:eastAsia="Times New Roman" w:hAnsi="Times New Roman" w:cs="Times New Roman"/>
      <w:i/>
      <w:sz w:val="24"/>
      <w:lang w:eastAsia="en-US"/>
    </w:rPr>
  </w:style>
  <w:style w:type="paragraph" w:customStyle="1" w:styleId="CarCarCharCharCarCarCharCharCarCar">
    <w:name w:val="Car Car Char Char Car Car Char Char Car Car"/>
    <w:basedOn w:val="Normal"/>
    <w:rsid w:val="003F6250"/>
    <w:pPr>
      <w:spacing w:after="160" w:line="240" w:lineRule="exact"/>
    </w:pPr>
    <w:rPr>
      <w:rFonts w:ascii="Verdana" w:eastAsia="PMingLiU" w:hAnsi="Verdana" w:cs="Times New Roman"/>
      <w:sz w:val="20"/>
      <w:lang w:eastAsia="en-US"/>
    </w:rPr>
  </w:style>
  <w:style w:type="paragraph" w:customStyle="1" w:styleId="CharCharCharChar">
    <w:name w:val="Char Char Char Char"/>
    <w:basedOn w:val="Normal"/>
    <w:rsid w:val="003F6250"/>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Normal"/>
    <w:rsid w:val="003F6250"/>
    <w:pPr>
      <w:spacing w:after="120" w:line="260" w:lineRule="exact"/>
      <w:ind w:left="5534"/>
    </w:pPr>
    <w:rPr>
      <w:rFonts w:eastAsia="Times New Roman" w:cs="Times New Roman"/>
      <w:sz w:val="20"/>
      <w:lang w:eastAsia="en-US"/>
    </w:rPr>
  </w:style>
  <w:style w:type="paragraph" w:customStyle="1" w:styleId="Draft">
    <w:name w:val="Draft"/>
    <w:basedOn w:val="Normal"/>
    <w:link w:val="DraftChar"/>
    <w:rsid w:val="003F6250"/>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3F6250"/>
    <w:rPr>
      <w:rFonts w:ascii="Arial" w:hAnsi="Arial"/>
      <w:lang w:val="en-GB" w:eastAsia="en-US" w:bidi="ar-SA"/>
    </w:rPr>
  </w:style>
  <w:style w:type="character" w:customStyle="1" w:styleId="DraftChar">
    <w:name w:val="Draft Char"/>
    <w:link w:val="Draft"/>
    <w:rsid w:val="003F6250"/>
    <w:rPr>
      <w:caps/>
      <w:sz w:val="24"/>
    </w:rPr>
  </w:style>
  <w:style w:type="character" w:styleId="FollowedHyperlink">
    <w:name w:val="FollowedHyperlink"/>
    <w:rsid w:val="003F6250"/>
    <w:rPr>
      <w:color w:val="606420"/>
      <w:u w:val="single"/>
    </w:rPr>
  </w:style>
  <w:style w:type="character" w:styleId="Emphasis">
    <w:name w:val="Emphasis"/>
    <w:qFormat/>
    <w:rsid w:val="003F6250"/>
    <w:rPr>
      <w:b/>
      <w:bCs/>
      <w:i w:val="0"/>
      <w:iCs w:val="0"/>
    </w:rPr>
  </w:style>
  <w:style w:type="paragraph" w:customStyle="1" w:styleId="CarCarCharCharCarCarCharCharCarCar0">
    <w:name w:val="Car Car Char Char Car Car Char Char Car Car"/>
    <w:basedOn w:val="Normal"/>
    <w:rsid w:val="008B7E70"/>
    <w:pPr>
      <w:spacing w:after="160" w:line="240" w:lineRule="exact"/>
    </w:pPr>
    <w:rPr>
      <w:rFonts w:ascii="Verdana" w:eastAsia="PMingLiU" w:hAnsi="Verdana" w:cs="Times New Roman"/>
      <w:sz w:val="20"/>
      <w:lang w:eastAsia="en-US"/>
    </w:rPr>
  </w:style>
  <w:style w:type="paragraph" w:customStyle="1" w:styleId="CharCharCharChar0">
    <w:name w:val="Char Char Char Char"/>
    <w:basedOn w:val="Normal"/>
    <w:rsid w:val="008B7E70"/>
    <w:pPr>
      <w:spacing w:after="160" w:line="240" w:lineRule="exact"/>
    </w:pPr>
    <w:rPr>
      <w:rFonts w:ascii="Verdana" w:eastAsia="Times New Roman" w:hAnsi="Verdana" w:cs="Times New Roman"/>
      <w:sz w:val="20"/>
      <w:lang w:val="en-GB" w:eastAsia="en-US"/>
    </w:rPr>
  </w:style>
  <w:style w:type="paragraph" w:customStyle="1" w:styleId="Standard">
    <w:name w:val="Standard"/>
    <w:rsid w:val="007A0BAC"/>
    <w:pPr>
      <w:pBdr>
        <w:top w:val="nil"/>
        <w:left w:val="nil"/>
        <w:bottom w:val="nil"/>
        <w:right w:val="nil"/>
        <w:between w:val="nil"/>
        <w:bar w:val="nil"/>
      </w:pBdr>
    </w:pPr>
    <w:rPr>
      <w:rFonts w:eastAsia="Arial Unicode MS" w:cs="Arial Unicode MS"/>
      <w:color w:val="000000"/>
      <w:u w:color="000000"/>
      <w:bdr w:val="nil"/>
      <w:lang w:val="nl-NL" w:eastAsia="zh-CN"/>
    </w:rPr>
  </w:style>
  <w:style w:type="paragraph" w:styleId="NormalWeb">
    <w:name w:val="Normal (Web)"/>
    <w:basedOn w:val="Normal"/>
    <w:uiPriority w:val="99"/>
    <w:rsid w:val="007A0BAC"/>
    <w:pPr>
      <w:spacing w:beforeLines="1" w:afterLines="1"/>
    </w:pPr>
    <w:rPr>
      <w:rFonts w:ascii="Times" w:eastAsiaTheme="minorEastAsia" w:hAnsi="Times" w:cs="Times New Roman"/>
      <w:sz w:val="20"/>
      <w:lang w:val="fr-FR" w:eastAsia="fr-FR"/>
    </w:rPr>
  </w:style>
  <w:style w:type="character" w:styleId="Strong">
    <w:name w:val="Strong"/>
    <w:basedOn w:val="DefaultParagraphFont"/>
    <w:uiPriority w:val="22"/>
    <w:qFormat/>
    <w:rsid w:val="007A0BAC"/>
    <w:rPr>
      <w:b/>
      <w:bCs/>
    </w:rPr>
  </w:style>
  <w:style w:type="paragraph" w:styleId="PlainText">
    <w:name w:val="Plain Text"/>
    <w:basedOn w:val="Normal"/>
    <w:link w:val="PlainTextChar"/>
    <w:uiPriority w:val="99"/>
    <w:unhideWhenUsed/>
    <w:rsid w:val="007A0BAC"/>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7A0BAC"/>
    <w:rPr>
      <w:rFonts w:ascii="Consolas" w:eastAsiaTheme="minorHAnsi" w:hAnsi="Consolas" w:cstheme="minorBidi"/>
      <w:sz w:val="21"/>
      <w:szCs w:val="21"/>
    </w:rPr>
  </w:style>
  <w:style w:type="paragraph" w:customStyle="1" w:styleId="Normal0">
    <w:name w:val="Normal 0"/>
    <w:rsid w:val="007A0BAC"/>
    <w:pPr>
      <w:widowControl w:val="0"/>
      <w:autoSpaceDE w:val="0"/>
      <w:autoSpaceDN w:val="0"/>
      <w:adjustRightInd w:val="0"/>
      <w:ind w:hanging="338"/>
    </w:pPr>
    <w:rPr>
      <w:rFonts w:ascii="Courier New" w:eastAsiaTheme="minorEastAsia" w:hAnsi="Courier New" w:cs="Courier New"/>
    </w:rPr>
  </w:style>
  <w:style w:type="paragraph" w:customStyle="1" w:styleId="Question1">
    <w:name w:val="Question 1"/>
    <w:basedOn w:val="Normal0"/>
    <w:next w:val="Qu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7A0BAC"/>
    <w:rPr>
      <w:color w:val="808080"/>
    </w:rPr>
  </w:style>
  <w:style w:type="paragraph" w:customStyle="1" w:styleId="Text">
    <w:name w:val="Text"/>
    <w:rsid w:val="007A0BA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7A0BAC"/>
    <w:pPr>
      <w:numPr>
        <w:numId w:val="5"/>
      </w:numPr>
    </w:pPr>
  </w:style>
  <w:style w:type="paragraph" w:customStyle="1" w:styleId="8">
    <w:name w:val="바탕글 사본8"/>
    <w:basedOn w:val="Normal"/>
    <w:rsid w:val="007A0BAC"/>
    <w:pPr>
      <w:widowControl w:val="0"/>
      <w:wordWrap w:val="0"/>
      <w:autoSpaceDE w:val="0"/>
      <w:autoSpaceDN w:val="0"/>
      <w:jc w:val="both"/>
      <w:textAlignment w:val="baseline"/>
    </w:pPr>
    <w:rPr>
      <w:rFonts w:ascii="Malgun Gothic" w:eastAsia="Gulim" w:hAnsi="Gulim" w:cs="Gulim"/>
      <w:color w:val="000000"/>
      <w:kern w:val="2"/>
      <w:sz w:val="20"/>
      <w:lang w:eastAsia="ko-KR"/>
    </w:rPr>
  </w:style>
  <w:style w:type="paragraph" w:customStyle="1" w:styleId="1">
    <w:name w:val="바탕글1"/>
    <w:basedOn w:val="Normal"/>
    <w:rsid w:val="007A0BAC"/>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lang w:eastAsia="ko-KR"/>
    </w:rPr>
  </w:style>
  <w:style w:type="paragraph" w:styleId="Date">
    <w:name w:val="Date"/>
    <w:basedOn w:val="Normal"/>
    <w:next w:val="Normal"/>
    <w:link w:val="DateChar"/>
    <w:rsid w:val="006078AD"/>
  </w:style>
  <w:style w:type="character" w:customStyle="1" w:styleId="DateChar">
    <w:name w:val="Date Char"/>
    <w:basedOn w:val="DefaultParagraphFont"/>
    <w:link w:val="Date"/>
    <w:rsid w:val="006078AD"/>
    <w:rPr>
      <w:rFonts w:ascii="Arial" w:eastAsia="SimSun" w:hAnsi="Arial" w:cs="Arial"/>
      <w:sz w:val="22"/>
      <w:lang w:eastAsia="zh-CN"/>
    </w:rPr>
  </w:style>
  <w:style w:type="character" w:customStyle="1" w:styleId="Fuentedeprrafopredeter1">
    <w:name w:val="Fuente de párrafo predeter.1"/>
    <w:rsid w:val="008769AF"/>
  </w:style>
  <w:style w:type="character" w:customStyle="1" w:styleId="s5">
    <w:name w:val="s5"/>
    <w:rsid w:val="008769AF"/>
  </w:style>
  <w:style w:type="character" w:customStyle="1" w:styleId="apple-converted-space">
    <w:name w:val="apple-converted-space"/>
    <w:basedOn w:val="DefaultParagraphFont"/>
    <w:rsid w:val="008769AF"/>
  </w:style>
  <w:style w:type="paragraph" w:customStyle="1" w:styleId="m-4401434326846168952standard1">
    <w:name w:val="m_-4401434326846168952standard1"/>
    <w:basedOn w:val="Normal"/>
    <w:rsid w:val="00003757"/>
    <w:pPr>
      <w:spacing w:beforeLines="1" w:afterLines="1"/>
    </w:pPr>
    <w:rPr>
      <w:rFonts w:ascii="Times" w:eastAsiaTheme="minorHAnsi" w:hAnsi="Times" w:cstheme="minorBidi"/>
      <w:sz w:val="20"/>
      <w:szCs w:val="20"/>
      <w:lang w:val="fr-FR" w:eastAsia="fr-FR"/>
    </w:rPr>
  </w:style>
  <w:style w:type="paragraph" w:customStyle="1" w:styleId="m-4401434326846168952standard">
    <w:name w:val="m_-4401434326846168952standard"/>
    <w:basedOn w:val="Normal"/>
    <w:rsid w:val="00003757"/>
    <w:pPr>
      <w:spacing w:beforeLines="1" w:afterLines="1"/>
    </w:pPr>
    <w:rPr>
      <w:rFonts w:ascii="Times" w:eastAsiaTheme="minorHAnsi" w:hAnsi="Times" w:cstheme="minorBidi"/>
      <w:sz w:val="20"/>
      <w:szCs w:val="20"/>
      <w:lang w:val="fr-FR" w:eastAsia="fr-FR"/>
    </w:rPr>
  </w:style>
  <w:style w:type="paragraph" w:customStyle="1" w:styleId="a">
    <w:name w:val="바탕글"/>
    <w:basedOn w:val="Normal"/>
    <w:rsid w:val="000A48A3"/>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szCs w:val="20"/>
      <w:lang w:eastAsia="ko-KR"/>
    </w:rPr>
  </w:style>
  <w:style w:type="numbering" w:customStyle="1" w:styleId="NoList1">
    <w:name w:val="No List1"/>
    <w:next w:val="NoList"/>
    <w:uiPriority w:val="99"/>
    <w:semiHidden/>
    <w:unhideWhenUsed/>
    <w:rsid w:val="001C4BE4"/>
  </w:style>
  <w:style w:type="character" w:customStyle="1" w:styleId="ft">
    <w:name w:val="ft"/>
    <w:basedOn w:val="DefaultParagraphFont"/>
    <w:uiPriority w:val="99"/>
    <w:rsid w:val="00296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6853">
      <w:bodyDiv w:val="1"/>
      <w:marLeft w:val="0"/>
      <w:marRight w:val="0"/>
      <w:marTop w:val="0"/>
      <w:marBottom w:val="0"/>
      <w:divBdr>
        <w:top w:val="none" w:sz="0" w:space="0" w:color="auto"/>
        <w:left w:val="none" w:sz="0" w:space="0" w:color="auto"/>
        <w:bottom w:val="none" w:sz="0" w:space="0" w:color="auto"/>
        <w:right w:val="none" w:sz="0" w:space="0" w:color="auto"/>
      </w:divBdr>
    </w:div>
    <w:div w:id="268124975">
      <w:bodyDiv w:val="1"/>
      <w:marLeft w:val="0"/>
      <w:marRight w:val="0"/>
      <w:marTop w:val="0"/>
      <w:marBottom w:val="0"/>
      <w:divBdr>
        <w:top w:val="none" w:sz="0" w:space="0" w:color="auto"/>
        <w:left w:val="none" w:sz="0" w:space="0" w:color="auto"/>
        <w:bottom w:val="none" w:sz="0" w:space="0" w:color="auto"/>
        <w:right w:val="none" w:sz="0" w:space="0" w:color="auto"/>
      </w:divBdr>
      <w:divsChild>
        <w:div w:id="1862743041">
          <w:marLeft w:val="0"/>
          <w:marRight w:val="0"/>
          <w:marTop w:val="0"/>
          <w:marBottom w:val="0"/>
          <w:divBdr>
            <w:top w:val="none" w:sz="0" w:space="0" w:color="auto"/>
            <w:left w:val="none" w:sz="0" w:space="0" w:color="auto"/>
            <w:bottom w:val="none" w:sz="0" w:space="0" w:color="auto"/>
            <w:right w:val="none" w:sz="0" w:space="0" w:color="auto"/>
          </w:divBdr>
          <w:divsChild>
            <w:div w:id="889806727">
              <w:marLeft w:val="0"/>
              <w:marRight w:val="0"/>
              <w:marTop w:val="0"/>
              <w:marBottom w:val="0"/>
              <w:divBdr>
                <w:top w:val="none" w:sz="0" w:space="0" w:color="auto"/>
                <w:left w:val="none" w:sz="0" w:space="0" w:color="auto"/>
                <w:bottom w:val="none" w:sz="0" w:space="0" w:color="auto"/>
                <w:right w:val="none" w:sz="0" w:space="0" w:color="auto"/>
              </w:divBdr>
              <w:divsChild>
                <w:div w:id="5013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45196">
      <w:bodyDiv w:val="1"/>
      <w:marLeft w:val="0"/>
      <w:marRight w:val="0"/>
      <w:marTop w:val="0"/>
      <w:marBottom w:val="0"/>
      <w:divBdr>
        <w:top w:val="none" w:sz="0" w:space="0" w:color="auto"/>
        <w:left w:val="none" w:sz="0" w:space="0" w:color="auto"/>
        <w:bottom w:val="none" w:sz="0" w:space="0" w:color="auto"/>
        <w:right w:val="none" w:sz="0" w:space="0" w:color="auto"/>
      </w:divBdr>
    </w:div>
    <w:div w:id="353114998">
      <w:bodyDiv w:val="1"/>
      <w:marLeft w:val="0"/>
      <w:marRight w:val="0"/>
      <w:marTop w:val="0"/>
      <w:marBottom w:val="0"/>
      <w:divBdr>
        <w:top w:val="none" w:sz="0" w:space="0" w:color="auto"/>
        <w:left w:val="none" w:sz="0" w:space="0" w:color="auto"/>
        <w:bottom w:val="none" w:sz="0" w:space="0" w:color="auto"/>
        <w:right w:val="none" w:sz="0" w:space="0" w:color="auto"/>
      </w:divBdr>
    </w:div>
    <w:div w:id="386610133">
      <w:bodyDiv w:val="1"/>
      <w:marLeft w:val="0"/>
      <w:marRight w:val="0"/>
      <w:marTop w:val="0"/>
      <w:marBottom w:val="0"/>
      <w:divBdr>
        <w:top w:val="none" w:sz="0" w:space="0" w:color="auto"/>
        <w:left w:val="none" w:sz="0" w:space="0" w:color="auto"/>
        <w:bottom w:val="none" w:sz="0" w:space="0" w:color="auto"/>
        <w:right w:val="none" w:sz="0" w:space="0" w:color="auto"/>
      </w:divBdr>
    </w:div>
    <w:div w:id="400911340">
      <w:bodyDiv w:val="1"/>
      <w:marLeft w:val="0"/>
      <w:marRight w:val="0"/>
      <w:marTop w:val="0"/>
      <w:marBottom w:val="0"/>
      <w:divBdr>
        <w:top w:val="none" w:sz="0" w:space="0" w:color="auto"/>
        <w:left w:val="none" w:sz="0" w:space="0" w:color="auto"/>
        <w:bottom w:val="none" w:sz="0" w:space="0" w:color="auto"/>
        <w:right w:val="none" w:sz="0" w:space="0" w:color="auto"/>
      </w:divBdr>
      <w:divsChild>
        <w:div w:id="1140263547">
          <w:marLeft w:val="0"/>
          <w:marRight w:val="0"/>
          <w:marTop w:val="0"/>
          <w:marBottom w:val="0"/>
          <w:divBdr>
            <w:top w:val="none" w:sz="0" w:space="0" w:color="auto"/>
            <w:left w:val="none" w:sz="0" w:space="0" w:color="auto"/>
            <w:bottom w:val="none" w:sz="0" w:space="0" w:color="auto"/>
            <w:right w:val="none" w:sz="0" w:space="0" w:color="auto"/>
          </w:divBdr>
          <w:divsChild>
            <w:div w:id="591090946">
              <w:marLeft w:val="0"/>
              <w:marRight w:val="0"/>
              <w:marTop w:val="0"/>
              <w:marBottom w:val="0"/>
              <w:divBdr>
                <w:top w:val="none" w:sz="0" w:space="0" w:color="auto"/>
                <w:left w:val="none" w:sz="0" w:space="0" w:color="auto"/>
                <w:bottom w:val="none" w:sz="0" w:space="0" w:color="auto"/>
                <w:right w:val="none" w:sz="0" w:space="0" w:color="auto"/>
              </w:divBdr>
              <w:divsChild>
                <w:div w:id="3386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66724">
      <w:bodyDiv w:val="1"/>
      <w:marLeft w:val="0"/>
      <w:marRight w:val="0"/>
      <w:marTop w:val="0"/>
      <w:marBottom w:val="0"/>
      <w:divBdr>
        <w:top w:val="none" w:sz="0" w:space="0" w:color="auto"/>
        <w:left w:val="none" w:sz="0" w:space="0" w:color="auto"/>
        <w:bottom w:val="none" w:sz="0" w:space="0" w:color="auto"/>
        <w:right w:val="none" w:sz="0" w:space="0" w:color="auto"/>
      </w:divBdr>
    </w:div>
    <w:div w:id="525600480">
      <w:bodyDiv w:val="1"/>
      <w:marLeft w:val="0"/>
      <w:marRight w:val="0"/>
      <w:marTop w:val="0"/>
      <w:marBottom w:val="0"/>
      <w:divBdr>
        <w:top w:val="none" w:sz="0" w:space="0" w:color="auto"/>
        <w:left w:val="none" w:sz="0" w:space="0" w:color="auto"/>
        <w:bottom w:val="none" w:sz="0" w:space="0" w:color="auto"/>
        <w:right w:val="none" w:sz="0" w:space="0" w:color="auto"/>
      </w:divBdr>
    </w:div>
    <w:div w:id="889802686">
      <w:bodyDiv w:val="1"/>
      <w:marLeft w:val="0"/>
      <w:marRight w:val="0"/>
      <w:marTop w:val="0"/>
      <w:marBottom w:val="0"/>
      <w:divBdr>
        <w:top w:val="none" w:sz="0" w:space="0" w:color="auto"/>
        <w:left w:val="none" w:sz="0" w:space="0" w:color="auto"/>
        <w:bottom w:val="none" w:sz="0" w:space="0" w:color="auto"/>
        <w:right w:val="none" w:sz="0" w:space="0" w:color="auto"/>
      </w:divBdr>
    </w:div>
    <w:div w:id="940114462">
      <w:bodyDiv w:val="1"/>
      <w:marLeft w:val="0"/>
      <w:marRight w:val="0"/>
      <w:marTop w:val="0"/>
      <w:marBottom w:val="0"/>
      <w:divBdr>
        <w:top w:val="none" w:sz="0" w:space="0" w:color="auto"/>
        <w:left w:val="none" w:sz="0" w:space="0" w:color="auto"/>
        <w:bottom w:val="none" w:sz="0" w:space="0" w:color="auto"/>
        <w:right w:val="none" w:sz="0" w:space="0" w:color="auto"/>
      </w:divBdr>
    </w:div>
    <w:div w:id="979454500">
      <w:bodyDiv w:val="1"/>
      <w:marLeft w:val="0"/>
      <w:marRight w:val="0"/>
      <w:marTop w:val="0"/>
      <w:marBottom w:val="0"/>
      <w:divBdr>
        <w:top w:val="none" w:sz="0" w:space="0" w:color="auto"/>
        <w:left w:val="none" w:sz="0" w:space="0" w:color="auto"/>
        <w:bottom w:val="none" w:sz="0" w:space="0" w:color="auto"/>
        <w:right w:val="none" w:sz="0" w:space="0" w:color="auto"/>
      </w:divBdr>
      <w:divsChild>
        <w:div w:id="110319694">
          <w:marLeft w:val="0"/>
          <w:marRight w:val="0"/>
          <w:marTop w:val="0"/>
          <w:marBottom w:val="0"/>
          <w:divBdr>
            <w:top w:val="none" w:sz="0" w:space="0" w:color="auto"/>
            <w:left w:val="none" w:sz="0" w:space="0" w:color="auto"/>
            <w:bottom w:val="none" w:sz="0" w:space="0" w:color="auto"/>
            <w:right w:val="none" w:sz="0" w:space="0" w:color="auto"/>
          </w:divBdr>
          <w:divsChild>
            <w:div w:id="315032790">
              <w:marLeft w:val="0"/>
              <w:marRight w:val="0"/>
              <w:marTop w:val="0"/>
              <w:marBottom w:val="0"/>
              <w:divBdr>
                <w:top w:val="none" w:sz="0" w:space="0" w:color="auto"/>
                <w:left w:val="none" w:sz="0" w:space="0" w:color="auto"/>
                <w:bottom w:val="none" w:sz="0" w:space="0" w:color="auto"/>
                <w:right w:val="none" w:sz="0" w:space="0" w:color="auto"/>
              </w:divBdr>
              <w:divsChild>
                <w:div w:id="15587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73140">
      <w:bodyDiv w:val="1"/>
      <w:marLeft w:val="0"/>
      <w:marRight w:val="0"/>
      <w:marTop w:val="0"/>
      <w:marBottom w:val="0"/>
      <w:divBdr>
        <w:top w:val="none" w:sz="0" w:space="0" w:color="auto"/>
        <w:left w:val="none" w:sz="0" w:space="0" w:color="auto"/>
        <w:bottom w:val="none" w:sz="0" w:space="0" w:color="auto"/>
        <w:right w:val="none" w:sz="0" w:space="0" w:color="auto"/>
      </w:divBdr>
    </w:div>
    <w:div w:id="1216434117">
      <w:bodyDiv w:val="1"/>
      <w:marLeft w:val="0"/>
      <w:marRight w:val="0"/>
      <w:marTop w:val="0"/>
      <w:marBottom w:val="0"/>
      <w:divBdr>
        <w:top w:val="none" w:sz="0" w:space="0" w:color="auto"/>
        <w:left w:val="none" w:sz="0" w:space="0" w:color="auto"/>
        <w:bottom w:val="none" w:sz="0" w:space="0" w:color="auto"/>
        <w:right w:val="none" w:sz="0" w:space="0" w:color="auto"/>
      </w:divBdr>
      <w:divsChild>
        <w:div w:id="1909729094">
          <w:marLeft w:val="0"/>
          <w:marRight w:val="0"/>
          <w:marTop w:val="0"/>
          <w:marBottom w:val="0"/>
          <w:divBdr>
            <w:top w:val="none" w:sz="0" w:space="0" w:color="auto"/>
            <w:left w:val="none" w:sz="0" w:space="0" w:color="auto"/>
            <w:bottom w:val="none" w:sz="0" w:space="0" w:color="auto"/>
            <w:right w:val="none" w:sz="0" w:space="0" w:color="auto"/>
          </w:divBdr>
          <w:divsChild>
            <w:div w:id="2083873512">
              <w:marLeft w:val="0"/>
              <w:marRight w:val="0"/>
              <w:marTop w:val="0"/>
              <w:marBottom w:val="0"/>
              <w:divBdr>
                <w:top w:val="none" w:sz="0" w:space="0" w:color="auto"/>
                <w:left w:val="none" w:sz="0" w:space="0" w:color="auto"/>
                <w:bottom w:val="none" w:sz="0" w:space="0" w:color="auto"/>
                <w:right w:val="none" w:sz="0" w:space="0" w:color="auto"/>
              </w:divBdr>
              <w:divsChild>
                <w:div w:id="7275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00071">
      <w:bodyDiv w:val="1"/>
      <w:marLeft w:val="0"/>
      <w:marRight w:val="0"/>
      <w:marTop w:val="0"/>
      <w:marBottom w:val="0"/>
      <w:divBdr>
        <w:top w:val="none" w:sz="0" w:space="0" w:color="auto"/>
        <w:left w:val="none" w:sz="0" w:space="0" w:color="auto"/>
        <w:bottom w:val="none" w:sz="0" w:space="0" w:color="auto"/>
        <w:right w:val="none" w:sz="0" w:space="0" w:color="auto"/>
      </w:divBdr>
    </w:div>
    <w:div w:id="1279291711">
      <w:bodyDiv w:val="1"/>
      <w:marLeft w:val="0"/>
      <w:marRight w:val="0"/>
      <w:marTop w:val="0"/>
      <w:marBottom w:val="0"/>
      <w:divBdr>
        <w:top w:val="none" w:sz="0" w:space="0" w:color="auto"/>
        <w:left w:val="none" w:sz="0" w:space="0" w:color="auto"/>
        <w:bottom w:val="none" w:sz="0" w:space="0" w:color="auto"/>
        <w:right w:val="none" w:sz="0" w:space="0" w:color="auto"/>
      </w:divBdr>
    </w:div>
    <w:div w:id="1339962611">
      <w:bodyDiv w:val="1"/>
      <w:marLeft w:val="0"/>
      <w:marRight w:val="0"/>
      <w:marTop w:val="0"/>
      <w:marBottom w:val="0"/>
      <w:divBdr>
        <w:top w:val="none" w:sz="0" w:space="0" w:color="auto"/>
        <w:left w:val="none" w:sz="0" w:space="0" w:color="auto"/>
        <w:bottom w:val="none" w:sz="0" w:space="0" w:color="auto"/>
        <w:right w:val="none" w:sz="0" w:space="0" w:color="auto"/>
      </w:divBdr>
    </w:div>
    <w:div w:id="1466580048">
      <w:bodyDiv w:val="1"/>
      <w:marLeft w:val="0"/>
      <w:marRight w:val="0"/>
      <w:marTop w:val="0"/>
      <w:marBottom w:val="0"/>
      <w:divBdr>
        <w:top w:val="none" w:sz="0" w:space="0" w:color="auto"/>
        <w:left w:val="none" w:sz="0" w:space="0" w:color="auto"/>
        <w:bottom w:val="none" w:sz="0" w:space="0" w:color="auto"/>
        <w:right w:val="none" w:sz="0" w:space="0" w:color="auto"/>
      </w:divBdr>
      <w:divsChild>
        <w:div w:id="36439203">
          <w:marLeft w:val="0"/>
          <w:marRight w:val="0"/>
          <w:marTop w:val="0"/>
          <w:marBottom w:val="0"/>
          <w:divBdr>
            <w:top w:val="none" w:sz="0" w:space="0" w:color="auto"/>
            <w:left w:val="none" w:sz="0" w:space="0" w:color="auto"/>
            <w:bottom w:val="none" w:sz="0" w:space="0" w:color="auto"/>
            <w:right w:val="none" w:sz="0" w:space="0" w:color="auto"/>
          </w:divBdr>
          <w:divsChild>
            <w:div w:id="1264143912">
              <w:marLeft w:val="0"/>
              <w:marRight w:val="0"/>
              <w:marTop w:val="0"/>
              <w:marBottom w:val="0"/>
              <w:divBdr>
                <w:top w:val="none" w:sz="0" w:space="0" w:color="auto"/>
                <w:left w:val="none" w:sz="0" w:space="0" w:color="auto"/>
                <w:bottom w:val="none" w:sz="0" w:space="0" w:color="auto"/>
                <w:right w:val="none" w:sz="0" w:space="0" w:color="auto"/>
              </w:divBdr>
              <w:divsChild>
                <w:div w:id="15795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830446">
      <w:bodyDiv w:val="1"/>
      <w:marLeft w:val="0"/>
      <w:marRight w:val="0"/>
      <w:marTop w:val="0"/>
      <w:marBottom w:val="0"/>
      <w:divBdr>
        <w:top w:val="none" w:sz="0" w:space="0" w:color="auto"/>
        <w:left w:val="none" w:sz="0" w:space="0" w:color="auto"/>
        <w:bottom w:val="none" w:sz="0" w:space="0" w:color="auto"/>
        <w:right w:val="none" w:sz="0" w:space="0" w:color="auto"/>
      </w:divBdr>
    </w:div>
    <w:div w:id="1706785104">
      <w:bodyDiv w:val="1"/>
      <w:marLeft w:val="0"/>
      <w:marRight w:val="0"/>
      <w:marTop w:val="0"/>
      <w:marBottom w:val="0"/>
      <w:divBdr>
        <w:top w:val="none" w:sz="0" w:space="0" w:color="auto"/>
        <w:left w:val="none" w:sz="0" w:space="0" w:color="auto"/>
        <w:bottom w:val="none" w:sz="0" w:space="0" w:color="auto"/>
        <w:right w:val="none" w:sz="0" w:space="0" w:color="auto"/>
      </w:divBdr>
    </w:div>
    <w:div w:id="1741710312">
      <w:bodyDiv w:val="1"/>
      <w:marLeft w:val="0"/>
      <w:marRight w:val="0"/>
      <w:marTop w:val="0"/>
      <w:marBottom w:val="0"/>
      <w:divBdr>
        <w:top w:val="none" w:sz="0" w:space="0" w:color="auto"/>
        <w:left w:val="none" w:sz="0" w:space="0" w:color="auto"/>
        <w:bottom w:val="none" w:sz="0" w:space="0" w:color="auto"/>
        <w:right w:val="none" w:sz="0" w:space="0" w:color="auto"/>
      </w:divBdr>
    </w:div>
    <w:div w:id="1836411488">
      <w:bodyDiv w:val="1"/>
      <w:marLeft w:val="0"/>
      <w:marRight w:val="0"/>
      <w:marTop w:val="0"/>
      <w:marBottom w:val="0"/>
      <w:divBdr>
        <w:top w:val="none" w:sz="0" w:space="0" w:color="auto"/>
        <w:left w:val="none" w:sz="0" w:space="0" w:color="auto"/>
        <w:bottom w:val="none" w:sz="0" w:space="0" w:color="auto"/>
        <w:right w:val="none" w:sz="0" w:space="0" w:color="auto"/>
      </w:divBdr>
    </w:div>
    <w:div w:id="2089376874">
      <w:bodyDiv w:val="1"/>
      <w:marLeft w:val="0"/>
      <w:marRight w:val="0"/>
      <w:marTop w:val="0"/>
      <w:marBottom w:val="0"/>
      <w:divBdr>
        <w:top w:val="none" w:sz="0" w:space="0" w:color="auto"/>
        <w:left w:val="none" w:sz="0" w:space="0" w:color="auto"/>
        <w:bottom w:val="none" w:sz="0" w:space="0" w:color="auto"/>
        <w:right w:val="none" w:sz="0" w:space="0" w:color="auto"/>
      </w:divBdr>
    </w:div>
    <w:div w:id="213621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about-wipo/en/dgo/speeches/dg_gurry_acceptance_speech_2008.htm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shelley.rowe@canada.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yonah.seleti@dst.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96AC8-F99C-4A6E-B07E-AB732DB4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92</Pages>
  <Words>46722</Words>
  <Characters>266316</Characters>
  <Application>Microsoft Office Word</Application>
  <DocSecurity>0</DocSecurity>
  <Lines>2219</Lines>
  <Paragraphs>624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312414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MORENO PALESTINI Maria Del Pilar</cp:lastModifiedBy>
  <cp:revision>5</cp:revision>
  <cp:lastPrinted>2017-09-19T14:35:00Z</cp:lastPrinted>
  <dcterms:created xsi:type="dcterms:W3CDTF">2017-09-19T14:10:00Z</dcterms:created>
  <dcterms:modified xsi:type="dcterms:W3CDTF">2017-09-19T14:39:00Z</dcterms:modified>
</cp:coreProperties>
</file>