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C930BA"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04.25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C05E73">
              <w:rPr>
                <w:rFonts w:ascii="Arial Black" w:hAnsi="Arial Black"/>
                <w:caps/>
                <w:sz w:val="15"/>
              </w:rPr>
              <w:t>32</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C05E7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F504A">
              <w:rPr>
                <w:rFonts w:ascii="Arial Black" w:hAnsi="Arial Black"/>
                <w:caps/>
                <w:sz w:val="15"/>
              </w:rPr>
              <w:t>October 4</w:t>
            </w:r>
            <w:r w:rsidR="00A63943">
              <w:rPr>
                <w:rFonts w:ascii="Arial Black" w:hAnsi="Arial Black"/>
                <w:caps/>
                <w:sz w:val="15"/>
              </w:rPr>
              <w:t>, 201</w:t>
            </w:r>
            <w:r w:rsidR="00F606D8">
              <w:rPr>
                <w:rFonts w:ascii="Arial Black" w:hAnsi="Arial Black"/>
                <w:caps/>
                <w:sz w:val="15"/>
              </w:rPr>
              <w:t>6</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6758EC" w:rsidP="00A63943">
      <w:pPr>
        <w:rPr>
          <w:b/>
          <w:sz w:val="24"/>
          <w:szCs w:val="24"/>
        </w:rPr>
      </w:pPr>
      <w:r>
        <w:rPr>
          <w:b/>
          <w:sz w:val="24"/>
          <w:szCs w:val="24"/>
        </w:rPr>
        <w:t>Thirty-</w:t>
      </w:r>
      <w:r w:rsidR="00C05E73">
        <w:rPr>
          <w:b/>
          <w:sz w:val="24"/>
          <w:szCs w:val="24"/>
        </w:rPr>
        <w:t>Second</w:t>
      </w:r>
      <w:r w:rsidR="002B50B4" w:rsidRPr="00A63943">
        <w:rPr>
          <w:b/>
          <w:sz w:val="24"/>
          <w:szCs w:val="24"/>
        </w:rPr>
        <w:t xml:space="preserve"> Session</w:t>
      </w:r>
    </w:p>
    <w:p w:rsidR="008B2CC1" w:rsidRPr="008B2CC1" w:rsidRDefault="00A63943" w:rsidP="00A63943">
      <w:r w:rsidRPr="00A63943">
        <w:rPr>
          <w:b/>
          <w:sz w:val="24"/>
          <w:szCs w:val="24"/>
        </w:rPr>
        <w:t xml:space="preserve">Geneva, </w:t>
      </w:r>
      <w:r w:rsidR="00C05E73">
        <w:rPr>
          <w:b/>
          <w:sz w:val="24"/>
          <w:szCs w:val="24"/>
        </w:rPr>
        <w:t>November 28 to December 2</w:t>
      </w:r>
      <w:r w:rsidR="002B50B4">
        <w:rPr>
          <w:b/>
          <w:sz w:val="24"/>
          <w:szCs w:val="24"/>
        </w:rPr>
        <w:t>, 2016</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F504A" w:rsidRDefault="001329AF" w:rsidP="002247F0">
      <w:pPr>
        <w:contextualSpacing/>
        <w:rPr>
          <w:szCs w:val="22"/>
          <w:lang w:eastAsia="en-US"/>
        </w:rPr>
      </w:pPr>
      <w:r>
        <w:rPr>
          <w:szCs w:val="22"/>
          <w:lang w:eastAsia="en-US"/>
        </w:rPr>
        <w:t>2</w:t>
      </w:r>
      <w:r w:rsidR="00931A24" w:rsidRPr="00F05DC0">
        <w:rPr>
          <w:szCs w:val="22"/>
          <w:lang w:eastAsia="en-US"/>
        </w:rPr>
        <w:t>.</w:t>
      </w:r>
      <w:r w:rsidR="00931A24" w:rsidRPr="00F05DC0">
        <w:rPr>
          <w:szCs w:val="22"/>
          <w:lang w:eastAsia="en-US"/>
        </w:rPr>
        <w:tab/>
      </w:r>
      <w:r w:rsidR="00FF504A"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sidR="00FF504A">
        <w:rPr>
          <w:szCs w:val="22"/>
          <w:lang w:eastAsia="en-US"/>
        </w:rPr>
        <w:t>r the next session of the IGC.”</w:t>
      </w:r>
      <w:r w:rsidR="00FF504A">
        <w:rPr>
          <w:rStyle w:val="FootnoteReference"/>
          <w:szCs w:val="22"/>
          <w:lang w:eastAsia="en-US"/>
        </w:rPr>
        <w:footnoteReference w:id="3"/>
      </w:r>
    </w:p>
    <w:p w:rsidR="00FF504A" w:rsidRDefault="00FF504A" w:rsidP="002247F0">
      <w:pPr>
        <w:contextualSpacing/>
        <w:rPr>
          <w:szCs w:val="22"/>
          <w:lang w:eastAsia="en-US"/>
        </w:rPr>
      </w:pPr>
    </w:p>
    <w:p w:rsidR="00F12D49" w:rsidRPr="00F05DC0" w:rsidRDefault="00FF504A" w:rsidP="002247F0">
      <w:pPr>
        <w:contextualSpacing/>
        <w:rPr>
          <w:szCs w:val="22"/>
        </w:rPr>
      </w:pPr>
      <w:r>
        <w:rPr>
          <w:szCs w:val="22"/>
        </w:rPr>
        <w:lastRenderedPageBreak/>
        <w:t>3.</w:t>
      </w:r>
      <w:r>
        <w:rPr>
          <w:szCs w:val="22"/>
        </w:rPr>
        <w:tab/>
        <w:t>Pursuant to that decision, and 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w:t>
      </w:r>
      <w:r w:rsidR="005B0A02">
        <w:rPr>
          <w:szCs w:val="22"/>
        </w:rPr>
        <w:t xml:space="preserve"> </w:t>
      </w:r>
      <w:r w:rsidR="005B0A02" w:rsidRPr="005B0A02">
        <w:rPr>
          <w:szCs w:val="22"/>
        </w:rPr>
        <w:t>updated some of the definitions included therein</w:t>
      </w:r>
      <w:r w:rsidR="00045C15">
        <w:rPr>
          <w:szCs w:val="22"/>
        </w:rPr>
        <w:t xml:space="preserve">.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glossary</w:t>
      </w:r>
      <w:r w:rsidR="00FE3E98">
        <w:rPr>
          <w:szCs w:val="22"/>
        </w:rPr>
        <w:t xml:space="preserve"> </w:t>
      </w:r>
      <w:r w:rsidR="007D5783">
        <w:rPr>
          <w:szCs w:val="22"/>
        </w:rPr>
        <w:t>has been</w:t>
      </w:r>
      <w:bookmarkStart w:id="5" w:name="_GoBack"/>
      <w:bookmarkEnd w:id="5"/>
      <w:r w:rsidR="00FE3E98">
        <w:rPr>
          <w:szCs w:val="22"/>
        </w:rPr>
        <w:t xml:space="preserve"> made available </w:t>
      </w:r>
      <w:r w:rsidR="00DE45E1">
        <w:rPr>
          <w:szCs w:val="22"/>
        </w:rPr>
        <w:t>as an information document for</w:t>
      </w:r>
      <w:r w:rsidR="00FE3E98">
        <w:rPr>
          <w:szCs w:val="22"/>
        </w:rPr>
        <w:t xml:space="preserve"> the previous IGC sessions.  The same glossary</w:t>
      </w:r>
      <w:r w:rsidR="00143933">
        <w:rPr>
          <w:rFonts w:hint="eastAsia"/>
          <w:szCs w:val="22"/>
        </w:rPr>
        <w:t xml:space="preserve">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FF504A" w:rsidP="00931A24">
      <w:pPr>
        <w:rPr>
          <w:szCs w:val="22"/>
        </w:rPr>
      </w:pPr>
      <w:r>
        <w:rPr>
          <w:szCs w:val="22"/>
          <w:lang w:eastAsia="en-US"/>
        </w:rPr>
        <w:t>4</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FF504A" w:rsidP="00F85B40">
      <w:pPr>
        <w:contextualSpacing/>
        <w:rPr>
          <w:szCs w:val="22"/>
        </w:rPr>
      </w:pPr>
      <w:r>
        <w:rPr>
          <w:szCs w:val="22"/>
        </w:rPr>
        <w:t>5</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80090B" w:rsidP="00931A24">
      <w:pPr>
        <w:pStyle w:val="DecisionInvitingPara"/>
        <w:ind w:left="5533"/>
        <w:rPr>
          <w:rFonts w:cs="Arial"/>
          <w:sz w:val="22"/>
          <w:szCs w:val="22"/>
        </w:rPr>
      </w:pPr>
      <w:r>
        <w:rPr>
          <w:rFonts w:cs="Arial"/>
          <w:sz w:val="22"/>
          <w:szCs w:val="22"/>
        </w:rPr>
        <w:t>6</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6"/>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”nanobiotechnology</w:t>
      </w:r>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6"/>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South Asia, for instance, the codified knowledge systems include the Ayurvedic system of medicine, which is codified in the 54 authoritative books of the Ayurvedic System, the Siddha system, as codified in 29 authoritative books, and the Unani Ti</w:t>
      </w:r>
      <w:r w:rsidR="007C611B">
        <w:rPr>
          <w:sz w:val="22"/>
          <w:szCs w:val="22"/>
        </w:rPr>
        <w:t>bb tradition, as codified in 13 </w:t>
      </w:r>
      <w:r w:rsidRPr="007E3B38">
        <w:rPr>
          <w:sz w:val="22"/>
          <w:szCs w:val="22"/>
        </w:rPr>
        <w:t>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(i)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5"/>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r w:rsidRPr="007E3B38">
        <w:rPr>
          <w:snapToGrid w:val="0"/>
          <w:sz w:val="22"/>
          <w:szCs w:val="22"/>
        </w:rPr>
        <w:t>T</w:t>
      </w:r>
      <w:r w:rsidRPr="007E3B38">
        <w:rPr>
          <w:sz w:val="22"/>
          <w:szCs w:val="22"/>
          <w:lang w:val="en"/>
        </w:rPr>
        <w:t xml:space="preserve">he 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6"/>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(i)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(i)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“o</w:t>
      </w:r>
      <w:r w:rsidRPr="007E3B38">
        <w:rPr>
          <w:sz w:val="22"/>
          <w:szCs w:val="22"/>
          <w:lang w:val="en"/>
        </w:rPr>
        <w:t xml:space="preserve">ne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1"/>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2"/>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(i)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centres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protectability,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8"/>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defines the term as “the reproductive or vegetative propagating material of the following categories of plants:  i)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Daes.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fisherfolk,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r w:rsidRPr="007E3B38">
        <w:rPr>
          <w:szCs w:val="22"/>
        </w:rPr>
        <w:t>romote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r w:rsidRPr="007E3B38">
        <w:rPr>
          <w:i/>
          <w:szCs w:val="22"/>
        </w:rPr>
        <w:t>Swakopmund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Self-identification, as well as recognition by other groups, or by state authorities, as a distinct collectivity;</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(i)</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 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“(i)</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nonpatented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 xml:space="preserve">specifically deals with compliance with mutually agreed terms, providing that “1.  In the implementation of Article 6, paragraph 3 (g)(i)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6"/>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new, involve an inventive step and are capable of industrial application.  […] patents shall be </w:t>
      </w:r>
      <w:r w:rsidRPr="007E3B38">
        <w:rPr>
          <w:szCs w:val="22"/>
        </w:rPr>
        <w:lastRenderedPageBreak/>
        <w:t>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diagnosis affecting an individual’s genome the potential risks and benefits should be assessed </w:t>
      </w:r>
      <w:r w:rsidRPr="007E3B38">
        <w:rPr>
          <w:rStyle w:val="longdesc"/>
          <w:szCs w:val="22"/>
        </w:rPr>
        <w:lastRenderedPageBreak/>
        <w:t>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“(i)</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Knowledge, ideas and innovations are in the public domain if there are no legal restrictions of use (varying in different legislations and forming, therefore, different public domains), after expiration of patents (regularly 20 years), in consequence of non renewal,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non formal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Swakopmund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smartTag w:uri="urn:schemas-microsoft-com:office:smarttags" w:element="place">
        <w:smartTag w:uri="urn:schemas-microsoft-com:office:smarttags" w:element="City">
          <w:r w:rsidRPr="007E3B38">
            <w:rPr>
              <w:szCs w:val="22"/>
            </w:rPr>
            <w:t>Swakopmund</w:t>
          </w:r>
        </w:smartTag>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Productions of folk art, in particular, drawings, paintings, carvings, sculptures, pottery, terracotta, mosaic, woodwork, metalware, jewellery,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7E3B38">
        <w:rPr>
          <w:i/>
          <w:szCs w:val="22"/>
        </w:rPr>
        <w:t>stricto sensu</w:t>
      </w:r>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r w:rsidRPr="007E3B38">
        <w:rPr>
          <w:i/>
          <w:szCs w:val="22"/>
        </w:rPr>
        <w:t>lato sensu</w:t>
      </w:r>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r w:rsidRPr="007E3B38">
        <w:rPr>
          <w:i/>
          <w:szCs w:val="22"/>
        </w:rPr>
        <w:t>stricto sensu</w:t>
      </w:r>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favour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interculturality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 xml:space="preserve">(i)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 xml:space="preserve">provides that “[a]ny act of competition contrary to honest practices in industrial or commercial matters constitutes an act of unfair competition”.  Paragraph 3 of Article 10bis further provides that “ [t]he following in particular shall be prohibited:  (i)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r w:rsidRPr="007E3B38">
        <w:rPr>
          <w:bCs/>
          <w:szCs w:val="22"/>
        </w:rPr>
        <w:t xml:space="preserve">i]ndigenous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“[i]n conjunction with indigenous peoples, States shall take effective measures to recognize and protect the exercise of these rights.”  On traditional medicine, Article 24 provides that “</w:t>
      </w:r>
      <w:r w:rsidRPr="007E3B38">
        <w:rPr>
          <w:iCs/>
          <w:szCs w:val="22"/>
        </w:rPr>
        <w:t>[i]ndigenous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 xml:space="preserve">as “[b]elong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E73" w:rsidRDefault="00C05E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E73" w:rsidRDefault="00C05E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E73" w:rsidRDefault="00C05E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 w:id="2">
    <w:p w:rsidR="007C611B" w:rsidRPr="00420EF9" w:rsidRDefault="007C611B"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 xml:space="preserve">. </w:t>
      </w:r>
    </w:p>
  </w:footnote>
  <w:footnote w:id="3">
    <w:p w:rsidR="00FF504A" w:rsidRDefault="00FF504A">
      <w:pPr>
        <w:pStyle w:val="FootnoteText"/>
      </w:pPr>
      <w:r>
        <w:rPr>
          <w:rStyle w:val="FootnoteReference"/>
        </w:rPr>
        <w:footnoteRef/>
      </w:r>
      <w:r>
        <w:t xml:space="preserve"> </w:t>
      </w:r>
      <w:r>
        <w:tab/>
      </w:r>
      <w:r w:rsidRPr="00FF504A">
        <w:t>Report of the Nineteenth Session of the Committee (WIPO/GRTKF/IC/19/12).</w:t>
      </w:r>
    </w:p>
  </w:footnote>
  <w:footnote w:id="4">
    <w:p w:rsidR="007C611B" w:rsidRPr="00A94A92" w:rsidRDefault="007C611B"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r w:rsidRPr="00420EF9">
        <w:rPr>
          <w:szCs w:val="18"/>
        </w:rPr>
        <w:t>Nagoya Protocol on Access to Genetic Resources and the Fair and Equitable Sharing of Benefits Arising from their Utilization to the Convention on Biological Diversity, Art. 5(4).</w:t>
      </w:r>
    </w:p>
  </w:footnote>
  <w:footnote w:id="5">
    <w:p w:rsidR="007C611B" w:rsidRPr="00420EF9" w:rsidRDefault="007C611B"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7C611B" w:rsidRPr="00420EF9" w:rsidRDefault="007C611B"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7C611B" w:rsidRPr="00420EF9" w:rsidRDefault="007C611B"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Report of the Seventeenth Session of the Committee (WIPO/GRTKF/IC/17/12)</w:t>
      </w:r>
      <w:r>
        <w:rPr>
          <w:szCs w:val="18"/>
        </w:rPr>
        <w:t>.</w:t>
      </w:r>
    </w:p>
  </w:footnote>
  <w:footnote w:id="10">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7C611B" w:rsidRPr="00420EF9" w:rsidRDefault="007C611B"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t>Article 3.1 of the Directive 98/44/EC of the European Parliament and of the Council of 6 July, 1998 on the legal protection of biotechnological inventions</w:t>
      </w:r>
      <w:r>
        <w:rPr>
          <w:szCs w:val="18"/>
        </w:rPr>
        <w:t>.</w:t>
      </w:r>
    </w:p>
  </w:footnote>
  <w:footnote w:id="13">
    <w:p w:rsidR="007C611B" w:rsidRPr="00420EF9" w:rsidRDefault="007C611B"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4">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7C611B" w:rsidRPr="00966E9B"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7C611B" w:rsidRPr="00420EF9" w:rsidRDefault="007C611B"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7C611B" w:rsidRPr="00420EF9"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7C611B" w:rsidRPr="00420EF9" w:rsidRDefault="007C611B"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7C611B"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7C611B" w:rsidRPr="00420EF9" w:rsidRDefault="007C611B" w:rsidP="000B42B0">
      <w:pPr>
        <w:pStyle w:val="FootnoteText"/>
        <w:ind w:left="1117" w:hanging="550"/>
        <w:rPr>
          <w:szCs w:val="18"/>
        </w:rPr>
      </w:pPr>
      <w:r w:rsidRPr="00930CA3">
        <w:rPr>
          <w:szCs w:val="18"/>
          <w:lang w:val="es-ES"/>
        </w:rPr>
        <w:t xml:space="preserve">(WIPO/GRTKF/IC/17/INF/9), para. </w:t>
      </w:r>
      <w:r w:rsidRPr="00420EF9">
        <w:rPr>
          <w:szCs w:val="18"/>
        </w:rPr>
        <w:t>16 of Annex</w:t>
      </w:r>
      <w:r>
        <w:rPr>
          <w:szCs w:val="18"/>
        </w:rPr>
        <w:t>.</w:t>
      </w:r>
    </w:p>
  </w:footnote>
  <w:footnote w:id="21">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2">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ifies the authoritative books of the Ayurvedi</w:t>
      </w:r>
      <w:smartTag w:uri="urn:schemas-microsoft-com:office:smarttags" w:element="PersonName">
        <w:r w:rsidRPr="00420EF9">
          <w:rPr>
            <w:szCs w:val="18"/>
          </w:rPr>
          <w:t>c</w:t>
        </w:r>
      </w:smartTag>
      <w:smartTag w:uri="urn:schemas-microsoft-com:office:smarttags" w:element="PersonName">
        <w:r w:rsidRPr="00420EF9">
          <w:rPr>
            <w:szCs w:val="18"/>
          </w:rPr>
          <w:t>,</w:t>
        </w:r>
      </w:smartTag>
      <w:r w:rsidRPr="00420EF9">
        <w:rPr>
          <w:szCs w:val="18"/>
        </w:rPr>
        <w:t xml:space="preserve"> Siddha and Unani Tibb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Togi Hutadjulu</w:t>
      </w:r>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Intervention of the Delegation of Canada, Report of the Second Session (WIPO/GRTKF/IC/2/16), para. 131</w:t>
      </w:r>
      <w:r>
        <w:rPr>
          <w:szCs w:val="18"/>
        </w:rPr>
        <w:t>.</w:t>
      </w:r>
    </w:p>
  </w:footnote>
  <w:footnote w:id="25">
    <w:p w:rsidR="007C611B" w:rsidRPr="00D41EAD" w:rsidRDefault="007C611B"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7C611B" w:rsidRPr="00420EF9" w:rsidRDefault="007C611B"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7C611B" w:rsidRPr="00BD225A" w:rsidRDefault="007C611B"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Convention on the Protection and Promotion of the Diversity of Cultural Expressions</w:t>
      </w:r>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
  </w:footnote>
  <w:footnote w:id="28">
    <w:p w:rsidR="007C611B" w:rsidRPr="00BD225A" w:rsidRDefault="007C611B"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Convention on the Protection and Promotion of the Diversity of Cultural Expressions</w:t>
      </w:r>
      <w:r w:rsidRPr="00BD225A">
        <w:rPr>
          <w:szCs w:val="18"/>
          <w:lang w:val="es-ES"/>
        </w:rPr>
        <w:t>,</w:t>
      </w:r>
      <w:r w:rsidRPr="00BD225A">
        <w:rPr>
          <w:rStyle w:val="FootnoteReference"/>
          <w:szCs w:val="18"/>
          <w:vertAlign w:val="baseline"/>
          <w:lang w:val="es-ES"/>
        </w:rPr>
        <w:t xml:space="preserve"> 2005</w:t>
      </w:r>
      <w:r w:rsidRPr="00BD225A">
        <w:rPr>
          <w:szCs w:val="18"/>
          <w:lang w:val="es-ES"/>
        </w:rPr>
        <w:t>.</w:t>
      </w:r>
    </w:p>
  </w:footnote>
  <w:footnote w:id="29">
    <w:p w:rsidR="007C611B" w:rsidRPr="0002073E" w:rsidRDefault="007C611B"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available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ILO Convention 169 Concerning Indigenous and Tribal Peoples in Independent Countries, 1989, </w:t>
      </w:r>
      <w:r w:rsidRPr="00420EF9">
        <w:rPr>
          <w:szCs w:val="18"/>
        </w:rPr>
        <w:br/>
        <w:t>Art. 2(2)(b).</w:t>
      </w:r>
    </w:p>
  </w:footnote>
  <w:footnote w:id="31">
    <w:p w:rsidR="007C611B" w:rsidRPr="00420EF9" w:rsidRDefault="007C611B"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r w:rsidRPr="00420EF9">
        <w:rPr>
          <w:rStyle w:val="FootnoteTextChar"/>
          <w:sz w:val="18"/>
          <w:szCs w:val="18"/>
        </w:rPr>
        <w:t>Model Provisions for National Laws on the Protection of Expressions of Folklore against Illicit Exploitation and Other Prejudicial Actions, 1982, Part III, para. 42.</w:t>
      </w:r>
    </w:p>
  </w:footnote>
  <w:footnote w:id="32">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7C611B" w:rsidRPr="00420EF9" w:rsidRDefault="007C611B"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 xml:space="preserve">. </w:t>
      </w:r>
    </w:p>
  </w:footnote>
  <w:footnote w:id="34">
    <w:p w:rsidR="007C611B" w:rsidRPr="00420EF9" w:rsidRDefault="007C611B"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Paul Kuruk,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p. 6, quoting, in part, Paris, 15 June 1982, Gazette du Palais, 1982.2, Summary, p. 378, or Paris, 25 April 1978, Gazette du Palais, 1978.2, p. 448.</w:t>
      </w:r>
    </w:p>
  </w:footnote>
  <w:footnote w:id="35">
    <w:p w:rsidR="007C611B" w:rsidRPr="00420EF9" w:rsidRDefault="007C611B"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7C611B" w:rsidRPr="00420EF9" w:rsidRDefault="007C611B"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7C611B" w:rsidRPr="00420EF9" w:rsidRDefault="007C611B"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7C611B" w:rsidRPr="00BD225A" w:rsidRDefault="007C611B"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7C611B" w:rsidRPr="00420EF9" w:rsidRDefault="007C611B"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Ricketson</w:t>
      </w:r>
      <w:r w:rsidRPr="00BD225A">
        <w:rPr>
          <w:szCs w:val="18"/>
        </w:rPr>
        <w:t xml:space="preserve"> and</w:t>
      </w:r>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7C611B" w:rsidRPr="00BD225A" w:rsidRDefault="007C611B"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szCs w:val="18"/>
        </w:rPr>
        <w:t xml:space="preserve">Pacific </w:t>
      </w:r>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7C611B" w:rsidRPr="00BD225A" w:rsidRDefault="007C611B"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Sam Ricketson</w:t>
      </w:r>
      <w:r w:rsidRPr="00BD225A">
        <w:rPr>
          <w:szCs w:val="18"/>
        </w:rPr>
        <w:t xml:space="preserve"> and</w:t>
      </w:r>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7C611B" w:rsidRPr="00420EF9" w:rsidRDefault="007C611B"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4 of Annex. </w:t>
      </w:r>
    </w:p>
  </w:footnote>
  <w:footnote w:id="45">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Ricketson</w:t>
      </w:r>
      <w:r w:rsidRPr="00BD225A">
        <w:rPr>
          <w:szCs w:val="18"/>
        </w:rPr>
        <w:t xml:space="preserve"> and</w:t>
      </w:r>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document WIPO/GA/32/8, Annex, p. 32</w:t>
      </w:r>
      <w:r>
        <w:rPr>
          <w:szCs w:val="18"/>
        </w:rPr>
        <w:t>.</w:t>
      </w:r>
    </w:p>
  </w:footnote>
  <w:footnote w:id="48">
    <w:p w:rsidR="007C611B" w:rsidRPr="00BD225A"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Document WIPO/GRTKF/IC/17/10, p. 2 of the Annex</w:t>
      </w:r>
      <w:r>
        <w:rPr>
          <w:szCs w:val="18"/>
        </w:rPr>
        <w:t>.</w:t>
      </w:r>
    </w:p>
  </w:footnote>
  <w:footnote w:id="54">
    <w:p w:rsidR="007C611B" w:rsidRPr="009A0842" w:rsidRDefault="007C611B"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Document WIPO/GRTKF/IC/9/13 (Alternative Proposal)</w:t>
      </w:r>
      <w:r>
        <w:rPr>
          <w:szCs w:val="18"/>
        </w:rPr>
        <w:t>.</w:t>
      </w:r>
    </w:p>
  </w:footnote>
  <w:footnote w:id="56">
    <w:p w:rsidR="007C611B" w:rsidRPr="00420EF9" w:rsidRDefault="007C611B"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
  </w:footnote>
  <w:footnote w:id="57">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Summary and Introduction to the Toolkit for Managing Intellectual Property when Documenting Traditional Knowledge and Genetic Resources, document WIPO/GRTKF/IC/5/5.</w:t>
      </w:r>
    </w:p>
  </w:footnote>
  <w:footnote w:id="5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7C611B" w:rsidRPr="00BD225A" w:rsidRDefault="007C611B"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Sirinelli</w:t>
      </w:r>
      <w:smartTag w:uri="urn:schemas-microsoft-com:office:smarttags" w:element="PersonName">
        <w:r w:rsidRPr="00BD225A">
          <w:rPr>
            <w:bCs/>
            <w:szCs w:val="18"/>
          </w:rPr>
          <w:t>,</w:t>
        </w:r>
      </w:smartTag>
      <w:r w:rsidRPr="00BD225A">
        <w:rPr>
          <w:bCs/>
          <w:szCs w:val="18"/>
        </w:rPr>
        <w:t xml:space="preserve"> </w:t>
      </w:r>
    </w:p>
    <w:p w:rsidR="007C611B" w:rsidRPr="00BD225A" w:rsidRDefault="007C611B"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 xml:space="preserve">1999, </w:t>
      </w:r>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r w:rsidRPr="00BD225A">
        <w:rPr>
          <w:rStyle w:val="FootnoteReference"/>
          <w:szCs w:val="18"/>
          <w:vertAlign w:val="baseline"/>
          <w:lang w:val="es-ES_tradnl"/>
        </w:rPr>
        <w:t>Model Provisions for National Laws on the Protection of Expressions of Folklore against Illicit Exploitation and Other Prejudicial Actions</w:t>
      </w:r>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r w:rsidRPr="00BD225A">
        <w:rPr>
          <w:i/>
          <w:szCs w:val="18"/>
          <w:lang w:val="es-ES"/>
        </w:rPr>
        <w:t xml:space="preserve">, </w:t>
      </w:r>
      <w:r w:rsidRPr="00BD225A">
        <w:rPr>
          <w:szCs w:val="18"/>
          <w:lang w:val="es-ES"/>
        </w:rPr>
        <w:t>para. 37.</w:t>
      </w:r>
    </w:p>
  </w:footnote>
  <w:footnote w:id="64">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r w:rsidRPr="00BD225A">
        <w:rPr>
          <w:szCs w:val="18"/>
          <w:lang w:val="es-ES"/>
        </w:rPr>
        <w:t xml:space="preserve">ion </w:t>
      </w:r>
      <w:r w:rsidRPr="00BD225A">
        <w:rPr>
          <w:rStyle w:val="FootnoteReference"/>
          <w:szCs w:val="18"/>
          <w:vertAlign w:val="baseline"/>
          <w:lang w:val="es-ES"/>
        </w:rPr>
        <w:t>2</w:t>
      </w:r>
      <w:r w:rsidRPr="00BD225A">
        <w:rPr>
          <w:szCs w:val="18"/>
          <w:lang w:val="es-ES"/>
        </w:rPr>
        <w:t>.</w:t>
      </w:r>
    </w:p>
  </w:footnote>
  <w:footnote w:id="65">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szCs w:val="18"/>
          <w:lang w:val="es-ES"/>
        </w:rPr>
        <w:t>, p. 289.</w:t>
      </w:r>
    </w:p>
  </w:footnote>
  <w:footnote w:id="66">
    <w:p w:rsidR="007C611B" w:rsidRPr="00BD225A" w:rsidRDefault="007C611B"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rStyle w:val="FootnoteReference"/>
          <w:szCs w:val="18"/>
          <w:vertAlign w:val="baseline"/>
          <w:lang w:val="nl-NL"/>
        </w:rPr>
        <w:t>, p. 290</w:t>
      </w:r>
      <w:r w:rsidRPr="00BD225A">
        <w:rPr>
          <w:szCs w:val="18"/>
          <w:lang w:val="nl-NL"/>
        </w:rPr>
        <w:t>.</w:t>
      </w:r>
    </w:p>
  </w:footnote>
  <w:footnote w:id="67">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7C611B" w:rsidRPr="00420EF9" w:rsidRDefault="007C611B"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Terri Janke</w:t>
        </w:r>
      </w:smartTag>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of the Seventeenth Session of the Committee (WIPO/GRTKF/IC/17/12), para. 50.</w:t>
      </w:r>
    </w:p>
  </w:footnote>
  <w:footnote w:id="70">
    <w:p w:rsidR="007C611B" w:rsidRPr="00772BA5"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
  </w:footnote>
  <w:footnote w:id="71">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r w:rsidRPr="00BD225A">
        <w:rPr>
          <w:i/>
          <w:szCs w:val="18"/>
        </w:rPr>
        <w:t>See</w:t>
      </w:r>
      <w:r w:rsidRPr="00BD225A">
        <w:rPr>
          <w:szCs w:val="18"/>
        </w:rPr>
        <w:t xml:space="preserve"> </w:t>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7C611B" w:rsidRPr="00420EF9" w:rsidRDefault="007C611B"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Yozo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retariat of the Permanent Forum on Indigenous Issues for the Expert Workshop on the Dissaggregation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7C611B" w:rsidRPr="00420EF9" w:rsidRDefault="007C611B"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41 of Annex.</w:t>
      </w:r>
    </w:p>
  </w:footnote>
  <w:footnote w:id="78">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7C611B" w:rsidRPr="00C82BBD"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Henriksen: Key Principles in Implementing ILO Convention No. 169, 2008.</w:t>
      </w:r>
      <w:r w:rsidRPr="00BD225A">
        <w:rPr>
          <w:szCs w:val="18"/>
        </w:rPr>
        <w:t xml:space="preserve"> </w:t>
      </w:r>
    </w:p>
  </w:footnote>
  <w:footnote w:id="81">
    <w:p w:rsidR="007C611B" w:rsidRPr="00420EF9" w:rsidRDefault="007C611B"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International Labour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420EF9">
        <w:rPr>
          <w:iCs/>
          <w:szCs w:val="18"/>
          <w:lang w:val="en-GB"/>
        </w:rPr>
        <w:t>http://www.ifad.org/english/indigenous/documents/ip_policy_e.pdf</w:t>
      </w:r>
      <w:r>
        <w:rPr>
          <w:iCs/>
          <w:szCs w:val="18"/>
          <w:lang w:val="en-GB"/>
        </w:rPr>
        <w:t>.</w:t>
      </w:r>
    </w:p>
  </w:footnote>
  <w:footnote w:id="83">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iCs/>
          <w:szCs w:val="18"/>
          <w:lang w:val="en-GB"/>
        </w:rPr>
        <w:t>http://www.hreoc.gov.au/social_justice/conference/engaging_communities/unpan021101.pdf</w:t>
      </w:r>
      <w:r>
        <w:rPr>
          <w:iCs/>
          <w:szCs w:val="18"/>
          <w:lang w:val="en-GB"/>
        </w:rPr>
        <w:t>.</w:t>
      </w:r>
    </w:p>
  </w:footnote>
  <w:footnote w:id="84">
    <w:p w:rsidR="007C611B" w:rsidRPr="00420EF9" w:rsidRDefault="007C611B"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7C611B" w:rsidRPr="009A2EAC" w:rsidRDefault="007C611B"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7C611B" w:rsidRPr="009A2EAC"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Sam Ricketson</w:t>
      </w:r>
      <w:r w:rsidRPr="009A2EAC">
        <w:rPr>
          <w:szCs w:val="18"/>
        </w:rPr>
        <w:t xml:space="preserve"> and</w:t>
      </w:r>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8">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7C611B" w:rsidRPr="00420EF9" w:rsidRDefault="007C611B"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7C611B" w:rsidRPr="00BD225A" w:rsidRDefault="007C611B"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7C611B" w:rsidRPr="00420EF9" w:rsidRDefault="007C611B" w:rsidP="00C33191">
      <w:pPr>
        <w:pStyle w:val="FootnoteText"/>
        <w:ind w:left="499" w:hanging="499"/>
        <w:rPr>
          <w:szCs w:val="18"/>
        </w:rPr>
      </w:pPr>
      <w:r w:rsidRPr="00BD225A">
        <w:rPr>
          <w:rStyle w:val="FootnoteReference"/>
          <w:szCs w:val="18"/>
        </w:rPr>
        <w:footnoteRef/>
      </w:r>
      <w:r w:rsidRPr="00420EF9">
        <w:rPr>
          <w:szCs w:val="18"/>
        </w:rPr>
        <w:tab/>
      </w:r>
      <w:r w:rsidRPr="00114C4C">
        <w:rPr>
          <w:i/>
          <w:szCs w:val="18"/>
        </w:rPr>
        <w:t>Id</w:t>
      </w:r>
      <w:r w:rsidRPr="00420EF9">
        <w:rPr>
          <w:szCs w:val="18"/>
        </w:rPr>
        <w:t>, page 4 of Annex</w:t>
      </w:r>
      <w:r>
        <w:rPr>
          <w:szCs w:val="18"/>
        </w:rPr>
        <w:t>.</w:t>
      </w:r>
    </w:p>
  </w:footnote>
  <w:footnote w:id="93">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PATENTSCOPE Glossary</w:t>
      </w:r>
      <w:r>
        <w:rPr>
          <w:szCs w:val="18"/>
        </w:rPr>
        <w:t>.</w:t>
      </w:r>
    </w:p>
  </w:footnote>
  <w:footnote w:id="95">
    <w:p w:rsidR="007C611B" w:rsidRPr="004C606B"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7C611B" w:rsidRPr="004C606B" w:rsidRDefault="007C611B"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7C611B" w:rsidRPr="004C606B" w:rsidRDefault="007C611B"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r w:rsidRPr="004C606B">
        <w:rPr>
          <w:bCs/>
          <w:szCs w:val="18"/>
        </w:rPr>
        <w:t>t</w:t>
      </w:r>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study prepared by Pierre Sirinelli</w:t>
      </w:r>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7C611B" w:rsidRPr="004C606B" w:rsidRDefault="007C611B"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website</w:t>
      </w:r>
      <w:r w:rsidRPr="004C606B">
        <w:rPr>
          <w:rStyle w:val="FootnoteReference"/>
          <w:szCs w:val="18"/>
          <w:vertAlign w:val="baseline"/>
        </w:rPr>
        <w:t>, http://www.wipo.int/copyright/en/limitations/index.html</w:t>
      </w:r>
      <w:r w:rsidRPr="004C606B">
        <w:rPr>
          <w:szCs w:val="18"/>
        </w:rPr>
        <w:t>.</w:t>
      </w:r>
    </w:p>
  </w:footnote>
  <w:footnote w:id="99">
    <w:p w:rsidR="007C611B" w:rsidRPr="004C606B"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7C611B" w:rsidRPr="00BD225A"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7C611B" w:rsidRPr="00420EF9" w:rsidRDefault="007C611B"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Para IX-2.1, PCT International Search Guidelines (as in force from 18 September 1998)</w:t>
      </w:r>
      <w:r>
        <w:rPr>
          <w:szCs w:val="18"/>
        </w:rPr>
        <w:t>.</w:t>
      </w:r>
    </w:p>
  </w:footnote>
  <w:footnote w:id="107">
    <w:p w:rsidR="007C611B" w:rsidRPr="00420EF9" w:rsidRDefault="007C611B"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7C611B" w:rsidRPr="00420EF9" w:rsidRDefault="007C611B"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7C611B" w:rsidRPr="00BD225A" w:rsidRDefault="007C611B"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6">
    <w:p w:rsidR="007C611B" w:rsidRPr="00BD225A" w:rsidRDefault="007C611B"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7C611B" w:rsidRPr="00BD225A" w:rsidRDefault="007C611B"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7C611B" w:rsidRPr="00420EF9" w:rsidRDefault="007C611B"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PATENTSCOPE Glossary</w:t>
      </w:r>
      <w:r>
        <w:rPr>
          <w:szCs w:val="18"/>
        </w:rPr>
        <w:t>.</w:t>
      </w:r>
    </w:p>
  </w:footnote>
  <w:footnote w:id="121">
    <w:p w:rsidR="007C611B" w:rsidRPr="00420EF9" w:rsidRDefault="007C611B"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316BB8">
      <w:pPr>
        <w:pStyle w:val="FootnoteText"/>
        <w:ind w:left="550"/>
        <w:rPr>
          <w:szCs w:val="18"/>
        </w:rPr>
      </w:pPr>
      <w:r w:rsidRPr="00420EF9">
        <w:rPr>
          <w:szCs w:val="18"/>
        </w:rPr>
        <w:t>para. 37.</w:t>
      </w:r>
    </w:p>
  </w:footnote>
  <w:footnote w:id="122">
    <w:p w:rsidR="007C611B" w:rsidRPr="00BD225A" w:rsidRDefault="007C611B"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 xml:space="preserve">tion of Traditional Knowledge: Draft Gap Analysis: Revision, </w:t>
      </w:r>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Xanthaki, </w:t>
      </w:r>
      <w:r w:rsidRPr="00BD225A">
        <w:rPr>
          <w:szCs w:val="18"/>
        </w:rPr>
        <w:t>“</w:t>
      </w:r>
      <w:r w:rsidRPr="00BD225A">
        <w:rPr>
          <w:rStyle w:val="FootnoteReference"/>
          <w:szCs w:val="18"/>
          <w:vertAlign w:val="baseline"/>
        </w:rPr>
        <w:t>Reflections on the UN Declaration on the Rights of Indigenous Peoples</w:t>
      </w:r>
      <w:r w:rsidRPr="00BD225A">
        <w:rPr>
          <w:szCs w:val="18"/>
        </w:rPr>
        <w:t xml:space="preserve">”, </w:t>
      </w:r>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CF0EF8">
      <w:pPr>
        <w:pStyle w:val="FootnoteText"/>
        <w:ind w:left="499"/>
        <w:rPr>
          <w:szCs w:val="18"/>
          <w:lang w:val="es-ES"/>
        </w:rPr>
      </w:pPr>
      <w:r w:rsidRPr="00420EF9">
        <w:rPr>
          <w:szCs w:val="18"/>
          <w:lang w:val="es-ES"/>
        </w:rPr>
        <w:t>para. 20.</w:t>
      </w:r>
    </w:p>
  </w:footnote>
  <w:footnote w:id="128">
    <w:p w:rsidR="007C611B" w:rsidRPr="00420EF9" w:rsidRDefault="007C611B"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420EF9">
        <w:rPr>
          <w:i/>
          <w:szCs w:val="18"/>
        </w:rPr>
        <w:t>Id</w:t>
      </w:r>
      <w:r w:rsidRPr="00420EF9">
        <w:rPr>
          <w:szCs w:val="18"/>
        </w:rPr>
        <w:t>, para. 28.</w:t>
      </w:r>
    </w:p>
  </w:footnote>
  <w:footnote w:id="13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7C611B" w:rsidRPr="00420EF9" w:rsidRDefault="007C611B"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Guide to the Copyright and Related Rights Treaties by WIPO and Glossary of Copyright and Related Rights Terms</w:t>
      </w:r>
      <w:r>
        <w:rPr>
          <w:szCs w:val="18"/>
        </w:rPr>
        <w:t>.</w:t>
      </w:r>
    </w:p>
  </w:footnote>
  <w:footnote w:id="13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7C611B" w:rsidRPr="00420EF9" w:rsidRDefault="007C611B"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Sam Ricketson</w:t>
      </w:r>
      <w:r w:rsidRPr="004E73B1">
        <w:rPr>
          <w:szCs w:val="18"/>
        </w:rPr>
        <w:t xml:space="preserve"> and</w:t>
      </w:r>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Statement by the Delegation of New Zealand during the eleventh session of the Committee.  See Adopted Report of the Eleventh Session (WIPO/GRTKF/IC/11/15), paragraph 220</w:t>
      </w:r>
      <w:r>
        <w:rPr>
          <w:szCs w:val="18"/>
        </w:rPr>
        <w:t>.</w:t>
      </w:r>
    </w:p>
  </w:footnote>
  <w:footnote w:id="14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Statement by the Delegation of Japan during the eleventh session of the Committee.  See Adopted Report of the Eleventh Session (WIPO/GRTKF/IC/11/15), paragraph 296</w:t>
      </w:r>
      <w:r>
        <w:rPr>
          <w:szCs w:val="18"/>
        </w:rPr>
        <w:t>.</w:t>
      </w:r>
    </w:p>
  </w:footnote>
  <w:footnote w:id="14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7C611B" w:rsidRPr="00420EF9" w:rsidRDefault="007C611B" w:rsidP="00CF0EF8">
      <w:pPr>
        <w:pStyle w:val="FootnoteText"/>
        <w:ind w:left="499"/>
        <w:rPr>
          <w:szCs w:val="18"/>
        </w:rPr>
      </w:pPr>
      <w:r w:rsidRPr="00420EF9">
        <w:rPr>
          <w:szCs w:val="18"/>
        </w:rPr>
        <w:t>p. 23 of Annex I, pages 11 and 16 of Annex II</w:t>
      </w:r>
      <w:r>
        <w:rPr>
          <w:szCs w:val="18"/>
        </w:rPr>
        <w:t>.</w:t>
      </w:r>
    </w:p>
  </w:footnote>
  <w:footnote w:id="150">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Nino Pires de Carvalho, From the Shaman’s Hut to the Patent Offi</w:t>
      </w:r>
      <w:smartTag w:uri="urn:schemas-microsoft-com:office:smarttags" w:element="PersonName">
        <w:r w:rsidRPr="00420EF9">
          <w:rPr>
            <w:szCs w:val="18"/>
          </w:rPr>
          <w:t>c</w:t>
        </w:r>
      </w:smartTag>
      <w:r w:rsidRPr="00420EF9">
        <w:rPr>
          <w:szCs w:val="18"/>
        </w:rPr>
        <w:t>e: A Road Under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sidR="00F902F6">
        <w:rPr>
          <w:szCs w:val="18"/>
        </w:rPr>
        <w:t xml:space="preserve"> WIPO/GRTKF/IC/5/3, para. </w:t>
      </w:r>
      <w:r w:rsidRPr="00420EF9">
        <w:rPr>
          <w:szCs w:val="18"/>
        </w:rPr>
        <w:t>53</w:t>
      </w:r>
      <w:r>
        <w:rPr>
          <w:szCs w:val="18"/>
        </w:rPr>
        <w:t>.</w:t>
      </w:r>
    </w:p>
  </w:footnote>
  <w:footnote w:id="160">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Elements of a Sui Generis System for the Protection of Traditional Knowledge (WIPO/GRTKF/IC/4/8), para. 27</w:t>
      </w:r>
      <w:r>
        <w:rPr>
          <w:szCs w:val="18"/>
        </w:rPr>
        <w:t>.</w:t>
      </w:r>
    </w:p>
  </w:footnote>
  <w:footnote w:id="16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r w:rsidRPr="00420EF9">
        <w:rPr>
          <w:szCs w:val="18"/>
        </w:rPr>
        <w:t>para. 54</w:t>
      </w:r>
      <w:r>
        <w:rPr>
          <w:szCs w:val="18"/>
        </w:rPr>
        <w:t>.</w:t>
      </w:r>
    </w:p>
  </w:footnote>
  <w:footnote w:id="16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Fikret Berkes</w:t>
      </w:r>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epts and Cases.  International Program on Traditional Ecological Knowledge and International Development Research Centre, Ottawa</w:t>
      </w:r>
      <w:r>
        <w:rPr>
          <w:szCs w:val="18"/>
        </w:rPr>
        <w:t>.</w:t>
      </w:r>
    </w:p>
  </w:footnote>
  <w:footnote w:id="16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7C611B" w:rsidRPr="00420EF9" w:rsidRDefault="007C611B"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r w:rsidRPr="00420EF9">
        <w:rPr>
          <w:szCs w:val="18"/>
        </w:rPr>
        <w:t>paras. 43 and 44 of Annex</w:t>
      </w:r>
      <w:r>
        <w:rPr>
          <w:szCs w:val="18"/>
        </w:rPr>
        <w:t>.</w:t>
      </w:r>
    </w:p>
  </w:footnote>
  <w:footnote w:id="17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7C611B" w:rsidRPr="00420EF9" w:rsidRDefault="007C611B"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7C611B" w:rsidRPr="00420EF9" w:rsidRDefault="007C611B"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r w:rsidRPr="00420EF9">
        <w:rPr>
          <w:szCs w:val="18"/>
        </w:rPr>
        <w:t>para. 57</w:t>
      </w:r>
      <w:r>
        <w:rPr>
          <w:szCs w:val="18"/>
        </w:rPr>
        <w:t>.</w:t>
      </w:r>
    </w:p>
  </w:footnote>
  <w:footnote w:id="178">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 p.</w:t>
      </w:r>
      <w:r w:rsidRPr="004E73B1">
        <w:rPr>
          <w:rStyle w:val="FootnoteReference"/>
          <w:szCs w:val="18"/>
          <w:vertAlign w:val="baseline"/>
        </w:rPr>
        <w:t xml:space="preserve"> 132</w:t>
      </w:r>
      <w:r w:rsidRPr="004E73B1">
        <w:rPr>
          <w:szCs w:val="18"/>
        </w:rPr>
        <w:t>.</w:t>
      </w:r>
    </w:p>
  </w:footnote>
  <w:footnote w:id="179">
    <w:p w:rsidR="007C611B" w:rsidRPr="00D352A1" w:rsidRDefault="007C611B"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E73" w:rsidRDefault="00C05E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B64E92">
    <w:pPr>
      <w:pStyle w:val="Header"/>
      <w:jc w:val="right"/>
    </w:pPr>
    <w:r>
      <w:t>WIPO/GRTKF/IC/</w:t>
    </w:r>
    <w:r w:rsidR="00C05E73">
      <w:t>32</w:t>
    </w:r>
    <w:r>
      <w:t>/INF/7</w:t>
    </w:r>
  </w:p>
  <w:p w:rsidR="007C611B" w:rsidRDefault="007C611B" w:rsidP="00743012">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C930BA">
      <w:rPr>
        <w:rStyle w:val="PageNumber"/>
        <w:noProof/>
      </w:rPr>
      <w:t>2</w:t>
    </w:r>
    <w:r>
      <w:rPr>
        <w:rStyle w:val="PageNumber"/>
      </w:rPr>
      <w:fldChar w:fldCharType="end"/>
    </w:r>
  </w:p>
  <w:p w:rsidR="007C611B" w:rsidRDefault="007C611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E73" w:rsidRDefault="00C05E7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C05E73">
      <w:t>32</w:t>
    </w:r>
    <w:r>
      <w:t>/INF/7</w:t>
    </w:r>
  </w:p>
  <w:p w:rsidR="007C611B" w:rsidRDefault="007C611B"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C930BA">
      <w:rPr>
        <w:rStyle w:val="PageNumber"/>
        <w:noProof/>
      </w:rPr>
      <w:t>32</w:t>
    </w:r>
    <w:r>
      <w:rPr>
        <w:rStyle w:val="PageNumber"/>
      </w:rPr>
      <w:fldChar w:fldCharType="end"/>
    </w:r>
  </w:p>
  <w:p w:rsidR="007C611B" w:rsidRDefault="007C611B" w:rsidP="0074301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C05E73">
      <w:t>32</w:t>
    </w:r>
    <w:r>
      <w:t>/INF/7</w:t>
    </w:r>
  </w:p>
  <w:p w:rsidR="007C611B" w:rsidRDefault="007C611B" w:rsidP="006B30AB">
    <w:pPr>
      <w:pStyle w:val="Header"/>
      <w:jc w:val="right"/>
    </w:pPr>
    <w:r>
      <w:t>ANNEX</w:t>
    </w:r>
  </w:p>
  <w:p w:rsidR="007C611B" w:rsidRDefault="007C611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0F7B6D"/>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0A02"/>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58EC"/>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467BE"/>
    <w:rsid w:val="007500FD"/>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E3B38"/>
    <w:rsid w:val="007E6998"/>
    <w:rsid w:val="007F0D9F"/>
    <w:rsid w:val="007F3282"/>
    <w:rsid w:val="007F3C50"/>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455DF"/>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45E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266C2-683B-4A61-8392-9112C71F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48</Pages>
  <Words>20911</Words>
  <Characters>123234</Characters>
  <Application>Microsoft Office Word</Application>
  <DocSecurity>0</DocSecurity>
  <Lines>1026</Lines>
  <Paragraphs>287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143858</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VENERO AGUIRRE Begoña</cp:lastModifiedBy>
  <cp:revision>20</cp:revision>
  <cp:lastPrinted>2016-10-06T09:18:00Z</cp:lastPrinted>
  <dcterms:created xsi:type="dcterms:W3CDTF">2016-03-03T13:19:00Z</dcterms:created>
  <dcterms:modified xsi:type="dcterms:W3CDTF">2016-10-06T09:18:00Z</dcterms:modified>
</cp:coreProperties>
</file>