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28761D">
            <w:pPr>
              <w:pStyle w:val="DocumentCodeAR"/>
              <w:bidi/>
            </w:pPr>
            <w:r>
              <w:t>WIPO/GRTKF/IC/3</w:t>
            </w:r>
            <w:r w:rsidR="0028761D">
              <w:t>2/7</w:t>
            </w:r>
          </w:p>
        </w:tc>
      </w:tr>
      <w:tr w:rsidR="001667B6" w:rsidTr="00BF164F">
        <w:tc>
          <w:tcPr>
            <w:tcW w:w="9571" w:type="dxa"/>
            <w:gridSpan w:val="3"/>
          </w:tcPr>
          <w:p w:rsidR="001667B6" w:rsidRPr="00B6101C" w:rsidRDefault="00B6101C" w:rsidP="00B64DD1">
            <w:pPr>
              <w:pStyle w:val="DocumentLanguageAR"/>
              <w:bidi/>
              <w:rPr>
                <w:rtl/>
              </w:rPr>
            </w:pPr>
            <w:r w:rsidRPr="00B6101C">
              <w:rPr>
                <w:rFonts w:hint="cs"/>
                <w:rtl/>
              </w:rPr>
              <w:t xml:space="preserve">الأصل: </w:t>
            </w:r>
            <w:r w:rsidR="00B64DD1">
              <w:rPr>
                <w:rFonts w:hint="cs"/>
                <w:rtl/>
              </w:rPr>
              <w:t>بالإنكليزية</w:t>
            </w:r>
          </w:p>
        </w:tc>
      </w:tr>
      <w:tr w:rsidR="001667B6" w:rsidTr="00BF164F">
        <w:tc>
          <w:tcPr>
            <w:tcW w:w="9571" w:type="dxa"/>
            <w:gridSpan w:val="3"/>
          </w:tcPr>
          <w:p w:rsidR="001667B6" w:rsidRPr="00B6101C" w:rsidRDefault="00B6101C" w:rsidP="0028761D">
            <w:pPr>
              <w:pStyle w:val="DocumentDateAR"/>
              <w:bidi/>
              <w:rPr>
                <w:rtl/>
              </w:rPr>
            </w:pPr>
            <w:r w:rsidRPr="00B6101C">
              <w:rPr>
                <w:rFonts w:hint="cs"/>
                <w:rtl/>
              </w:rPr>
              <w:t xml:space="preserve">التاريخ: </w:t>
            </w:r>
            <w:r w:rsidR="0028761D">
              <w:rPr>
                <w:rFonts w:hint="cs"/>
                <w:rtl/>
              </w:rPr>
              <w:t>7 نوفمبر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28761D">
      <w:pPr>
        <w:pStyle w:val="MeetingSessionAR"/>
        <w:bidi/>
        <w:rPr>
          <w:rFonts w:ascii="Cambria Math" w:hAnsi="Cambria Math"/>
          <w:rtl/>
        </w:rPr>
      </w:pPr>
      <w:r w:rsidRPr="00783D11">
        <w:rPr>
          <w:rFonts w:ascii="Cambria Math" w:hAnsi="Cambria Math"/>
          <w:rtl/>
        </w:rPr>
        <w:t xml:space="preserve">الدورة </w:t>
      </w:r>
      <w:r w:rsidR="0028761D">
        <w:rPr>
          <w:rFonts w:ascii="Cambria Math" w:hAnsi="Cambria Math" w:hint="cs"/>
          <w:rtl/>
        </w:rPr>
        <w:t>الثانية</w:t>
      </w:r>
      <w:r w:rsidR="0060178E">
        <w:rPr>
          <w:rFonts w:ascii="Cambria Math" w:hAnsi="Cambria Math" w:hint="cs"/>
          <w:rtl/>
        </w:rPr>
        <w:t xml:space="preserve"> و</w:t>
      </w:r>
      <w:r w:rsidR="0015593C">
        <w:rPr>
          <w:rFonts w:ascii="Cambria Math" w:hAnsi="Cambria Math" w:hint="cs"/>
          <w:rtl/>
        </w:rPr>
        <w:t>الثلاثون</w:t>
      </w:r>
    </w:p>
    <w:p w:rsidR="00D61541" w:rsidRPr="00D61541" w:rsidRDefault="0015593C" w:rsidP="0028761D">
      <w:pPr>
        <w:pStyle w:val="MeetingDatesAR"/>
        <w:bidi/>
        <w:rPr>
          <w:rtl/>
        </w:rPr>
      </w:pPr>
      <w:r w:rsidRPr="0015593C">
        <w:rPr>
          <w:rtl/>
        </w:rPr>
        <w:t xml:space="preserve">جنيف، من </w:t>
      </w:r>
      <w:r w:rsidR="0028761D">
        <w:rPr>
          <w:rFonts w:hint="cs"/>
          <w:rtl/>
        </w:rPr>
        <w:t>28 نوفمبر</w:t>
      </w:r>
      <w:r w:rsidR="009C2BD0">
        <w:rPr>
          <w:rFonts w:hint="cs"/>
          <w:rtl/>
        </w:rPr>
        <w:t xml:space="preserve"> إلى </w:t>
      </w:r>
      <w:r w:rsidR="0028761D">
        <w:rPr>
          <w:rFonts w:hint="cs"/>
          <w:rtl/>
        </w:rPr>
        <w:t>2</w:t>
      </w:r>
      <w:r w:rsidR="009C2BD0">
        <w:rPr>
          <w:rFonts w:hint="cs"/>
          <w:rtl/>
        </w:rPr>
        <w:t xml:space="preserve"> </w:t>
      </w:r>
      <w:r w:rsidR="0028761D">
        <w:rPr>
          <w:rFonts w:hint="cs"/>
          <w:rtl/>
        </w:rPr>
        <w:t>ديسمبر</w:t>
      </w:r>
      <w:r w:rsidR="009C2BD0">
        <w:rPr>
          <w:rFonts w:hint="cs"/>
          <w:rtl/>
        </w:rPr>
        <w:t> </w:t>
      </w:r>
      <w:r w:rsidRPr="0015593C">
        <w:rPr>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64DD1" w:rsidP="00B64DD1">
      <w:pPr>
        <w:pStyle w:val="DocumentTitleAR"/>
        <w:bidi/>
        <w:ind w:right="3119"/>
        <w:rPr>
          <w:rtl/>
        </w:rPr>
      </w:pPr>
      <w:r w:rsidRPr="002673DF">
        <w:rPr>
          <w:rFonts w:hint="cs"/>
          <w:rtl/>
        </w:rPr>
        <w:t>توصية</w:t>
      </w:r>
      <w:r>
        <w:rPr>
          <w:rFonts w:hint="cs"/>
          <w:rtl/>
        </w:rPr>
        <w:t xml:space="preserve"> مشتركة بشأن استخدام قواعد البيانات لأغراض الحماية الدفاعية للموارد الوراثية والمعارف التقليدية المرتبطة بها</w:t>
      </w:r>
    </w:p>
    <w:p w:rsidR="00D61541" w:rsidRPr="00D61541" w:rsidRDefault="00B64DD1" w:rsidP="00931859">
      <w:pPr>
        <w:pStyle w:val="PreparedbyAR"/>
        <w:bidi/>
        <w:rPr>
          <w:rtl/>
        </w:rPr>
      </w:pPr>
      <w:r>
        <w:rPr>
          <w:rFonts w:hint="cs"/>
          <w:rtl/>
        </w:rPr>
        <w:t>وثيقة مقدمة من وفود كندا واليابان وجمهورية كوريا والولايات المتحدة الأمريكية</w:t>
      </w:r>
    </w:p>
    <w:p w:rsidR="00B64DD1" w:rsidRPr="002673DF" w:rsidRDefault="00B64DD1" w:rsidP="00B64DD1">
      <w:pPr>
        <w:pStyle w:val="NormalParaAR"/>
        <w:keepNext/>
        <w:rPr>
          <w:sz w:val="40"/>
          <w:szCs w:val="40"/>
          <w:rtl/>
        </w:rPr>
      </w:pPr>
      <w:r w:rsidRPr="002673DF">
        <w:rPr>
          <w:rFonts w:hint="cs"/>
          <w:sz w:val="40"/>
          <w:szCs w:val="40"/>
          <w:rtl/>
        </w:rPr>
        <w:t>مقدمة</w:t>
      </w:r>
    </w:p>
    <w:p w:rsidR="00B64DD1" w:rsidRDefault="00B64DD1" w:rsidP="0028761D">
      <w:pPr>
        <w:pStyle w:val="NumberedParaAR"/>
      </w:pPr>
      <w:r>
        <w:rPr>
          <w:rFonts w:hint="cs"/>
          <w:rtl/>
        </w:rPr>
        <w:t>ف</w:t>
      </w:r>
      <w:r>
        <w:rPr>
          <w:rtl/>
        </w:rPr>
        <w:t xml:space="preserve">ي </w:t>
      </w:r>
      <w:r w:rsidR="0028761D">
        <w:rPr>
          <w:rFonts w:hint="cs"/>
          <w:rtl/>
        </w:rPr>
        <w:t>7 نوفمبر 2016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 xml:space="preserve">منظمة التجارة </w:t>
      </w:r>
      <w:r w:rsidR="00BC1D3E">
        <w:rPr>
          <w:rFonts w:hint="cs"/>
          <w:rtl/>
        </w:rPr>
        <w:t>العالمية</w:t>
      </w:r>
      <w:r>
        <w:rPr>
          <w:rtl/>
        </w:rPr>
        <w:t>، باسم وفود كندا واليابان</w:t>
      </w:r>
      <w:r>
        <w:rPr>
          <w:rFonts w:hint="cs"/>
          <w:rtl/>
        </w:rPr>
        <w:t xml:space="preserve"> والنرويج</w:t>
      </w:r>
      <w:r>
        <w:rPr>
          <w:rtl/>
        </w:rPr>
        <w:t xml:space="preserve"> وجمهورية كوريا والولايات المتحدة الأمريكية، التمست فيه أن </w:t>
      </w:r>
      <w:r>
        <w:rPr>
          <w:rFonts w:hint="cs"/>
          <w:rtl/>
        </w:rPr>
        <w:t>ت</w:t>
      </w:r>
      <w:r>
        <w:rPr>
          <w:rtl/>
        </w:rPr>
        <w:t xml:space="preserve">قدّم </w:t>
      </w:r>
      <w:r w:rsidR="0028761D">
        <w:rPr>
          <w:rFonts w:hint="cs"/>
          <w:rtl/>
        </w:rPr>
        <w:t>مجددا</w:t>
      </w:r>
      <w:r>
        <w:rPr>
          <w:rtl/>
        </w:rPr>
        <w:t xml:space="preserve"> </w:t>
      </w:r>
      <w:r w:rsidRPr="004635BE">
        <w:rPr>
          <w:rtl/>
        </w:rPr>
        <w:t xml:space="preserve">"التوصية المشتركة </w:t>
      </w:r>
      <w:r w:rsidRPr="00B64DD1">
        <w:rPr>
          <w:rtl/>
        </w:rPr>
        <w:t>بشأن استخدام قواعد البيانات لأغراض الحماية الدفاعية للموارد الوراثية والمعارف التقليدية المرتبطة بها</w:t>
      </w:r>
      <w:r w:rsidRPr="004635BE">
        <w:rPr>
          <w:rtl/>
        </w:rPr>
        <w:t>"</w:t>
      </w:r>
      <w:r>
        <w:rPr>
          <w:rtl/>
        </w:rPr>
        <w:t xml:space="preserve"> كما جاء</w:t>
      </w:r>
      <w:r>
        <w:rPr>
          <w:rFonts w:hint="cs"/>
          <w:rtl/>
        </w:rPr>
        <w:t>ت</w:t>
      </w:r>
      <w:r>
        <w:rPr>
          <w:rtl/>
        </w:rPr>
        <w:t xml:space="preserve"> في الوثيقة</w:t>
      </w:r>
      <w:r>
        <w:rPr>
          <w:rFonts w:hint="cs"/>
          <w:rtl/>
        </w:rPr>
        <w:t> </w:t>
      </w:r>
      <w:r>
        <w:t>WIPO/GRTKF/IC/</w:t>
      </w:r>
      <w:r w:rsidR="002B75F4">
        <w:t>3</w:t>
      </w:r>
      <w:r w:rsidR="0028761D">
        <w:t>1</w:t>
      </w:r>
      <w:r w:rsidR="002B75F4">
        <w:t>/</w:t>
      </w:r>
      <w:r w:rsidR="0028761D">
        <w:t>6</w:t>
      </w:r>
      <w:r>
        <w:rPr>
          <w:rFonts w:hint="cs"/>
          <w:rtl/>
        </w:rPr>
        <w:t xml:space="preserve">، </w:t>
      </w:r>
      <w:r>
        <w:rPr>
          <w:rtl/>
        </w:rPr>
        <w:t xml:space="preserve">كي تناقشها الدورة </w:t>
      </w:r>
      <w:r w:rsidR="0028761D">
        <w:rPr>
          <w:rFonts w:hint="cs"/>
          <w:rtl/>
        </w:rPr>
        <w:t>الثانية</w:t>
      </w:r>
      <w:r w:rsidR="002B75F4">
        <w:rPr>
          <w:rFonts w:hint="cs"/>
          <w:rtl/>
        </w:rPr>
        <w:t xml:space="preserve"> و</w:t>
      </w:r>
      <w:r w:rsidR="00BC1D3E">
        <w:rPr>
          <w:rFonts w:hint="cs"/>
          <w:rtl/>
        </w:rPr>
        <w:t>الثلاثو</w:t>
      </w:r>
      <w:r>
        <w:rPr>
          <w:rFonts w:hint="cs"/>
          <w:rtl/>
        </w:rPr>
        <w:t>ن</w:t>
      </w:r>
      <w:r>
        <w:rPr>
          <w:rtl/>
        </w:rPr>
        <w:t xml:space="preserve"> للجنة الحكومية الدولية المعنية بالملكية الفكرية والموارد الوراثية والمعارف التقليدية والفولكلور (اللجنة) كوثيقة عمل</w:t>
      </w:r>
      <w:r>
        <w:rPr>
          <w:rFonts w:hint="cs"/>
          <w:rtl/>
        </w:rPr>
        <w:t>.</w:t>
      </w:r>
    </w:p>
    <w:p w:rsidR="00B64DD1" w:rsidRDefault="00B64DD1" w:rsidP="00DB4F57">
      <w:pPr>
        <w:pStyle w:val="NumberedParaAR"/>
      </w:pPr>
      <w:r>
        <w:rPr>
          <w:rFonts w:hint="cs"/>
          <w:rtl/>
        </w:rPr>
        <w:t xml:space="preserve">وبناء على الطلب المذكور أعلاه، يحتوي مرفق هذه الوثيقة على الاقتراح </w:t>
      </w:r>
      <w:r w:rsidR="00DB4F57">
        <w:rPr>
          <w:rFonts w:hint="cs"/>
          <w:rtl/>
        </w:rPr>
        <w:t>المشار إليه</w:t>
      </w:r>
      <w:r>
        <w:rPr>
          <w:rFonts w:hint="cs"/>
          <w:rtl/>
        </w:rPr>
        <w:t>.</w:t>
      </w:r>
    </w:p>
    <w:p w:rsidR="00B64DD1" w:rsidRDefault="00B64DD1" w:rsidP="00B64DD1">
      <w:pPr>
        <w:pStyle w:val="DecisionParaAR"/>
      </w:pPr>
      <w:r w:rsidRPr="0059407F">
        <w:rPr>
          <w:rtl/>
        </w:rPr>
        <w:t xml:space="preserve">إن اللجنة مدعوة إلى الإحاطة علما </w:t>
      </w:r>
      <w:r>
        <w:rPr>
          <w:rFonts w:hint="cs"/>
          <w:rtl/>
        </w:rPr>
        <w:t xml:space="preserve">بالاقتراح الوارد في </w:t>
      </w:r>
      <w:r w:rsidRPr="0059407F">
        <w:rPr>
          <w:rtl/>
        </w:rPr>
        <w:t>مرفق</w:t>
      </w:r>
      <w:r>
        <w:rPr>
          <w:rFonts w:hint="cs"/>
          <w:rtl/>
        </w:rPr>
        <w:t xml:space="preserve"> هذه الوثيقة وإلى النظر</w:t>
      </w:r>
      <w:r>
        <w:rPr>
          <w:rFonts w:hint="eastAsia"/>
          <w:rtl/>
        </w:rPr>
        <w:t> </w:t>
      </w:r>
      <w:r>
        <w:rPr>
          <w:rFonts w:hint="cs"/>
          <w:rtl/>
        </w:rPr>
        <w:t>فيه.</w:t>
      </w:r>
    </w:p>
    <w:p w:rsidR="00B64DD1" w:rsidRPr="00B3392E" w:rsidRDefault="00B64DD1" w:rsidP="00B64DD1">
      <w:pPr>
        <w:pStyle w:val="EndofDocumentAR"/>
        <w:rPr>
          <w:rtl/>
        </w:rPr>
      </w:pPr>
      <w:r w:rsidRPr="00667F45">
        <w:rPr>
          <w:rFonts w:hint="cs"/>
          <w:rtl/>
        </w:rPr>
        <w:t>[يلي ذ</w:t>
      </w:r>
      <w:r>
        <w:rPr>
          <w:rFonts w:hint="cs"/>
          <w:rtl/>
        </w:rPr>
        <w:t>ل</w:t>
      </w:r>
      <w:r w:rsidRPr="00667F45">
        <w:rPr>
          <w:rFonts w:hint="cs"/>
          <w:rtl/>
        </w:rPr>
        <w:t>ك المرفق]</w:t>
      </w:r>
    </w:p>
    <w:p w:rsidR="00B64DD1" w:rsidRDefault="00B64DD1" w:rsidP="007F38D1">
      <w:pPr>
        <w:pStyle w:val="NormalParaAR"/>
        <w:rPr>
          <w:rtl/>
        </w:rPr>
        <w:sectPr w:rsidR="00B64DD1" w:rsidSect="00EB7752">
          <w:headerReference w:type="default" r:id="rId10"/>
          <w:pgSz w:w="11907" w:h="16840" w:code="9"/>
          <w:pgMar w:top="567" w:right="1418" w:bottom="1418" w:left="1134" w:header="510" w:footer="1021" w:gutter="0"/>
          <w:cols w:space="720"/>
          <w:titlePg/>
          <w:docGrid w:linePitch="299"/>
        </w:sectPr>
      </w:pP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sz w:val="40"/>
          <w:szCs w:val="40"/>
          <w:rtl/>
        </w:rPr>
        <w:lastRenderedPageBreak/>
        <w:t>توصية مشتركة بشأن استخدام قواعد البيانات لأغراض الحماية الدفاعية للموارد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sz w:val="36"/>
          <w:szCs w:val="36"/>
          <w:rtl/>
        </w:rPr>
        <w:t xml:space="preserve">إن </w:t>
      </w:r>
      <w:r w:rsidRPr="00A03F47">
        <w:rPr>
          <w:rFonts w:ascii="Arabic Typesetting" w:hAnsi="Arabic Typesetting" w:cs="Arabic Typesetting"/>
          <w:sz w:val="36"/>
          <w:szCs w:val="36"/>
          <w:rtl/>
        </w:rPr>
        <w:t>اللجنة الحكومية الدولية المعنية بالملكية الفكرية والموارد الوراثية والمعارف التقليدية والفولكلور</w:t>
      </w:r>
      <w:r w:rsidRPr="00A03F47">
        <w:rPr>
          <w:rFonts w:ascii="Arabic Typesetting" w:hAnsi="Arabic Typesetting" w:cs="Arabic Typesetting" w:hint="cs"/>
          <w:sz w:val="36"/>
          <w:szCs w:val="36"/>
          <w:rtl/>
        </w:rPr>
        <w:t xml:space="preserve"> والجمعية العامة للمنظمة العالمية للملكية الفكرية،</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إذ تؤكدان</w:t>
      </w:r>
      <w:r w:rsidRPr="00A03F47">
        <w:rPr>
          <w:rFonts w:ascii="Arabic Typesetting" w:hAnsi="Arabic Typesetting" w:cs="Arabic Typesetting" w:hint="cs"/>
          <w:sz w:val="36"/>
          <w:szCs w:val="36"/>
          <w:rtl/>
        </w:rPr>
        <w:t xml:space="preserve"> </w:t>
      </w:r>
      <w:r w:rsidRPr="00A03F47">
        <w:rPr>
          <w:rFonts w:ascii="Arabic Typesetting" w:hAnsi="Arabic Typesetting" w:cs="Arabic Typesetting" w:hint="cs"/>
          <w:i/>
          <w:iCs/>
          <w:sz w:val="36"/>
          <w:szCs w:val="36"/>
          <w:rtl/>
        </w:rPr>
        <w:t>مجددا</w:t>
      </w:r>
      <w:r w:rsidRPr="00A03F47">
        <w:rPr>
          <w:rFonts w:ascii="Arabic Typesetting" w:hAnsi="Arabic Typesetting" w:cs="Arabic Typesetting" w:hint="cs"/>
          <w:sz w:val="36"/>
          <w:szCs w:val="36"/>
          <w:rtl/>
        </w:rPr>
        <w:t xml:space="preserve"> على القيمة الاقتصادية والعلمية والتجارية الكبيرة للموارد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وإذ تقرّان</w:t>
      </w:r>
      <w:r w:rsidRPr="00A03F47">
        <w:rPr>
          <w:rFonts w:ascii="Arabic Typesetting" w:hAnsi="Arabic Typesetting" w:cs="Arabic Typesetting" w:hint="cs"/>
          <w:sz w:val="36"/>
          <w:szCs w:val="36"/>
          <w:rtl/>
        </w:rPr>
        <w:t xml:space="preserve"> بالمساهمة الكبيرة لنظام البراءات في البحث العلمي والتطوير العلمي والابتكار والتنمية الاقتصادية؛</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وإذ تعترفان</w:t>
      </w:r>
      <w:r w:rsidRPr="00A03F47">
        <w:rPr>
          <w:rFonts w:ascii="Arabic Typesetting" w:hAnsi="Arabic Typesetting" w:cs="Arabic Typesetting" w:hint="cs"/>
          <w:sz w:val="36"/>
          <w:szCs w:val="36"/>
          <w:rtl/>
        </w:rPr>
        <w:t xml:space="preserve"> بالتكامل بين نظام البراءات واتفاقية التنوع البيولوجي؛</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 xml:space="preserve">وإذ تشددان </w:t>
      </w:r>
      <w:r w:rsidRPr="00A03F47">
        <w:rPr>
          <w:rFonts w:ascii="Arabic Typesetting" w:hAnsi="Arabic Typesetting" w:cs="Arabic Typesetting" w:hint="cs"/>
          <w:sz w:val="36"/>
          <w:szCs w:val="36"/>
          <w:rtl/>
        </w:rPr>
        <w:t>على ضرورة أن تمنع الدول الأعضاء منح البراءات عن خطأ لحماية الاختراعات المتعلقة بالموارد الوراثية والمعارف التقليدية المرتبطة بها؛</w:t>
      </w:r>
    </w:p>
    <w:p w:rsidR="00A03F47" w:rsidRPr="00A03F47" w:rsidRDefault="00A03F47" w:rsidP="00A03F47">
      <w:pPr>
        <w:bidi/>
        <w:spacing w:after="240" w:line="360" w:lineRule="exact"/>
        <w:rPr>
          <w:rFonts w:ascii="Arabic Typesetting" w:hAnsi="Arabic Typesetting" w:cs="Arabic Typesetting"/>
          <w:sz w:val="36"/>
          <w:szCs w:val="36"/>
          <w:rtl/>
        </w:rPr>
      </w:pPr>
      <w:r w:rsidRPr="00A03F47">
        <w:rPr>
          <w:rFonts w:ascii="Arabic Typesetting" w:hAnsi="Arabic Typesetting" w:cs="Arabic Typesetting" w:hint="cs"/>
          <w:i/>
          <w:iCs/>
          <w:sz w:val="36"/>
          <w:szCs w:val="36"/>
          <w:rtl/>
        </w:rPr>
        <w:t>توصيان</w:t>
      </w:r>
      <w:r w:rsidRPr="00A03F47">
        <w:rPr>
          <w:rFonts w:ascii="Arabic Typesetting" w:hAnsi="Arabic Typesetting" w:cs="Arabic Typesetting" w:hint="cs"/>
          <w:sz w:val="36"/>
          <w:szCs w:val="36"/>
          <w:rtl/>
        </w:rPr>
        <w:t xml:space="preserve"> بأن تنظر كل دولة عضو والمكتب الدولي للويبو في الأخذ بهذه التوصية التي اعتمدتها اللجنة الحكومية الدولية المعنية بالملكية الفكرية والموارد الوراثية والمعارف التقليدية والفولكلور كمبادئ توجيهية لإنشاء قواعد البيانات وتحسينها واستخدامها لأغراض الحماية الدفاعية للموارد الوراثية والمعارف التقليدية المرتبطة بها.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أولا.</w:t>
      </w:r>
      <w:r w:rsidRPr="00A03F47">
        <w:rPr>
          <w:rFonts w:ascii="Arabic Typesetting" w:hAnsi="Arabic Typesetting" w:cs="Arabic Typesetting" w:hint="cs"/>
          <w:sz w:val="40"/>
          <w:szCs w:val="40"/>
          <w:rtl/>
        </w:rPr>
        <w:tab/>
        <w:t>مقدمة</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إن مسألة منح البراءات عن خطأ اعتُبرت قضيةً مهمةً في المناقشات الدائرة في الويبو ومنظمة التجارة العالمية.</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 xml:space="preserve">ويمكن معالجة مسألة منح البراءات عن خطأ معالجة فعالة عبر تحسين قواعد البيانات لتخزين الموارد الوراثية والمعارف التقليدية </w:t>
      </w:r>
      <w:r w:rsidRPr="00A03F47">
        <w:rPr>
          <w:rFonts w:ascii="Arabic Typesetting" w:hAnsi="Arabic Typesetting" w:cs="Arabic Typesetting" w:hint="cs"/>
          <w:sz w:val="36"/>
          <w:szCs w:val="36"/>
          <w:rtl/>
          <w:lang w:val="fr-CH"/>
        </w:rPr>
        <w:t xml:space="preserve">غير السرية </w:t>
      </w:r>
      <w:r w:rsidRPr="00A03F47">
        <w:rPr>
          <w:rFonts w:ascii="Arabic Typesetting" w:hAnsi="Arabic Typesetting" w:cs="Arabic Typesetting" w:hint="cs"/>
          <w:sz w:val="36"/>
          <w:szCs w:val="36"/>
          <w:rtl/>
        </w:rPr>
        <w:t>المرتبطة بها التي تستخدم في البحث في حالة التقنية الصناعية السابقة أو المواد المرجعية</w:t>
      </w:r>
      <w:r w:rsidRPr="00A03F47">
        <w:rPr>
          <w:rFonts w:ascii="Arabic Typesetting" w:hAnsi="Arabic Typesetting" w:cs="Arabic Typesetting"/>
          <w:sz w:val="28"/>
          <w:szCs w:val="28"/>
          <w:vertAlign w:val="superscript"/>
          <w:rtl/>
        </w:rPr>
        <w:footnoteReference w:id="1"/>
      </w:r>
      <w:r w:rsidRPr="00A03F47">
        <w:rPr>
          <w:rFonts w:ascii="Arabic Typesetting" w:hAnsi="Arabic Typesetting" w:cs="Arabic Typesetting" w:hint="cs"/>
          <w:sz w:val="36"/>
          <w:szCs w:val="36"/>
          <w:rtl/>
        </w:rPr>
        <w:t>، وأيضا عبر استخدام بعض الأنظمة المؤسسية القائمة بفعالية أكبر مثل أنظمة توفير المعلومات ونظام الإبطال القضائي.</w:t>
      </w:r>
    </w:p>
    <w:p w:rsidR="00A03F47" w:rsidRPr="00A03F47" w:rsidRDefault="00A03F47" w:rsidP="00A03F47">
      <w:pPr>
        <w:numPr>
          <w:ilvl w:val="0"/>
          <w:numId w:val="2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ومن شأن إتاحة نظام يمكّن من البحث بنقرة واحدة في قواعد البيانات أن يساعد الفاحصين على البحث بفعالية أكبر في حالة التقنية الصناعية السابقة المتعلقة بالموارد الوراثية والمعارف التقليدية المرتبطة بها مع تفادي نفاذ الغير بطريقة غير مشروعة إلى محتوياتها.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ثانيا.</w:t>
      </w:r>
      <w:r w:rsidRPr="00A03F47">
        <w:rPr>
          <w:rFonts w:ascii="Arabic Typesetting" w:hAnsi="Arabic Typesetting" w:cs="Arabic Typesetting" w:hint="cs"/>
          <w:sz w:val="40"/>
          <w:szCs w:val="40"/>
          <w:rtl/>
        </w:rPr>
        <w:tab/>
        <w:t xml:space="preserve">بنية نظام البحث بنقرة واحدة في قواعد البيانات </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ينبغي ل</w:t>
      </w:r>
      <w:r w:rsidRPr="00A03F47">
        <w:rPr>
          <w:rFonts w:ascii="Arabic Typesetting" w:hAnsi="Arabic Typesetting" w:cs="Arabic Typesetting"/>
          <w:sz w:val="36"/>
          <w:szCs w:val="36"/>
          <w:rtl/>
        </w:rPr>
        <w:t>كل دولة عضو مشاركة، كما سيأتي وصفه في الشكل 1 أدناه، أن تمتلك وتدير قواعد بيانات يمكن البحث فيها بموجب النظام المقترح. و</w:t>
      </w:r>
      <w:r w:rsidRPr="00A03F47">
        <w:rPr>
          <w:rFonts w:ascii="Arabic Typesetting" w:hAnsi="Arabic Typesetting" w:cs="Arabic Typesetting" w:hint="cs"/>
          <w:sz w:val="36"/>
          <w:szCs w:val="36"/>
          <w:rtl/>
        </w:rPr>
        <w:t>س</w:t>
      </w:r>
      <w:r w:rsidRPr="00A03F47">
        <w:rPr>
          <w:rFonts w:ascii="Arabic Typesetting" w:hAnsi="Arabic Typesetting" w:cs="Arabic Typesetting"/>
          <w:sz w:val="36"/>
          <w:szCs w:val="36"/>
          <w:rtl/>
        </w:rPr>
        <w:t xml:space="preserve">تتألف قاعدة البيانات من </w:t>
      </w:r>
      <w:r w:rsidRPr="00A03F47">
        <w:rPr>
          <w:rFonts w:ascii="Arabic Typesetting" w:hAnsi="Arabic Typesetting" w:cs="Arabic Typesetting" w:hint="cs"/>
          <w:sz w:val="36"/>
          <w:szCs w:val="36"/>
          <w:rtl/>
        </w:rPr>
        <w:t xml:space="preserve">موقع </w:t>
      </w:r>
      <w:r w:rsidRPr="00A03F47">
        <w:rPr>
          <w:rFonts w:ascii="Arabic Typesetting" w:hAnsi="Arabic Typesetting" w:cs="Arabic Typesetting"/>
          <w:sz w:val="36"/>
          <w:szCs w:val="36"/>
          <w:rtl/>
        </w:rPr>
        <w:t xml:space="preserve">بوابة </w:t>
      </w:r>
      <w:r w:rsidRPr="00A03F47">
        <w:rPr>
          <w:rFonts w:ascii="Arabic Typesetting" w:hAnsi="Arabic Typesetting" w:cs="Arabic Typesetting" w:hint="cs"/>
          <w:sz w:val="36"/>
          <w:szCs w:val="36"/>
          <w:rtl/>
        </w:rPr>
        <w:t>ال</w:t>
      </w:r>
      <w:r w:rsidRPr="00A03F47">
        <w:rPr>
          <w:rFonts w:ascii="Arabic Typesetting" w:hAnsi="Arabic Typesetting" w:cs="Arabic Typesetting"/>
          <w:sz w:val="36"/>
          <w:szCs w:val="36"/>
          <w:rtl/>
        </w:rPr>
        <w:t xml:space="preserve">ويبو وقواعد بيانات الدول الأعضاء في الويبو </w:t>
      </w:r>
      <w:r w:rsidRPr="00A03F47">
        <w:rPr>
          <w:rFonts w:ascii="Arabic Typesetting" w:hAnsi="Arabic Typesetting" w:cs="Arabic Typesetting" w:hint="cs"/>
          <w:sz w:val="36"/>
          <w:szCs w:val="36"/>
          <w:rtl/>
        </w:rPr>
        <w:t>المتصلة</w:t>
      </w:r>
      <w:r w:rsidRPr="00A03F47">
        <w:rPr>
          <w:rFonts w:ascii="Arabic Typesetting" w:hAnsi="Arabic Typesetting" w:cs="Arabic Typesetting"/>
          <w:sz w:val="36"/>
          <w:szCs w:val="36"/>
          <w:rtl/>
        </w:rPr>
        <w:t xml:space="preserve"> ب</w:t>
      </w:r>
      <w:r w:rsidRPr="00A03F47">
        <w:rPr>
          <w:rFonts w:ascii="Arabic Typesetting" w:hAnsi="Arabic Typesetting" w:cs="Arabic Typesetting" w:hint="cs"/>
          <w:sz w:val="36"/>
          <w:szCs w:val="36"/>
          <w:rtl/>
        </w:rPr>
        <w:t>تلك</w:t>
      </w:r>
      <w:r w:rsidRPr="00A03F47">
        <w:rPr>
          <w:rFonts w:ascii="Arabic Typesetting" w:hAnsi="Arabic Typesetting" w:cs="Arabic Typesetting"/>
          <w:sz w:val="36"/>
          <w:szCs w:val="36"/>
          <w:rtl/>
        </w:rPr>
        <w:t xml:space="preserve"> البوابة.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 xml:space="preserve">وستعمل </w:t>
      </w:r>
      <w:r w:rsidRPr="00A03F47">
        <w:rPr>
          <w:rFonts w:ascii="Arabic Typesetting" w:hAnsi="Arabic Typesetting" w:cs="Arabic Typesetting"/>
          <w:sz w:val="36"/>
          <w:szCs w:val="36"/>
          <w:rtl/>
        </w:rPr>
        <w:t>كل دولة عضو مشاركة</w:t>
      </w:r>
      <w:r w:rsidRPr="00A03F47">
        <w:rPr>
          <w:rFonts w:ascii="Arabic Typesetting" w:hAnsi="Arabic Typesetting" w:cs="Arabic Typesetting" w:hint="cs"/>
          <w:sz w:val="36"/>
          <w:szCs w:val="36"/>
          <w:rtl/>
        </w:rPr>
        <w:t>، عندما ترى ذلك ضروريا،</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 xml:space="preserve">على </w:t>
      </w:r>
      <w:r w:rsidRPr="00A03F47">
        <w:rPr>
          <w:rFonts w:ascii="Arabic Typesetting" w:hAnsi="Arabic Typesetting" w:cs="Arabic Typesetting"/>
          <w:sz w:val="36"/>
          <w:szCs w:val="36"/>
          <w:rtl/>
        </w:rPr>
        <w:t xml:space="preserve">جمع المعلومات </w:t>
      </w:r>
      <w:r w:rsidRPr="00A03F47">
        <w:rPr>
          <w:rFonts w:ascii="Arabic Typesetting" w:hAnsi="Arabic Typesetting" w:cs="Arabic Typesetting" w:hint="cs"/>
          <w:sz w:val="36"/>
          <w:szCs w:val="36"/>
          <w:rtl/>
        </w:rPr>
        <w:t>عن</w:t>
      </w:r>
      <w:r w:rsidRPr="00A03F47">
        <w:rPr>
          <w:rFonts w:ascii="Arabic Typesetting" w:hAnsi="Arabic Typesetting" w:cs="Arabic Typesetting"/>
          <w:sz w:val="36"/>
          <w:szCs w:val="36"/>
          <w:rtl/>
        </w:rPr>
        <w:t xml:space="preserve"> الموارد الوراثية والمعارف التقليدية </w:t>
      </w:r>
      <w:r w:rsidRPr="00A03F47">
        <w:rPr>
          <w:rFonts w:ascii="Arabic Typesetting" w:hAnsi="Arabic Typesetting" w:cs="Arabic Typesetting" w:hint="cs"/>
          <w:sz w:val="36"/>
          <w:szCs w:val="36"/>
          <w:rtl/>
        </w:rPr>
        <w:t>غير السرية المرتبطة</w:t>
      </w:r>
      <w:r w:rsidRPr="00A03F47">
        <w:rPr>
          <w:rFonts w:ascii="Arabic Typesetting" w:hAnsi="Arabic Typesetting" w:cs="Arabic Typesetting"/>
          <w:sz w:val="36"/>
          <w:szCs w:val="36"/>
          <w:rtl/>
        </w:rPr>
        <w:t xml:space="preserve"> بها داخل </w:t>
      </w:r>
      <w:r w:rsidRPr="00A03F47">
        <w:rPr>
          <w:rFonts w:ascii="Arabic Typesetting" w:hAnsi="Arabic Typesetting" w:cs="Arabic Typesetting" w:hint="cs"/>
          <w:sz w:val="36"/>
          <w:szCs w:val="36"/>
          <w:rtl/>
        </w:rPr>
        <w:t>أراضيها</w:t>
      </w:r>
      <w:r w:rsidRPr="00A03F47">
        <w:rPr>
          <w:rFonts w:ascii="Arabic Typesetting" w:hAnsi="Arabic Typesetting" w:cs="Arabic Typesetting"/>
          <w:sz w:val="36"/>
          <w:szCs w:val="36"/>
          <w:rtl/>
        </w:rPr>
        <w:t xml:space="preserve"> وتخزينها في </w:t>
      </w:r>
      <w:r w:rsidRPr="00A03F47">
        <w:rPr>
          <w:rFonts w:ascii="Arabic Typesetting" w:hAnsi="Arabic Typesetting" w:cs="Arabic Typesetting" w:hint="cs"/>
          <w:sz w:val="36"/>
          <w:szCs w:val="36"/>
          <w:rtl/>
        </w:rPr>
        <w:t>قاعدة بياناتها/</w:t>
      </w:r>
      <w:r w:rsidRPr="00A03F47">
        <w:rPr>
          <w:rFonts w:ascii="Arabic Typesetting" w:hAnsi="Arabic Typesetting" w:cs="Arabic Typesetting"/>
          <w:sz w:val="36"/>
          <w:szCs w:val="36"/>
          <w:rtl/>
        </w:rPr>
        <w:t>قواعد بياناتها (</w:t>
      </w:r>
      <w:r w:rsidRPr="00A03F47">
        <w:rPr>
          <w:rFonts w:ascii="Arabic Typesetting" w:hAnsi="Arabic Typesetting" w:cs="Arabic Typesetting" w:hint="cs"/>
          <w:sz w:val="36"/>
          <w:szCs w:val="36"/>
          <w:rtl/>
        </w:rPr>
        <w:t xml:space="preserve">سواء كانت </w:t>
      </w:r>
      <w:r w:rsidRPr="00A03F47">
        <w:rPr>
          <w:rFonts w:ascii="Arabic Typesetting" w:hAnsi="Arabic Typesetting" w:cs="Arabic Typesetting"/>
          <w:sz w:val="36"/>
          <w:szCs w:val="36"/>
          <w:rtl/>
        </w:rPr>
        <w:t xml:space="preserve">مقتبسة من قاعدة بيانات موجودة أو مستحدثة). </w:t>
      </w:r>
      <w:r w:rsidRPr="00A03F47">
        <w:rPr>
          <w:rFonts w:ascii="Arabic Typesetting" w:hAnsi="Arabic Typesetting" w:cs="Arabic Typesetting" w:hint="cs"/>
          <w:sz w:val="36"/>
          <w:szCs w:val="36"/>
          <w:rtl/>
        </w:rPr>
        <w:t>وسيمكّن</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تكليف</w:t>
      </w:r>
      <w:r w:rsidRPr="00A03F47">
        <w:rPr>
          <w:rFonts w:ascii="Arabic Typesetting" w:hAnsi="Arabic Typesetting" w:cs="Arabic Typesetting"/>
          <w:sz w:val="36"/>
          <w:szCs w:val="36"/>
          <w:rtl/>
        </w:rPr>
        <w:t xml:space="preserve"> كل دولة عضو </w:t>
      </w:r>
      <w:r w:rsidRPr="00A03F47">
        <w:rPr>
          <w:rFonts w:ascii="Arabic Typesetting" w:hAnsi="Arabic Typesetting" w:cs="Arabic Typesetting" w:hint="cs"/>
          <w:sz w:val="36"/>
          <w:szCs w:val="36"/>
          <w:rtl/>
        </w:rPr>
        <w:t>ب</w:t>
      </w:r>
      <w:r w:rsidRPr="00A03F47">
        <w:rPr>
          <w:rFonts w:ascii="Arabic Typesetting" w:hAnsi="Arabic Typesetting" w:cs="Arabic Typesetting"/>
          <w:sz w:val="36"/>
          <w:szCs w:val="36"/>
          <w:rtl/>
        </w:rPr>
        <w:t xml:space="preserve">مسؤولية </w:t>
      </w:r>
      <w:r w:rsidRPr="00A03F47">
        <w:rPr>
          <w:rFonts w:ascii="Arabic Typesetting" w:hAnsi="Arabic Typesetting" w:cs="Arabic Typesetting" w:hint="cs"/>
          <w:sz w:val="36"/>
          <w:szCs w:val="36"/>
          <w:rtl/>
        </w:rPr>
        <w:t>إنشاء</w:t>
      </w:r>
      <w:r w:rsidRPr="00A03F47">
        <w:rPr>
          <w:rFonts w:ascii="Arabic Typesetting" w:hAnsi="Arabic Typesetting" w:cs="Arabic Typesetting"/>
          <w:sz w:val="36"/>
          <w:szCs w:val="36"/>
          <w:rtl/>
        </w:rPr>
        <w:t xml:space="preserve"> قواعد البيانات </w:t>
      </w:r>
      <w:r w:rsidRPr="00A03F47">
        <w:rPr>
          <w:rFonts w:ascii="Arabic Typesetting" w:hAnsi="Arabic Typesetting" w:cs="Arabic Typesetting" w:hint="cs"/>
          <w:sz w:val="36"/>
          <w:szCs w:val="36"/>
          <w:rtl/>
        </w:rPr>
        <w:t xml:space="preserve">من </w:t>
      </w:r>
      <w:r w:rsidRPr="00A03F47">
        <w:rPr>
          <w:rFonts w:ascii="Arabic Typesetting" w:hAnsi="Arabic Typesetting" w:cs="Arabic Typesetting"/>
          <w:sz w:val="36"/>
          <w:szCs w:val="36"/>
          <w:rtl/>
        </w:rPr>
        <w:t xml:space="preserve">أن </w:t>
      </w:r>
      <w:r w:rsidRPr="00A03F47">
        <w:rPr>
          <w:rFonts w:ascii="Arabic Typesetting" w:hAnsi="Arabic Typesetting" w:cs="Arabic Typesetting" w:hint="cs"/>
          <w:sz w:val="36"/>
          <w:szCs w:val="36"/>
          <w:rtl/>
        </w:rPr>
        <w:t xml:space="preserve">تراعي كل دولة عضو </w:t>
      </w:r>
      <w:r w:rsidRPr="00A03F47">
        <w:rPr>
          <w:rFonts w:ascii="Arabic Typesetting" w:hAnsi="Arabic Typesetting" w:cs="Arabic Typesetting"/>
          <w:sz w:val="36"/>
          <w:szCs w:val="36"/>
          <w:rtl/>
        </w:rPr>
        <w:t>مختلف المسائل الحساسة كاعتبارات القانون العرفي، وتحديد الأطراف المعنية</w:t>
      </w:r>
      <w:r w:rsidRPr="00A03F47">
        <w:rPr>
          <w:rFonts w:ascii="Arabic Typesetting" w:hAnsi="Arabic Typesetting" w:cs="Arabic Typesetting" w:hint="cs"/>
          <w:sz w:val="36"/>
          <w:szCs w:val="36"/>
          <w:rtl/>
        </w:rPr>
        <w:t xml:space="preserve"> المهتمة</w:t>
      </w:r>
      <w:r w:rsidRPr="00A03F47">
        <w:rPr>
          <w:rFonts w:ascii="Arabic Typesetting" w:hAnsi="Arabic Typesetting" w:cs="Arabic Typesetting"/>
          <w:sz w:val="36"/>
          <w:szCs w:val="36"/>
          <w:rtl/>
        </w:rPr>
        <w:t xml:space="preserve"> واستعدادها لتقديم المعلومات </w:t>
      </w:r>
      <w:r w:rsidRPr="00A03F47">
        <w:rPr>
          <w:rFonts w:ascii="Arabic Typesetting" w:hAnsi="Arabic Typesetting" w:cs="Arabic Typesetting" w:hint="cs"/>
          <w:sz w:val="36"/>
          <w:szCs w:val="36"/>
          <w:rtl/>
        </w:rPr>
        <w:t>وما يتعلق</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lastRenderedPageBreak/>
        <w:t>ب</w:t>
      </w:r>
      <w:r w:rsidRPr="00A03F47">
        <w:rPr>
          <w:rFonts w:ascii="Arabic Typesetting" w:hAnsi="Arabic Typesetting" w:cs="Arabic Typesetting"/>
          <w:sz w:val="36"/>
          <w:szCs w:val="36"/>
          <w:rtl/>
        </w:rPr>
        <w:t>ذلك</w:t>
      </w:r>
      <w:r w:rsidRPr="00A03F47">
        <w:rPr>
          <w:rFonts w:ascii="Arabic Typesetting" w:hAnsi="Arabic Typesetting" w:cs="Arabic Typesetting" w:hint="cs"/>
          <w:sz w:val="36"/>
          <w:szCs w:val="36"/>
          <w:rtl/>
        </w:rPr>
        <w:t xml:space="preserve"> من شروط</w:t>
      </w:r>
      <w:r w:rsidRPr="00A03F47">
        <w:rPr>
          <w:rFonts w:ascii="Arabic Typesetting" w:hAnsi="Arabic Typesetting" w:cs="Arabic Typesetting"/>
          <w:sz w:val="36"/>
          <w:szCs w:val="36"/>
          <w:rtl/>
        </w:rPr>
        <w:t xml:space="preserve">، والتنسيق بين الأطراف المهتمة المتعددة التي تطالب بالحق في الموارد الوراثية المشتركة. </w:t>
      </w:r>
      <w:r w:rsidRPr="00A03F47">
        <w:rPr>
          <w:rFonts w:ascii="Arabic Typesetting" w:hAnsi="Arabic Typesetting" w:cs="Arabic Typesetting" w:hint="cs"/>
          <w:sz w:val="36"/>
          <w:szCs w:val="36"/>
          <w:rtl/>
        </w:rPr>
        <w:t>وعند تطوير قواعد البيانات الوطنية، ينبغي للدول الأعضاء أن تتشاور مع أصحاب المصالح من الشعوب الأصلية المعنية في الإقليم قبل أن تضع في قواعد البيانات المعارف التقليدية الأصلية والموارد الوراثية من أراضي القبائل. و</w:t>
      </w:r>
      <w:r w:rsidRPr="00A03F47">
        <w:rPr>
          <w:rFonts w:ascii="Arabic Typesetting" w:hAnsi="Arabic Typesetting" w:cs="Arabic Typesetting"/>
          <w:sz w:val="36"/>
          <w:szCs w:val="36"/>
          <w:rtl/>
        </w:rPr>
        <w:t xml:space="preserve">أما ما يخص شكل قاعدة البيانات، </w:t>
      </w:r>
      <w:r w:rsidRPr="00A03F47">
        <w:rPr>
          <w:rFonts w:ascii="Arabic Typesetting" w:hAnsi="Arabic Typesetting" w:cs="Arabic Typesetting" w:hint="cs"/>
          <w:sz w:val="36"/>
          <w:szCs w:val="36"/>
          <w:rtl/>
        </w:rPr>
        <w:t xml:space="preserve">فينبغي </w:t>
      </w:r>
      <w:r w:rsidRPr="00A03F47">
        <w:rPr>
          <w:rFonts w:ascii="Arabic Typesetting" w:hAnsi="Arabic Typesetting" w:cs="Arabic Typesetting"/>
          <w:sz w:val="36"/>
          <w:szCs w:val="36"/>
          <w:rtl/>
        </w:rPr>
        <w:t xml:space="preserve">على الويبو </w:t>
      </w:r>
      <w:r w:rsidRPr="00A03F47">
        <w:rPr>
          <w:rFonts w:ascii="Arabic Typesetting" w:hAnsi="Arabic Typesetting" w:cs="Arabic Typesetting" w:hint="cs"/>
          <w:sz w:val="36"/>
          <w:szCs w:val="36"/>
          <w:rtl/>
        </w:rPr>
        <w:t>تصميم</w:t>
      </w:r>
      <w:r w:rsidRPr="00A03F47">
        <w:rPr>
          <w:rFonts w:ascii="Arabic Typesetting" w:hAnsi="Arabic Typesetting" w:cs="Arabic Typesetting"/>
          <w:sz w:val="36"/>
          <w:szCs w:val="36"/>
          <w:rtl/>
        </w:rPr>
        <w:t xml:space="preserve"> شكل أساسي لتسجيل البيانات داخل قاعدة البيانات</w:t>
      </w:r>
      <w:r w:rsidRPr="00A03F47">
        <w:rPr>
          <w:rFonts w:ascii="Arabic Typesetting" w:hAnsi="Arabic Typesetting" w:cs="Arabic Typesetting" w:hint="cs"/>
          <w:sz w:val="36"/>
          <w:szCs w:val="36"/>
          <w:rtl/>
        </w:rPr>
        <w:t xml:space="preserve">، علما بأن النسق أو الشكل المسموح به لحالة التقنية الصناعية السابقة أو المواد المرجعية (كتابي/شفهي مثلا) قد يختلف حسب القانون الوطني للبراءات وممارساته. </w:t>
      </w:r>
      <w:r w:rsidRPr="00A03F47">
        <w:rPr>
          <w:rFonts w:ascii="Arabic Typesetting" w:hAnsi="Arabic Typesetting" w:cs="Arabic Typesetting"/>
          <w:sz w:val="36"/>
          <w:szCs w:val="36"/>
          <w:rtl/>
        </w:rPr>
        <w:t xml:space="preserve">فعلى سبيل المثال، يتعين </w:t>
      </w:r>
      <w:r w:rsidRPr="00A03F47">
        <w:rPr>
          <w:rFonts w:ascii="Arabic Typesetting" w:hAnsi="Arabic Typesetting" w:cs="Arabic Typesetting" w:hint="cs"/>
          <w:sz w:val="36"/>
          <w:szCs w:val="36"/>
          <w:rtl/>
        </w:rPr>
        <w:t>أن تحتوي المعلومات المدخلة في</w:t>
      </w:r>
      <w:r w:rsidRPr="00A03F47">
        <w:rPr>
          <w:rFonts w:ascii="Arabic Typesetting" w:hAnsi="Arabic Typesetting" w:cs="Arabic Typesetting"/>
          <w:sz w:val="36"/>
          <w:szCs w:val="36"/>
          <w:rtl/>
        </w:rPr>
        <w:t xml:space="preserve"> قاعدة البيانات </w:t>
      </w:r>
      <w:r w:rsidRPr="00A03F47">
        <w:rPr>
          <w:rFonts w:ascii="Arabic Typesetting" w:hAnsi="Arabic Typesetting" w:cs="Arabic Typesetting" w:hint="cs"/>
          <w:sz w:val="36"/>
          <w:szCs w:val="36"/>
          <w:rtl/>
        </w:rPr>
        <w:t>على</w:t>
      </w:r>
      <w:r w:rsidRPr="00A03F47">
        <w:rPr>
          <w:rFonts w:ascii="Arabic Typesetting" w:hAnsi="Arabic Typesetting" w:cs="Arabic Typesetting"/>
          <w:sz w:val="36"/>
          <w:szCs w:val="36"/>
          <w:rtl/>
        </w:rPr>
        <w:t xml:space="preserve"> اسم المورد الوراثي ووصف مختصر له، و</w:t>
      </w:r>
      <w:r w:rsidRPr="00A03F47">
        <w:rPr>
          <w:rFonts w:ascii="Arabic Typesetting" w:hAnsi="Arabic Typesetting" w:cs="Arabic Typesetting" w:hint="cs"/>
          <w:sz w:val="36"/>
          <w:szCs w:val="36"/>
          <w:rtl/>
        </w:rPr>
        <w:t xml:space="preserve">رقم </w:t>
      </w:r>
      <w:r w:rsidRPr="00A03F47">
        <w:rPr>
          <w:rFonts w:ascii="Arabic Typesetting" w:hAnsi="Arabic Typesetting" w:cs="Arabic Typesetting"/>
          <w:sz w:val="36"/>
          <w:szCs w:val="36"/>
          <w:rtl/>
        </w:rPr>
        <w:t>رمز</w:t>
      </w:r>
      <w:r w:rsidRPr="00A03F47">
        <w:rPr>
          <w:rFonts w:ascii="Arabic Typesetting" w:hAnsi="Arabic Typesetting" w:cs="Arabic Typesetting" w:hint="cs"/>
          <w:sz w:val="36"/>
          <w:szCs w:val="36"/>
          <w:rtl/>
        </w:rPr>
        <w:t>ي</w:t>
      </w:r>
      <w:r w:rsidRPr="00A03F47">
        <w:rPr>
          <w:rFonts w:ascii="Arabic Typesetting" w:hAnsi="Arabic Typesetting" w:cs="Arabic Typesetting"/>
          <w:sz w:val="36"/>
          <w:szCs w:val="36"/>
          <w:rtl/>
        </w:rPr>
        <w:t xml:space="preserve"> لتحديد </w:t>
      </w:r>
      <w:r w:rsidRPr="00A03F47">
        <w:rPr>
          <w:rFonts w:ascii="Arabic Typesetting" w:hAnsi="Arabic Typesetting" w:cs="Arabic Typesetting" w:hint="cs"/>
          <w:sz w:val="36"/>
          <w:szCs w:val="36"/>
          <w:rtl/>
        </w:rPr>
        <w:t xml:space="preserve">ذلك </w:t>
      </w:r>
      <w:r w:rsidRPr="00A03F47">
        <w:rPr>
          <w:rFonts w:ascii="Arabic Typesetting" w:hAnsi="Arabic Typesetting" w:cs="Arabic Typesetting"/>
          <w:sz w:val="36"/>
          <w:szCs w:val="36"/>
          <w:rtl/>
        </w:rPr>
        <w:t xml:space="preserve">المورد الوراثي. </w:t>
      </w:r>
      <w:r w:rsidRPr="00A03F47">
        <w:rPr>
          <w:rFonts w:ascii="Arabic Typesetting" w:hAnsi="Arabic Typesetting" w:cs="Arabic Typesetting" w:hint="cs"/>
          <w:sz w:val="36"/>
          <w:szCs w:val="36"/>
          <w:rtl/>
        </w:rPr>
        <w:t>و</w:t>
      </w:r>
      <w:r w:rsidRPr="00A03F47">
        <w:rPr>
          <w:rFonts w:ascii="Arabic Typesetting" w:hAnsi="Arabic Typesetting" w:cs="Arabic Typesetting"/>
          <w:sz w:val="36"/>
          <w:szCs w:val="36"/>
          <w:rtl/>
        </w:rPr>
        <w:t>أما بالنسبة للموارد الوراثية المدرجة في أحد المنشورات</w:t>
      </w:r>
      <w:r w:rsidRPr="00A03F47">
        <w:rPr>
          <w:rFonts w:ascii="Arabic Typesetting" w:hAnsi="Arabic Typesetting" w:cs="Arabic Typesetting" w:hint="cs"/>
          <w:sz w:val="36"/>
          <w:szCs w:val="36"/>
          <w:rtl/>
        </w:rPr>
        <w:t>، في كتاب</w:t>
      </w:r>
      <w:r w:rsidRPr="00A03F47">
        <w:rPr>
          <w:rFonts w:ascii="Arabic Typesetting" w:hAnsi="Arabic Typesetting" w:cs="Arabic Typesetting"/>
          <w:sz w:val="36"/>
          <w:szCs w:val="36"/>
          <w:rtl/>
        </w:rPr>
        <w:t xml:space="preserve"> أو مجل</w:t>
      </w:r>
      <w:r w:rsidRPr="00A03F47">
        <w:rPr>
          <w:rFonts w:ascii="Arabic Typesetting" w:hAnsi="Arabic Typesetting" w:cs="Arabic Typesetting" w:hint="cs"/>
          <w:sz w:val="36"/>
          <w:szCs w:val="36"/>
          <w:rtl/>
        </w:rPr>
        <w:t>ة مثلا</w:t>
      </w:r>
      <w:r w:rsidRPr="00A03F47">
        <w:rPr>
          <w:rFonts w:ascii="Arabic Typesetting" w:hAnsi="Arabic Typesetting" w:cs="Arabic Typesetting"/>
          <w:sz w:val="36"/>
          <w:szCs w:val="36"/>
          <w:rtl/>
        </w:rPr>
        <w:t xml:space="preserve">، </w:t>
      </w:r>
      <w:r w:rsidRPr="00A03F47">
        <w:rPr>
          <w:rFonts w:ascii="Arabic Typesetting" w:hAnsi="Arabic Typesetting" w:cs="Arabic Typesetting" w:hint="cs"/>
          <w:sz w:val="36"/>
          <w:szCs w:val="36"/>
          <w:rtl/>
        </w:rPr>
        <w:t>فينبغي</w:t>
      </w:r>
      <w:r w:rsidRPr="00A03F47">
        <w:rPr>
          <w:rFonts w:ascii="Arabic Typesetting" w:hAnsi="Arabic Typesetting" w:cs="Arabic Typesetting"/>
          <w:sz w:val="36"/>
          <w:szCs w:val="36"/>
          <w:rtl/>
        </w:rPr>
        <w:t xml:space="preserve"> أيضا إدراج البيانات الببليوغرافية في قاعدة البيانات.</w:t>
      </w:r>
      <w:r w:rsidRPr="00A03F47">
        <w:rPr>
          <w:rFonts w:ascii="Arabic Typesetting" w:hAnsi="Arabic Typesetting" w:cs="Arabic Typesetting" w:hint="cs"/>
          <w:sz w:val="36"/>
          <w:szCs w:val="36"/>
          <w:rtl/>
        </w:rPr>
        <w:t xml:space="preserve"> ويمكن أن يشمل عمل اللجنة في المستقبل تطوير نسق أو شكل موحّد ومتبادل لأغراض المعلومات الواردة في قاعدة البيانات.</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تُوفر، في قواعد بيانات كل دولة من الدول الأعضاء في الويبو المشاركة، وظيفة بسيطة للبحث في النصوص. ويمكن تقديم المساعدة التقنية إلى البلدان غير القادرة على استحداث برامج بحث من هذا القبيل. فيمكن، على سبيل المثال، أن تقدم الويبو مساعدة تقنية في شكل برنامج مشترك للبحث.</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وسيُجهّز موقع بوابة الويبو بوظيفتين أساسيتين اثنتين هما: ("1") وظيفة تمكّن الفاحص من النفاذ مباشرةً إلى قواعد بيانات الدول الأعضاء في الويبو المشاركة، ("2") ووظيفة تمكّن الفاحص من استخراج بيانات من القواعد التي ينفذ إليها.</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ويمكن للفاحص، بمجرّد النفاذ إلى موقع بوابة الويبو وإدخال معادلة البحث، الحصول على نتائج من قواعد بيانات جميع الدول الأعضاء في الويبو المشاركة (انظر الشكل 2). ويمكن استخدام نتائج البحث كحالة صناعية سابقة أو مواد مرجعية لفحص طلب براءة، ممّا يسهّل على الفاحص البتّ في مدى افتقار موضوع طلب البراءة المعني إلى عنصر الجدة. وحيث إنّه لا يُطلب من الفاحص سوى الإشارة إلى المعلومات اللازمة الواردة في قاعدة البيانات عند رفضه للطلب قيد الفحص، فإنّ خطر تسرّب المعلومات سيكون ضئيلا للغاية.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وعلى الرغم من اختلاف اللغات المستخدمة في قواعد البيانات، فإنّ ثمة حلولا لتسوية مشكلة الحاجز اللغوي. فيمكن (وينبغي)، مثلا، ترجمة اسم كل مورد وراثي موجود في إحدى قواعد البيانات، فضلا عن وصفه المختصر، إلى اللغة الإنكليزية وتسجيل تلك الترجمة في قاعدة البيانات ككلمات مفتاحية. ومن الحلول الأخرى استحداث مسرد متعدّد اللغات بالمصطلحات التقنية. ويمكن للفاحص، بفضل ذلك المسرد، أن يدخل كلمة بحث مفتاحية بلغة ما ويحصل على ترجمتها آليا إلى لغات متعدّدة، ثمّ يمكنه باستخدام الكلمات المفتاحية المُترجَمة أن يبحث بنقرة واحدة وبلغات متعدّدة في قواعد بيانات الدول الأعضاء في الويبو المشاركة.</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ثالثا.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منع نفاذ الغير إلى موقع البوابة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لمنع الغير من النفاذ إلى موقع بوابة الويبو ستُتخذ الإجراءات اللازمة كي لا يُسمح النفاذ إلى ذلك الموقع إلاّ من عناوين بروتوكول الإنترنت المُسجّلة.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وسيوضع على وجه التحديد نظام للتحقق من صحة عنوانين بروتوكول الإنترنت في موقع بوابة الويبو. ولن يُسمح النفاذ عند ذلك سوى لعناوين بروتوكول الإنترنت المسجّلة (انظر الشكل 1).</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وتملك مكاتب الملكية الفكرية التي تجري عمليات الفحص عناوين محدّدة من عناوين بروتوكول الإنترنت. وعليه يمكننا، بتقييد النفاذ إلى موقع بوابة الويبو وقصره على عناوين محدّدة، حصر مستخدمي الموقع على مكاتب الملكية الفكرية التي سجّلت عناوين بروتوكول الإنترنت الفريدة الخاصة بها لدى الويبو.</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lastRenderedPageBreak/>
        <w:t>ومن جهة أخرى، صحيح أن أصحاب المصالح يمكن أن يساهموا في منع منح البراءات عن خطأ، وذلك بإجراء بحث في حالة التقنية الصناعية السابقة أو المواد المرجعية لمصلحتهم أو لأغراض طلبات البراءات المعنية. وعليه، وقبل النظر مليا في هذه المسألة، لا ينبغي أن تُستبعد كليا إمكانية تقييد نفاذ العموم إلى موقع بوابة الويبو.</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رابعا.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تسجيل المعلومات المستشهد بها/المرجعية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يمكن أن يعثر الفاحص، عند نفاذه إلى موقع بوابة الويبو، على مجموعة وجيهة من المعلومات الخاصة بالموارد الوراثية و/أو المعارف التقليدية غير السرية المرتبطة بها والتي من شأنها أن تمثّل حالة صناعية سابقة أو معلومات مرجعية تساعد على البتّ في أحد طلبات البراءات قيد الفحص. وسيكون من القيّم، في تلك الحالة، أن يوفر موقع بوابة الويبو وظيفة تمكّن الفاحص من إضافة أيّة بيانات تتعلق بذلك الطلب (مثل رقم الطلب) ضمن الرقم الرمزي لأحد الموارد الوراثية و/أو إحدى المعارف التقليدية غير السرية الوجيهة المرتبطة بها. وبالتالي يمكن الربط بين الرقم الرمزي المتصل بأحد الموارد الوراثية و/أو</w:t>
      </w:r>
      <w:r w:rsidRPr="00A03F47">
        <w:rPr>
          <w:rFonts w:ascii="Arabic Typesetting" w:hAnsi="Arabic Typesetting" w:cs="Arabic Typesetting" w:hint="eastAsia"/>
          <w:sz w:val="36"/>
          <w:szCs w:val="36"/>
          <w:rtl/>
        </w:rPr>
        <w:t> </w:t>
      </w:r>
      <w:r w:rsidRPr="00A03F47">
        <w:rPr>
          <w:rFonts w:ascii="Arabic Typesetting" w:hAnsi="Arabic Typesetting" w:cs="Arabic Typesetting" w:hint="cs"/>
          <w:sz w:val="36"/>
          <w:szCs w:val="36"/>
          <w:rtl/>
        </w:rPr>
        <w:t>إحدى المعارف التقليدية غير السرية المرتبطة بها وبين رقم طلب براءة وجيه. ويمكن استخدام تلك البيانات الخاصة بطلبات البراءات ذات الصلة بالموارد الوراثية و/أو المعارف التقليدية المرتبطة بها من قبل الأطراف المهتمة لاستكشاف الحالات التي تم فيها إيداع طلبات البراءات المرتبطة بالموارد المعنية لدى مكاتب محدّدة من مكاتب الملكية الفكرية. وقد يُسمح للأطراف المهتمة (مثل الشعوب الأصلية) التي قدمت معلومات عن الموارد الوراثية و/أو المعارف التقليدية غير السرية المرتبطة بالموارد الوراثية المعنية، من خلال إدارة الفحص أو غيرها من الإدارات المختصة، بالنفاذ إلى البيانات المتعلقة بطلبات البراءات الوجيهة.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ويلاحَظ أنّ أي ترابط بين البيانات الواردة في طلب براءة وبعض الموارد الوراثية و/أو المعارف التقليدية غير السرية المرتبطة بها في إحدى قواعد البيانات ليست له أية دلالة لمعرفة هل الاختراع الذي يتضمنه الطلب قد استوفى أحكام اتفاقية التنوع البيولوجي.</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خامسا.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التطبيق</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سيعتمد إنشاء قواعد البيانات وتحسينها واستخدامها على توافر الموارد.</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تتخذ الدول الأعضاء التدابير القانونية أو السياسية أو الإدارية المناسبة والفعالة، حسب الاقتضاء وطبقا للقانون الوطني، من أجل تيسير تطبيق هذه التوصية. وينبغي أن يشمل ذلك توفير إرشادات للفاحصين بشأن استخدام قاعدة البيانات وسرية الوثائق الواردة فيها.</w:t>
      </w:r>
    </w:p>
    <w:p w:rsidR="00A03F47" w:rsidRPr="00A03F47" w:rsidRDefault="00A03F47" w:rsidP="00A03F47">
      <w:pPr>
        <w:keepNext/>
        <w:bidi/>
        <w:spacing w:after="240" w:line="360" w:lineRule="exact"/>
        <w:rPr>
          <w:rFonts w:ascii="Arabic Typesetting" w:hAnsi="Arabic Typesetting" w:cs="Arabic Typesetting"/>
          <w:sz w:val="40"/>
          <w:szCs w:val="40"/>
          <w:rtl/>
        </w:rPr>
      </w:pPr>
      <w:r w:rsidRPr="00A03F47">
        <w:rPr>
          <w:rFonts w:ascii="Arabic Typesetting" w:hAnsi="Arabic Typesetting" w:cs="Arabic Typesetting" w:hint="cs"/>
          <w:sz w:val="40"/>
          <w:szCs w:val="40"/>
          <w:rtl/>
        </w:rPr>
        <w:t>سادسا.</w:t>
      </w:r>
      <w:r w:rsidRPr="00A03F47">
        <w:rPr>
          <w:rFonts w:ascii="Arabic Typesetting" w:hAnsi="Arabic Typesetting" w:cs="Arabic Typesetting"/>
          <w:sz w:val="40"/>
          <w:szCs w:val="40"/>
          <w:rtl/>
        </w:rPr>
        <w:tab/>
      </w:r>
      <w:r w:rsidRPr="00A03F47">
        <w:rPr>
          <w:rFonts w:ascii="Arabic Typesetting" w:hAnsi="Arabic Typesetting" w:cs="Arabic Typesetting" w:hint="cs"/>
          <w:sz w:val="40"/>
          <w:szCs w:val="40"/>
          <w:rtl/>
        </w:rPr>
        <w:t>العمل المقبل</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إن الدول الأعضاء مدعوة إلى النظر في القضايا الرئيسية التالية ومشاطرة وجهات نظرها وتجاربها:</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بيانات مرتّبة لحفظها في قواعد البيانات (مثل الموارد الوراثية والمعارف التقليدية غير السرية المرتبطة بالموارد الوراثية) بغية إجراء بحث فعال في حالة التقنية الصناعية السابقة؛</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ونسق أو شكل مسموح به لحماية التقنية الصناعية السابقة أو المواد المرجعية (نسق كتابي أو شفهي مثلا) وفقا للقانون الوطني وممارساته؛</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وإمكانيات النفاذ إلى موقع بوابة الويبو (مثل مكاتب الملكية الفكرية وأصحاب المصالح)</w:t>
      </w:r>
    </w:p>
    <w:p w:rsidR="00A03F47" w:rsidRPr="00A03F47" w:rsidRDefault="00A03F47" w:rsidP="00A03F47">
      <w:pPr>
        <w:numPr>
          <w:ilvl w:val="0"/>
          <w:numId w:val="22"/>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lang w:val="fr-CH"/>
        </w:rPr>
        <w:t>ووقع قواعد البيانات الوطنية على الموارد الوراثية والمعارف التقليدية غير السرية المرتبطة بالموارد الوراثية المحمية بموجب الأعراف القبلية أو قوانين الملكية الفكرية (مثل نفاذ الغير بطريقة غير مشروعة إلى قاعدة بيانات و</w:t>
      </w:r>
      <w:r w:rsidRPr="00A03F47">
        <w:rPr>
          <w:rFonts w:ascii="Arabic Typesetting" w:hAnsi="Arabic Typesetting" w:cs="Arabic Typesetting" w:hint="cs"/>
          <w:sz w:val="36"/>
          <w:szCs w:val="36"/>
          <w:rtl/>
        </w:rPr>
        <w:t>طنية أو بوابة الويبو)؛</w:t>
      </w:r>
    </w:p>
    <w:p w:rsidR="00A03F47" w:rsidRPr="00A03F47" w:rsidRDefault="00A03F47" w:rsidP="00A03F47">
      <w:pPr>
        <w:numPr>
          <w:ilvl w:val="0"/>
          <w:numId w:val="22"/>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lastRenderedPageBreak/>
        <w:t>والإجراء المتّبع لملء قاعدة بيانات وطنية (مثل التشاور مع أصحاب المصالح من الشعوب الأصلية).</w:t>
      </w:r>
    </w:p>
    <w:p w:rsidR="00A03F47" w:rsidRPr="00A03F47" w:rsidRDefault="00A03F47" w:rsidP="00A03F47">
      <w:pPr>
        <w:numPr>
          <w:ilvl w:val="0"/>
          <w:numId w:val="11"/>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وينبغي أن ينظر المكتب الدولي للويبو في إمكانية استحداث قاعدة البيانات دون الإخلال بأيّة مصالح. وينبغي لدراسات الجدوى التي يعدّها المكتب الدولي للويبو أن يشمل ما يلي دون الاقتصار على ذلك:</w:t>
      </w:r>
    </w:p>
    <w:p w:rsidR="00A03F47" w:rsidRPr="00A03F47" w:rsidRDefault="00A03F47" w:rsidP="00A03F47">
      <w:pPr>
        <w:numPr>
          <w:ilvl w:val="0"/>
          <w:numId w:val="23"/>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دراسة الشرط التقني (الشروط التقنية) للترابط الفعال بين موقع بوابة الويبو وقواعد بيانات الدول الأعضاء؛</w:t>
      </w:r>
    </w:p>
    <w:p w:rsidR="00A03F47" w:rsidRPr="00A03F47" w:rsidRDefault="00A03F47" w:rsidP="00A03F47">
      <w:pPr>
        <w:numPr>
          <w:ilvl w:val="0"/>
          <w:numId w:val="23"/>
        </w:numPr>
        <w:bidi/>
        <w:spacing w:line="360" w:lineRule="exact"/>
        <w:ind w:left="714" w:hanging="357"/>
        <w:rPr>
          <w:rFonts w:ascii="Arabic Typesetting" w:hAnsi="Arabic Typesetting" w:cs="Arabic Typesetting"/>
          <w:sz w:val="36"/>
          <w:szCs w:val="36"/>
        </w:rPr>
      </w:pPr>
      <w:r w:rsidRPr="00A03F47">
        <w:rPr>
          <w:rFonts w:ascii="Arabic Typesetting" w:hAnsi="Arabic Typesetting" w:cs="Arabic Typesetting" w:hint="cs"/>
          <w:sz w:val="36"/>
          <w:szCs w:val="36"/>
          <w:rtl/>
        </w:rPr>
        <w:t>واستحداث نموذج تجريبي لموقع بوابة الويبو ومشروع إرشادات حول استخدام قواعد البيانات وتشغيلها؛</w:t>
      </w:r>
    </w:p>
    <w:p w:rsidR="00A03F47" w:rsidRPr="00A03F47" w:rsidRDefault="00A03F47" w:rsidP="00A03F47">
      <w:pPr>
        <w:numPr>
          <w:ilvl w:val="0"/>
          <w:numId w:val="23"/>
        </w:numPr>
        <w:bidi/>
        <w:spacing w:after="240" w:line="360" w:lineRule="exact"/>
        <w:rPr>
          <w:rFonts w:ascii="Arabic Typesetting" w:hAnsi="Arabic Typesetting" w:cs="Arabic Typesetting"/>
          <w:sz w:val="36"/>
          <w:szCs w:val="36"/>
        </w:rPr>
      </w:pPr>
      <w:r w:rsidRPr="00A03F47">
        <w:rPr>
          <w:rFonts w:ascii="Arabic Typesetting" w:hAnsi="Arabic Typesetting" w:cs="Arabic Typesetting" w:hint="cs"/>
          <w:sz w:val="36"/>
          <w:szCs w:val="36"/>
          <w:rtl/>
        </w:rPr>
        <w:t>والنظر في المساعدة التقنية للدول الأعضاء حول تطوير قواعد البيانات.</w:t>
      </w:r>
    </w:p>
    <w:p w:rsidR="00F036D1" w:rsidRDefault="00F036D1">
      <w:pPr>
        <w:rPr>
          <w:rFonts w:ascii="Arabic Typesetting" w:hAnsi="Arabic Typesetting" w:cs="Arabic Typesetting"/>
          <w:sz w:val="36"/>
          <w:szCs w:val="36"/>
          <w:rtl/>
          <w:lang w:bidi="ar-EG"/>
        </w:rPr>
      </w:pPr>
      <w:r>
        <w:rPr>
          <w:rFonts w:ascii="Arabic Typesetting" w:hAnsi="Arabic Typesetting" w:cs="Arabic Typesetting"/>
          <w:sz w:val="36"/>
          <w:szCs w:val="36"/>
          <w:rtl/>
        </w:rPr>
        <w:br w:type="page"/>
      </w:r>
    </w:p>
    <w:p w:rsidR="00A03F47" w:rsidRPr="00A03F47" w:rsidRDefault="00A03F47" w:rsidP="00A03F47">
      <w:pPr>
        <w:bidi/>
        <w:spacing w:after="240"/>
        <w:rPr>
          <w:rFonts w:ascii="Arabic Typesetting" w:hAnsi="Arabic Typesetting" w:cs="Arabic Typesetting"/>
          <w:sz w:val="36"/>
          <w:szCs w:val="36"/>
        </w:rPr>
      </w:pPr>
      <w:r w:rsidRPr="00A03F47">
        <w:rPr>
          <w:rFonts w:ascii="Arabic Typesetting" w:hAnsi="Arabic Typesetting" w:cs="Arabic Typesetting"/>
          <w:noProof/>
          <w:sz w:val="36"/>
          <w:szCs w:val="36"/>
        </w:rPr>
        <w:lastRenderedPageBreak/>
        <mc:AlternateContent>
          <mc:Choice Requires="wps">
            <w:drawing>
              <wp:anchor distT="0" distB="0" distL="114300" distR="114300" simplePos="0" relativeHeight="251661312" behindDoc="0" locked="0" layoutInCell="0" allowOverlap="1" wp14:anchorId="48123955" wp14:editId="7E2E4379">
                <wp:simplePos x="0" y="0"/>
                <wp:positionH relativeFrom="column">
                  <wp:posOffset>1257300</wp:posOffset>
                </wp:positionH>
                <wp:positionV relativeFrom="paragraph">
                  <wp:posOffset>87630</wp:posOffset>
                </wp:positionV>
                <wp:extent cx="3981450" cy="6858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685800"/>
                        </a:xfrm>
                        <a:prstGeom prst="rect">
                          <a:avLst/>
                        </a:prstGeom>
                        <a:solidFill>
                          <a:srgbClr val="FFFFFF"/>
                        </a:solidFill>
                        <a:ln w="9525">
                          <a:solidFill>
                            <a:srgbClr val="000000"/>
                          </a:solidFill>
                          <a:miter lim="800000"/>
                          <a:headEnd/>
                          <a:tailEnd/>
                        </a:ln>
                      </wps:spPr>
                      <wps:txbx>
                        <w:txbxContent>
                          <w:p w:rsidR="00A03F47" w:rsidRDefault="00A03F47" w:rsidP="00A03F47">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A03F47" w:rsidRDefault="00A03F47" w:rsidP="00A03F4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99pt;margin-top:6.9pt;width:31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" o:allowincell="f">
                <v:textbox>
                  <w:txbxContent>
                    <w:p w:rsidR="00A03F47" w:rsidRDefault="00A03F47" w:rsidP="00A03F47">
                      <w:pPr>
                        <w:pStyle w:val="NumberedParaAR"/>
                        <w:numPr>
                          <w:ilvl w:val="0"/>
                          <w:numId w:val="0"/>
                        </w:numPr>
                        <w:rPr>
                          <w:rtl/>
                        </w:rPr>
                      </w:pPr>
                      <w:r>
                        <w:rPr>
                          <w:rFonts w:hint="cs"/>
                          <w:rtl/>
                        </w:rPr>
                        <w:t>الشكل 1: نبذة عامة عن نظام البحث بنقرة واحدة في قواعد بيانات الدول الأعضاء في الويبو</w:t>
                      </w:r>
                    </w:p>
                    <w:p w:rsidR="00A03F47" w:rsidRDefault="00A03F47" w:rsidP="00A03F47">
                      <w:pPr>
                        <w:jc w:val="center"/>
                      </w:pPr>
                    </w:p>
                  </w:txbxContent>
                </v:textbox>
              </v:shape>
            </w:pict>
          </mc:Fallback>
        </mc:AlternateContent>
      </w:r>
      <w:r w:rsidRPr="00A03F47">
        <w:rPr>
          <w:rFonts w:ascii="Arabic Typesetting" w:hAnsi="Arabic Typesetting" w:cs="Arabic Typesetting"/>
          <w:noProof/>
          <w:sz w:val="36"/>
          <w:szCs w:val="36"/>
        </w:rPr>
        <w:drawing>
          <wp:anchor distT="0" distB="0" distL="114300" distR="114300" simplePos="0" relativeHeight="251659264" behindDoc="0" locked="0" layoutInCell="1" allowOverlap="1" wp14:anchorId="4FDF71BE" wp14:editId="4A1B585F">
            <wp:simplePos x="0" y="0"/>
            <wp:positionH relativeFrom="column">
              <wp:align>right</wp:align>
            </wp:positionH>
            <wp:positionV relativeFrom="paragraph">
              <wp:posOffset>0</wp:posOffset>
            </wp:positionV>
            <wp:extent cx="5481955" cy="4819015"/>
            <wp:effectExtent l="0" t="0" r="444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195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r w:rsidRPr="00A03F47">
        <w:rPr>
          <w:rFonts w:hint="cs"/>
          <w:noProof/>
        </w:rPr>
        <mc:AlternateContent>
          <mc:Choice Requires="wps">
            <w:drawing>
              <wp:anchor distT="0" distB="0" distL="114300" distR="114300" simplePos="0" relativeHeight="251662336" behindDoc="0" locked="0" layoutInCell="0" allowOverlap="1" wp14:anchorId="446E4DF1" wp14:editId="56B0F0FD">
                <wp:simplePos x="0" y="0"/>
                <wp:positionH relativeFrom="column">
                  <wp:posOffset>2266950</wp:posOffset>
                </wp:positionH>
                <wp:positionV relativeFrom="paragraph">
                  <wp:posOffset>114300</wp:posOffset>
                </wp:positionV>
                <wp:extent cx="2794000" cy="4572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457200"/>
                        </a:xfrm>
                        <a:prstGeom prst="rect">
                          <a:avLst/>
                        </a:prstGeom>
                        <a:solidFill>
                          <a:srgbClr val="FFFFFF"/>
                        </a:solidFill>
                        <a:ln w="9525">
                          <a:solidFill>
                            <a:srgbClr val="000000"/>
                          </a:solidFill>
                          <a:miter lim="800000"/>
                          <a:headEnd/>
                          <a:tailEnd/>
                        </a:ln>
                      </wps:spPr>
                      <wps:txbx>
                        <w:txbxContent>
                          <w:p w:rsidR="00A03F47" w:rsidRPr="00703EE8" w:rsidRDefault="00A03F47" w:rsidP="00A03F47">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178.5pt;margin-top:9pt;width:22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" o:allowincell="f">
                <v:textbox>
                  <w:txbxContent>
                    <w:p w:rsidR="00A03F47" w:rsidRPr="00703EE8" w:rsidRDefault="00A03F47" w:rsidP="00A03F47">
                      <w:pPr>
                        <w:bidi/>
                        <w:rPr>
                          <w:rFonts w:ascii="Arabic Typesetting" w:hAnsi="Arabic Typesetting" w:cs="Arabic Typesetting"/>
                          <w:sz w:val="36"/>
                          <w:szCs w:val="36"/>
                        </w:rPr>
                      </w:pPr>
                      <w:r w:rsidRPr="00703EE8">
                        <w:rPr>
                          <w:rFonts w:ascii="Arabic Typesetting" w:hAnsi="Arabic Typesetting" w:cs="Arabic Typesetting"/>
                          <w:sz w:val="36"/>
                          <w:szCs w:val="36"/>
                          <w:rtl/>
                        </w:rPr>
                        <w:t>الشكل 2: صورة عن شاشة لاستخراج المعلومات</w:t>
                      </w:r>
                    </w:p>
                  </w:txbxContent>
                </v:textbox>
              </v:shape>
            </w:pict>
          </mc:Fallback>
        </mc:AlternateContent>
      </w:r>
    </w:p>
    <w:p w:rsidR="00A03F47" w:rsidRPr="00A03F47" w:rsidRDefault="00A03F47" w:rsidP="00A03F47"/>
    <w:p w:rsidR="00A03F47" w:rsidRPr="00A03F47" w:rsidRDefault="00A03F47" w:rsidP="00A03F47"/>
    <w:p w:rsidR="00A03F47" w:rsidRPr="00A03F47" w:rsidRDefault="00A03F47" w:rsidP="00A03F47">
      <w:pPr>
        <w:ind w:firstLine="567"/>
      </w:pPr>
    </w:p>
    <w:p w:rsidR="00A03F47" w:rsidRPr="00A03F47" w:rsidRDefault="00A03F47" w:rsidP="00A03F47">
      <w:pPr>
        <w:jc w:val="right"/>
      </w:pPr>
      <w:r w:rsidRPr="00A03F47">
        <w:rPr>
          <w:noProof/>
        </w:rPr>
        <w:drawing>
          <wp:anchor distT="0" distB="0" distL="114300" distR="114300" simplePos="0" relativeHeight="251660288" behindDoc="0" locked="0" layoutInCell="1" allowOverlap="1" wp14:anchorId="1ADE08D6" wp14:editId="5305C33F">
            <wp:simplePos x="0" y="0"/>
            <wp:positionH relativeFrom="column">
              <wp:align>right</wp:align>
            </wp:positionH>
            <wp:positionV relativeFrom="paragraph">
              <wp:posOffset>0</wp:posOffset>
            </wp:positionV>
            <wp:extent cx="5410200" cy="1685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 w:rsidR="00A03F47" w:rsidRPr="00A03F47" w:rsidRDefault="00A03F47" w:rsidP="00A03F47">
      <w:pPr>
        <w:bidi/>
        <w:spacing w:after="240" w:line="360" w:lineRule="exact"/>
        <w:ind w:left="5534"/>
        <w:rPr>
          <w:rFonts w:ascii="Arabic Typesetting" w:hAnsi="Arabic Typesetting" w:cs="Arabic Typesetting"/>
          <w:sz w:val="36"/>
          <w:szCs w:val="36"/>
          <w:lang w:val="fr-CH"/>
        </w:rPr>
      </w:pPr>
      <w:r w:rsidRPr="00A03F47">
        <w:rPr>
          <w:rFonts w:ascii="Arabic Typesetting" w:hAnsi="Arabic Typesetting" w:cs="Arabic Typesetting" w:hint="cs"/>
          <w:sz w:val="36"/>
          <w:szCs w:val="36"/>
          <w:rtl/>
        </w:rPr>
        <w:t>[نهاية المرفق والوثيقة]</w:t>
      </w:r>
    </w:p>
    <w:sectPr w:rsidR="00A03F47" w:rsidRPr="00A03F47" w:rsidSect="00F036D1">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CBC" w:rsidRDefault="00AF1CBC">
      <w:r>
        <w:separator/>
      </w:r>
    </w:p>
  </w:endnote>
  <w:endnote w:type="continuationSeparator" w:id="0">
    <w:p w:rsidR="00AF1CBC" w:rsidRDefault="00AF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CBC" w:rsidRDefault="00AF1CBC" w:rsidP="009622BF">
      <w:pPr>
        <w:bidi/>
      </w:pPr>
      <w:bookmarkStart w:id="0" w:name="OLE_LINK1"/>
      <w:bookmarkStart w:id="1" w:name="OLE_LINK2"/>
      <w:r>
        <w:separator/>
      </w:r>
      <w:bookmarkEnd w:id="0"/>
      <w:bookmarkEnd w:id="1"/>
    </w:p>
  </w:footnote>
  <w:footnote w:type="continuationSeparator" w:id="0">
    <w:p w:rsidR="00AF1CBC" w:rsidRDefault="00AF1CBC" w:rsidP="009622BF">
      <w:pPr>
        <w:bidi/>
      </w:pPr>
      <w:r>
        <w:separator/>
      </w:r>
    </w:p>
  </w:footnote>
  <w:footnote w:id="1">
    <w:p w:rsidR="00A03F47" w:rsidRDefault="00A03F47" w:rsidP="00A03F47">
      <w:pPr>
        <w:pStyle w:val="FootnoteText"/>
      </w:pPr>
      <w:r>
        <w:rPr>
          <w:rStyle w:val="FootnoteReference"/>
        </w:rPr>
        <w:footnoteRef/>
      </w:r>
      <w:r>
        <w:rPr>
          <w:rtl/>
        </w:rPr>
        <w:t xml:space="preserve"> </w:t>
      </w:r>
      <w:r>
        <w:rPr>
          <w:rFonts w:hint="cs"/>
          <w:rtl/>
        </w:rPr>
        <w:t>تشمل المواد المرجعية المعلومات غير المتاحة للعموم التي لا يمكن إلا للفاحص استخدامها كمراجع لتحديد الأهلية للحماية بموجب براءة.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8D5779">
    <w:r w:rsidRPr="0015593C">
      <w:t>WIPO/GRTKF/IC/30/--</w:t>
    </w:r>
  </w:p>
  <w:p w:rsidR="002F77FC" w:rsidRDefault="002F77FC" w:rsidP="00D61541">
    <w:r>
      <w:fldChar w:fldCharType="begin"/>
    </w:r>
    <w:r>
      <w:instrText xml:space="preserve"> PAGE  \* MERGEFORMAT </w:instrText>
    </w:r>
    <w:r>
      <w:fldChar w:fldCharType="separate"/>
    </w:r>
    <w:r w:rsidR="00F036D1">
      <w:rPr>
        <w:noProof/>
      </w:rPr>
      <w:t>6</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6D1" w:rsidRDefault="00F036D1" w:rsidP="00887D48">
    <w:r w:rsidRPr="0015593C">
      <w:t>WIPO/GRTKF/IC/</w:t>
    </w:r>
    <w:r w:rsidR="0028761D">
      <w:t>32/7</w:t>
    </w:r>
  </w:p>
  <w:p w:rsidR="00F036D1" w:rsidRDefault="00F036D1" w:rsidP="00F036D1">
    <w:r>
      <w:t>Annex</w:t>
    </w:r>
  </w:p>
  <w:p w:rsidR="00F036D1" w:rsidRDefault="00F036D1" w:rsidP="00D61541">
    <w:r>
      <w:fldChar w:fldCharType="begin"/>
    </w:r>
    <w:r>
      <w:instrText xml:space="preserve"> PAGE  \* MERGEFORMAT </w:instrText>
    </w:r>
    <w:r>
      <w:fldChar w:fldCharType="separate"/>
    </w:r>
    <w:r w:rsidR="00B0097A">
      <w:rPr>
        <w:noProof/>
      </w:rPr>
      <w:t>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775" w:rsidRDefault="00840775" w:rsidP="0028761D">
    <w:r>
      <w:t>WIPO/GRTKF/IC/</w:t>
    </w:r>
    <w:r w:rsidR="00BF0130">
      <w:t>3</w:t>
    </w:r>
    <w:r w:rsidR="0028761D">
      <w:t>2/7</w:t>
    </w:r>
  </w:p>
  <w:p w:rsidR="00840775" w:rsidRDefault="00840775" w:rsidP="00840775">
    <w:r>
      <w:t>ANNEX</w:t>
    </w:r>
  </w:p>
  <w:p w:rsidR="00840775" w:rsidRPr="00840775" w:rsidRDefault="00840775" w:rsidP="00A03F47">
    <w:pPr>
      <w:pStyle w:val="Header"/>
      <w:rPr>
        <w:rFonts w:ascii="Arabic Typesetting" w:hAnsi="Arabic Typesetting" w:cs="Arabic Typesetting"/>
        <w:sz w:val="40"/>
        <w:szCs w:val="40"/>
        <w:rtl/>
        <w:lang w:bidi="ar-EG"/>
      </w:rPr>
    </w:pPr>
    <w:r w:rsidRPr="00840775">
      <w:rPr>
        <w:rFonts w:ascii="Arabic Typesetting" w:hAnsi="Arabic Typesetting" w:cs="Arabic Typesetting"/>
        <w:sz w:val="40"/>
        <w:szCs w:val="40"/>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2650653"/>
    <w:multiLevelType w:val="hybridMultilevel"/>
    <w:tmpl w:val="B0CCFCA2"/>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2436B0"/>
    <w:multiLevelType w:val="hybridMultilevel"/>
    <w:tmpl w:val="95CADBCC"/>
    <w:lvl w:ilvl="0" w:tplc="FE6C0D5A">
      <w:start w:val="17"/>
      <w:numFmt w:val="bullet"/>
      <w:lvlText w:val="•"/>
      <w:lvlJc w:val="left"/>
      <w:pPr>
        <w:ind w:left="720" w:hanging="360"/>
      </w:pPr>
      <w:rPr>
        <w:rFonts w:ascii="Arabic Typesetting" w:eastAsia="Times New Roman"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9"/>
  </w:num>
  <w:num w:numId="5">
    <w:abstractNumId w:val="8"/>
  </w:num>
  <w:num w:numId="6">
    <w:abstractNumId w:val="20"/>
  </w:num>
  <w:num w:numId="7">
    <w:abstractNumId w:val="13"/>
  </w:num>
  <w:num w:numId="8">
    <w:abstractNumId w:val="18"/>
  </w:num>
  <w:num w:numId="9">
    <w:abstractNumId w:val="17"/>
  </w:num>
  <w:num w:numId="10">
    <w:abstractNumId w:val="21"/>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57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8761D"/>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B75F4"/>
    <w:rsid w:val="002C014C"/>
    <w:rsid w:val="002C060C"/>
    <w:rsid w:val="002C0BA6"/>
    <w:rsid w:val="002C12A7"/>
    <w:rsid w:val="002C2B6F"/>
    <w:rsid w:val="002C2BC4"/>
    <w:rsid w:val="002C314F"/>
    <w:rsid w:val="002C3B74"/>
    <w:rsid w:val="002C4AD1"/>
    <w:rsid w:val="002C7D29"/>
    <w:rsid w:val="002D0298"/>
    <w:rsid w:val="002D1662"/>
    <w:rsid w:val="002D1DE5"/>
    <w:rsid w:val="002D309A"/>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B1A"/>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07FDE"/>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78E"/>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775"/>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7E51"/>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87D48"/>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57B"/>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2BD0"/>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F47"/>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1CBC"/>
    <w:rsid w:val="00AF3291"/>
    <w:rsid w:val="00AF395E"/>
    <w:rsid w:val="00AF4D6A"/>
    <w:rsid w:val="00AF5D2C"/>
    <w:rsid w:val="00AF5D6E"/>
    <w:rsid w:val="00AF6318"/>
    <w:rsid w:val="00B0072E"/>
    <w:rsid w:val="00B0097A"/>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4DD1"/>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1D3E"/>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130"/>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4F57"/>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1FF"/>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6D1"/>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B64DD1"/>
    <w:rPr>
      <w:rFonts w:ascii="Arial" w:hAnsi="Arial" w:cs="Arial"/>
      <w:sz w:val="22"/>
    </w:rPr>
  </w:style>
  <w:style w:type="character" w:styleId="PageNumber">
    <w:name w:val="page number"/>
    <w:rsid w:val="00B64DD1"/>
    <w:rPr>
      <w:rFonts w:ascii="Arial" w:hAnsi="Arial" w:cs="Arial"/>
      <w:sz w:val="20"/>
      <w:szCs w:val="20"/>
    </w:rPr>
  </w:style>
  <w:style w:type="paragraph" w:styleId="BalloonText">
    <w:name w:val="Balloon Text"/>
    <w:basedOn w:val="Normal"/>
    <w:link w:val="BalloonTextChar"/>
    <w:rsid w:val="0028761D"/>
    <w:rPr>
      <w:rFonts w:ascii="Tahoma" w:hAnsi="Tahoma" w:cs="Tahoma"/>
      <w:sz w:val="16"/>
      <w:szCs w:val="16"/>
    </w:rPr>
  </w:style>
  <w:style w:type="character" w:customStyle="1" w:styleId="BalloonTextChar">
    <w:name w:val="Balloon Text Char"/>
    <w:basedOn w:val="DefaultParagraphFont"/>
    <w:link w:val="BalloonText"/>
    <w:rsid w:val="002876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B64DD1"/>
    <w:rPr>
      <w:rFonts w:ascii="Arial" w:hAnsi="Arial" w:cs="Arial"/>
      <w:sz w:val="22"/>
    </w:rPr>
  </w:style>
  <w:style w:type="character" w:styleId="PageNumber">
    <w:name w:val="page number"/>
    <w:rsid w:val="00B64DD1"/>
    <w:rPr>
      <w:rFonts w:ascii="Arial" w:hAnsi="Arial" w:cs="Arial"/>
      <w:sz w:val="20"/>
      <w:szCs w:val="20"/>
    </w:rPr>
  </w:style>
  <w:style w:type="paragraph" w:styleId="BalloonText">
    <w:name w:val="Balloon Text"/>
    <w:basedOn w:val="Normal"/>
    <w:link w:val="BalloonTextChar"/>
    <w:rsid w:val="0028761D"/>
    <w:rPr>
      <w:rFonts w:ascii="Tahoma" w:hAnsi="Tahoma" w:cs="Tahoma"/>
      <w:sz w:val="16"/>
      <w:szCs w:val="16"/>
    </w:rPr>
  </w:style>
  <w:style w:type="character" w:customStyle="1" w:styleId="BalloonTextChar">
    <w:name w:val="Balloon Text Char"/>
    <w:basedOn w:val="DefaultParagraphFont"/>
    <w:link w:val="BalloonText"/>
    <w:rsid w:val="002876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58AF8-932B-4DB5-BA13-D5701306A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GRTKF_IC_30_AR.dotx</Template>
  <TotalTime>2</TotalTime>
  <Pages>6</Pages>
  <Words>1583</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WIPO/GRTKF/IC/32/7 (Arabic)</vt:lpstr>
    </vt:vector>
  </TitlesOfParts>
  <Company>World Intellectual Property Organization</Company>
  <LinksUpToDate>false</LinksUpToDate>
  <CharactersWithSpaces>10166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WIPO/GRTKF/IC/32/7 (Arabic)</dc:title>
  <dc:creator>CHADAREVIAN Diane</dc:creator>
  <cp:lastModifiedBy>YOUSSEF Randa</cp:lastModifiedBy>
  <cp:revision>4</cp:revision>
  <cp:lastPrinted>2016-11-09T08:53:00Z</cp:lastPrinted>
  <dcterms:created xsi:type="dcterms:W3CDTF">2016-11-09T07:06:00Z</dcterms:created>
  <dcterms:modified xsi:type="dcterms:W3CDTF">2016-11-09T08:54:00Z</dcterms:modified>
</cp:coreProperties>
</file>