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C581F" w:rsidP="0015593C">
            <w:pPr>
              <w:pStyle w:val="DocumentCodeAR"/>
              <w:bidi/>
              <w:rPr>
                <w:rtl/>
              </w:rPr>
            </w:pPr>
            <w:r>
              <w:t>WIPO/GRTKF/IC/32/5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C3EF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8C3EF8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C581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C3EF8">
              <w:rPr>
                <w:rFonts w:hint="cs"/>
                <w:rtl/>
              </w:rPr>
              <w:t>3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3C581F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3C581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3C581F">
        <w:rPr>
          <w:rFonts w:ascii="Cambria Math" w:hAnsi="Cambria Math" w:hint="cs"/>
          <w:rtl/>
        </w:rPr>
        <w:t>الثانية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B0A86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291A13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291A13">
        <w:rPr>
          <w:rFonts w:hint="cs"/>
          <w:rtl/>
        </w:rPr>
        <w:t>28 نوفمبر</w:t>
      </w:r>
      <w:r w:rsidRPr="0015593C">
        <w:rPr>
          <w:rtl/>
        </w:rPr>
        <w:t xml:space="preserve"> إلى </w:t>
      </w:r>
      <w:r w:rsidR="00291A13">
        <w:rPr>
          <w:rFonts w:hint="cs"/>
          <w:rtl/>
        </w:rPr>
        <w:t>2</w:t>
      </w:r>
      <w:r w:rsidRPr="0015593C">
        <w:rPr>
          <w:rtl/>
        </w:rPr>
        <w:t xml:space="preserve"> </w:t>
      </w:r>
      <w:r w:rsidR="00291A13">
        <w:rPr>
          <w:rFonts w:hint="cs"/>
          <w:rtl/>
        </w:rPr>
        <w:t>ديسمب</w:t>
      </w:r>
      <w:r w:rsidR="003E5324">
        <w:rPr>
          <w:rFonts w:hint="cs"/>
          <w:rtl/>
        </w:rPr>
        <w:t>ر</w:t>
      </w:r>
      <w:r w:rsidRPr="0015593C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07ECB" w:rsidP="00907ECB">
      <w:pPr>
        <w:pStyle w:val="DocumentTitleAR"/>
        <w:bidi/>
        <w:rPr>
          <w:rtl/>
        </w:rPr>
      </w:pPr>
      <w:r w:rsidRPr="00907ECB">
        <w:rPr>
          <w:rFonts w:hint="cs"/>
          <w:b/>
          <w:bCs/>
          <w:rtl/>
        </w:rPr>
        <w:t>قائمة إرشادية بالقضايا العالقة التي ينبغي معالجتها/</w:t>
      </w:r>
      <w:proofErr w:type="gramStart"/>
      <w:r w:rsidRPr="00907ECB">
        <w:rPr>
          <w:rFonts w:hint="cs"/>
          <w:b/>
          <w:bCs/>
          <w:rtl/>
        </w:rPr>
        <w:t>حلّها</w:t>
      </w:r>
      <w:proofErr w:type="gramEnd"/>
    </w:p>
    <w:p w:rsidR="00D61541" w:rsidRDefault="00291A13" w:rsidP="00C357B7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من إعداد الأمانة</w:t>
      </w:r>
    </w:p>
    <w:p w:rsidR="00BC77AB" w:rsidRPr="00146368" w:rsidRDefault="006E12FE" w:rsidP="0008384F">
      <w:pPr>
        <w:pStyle w:val="NumberedParaAR"/>
      </w:pPr>
      <w:r w:rsidRPr="00146368">
        <w:rPr>
          <w:rFonts w:hint="cs"/>
          <w:rtl/>
        </w:rPr>
        <w:t>قررت</w:t>
      </w:r>
      <w:r w:rsidRPr="00146368">
        <w:rPr>
          <w:rtl/>
        </w:rPr>
        <w:t xml:space="preserve"> اللجنة الحكومية الدولية المعنية بالملكية الفكرية والموارد الوراثية والمعارف التقليدية والفولكلور ("اللجنة") في دورتها </w:t>
      </w:r>
      <w:r w:rsidRPr="00146368">
        <w:rPr>
          <w:rFonts w:hint="cs"/>
          <w:rtl/>
          <w:lang w:val="fr-FR" w:bidi="ar-EG"/>
        </w:rPr>
        <w:t>الحادية والثلاثين</w:t>
      </w:r>
      <w:r w:rsidRPr="00146368">
        <w:rPr>
          <w:rtl/>
        </w:rPr>
        <w:t xml:space="preserve"> المعقودة في جنيف من </w:t>
      </w:r>
      <w:r w:rsidRPr="00146368">
        <w:rPr>
          <w:rFonts w:hint="cs"/>
          <w:rtl/>
        </w:rPr>
        <w:t>19</w:t>
      </w:r>
      <w:r w:rsidRPr="00146368">
        <w:rPr>
          <w:rtl/>
        </w:rPr>
        <w:t xml:space="preserve"> إلى </w:t>
      </w:r>
      <w:r w:rsidRPr="00146368">
        <w:rPr>
          <w:rFonts w:hint="cs"/>
          <w:rtl/>
        </w:rPr>
        <w:t>2</w:t>
      </w:r>
      <w:r w:rsidRPr="00146368">
        <w:rPr>
          <w:rtl/>
        </w:rPr>
        <w:t xml:space="preserve">3 </w:t>
      </w:r>
      <w:r w:rsidRPr="00146368">
        <w:rPr>
          <w:rFonts w:hint="cs"/>
          <w:rtl/>
        </w:rPr>
        <w:t>سبتمبر</w:t>
      </w:r>
      <w:r w:rsidRPr="00146368">
        <w:rPr>
          <w:rtl/>
        </w:rPr>
        <w:t xml:space="preserve"> 20</w:t>
      </w:r>
      <w:r w:rsidRPr="00146368">
        <w:rPr>
          <w:rFonts w:hint="cs"/>
          <w:rtl/>
        </w:rPr>
        <w:t>16</w:t>
      </w:r>
      <w:r w:rsidRPr="00146368">
        <w:rPr>
          <w:rtl/>
        </w:rPr>
        <w:t xml:space="preserve"> </w:t>
      </w:r>
      <w:r w:rsidRPr="00146368">
        <w:rPr>
          <w:rFonts w:hint="cs"/>
          <w:rtl/>
        </w:rPr>
        <w:t>إحالة</w:t>
      </w:r>
      <w:r w:rsidR="00EA76BB" w:rsidRPr="00146368">
        <w:rPr>
          <w:rFonts w:hint="cs"/>
          <w:rtl/>
        </w:rPr>
        <w:t xml:space="preserve"> "قائمة إرشادية بالقضايا العالقة التي ينبغي معالجتها/حلّها في الدورة القادمة"</w:t>
      </w:r>
      <w:r w:rsidRPr="00146368">
        <w:rPr>
          <w:rFonts w:hint="cs"/>
          <w:rtl/>
        </w:rPr>
        <w:t xml:space="preserve"> و</w:t>
      </w:r>
      <w:r w:rsidR="0014237C">
        <w:rPr>
          <w:rFonts w:hint="cs"/>
          <w:rtl/>
        </w:rPr>
        <w:t>ت</w:t>
      </w:r>
      <w:r w:rsidRPr="00146368">
        <w:rPr>
          <w:rFonts w:hint="cs"/>
          <w:rtl/>
        </w:rPr>
        <w:t xml:space="preserve">رفق القائمة </w:t>
      </w:r>
      <w:r w:rsidR="00146368" w:rsidRPr="00146368">
        <w:rPr>
          <w:rFonts w:hint="cs"/>
          <w:rtl/>
        </w:rPr>
        <w:t>بالقرارات</w:t>
      </w:r>
      <w:r w:rsidRPr="00146368">
        <w:rPr>
          <w:rFonts w:hint="cs"/>
          <w:rtl/>
        </w:rPr>
        <w:t xml:space="preserve"> </w:t>
      </w:r>
      <w:r w:rsidR="00146368" w:rsidRPr="00146368">
        <w:rPr>
          <w:rFonts w:hint="cs"/>
          <w:rtl/>
        </w:rPr>
        <w:t>التي اعتمدتها اللجنة في دورتها الحادية والثلاثين.</w:t>
      </w:r>
    </w:p>
    <w:p w:rsidR="00291A13" w:rsidRPr="00146368" w:rsidRDefault="009D1A27" w:rsidP="0042491C">
      <w:pPr>
        <w:pStyle w:val="NumberedParaAR"/>
      </w:pPr>
      <w:r w:rsidRPr="00146368">
        <w:rPr>
          <w:rFonts w:hint="cs"/>
          <w:rtl/>
        </w:rPr>
        <w:t>و</w:t>
      </w:r>
      <w:r w:rsidR="0042491C">
        <w:rPr>
          <w:rFonts w:hint="cs"/>
          <w:rtl/>
        </w:rPr>
        <w:t>وفقا</w:t>
      </w:r>
      <w:r w:rsidRPr="00146368">
        <w:rPr>
          <w:rFonts w:hint="cs"/>
          <w:rtl/>
        </w:rPr>
        <w:t xml:space="preserve"> </w:t>
      </w:r>
      <w:r w:rsidR="00EA200A" w:rsidRPr="00146368">
        <w:rPr>
          <w:rFonts w:hint="cs"/>
          <w:rtl/>
        </w:rPr>
        <w:t>للقرار</w:t>
      </w:r>
      <w:r w:rsidRPr="00146368">
        <w:rPr>
          <w:rFonts w:hint="cs"/>
          <w:rtl/>
        </w:rPr>
        <w:t xml:space="preserve"> الوارد أعلاه</w:t>
      </w:r>
      <w:r w:rsidR="00EA200A" w:rsidRPr="00146368">
        <w:rPr>
          <w:rFonts w:hint="cs"/>
          <w:rtl/>
        </w:rPr>
        <w:t>، ترد القائمة في</w:t>
      </w:r>
      <w:r w:rsidR="00EA200A" w:rsidRPr="00146368">
        <w:rPr>
          <w:rtl/>
        </w:rPr>
        <w:t xml:space="preserve"> مرفق هذه الوثيقة</w:t>
      </w:r>
      <w:r w:rsidR="00EA200A" w:rsidRPr="00146368">
        <w:rPr>
          <w:rFonts w:hint="cs"/>
          <w:rtl/>
        </w:rPr>
        <w:t>.</w:t>
      </w:r>
    </w:p>
    <w:p w:rsidR="00966FC4" w:rsidRPr="00146368" w:rsidRDefault="00966FC4" w:rsidP="00C357B7">
      <w:pPr>
        <w:pStyle w:val="DecisionParaAR"/>
      </w:pPr>
      <w:r w:rsidRPr="00146368">
        <w:rPr>
          <w:rFonts w:hint="cs"/>
          <w:rtl/>
        </w:rPr>
        <w:t>إن اللجن</w:t>
      </w:r>
      <w:r w:rsidR="009D1A27" w:rsidRPr="00146368">
        <w:rPr>
          <w:rFonts w:hint="cs"/>
          <w:rtl/>
        </w:rPr>
        <w:t>ة</w:t>
      </w:r>
      <w:r w:rsidRPr="00146368">
        <w:rPr>
          <w:rFonts w:hint="cs"/>
          <w:rtl/>
        </w:rPr>
        <w:t xml:space="preserve"> مدعوة إلى الإحاطة علماً با</w:t>
      </w:r>
      <w:r w:rsidR="009D1A27" w:rsidRPr="00146368">
        <w:rPr>
          <w:rFonts w:hint="cs"/>
          <w:rtl/>
        </w:rPr>
        <w:t>لقائمة الواردة</w:t>
      </w:r>
      <w:r w:rsidRPr="00146368">
        <w:rPr>
          <w:rFonts w:hint="cs"/>
          <w:rtl/>
        </w:rPr>
        <w:t xml:space="preserve"> في مرفق هذه الوثيقة.</w:t>
      </w:r>
    </w:p>
    <w:p w:rsidR="00C702DA" w:rsidRDefault="00291A13" w:rsidP="00C702DA">
      <w:pPr>
        <w:pStyle w:val="EndofDocumentAR"/>
        <w:rPr>
          <w:rtl/>
        </w:rPr>
        <w:sectPr w:rsidR="00C702DA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 </w:t>
      </w:r>
      <w:r w:rsidR="00CB4E81">
        <w:rPr>
          <w:rFonts w:hint="cs"/>
          <w:rtl/>
        </w:rPr>
        <w:t>[</w:t>
      </w:r>
      <w:r w:rsidR="00C702DA">
        <w:rPr>
          <w:rFonts w:hint="cs"/>
          <w:rtl/>
        </w:rPr>
        <w:t xml:space="preserve">يلي ذلك </w:t>
      </w:r>
      <w:proofErr w:type="gramStart"/>
      <w:r w:rsidR="00C702DA">
        <w:rPr>
          <w:rFonts w:hint="cs"/>
          <w:rtl/>
        </w:rPr>
        <w:t>المرفق</w:t>
      </w:r>
      <w:proofErr w:type="gramEnd"/>
      <w:r w:rsidR="00CB4E81">
        <w:rPr>
          <w:rFonts w:hint="cs"/>
          <w:rtl/>
        </w:rPr>
        <w:t>]</w:t>
      </w:r>
    </w:p>
    <w:p w:rsidR="00907ECB" w:rsidRDefault="00907ECB" w:rsidP="00C357B7">
      <w:pPr>
        <w:pStyle w:val="NormalParaAR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المرفق</w:t>
      </w:r>
    </w:p>
    <w:p w:rsidR="00CF5567" w:rsidRPr="00CF5567" w:rsidRDefault="00CF5567" w:rsidP="00C357B7">
      <w:pPr>
        <w:pStyle w:val="NormalParaAR"/>
        <w:spacing w:after="360"/>
        <w:jc w:val="center"/>
        <w:rPr>
          <w:b/>
          <w:bCs/>
          <w:rtl/>
        </w:rPr>
      </w:pPr>
      <w:r w:rsidRPr="00CF5567">
        <w:rPr>
          <w:rFonts w:hint="cs"/>
          <w:b/>
          <w:bCs/>
          <w:rtl/>
        </w:rPr>
        <w:t>قائمة إرشادية بالقضايا العالقة التي ينبغي معالجتها/</w:t>
      </w:r>
      <w:proofErr w:type="gramStart"/>
      <w:r w:rsidRPr="00CF5567">
        <w:rPr>
          <w:rFonts w:hint="cs"/>
          <w:b/>
          <w:bCs/>
          <w:rtl/>
        </w:rPr>
        <w:t>حلّها</w:t>
      </w:r>
      <w:proofErr w:type="gramEnd"/>
      <w:r w:rsidRPr="00CF5567">
        <w:rPr>
          <w:rFonts w:hint="cs"/>
          <w:b/>
          <w:bCs/>
          <w:rtl/>
        </w:rPr>
        <w:t xml:space="preserve"> في الدورة القادمة</w:t>
      </w:r>
    </w:p>
    <w:p w:rsidR="00CF5567" w:rsidRPr="00344E7F" w:rsidRDefault="00344E7F" w:rsidP="00C357B7">
      <w:pPr>
        <w:pStyle w:val="NormalParaAR"/>
        <w:rPr>
          <w:b/>
          <w:bCs/>
          <w:rtl/>
        </w:rPr>
      </w:pPr>
      <w:r w:rsidRPr="00344E7F">
        <w:rPr>
          <w:rFonts w:hint="cs"/>
          <w:b/>
          <w:bCs/>
          <w:rtl/>
        </w:rPr>
        <w:t>1.</w:t>
      </w:r>
      <w:r w:rsidRPr="00344E7F">
        <w:rPr>
          <w:b/>
          <w:bCs/>
          <w:rtl/>
        </w:rPr>
        <w:tab/>
      </w:r>
      <w:r w:rsidRPr="00344E7F">
        <w:rPr>
          <w:rFonts w:hint="cs"/>
          <w:b/>
          <w:bCs/>
          <w:rtl/>
        </w:rPr>
        <w:t xml:space="preserve">استخدام بعض المصطلحات والمفاهيم </w:t>
      </w:r>
      <w:proofErr w:type="gramStart"/>
      <w:r w:rsidRPr="00344E7F">
        <w:rPr>
          <w:rFonts w:hint="cs"/>
          <w:b/>
          <w:bCs/>
          <w:rtl/>
        </w:rPr>
        <w:t>ومعانيها</w:t>
      </w:r>
      <w:proofErr w:type="gramEnd"/>
    </w:p>
    <w:p w:rsidR="00344E7F" w:rsidRDefault="00344E7F" w:rsidP="00C357B7">
      <w:pPr>
        <w:pStyle w:val="NormalParaAR"/>
        <w:rPr>
          <w:rtl/>
        </w:rPr>
      </w:pPr>
      <w:proofErr w:type="gramStart"/>
      <w:r>
        <w:rPr>
          <w:rFonts w:hint="cs"/>
          <w:rtl/>
        </w:rPr>
        <w:t>الإشارات</w:t>
      </w:r>
      <w:proofErr w:type="gramEnd"/>
      <w:r>
        <w:rPr>
          <w:rFonts w:hint="cs"/>
          <w:rtl/>
        </w:rPr>
        <w:t xml:space="preserve"> إلى "الحماية" والمعارف التقليدية "المحمية" والعلاقة بمعايير الأهلية / نطاق الحماية.</w:t>
      </w:r>
    </w:p>
    <w:p w:rsidR="00344E7F" w:rsidRDefault="00344E7F" w:rsidP="00344E7F">
      <w:pPr>
        <w:pStyle w:val="NormalParaAR"/>
        <w:rPr>
          <w:rtl/>
        </w:rPr>
      </w:pPr>
      <w:r>
        <w:rPr>
          <w:rFonts w:hint="cs"/>
          <w:rtl/>
        </w:rPr>
        <w:t>والإشارات إلى "الابتكار" و"النشاط الإبداعي والابتكاري القائم على التقاليد".</w:t>
      </w:r>
    </w:p>
    <w:p w:rsidR="00344E7F" w:rsidRDefault="00344E7F" w:rsidP="00BD16B2">
      <w:pPr>
        <w:pStyle w:val="NormalParaAR"/>
        <w:rPr>
          <w:rtl/>
        </w:rPr>
      </w:pPr>
      <w:proofErr w:type="gramStart"/>
      <w:r>
        <w:rPr>
          <w:rFonts w:hint="cs"/>
          <w:rtl/>
        </w:rPr>
        <w:t>والمصطلحات</w:t>
      </w:r>
      <w:proofErr w:type="gramEnd"/>
      <w:r>
        <w:rPr>
          <w:rFonts w:hint="cs"/>
          <w:rtl/>
        </w:rPr>
        <w:t xml:space="preserve"> التي </w:t>
      </w:r>
      <w:r w:rsidR="00D877A3">
        <w:rPr>
          <w:rFonts w:hint="cs"/>
          <w:rtl/>
        </w:rPr>
        <w:t>تشير إلى</w:t>
      </w:r>
      <w:r>
        <w:rPr>
          <w:rFonts w:hint="cs"/>
          <w:rtl/>
        </w:rPr>
        <w:t xml:space="preserve"> طبيعة الضرر التي قد يجوز التماس الحماية ضد</w:t>
      </w:r>
      <w:r w:rsidR="00BD16B2">
        <w:rPr>
          <w:rFonts w:hint="cs"/>
          <w:rtl/>
        </w:rPr>
        <w:t>ّ</w:t>
      </w:r>
      <w:r>
        <w:rPr>
          <w:rFonts w:hint="cs"/>
          <w:rtl/>
        </w:rPr>
        <w:t>ه، مثل "التملك غير المشروع" و"سوء</w:t>
      </w:r>
      <w:r w:rsidR="00BD16B2">
        <w:rPr>
          <w:rFonts w:hint="eastAsia"/>
          <w:rtl/>
        </w:rPr>
        <w:t> </w:t>
      </w:r>
      <w:r>
        <w:rPr>
          <w:rFonts w:hint="cs"/>
          <w:rtl/>
        </w:rPr>
        <w:t xml:space="preserve">الاستخدام" و"الاستخدام بدون تصريح" و"التملك غير </w:t>
      </w:r>
      <w:r w:rsidR="000E3B85">
        <w:rPr>
          <w:rFonts w:hint="cs"/>
          <w:rtl/>
        </w:rPr>
        <w:t>القانوني</w:t>
      </w:r>
      <w:r>
        <w:rPr>
          <w:rFonts w:hint="cs"/>
          <w:rtl/>
        </w:rPr>
        <w:t>"</w:t>
      </w:r>
      <w:r w:rsidR="00D877A3">
        <w:rPr>
          <w:rFonts w:hint="cs"/>
          <w:rtl/>
        </w:rPr>
        <w:t xml:space="preserve"> و"التملك دون وجه حق".</w:t>
      </w:r>
    </w:p>
    <w:p w:rsidR="00D877A3" w:rsidRDefault="00D877A3" w:rsidP="00D877A3">
      <w:pPr>
        <w:pStyle w:val="NormalParaAR"/>
        <w:rPr>
          <w:rtl/>
        </w:rPr>
      </w:pPr>
      <w:proofErr w:type="gramStart"/>
      <w:r>
        <w:rPr>
          <w:rFonts w:hint="cs"/>
          <w:rtl/>
        </w:rPr>
        <w:t>والمصطلحات</w:t>
      </w:r>
      <w:proofErr w:type="gramEnd"/>
      <w:r>
        <w:rPr>
          <w:rFonts w:hint="cs"/>
          <w:rtl/>
        </w:rPr>
        <w:t xml:space="preserve"> التي تصف أو تخص مدى انتشار المعارف التقليدية، مثل "الملك العام" و"المتاحة للجمهور" و"السرية" و"المقدسة" و"المنتشرة على نطاق ضيّق" و"المنتشرة على نطاق واسع".</w:t>
      </w:r>
    </w:p>
    <w:p w:rsidR="00D877A3" w:rsidRDefault="00A671C5" w:rsidP="00D877A3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D877A3">
        <w:rPr>
          <w:rFonts w:hint="cs"/>
          <w:rtl/>
        </w:rPr>
        <w:t>المصطلحات التي تخص المستفيدين، مث</w:t>
      </w:r>
      <w:r>
        <w:rPr>
          <w:rFonts w:hint="cs"/>
          <w:rtl/>
        </w:rPr>
        <w:t>ل "[الشعوب] الأصلية]".</w:t>
      </w:r>
    </w:p>
    <w:p w:rsidR="00A671C5" w:rsidRPr="00A671C5" w:rsidRDefault="00A671C5" w:rsidP="00A671C5">
      <w:pPr>
        <w:pStyle w:val="NormalParaAR"/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الموضوع</w:t>
      </w:r>
    </w:p>
    <w:p w:rsidR="00A671C5" w:rsidRDefault="00A671C5" w:rsidP="00A671C5">
      <w:pPr>
        <w:pStyle w:val="NormalParaAR"/>
        <w:rPr>
          <w:rtl/>
        </w:rPr>
      </w:pPr>
      <w:r>
        <w:rPr>
          <w:rFonts w:hint="cs"/>
          <w:rtl/>
        </w:rPr>
        <w:t xml:space="preserve">الموضع الذي </w:t>
      </w:r>
      <w:proofErr w:type="gramStart"/>
      <w:r>
        <w:rPr>
          <w:rFonts w:hint="cs"/>
          <w:rtl/>
        </w:rPr>
        <w:t>تُدرج</w:t>
      </w:r>
      <w:proofErr w:type="gramEnd"/>
      <w:r>
        <w:rPr>
          <w:rFonts w:hint="cs"/>
          <w:rtl/>
        </w:rPr>
        <w:t xml:space="preserve"> فيه معايير الأهلية وكيفية إدراجها.</w:t>
      </w:r>
    </w:p>
    <w:p w:rsidR="00A671C5" w:rsidRDefault="00A671C5" w:rsidP="00D877A3">
      <w:pPr>
        <w:pStyle w:val="NormalParaAR"/>
        <w:rPr>
          <w:rtl/>
        </w:rPr>
      </w:pPr>
      <w:r>
        <w:rPr>
          <w:rFonts w:hint="cs"/>
          <w:rtl/>
        </w:rPr>
        <w:t xml:space="preserve">وما إذا كان ينبغي إدراج أمثلة أو "مجالات" تخص المعارف التقليدية وتحديد تلك الأمثلة والمجالات،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حال إدراجها.</w:t>
      </w:r>
    </w:p>
    <w:p w:rsidR="00A671C5" w:rsidRPr="00A671C5" w:rsidRDefault="00A671C5" w:rsidP="00D877A3">
      <w:pPr>
        <w:pStyle w:val="NormalParaAR"/>
        <w:rPr>
          <w:b/>
          <w:bCs/>
          <w:rtl/>
        </w:rPr>
      </w:pPr>
      <w:r w:rsidRPr="00A671C5">
        <w:rPr>
          <w:rFonts w:hint="cs"/>
          <w:b/>
          <w:bCs/>
          <w:rtl/>
        </w:rPr>
        <w:t>3.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المستفيدون</w:t>
      </w:r>
    </w:p>
    <w:p w:rsidR="00A671C5" w:rsidRDefault="00A671C5" w:rsidP="00D877A3">
      <w:pPr>
        <w:pStyle w:val="NormalParaAR"/>
        <w:rPr>
          <w:rtl/>
        </w:rPr>
      </w:pPr>
      <w:r>
        <w:rPr>
          <w:rFonts w:hint="cs"/>
          <w:rtl/>
        </w:rPr>
        <w:t>ما إذا كان ينبغي إدراج "</w:t>
      </w:r>
      <w:proofErr w:type="gramStart"/>
      <w:r>
        <w:rPr>
          <w:rFonts w:hint="cs"/>
          <w:rtl/>
        </w:rPr>
        <w:t>الأمم</w:t>
      </w:r>
      <w:proofErr w:type="gramEnd"/>
      <w:r>
        <w:rPr>
          <w:rFonts w:hint="cs"/>
          <w:rtl/>
        </w:rPr>
        <w:t>" و/أو "الدول".</w:t>
      </w:r>
    </w:p>
    <w:p w:rsidR="00A671C5" w:rsidRDefault="00BD16B2" w:rsidP="00D877A3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A671C5">
        <w:rPr>
          <w:rFonts w:hint="cs"/>
          <w:rtl/>
        </w:rPr>
        <w:t xml:space="preserve">دور </w:t>
      </w:r>
      <w:proofErr w:type="gramStart"/>
      <w:r w:rsidR="00A671C5">
        <w:rPr>
          <w:rFonts w:hint="cs"/>
          <w:rtl/>
        </w:rPr>
        <w:t>وطبيعة</w:t>
      </w:r>
      <w:proofErr w:type="gramEnd"/>
      <w:r w:rsidR="00A671C5">
        <w:rPr>
          <w:rFonts w:hint="cs"/>
          <w:rtl/>
        </w:rPr>
        <w:t xml:space="preserve"> "الإدارة المختصة" كجهة مستفيدة، إن وُجدت.</w:t>
      </w:r>
    </w:p>
    <w:p w:rsidR="00A671C5" w:rsidRPr="00A671C5" w:rsidRDefault="00A671C5" w:rsidP="00D877A3">
      <w:pPr>
        <w:pStyle w:val="NormalParaAR"/>
        <w:rPr>
          <w:b/>
          <w:bCs/>
          <w:rtl/>
        </w:rPr>
      </w:pPr>
      <w:r w:rsidRPr="00A671C5">
        <w:rPr>
          <w:rFonts w:hint="cs"/>
          <w:b/>
          <w:bCs/>
          <w:rtl/>
        </w:rPr>
        <w:t>4.</w:t>
      </w:r>
      <w:r w:rsidRPr="00A671C5">
        <w:rPr>
          <w:b/>
          <w:bCs/>
          <w:rtl/>
        </w:rPr>
        <w:tab/>
      </w:r>
      <w:proofErr w:type="gramStart"/>
      <w:r w:rsidRPr="00A671C5">
        <w:rPr>
          <w:rFonts w:hint="cs"/>
          <w:b/>
          <w:bCs/>
          <w:rtl/>
        </w:rPr>
        <w:t>نطاق</w:t>
      </w:r>
      <w:proofErr w:type="gramEnd"/>
      <w:r w:rsidRPr="00A671C5">
        <w:rPr>
          <w:rFonts w:hint="cs"/>
          <w:b/>
          <w:bCs/>
          <w:rtl/>
        </w:rPr>
        <w:t xml:space="preserve"> الحماية</w:t>
      </w:r>
    </w:p>
    <w:p w:rsidR="00A671C5" w:rsidRDefault="00FB442C" w:rsidP="00D877A3">
      <w:pPr>
        <w:pStyle w:val="NormalParaAR"/>
        <w:rPr>
          <w:rtl/>
        </w:rPr>
      </w:pPr>
      <w:r>
        <w:rPr>
          <w:rFonts w:hint="cs"/>
          <w:rtl/>
        </w:rPr>
        <w:t>النُهج "القائمة على الحقوق" و/أو "ال</w:t>
      </w:r>
      <w:r w:rsidR="00F9037B">
        <w:rPr>
          <w:rFonts w:hint="cs"/>
          <w:rtl/>
        </w:rPr>
        <w:t>قائمة على التدابير".</w:t>
      </w:r>
    </w:p>
    <w:p w:rsidR="00F9037B" w:rsidRDefault="00F9037B" w:rsidP="00F9037B">
      <w:pPr>
        <w:pStyle w:val="NormalParaAR"/>
        <w:rPr>
          <w:rtl/>
        </w:rPr>
      </w:pPr>
      <w:r>
        <w:rPr>
          <w:rFonts w:hint="cs"/>
          <w:rtl/>
        </w:rPr>
        <w:t>وما إذا كان يمكن اتباع "</w:t>
      </w:r>
      <w:r w:rsidR="00FB442C">
        <w:rPr>
          <w:rFonts w:hint="cs"/>
          <w:rtl/>
        </w:rPr>
        <w:t>نهج متعدد ال</w:t>
      </w:r>
      <w:r>
        <w:rPr>
          <w:rFonts w:hint="cs"/>
          <w:rtl/>
        </w:rPr>
        <w:t>مستويات"، وإذا أمكن اتباعه، تحديد طريقة صياغته.</w:t>
      </w:r>
    </w:p>
    <w:p w:rsidR="00FB442C" w:rsidRDefault="00CE6980" w:rsidP="00F9037B">
      <w:pPr>
        <w:pStyle w:val="NormalParaAR"/>
        <w:rPr>
          <w:rtl/>
        </w:rPr>
      </w:pPr>
      <w:r>
        <w:rPr>
          <w:rFonts w:hint="cs"/>
          <w:rtl/>
        </w:rPr>
        <w:t>والحقوق الاقتصادية و/أو المعنوية.</w:t>
      </w:r>
    </w:p>
    <w:p w:rsidR="00CE6980" w:rsidRDefault="00CE6980" w:rsidP="00F9037B">
      <w:pPr>
        <w:pStyle w:val="NormalParaAR"/>
        <w:rPr>
          <w:rtl/>
        </w:rPr>
      </w:pPr>
      <w:r>
        <w:rPr>
          <w:rFonts w:hint="cs"/>
          <w:rtl/>
        </w:rPr>
        <w:t xml:space="preserve">وأدوار </w:t>
      </w:r>
      <w:proofErr w:type="gramStart"/>
      <w:r>
        <w:rPr>
          <w:rFonts w:hint="cs"/>
          <w:rtl/>
        </w:rPr>
        <w:t>وطبيعة</w:t>
      </w:r>
      <w:proofErr w:type="gramEnd"/>
      <w:r>
        <w:rPr>
          <w:rFonts w:hint="cs"/>
          <w:rtl/>
        </w:rPr>
        <w:t xml:space="preserve"> وتصميم "التدابير التكميلية"، بما في ذلك قواعد البيانات، إن وُجدت.</w:t>
      </w:r>
    </w:p>
    <w:p w:rsidR="00CE6980" w:rsidRDefault="00BD16B2" w:rsidP="00F9037B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CA0C71">
        <w:rPr>
          <w:rFonts w:hint="cs"/>
          <w:rtl/>
        </w:rPr>
        <w:t>شرط الكشف، والصلة المحتملة بالنص المتعلق بالموارد الوراثية.</w:t>
      </w:r>
    </w:p>
    <w:p w:rsidR="00CA0C71" w:rsidRPr="00CA0C71" w:rsidRDefault="00CA0C71" w:rsidP="00146368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5.</w:t>
      </w:r>
      <w:r w:rsidRPr="00CA0C71">
        <w:rPr>
          <w:b/>
          <w:bCs/>
          <w:rtl/>
        </w:rPr>
        <w:tab/>
      </w:r>
      <w:r w:rsidRPr="00CA0C71">
        <w:rPr>
          <w:rFonts w:hint="cs"/>
          <w:b/>
          <w:bCs/>
          <w:rtl/>
        </w:rPr>
        <w:t>الاستثناءات والتقييدات</w:t>
      </w:r>
      <w:r>
        <w:rPr>
          <w:rStyle w:val="FootnoteReference"/>
          <w:b/>
          <w:bCs/>
          <w:rtl/>
        </w:rPr>
        <w:footnoteReference w:id="1"/>
      </w:r>
    </w:p>
    <w:p w:rsidR="00CA0C71" w:rsidRPr="00CA0C71" w:rsidRDefault="00CA0C71" w:rsidP="0014237C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lastRenderedPageBreak/>
        <w:t>6.</w:t>
      </w:r>
      <w:r w:rsidRPr="00CA0C71">
        <w:rPr>
          <w:b/>
          <w:bCs/>
          <w:rtl/>
        </w:rPr>
        <w:tab/>
        <w:t>العقوبات</w:t>
      </w:r>
      <w:r w:rsidRPr="00CA0C71">
        <w:rPr>
          <w:b/>
          <w:bCs/>
        </w:rPr>
        <w:t xml:space="preserve"> </w:t>
      </w:r>
      <w:r w:rsidRPr="00CA0C71">
        <w:rPr>
          <w:rFonts w:hint="cs"/>
          <w:b/>
          <w:bCs/>
          <w:rtl/>
        </w:rPr>
        <w:t>وا</w:t>
      </w:r>
      <w:r w:rsidR="0014237C">
        <w:rPr>
          <w:rFonts w:hint="cs"/>
          <w:b/>
          <w:bCs/>
          <w:rtl/>
        </w:rPr>
        <w:t>لج</w:t>
      </w:r>
      <w:r w:rsidRPr="00CA0C71">
        <w:rPr>
          <w:rFonts w:hint="cs"/>
          <w:b/>
          <w:bCs/>
          <w:rtl/>
        </w:rPr>
        <w:t>زاءات</w:t>
      </w:r>
      <w:r w:rsidRPr="00CA0C71">
        <w:rPr>
          <w:b/>
          <w:bCs/>
          <w:rtl/>
        </w:rPr>
        <w:t xml:space="preserve"> وممارسة</w:t>
      </w:r>
      <w:r w:rsidRPr="00CA0C71">
        <w:rPr>
          <w:rFonts w:hint="cs"/>
          <w:b/>
          <w:bCs/>
          <w:rtl/>
        </w:rPr>
        <w:t>/تطبيق</w:t>
      </w:r>
      <w:r w:rsidRPr="00CA0C71">
        <w:rPr>
          <w:b/>
          <w:bCs/>
          <w:rtl/>
        </w:rPr>
        <w:t xml:space="preserve"> الحقوق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7.</w:t>
      </w:r>
      <w:r w:rsidRPr="00CA0C71">
        <w:rPr>
          <w:b/>
          <w:bCs/>
          <w:rtl/>
        </w:rPr>
        <w:tab/>
      </w:r>
      <w:proofErr w:type="gramStart"/>
      <w:r w:rsidRPr="00CA0C71">
        <w:rPr>
          <w:b/>
          <w:bCs/>
          <w:rtl/>
        </w:rPr>
        <w:t>إدارة</w:t>
      </w:r>
      <w:proofErr w:type="gramEnd"/>
      <w:r w:rsidRPr="00CA0C71">
        <w:rPr>
          <w:b/>
          <w:bCs/>
          <w:rtl/>
        </w:rPr>
        <w:t xml:space="preserve"> الحقوق</w:t>
      </w:r>
      <w:r w:rsidRPr="00CA0C71">
        <w:rPr>
          <w:rFonts w:hint="cs"/>
          <w:b/>
          <w:bCs/>
          <w:rtl/>
        </w:rPr>
        <w:t>/المصالح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8.</w:t>
      </w:r>
      <w:r w:rsidRPr="00CA0C71">
        <w:rPr>
          <w:b/>
          <w:bCs/>
          <w:rtl/>
        </w:rPr>
        <w:tab/>
        <w:t>مدة الحماية</w:t>
      </w:r>
      <w:r w:rsidRPr="00CA0C71">
        <w:rPr>
          <w:rFonts w:hint="cs"/>
          <w:b/>
          <w:bCs/>
          <w:rtl/>
        </w:rPr>
        <w:t>/الحقوق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9.</w:t>
      </w:r>
      <w:r w:rsidRPr="00CA0C71">
        <w:rPr>
          <w:b/>
          <w:bCs/>
          <w:rtl/>
        </w:rPr>
        <w:tab/>
      </w:r>
      <w:proofErr w:type="gramStart"/>
      <w:r w:rsidRPr="00CA0C71">
        <w:rPr>
          <w:b/>
          <w:bCs/>
          <w:rtl/>
        </w:rPr>
        <w:t>الشروط</w:t>
      </w:r>
      <w:proofErr w:type="gramEnd"/>
      <w:r w:rsidRPr="00CA0C71">
        <w:rPr>
          <w:b/>
          <w:bCs/>
          <w:rtl/>
        </w:rPr>
        <w:t xml:space="preserve"> الشكلية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10.</w:t>
      </w:r>
      <w:r w:rsidRPr="00CA0C71">
        <w:rPr>
          <w:b/>
          <w:bCs/>
          <w:rtl/>
        </w:rPr>
        <w:tab/>
      </w:r>
      <w:proofErr w:type="gramStart"/>
      <w:r w:rsidRPr="00CA0C71">
        <w:rPr>
          <w:b/>
          <w:bCs/>
          <w:rtl/>
        </w:rPr>
        <w:t>التدابير</w:t>
      </w:r>
      <w:proofErr w:type="gramEnd"/>
      <w:r w:rsidRPr="00CA0C71">
        <w:rPr>
          <w:b/>
          <w:bCs/>
          <w:rtl/>
        </w:rPr>
        <w:t xml:space="preserve"> الانتقالية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11.</w:t>
      </w:r>
      <w:r w:rsidRPr="00CA0C71">
        <w:rPr>
          <w:b/>
          <w:bCs/>
          <w:rtl/>
        </w:rPr>
        <w:tab/>
        <w:t>العلاقة بالاتفاقات الدولية</w:t>
      </w:r>
      <w:r w:rsidRPr="00CA0C71">
        <w:rPr>
          <w:rFonts w:hint="cs"/>
          <w:b/>
          <w:bCs/>
          <w:rtl/>
        </w:rPr>
        <w:t xml:space="preserve"> الأخرى</w:t>
      </w:r>
    </w:p>
    <w:p w:rsidR="00CA0C71" w:rsidRPr="00CA0C71" w:rsidRDefault="00CA0C71" w:rsidP="00CA0C71">
      <w:pPr>
        <w:pStyle w:val="NormalParaAR"/>
        <w:rPr>
          <w:b/>
          <w:bCs/>
          <w:rtl/>
        </w:rPr>
      </w:pPr>
      <w:r w:rsidRPr="00CA0C71">
        <w:rPr>
          <w:rFonts w:hint="cs"/>
          <w:b/>
          <w:bCs/>
          <w:rtl/>
        </w:rPr>
        <w:t>12.</w:t>
      </w:r>
      <w:r w:rsidRPr="00CA0C71">
        <w:rPr>
          <w:b/>
          <w:bCs/>
          <w:rtl/>
        </w:rPr>
        <w:tab/>
      </w:r>
      <w:proofErr w:type="gramStart"/>
      <w:r w:rsidRPr="00CA0C71">
        <w:rPr>
          <w:b/>
          <w:bCs/>
          <w:rtl/>
        </w:rPr>
        <w:t>المعاملة</w:t>
      </w:r>
      <w:proofErr w:type="gramEnd"/>
      <w:r w:rsidRPr="00CA0C71">
        <w:rPr>
          <w:b/>
          <w:bCs/>
          <w:rtl/>
        </w:rPr>
        <w:t xml:space="preserve"> الوطنية</w:t>
      </w:r>
    </w:p>
    <w:p w:rsidR="00CA0C71" w:rsidRPr="00CA0C71" w:rsidRDefault="00CA0C71" w:rsidP="00CA0C71">
      <w:pPr>
        <w:pStyle w:val="NormalParaAR"/>
        <w:spacing w:after="480"/>
        <w:rPr>
          <w:b/>
          <w:bCs/>
          <w:rtl/>
        </w:rPr>
      </w:pPr>
      <w:r w:rsidRPr="00CA0C71">
        <w:rPr>
          <w:rFonts w:hint="cs"/>
          <w:b/>
          <w:bCs/>
          <w:rtl/>
        </w:rPr>
        <w:t>13.</w:t>
      </w:r>
      <w:r w:rsidRPr="00CA0C71">
        <w:rPr>
          <w:b/>
          <w:bCs/>
          <w:rtl/>
        </w:rPr>
        <w:tab/>
        <w:t xml:space="preserve">التعاون عبر </w:t>
      </w:r>
      <w:proofErr w:type="gramStart"/>
      <w:r w:rsidRPr="00CA0C71">
        <w:rPr>
          <w:b/>
          <w:bCs/>
          <w:rtl/>
        </w:rPr>
        <w:t>الحدود</w:t>
      </w:r>
      <w:proofErr w:type="gramEnd"/>
    </w:p>
    <w:p w:rsidR="00CA0C71" w:rsidRPr="007F38D1" w:rsidRDefault="00CA0C71" w:rsidP="00CA0C71">
      <w:pPr>
        <w:pStyle w:val="EndofDocumentAR"/>
      </w:pPr>
      <w:r>
        <w:rPr>
          <w:rFonts w:hint="cs"/>
          <w:rtl/>
        </w:rPr>
        <w:t xml:space="preserve">[نهاية المرفق </w:t>
      </w:r>
      <w:proofErr w:type="gramStart"/>
      <w:r>
        <w:rPr>
          <w:rFonts w:hint="cs"/>
          <w:rtl/>
        </w:rPr>
        <w:t>والوثيقة</w:t>
      </w:r>
      <w:proofErr w:type="gramEnd"/>
      <w:r>
        <w:rPr>
          <w:rFonts w:hint="cs"/>
          <w:rtl/>
        </w:rPr>
        <w:t>]</w:t>
      </w:r>
    </w:p>
    <w:sectPr w:rsidR="00CA0C71" w:rsidRPr="007F38D1" w:rsidSect="00E50D23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81" w:rsidRDefault="00CB4E81">
      <w:r>
        <w:separator/>
      </w:r>
    </w:p>
  </w:endnote>
  <w:endnote w:type="continuationSeparator" w:id="0">
    <w:p w:rsidR="00CB4E81" w:rsidRDefault="00C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81" w:rsidRDefault="00CB4E8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B4E81" w:rsidRDefault="00CB4E81" w:rsidP="009622BF">
      <w:pPr>
        <w:bidi/>
      </w:pPr>
      <w:r>
        <w:separator/>
      </w:r>
    </w:p>
  </w:footnote>
  <w:footnote w:id="1">
    <w:p w:rsidR="00CA0C71" w:rsidRDefault="00CA0C7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القضايا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5 إلى 13 لم تُناقش في الدورة الحادية والثلاثين للجنة الحكومية الدولية.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13" w:rsidRDefault="00291A13" w:rsidP="00D61541">
    <w:r>
      <w:t>WIPO/GRTKF/IC/32/5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E12FE">
      <w:rPr>
        <w:noProof/>
      </w:rPr>
      <w:t>1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CB" w:rsidRDefault="00907ECB" w:rsidP="00D61541">
    <w:r>
      <w:t>WIPO/GRTKF/IC/32/5</w:t>
    </w:r>
  </w:p>
  <w:p w:rsidR="00E50D23" w:rsidRDefault="00E50D23" w:rsidP="00D61541">
    <w:pPr>
      <w:rPr>
        <w:rtl/>
      </w:rPr>
    </w:pPr>
    <w:r>
      <w:t>Annex</w:t>
    </w:r>
  </w:p>
  <w:p w:rsidR="00E50D23" w:rsidRDefault="00E50D23" w:rsidP="00D61541">
    <w:r>
      <w:fldChar w:fldCharType="begin"/>
    </w:r>
    <w:r>
      <w:instrText xml:space="preserve"> PAGE  \* MERGEFORMAT </w:instrText>
    </w:r>
    <w:r>
      <w:fldChar w:fldCharType="separate"/>
    </w:r>
    <w:r w:rsidR="00CB058C">
      <w:rPr>
        <w:noProof/>
      </w:rPr>
      <w:t>2</w:t>
    </w:r>
    <w:r>
      <w:fldChar w:fldCharType="end"/>
    </w:r>
  </w:p>
  <w:p w:rsidR="00E50D23" w:rsidRDefault="00E50D23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CB" w:rsidRDefault="00907ECB" w:rsidP="00CF5567">
    <w:pPr>
      <w:pStyle w:val="Header"/>
    </w:pPr>
    <w:r>
      <w:t>WIPO/GRTKF/IC/32/5</w:t>
    </w:r>
  </w:p>
  <w:p w:rsidR="00CF5567" w:rsidRDefault="00CF5567" w:rsidP="00CF5567">
    <w:pPr>
      <w:pStyle w:val="Header"/>
    </w:pPr>
    <w:r>
      <w:t>ANNEX</w:t>
    </w:r>
  </w:p>
  <w:p w:rsidR="00CF5567" w:rsidRPr="00CF5567" w:rsidRDefault="00CF5567" w:rsidP="00CF5567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CF5567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8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2B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84F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41B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B8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7D5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37C"/>
    <w:rsid w:val="00142F4D"/>
    <w:rsid w:val="00143428"/>
    <w:rsid w:val="0014412C"/>
    <w:rsid w:val="00144713"/>
    <w:rsid w:val="00144CC3"/>
    <w:rsid w:val="00146368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81D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1A13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5AD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6C34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E7F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581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91C"/>
    <w:rsid w:val="00424BB4"/>
    <w:rsid w:val="004258CD"/>
    <w:rsid w:val="004261D2"/>
    <w:rsid w:val="004302C8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2FE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62C"/>
    <w:rsid w:val="00774756"/>
    <w:rsid w:val="00774D13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A8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454"/>
    <w:rsid w:val="0080050E"/>
    <w:rsid w:val="00801329"/>
    <w:rsid w:val="00801424"/>
    <w:rsid w:val="00801AA4"/>
    <w:rsid w:val="00801B7E"/>
    <w:rsid w:val="008021B9"/>
    <w:rsid w:val="00805140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011"/>
    <w:rsid w:val="008A5234"/>
    <w:rsid w:val="008A5397"/>
    <w:rsid w:val="008A6861"/>
    <w:rsid w:val="008A7522"/>
    <w:rsid w:val="008A7B55"/>
    <w:rsid w:val="008B0578"/>
    <w:rsid w:val="008B170D"/>
    <w:rsid w:val="008B377E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3EF8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7ECB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A3F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6FC4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1A27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C5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11C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E6A"/>
    <w:rsid w:val="00AB5500"/>
    <w:rsid w:val="00AB5564"/>
    <w:rsid w:val="00AB57FB"/>
    <w:rsid w:val="00AB7348"/>
    <w:rsid w:val="00AC13B0"/>
    <w:rsid w:val="00AC2FD0"/>
    <w:rsid w:val="00AC364E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74C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3B9D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7AB"/>
    <w:rsid w:val="00BD00D1"/>
    <w:rsid w:val="00BD07A2"/>
    <w:rsid w:val="00BD16B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865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2B9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7B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8E8"/>
    <w:rsid w:val="00C57ED3"/>
    <w:rsid w:val="00C61640"/>
    <w:rsid w:val="00C61AA7"/>
    <w:rsid w:val="00C61B8E"/>
    <w:rsid w:val="00C668DE"/>
    <w:rsid w:val="00C702DA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C71"/>
    <w:rsid w:val="00CA2A98"/>
    <w:rsid w:val="00CA2BAE"/>
    <w:rsid w:val="00CA34BA"/>
    <w:rsid w:val="00CA4503"/>
    <w:rsid w:val="00CA5A66"/>
    <w:rsid w:val="00CA651B"/>
    <w:rsid w:val="00CA796A"/>
    <w:rsid w:val="00CB058C"/>
    <w:rsid w:val="00CB2575"/>
    <w:rsid w:val="00CB3677"/>
    <w:rsid w:val="00CB368F"/>
    <w:rsid w:val="00CB4C42"/>
    <w:rsid w:val="00CB4DFA"/>
    <w:rsid w:val="00CB4E81"/>
    <w:rsid w:val="00CB7BD7"/>
    <w:rsid w:val="00CC4CB6"/>
    <w:rsid w:val="00CC4DB0"/>
    <w:rsid w:val="00CC5038"/>
    <w:rsid w:val="00CC5326"/>
    <w:rsid w:val="00CC7426"/>
    <w:rsid w:val="00CC7910"/>
    <w:rsid w:val="00CC7A6C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980"/>
    <w:rsid w:val="00CE6BFE"/>
    <w:rsid w:val="00CE7031"/>
    <w:rsid w:val="00CE7258"/>
    <w:rsid w:val="00CF0B9B"/>
    <w:rsid w:val="00CF0F7C"/>
    <w:rsid w:val="00CF13B8"/>
    <w:rsid w:val="00CF285E"/>
    <w:rsid w:val="00CF3739"/>
    <w:rsid w:val="00CF5567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7A3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331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D23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200A"/>
    <w:rsid w:val="00EA311B"/>
    <w:rsid w:val="00EA36CA"/>
    <w:rsid w:val="00EA3D9C"/>
    <w:rsid w:val="00EA43C0"/>
    <w:rsid w:val="00EA4CB0"/>
    <w:rsid w:val="00EA566F"/>
    <w:rsid w:val="00EA76BB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37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42C"/>
    <w:rsid w:val="00FB72AC"/>
    <w:rsid w:val="00FB7706"/>
    <w:rsid w:val="00FB7EC9"/>
    <w:rsid w:val="00FB7F82"/>
    <w:rsid w:val="00FC0DAF"/>
    <w:rsid w:val="00FC11F5"/>
    <w:rsid w:val="00FC126D"/>
    <w:rsid w:val="00FC177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4F41-78FC-42E4-995C-F65ACB57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GRTKF_IC_31_AR.dotx</Template>
  <TotalTime>86</TotalTime>
  <Pages>3</Pages>
  <Words>343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WIPO/GRTKF/IC/31/-- (Arabic)</vt:lpstr>
    </vt:vector>
  </TitlesOfParts>
  <Company>World Intellectual Property Organization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WIPO/GRTKF/IC/31/-- (Arabic)</dc:title>
  <dc:creator>MERZOUK Fawzi</dc:creator>
  <cp:lastModifiedBy>YOUSSEF Randa</cp:lastModifiedBy>
  <cp:revision>11</cp:revision>
  <cp:lastPrinted>2016-10-10T09:59:00Z</cp:lastPrinted>
  <dcterms:created xsi:type="dcterms:W3CDTF">2016-10-07T08:07:00Z</dcterms:created>
  <dcterms:modified xsi:type="dcterms:W3CDTF">2016-10-10T10:00:00Z</dcterms:modified>
</cp:coreProperties>
</file>