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FB4EED">
            <w:pPr>
              <w:pStyle w:val="DocumentCodeAR"/>
              <w:bidi/>
              <w:rPr>
                <w:rtl/>
              </w:rPr>
            </w:pPr>
            <w:r>
              <w:t>WIPO/GRTKF/IC/3</w:t>
            </w:r>
            <w:r w:rsidR="00DF7400">
              <w:t>2</w:t>
            </w:r>
            <w:r w:rsidR="0015593C">
              <w:t>/</w:t>
            </w:r>
            <w:r w:rsidR="00FB4EED">
              <w:t>1 PROV</w:t>
            </w:r>
            <w:r w:rsidR="00543C7D">
              <w:t>. 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B4EED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FB4EED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543C7D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543C7D">
              <w:rPr>
                <w:rFonts w:hint="cs"/>
                <w:rtl/>
              </w:rPr>
              <w:t>10 نوفمبر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70344A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70344A">
        <w:rPr>
          <w:rFonts w:ascii="Cambria Math" w:hAnsi="Cambria Math" w:hint="cs"/>
          <w:rtl/>
        </w:rPr>
        <w:t>الثانية</w:t>
      </w:r>
      <w:r w:rsidRPr="00783D11">
        <w:rPr>
          <w:rFonts w:ascii="Cambria Math" w:hAnsi="Cambria Math"/>
          <w:rtl/>
        </w:rPr>
        <w:t xml:space="preserve"> </w:t>
      </w:r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</w:t>
      </w:r>
      <w:bookmarkStart w:id="2" w:name="_GoBack"/>
      <w:bookmarkEnd w:id="2"/>
      <w:r w:rsidR="0015593C">
        <w:rPr>
          <w:rFonts w:ascii="Cambria Math" w:hAnsi="Cambria Math" w:hint="cs"/>
          <w:rtl/>
        </w:rPr>
        <w:t>ن</w:t>
      </w:r>
    </w:p>
    <w:p w:rsidR="00D61541" w:rsidRPr="00D61541" w:rsidRDefault="0015593C" w:rsidP="008E42D8">
      <w:pPr>
        <w:pStyle w:val="MeetingDatesAR"/>
        <w:bidi/>
        <w:rPr>
          <w:rtl/>
        </w:rPr>
      </w:pPr>
      <w:r w:rsidRPr="0015593C">
        <w:rPr>
          <w:rtl/>
        </w:rPr>
        <w:t xml:space="preserve">جنيف، من </w:t>
      </w:r>
      <w:r w:rsidR="008E42D8">
        <w:rPr>
          <w:rFonts w:hint="cs"/>
          <w:rtl/>
        </w:rPr>
        <w:t>28</w:t>
      </w:r>
      <w:r w:rsidRPr="0015593C">
        <w:rPr>
          <w:rtl/>
        </w:rPr>
        <w:t xml:space="preserve"> </w:t>
      </w:r>
      <w:r w:rsidR="008E42D8">
        <w:rPr>
          <w:rFonts w:hint="cs"/>
          <w:rtl/>
        </w:rPr>
        <w:t xml:space="preserve">نوفمبر </w:t>
      </w:r>
      <w:r w:rsidRPr="0015593C">
        <w:rPr>
          <w:rtl/>
        </w:rPr>
        <w:t xml:space="preserve">إلى </w:t>
      </w:r>
      <w:r w:rsidR="008E42D8">
        <w:rPr>
          <w:rFonts w:hint="cs"/>
          <w:rtl/>
        </w:rPr>
        <w:t>2</w:t>
      </w:r>
      <w:r w:rsidRPr="0015593C">
        <w:rPr>
          <w:rtl/>
        </w:rPr>
        <w:t xml:space="preserve"> </w:t>
      </w:r>
      <w:r w:rsidR="008E42D8">
        <w:rPr>
          <w:rFonts w:hint="cs"/>
          <w:rtl/>
        </w:rPr>
        <w:t>ديسمب</w:t>
      </w:r>
      <w:r w:rsidR="003E5324">
        <w:rPr>
          <w:rFonts w:hint="cs"/>
          <w:rtl/>
        </w:rPr>
        <w:t>ر</w:t>
      </w:r>
      <w:r w:rsidRPr="0015593C">
        <w:rPr>
          <w:rtl/>
        </w:rPr>
        <w:t xml:space="preserve"> 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FB4EED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FB4EED">
        <w:rPr>
          <w:rFonts w:hint="cs"/>
          <w:rtl/>
        </w:rPr>
        <w:t xml:space="preserve"> الأمانة</w:t>
      </w:r>
    </w:p>
    <w:p w:rsidR="00FB4EED" w:rsidRPr="0052702C" w:rsidRDefault="00FB4EED" w:rsidP="00FB4EED">
      <w:pPr>
        <w:pStyle w:val="NumberedParaAR"/>
      </w:pPr>
      <w:r w:rsidRPr="0052702C">
        <w:rPr>
          <w:rtl/>
        </w:rPr>
        <w:t>افتتاح الدورة</w:t>
      </w:r>
    </w:p>
    <w:p w:rsidR="00FB4EED" w:rsidRPr="0052702C" w:rsidRDefault="00FB4EED" w:rsidP="00FB4EED">
      <w:pPr>
        <w:pStyle w:val="NumberedParaAR"/>
        <w:spacing w:after="0"/>
      </w:pPr>
      <w:r w:rsidRPr="0052702C">
        <w:rPr>
          <w:rtl/>
        </w:rPr>
        <w:t>اعتماد جدول الأعمال</w:t>
      </w:r>
    </w:p>
    <w:p w:rsidR="00FB4EED" w:rsidRPr="0052702C" w:rsidRDefault="00FB4EED" w:rsidP="00543C7D">
      <w:pPr>
        <w:pStyle w:val="NormalParaAR"/>
        <w:ind w:left="566"/>
      </w:pPr>
      <w:r w:rsidRPr="0052702C">
        <w:rPr>
          <w:rtl/>
        </w:rPr>
        <w:t>انظر هذه الوثيقة والوثيقتين</w:t>
      </w:r>
      <w:r>
        <w:rPr>
          <w:rFonts w:hint="cs"/>
          <w:rtl/>
        </w:rPr>
        <w:t xml:space="preserve"> </w:t>
      </w:r>
      <w:r w:rsidRPr="00EA713D">
        <w:t>WIPO/GRTKF/IC/</w:t>
      </w:r>
      <w:r>
        <w:t>32</w:t>
      </w:r>
      <w:r w:rsidRPr="00EA713D">
        <w:t>/INF/</w:t>
      </w:r>
      <w:r w:rsidR="00543C7D">
        <w:t>2 Rev.</w:t>
      </w:r>
      <w:r>
        <w:br/>
      </w:r>
      <w:r w:rsidRPr="0052702C">
        <w:rPr>
          <w:rtl/>
        </w:rPr>
        <w:t>و</w:t>
      </w:r>
      <w:r w:rsidRPr="0052702C">
        <w:t>.WIPO/GRTKF/IC/</w:t>
      </w:r>
      <w:r>
        <w:t>32</w:t>
      </w:r>
      <w:r w:rsidRPr="0052702C">
        <w:t>/INF/</w:t>
      </w:r>
      <w:r w:rsidR="00543C7D">
        <w:t>3 Rev.</w:t>
      </w:r>
    </w:p>
    <w:p w:rsidR="00FB4EED" w:rsidRPr="0052702C" w:rsidRDefault="00FB4EED" w:rsidP="00FB4EED">
      <w:pPr>
        <w:pStyle w:val="NumberedParaAR"/>
        <w:spacing w:after="0"/>
      </w:pPr>
      <w:r w:rsidRPr="0052702C">
        <w:rPr>
          <w:rtl/>
        </w:rPr>
        <w:t xml:space="preserve">اعتماد تقرير الدورة </w:t>
      </w:r>
      <w:r>
        <w:rPr>
          <w:rFonts w:hint="cs"/>
          <w:rtl/>
        </w:rPr>
        <w:t>الحادية وثلاثين</w:t>
      </w:r>
    </w:p>
    <w:p w:rsidR="00FB4EED" w:rsidRPr="00F42AC9" w:rsidRDefault="00FB4EED" w:rsidP="00543C7D">
      <w:pPr>
        <w:pStyle w:val="NormalParaAR"/>
        <w:ind w:left="566"/>
        <w:rPr>
          <w:rtl/>
          <w:lang w:val="fr-CH"/>
        </w:rPr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>
        <w:t>31</w:t>
      </w:r>
      <w:r w:rsidRPr="0052702C">
        <w:t>/</w:t>
      </w:r>
      <w:r w:rsidR="00543C7D">
        <w:t>10</w:t>
      </w:r>
      <w:r w:rsidRPr="0052702C">
        <w:t xml:space="preserve"> Prov. </w:t>
      </w:r>
      <w:r>
        <w:t>2</w:t>
      </w:r>
      <w:r>
        <w:rPr>
          <w:rFonts w:hint="cs"/>
          <w:rtl/>
          <w:lang w:val="fr-CH"/>
        </w:rPr>
        <w:t>.</w:t>
      </w:r>
    </w:p>
    <w:p w:rsidR="00FB4EED" w:rsidRPr="0052702C" w:rsidRDefault="00FB4EED" w:rsidP="00FB4EED">
      <w:pPr>
        <w:pStyle w:val="NumberedParaAR"/>
        <w:spacing w:after="0"/>
      </w:pPr>
      <w:r w:rsidRPr="0052702C">
        <w:rPr>
          <w:rtl/>
        </w:rPr>
        <w:t>اعتماد بعض المنظمات</w:t>
      </w:r>
    </w:p>
    <w:p w:rsidR="00FB4EED" w:rsidRDefault="00FB4EED" w:rsidP="00FB4EED">
      <w:pPr>
        <w:pStyle w:val="NormalParaAR"/>
        <w:ind w:left="566"/>
        <w:rPr>
          <w:rtl/>
          <w:lang w:bidi="ar-EG"/>
        </w:rPr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>
        <w:t>32</w:t>
      </w:r>
      <w:r w:rsidRPr="0052702C">
        <w:t>/2</w:t>
      </w:r>
      <w:r>
        <w:rPr>
          <w:rFonts w:hint="cs"/>
          <w:rtl/>
        </w:rPr>
        <w:t>.</w:t>
      </w:r>
    </w:p>
    <w:p w:rsidR="00FB4EED" w:rsidRDefault="00FB4EED" w:rsidP="00FB4EED">
      <w:pPr>
        <w:pStyle w:val="NumberedParaAR"/>
        <w:spacing w:after="0"/>
        <w:ind w:left="566" w:hanging="566"/>
      </w:pPr>
      <w:r>
        <w:rPr>
          <w:rFonts w:hint="cs"/>
          <w:rtl/>
        </w:rPr>
        <w:t xml:space="preserve">تقرير عن </w:t>
      </w:r>
      <w:r w:rsidRPr="00100D8F">
        <w:rPr>
          <w:rFonts w:hint="cs"/>
          <w:i/>
          <w:iCs/>
          <w:rtl/>
        </w:rPr>
        <w:t xml:space="preserve">ندوة الملكية الفكرية </w:t>
      </w:r>
      <w:r>
        <w:rPr>
          <w:rFonts w:hint="cs"/>
          <w:i/>
          <w:iCs/>
          <w:rtl/>
          <w:lang w:bidi="ar-EG"/>
        </w:rPr>
        <w:t>والمعارف التقليدية</w:t>
      </w:r>
      <w:r>
        <w:rPr>
          <w:rFonts w:hint="cs"/>
          <w:rtl/>
        </w:rPr>
        <w:br/>
        <w:t>(24 و25 نوفمبر 2016)</w:t>
      </w:r>
    </w:p>
    <w:p w:rsidR="00FB4EED" w:rsidRPr="0052702C" w:rsidRDefault="00FB4EED" w:rsidP="00FB4EED">
      <w:pPr>
        <w:pStyle w:val="NormalParaAR"/>
        <w:ind w:left="566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>
        <w:t>32</w:t>
      </w:r>
      <w:r w:rsidRPr="0052702C">
        <w:t>/</w:t>
      </w:r>
      <w:r>
        <w:t>INF/9</w:t>
      </w:r>
      <w:r>
        <w:rPr>
          <w:rFonts w:hint="cs"/>
          <w:rtl/>
        </w:rPr>
        <w:t>.</w:t>
      </w:r>
    </w:p>
    <w:p w:rsidR="00FB4EED" w:rsidRPr="0052702C" w:rsidRDefault="00FB4EED" w:rsidP="00543C7D">
      <w:pPr>
        <w:pStyle w:val="NumberedParaAR"/>
        <w:keepNext/>
        <w:spacing w:after="100"/>
      </w:pPr>
      <w:r w:rsidRPr="0052702C">
        <w:rPr>
          <w:rtl/>
        </w:rPr>
        <w:lastRenderedPageBreak/>
        <w:t>مشاركة الجماعات الأصلية والمحلية</w:t>
      </w:r>
    </w:p>
    <w:p w:rsidR="00FB4EED" w:rsidRPr="0052702C" w:rsidRDefault="00FB4EED" w:rsidP="00FB4EED">
      <w:pPr>
        <w:pStyle w:val="NormalParaAR"/>
        <w:keepNext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تطورات في تشغيل صندوق التبرعات</w:t>
      </w:r>
    </w:p>
    <w:p w:rsidR="00FB4EED" w:rsidRPr="0052702C" w:rsidRDefault="00FB4EED" w:rsidP="00543C7D">
      <w:pPr>
        <w:pStyle w:val="NumberedParaAR"/>
        <w:numPr>
          <w:ilvl w:val="0"/>
          <w:numId w:val="0"/>
        </w:numPr>
        <w:spacing w:after="200"/>
        <w:ind w:left="1134"/>
      </w:pPr>
      <w:r w:rsidRPr="0052702C">
        <w:rPr>
          <w:rtl/>
        </w:rPr>
        <w:t>انظر الوثائق</w:t>
      </w:r>
      <w:r w:rsidRPr="0052702C">
        <w:t xml:space="preserve"> WIPO/GRTKF/IC/</w:t>
      </w:r>
      <w:r>
        <w:t>32</w:t>
      </w:r>
      <w:r w:rsidRPr="0052702C">
        <w:t xml:space="preserve">/3 </w:t>
      </w:r>
      <w:r w:rsidRPr="0052702C">
        <w:rPr>
          <w:rtl/>
        </w:rPr>
        <w:t>و</w:t>
      </w:r>
      <w:r w:rsidRPr="0052702C">
        <w:t>WIPO/GRTKF/IC/</w:t>
      </w:r>
      <w:r>
        <w:t>32</w:t>
      </w:r>
      <w:r w:rsidRPr="0052702C">
        <w:t>/INF/4</w:t>
      </w:r>
      <w:r>
        <w:rPr>
          <w:rFonts w:hint="cs"/>
          <w:rtl/>
        </w:rPr>
        <w:t xml:space="preserve"> </w:t>
      </w:r>
      <w:r w:rsidRPr="0052702C">
        <w:rPr>
          <w:rtl/>
        </w:rPr>
        <w:t>و</w:t>
      </w:r>
      <w:r w:rsidRPr="0052702C">
        <w:t>WIPO/GRTKF/IC/</w:t>
      </w:r>
      <w:r>
        <w:t>32</w:t>
      </w:r>
      <w:r w:rsidRPr="0052702C">
        <w:t>/INF/6</w:t>
      </w:r>
      <w:r>
        <w:rPr>
          <w:rFonts w:hint="cs"/>
          <w:rtl/>
        </w:rPr>
        <w:t>.</w:t>
      </w:r>
    </w:p>
    <w:p w:rsidR="00FB4EED" w:rsidRPr="0052702C" w:rsidRDefault="00FB4EED" w:rsidP="00FB4EED">
      <w:pPr>
        <w:pStyle w:val="NormalParaAR"/>
        <w:keepNext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تعيين أعضاء المجلس الاستشاري لصندوق التبرعات</w:t>
      </w:r>
    </w:p>
    <w:p w:rsidR="00FB4EED" w:rsidRPr="0052702C" w:rsidRDefault="00FB4EED" w:rsidP="00543C7D">
      <w:pPr>
        <w:pStyle w:val="NumberedParaAR"/>
        <w:numPr>
          <w:ilvl w:val="0"/>
          <w:numId w:val="0"/>
        </w:numPr>
        <w:spacing w:after="200"/>
        <w:ind w:left="1134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>
        <w:t>32</w:t>
      </w:r>
      <w:r w:rsidRPr="0052702C">
        <w:t>/3</w:t>
      </w:r>
      <w:r>
        <w:rPr>
          <w:rFonts w:hint="cs"/>
          <w:rtl/>
        </w:rPr>
        <w:t>.</w:t>
      </w:r>
    </w:p>
    <w:p w:rsidR="00FB4EED" w:rsidRPr="0052702C" w:rsidRDefault="00FB4EED" w:rsidP="00FB4EED">
      <w:pPr>
        <w:pStyle w:val="NormalParaAR"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مذكرة إعلامية لمنبر الجماعات الأصلية والمحلية</w:t>
      </w:r>
    </w:p>
    <w:p w:rsidR="00FB4EED" w:rsidRPr="0052702C" w:rsidRDefault="00FB4EED" w:rsidP="00543C7D">
      <w:pPr>
        <w:pStyle w:val="NumberedParaAR"/>
        <w:numPr>
          <w:ilvl w:val="0"/>
          <w:numId w:val="0"/>
        </w:numPr>
        <w:spacing w:after="200"/>
        <w:ind w:left="1134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>
        <w:t>32</w:t>
      </w:r>
      <w:r w:rsidRPr="0052702C">
        <w:t>/INF/5</w:t>
      </w:r>
      <w:r>
        <w:rPr>
          <w:rFonts w:hint="cs"/>
          <w:rtl/>
        </w:rPr>
        <w:t>.</w:t>
      </w:r>
    </w:p>
    <w:p w:rsidR="00FB4EED" w:rsidRPr="0052702C" w:rsidRDefault="00FB4EED" w:rsidP="00543C7D">
      <w:pPr>
        <w:pStyle w:val="NumberedParaAR"/>
        <w:keepNext/>
        <w:spacing w:after="100"/>
      </w:pPr>
      <w:r>
        <w:rPr>
          <w:rFonts w:hint="cs"/>
          <w:rtl/>
          <w:lang w:val="fr-CH"/>
        </w:rPr>
        <w:t>المعارف التقليدية</w:t>
      </w:r>
    </w:p>
    <w:p w:rsidR="00FB4EED" w:rsidRDefault="00FB4EED" w:rsidP="00FB4EED">
      <w:pPr>
        <w:pStyle w:val="NormalParaAR"/>
        <w:spacing w:after="0"/>
        <w:ind w:left="1133" w:hanging="566"/>
        <w:rPr>
          <w:rtl/>
        </w:rPr>
      </w:pPr>
      <w:r>
        <w:rPr>
          <w:rtl/>
        </w:rPr>
        <w:t>-</w:t>
      </w:r>
      <w:r>
        <w:rPr>
          <w:rtl/>
        </w:rPr>
        <w:tab/>
      </w:r>
      <w:r>
        <w:rPr>
          <w:rFonts w:hint="cs"/>
          <w:rtl/>
        </w:rPr>
        <w:t>حماية المعارف التقليدية: مشروع مواد</w:t>
      </w:r>
    </w:p>
    <w:p w:rsidR="00FB4EED" w:rsidRDefault="00FB4EED" w:rsidP="00543C7D">
      <w:pPr>
        <w:pStyle w:val="NumberedParaAR"/>
        <w:numPr>
          <w:ilvl w:val="0"/>
          <w:numId w:val="0"/>
        </w:numPr>
        <w:spacing w:after="200"/>
        <w:ind w:left="1134"/>
      </w:pPr>
      <w:r>
        <w:rPr>
          <w:rtl/>
        </w:rPr>
        <w:t xml:space="preserve">انظر الوثيقة </w:t>
      </w:r>
      <w:r>
        <w:t>WIPO/GRTKF/IC/32/4</w:t>
      </w:r>
      <w:r>
        <w:rPr>
          <w:rtl/>
        </w:rPr>
        <w:t>.</w:t>
      </w:r>
    </w:p>
    <w:p w:rsidR="00FB4EED" w:rsidRDefault="00FB4EED" w:rsidP="00543C7D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543C7D" w:rsidRPr="00543C7D">
        <w:rPr>
          <w:rtl/>
        </w:rPr>
        <w:t>قائمة إرشادية بالقضايا العالقة التي ينبغي معالجتها/حلّها</w:t>
      </w:r>
    </w:p>
    <w:p w:rsidR="00FB4EED" w:rsidRDefault="00FB4EED" w:rsidP="00543C7D">
      <w:pPr>
        <w:pStyle w:val="NumberedParaAR"/>
        <w:numPr>
          <w:ilvl w:val="0"/>
          <w:numId w:val="0"/>
        </w:numPr>
        <w:spacing w:after="200"/>
        <w:ind w:left="1134"/>
        <w:rPr>
          <w:rtl/>
        </w:rPr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>
        <w:t>32/5</w:t>
      </w:r>
      <w:r w:rsidRPr="007A0C45">
        <w:rPr>
          <w:rFonts w:hint="cs"/>
          <w:rtl/>
        </w:rPr>
        <w:t>.</w:t>
      </w:r>
    </w:p>
    <w:p w:rsidR="00543C7D" w:rsidRDefault="00543C7D" w:rsidP="00543C7D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543C7D">
        <w:rPr>
          <w:rtl/>
        </w:rPr>
        <w:t>توصية مشتركة بشأن الموارد الوراثية والمعارف التقليدية المرتبطة بها</w:t>
      </w:r>
    </w:p>
    <w:p w:rsidR="00543C7D" w:rsidRDefault="00543C7D" w:rsidP="00543C7D">
      <w:pPr>
        <w:pStyle w:val="NumberedParaAR"/>
        <w:numPr>
          <w:ilvl w:val="0"/>
          <w:numId w:val="0"/>
        </w:numPr>
        <w:spacing w:after="200"/>
        <w:ind w:left="1134"/>
        <w:rPr>
          <w:rtl/>
        </w:rPr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>
        <w:t>32/6</w:t>
      </w:r>
      <w:r w:rsidRPr="007A0C45">
        <w:rPr>
          <w:rFonts w:hint="cs"/>
          <w:rtl/>
        </w:rPr>
        <w:t>.</w:t>
      </w:r>
    </w:p>
    <w:p w:rsidR="00543C7D" w:rsidRDefault="00543C7D" w:rsidP="00543C7D">
      <w:pPr>
        <w:pStyle w:val="NormalParaAR"/>
        <w:spacing w:after="0"/>
        <w:ind w:left="1133" w:right="1418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543C7D">
        <w:rPr>
          <w:rtl/>
        </w:rPr>
        <w:t>توصية مشتركة بشأن استخدام قواعد البيانات لأغراض الحماية الدفاعية للموارد الوراثية والمعارف التقليدية المرتبطة بها</w:t>
      </w:r>
    </w:p>
    <w:p w:rsidR="00543C7D" w:rsidRDefault="00543C7D" w:rsidP="00543C7D">
      <w:pPr>
        <w:pStyle w:val="NumberedParaAR"/>
        <w:numPr>
          <w:ilvl w:val="0"/>
          <w:numId w:val="0"/>
        </w:numPr>
        <w:spacing w:after="200"/>
        <w:ind w:left="1134"/>
        <w:rPr>
          <w:rtl/>
        </w:rPr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>
        <w:t>32/7</w:t>
      </w:r>
      <w:r w:rsidRPr="007A0C45">
        <w:rPr>
          <w:rFonts w:hint="cs"/>
          <w:rtl/>
        </w:rPr>
        <w:t>.</w:t>
      </w:r>
    </w:p>
    <w:p w:rsidR="00543C7D" w:rsidRDefault="00543C7D" w:rsidP="00543C7D">
      <w:pPr>
        <w:pStyle w:val="NormalParaAR"/>
        <w:spacing w:after="0"/>
        <w:ind w:left="1133" w:right="284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543C7D">
        <w:rPr>
          <w:rtl/>
        </w:rPr>
        <w:t>اقتراح بخصوص مواصفات دراسة أمانة الويبو بشأن التدابير المتعلقة بتلافي منح البراءات عن خطأ والامتثال للأنظمة الحالية للنفاذ وتقاسم المنافع</w:t>
      </w:r>
    </w:p>
    <w:p w:rsidR="00543C7D" w:rsidRDefault="00543C7D" w:rsidP="00543C7D">
      <w:pPr>
        <w:pStyle w:val="NumberedParaAR"/>
        <w:numPr>
          <w:ilvl w:val="0"/>
          <w:numId w:val="0"/>
        </w:numPr>
        <w:spacing w:after="200"/>
        <w:ind w:left="1134"/>
        <w:rPr>
          <w:rtl/>
        </w:rPr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>
        <w:t>32/8</w:t>
      </w:r>
      <w:r w:rsidRPr="007A0C45">
        <w:rPr>
          <w:rFonts w:hint="cs"/>
          <w:rtl/>
        </w:rPr>
        <w:t>.</w:t>
      </w:r>
    </w:p>
    <w:p w:rsidR="00543C7D" w:rsidRDefault="00543C7D" w:rsidP="00543C7D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543C7D">
        <w:rPr>
          <w:rtl/>
        </w:rPr>
        <w:t>اقتراح بخصوص مواصفات دراسة</w:t>
      </w:r>
    </w:p>
    <w:p w:rsidR="00543C7D" w:rsidRDefault="00543C7D" w:rsidP="00543C7D">
      <w:pPr>
        <w:pStyle w:val="NumberedParaAR"/>
        <w:numPr>
          <w:ilvl w:val="0"/>
          <w:numId w:val="0"/>
        </w:numPr>
        <w:spacing w:after="200"/>
        <w:ind w:left="1134"/>
        <w:rPr>
          <w:rtl/>
        </w:rPr>
      </w:pPr>
      <w:r w:rsidRPr="007A0C45">
        <w:rPr>
          <w:rFonts w:hint="cs"/>
          <w:rtl/>
        </w:rPr>
        <w:t xml:space="preserve">انظر الوثيقة </w:t>
      </w:r>
      <w:r w:rsidRPr="007A0C45">
        <w:t>WIPO/GRTKF/IC/</w:t>
      </w:r>
      <w:r>
        <w:t>32/9</w:t>
      </w:r>
      <w:r w:rsidRPr="007A0C45">
        <w:rPr>
          <w:rFonts w:hint="cs"/>
          <w:rtl/>
        </w:rPr>
        <w:t>.</w:t>
      </w:r>
    </w:p>
    <w:p w:rsidR="00FB4EED" w:rsidRPr="0052702C" w:rsidRDefault="00FB4EED" w:rsidP="00FB4EED">
      <w:pPr>
        <w:pStyle w:val="NormalParaAR"/>
        <w:spacing w:after="0"/>
        <w:ind w:left="1133" w:hanging="566"/>
      </w:pPr>
      <w:r>
        <w:t>-</w:t>
      </w:r>
      <w:r>
        <w:rPr>
          <w:rFonts w:hint="cs"/>
          <w:rtl/>
        </w:rPr>
        <w:tab/>
      </w:r>
      <w:r w:rsidRPr="0052702C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FB4EED" w:rsidRPr="0052702C" w:rsidRDefault="00FB4EED" w:rsidP="00543C7D">
      <w:pPr>
        <w:pStyle w:val="NumberedParaAR"/>
        <w:numPr>
          <w:ilvl w:val="0"/>
          <w:numId w:val="0"/>
        </w:numPr>
        <w:spacing w:after="200"/>
        <w:ind w:left="1134"/>
      </w:pPr>
      <w:r w:rsidRPr="0052702C">
        <w:rPr>
          <w:rtl/>
        </w:rPr>
        <w:t>انظر الوثيقة</w:t>
      </w:r>
      <w:r>
        <w:rPr>
          <w:rFonts w:hint="cs"/>
          <w:rtl/>
        </w:rPr>
        <w:t xml:space="preserve"> </w:t>
      </w:r>
      <w:r w:rsidRPr="0052702C">
        <w:t>WIPO/GRTKF/IC/</w:t>
      </w:r>
      <w:r>
        <w:t>32</w:t>
      </w:r>
      <w:r w:rsidRPr="0052702C">
        <w:t>/INF/7</w:t>
      </w:r>
      <w:r>
        <w:rPr>
          <w:rFonts w:hint="cs"/>
          <w:rtl/>
        </w:rPr>
        <w:t>.</w:t>
      </w:r>
    </w:p>
    <w:p w:rsidR="00FB4EED" w:rsidRDefault="00FB4EED" w:rsidP="00FB4EED">
      <w:pPr>
        <w:pStyle w:val="NormalParaAR"/>
        <w:spacing w:after="0"/>
        <w:ind w:left="1133" w:hanging="566"/>
        <w:rPr>
          <w:lang w:bidi="ar-EG"/>
        </w:rPr>
      </w:pPr>
      <w:r>
        <w:t>-</w:t>
      </w:r>
      <w:r>
        <w:tab/>
      </w:r>
      <w:r w:rsidRPr="000F585D">
        <w:rPr>
          <w:rtl/>
        </w:rPr>
        <w:t>استعراض تقني لقضايا رئيسية متصلة بالملكية الفكرية في صكوك الويبو بشأن الموارد الوراثية والمعارف التقليدية وأشكال التعبير الثقافي التقليدي</w:t>
      </w:r>
      <w:r w:rsidR="0084724E">
        <w:rPr>
          <w:rFonts w:hint="cs"/>
          <w:rtl/>
          <w:lang w:bidi="ar-EG"/>
        </w:rPr>
        <w:t xml:space="preserve"> يقدّمه الأستاذ جيمس أنايا</w:t>
      </w:r>
    </w:p>
    <w:p w:rsidR="00FB4EED" w:rsidRDefault="00FB4EED" w:rsidP="00543C7D">
      <w:pPr>
        <w:pStyle w:val="NumberedParaAR"/>
        <w:numPr>
          <w:ilvl w:val="0"/>
          <w:numId w:val="0"/>
        </w:numPr>
        <w:spacing w:after="200"/>
        <w:ind w:left="1134"/>
      </w:pPr>
      <w:r w:rsidRPr="005740DA">
        <w:rPr>
          <w:rtl/>
        </w:rPr>
        <w:t xml:space="preserve">انظر الوثيقة </w:t>
      </w:r>
      <w:r w:rsidRPr="005740DA">
        <w:t>WIPO/GRTKF/IC/</w:t>
      </w:r>
      <w:r>
        <w:t>32</w:t>
      </w:r>
      <w:r w:rsidRPr="005740DA">
        <w:t>/INF/</w:t>
      </w:r>
      <w:r w:rsidR="0084724E">
        <w:t>8</w:t>
      </w:r>
      <w:r w:rsidRPr="005740DA">
        <w:rPr>
          <w:rtl/>
        </w:rPr>
        <w:t>.</w:t>
      </w:r>
    </w:p>
    <w:p w:rsidR="00FB4EED" w:rsidRPr="0052702C" w:rsidRDefault="00FB4EED" w:rsidP="00543C7D">
      <w:pPr>
        <w:pStyle w:val="NumberedParaAR"/>
        <w:spacing w:after="200"/>
      </w:pPr>
      <w:r w:rsidRPr="0052702C">
        <w:rPr>
          <w:rtl/>
        </w:rPr>
        <w:t>أية مسائل أخرى</w:t>
      </w:r>
    </w:p>
    <w:p w:rsidR="00FB4EED" w:rsidRPr="0052702C" w:rsidRDefault="00FB4EED" w:rsidP="00543C7D">
      <w:pPr>
        <w:pStyle w:val="NumberedParaAR"/>
        <w:spacing w:after="0"/>
      </w:pPr>
      <w:r w:rsidRPr="0052702C">
        <w:rPr>
          <w:rtl/>
        </w:rPr>
        <w:t>اختتام الدورة</w:t>
      </w:r>
    </w:p>
    <w:p w:rsidR="00FB4EED" w:rsidRDefault="00FB4EED" w:rsidP="00FB4EED">
      <w:pPr>
        <w:pStyle w:val="EndofDocumentAR"/>
      </w:pPr>
      <w:r w:rsidRPr="0052702C">
        <w:rPr>
          <w:rtl/>
        </w:rPr>
        <w:t>[نهاية الوثيقة]</w:t>
      </w:r>
    </w:p>
    <w:sectPr w:rsidR="00FB4EED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B8" w:rsidRDefault="00AC0AB8">
      <w:r>
        <w:separator/>
      </w:r>
    </w:p>
  </w:endnote>
  <w:endnote w:type="continuationSeparator" w:id="0">
    <w:p w:rsidR="00AC0AB8" w:rsidRDefault="00AC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B8" w:rsidRDefault="00AC0AB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C0AB8" w:rsidRDefault="00AC0AB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FB4EED">
    <w:r w:rsidRPr="0015593C">
      <w:t>WIPO/GRTKF/IC/</w:t>
    </w:r>
    <w:r w:rsidR="003E5324">
      <w:t>3</w:t>
    </w:r>
    <w:r w:rsidR="00DF7400">
      <w:t>2</w:t>
    </w:r>
    <w:r w:rsidRPr="0015593C">
      <w:t>/</w:t>
    </w:r>
    <w:r w:rsidR="00FB4EED">
      <w:t>1 Prov.</w:t>
    </w:r>
    <w:r w:rsidR="00543C7D">
      <w:t xml:space="preserve"> 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163626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B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3626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3C7D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181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0A93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24E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0AB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07FD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4EED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C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AC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GRTKF_IC_32_AR.dotx</Template>
  <TotalTime>1</TotalTime>
  <Pages>2</Pages>
  <Words>263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WIPO/GRTKF/IC/32/1 Prov.2 (Arabic)</vt:lpstr>
    </vt:vector>
  </TitlesOfParts>
  <Company>World Intellectual Property Organization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WIPO/GRTKF/IC/32/1 Prov.2 (Arabic)</dc:title>
  <dc:creator>CHADAREVIAN Diane</dc:creator>
  <cp:lastModifiedBy>YOUSSEF Randa</cp:lastModifiedBy>
  <cp:revision>3</cp:revision>
  <cp:lastPrinted>2016-11-14T09:39:00Z</cp:lastPrinted>
  <dcterms:created xsi:type="dcterms:W3CDTF">2016-11-14T08:22:00Z</dcterms:created>
  <dcterms:modified xsi:type="dcterms:W3CDTF">2016-11-14T09:39:00Z</dcterms:modified>
</cp:coreProperties>
</file>