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B6101C" w:rsidP="007D6FD4">
            <w:pPr>
              <w:pStyle w:val="DocumentCodeAR"/>
              <w:bidi/>
              <w:rPr>
                <w:rtl/>
              </w:rPr>
            </w:pPr>
          </w:p>
        </w:tc>
      </w:tr>
      <w:tr w:rsidR="001667B6" w:rsidTr="00BF164F">
        <w:tc>
          <w:tcPr>
            <w:tcW w:w="9571" w:type="dxa"/>
            <w:gridSpan w:val="3"/>
          </w:tcPr>
          <w:p w:rsidR="001667B6" w:rsidRPr="00B6101C" w:rsidRDefault="00B6101C" w:rsidP="004C15BE">
            <w:pPr>
              <w:pStyle w:val="DocumentLanguageAR"/>
              <w:bidi/>
              <w:rPr>
                <w:rtl/>
              </w:rPr>
            </w:pPr>
            <w:r w:rsidRPr="00B6101C">
              <w:rPr>
                <w:rFonts w:hint="cs"/>
                <w:rtl/>
              </w:rPr>
              <w:t xml:space="preserve">الأصل: </w:t>
            </w:r>
            <w:proofErr w:type="gramStart"/>
            <w:r w:rsidR="004C15BE">
              <w:rPr>
                <w:rFonts w:hint="cs"/>
                <w:rtl/>
              </w:rPr>
              <w:t>بالإنكليزية</w:t>
            </w:r>
            <w:proofErr w:type="gramEnd"/>
          </w:p>
        </w:tc>
      </w:tr>
      <w:tr w:rsidR="001667B6" w:rsidTr="00BF164F">
        <w:tc>
          <w:tcPr>
            <w:tcW w:w="9571" w:type="dxa"/>
            <w:gridSpan w:val="3"/>
          </w:tcPr>
          <w:p w:rsidR="001667B6" w:rsidRPr="00B6101C" w:rsidRDefault="00B6101C" w:rsidP="004C15BE">
            <w:pPr>
              <w:pStyle w:val="DocumentDateAR"/>
              <w:bidi/>
              <w:rPr>
                <w:rtl/>
              </w:rPr>
            </w:pPr>
            <w:r w:rsidRPr="00B6101C">
              <w:rPr>
                <w:rFonts w:hint="cs"/>
                <w:rtl/>
              </w:rPr>
              <w:t xml:space="preserve">التاريخ: </w:t>
            </w:r>
            <w:r w:rsidR="004C15BE">
              <w:rPr>
                <w:rFonts w:hint="cs"/>
                <w:rtl/>
              </w:rPr>
              <w:t>19</w:t>
            </w:r>
            <w:r w:rsidRPr="00B6101C">
              <w:rPr>
                <w:rFonts w:hint="cs"/>
                <w:rtl/>
              </w:rPr>
              <w:t xml:space="preserve"> </w:t>
            </w:r>
            <w:proofErr w:type="gramStart"/>
            <w:r w:rsidR="004C15BE">
              <w:rPr>
                <w:rFonts w:hint="cs"/>
                <w:rtl/>
              </w:rPr>
              <w:t>فبراير</w:t>
            </w:r>
            <w:proofErr w:type="gramEnd"/>
            <w:r w:rsidRPr="00B6101C">
              <w:rPr>
                <w:rFonts w:hint="cs"/>
                <w:rtl/>
              </w:rPr>
              <w:t xml:space="preserve"> </w:t>
            </w:r>
            <w:r w:rsidR="00063CAD">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D6FD4">
      <w:pPr>
        <w:pStyle w:val="MeetingSessionAR"/>
        <w:bidi/>
        <w:rPr>
          <w:rFonts w:ascii="Cambria Math" w:hAnsi="Cambria Math"/>
          <w:rtl/>
        </w:rPr>
      </w:pPr>
      <w:r w:rsidRPr="00783D11">
        <w:rPr>
          <w:rFonts w:ascii="Cambria Math" w:hAnsi="Cambria Math"/>
          <w:rtl/>
        </w:rPr>
        <w:t xml:space="preserve">الدورة </w:t>
      </w:r>
      <w:r w:rsidR="00063CAD">
        <w:rPr>
          <w:rFonts w:ascii="Cambria Math" w:hAnsi="Cambria Math" w:hint="cs"/>
          <w:rtl/>
        </w:rPr>
        <w:t>التاسعة</w:t>
      </w:r>
      <w:r w:rsidR="00772E46">
        <w:rPr>
          <w:rFonts w:ascii="Cambria Math" w:hAnsi="Cambria Math" w:hint="cs"/>
          <w:rtl/>
        </w:rPr>
        <w:t xml:space="preserve"> </w:t>
      </w:r>
      <w:proofErr w:type="gramStart"/>
      <w:r w:rsidR="00772E46">
        <w:rPr>
          <w:rFonts w:ascii="Cambria Math" w:hAnsi="Cambria Math" w:hint="cs"/>
          <w:rtl/>
        </w:rPr>
        <w:t>والعشرون</w:t>
      </w:r>
      <w:proofErr w:type="gramEnd"/>
    </w:p>
    <w:p w:rsidR="00D61541" w:rsidRPr="00D61541" w:rsidRDefault="00D61541" w:rsidP="00063CAD">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063CAD">
        <w:rPr>
          <w:rFonts w:hint="cs"/>
          <w:rtl/>
        </w:rPr>
        <w:t>15</w:t>
      </w:r>
      <w:r w:rsidR="007D6FD4">
        <w:rPr>
          <w:rFonts w:hint="cs"/>
          <w:rtl/>
        </w:rPr>
        <w:t xml:space="preserve"> إلى </w:t>
      </w:r>
      <w:r w:rsidR="00063CAD">
        <w:rPr>
          <w:rFonts w:hint="cs"/>
          <w:rtl/>
        </w:rPr>
        <w:t>19 فبراير</w:t>
      </w:r>
      <w:r w:rsidR="006011D1">
        <w:rPr>
          <w:rFonts w:hint="cs"/>
          <w:rtl/>
        </w:rPr>
        <w:t xml:space="preserve"> </w:t>
      </w:r>
      <w:r w:rsidR="00063CAD">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634FB0" w:rsidP="00FB7EC9">
      <w:pPr>
        <w:pStyle w:val="DocumentTitleAR"/>
        <w:bidi/>
        <w:rPr>
          <w:rtl/>
        </w:rPr>
      </w:pPr>
      <w:proofErr w:type="gramStart"/>
      <w:r>
        <w:rPr>
          <w:rFonts w:hint="cs"/>
          <w:rtl/>
        </w:rPr>
        <w:t>قرارات</w:t>
      </w:r>
      <w:proofErr w:type="gramEnd"/>
      <w:r>
        <w:rPr>
          <w:rFonts w:hint="cs"/>
          <w:rtl/>
        </w:rPr>
        <w:t xml:space="preserve"> الدورة التاسعة والعشرين للجنة</w:t>
      </w:r>
    </w:p>
    <w:p w:rsidR="00D61541" w:rsidRPr="00D61541" w:rsidRDefault="00634FB0" w:rsidP="00931859">
      <w:pPr>
        <w:pStyle w:val="PreparedbyAR"/>
        <w:bidi/>
        <w:rPr>
          <w:rtl/>
        </w:rPr>
      </w:pPr>
      <w:r>
        <w:rPr>
          <w:rFonts w:hint="cs"/>
          <w:rtl/>
        </w:rPr>
        <w:t>الذي اعتمدته اللجنة</w:t>
      </w:r>
    </w:p>
    <w:p w:rsidR="00634FB0" w:rsidRDefault="00634FB0">
      <w:pPr>
        <w:rPr>
          <w:rFonts w:ascii="Arabic Typesetting" w:hAnsi="Arabic Typesetting" w:cs="Arabic Typesetting"/>
          <w:sz w:val="36"/>
          <w:szCs w:val="36"/>
          <w:rtl/>
        </w:rPr>
      </w:pPr>
      <w:r>
        <w:rPr>
          <w:rtl/>
        </w:rPr>
        <w:br w:type="page"/>
      </w:r>
    </w:p>
    <w:p w:rsidR="00063CAD" w:rsidRPr="008D6BC6" w:rsidRDefault="008D6BC6" w:rsidP="008D6BC6">
      <w:pPr>
        <w:pStyle w:val="NormalParaAR"/>
        <w:keepNext/>
        <w:rPr>
          <w:sz w:val="40"/>
          <w:szCs w:val="40"/>
          <w:rtl/>
        </w:rPr>
      </w:pPr>
      <w:r w:rsidRPr="008D6BC6">
        <w:rPr>
          <w:rFonts w:hint="cs"/>
          <w:sz w:val="40"/>
          <w:szCs w:val="40"/>
          <w:rtl/>
        </w:rPr>
        <w:lastRenderedPageBreak/>
        <w:t xml:space="preserve">قرار بشأن البند 2 </w:t>
      </w:r>
      <w:proofErr w:type="gramStart"/>
      <w:r w:rsidRPr="008D6BC6">
        <w:rPr>
          <w:rFonts w:hint="cs"/>
          <w:sz w:val="40"/>
          <w:szCs w:val="40"/>
          <w:rtl/>
        </w:rPr>
        <w:t>من</w:t>
      </w:r>
      <w:proofErr w:type="gramEnd"/>
      <w:r w:rsidRPr="008D6BC6">
        <w:rPr>
          <w:rFonts w:hint="cs"/>
          <w:sz w:val="40"/>
          <w:szCs w:val="40"/>
          <w:rtl/>
        </w:rPr>
        <w:t xml:space="preserve"> جدول الأعمال</w:t>
      </w:r>
      <w:r w:rsidR="00477C91">
        <w:rPr>
          <w:rFonts w:hint="cs"/>
          <w:sz w:val="40"/>
          <w:szCs w:val="40"/>
          <w:rtl/>
        </w:rPr>
        <w:t>:</w:t>
      </w:r>
    </w:p>
    <w:p w:rsidR="008D6BC6" w:rsidRPr="008D6BC6" w:rsidRDefault="008D6BC6" w:rsidP="008D6BC6">
      <w:pPr>
        <w:pStyle w:val="NormalParaAR"/>
        <w:keepNext/>
        <w:rPr>
          <w:sz w:val="40"/>
          <w:szCs w:val="40"/>
          <w:rtl/>
        </w:rPr>
      </w:pPr>
      <w:proofErr w:type="gramStart"/>
      <w:r w:rsidRPr="008D6BC6">
        <w:rPr>
          <w:rFonts w:hint="cs"/>
          <w:sz w:val="40"/>
          <w:szCs w:val="40"/>
          <w:rtl/>
        </w:rPr>
        <w:t>انتخاب</w:t>
      </w:r>
      <w:proofErr w:type="gramEnd"/>
      <w:r w:rsidRPr="008D6BC6">
        <w:rPr>
          <w:rFonts w:hint="cs"/>
          <w:sz w:val="40"/>
          <w:szCs w:val="40"/>
          <w:rtl/>
        </w:rPr>
        <w:t xml:space="preserve"> أعضاء المكتب</w:t>
      </w:r>
    </w:p>
    <w:p w:rsidR="008D6BC6" w:rsidRDefault="008D6BC6" w:rsidP="00EA6EA1">
      <w:pPr>
        <w:pStyle w:val="NormalParaAR"/>
        <w:rPr>
          <w:rtl/>
        </w:rPr>
      </w:pPr>
      <w:r>
        <w:rPr>
          <w:rFonts w:hint="cs"/>
          <w:rtl/>
        </w:rPr>
        <w:t xml:space="preserve">بناء على اقتراح من وفد سويسرا أيده وفد الهند ووفد جزر البهاما باسم مجموعة بلدان أمريكا اللاتينية والكاريبي، انتخبت اللجنة، بالإجماع وبالتزكية، السيد </w:t>
      </w:r>
      <w:r w:rsidR="00477C91">
        <w:rPr>
          <w:rFonts w:hint="cs"/>
          <w:rtl/>
        </w:rPr>
        <w:t>إ</w:t>
      </w:r>
      <w:r w:rsidR="00EA6EA1">
        <w:rPr>
          <w:rFonts w:hint="cs"/>
          <w:rtl/>
        </w:rPr>
        <w:t xml:space="preserve">يان </w:t>
      </w:r>
      <w:proofErr w:type="spellStart"/>
      <w:r w:rsidR="00EA6EA1">
        <w:rPr>
          <w:rFonts w:hint="cs"/>
          <w:rtl/>
        </w:rPr>
        <w:t>غوس</w:t>
      </w:r>
      <w:proofErr w:type="spellEnd"/>
      <w:r w:rsidR="00EA6EA1">
        <w:rPr>
          <w:rFonts w:hint="cs"/>
          <w:rtl/>
        </w:rPr>
        <w:t xml:space="preserve"> من أسترال</w:t>
      </w:r>
      <w:r>
        <w:rPr>
          <w:rFonts w:hint="cs"/>
          <w:rtl/>
        </w:rPr>
        <w:t xml:space="preserve">يا رئيسا لها للثنائية 2016-2017. </w:t>
      </w:r>
      <w:r w:rsidR="00477C91">
        <w:rPr>
          <w:rFonts w:hint="cs"/>
          <w:rtl/>
        </w:rPr>
        <w:t xml:space="preserve">وانتخبت اللجنة، </w:t>
      </w:r>
      <w:r>
        <w:rPr>
          <w:rFonts w:hint="cs"/>
          <w:rtl/>
        </w:rPr>
        <w:t xml:space="preserve">بناء على اقتراح من وفد </w:t>
      </w:r>
      <w:r w:rsidR="00EA6EA1">
        <w:rPr>
          <w:rFonts w:hint="cs"/>
          <w:rtl/>
        </w:rPr>
        <w:t>النمسا</w:t>
      </w:r>
      <w:r>
        <w:rPr>
          <w:rFonts w:hint="cs"/>
          <w:rtl/>
        </w:rPr>
        <w:t xml:space="preserve"> أيده وفد لاتفيا باسم مجموعة </w:t>
      </w:r>
      <w:r w:rsidR="00477C91">
        <w:rPr>
          <w:rFonts w:hint="cs"/>
          <w:rtl/>
        </w:rPr>
        <w:t xml:space="preserve">دول أوروبا الوسطى والبلطيق، السيد </w:t>
      </w:r>
      <w:proofErr w:type="spellStart"/>
      <w:r w:rsidR="00477C91">
        <w:rPr>
          <w:rFonts w:hint="cs"/>
          <w:rtl/>
        </w:rPr>
        <w:t>جوكا</w:t>
      </w:r>
      <w:proofErr w:type="spellEnd"/>
      <w:r w:rsidR="00477C91">
        <w:rPr>
          <w:rFonts w:hint="cs"/>
          <w:rtl/>
        </w:rPr>
        <w:t xml:space="preserve"> ليديس من فنلندا، وبناء على اقتراح من وفد الهند أيده وفد جزر البهاما باسم مجموعة بلدان أمريكا اللاتينية والكاريبي، السفير روبرتو </w:t>
      </w:r>
      <w:proofErr w:type="spellStart"/>
      <w:r w:rsidR="00477C91">
        <w:rPr>
          <w:rFonts w:hint="cs"/>
          <w:rtl/>
        </w:rPr>
        <w:t>ماتيوس</w:t>
      </w:r>
      <w:proofErr w:type="spellEnd"/>
      <w:r w:rsidR="00477C91">
        <w:rPr>
          <w:rFonts w:hint="cs"/>
          <w:rtl/>
        </w:rPr>
        <w:t xml:space="preserve"> ميكائيل تيني من إندونيسيا، نائبين للرئيس للفترة ذاتها.</w:t>
      </w:r>
    </w:p>
    <w:p w:rsidR="00477C91" w:rsidRPr="008D6BC6" w:rsidRDefault="00477C91" w:rsidP="00477C91">
      <w:pPr>
        <w:pStyle w:val="NormalParaAR"/>
        <w:keepNext/>
        <w:rPr>
          <w:sz w:val="40"/>
          <w:szCs w:val="40"/>
          <w:rtl/>
        </w:rPr>
      </w:pPr>
      <w:r w:rsidRPr="008D6BC6">
        <w:rPr>
          <w:rFonts w:hint="cs"/>
          <w:sz w:val="40"/>
          <w:szCs w:val="40"/>
          <w:rtl/>
        </w:rPr>
        <w:t xml:space="preserve">قرار بشأن البند </w:t>
      </w:r>
      <w:r>
        <w:rPr>
          <w:rFonts w:hint="cs"/>
          <w:sz w:val="40"/>
          <w:szCs w:val="40"/>
          <w:rtl/>
        </w:rPr>
        <w:t>3</w:t>
      </w:r>
      <w:r w:rsidRPr="008D6BC6">
        <w:rPr>
          <w:rFonts w:hint="cs"/>
          <w:sz w:val="40"/>
          <w:szCs w:val="40"/>
          <w:rtl/>
        </w:rPr>
        <w:t xml:space="preserve"> </w:t>
      </w:r>
      <w:proofErr w:type="gramStart"/>
      <w:r w:rsidRPr="008D6BC6">
        <w:rPr>
          <w:rFonts w:hint="cs"/>
          <w:sz w:val="40"/>
          <w:szCs w:val="40"/>
          <w:rtl/>
        </w:rPr>
        <w:t>من</w:t>
      </w:r>
      <w:proofErr w:type="gramEnd"/>
      <w:r w:rsidRPr="008D6BC6">
        <w:rPr>
          <w:rFonts w:hint="cs"/>
          <w:sz w:val="40"/>
          <w:szCs w:val="40"/>
          <w:rtl/>
        </w:rPr>
        <w:t xml:space="preserve"> جدول الأعمال</w:t>
      </w:r>
      <w:r>
        <w:rPr>
          <w:rFonts w:hint="cs"/>
          <w:sz w:val="40"/>
          <w:szCs w:val="40"/>
          <w:rtl/>
        </w:rPr>
        <w:t>:</w:t>
      </w:r>
    </w:p>
    <w:p w:rsidR="00477C91" w:rsidRPr="008D6BC6" w:rsidRDefault="00477C91" w:rsidP="00477C91">
      <w:pPr>
        <w:pStyle w:val="NormalParaAR"/>
        <w:keepNext/>
        <w:rPr>
          <w:sz w:val="40"/>
          <w:szCs w:val="40"/>
          <w:rtl/>
        </w:rPr>
      </w:pPr>
      <w:proofErr w:type="gramStart"/>
      <w:r>
        <w:rPr>
          <w:rFonts w:hint="cs"/>
          <w:sz w:val="40"/>
          <w:szCs w:val="40"/>
          <w:rtl/>
        </w:rPr>
        <w:t>اعتماد</w:t>
      </w:r>
      <w:proofErr w:type="gramEnd"/>
      <w:r>
        <w:rPr>
          <w:rFonts w:hint="cs"/>
          <w:sz w:val="40"/>
          <w:szCs w:val="40"/>
          <w:rtl/>
        </w:rPr>
        <w:t xml:space="preserve"> جدول الأعمال</w:t>
      </w:r>
    </w:p>
    <w:p w:rsidR="00477C91" w:rsidRDefault="00477C91" w:rsidP="00477C91">
      <w:pPr>
        <w:pStyle w:val="NormalParaAR"/>
        <w:rPr>
          <w:rtl/>
        </w:rPr>
      </w:pPr>
      <w:r w:rsidRPr="00477C91">
        <w:rPr>
          <w:rtl/>
        </w:rPr>
        <w:t xml:space="preserve">قدم الرئيس مشروع </w:t>
      </w:r>
      <w:proofErr w:type="gramStart"/>
      <w:r w:rsidRPr="00477C91">
        <w:rPr>
          <w:rtl/>
        </w:rPr>
        <w:t>جدول</w:t>
      </w:r>
      <w:proofErr w:type="gramEnd"/>
      <w:r w:rsidRPr="00477C91">
        <w:rPr>
          <w:rtl/>
        </w:rPr>
        <w:t xml:space="preserve"> الأعمال المُعمّم في الوثيقة</w:t>
      </w:r>
      <w:r w:rsidRPr="00477C91">
        <w:rPr>
          <w:rFonts w:hint="cs"/>
          <w:rtl/>
        </w:rPr>
        <w:t> </w:t>
      </w:r>
      <w:r w:rsidRPr="00477C91">
        <w:t>WIPO/GRTKF/IC/29/1 Prov. 3.</w:t>
      </w:r>
      <w:r w:rsidRPr="00477C91">
        <w:rPr>
          <w:rFonts w:hint="cs"/>
          <w:rtl/>
        </w:rPr>
        <w:t xml:space="preserve"> </w:t>
      </w:r>
      <w:r w:rsidRPr="00477C91">
        <w:rPr>
          <w:rtl/>
        </w:rPr>
        <w:t>كي يُعتمد، وتم اعتماده</w:t>
      </w:r>
      <w:r w:rsidRPr="00477C91">
        <w:rPr>
          <w:rFonts w:hint="cs"/>
          <w:rtl/>
        </w:rPr>
        <w:t>.</w:t>
      </w:r>
    </w:p>
    <w:p w:rsidR="00477C91" w:rsidRPr="008D6BC6" w:rsidRDefault="00477C91" w:rsidP="00477C91">
      <w:pPr>
        <w:pStyle w:val="NormalParaAR"/>
        <w:keepNext/>
        <w:rPr>
          <w:sz w:val="40"/>
          <w:szCs w:val="40"/>
          <w:rtl/>
        </w:rPr>
      </w:pPr>
      <w:r w:rsidRPr="008D6BC6">
        <w:rPr>
          <w:rFonts w:hint="cs"/>
          <w:sz w:val="40"/>
          <w:szCs w:val="40"/>
          <w:rtl/>
        </w:rPr>
        <w:t xml:space="preserve">قرار بشأن البند </w:t>
      </w:r>
      <w:r>
        <w:rPr>
          <w:rFonts w:hint="cs"/>
          <w:sz w:val="40"/>
          <w:szCs w:val="40"/>
          <w:rtl/>
        </w:rPr>
        <w:t>4</w:t>
      </w:r>
      <w:r w:rsidRPr="008D6BC6">
        <w:rPr>
          <w:rFonts w:hint="cs"/>
          <w:sz w:val="40"/>
          <w:szCs w:val="40"/>
          <w:rtl/>
        </w:rPr>
        <w:t xml:space="preserve"> </w:t>
      </w:r>
      <w:proofErr w:type="gramStart"/>
      <w:r w:rsidRPr="008D6BC6">
        <w:rPr>
          <w:rFonts w:hint="cs"/>
          <w:sz w:val="40"/>
          <w:szCs w:val="40"/>
          <w:rtl/>
        </w:rPr>
        <w:t>من</w:t>
      </w:r>
      <w:proofErr w:type="gramEnd"/>
      <w:r w:rsidRPr="008D6BC6">
        <w:rPr>
          <w:rFonts w:hint="cs"/>
          <w:sz w:val="40"/>
          <w:szCs w:val="40"/>
          <w:rtl/>
        </w:rPr>
        <w:t xml:space="preserve"> جدول الأعمال</w:t>
      </w:r>
      <w:r>
        <w:rPr>
          <w:rFonts w:hint="cs"/>
          <w:sz w:val="40"/>
          <w:szCs w:val="40"/>
          <w:rtl/>
        </w:rPr>
        <w:t>:</w:t>
      </w:r>
    </w:p>
    <w:p w:rsidR="00477C91" w:rsidRPr="008D6BC6" w:rsidRDefault="00477C91" w:rsidP="00477C91">
      <w:pPr>
        <w:pStyle w:val="NormalParaAR"/>
        <w:keepNext/>
        <w:rPr>
          <w:sz w:val="40"/>
          <w:szCs w:val="40"/>
          <w:rtl/>
        </w:rPr>
      </w:pPr>
      <w:r>
        <w:rPr>
          <w:rFonts w:hint="cs"/>
          <w:sz w:val="40"/>
          <w:szCs w:val="40"/>
          <w:rtl/>
        </w:rPr>
        <w:t xml:space="preserve">اعتماد تقرير الدورة الثامنة </w:t>
      </w:r>
      <w:proofErr w:type="gramStart"/>
      <w:r>
        <w:rPr>
          <w:rFonts w:hint="cs"/>
          <w:sz w:val="40"/>
          <w:szCs w:val="40"/>
          <w:rtl/>
        </w:rPr>
        <w:t>والعشرين</w:t>
      </w:r>
      <w:proofErr w:type="gramEnd"/>
    </w:p>
    <w:p w:rsidR="00477C91" w:rsidRDefault="00477C91" w:rsidP="00477C91">
      <w:pPr>
        <w:pStyle w:val="NormalParaAR"/>
        <w:rPr>
          <w:rtl/>
        </w:rPr>
      </w:pPr>
      <w:r w:rsidRPr="00477C91">
        <w:rPr>
          <w:rtl/>
        </w:rPr>
        <w:t xml:space="preserve">قدم الرئيس مشروع التقرير المعدّل لدورة اللجنة </w:t>
      </w:r>
      <w:r>
        <w:rPr>
          <w:rFonts w:hint="cs"/>
          <w:rtl/>
        </w:rPr>
        <w:t>الثامنة</w:t>
      </w:r>
      <w:r w:rsidRPr="00477C91">
        <w:rPr>
          <w:rtl/>
        </w:rPr>
        <w:t xml:space="preserve"> </w:t>
      </w:r>
      <w:proofErr w:type="gramStart"/>
      <w:r w:rsidRPr="00477C91">
        <w:rPr>
          <w:rtl/>
        </w:rPr>
        <w:t>والعشرين</w:t>
      </w:r>
      <w:proofErr w:type="gramEnd"/>
      <w:r w:rsidRPr="00477C91">
        <w:rPr>
          <w:rtl/>
        </w:rPr>
        <w:t xml:space="preserve"> (الوثيقة</w:t>
      </w:r>
      <w:r w:rsidRPr="00477C91">
        <w:rPr>
          <w:rFonts w:hint="cs"/>
          <w:rtl/>
        </w:rPr>
        <w:t> </w:t>
      </w:r>
      <w:r w:rsidRPr="00477C91">
        <w:t>WIPO/GRTKF/IC/28/11 Prov. 2</w:t>
      </w:r>
      <w:r w:rsidRPr="00477C91">
        <w:rPr>
          <w:rtl/>
        </w:rPr>
        <w:t>) لاعتماده، وتم اعتماده.</w:t>
      </w:r>
    </w:p>
    <w:p w:rsidR="00477C91" w:rsidRPr="008D6BC6" w:rsidRDefault="00477C91" w:rsidP="00477C91">
      <w:pPr>
        <w:pStyle w:val="NormalParaAR"/>
        <w:keepNext/>
        <w:rPr>
          <w:sz w:val="40"/>
          <w:szCs w:val="40"/>
          <w:rtl/>
        </w:rPr>
      </w:pPr>
      <w:r w:rsidRPr="008D6BC6">
        <w:rPr>
          <w:rFonts w:hint="cs"/>
          <w:sz w:val="40"/>
          <w:szCs w:val="40"/>
          <w:rtl/>
        </w:rPr>
        <w:t xml:space="preserve">قرار بشأن البند </w:t>
      </w:r>
      <w:r>
        <w:rPr>
          <w:rFonts w:hint="cs"/>
          <w:sz w:val="40"/>
          <w:szCs w:val="40"/>
          <w:rtl/>
        </w:rPr>
        <w:t>5</w:t>
      </w:r>
      <w:r w:rsidRPr="008D6BC6">
        <w:rPr>
          <w:rFonts w:hint="cs"/>
          <w:sz w:val="40"/>
          <w:szCs w:val="40"/>
          <w:rtl/>
        </w:rPr>
        <w:t xml:space="preserve"> </w:t>
      </w:r>
      <w:proofErr w:type="gramStart"/>
      <w:r w:rsidRPr="008D6BC6">
        <w:rPr>
          <w:rFonts w:hint="cs"/>
          <w:sz w:val="40"/>
          <w:szCs w:val="40"/>
          <w:rtl/>
        </w:rPr>
        <w:t>من</w:t>
      </w:r>
      <w:proofErr w:type="gramEnd"/>
      <w:r w:rsidRPr="008D6BC6">
        <w:rPr>
          <w:rFonts w:hint="cs"/>
          <w:sz w:val="40"/>
          <w:szCs w:val="40"/>
          <w:rtl/>
        </w:rPr>
        <w:t xml:space="preserve"> جدول الأعمال</w:t>
      </w:r>
      <w:r>
        <w:rPr>
          <w:rFonts w:hint="cs"/>
          <w:sz w:val="40"/>
          <w:szCs w:val="40"/>
          <w:rtl/>
        </w:rPr>
        <w:t>:</w:t>
      </w:r>
    </w:p>
    <w:p w:rsidR="00477C91" w:rsidRPr="008D6BC6" w:rsidRDefault="00477C91" w:rsidP="00477C91">
      <w:pPr>
        <w:pStyle w:val="NormalParaAR"/>
        <w:keepNext/>
        <w:rPr>
          <w:sz w:val="40"/>
          <w:szCs w:val="40"/>
          <w:rtl/>
        </w:rPr>
      </w:pPr>
      <w:proofErr w:type="gramStart"/>
      <w:r>
        <w:rPr>
          <w:rFonts w:hint="cs"/>
          <w:sz w:val="40"/>
          <w:szCs w:val="40"/>
          <w:rtl/>
        </w:rPr>
        <w:t>اعتماد</w:t>
      </w:r>
      <w:proofErr w:type="gramEnd"/>
      <w:r>
        <w:rPr>
          <w:rFonts w:hint="cs"/>
          <w:sz w:val="40"/>
          <w:szCs w:val="40"/>
          <w:rtl/>
        </w:rPr>
        <w:t xml:space="preserve"> بعض المنظمات</w:t>
      </w:r>
    </w:p>
    <w:p w:rsidR="00477C91" w:rsidRDefault="00A70295" w:rsidP="00D31587">
      <w:pPr>
        <w:pStyle w:val="NormalParaAR"/>
        <w:rPr>
          <w:rtl/>
          <w:lang w:val="fr-FR"/>
        </w:rPr>
      </w:pPr>
      <w:r>
        <w:rPr>
          <w:rFonts w:hint="cs"/>
          <w:rtl/>
        </w:rPr>
        <w:t>وافقت اللجنة بالإجماع على اعتماد سبع عشرة منظمة ترد أسماؤها في مرفق الوثيقة</w:t>
      </w:r>
      <w:r w:rsidR="00D31587">
        <w:rPr>
          <w:rFonts w:hint="eastAsia"/>
          <w:rtl/>
        </w:rPr>
        <w:t> </w:t>
      </w:r>
      <w:r w:rsidRPr="00A70295">
        <w:rPr>
          <w:lang w:val="fr-FR"/>
        </w:rPr>
        <w:t>WIPO/GRTKF/IC/29/2</w:t>
      </w:r>
      <w:r>
        <w:rPr>
          <w:rFonts w:hint="cs"/>
          <w:rtl/>
          <w:lang w:val="fr-FR"/>
        </w:rPr>
        <w:t xml:space="preserve"> بصفة مراقب، وهي كالتالي: حركة الشباب من أجل التنمية (</w:t>
      </w:r>
      <w:r w:rsidRPr="00A70295">
        <w:rPr>
          <w:lang w:val="fr-FR"/>
        </w:rPr>
        <w:t>AJED-Congo</w:t>
      </w:r>
      <w:r>
        <w:rPr>
          <w:rFonts w:hint="cs"/>
          <w:rtl/>
          <w:lang w:val="fr-FR"/>
        </w:rPr>
        <w:t xml:space="preserve">)؛ </w:t>
      </w:r>
      <w:r w:rsidR="00D31587">
        <w:rPr>
          <w:rFonts w:hint="cs"/>
          <w:rtl/>
          <w:lang w:val="fr-FR"/>
        </w:rPr>
        <w:t>و</w:t>
      </w:r>
      <w:r w:rsidR="00E72ECB">
        <w:rPr>
          <w:rFonts w:hint="cs"/>
          <w:rtl/>
          <w:lang w:val="fr-FR"/>
        </w:rPr>
        <w:t>منظمة</w:t>
      </w:r>
      <w:r>
        <w:rPr>
          <w:rFonts w:hint="cs"/>
          <w:rtl/>
          <w:lang w:val="fr-FR"/>
        </w:rPr>
        <w:t xml:space="preserve"> </w:t>
      </w:r>
      <w:r w:rsidR="00E72ECB">
        <w:rPr>
          <w:rFonts w:hint="cs"/>
          <w:rtl/>
          <w:lang w:val="fr-FR"/>
        </w:rPr>
        <w:t xml:space="preserve">مساعي </w:t>
      </w:r>
      <w:r w:rsidR="00D31587">
        <w:rPr>
          <w:rFonts w:hint="cs"/>
          <w:rtl/>
          <w:lang w:val="fr-FR"/>
        </w:rPr>
        <w:t>الدفاع عن</w:t>
      </w:r>
      <w:r>
        <w:rPr>
          <w:rFonts w:hint="cs"/>
          <w:rtl/>
          <w:lang w:val="fr-FR"/>
        </w:rPr>
        <w:t xml:space="preserve"> حقوق سكان الغابات والبيئة (</w:t>
      </w:r>
      <w:r w:rsidRPr="00A70295">
        <w:rPr>
          <w:lang w:val="fr-FR"/>
        </w:rPr>
        <w:t>ADPE</w:t>
      </w:r>
      <w:r>
        <w:rPr>
          <w:rFonts w:hint="cs"/>
          <w:rtl/>
          <w:lang w:val="fr-FR"/>
        </w:rPr>
        <w:t>)</w:t>
      </w:r>
      <w:r w:rsidR="00E72ECB">
        <w:rPr>
          <w:rFonts w:hint="cs"/>
          <w:rtl/>
          <w:lang w:val="fr-FR"/>
        </w:rPr>
        <w:t>؛ و</w:t>
      </w:r>
      <w:r w:rsidR="0028105A">
        <w:rPr>
          <w:rFonts w:hint="cs"/>
          <w:rtl/>
          <w:lang w:val="fr-FR"/>
        </w:rPr>
        <w:t>وكالة الصحافة الدولية للشعوب الأصلية (</w:t>
      </w:r>
      <w:r w:rsidR="0028105A" w:rsidRPr="0028105A">
        <w:rPr>
          <w:lang w:val="fr-FR"/>
        </w:rPr>
        <w:t>AIPIN</w:t>
      </w:r>
      <w:r w:rsidR="0028105A">
        <w:rPr>
          <w:rFonts w:hint="cs"/>
          <w:rtl/>
          <w:lang w:val="fr-FR"/>
        </w:rPr>
        <w:t xml:space="preserve">)؛ ورابطة المزارعين </w:t>
      </w:r>
      <w:r w:rsidR="00542561">
        <w:rPr>
          <w:rFonts w:hint="cs"/>
          <w:rtl/>
          <w:lang w:val="fr-FR"/>
        </w:rPr>
        <w:t xml:space="preserve">تالا-هاري </w:t>
      </w:r>
      <w:r w:rsidR="0028105A">
        <w:rPr>
          <w:rFonts w:hint="cs"/>
          <w:rtl/>
          <w:lang w:val="fr-FR"/>
        </w:rPr>
        <w:t xml:space="preserve">لتنمية الزراعة والصيد </w:t>
      </w:r>
      <w:r w:rsidR="00542561">
        <w:rPr>
          <w:rFonts w:hint="cs"/>
          <w:rtl/>
          <w:lang w:val="fr-FR"/>
        </w:rPr>
        <w:t>(</w:t>
      </w:r>
      <w:r w:rsidR="00542561" w:rsidRPr="00542561">
        <w:rPr>
          <w:lang w:val="fr-FR"/>
        </w:rPr>
        <w:t>ACDAPTH</w:t>
      </w:r>
      <w:r w:rsidR="00542561">
        <w:rPr>
          <w:rFonts w:hint="cs"/>
          <w:rtl/>
          <w:lang w:val="fr-FR"/>
        </w:rPr>
        <w:t>)؛ ومكتب الاستشارات سي أس (</w:t>
      </w:r>
      <w:r w:rsidR="00542561" w:rsidRPr="00542561">
        <w:rPr>
          <w:lang w:val="fr-FR"/>
        </w:rPr>
        <w:t>CS Consulting</w:t>
      </w:r>
      <w:r w:rsidR="00542561">
        <w:rPr>
          <w:rFonts w:hint="cs"/>
          <w:rtl/>
          <w:lang w:val="fr-FR"/>
        </w:rPr>
        <w:t xml:space="preserve">)؛ </w:t>
      </w:r>
      <w:r w:rsidR="00D31587">
        <w:rPr>
          <w:rFonts w:hint="cs"/>
          <w:rtl/>
          <w:lang w:val="fr-FR"/>
        </w:rPr>
        <w:t xml:space="preserve">ومؤسسة </w:t>
      </w:r>
      <w:proofErr w:type="spellStart"/>
      <w:r w:rsidR="00D31587">
        <w:rPr>
          <w:rFonts w:hint="cs"/>
          <w:rtl/>
          <w:lang w:val="fr-FR"/>
        </w:rPr>
        <w:t>ماكامبي</w:t>
      </w:r>
      <w:proofErr w:type="spellEnd"/>
      <w:r w:rsidR="00A600F5">
        <w:rPr>
          <w:rFonts w:hint="cs"/>
          <w:rtl/>
          <w:lang w:val="fr-FR"/>
        </w:rPr>
        <w:t xml:space="preserve"> للتنمية؛ و</w:t>
      </w:r>
      <w:r w:rsidR="00CA7C6C">
        <w:rPr>
          <w:rFonts w:hint="cs"/>
          <w:rtl/>
          <w:lang w:val="fr-FR"/>
        </w:rPr>
        <w:t>هيئة</w:t>
      </w:r>
      <w:r w:rsidR="00D31587">
        <w:rPr>
          <w:rFonts w:hint="cs"/>
          <w:rtl/>
          <w:lang w:val="fr-FR"/>
        </w:rPr>
        <w:t xml:space="preserve"> مجالس</w:t>
      </w:r>
      <w:r w:rsidR="00A600F5">
        <w:rPr>
          <w:rFonts w:hint="cs"/>
          <w:rtl/>
          <w:lang w:val="fr-FR"/>
        </w:rPr>
        <w:t xml:space="preserve"> سكان جزر </w:t>
      </w:r>
      <w:r w:rsidR="00662399">
        <w:rPr>
          <w:rFonts w:hint="cs"/>
          <w:rtl/>
          <w:lang w:val="fr-FR"/>
        </w:rPr>
        <w:t xml:space="preserve">مضيق توريس؛ </w:t>
      </w:r>
      <w:r w:rsidR="00A43D3A">
        <w:rPr>
          <w:rFonts w:hint="cs"/>
          <w:rtl/>
          <w:lang w:val="fr-FR"/>
        </w:rPr>
        <w:t>والمركز الدولي للتثقيف البيئي والتنمية المجتمعية (</w:t>
      </w:r>
      <w:r w:rsidR="00A43D3A" w:rsidRPr="00A43D3A">
        <w:rPr>
          <w:lang w:val="fr-FR"/>
        </w:rPr>
        <w:t>ICENECDEV</w:t>
      </w:r>
      <w:r w:rsidR="00A43D3A">
        <w:rPr>
          <w:rFonts w:hint="cs"/>
          <w:rtl/>
          <w:lang w:val="fr-FR"/>
        </w:rPr>
        <w:t>)؛ والمعهد الكوري للطب الشرقي (</w:t>
      </w:r>
      <w:r w:rsidR="00A43D3A" w:rsidRPr="00A43D3A">
        <w:rPr>
          <w:lang w:val="fr-FR"/>
        </w:rPr>
        <w:t>KIOM</w:t>
      </w:r>
      <w:r w:rsidR="00A43D3A">
        <w:rPr>
          <w:rFonts w:hint="cs"/>
          <w:rtl/>
          <w:lang w:val="fr-FR"/>
        </w:rPr>
        <w:t xml:space="preserve">)؛ </w:t>
      </w:r>
      <w:r w:rsidR="00526462">
        <w:rPr>
          <w:rFonts w:hint="cs"/>
          <w:rtl/>
          <w:lang w:val="fr-FR"/>
        </w:rPr>
        <w:t>و</w:t>
      </w:r>
      <w:r w:rsidR="00A43D3A">
        <w:rPr>
          <w:rFonts w:hint="cs"/>
          <w:rtl/>
          <w:lang w:val="fr-FR"/>
        </w:rPr>
        <w:t xml:space="preserve">منظمة </w:t>
      </w:r>
      <w:r w:rsidR="00862FEE">
        <w:rPr>
          <w:rFonts w:hint="cs"/>
          <w:rtl/>
          <w:lang w:val="fr-FR"/>
        </w:rPr>
        <w:t>الاعتناء بالنساء والأطفال المستضعفين (</w:t>
      </w:r>
      <w:r w:rsidR="00862FEE" w:rsidRPr="00862FEE">
        <w:rPr>
          <w:lang w:val="fr-FR"/>
        </w:rPr>
        <w:t>FEED</w:t>
      </w:r>
      <w:r w:rsidR="00862FEE">
        <w:rPr>
          <w:rFonts w:hint="cs"/>
          <w:rtl/>
          <w:lang w:val="fr-FR"/>
        </w:rPr>
        <w:t xml:space="preserve">)؛ </w:t>
      </w:r>
      <w:r w:rsidR="006410A8">
        <w:rPr>
          <w:rFonts w:hint="cs"/>
          <w:rtl/>
          <w:lang w:val="fr-FR"/>
        </w:rPr>
        <w:t xml:space="preserve">ومتحف </w:t>
      </w:r>
      <w:proofErr w:type="spellStart"/>
      <w:r w:rsidR="006410A8">
        <w:rPr>
          <w:rFonts w:hint="cs"/>
          <w:rtl/>
          <w:lang w:val="fr-FR"/>
        </w:rPr>
        <w:t>فوتاديكوبو</w:t>
      </w:r>
      <w:proofErr w:type="spellEnd"/>
      <w:r w:rsidR="006410A8">
        <w:rPr>
          <w:rFonts w:hint="cs"/>
          <w:rtl/>
          <w:lang w:val="fr-FR"/>
        </w:rPr>
        <w:t>؛ وتجمّع</w:t>
      </w:r>
      <w:r w:rsidR="00526462">
        <w:rPr>
          <w:rFonts w:hint="cs"/>
          <w:rtl/>
          <w:lang w:val="fr-FR"/>
        </w:rPr>
        <w:t xml:space="preserve"> </w:t>
      </w:r>
      <w:proofErr w:type="spellStart"/>
      <w:r w:rsidR="00526462">
        <w:rPr>
          <w:rFonts w:hint="cs"/>
          <w:rtl/>
          <w:lang w:val="fr-FR"/>
        </w:rPr>
        <w:t>الأفارقة</w:t>
      </w:r>
      <w:proofErr w:type="spellEnd"/>
      <w:r w:rsidR="006410A8">
        <w:rPr>
          <w:rFonts w:hint="cs"/>
          <w:rtl/>
          <w:lang w:val="fr-FR"/>
        </w:rPr>
        <w:t xml:space="preserve"> الواعين والنزهاء والوطنيين والملتزمين والمتضامنين: رابطة (</w:t>
      </w:r>
      <w:r w:rsidR="006410A8" w:rsidRPr="006410A8">
        <w:rPr>
          <w:lang w:val="fr-FR"/>
        </w:rPr>
        <w:t>RACINES</w:t>
      </w:r>
      <w:r w:rsidR="006410A8">
        <w:rPr>
          <w:rFonts w:hint="cs"/>
          <w:rtl/>
          <w:lang w:val="fr-FR"/>
        </w:rPr>
        <w:t>)؛ واتحاد شباب بوروندي الأصليين من أجل التنمية المجتمعية (</w:t>
      </w:r>
      <w:r w:rsidR="006410A8" w:rsidRPr="006410A8">
        <w:rPr>
          <w:lang w:val="fr-FR"/>
        </w:rPr>
        <w:t>UJEDECO</w:t>
      </w:r>
      <w:r w:rsidR="006410A8">
        <w:rPr>
          <w:rFonts w:hint="cs"/>
          <w:rtl/>
          <w:lang w:val="fr-FR"/>
        </w:rPr>
        <w:t>)؛ واتحاد الشعوب الأصلية من أجل الصحوة الإنمائية (</w:t>
      </w:r>
      <w:r w:rsidR="006410A8" w:rsidRPr="006410A8">
        <w:rPr>
          <w:lang w:val="fr-FR"/>
        </w:rPr>
        <w:t>UPARED</w:t>
      </w:r>
      <w:r w:rsidR="006410A8">
        <w:rPr>
          <w:rFonts w:hint="cs"/>
          <w:rtl/>
          <w:lang w:val="fr-FR"/>
        </w:rPr>
        <w:t xml:space="preserve">)؛ </w:t>
      </w:r>
      <w:r w:rsidR="00521BC4">
        <w:rPr>
          <w:rFonts w:hint="cs"/>
          <w:rtl/>
          <w:lang w:val="fr-FR"/>
        </w:rPr>
        <w:t>والاتحاد الوطني للمنظمات الإنمائية غير الحكومية (</w:t>
      </w:r>
      <w:r w:rsidR="00521BC4" w:rsidRPr="00521BC4">
        <w:rPr>
          <w:lang w:val="fr-FR"/>
        </w:rPr>
        <w:t>UNONGD</w:t>
      </w:r>
      <w:r w:rsidR="00521BC4">
        <w:rPr>
          <w:rFonts w:hint="cs"/>
          <w:rtl/>
          <w:lang w:val="fr-FR"/>
        </w:rPr>
        <w:t xml:space="preserve">)؛ ومنظمة القرى المتحدة؛ ومنظمة الجسر الأبيض. وقرّرت اللجنة إرجاء اعتماد مكتب الاستشارات </w:t>
      </w:r>
      <w:r w:rsidR="000377C8">
        <w:rPr>
          <w:rFonts w:hint="cs"/>
          <w:rtl/>
          <w:lang w:val="fr-FR"/>
        </w:rPr>
        <w:t>في مجال تنمية الجماعات الأصلية لبابوا الغربية للنظر فيه في دورتها الثلاثين.</w:t>
      </w:r>
    </w:p>
    <w:p w:rsidR="000377C8" w:rsidRPr="008D6BC6" w:rsidRDefault="000377C8" w:rsidP="000377C8">
      <w:pPr>
        <w:pStyle w:val="NormalParaAR"/>
        <w:keepNext/>
        <w:rPr>
          <w:sz w:val="40"/>
          <w:szCs w:val="40"/>
          <w:rtl/>
        </w:rPr>
      </w:pPr>
      <w:r w:rsidRPr="008D6BC6">
        <w:rPr>
          <w:rFonts w:hint="cs"/>
          <w:sz w:val="40"/>
          <w:szCs w:val="40"/>
          <w:rtl/>
        </w:rPr>
        <w:t xml:space="preserve">قرار بشأن البند </w:t>
      </w:r>
      <w:r>
        <w:rPr>
          <w:rFonts w:hint="cs"/>
          <w:sz w:val="40"/>
          <w:szCs w:val="40"/>
          <w:rtl/>
        </w:rPr>
        <w:t>6</w:t>
      </w:r>
      <w:r w:rsidRPr="008D6BC6">
        <w:rPr>
          <w:rFonts w:hint="cs"/>
          <w:sz w:val="40"/>
          <w:szCs w:val="40"/>
          <w:rtl/>
        </w:rPr>
        <w:t xml:space="preserve"> </w:t>
      </w:r>
      <w:proofErr w:type="gramStart"/>
      <w:r w:rsidRPr="008D6BC6">
        <w:rPr>
          <w:rFonts w:hint="cs"/>
          <w:sz w:val="40"/>
          <w:szCs w:val="40"/>
          <w:rtl/>
        </w:rPr>
        <w:t>من</w:t>
      </w:r>
      <w:proofErr w:type="gramEnd"/>
      <w:r w:rsidRPr="008D6BC6">
        <w:rPr>
          <w:rFonts w:hint="cs"/>
          <w:sz w:val="40"/>
          <w:szCs w:val="40"/>
          <w:rtl/>
        </w:rPr>
        <w:t xml:space="preserve"> جدول الأعمال</w:t>
      </w:r>
      <w:r>
        <w:rPr>
          <w:rFonts w:hint="cs"/>
          <w:sz w:val="40"/>
          <w:szCs w:val="40"/>
          <w:rtl/>
        </w:rPr>
        <w:t>:</w:t>
      </w:r>
    </w:p>
    <w:p w:rsidR="000377C8" w:rsidRPr="008D6BC6" w:rsidRDefault="000377C8" w:rsidP="000377C8">
      <w:pPr>
        <w:pStyle w:val="NormalParaAR"/>
        <w:keepNext/>
        <w:rPr>
          <w:sz w:val="40"/>
          <w:szCs w:val="40"/>
          <w:rtl/>
        </w:rPr>
      </w:pPr>
      <w:r>
        <w:rPr>
          <w:rFonts w:hint="cs"/>
          <w:sz w:val="40"/>
          <w:szCs w:val="40"/>
          <w:rtl/>
        </w:rPr>
        <w:t xml:space="preserve">مشاركة الجماعات الأصلية </w:t>
      </w:r>
      <w:proofErr w:type="gramStart"/>
      <w:r>
        <w:rPr>
          <w:rFonts w:hint="cs"/>
          <w:sz w:val="40"/>
          <w:szCs w:val="40"/>
          <w:rtl/>
        </w:rPr>
        <w:t>والمحلية</w:t>
      </w:r>
      <w:proofErr w:type="gramEnd"/>
    </w:p>
    <w:p w:rsidR="000377C8" w:rsidRDefault="005665FB" w:rsidP="005665FB">
      <w:pPr>
        <w:pStyle w:val="NormalParaAR"/>
        <w:rPr>
          <w:rtl/>
        </w:rPr>
      </w:pPr>
      <w:r>
        <w:rPr>
          <w:rFonts w:hint="cs"/>
          <w:rtl/>
        </w:rPr>
        <w:t xml:space="preserve">أحاطت اللجنة </w:t>
      </w:r>
      <w:proofErr w:type="gramStart"/>
      <w:r>
        <w:rPr>
          <w:rFonts w:hint="cs"/>
          <w:rtl/>
        </w:rPr>
        <w:t>علما</w:t>
      </w:r>
      <w:proofErr w:type="gramEnd"/>
      <w:r>
        <w:rPr>
          <w:rFonts w:hint="cs"/>
          <w:rtl/>
        </w:rPr>
        <w:t xml:space="preserve"> بالوثائق </w:t>
      </w:r>
      <w:r w:rsidRPr="005665FB">
        <w:t>WIPO/GRTKF/IC/29/3</w:t>
      </w:r>
      <w:r>
        <w:rPr>
          <w:rFonts w:hint="cs"/>
          <w:rtl/>
        </w:rPr>
        <w:t xml:space="preserve"> و</w:t>
      </w:r>
      <w:r w:rsidRPr="005665FB">
        <w:t>WIPO/GRTKF/IC/29/INF/4</w:t>
      </w:r>
      <w:r>
        <w:rPr>
          <w:rFonts w:hint="cs"/>
          <w:rtl/>
        </w:rPr>
        <w:t xml:space="preserve"> و</w:t>
      </w:r>
      <w:r w:rsidRPr="005665FB">
        <w:t>WIPO/GRTKF/IC/29/INF/6</w:t>
      </w:r>
      <w:r>
        <w:rPr>
          <w:rFonts w:hint="cs"/>
          <w:rtl/>
        </w:rPr>
        <w:t>.</w:t>
      </w:r>
    </w:p>
    <w:p w:rsidR="005F3CEE" w:rsidRDefault="005F3CEE" w:rsidP="005F3CEE">
      <w:pPr>
        <w:pStyle w:val="NormalParaAR"/>
        <w:rPr>
          <w:rtl/>
        </w:rPr>
      </w:pPr>
      <w:r w:rsidRPr="005F3CEE">
        <w:rPr>
          <w:rtl/>
        </w:rPr>
        <w:lastRenderedPageBreak/>
        <w:t>وشجّعت اللجنة بشدّة أعضاءها وجميع الهيئات المهتمة في القطاعين العام والخاص وحثّتها على الإسهام في صندوق الويبو للتبرعات لفائدة الجماعات الأصلية والمحلية المعتمدة.</w:t>
      </w:r>
    </w:p>
    <w:p w:rsidR="005F3CEE" w:rsidRDefault="007B23CC" w:rsidP="00BB0011">
      <w:pPr>
        <w:pStyle w:val="NormalParaAR"/>
        <w:rPr>
          <w:rtl/>
        </w:rPr>
      </w:pPr>
      <w:r w:rsidRPr="007B23CC">
        <w:rPr>
          <w:rtl/>
        </w:rPr>
        <w:t>واقترح الرئيس انتخاب الأعضاء الثمانية التالية أسماؤهم في المجلس الاستشاري للعمل بصفتهم الشخصية وانتخبتهم اللجنة بالتزكية:</w:t>
      </w:r>
      <w:r w:rsidRPr="007B23CC">
        <w:rPr>
          <w:rFonts w:hint="cs"/>
          <w:rtl/>
        </w:rPr>
        <w:t xml:space="preserve"> </w:t>
      </w:r>
      <w:r w:rsidR="00BB0011" w:rsidRPr="00BB0011">
        <w:rPr>
          <w:rtl/>
        </w:rPr>
        <w:t>السيد</w:t>
      </w:r>
      <w:r w:rsidR="00BB0011" w:rsidRPr="00BB0011">
        <w:rPr>
          <w:rFonts w:hint="cs"/>
          <w:rtl/>
        </w:rPr>
        <w:t xml:space="preserve"> فيصل علاق، سكرتير أول، البعثة الدائمة للجزائر، جنيف</w:t>
      </w:r>
      <w:r w:rsidR="00BB0011">
        <w:rPr>
          <w:rFonts w:hint="cs"/>
          <w:rtl/>
        </w:rPr>
        <w:t xml:space="preserve">؛ </w:t>
      </w:r>
      <w:r w:rsidR="00BB0011" w:rsidRPr="00BB0011">
        <w:rPr>
          <w:rFonts w:hint="cs"/>
          <w:rtl/>
        </w:rPr>
        <w:t>و</w:t>
      </w:r>
      <w:r w:rsidR="00BB0011" w:rsidRPr="00BB0011">
        <w:rPr>
          <w:rtl/>
        </w:rPr>
        <w:t>السيد</w:t>
      </w:r>
      <w:r w:rsidR="00BB0011" w:rsidRPr="00BB0011">
        <w:rPr>
          <w:rFonts w:hint="cs"/>
          <w:rtl/>
        </w:rPr>
        <w:t xml:space="preserve"> </w:t>
      </w:r>
      <w:proofErr w:type="spellStart"/>
      <w:r w:rsidR="00BB0011" w:rsidRPr="00BB0011">
        <w:rPr>
          <w:rFonts w:hint="cs"/>
          <w:rtl/>
        </w:rPr>
        <w:t>بارفيز</w:t>
      </w:r>
      <w:proofErr w:type="spellEnd"/>
      <w:r w:rsidR="00BB0011" w:rsidRPr="00BB0011">
        <w:rPr>
          <w:rFonts w:hint="cs"/>
          <w:rtl/>
        </w:rPr>
        <w:t xml:space="preserve"> </w:t>
      </w:r>
      <w:proofErr w:type="spellStart"/>
      <w:r w:rsidR="00BB0011" w:rsidRPr="00BB0011">
        <w:rPr>
          <w:rFonts w:hint="cs"/>
          <w:rtl/>
        </w:rPr>
        <w:t>إيموموف</w:t>
      </w:r>
      <w:proofErr w:type="spellEnd"/>
      <w:r w:rsidR="00BB0011" w:rsidRPr="00BB0011">
        <w:rPr>
          <w:rFonts w:hint="cs"/>
          <w:rtl/>
        </w:rPr>
        <w:t>، سكرتير ثان، البعثة الدائمة لطاجيكستان، جنيف</w:t>
      </w:r>
      <w:r w:rsidR="00BB0011">
        <w:rPr>
          <w:rFonts w:hint="cs"/>
          <w:rtl/>
        </w:rPr>
        <w:t>؛</w:t>
      </w:r>
      <w:r w:rsidR="00BB0011" w:rsidRPr="00BB0011">
        <w:rPr>
          <w:rtl/>
        </w:rPr>
        <w:t xml:space="preserve"> </w:t>
      </w:r>
      <w:r w:rsidR="00BB0011">
        <w:rPr>
          <w:rFonts w:hint="cs"/>
          <w:rtl/>
        </w:rPr>
        <w:t>و</w:t>
      </w:r>
      <w:r w:rsidR="00DF7543">
        <w:rPr>
          <w:rtl/>
        </w:rPr>
        <w:t xml:space="preserve">السيد نيلسون دي ليون </w:t>
      </w:r>
      <w:proofErr w:type="spellStart"/>
      <w:r w:rsidR="00DF7543">
        <w:rPr>
          <w:rtl/>
        </w:rPr>
        <w:t>ك</w:t>
      </w:r>
      <w:r w:rsidRPr="007B23CC">
        <w:rPr>
          <w:rtl/>
        </w:rPr>
        <w:t>نتولي</w:t>
      </w:r>
      <w:proofErr w:type="spellEnd"/>
      <w:r w:rsidRPr="007B23CC">
        <w:rPr>
          <w:rtl/>
        </w:rPr>
        <w:t>، ممثل جمعية قبائل كونا المتحدة من أجل الأرض الأم (</w:t>
      </w:r>
      <w:r w:rsidRPr="007B23CC">
        <w:t>KUNA</w:t>
      </w:r>
      <w:r w:rsidRPr="007B23CC">
        <w:rPr>
          <w:rtl/>
        </w:rPr>
        <w:t>)</w:t>
      </w:r>
      <w:r w:rsidRPr="007B23CC">
        <w:rPr>
          <w:rFonts w:hint="cs"/>
          <w:rtl/>
        </w:rPr>
        <w:t xml:space="preserve">، </w:t>
      </w:r>
      <w:r w:rsidR="0041405C" w:rsidRPr="007B23CC">
        <w:rPr>
          <w:rFonts w:hint="cs"/>
          <w:rtl/>
        </w:rPr>
        <w:t>بنما</w:t>
      </w:r>
      <w:r w:rsidR="0041405C">
        <w:rPr>
          <w:rFonts w:hint="cs"/>
          <w:rtl/>
        </w:rPr>
        <w:t>؛</w:t>
      </w:r>
      <w:r w:rsidR="0041405C" w:rsidRPr="007B23CC">
        <w:rPr>
          <w:rtl/>
        </w:rPr>
        <w:t xml:space="preserve"> </w:t>
      </w:r>
      <w:r w:rsidR="00BB0011" w:rsidRPr="00BB0011">
        <w:rPr>
          <w:rFonts w:hint="cs"/>
          <w:rtl/>
        </w:rPr>
        <w:t xml:space="preserve">والسيد ريموند </w:t>
      </w:r>
      <w:proofErr w:type="spellStart"/>
      <w:r w:rsidR="00BB0011" w:rsidRPr="00BB0011">
        <w:rPr>
          <w:rFonts w:hint="cs"/>
          <w:rtl/>
        </w:rPr>
        <w:t>فرايبرغ</w:t>
      </w:r>
      <w:proofErr w:type="spellEnd"/>
      <w:r w:rsidR="00BB0011" w:rsidRPr="00BB0011">
        <w:rPr>
          <w:rFonts w:hint="cs"/>
          <w:rtl/>
        </w:rPr>
        <w:t xml:space="preserve">، ممثل قبائل </w:t>
      </w:r>
      <w:proofErr w:type="spellStart"/>
      <w:r w:rsidR="00BB0011" w:rsidRPr="00BB0011">
        <w:rPr>
          <w:rFonts w:hint="cs"/>
          <w:rtl/>
        </w:rPr>
        <w:t>تولاليب</w:t>
      </w:r>
      <w:proofErr w:type="spellEnd"/>
      <w:r w:rsidR="00BB0011" w:rsidRPr="00BB0011">
        <w:rPr>
          <w:rFonts w:hint="cs"/>
          <w:rtl/>
        </w:rPr>
        <w:t xml:space="preserve"> بواشنطن، الولايات المتحدة الأمريكية</w:t>
      </w:r>
      <w:r w:rsidR="00BB0011">
        <w:rPr>
          <w:rFonts w:hint="cs"/>
          <w:rtl/>
        </w:rPr>
        <w:t xml:space="preserve">؛ </w:t>
      </w:r>
      <w:r w:rsidR="00BB0011" w:rsidRPr="00BB0011">
        <w:rPr>
          <w:rFonts w:hint="cs"/>
          <w:rtl/>
        </w:rPr>
        <w:t xml:space="preserve">والسيد </w:t>
      </w:r>
      <w:r w:rsidR="00BB0011" w:rsidRPr="00BB0011">
        <w:rPr>
          <w:rtl/>
        </w:rPr>
        <w:t xml:space="preserve">كارلو ماريا </w:t>
      </w:r>
      <w:proofErr w:type="spellStart"/>
      <w:r w:rsidR="00BB0011" w:rsidRPr="00BB0011">
        <w:rPr>
          <w:rtl/>
        </w:rPr>
        <w:t>مارينغي</w:t>
      </w:r>
      <w:proofErr w:type="spellEnd"/>
      <w:r w:rsidR="00BB0011" w:rsidRPr="00BB0011">
        <w:rPr>
          <w:rtl/>
        </w:rPr>
        <w:t>، ملحق</w:t>
      </w:r>
      <w:r w:rsidR="00BB0011" w:rsidRPr="00BB0011">
        <w:rPr>
          <w:rFonts w:hint="cs"/>
          <w:rtl/>
        </w:rPr>
        <w:t xml:space="preserve"> معني بالملكية الفكرية والتجارة</w:t>
      </w:r>
      <w:r w:rsidR="00BB0011" w:rsidRPr="00BB0011">
        <w:rPr>
          <w:rtl/>
        </w:rPr>
        <w:t>، البعثة الدائمة</w:t>
      </w:r>
      <w:r w:rsidR="00BB0011" w:rsidRPr="00BB0011">
        <w:rPr>
          <w:rFonts w:hint="cs"/>
          <w:rtl/>
        </w:rPr>
        <w:t xml:space="preserve"> للكرسي الرسولي</w:t>
      </w:r>
      <w:r w:rsidR="00BB0011" w:rsidRPr="00BB0011">
        <w:rPr>
          <w:rtl/>
        </w:rPr>
        <w:t>، جنيف</w:t>
      </w:r>
      <w:r w:rsidR="00BB0011">
        <w:rPr>
          <w:rFonts w:hint="cs"/>
          <w:rtl/>
        </w:rPr>
        <w:t xml:space="preserve">؛ </w:t>
      </w:r>
      <w:r w:rsidR="00BB0011" w:rsidRPr="00BB0011">
        <w:rPr>
          <w:rFonts w:hint="cs"/>
          <w:rtl/>
        </w:rPr>
        <w:t>و</w:t>
      </w:r>
      <w:r w:rsidR="00BB0011" w:rsidRPr="00BB0011">
        <w:rPr>
          <w:rtl/>
        </w:rPr>
        <w:t xml:space="preserve">السيدة </w:t>
      </w:r>
      <w:r w:rsidR="00BB0011" w:rsidRPr="00BB0011">
        <w:rPr>
          <w:rFonts w:hint="cs"/>
          <w:rtl/>
        </w:rPr>
        <w:t xml:space="preserve">ماري </w:t>
      </w:r>
      <w:proofErr w:type="spellStart"/>
      <w:r w:rsidR="00BB0011" w:rsidRPr="00BB0011">
        <w:rPr>
          <w:rFonts w:hint="cs"/>
          <w:rtl/>
        </w:rPr>
        <w:t>نارفي</w:t>
      </w:r>
      <w:proofErr w:type="spellEnd"/>
      <w:r w:rsidR="00BB0011" w:rsidRPr="00BB0011">
        <w:rPr>
          <w:rFonts w:hint="cs"/>
          <w:rtl/>
        </w:rPr>
        <w:t>، موظفة تنفيذية، وزارة السياحة والتجارة والتبادل التجاري وتنمية مشروعات الأعمال الوطنية، بورت فيلا، فانواتو</w:t>
      </w:r>
      <w:r w:rsidR="00BB0011">
        <w:rPr>
          <w:rFonts w:hint="cs"/>
          <w:rtl/>
        </w:rPr>
        <w:t xml:space="preserve">؛ </w:t>
      </w:r>
      <w:r w:rsidR="00BB0011" w:rsidRPr="00BB0011">
        <w:rPr>
          <w:rFonts w:hint="cs"/>
          <w:rtl/>
        </w:rPr>
        <w:t xml:space="preserve">والسيد بيتا </w:t>
      </w:r>
      <w:proofErr w:type="spellStart"/>
      <w:r w:rsidR="00BB0011" w:rsidRPr="00BB0011">
        <w:rPr>
          <w:rFonts w:hint="cs"/>
          <w:rtl/>
        </w:rPr>
        <w:t>كاليسيتا</w:t>
      </w:r>
      <w:proofErr w:type="spellEnd"/>
      <w:r w:rsidR="00BB0011" w:rsidRPr="00BB0011">
        <w:rPr>
          <w:rFonts w:hint="cs"/>
          <w:rtl/>
        </w:rPr>
        <w:t xml:space="preserve"> </w:t>
      </w:r>
      <w:proofErr w:type="spellStart"/>
      <w:r w:rsidR="00BB0011" w:rsidRPr="00BB0011">
        <w:rPr>
          <w:rFonts w:hint="cs"/>
          <w:rtl/>
        </w:rPr>
        <w:t>نيوبالافو</w:t>
      </w:r>
      <w:proofErr w:type="spellEnd"/>
      <w:r w:rsidR="00BB0011" w:rsidRPr="00BB0011">
        <w:rPr>
          <w:rFonts w:hint="cs"/>
          <w:rtl/>
        </w:rPr>
        <w:t>، مستشار، أمانة منتدى جزر المحيط الهادئ، فيجي</w:t>
      </w:r>
      <w:r w:rsidR="00BB0011">
        <w:rPr>
          <w:rFonts w:hint="cs"/>
          <w:rtl/>
        </w:rPr>
        <w:t xml:space="preserve">؛ </w:t>
      </w:r>
      <w:r w:rsidR="00BB0011" w:rsidRPr="00BB0011">
        <w:rPr>
          <w:rFonts w:hint="cs"/>
          <w:rtl/>
        </w:rPr>
        <w:t xml:space="preserve">والسيدة مارسيلا </w:t>
      </w:r>
      <w:proofErr w:type="spellStart"/>
      <w:r w:rsidR="00BB0011" w:rsidRPr="00BB0011">
        <w:rPr>
          <w:rFonts w:hint="cs"/>
          <w:rtl/>
        </w:rPr>
        <w:t>بايفا</w:t>
      </w:r>
      <w:proofErr w:type="spellEnd"/>
      <w:r w:rsidR="00BB0011" w:rsidRPr="00BB0011">
        <w:rPr>
          <w:rFonts w:hint="cs"/>
          <w:rtl/>
        </w:rPr>
        <w:t xml:space="preserve">، مستشارة، البعثة الدائمة لشيلي، </w:t>
      </w:r>
      <w:r w:rsidR="00BB0011" w:rsidRPr="00BB0011">
        <w:rPr>
          <w:rtl/>
        </w:rPr>
        <w:t>جنيف</w:t>
      </w:r>
      <w:r w:rsidR="0041405C">
        <w:rPr>
          <w:rFonts w:hint="cs"/>
          <w:rtl/>
        </w:rPr>
        <w:t>.</w:t>
      </w:r>
    </w:p>
    <w:p w:rsidR="0041405C" w:rsidRDefault="0041405C" w:rsidP="0041405C">
      <w:pPr>
        <w:pStyle w:val="NormalParaAR"/>
        <w:rPr>
          <w:rtl/>
        </w:rPr>
      </w:pPr>
      <w:r w:rsidRPr="0041405C">
        <w:rPr>
          <w:rtl/>
        </w:rPr>
        <w:t>وعي</w:t>
      </w:r>
      <w:r w:rsidRPr="0041405C">
        <w:rPr>
          <w:rFonts w:hint="cs"/>
          <w:rtl/>
        </w:rPr>
        <w:t>ّ</w:t>
      </w:r>
      <w:r w:rsidRPr="0041405C">
        <w:rPr>
          <w:rtl/>
        </w:rPr>
        <w:t xml:space="preserve">ن رئيس اللجنة </w:t>
      </w:r>
      <w:r>
        <w:rPr>
          <w:rFonts w:hint="cs"/>
          <w:rtl/>
        </w:rPr>
        <w:t xml:space="preserve">السفير روبرتو </w:t>
      </w:r>
      <w:proofErr w:type="spellStart"/>
      <w:r>
        <w:rPr>
          <w:rFonts w:hint="cs"/>
          <w:rtl/>
        </w:rPr>
        <w:t>ماتيوس</w:t>
      </w:r>
      <w:proofErr w:type="spellEnd"/>
      <w:r>
        <w:rPr>
          <w:rFonts w:hint="cs"/>
          <w:rtl/>
        </w:rPr>
        <w:t xml:space="preserve"> ميكائيل تيني</w:t>
      </w:r>
      <w:r w:rsidRPr="0041405C">
        <w:rPr>
          <w:rFonts w:hint="cs"/>
          <w:rtl/>
        </w:rPr>
        <w:t>،</w:t>
      </w:r>
      <w:r w:rsidRPr="0041405C">
        <w:rPr>
          <w:rtl/>
        </w:rPr>
        <w:t xml:space="preserve"> نائب رئيس اللجنة</w:t>
      </w:r>
      <w:r w:rsidRPr="0041405C">
        <w:rPr>
          <w:rFonts w:hint="cs"/>
          <w:rtl/>
        </w:rPr>
        <w:t xml:space="preserve">، </w:t>
      </w:r>
      <w:r w:rsidRPr="0041405C">
        <w:rPr>
          <w:rtl/>
        </w:rPr>
        <w:t>رئيس</w:t>
      </w:r>
      <w:r>
        <w:rPr>
          <w:rFonts w:hint="cs"/>
          <w:rtl/>
        </w:rPr>
        <w:t>ا</w:t>
      </w:r>
      <w:r w:rsidRPr="0041405C">
        <w:rPr>
          <w:rtl/>
        </w:rPr>
        <w:t xml:space="preserve"> للمجلس الاستشاري.</w:t>
      </w:r>
    </w:p>
    <w:p w:rsidR="0041405C" w:rsidRPr="008D6BC6" w:rsidRDefault="0041405C" w:rsidP="0041405C">
      <w:pPr>
        <w:pStyle w:val="NormalParaAR"/>
        <w:keepNext/>
        <w:rPr>
          <w:sz w:val="40"/>
          <w:szCs w:val="40"/>
          <w:rtl/>
        </w:rPr>
      </w:pPr>
      <w:r w:rsidRPr="008D6BC6">
        <w:rPr>
          <w:rFonts w:hint="cs"/>
          <w:sz w:val="40"/>
          <w:szCs w:val="40"/>
          <w:rtl/>
        </w:rPr>
        <w:t xml:space="preserve">قرار بشأن البند </w:t>
      </w:r>
      <w:r>
        <w:rPr>
          <w:rFonts w:hint="cs"/>
          <w:sz w:val="40"/>
          <w:szCs w:val="40"/>
          <w:rtl/>
        </w:rPr>
        <w:t>7</w:t>
      </w:r>
      <w:r w:rsidRPr="008D6BC6">
        <w:rPr>
          <w:rFonts w:hint="cs"/>
          <w:sz w:val="40"/>
          <w:szCs w:val="40"/>
          <w:rtl/>
        </w:rPr>
        <w:t xml:space="preserve"> </w:t>
      </w:r>
      <w:proofErr w:type="gramStart"/>
      <w:r w:rsidRPr="008D6BC6">
        <w:rPr>
          <w:rFonts w:hint="cs"/>
          <w:sz w:val="40"/>
          <w:szCs w:val="40"/>
          <w:rtl/>
        </w:rPr>
        <w:t>من</w:t>
      </w:r>
      <w:proofErr w:type="gramEnd"/>
      <w:r w:rsidRPr="008D6BC6">
        <w:rPr>
          <w:rFonts w:hint="cs"/>
          <w:sz w:val="40"/>
          <w:szCs w:val="40"/>
          <w:rtl/>
        </w:rPr>
        <w:t xml:space="preserve"> جدول الأعمال</w:t>
      </w:r>
      <w:r>
        <w:rPr>
          <w:rFonts w:hint="cs"/>
          <w:sz w:val="40"/>
          <w:szCs w:val="40"/>
          <w:rtl/>
        </w:rPr>
        <w:t>:</w:t>
      </w:r>
    </w:p>
    <w:p w:rsidR="0041405C" w:rsidRPr="008D6BC6" w:rsidRDefault="00D37468" w:rsidP="0041405C">
      <w:pPr>
        <w:pStyle w:val="NormalParaAR"/>
        <w:keepNext/>
        <w:rPr>
          <w:sz w:val="40"/>
          <w:szCs w:val="40"/>
          <w:rtl/>
        </w:rPr>
      </w:pPr>
      <w:r>
        <w:rPr>
          <w:rFonts w:hint="cs"/>
          <w:sz w:val="40"/>
          <w:szCs w:val="40"/>
          <w:rtl/>
        </w:rPr>
        <w:t>الموارد الوراثية</w:t>
      </w:r>
    </w:p>
    <w:p w:rsidR="0041405C" w:rsidRDefault="00BB0011" w:rsidP="00596B26">
      <w:pPr>
        <w:pStyle w:val="NormalParaAR"/>
      </w:pPr>
      <w:r>
        <w:rPr>
          <w:rFonts w:hint="cs"/>
          <w:rtl/>
        </w:rPr>
        <w:t xml:space="preserve">ناقشت اللجنة القضايا الجوهرية، على أساس الوثائق </w:t>
      </w:r>
      <w:r w:rsidRPr="00BB0011">
        <w:t>WIPO/GRTKF/IC/29/4</w:t>
      </w:r>
      <w:r>
        <w:rPr>
          <w:rFonts w:hint="cs"/>
          <w:rtl/>
        </w:rPr>
        <w:t xml:space="preserve"> و</w:t>
      </w:r>
      <w:r w:rsidRPr="00BB0011">
        <w:t>WIPO/GRTKF/IC/29/5</w:t>
      </w:r>
      <w:r>
        <w:rPr>
          <w:rFonts w:hint="cs"/>
          <w:rtl/>
        </w:rPr>
        <w:t xml:space="preserve"> و</w:t>
      </w:r>
      <w:r w:rsidRPr="00BB0011">
        <w:t>WIPO/GRTKF/IC/29/6</w:t>
      </w:r>
      <w:r>
        <w:rPr>
          <w:rFonts w:hint="cs"/>
          <w:rtl/>
        </w:rPr>
        <w:t>، وقرّرت إحالة النص الوارد في مرفق الوثيقة</w:t>
      </w:r>
      <w:r>
        <w:rPr>
          <w:rFonts w:hint="eastAsia"/>
          <w:rtl/>
        </w:rPr>
        <w:t> </w:t>
      </w:r>
      <w:r w:rsidRPr="00BB0011">
        <w:t>WIPO/GRTKF/IC/29/4</w:t>
      </w:r>
      <w:r>
        <w:rPr>
          <w:rFonts w:hint="cs"/>
          <w:rtl/>
        </w:rPr>
        <w:t xml:space="preserve">، </w:t>
      </w:r>
      <w:proofErr w:type="gramStart"/>
      <w:r>
        <w:rPr>
          <w:rFonts w:hint="cs"/>
          <w:rtl/>
        </w:rPr>
        <w:t>مع</w:t>
      </w:r>
      <w:proofErr w:type="gramEnd"/>
      <w:r>
        <w:rPr>
          <w:rFonts w:hint="cs"/>
          <w:rtl/>
        </w:rPr>
        <w:t xml:space="preserve"> حذف المادة 2، إلى دورتها القادمة. </w:t>
      </w:r>
      <w:r w:rsidR="00596B26">
        <w:rPr>
          <w:rFonts w:hint="cs"/>
          <w:rtl/>
        </w:rPr>
        <w:t>وس</w:t>
      </w:r>
      <w:r w:rsidR="00714DB7">
        <w:rPr>
          <w:rFonts w:hint="cs"/>
          <w:rtl/>
        </w:rPr>
        <w:t xml:space="preserve">يُشار إلى </w:t>
      </w:r>
      <w:r w:rsidR="00596B26">
        <w:rPr>
          <w:rFonts w:hint="cs"/>
          <w:rtl/>
        </w:rPr>
        <w:t xml:space="preserve">المواد، بالصيغة التي </w:t>
      </w:r>
      <w:proofErr w:type="gramStart"/>
      <w:r w:rsidR="00596B26">
        <w:rPr>
          <w:rFonts w:hint="cs"/>
          <w:rtl/>
        </w:rPr>
        <w:t>أعدها</w:t>
      </w:r>
      <w:proofErr w:type="gramEnd"/>
      <w:r w:rsidR="00596B26">
        <w:rPr>
          <w:rFonts w:hint="cs"/>
          <w:rtl/>
        </w:rPr>
        <w:t xml:space="preserve"> بها الميسّرون، ضمن متن تقرير الدورة. </w:t>
      </w:r>
      <w:proofErr w:type="gramStart"/>
      <w:r>
        <w:rPr>
          <w:rFonts w:hint="cs"/>
          <w:rtl/>
        </w:rPr>
        <w:t>وأحالت</w:t>
      </w:r>
      <w:proofErr w:type="gramEnd"/>
      <w:r>
        <w:rPr>
          <w:rFonts w:hint="cs"/>
          <w:rtl/>
        </w:rPr>
        <w:t xml:space="preserve"> اللجنة أيضا إلى دورتها القادمة "قائمة إرشادية بالقضايا العالقة التي ينبغي معالجتها/حلّها في الدورة الق</w:t>
      </w:r>
      <w:r w:rsidR="00596B26">
        <w:rPr>
          <w:rFonts w:hint="cs"/>
          <w:rtl/>
        </w:rPr>
        <w:t>ادمة"، ترد نسخة منها في المرفق.</w:t>
      </w:r>
    </w:p>
    <w:p w:rsidR="00BB0011" w:rsidRDefault="00BB0011" w:rsidP="00687454">
      <w:pPr>
        <w:pStyle w:val="NormalParaAR"/>
        <w:rPr>
          <w:rtl/>
        </w:rPr>
      </w:pPr>
      <w:r>
        <w:rPr>
          <w:rFonts w:hint="cs"/>
          <w:rtl/>
        </w:rPr>
        <w:t xml:space="preserve">وفيما يخص الموارد التي قد يرغب المشاركون في اللجنة استخدامها كمواد مرجعية لدى الإعداد </w:t>
      </w:r>
      <w:r w:rsidR="00FC54D3">
        <w:rPr>
          <w:rFonts w:hint="cs"/>
          <w:rtl/>
        </w:rPr>
        <w:t xml:space="preserve">لدورات اللجنة: (أ) يُلتمس من الأمانة أن تحرص، قبل الدورة الثلاثين للجنة بوقت كاف، على إنشاء صفحة إلكترونية جديدة تشمل كل الموارد الموجودة بشأن التجارب الإقليمية والوطنية والمحلية وتجارب الجماعات (مثل الدارسات ومجموعات القوانين والاقتراحات وقواعد البيانات ومدونات القواعد والبروتوكولات الاختيارية والعروض) التي أعدتها أمانة الويبو أو قدمتها الدول الأعضاء والهيئات المراقبة لأغراض اللجنة حتى الآن، وأن تقدم تقريرا عن ذلك في وثيقة معلومات ترفعها إلى الدورة الثلاثين للجنة؛ (ب) </w:t>
      </w:r>
      <w:r w:rsidR="00687454">
        <w:rPr>
          <w:rFonts w:hint="cs"/>
          <w:rtl/>
        </w:rPr>
        <w:t>والدول الأعضاء والهيئات المراقبة مدعوة إلى أن ترسل إلى الأمانة، في أجل أقصاه 31 مارس 2016، المراجع الخاصة بأية موارد قد تكون وجيهة بالنسبة للمشاركين في اللجنة باعتبارها مواد مرجعية، وعلى الأمانة تقديم قائمة بتلك المراجع، كما وردت، إلى الدورة الثلاثين للجنة في وثيقة معلومات.</w:t>
      </w:r>
    </w:p>
    <w:p w:rsidR="00687454" w:rsidRDefault="00687454" w:rsidP="003A2EC2">
      <w:pPr>
        <w:pStyle w:val="NormalParaAR"/>
        <w:rPr>
          <w:rtl/>
        </w:rPr>
      </w:pPr>
      <w:r>
        <w:rPr>
          <w:rFonts w:hint="cs"/>
          <w:rtl/>
        </w:rPr>
        <w:t xml:space="preserve">وأحاطت اللجنة علما بما تدخله الأمانة من تحديث وتحسين، مع التركيز على التجارب العملية، على دراسة الويبو التقنية عن شروط الكشف في أنظمة البراءات فيما يخص الموارد الوراثية والمعارف التقليدية، التي أعدت في عام 2004، ودعت الدول الأعضاء والمراقبين إلى الإسهام </w:t>
      </w:r>
      <w:r w:rsidR="003A2EC2">
        <w:rPr>
          <w:rFonts w:hint="cs"/>
          <w:rtl/>
        </w:rPr>
        <w:t>بالمعلومات في تلك العملية والتمست من الأمانة استكمال تلك العملية في أقرب وقت ممكن.</w:t>
      </w:r>
    </w:p>
    <w:p w:rsidR="003A2EC2" w:rsidRDefault="003A2EC2" w:rsidP="003A2EC2">
      <w:pPr>
        <w:pStyle w:val="NormalParaAR"/>
        <w:rPr>
          <w:rtl/>
        </w:rPr>
      </w:pPr>
      <w:r>
        <w:rPr>
          <w:rFonts w:hint="cs"/>
          <w:rtl/>
        </w:rPr>
        <w:t xml:space="preserve">كما أحاطت اللجنة علما بالوثائق </w:t>
      </w:r>
      <w:r w:rsidRPr="003A2EC2">
        <w:t>WIPO/GRTKF/IC/29/7</w:t>
      </w:r>
      <w:r>
        <w:rPr>
          <w:rFonts w:hint="cs"/>
          <w:rtl/>
        </w:rPr>
        <w:t xml:space="preserve"> و</w:t>
      </w:r>
      <w:r w:rsidRPr="003A2EC2">
        <w:t>WIPO/GRTKF/IC/29/INF/7</w:t>
      </w:r>
      <w:r>
        <w:rPr>
          <w:rFonts w:hint="cs"/>
          <w:rtl/>
        </w:rPr>
        <w:t xml:space="preserve"> و</w:t>
      </w:r>
      <w:r w:rsidRPr="003A2EC2">
        <w:t>WIPO/GRTKF/IC/29/INF/8</w:t>
      </w:r>
      <w:r>
        <w:rPr>
          <w:rFonts w:hint="cs"/>
          <w:rtl/>
        </w:rPr>
        <w:t xml:space="preserve"> و</w:t>
      </w:r>
      <w:r w:rsidRPr="003A2EC2">
        <w:t>WIPO/GRTKF/IC/29/INF/9</w:t>
      </w:r>
      <w:r>
        <w:rPr>
          <w:rFonts w:hint="cs"/>
          <w:rtl/>
        </w:rPr>
        <w:t xml:space="preserve"> و</w:t>
      </w:r>
      <w:r w:rsidRPr="003A2EC2">
        <w:t>WIPO/GRTKF/IC/29/INF/10</w:t>
      </w:r>
      <w:r>
        <w:rPr>
          <w:rFonts w:hint="cs"/>
          <w:rtl/>
        </w:rPr>
        <w:t>.</w:t>
      </w:r>
    </w:p>
    <w:p w:rsidR="0041405C" w:rsidRPr="008D6BC6" w:rsidRDefault="0041405C" w:rsidP="0041405C">
      <w:pPr>
        <w:pStyle w:val="NormalParaAR"/>
        <w:keepNext/>
        <w:rPr>
          <w:sz w:val="40"/>
          <w:szCs w:val="40"/>
          <w:rtl/>
        </w:rPr>
      </w:pPr>
      <w:r w:rsidRPr="008D6BC6">
        <w:rPr>
          <w:rFonts w:hint="cs"/>
          <w:sz w:val="40"/>
          <w:szCs w:val="40"/>
          <w:rtl/>
        </w:rPr>
        <w:lastRenderedPageBreak/>
        <w:t xml:space="preserve">قرار بشأن البند </w:t>
      </w:r>
      <w:r>
        <w:rPr>
          <w:rFonts w:hint="cs"/>
          <w:sz w:val="40"/>
          <w:szCs w:val="40"/>
          <w:rtl/>
        </w:rPr>
        <w:t>8</w:t>
      </w:r>
      <w:r w:rsidRPr="008D6BC6">
        <w:rPr>
          <w:rFonts w:hint="cs"/>
          <w:sz w:val="40"/>
          <w:szCs w:val="40"/>
          <w:rtl/>
        </w:rPr>
        <w:t xml:space="preserve"> </w:t>
      </w:r>
      <w:proofErr w:type="gramStart"/>
      <w:r w:rsidRPr="008D6BC6">
        <w:rPr>
          <w:rFonts w:hint="cs"/>
          <w:sz w:val="40"/>
          <w:szCs w:val="40"/>
          <w:rtl/>
        </w:rPr>
        <w:t>من</w:t>
      </w:r>
      <w:proofErr w:type="gramEnd"/>
      <w:r w:rsidRPr="008D6BC6">
        <w:rPr>
          <w:rFonts w:hint="cs"/>
          <w:sz w:val="40"/>
          <w:szCs w:val="40"/>
          <w:rtl/>
        </w:rPr>
        <w:t xml:space="preserve"> جدول الأعمال</w:t>
      </w:r>
      <w:r>
        <w:rPr>
          <w:rFonts w:hint="cs"/>
          <w:sz w:val="40"/>
          <w:szCs w:val="40"/>
          <w:rtl/>
        </w:rPr>
        <w:t>:</w:t>
      </w:r>
    </w:p>
    <w:p w:rsidR="0041405C" w:rsidRPr="008D6BC6" w:rsidRDefault="00D37468" w:rsidP="0041405C">
      <w:pPr>
        <w:pStyle w:val="NormalParaAR"/>
        <w:keepNext/>
        <w:rPr>
          <w:sz w:val="40"/>
          <w:szCs w:val="40"/>
          <w:rtl/>
        </w:rPr>
      </w:pPr>
      <w:r>
        <w:rPr>
          <w:rFonts w:hint="cs"/>
          <w:sz w:val="40"/>
          <w:szCs w:val="40"/>
          <w:rtl/>
        </w:rPr>
        <w:t>أية مسائل أخرى</w:t>
      </w:r>
    </w:p>
    <w:p w:rsidR="0041405C" w:rsidRDefault="003A2EC2" w:rsidP="0041405C">
      <w:pPr>
        <w:pStyle w:val="NormalParaAR"/>
        <w:rPr>
          <w:rtl/>
        </w:rPr>
      </w:pPr>
      <w:r>
        <w:rPr>
          <w:rFonts w:hint="cs"/>
          <w:rtl/>
        </w:rPr>
        <w:t>لم تُجر أية مناقشات في إطار هذا البند.</w:t>
      </w:r>
    </w:p>
    <w:p w:rsidR="0041405C" w:rsidRPr="008D6BC6" w:rsidRDefault="0041405C" w:rsidP="00D37468">
      <w:pPr>
        <w:pStyle w:val="NormalParaAR"/>
        <w:keepNext/>
        <w:rPr>
          <w:sz w:val="40"/>
          <w:szCs w:val="40"/>
          <w:rtl/>
        </w:rPr>
      </w:pPr>
      <w:r w:rsidRPr="008D6BC6">
        <w:rPr>
          <w:rFonts w:hint="cs"/>
          <w:sz w:val="40"/>
          <w:szCs w:val="40"/>
          <w:rtl/>
        </w:rPr>
        <w:t xml:space="preserve">قرار بشأن البند </w:t>
      </w:r>
      <w:r w:rsidR="00D37468">
        <w:rPr>
          <w:rFonts w:hint="cs"/>
          <w:sz w:val="40"/>
          <w:szCs w:val="40"/>
          <w:rtl/>
        </w:rPr>
        <w:t>9</w:t>
      </w:r>
      <w:r w:rsidRPr="008D6BC6">
        <w:rPr>
          <w:rFonts w:hint="cs"/>
          <w:sz w:val="40"/>
          <w:szCs w:val="40"/>
          <w:rtl/>
        </w:rPr>
        <w:t xml:space="preserve"> </w:t>
      </w:r>
      <w:proofErr w:type="gramStart"/>
      <w:r w:rsidRPr="008D6BC6">
        <w:rPr>
          <w:rFonts w:hint="cs"/>
          <w:sz w:val="40"/>
          <w:szCs w:val="40"/>
          <w:rtl/>
        </w:rPr>
        <w:t>من</w:t>
      </w:r>
      <w:proofErr w:type="gramEnd"/>
      <w:r w:rsidRPr="008D6BC6">
        <w:rPr>
          <w:rFonts w:hint="cs"/>
          <w:sz w:val="40"/>
          <w:szCs w:val="40"/>
          <w:rtl/>
        </w:rPr>
        <w:t xml:space="preserve"> جدول الأعمال</w:t>
      </w:r>
      <w:r>
        <w:rPr>
          <w:rFonts w:hint="cs"/>
          <w:sz w:val="40"/>
          <w:szCs w:val="40"/>
          <w:rtl/>
        </w:rPr>
        <w:t>:</w:t>
      </w:r>
    </w:p>
    <w:p w:rsidR="0041405C" w:rsidRDefault="00D37468" w:rsidP="00D37468">
      <w:pPr>
        <w:pStyle w:val="NormalParaAR"/>
        <w:keepNext/>
        <w:spacing w:after="480"/>
        <w:rPr>
          <w:sz w:val="40"/>
          <w:szCs w:val="40"/>
          <w:rtl/>
        </w:rPr>
      </w:pPr>
      <w:proofErr w:type="gramStart"/>
      <w:r>
        <w:rPr>
          <w:rFonts w:hint="cs"/>
          <w:sz w:val="40"/>
          <w:szCs w:val="40"/>
          <w:rtl/>
        </w:rPr>
        <w:t>اختتام</w:t>
      </w:r>
      <w:proofErr w:type="gramEnd"/>
      <w:r>
        <w:rPr>
          <w:rFonts w:hint="cs"/>
          <w:sz w:val="40"/>
          <w:szCs w:val="40"/>
          <w:rtl/>
        </w:rPr>
        <w:t xml:space="preserve"> الدورة</w:t>
      </w:r>
    </w:p>
    <w:p w:rsidR="003A2EC2" w:rsidRPr="003A2EC2" w:rsidRDefault="003A2EC2" w:rsidP="003A2EC2">
      <w:pPr>
        <w:pStyle w:val="NormalParaAR"/>
        <w:rPr>
          <w:rtl/>
        </w:rPr>
      </w:pPr>
      <w:r w:rsidRPr="003A2EC2">
        <w:rPr>
          <w:rtl/>
        </w:rPr>
        <w:t>اعتمدت اللجنة قراراتها بشأن البنود</w:t>
      </w:r>
      <w:r w:rsidRPr="003A2EC2">
        <w:rPr>
          <w:rFonts w:hint="cs"/>
          <w:rtl/>
        </w:rPr>
        <w:t> </w:t>
      </w:r>
      <w:r w:rsidRPr="003A2EC2">
        <w:rPr>
          <w:rtl/>
        </w:rPr>
        <w:t xml:space="preserve">2 و3 و4 و5 و6 و7 </w:t>
      </w:r>
      <w:proofErr w:type="gramStart"/>
      <w:r w:rsidRPr="003A2EC2">
        <w:rPr>
          <w:rtl/>
        </w:rPr>
        <w:t>من</w:t>
      </w:r>
      <w:proofErr w:type="gramEnd"/>
      <w:r w:rsidRPr="003A2EC2">
        <w:rPr>
          <w:rtl/>
        </w:rPr>
        <w:t xml:space="preserve"> جدول الأعمال في </w:t>
      </w:r>
      <w:r>
        <w:rPr>
          <w:rFonts w:hint="cs"/>
          <w:rtl/>
        </w:rPr>
        <w:t>19</w:t>
      </w:r>
      <w:r w:rsidRPr="003A2EC2">
        <w:rPr>
          <w:rFonts w:hint="cs"/>
          <w:rtl/>
        </w:rPr>
        <w:t> </w:t>
      </w:r>
      <w:r>
        <w:rPr>
          <w:rFonts w:hint="cs"/>
          <w:rtl/>
        </w:rPr>
        <w:t>فبراير</w:t>
      </w:r>
      <w:r w:rsidRPr="003A2EC2">
        <w:rPr>
          <w:rFonts w:hint="cs"/>
          <w:rtl/>
        </w:rPr>
        <w:t> </w:t>
      </w:r>
      <w:r>
        <w:rPr>
          <w:rFonts w:hint="cs"/>
          <w:rtl/>
        </w:rPr>
        <w:t>2016</w:t>
      </w:r>
      <w:r w:rsidRPr="003A2EC2">
        <w:rPr>
          <w:rtl/>
        </w:rPr>
        <w:t xml:space="preserve">. </w:t>
      </w:r>
      <w:proofErr w:type="gramStart"/>
      <w:r w:rsidRPr="003A2EC2">
        <w:rPr>
          <w:rtl/>
        </w:rPr>
        <w:t>واتفقت</w:t>
      </w:r>
      <w:proofErr w:type="gramEnd"/>
      <w:r w:rsidRPr="003A2EC2">
        <w:rPr>
          <w:rtl/>
        </w:rPr>
        <w:t xml:space="preserve"> على إعداد مشروع تقرير كتابي يحتوي على نصوص هذه القرارات المتفق عليها وجميع المداخلات التي أدلي بها أمام اللجنة، وتعميمه قبل </w:t>
      </w:r>
      <w:r>
        <w:rPr>
          <w:rFonts w:hint="cs"/>
          <w:rtl/>
        </w:rPr>
        <w:t>29 مارس</w:t>
      </w:r>
      <w:r w:rsidRPr="003A2EC2">
        <w:rPr>
          <w:rFonts w:hint="cs"/>
          <w:rtl/>
        </w:rPr>
        <w:t> </w:t>
      </w:r>
      <w:r>
        <w:rPr>
          <w:rFonts w:hint="cs"/>
          <w:rtl/>
        </w:rPr>
        <w:t>2016</w:t>
      </w:r>
      <w:r w:rsidRPr="003A2EC2">
        <w:rPr>
          <w:rtl/>
        </w:rPr>
        <w:t xml:space="preserve">. </w:t>
      </w:r>
      <w:proofErr w:type="gramStart"/>
      <w:r w:rsidRPr="003A2EC2">
        <w:rPr>
          <w:rtl/>
        </w:rPr>
        <w:t>وسيُدعى</w:t>
      </w:r>
      <w:proofErr w:type="gramEnd"/>
      <w:r w:rsidRPr="003A2EC2">
        <w:rPr>
          <w:rtl/>
        </w:rPr>
        <w:t xml:space="preserve"> المشاركون في اللجنة إلى تقديم تصويبات كتابية على مداخلاتهم كما هي مدرجة في مشروع التقرير قبل أن تعمَّم الصيغة النهائية لمشروع التقرير على </w:t>
      </w:r>
      <w:r w:rsidRPr="003A2EC2">
        <w:rPr>
          <w:rFonts w:hint="cs"/>
          <w:rtl/>
        </w:rPr>
        <w:t>المشاركين</w:t>
      </w:r>
      <w:r w:rsidRPr="003A2EC2">
        <w:rPr>
          <w:rtl/>
        </w:rPr>
        <w:t xml:space="preserve"> </w:t>
      </w:r>
      <w:r w:rsidRPr="003A2EC2">
        <w:rPr>
          <w:rFonts w:hint="cs"/>
          <w:rtl/>
        </w:rPr>
        <w:t xml:space="preserve">في </w:t>
      </w:r>
      <w:r w:rsidRPr="003A2EC2">
        <w:rPr>
          <w:rtl/>
        </w:rPr>
        <w:t xml:space="preserve">اللجنة لاحقا لاعتمادها في الدورة </w:t>
      </w:r>
      <w:r w:rsidRPr="003A2EC2">
        <w:rPr>
          <w:rFonts w:hint="cs"/>
          <w:rtl/>
        </w:rPr>
        <w:t>القادمة</w:t>
      </w:r>
      <w:r w:rsidRPr="003A2EC2">
        <w:rPr>
          <w:rtl/>
        </w:rPr>
        <w:t xml:space="preserve"> للجنة.</w:t>
      </w:r>
    </w:p>
    <w:p w:rsidR="003A2EC2" w:rsidRDefault="00D37468" w:rsidP="003A2EC2">
      <w:pPr>
        <w:pStyle w:val="EndofDocumentAR"/>
        <w:rPr>
          <w:rtl/>
        </w:rPr>
        <w:sectPr w:rsidR="003A2EC2" w:rsidSect="00EB7752">
          <w:headerReference w:type="default" r:id="rId10"/>
          <w:pgSz w:w="11907" w:h="16840" w:code="9"/>
          <w:pgMar w:top="567" w:right="1418" w:bottom="1418" w:left="1134" w:header="510" w:footer="1021" w:gutter="0"/>
          <w:cols w:space="720"/>
          <w:titlePg/>
          <w:docGrid w:linePitch="299"/>
        </w:sectPr>
      </w:pPr>
      <w:r>
        <w:rPr>
          <w:rFonts w:hint="cs"/>
          <w:rtl/>
        </w:rPr>
        <w:t>[</w:t>
      </w:r>
      <w:r w:rsidR="003A2EC2">
        <w:rPr>
          <w:rFonts w:hint="cs"/>
          <w:rtl/>
        </w:rPr>
        <w:t xml:space="preserve">يلي ذلك </w:t>
      </w:r>
      <w:proofErr w:type="gramStart"/>
      <w:r w:rsidR="003A2EC2">
        <w:rPr>
          <w:rFonts w:hint="cs"/>
          <w:rtl/>
        </w:rPr>
        <w:t>المرفق</w:t>
      </w:r>
      <w:proofErr w:type="gramEnd"/>
      <w:r>
        <w:rPr>
          <w:rFonts w:hint="cs"/>
          <w:rtl/>
        </w:rPr>
        <w:t>]</w:t>
      </w:r>
    </w:p>
    <w:p w:rsidR="00F7688E" w:rsidRPr="007F5540" w:rsidRDefault="00F7688E" w:rsidP="00F7688E">
      <w:pPr>
        <w:pStyle w:val="NormalParaAR"/>
        <w:jc w:val="center"/>
        <w:rPr>
          <w:b/>
          <w:bCs/>
          <w:sz w:val="40"/>
          <w:szCs w:val="40"/>
          <w:rtl/>
        </w:rPr>
      </w:pPr>
      <w:r w:rsidRPr="007F5540">
        <w:rPr>
          <w:rFonts w:hint="cs"/>
          <w:b/>
          <w:bCs/>
          <w:sz w:val="40"/>
          <w:szCs w:val="40"/>
          <w:rtl/>
        </w:rPr>
        <w:lastRenderedPageBreak/>
        <w:t>المرفق</w:t>
      </w:r>
    </w:p>
    <w:p w:rsidR="0041405C" w:rsidRPr="007F5540" w:rsidRDefault="00F7688E" w:rsidP="00F7688E">
      <w:pPr>
        <w:pStyle w:val="NormalParaAR"/>
        <w:spacing w:after="480"/>
        <w:jc w:val="center"/>
        <w:rPr>
          <w:b/>
          <w:bCs/>
          <w:sz w:val="40"/>
          <w:szCs w:val="40"/>
          <w:rtl/>
        </w:rPr>
      </w:pPr>
      <w:r w:rsidRPr="007F5540">
        <w:rPr>
          <w:rFonts w:hint="cs"/>
          <w:b/>
          <w:bCs/>
          <w:sz w:val="40"/>
          <w:szCs w:val="40"/>
          <w:rtl/>
        </w:rPr>
        <w:t>قائمة إرشادية بالقضايا العالقة التي ينبغي معالجتها/</w:t>
      </w:r>
      <w:proofErr w:type="gramStart"/>
      <w:r w:rsidRPr="007F5540">
        <w:rPr>
          <w:rFonts w:hint="cs"/>
          <w:b/>
          <w:bCs/>
          <w:sz w:val="40"/>
          <w:szCs w:val="40"/>
          <w:rtl/>
        </w:rPr>
        <w:t>حلّها</w:t>
      </w:r>
      <w:proofErr w:type="gramEnd"/>
      <w:r w:rsidRPr="007F5540">
        <w:rPr>
          <w:rFonts w:hint="cs"/>
          <w:b/>
          <w:bCs/>
          <w:sz w:val="40"/>
          <w:szCs w:val="40"/>
          <w:rtl/>
        </w:rPr>
        <w:t xml:space="preserve"> في الدورة القادمة</w:t>
      </w:r>
    </w:p>
    <w:p w:rsidR="00F7688E" w:rsidRPr="00F7688E" w:rsidRDefault="00F7688E" w:rsidP="00F7688E">
      <w:pPr>
        <w:pStyle w:val="NormalParaAR"/>
        <w:rPr>
          <w:b/>
          <w:bCs/>
          <w:rtl/>
        </w:rPr>
      </w:pPr>
      <w:r>
        <w:rPr>
          <w:rFonts w:hint="cs"/>
          <w:rtl/>
        </w:rPr>
        <w:t>1</w:t>
      </w:r>
      <w:r w:rsidRPr="00F7688E">
        <w:rPr>
          <w:rFonts w:hint="cs"/>
          <w:b/>
          <w:bCs/>
          <w:rtl/>
        </w:rPr>
        <w:t>.</w:t>
      </w:r>
      <w:r w:rsidRPr="00F7688E">
        <w:rPr>
          <w:b/>
          <w:bCs/>
          <w:rtl/>
        </w:rPr>
        <w:tab/>
      </w:r>
      <w:proofErr w:type="gramStart"/>
      <w:r w:rsidRPr="00F7688E">
        <w:rPr>
          <w:rFonts w:hint="cs"/>
          <w:b/>
          <w:bCs/>
          <w:rtl/>
        </w:rPr>
        <w:t>قائمة</w:t>
      </w:r>
      <w:proofErr w:type="gramEnd"/>
      <w:r w:rsidRPr="00F7688E">
        <w:rPr>
          <w:rFonts w:hint="cs"/>
          <w:b/>
          <w:bCs/>
          <w:rtl/>
        </w:rPr>
        <w:t xml:space="preserve"> المصطلحات</w:t>
      </w:r>
    </w:p>
    <w:p w:rsidR="00F7688E" w:rsidRPr="00F7688E" w:rsidRDefault="00F7688E" w:rsidP="00F7688E">
      <w:pPr>
        <w:pStyle w:val="NormalParaAR"/>
        <w:rPr>
          <w:b/>
          <w:bCs/>
          <w:rtl/>
        </w:rPr>
      </w:pPr>
      <w:r w:rsidRPr="00F7688E">
        <w:rPr>
          <w:rFonts w:hint="cs"/>
          <w:b/>
          <w:bCs/>
          <w:rtl/>
        </w:rPr>
        <w:t>2.</w:t>
      </w:r>
      <w:r w:rsidRPr="00F7688E">
        <w:rPr>
          <w:b/>
          <w:bCs/>
          <w:rtl/>
        </w:rPr>
        <w:tab/>
      </w:r>
      <w:r w:rsidRPr="00F7688E">
        <w:rPr>
          <w:rFonts w:hint="cs"/>
          <w:b/>
          <w:bCs/>
          <w:rtl/>
        </w:rPr>
        <w:t>الديباجة</w:t>
      </w:r>
    </w:p>
    <w:p w:rsidR="00F7688E" w:rsidRDefault="00F7688E" w:rsidP="00F7688E">
      <w:pPr>
        <w:pStyle w:val="NormalParaAR"/>
        <w:spacing w:after="0"/>
        <w:rPr>
          <w:b/>
          <w:bCs/>
          <w:rtl/>
        </w:rPr>
      </w:pPr>
      <w:r w:rsidRPr="00F7688E">
        <w:rPr>
          <w:rFonts w:hint="cs"/>
          <w:b/>
          <w:bCs/>
          <w:rtl/>
        </w:rPr>
        <w:t>3.</w:t>
      </w:r>
      <w:r w:rsidRPr="00F7688E">
        <w:rPr>
          <w:b/>
          <w:bCs/>
          <w:rtl/>
        </w:rPr>
        <w:tab/>
      </w:r>
      <w:r w:rsidRPr="00F7688E">
        <w:rPr>
          <w:rFonts w:hint="cs"/>
          <w:b/>
          <w:bCs/>
          <w:rtl/>
        </w:rPr>
        <w:t>أهداف السياسة العامة</w:t>
      </w:r>
    </w:p>
    <w:p w:rsidR="00F7688E" w:rsidRPr="00F7688E" w:rsidRDefault="00F7688E" w:rsidP="00F7688E">
      <w:pPr>
        <w:pStyle w:val="NormalParaAR"/>
        <w:spacing w:after="0"/>
        <w:rPr>
          <w:rtl/>
        </w:rPr>
      </w:pPr>
      <w:r>
        <w:rPr>
          <w:rFonts w:hint="cs"/>
          <w:b/>
          <w:bCs/>
          <w:rtl/>
        </w:rPr>
        <w:t>-</w:t>
      </w:r>
      <w:r w:rsidRPr="00F7688E">
        <w:rPr>
          <w:rtl/>
        </w:rPr>
        <w:tab/>
      </w:r>
      <w:r w:rsidRPr="00F7688E">
        <w:rPr>
          <w:rFonts w:hint="cs"/>
          <w:rtl/>
        </w:rPr>
        <w:t xml:space="preserve">الفعالية </w:t>
      </w:r>
      <w:proofErr w:type="gramStart"/>
      <w:r w:rsidRPr="00F7688E">
        <w:rPr>
          <w:rFonts w:hint="cs"/>
          <w:rtl/>
        </w:rPr>
        <w:t>والشفافية</w:t>
      </w:r>
      <w:proofErr w:type="gramEnd"/>
    </w:p>
    <w:p w:rsidR="00F7688E" w:rsidRDefault="00F7688E" w:rsidP="00F7688E">
      <w:pPr>
        <w:pStyle w:val="NormalParaAR"/>
        <w:spacing w:after="0"/>
        <w:rPr>
          <w:rtl/>
        </w:rPr>
      </w:pPr>
      <w:r>
        <w:rPr>
          <w:rFonts w:hint="cs"/>
          <w:rtl/>
        </w:rPr>
        <w:t>-</w:t>
      </w:r>
      <w:r>
        <w:rPr>
          <w:rtl/>
        </w:rPr>
        <w:tab/>
      </w:r>
      <w:proofErr w:type="gramStart"/>
      <w:r>
        <w:rPr>
          <w:rFonts w:hint="cs"/>
          <w:rtl/>
        </w:rPr>
        <w:t>ما</w:t>
      </w:r>
      <w:proofErr w:type="gramEnd"/>
      <w:r>
        <w:rPr>
          <w:rFonts w:hint="cs"/>
          <w:rtl/>
        </w:rPr>
        <w:t xml:space="preserve"> إذا كان ينبغي الإبقاء على التملّك غير المشروع في النص (وإذا أبقي عليه، كيف يُعرّف)</w:t>
      </w:r>
    </w:p>
    <w:p w:rsidR="00F7688E" w:rsidRDefault="00F7688E" w:rsidP="007F5540">
      <w:pPr>
        <w:pStyle w:val="NormalParaAR"/>
        <w:spacing w:after="0"/>
        <w:rPr>
          <w:rtl/>
        </w:rPr>
      </w:pPr>
      <w:r>
        <w:rPr>
          <w:rFonts w:hint="cs"/>
          <w:rtl/>
        </w:rPr>
        <w:t>-</w:t>
      </w:r>
      <w:r>
        <w:rPr>
          <w:rtl/>
        </w:rPr>
        <w:tab/>
      </w:r>
      <w:r>
        <w:rPr>
          <w:rFonts w:hint="cs"/>
          <w:rtl/>
        </w:rPr>
        <w:t>التكامل/</w:t>
      </w:r>
      <w:proofErr w:type="gramStart"/>
      <w:r>
        <w:rPr>
          <w:rFonts w:hint="cs"/>
          <w:rtl/>
        </w:rPr>
        <w:t>الدعم</w:t>
      </w:r>
      <w:proofErr w:type="gramEnd"/>
      <w:r>
        <w:rPr>
          <w:rFonts w:hint="cs"/>
          <w:rtl/>
        </w:rPr>
        <w:t xml:space="preserve"> المتبادل مع الاتفاقات الدولية</w:t>
      </w:r>
    </w:p>
    <w:p w:rsidR="00F7688E" w:rsidRDefault="00F7688E" w:rsidP="00676537">
      <w:pPr>
        <w:pStyle w:val="NormalParaAR"/>
        <w:rPr>
          <w:rtl/>
        </w:rPr>
      </w:pPr>
      <w:r>
        <w:rPr>
          <w:rFonts w:hint="cs"/>
          <w:rtl/>
        </w:rPr>
        <w:t>-</w:t>
      </w:r>
      <w:r>
        <w:rPr>
          <w:rtl/>
        </w:rPr>
        <w:tab/>
      </w:r>
      <w:r w:rsidR="00676537">
        <w:rPr>
          <w:rFonts w:hint="cs"/>
          <w:rtl/>
        </w:rPr>
        <w:t>الوقاية/التقليل إلى أدنى حد ممكن من البراءات "التي تُمنح عن خطأ" (ما هو المصطلح المناسب)</w:t>
      </w:r>
    </w:p>
    <w:p w:rsidR="00676537" w:rsidRDefault="00676537" w:rsidP="00676537">
      <w:pPr>
        <w:pStyle w:val="NormalParaAR"/>
        <w:spacing w:after="0"/>
        <w:rPr>
          <w:b/>
          <w:bCs/>
          <w:rtl/>
        </w:rPr>
      </w:pPr>
      <w:r>
        <w:rPr>
          <w:rFonts w:hint="cs"/>
          <w:b/>
          <w:bCs/>
          <w:rtl/>
        </w:rPr>
        <w:t>4</w:t>
      </w:r>
      <w:r w:rsidRPr="00F7688E">
        <w:rPr>
          <w:rFonts w:hint="cs"/>
          <w:b/>
          <w:bCs/>
          <w:rtl/>
        </w:rPr>
        <w:t>.</w:t>
      </w:r>
      <w:r w:rsidRPr="00F7688E">
        <w:rPr>
          <w:b/>
          <w:bCs/>
          <w:rtl/>
        </w:rPr>
        <w:tab/>
      </w:r>
      <w:proofErr w:type="gramStart"/>
      <w:r>
        <w:rPr>
          <w:rFonts w:hint="cs"/>
          <w:b/>
          <w:bCs/>
          <w:rtl/>
        </w:rPr>
        <w:t>موضوع</w:t>
      </w:r>
      <w:proofErr w:type="gramEnd"/>
      <w:r>
        <w:rPr>
          <w:rFonts w:hint="cs"/>
          <w:b/>
          <w:bCs/>
          <w:rtl/>
        </w:rPr>
        <w:t xml:space="preserve"> الحماية</w:t>
      </w:r>
    </w:p>
    <w:p w:rsidR="00676537" w:rsidRDefault="00676537" w:rsidP="00676537">
      <w:pPr>
        <w:pStyle w:val="NormalParaAR"/>
        <w:spacing w:after="0"/>
        <w:rPr>
          <w:rtl/>
        </w:rPr>
      </w:pPr>
      <w:r>
        <w:rPr>
          <w:rFonts w:hint="cs"/>
          <w:rtl/>
        </w:rPr>
        <w:t>-</w:t>
      </w:r>
      <w:r>
        <w:rPr>
          <w:rtl/>
        </w:rPr>
        <w:tab/>
      </w:r>
      <w:proofErr w:type="gramStart"/>
      <w:r>
        <w:rPr>
          <w:rFonts w:hint="cs"/>
          <w:rtl/>
        </w:rPr>
        <w:t>هل</w:t>
      </w:r>
      <w:proofErr w:type="gramEnd"/>
      <w:r>
        <w:rPr>
          <w:rFonts w:hint="cs"/>
          <w:rtl/>
        </w:rPr>
        <w:t xml:space="preserve"> ينبغي أن ينطبق الصك على:</w:t>
      </w:r>
    </w:p>
    <w:p w:rsidR="00676537" w:rsidRDefault="00676537" w:rsidP="00676537">
      <w:pPr>
        <w:pStyle w:val="NormalParaAR"/>
        <w:spacing w:after="0"/>
        <w:ind w:left="567"/>
        <w:rPr>
          <w:rtl/>
        </w:rPr>
      </w:pPr>
      <w:r>
        <w:rPr>
          <w:rFonts w:hint="cs"/>
        </w:rPr>
        <w:sym w:font="Symbol" w:char="F0B0"/>
      </w:r>
      <w:r>
        <w:rPr>
          <w:rtl/>
        </w:rPr>
        <w:tab/>
      </w:r>
      <w:r>
        <w:rPr>
          <w:rFonts w:hint="cs"/>
          <w:rtl/>
        </w:rPr>
        <w:t>أية حقوق من حقوق الملكية الفكرية أو الحق المرتبط بالبراءات فقط</w:t>
      </w:r>
    </w:p>
    <w:p w:rsidR="00676537" w:rsidRDefault="00676537" w:rsidP="00676537">
      <w:pPr>
        <w:pStyle w:val="NormalParaAR"/>
        <w:spacing w:after="0"/>
        <w:rPr>
          <w:rtl/>
        </w:rPr>
      </w:pPr>
      <w:r>
        <w:rPr>
          <w:rFonts w:hint="cs"/>
          <w:rtl/>
        </w:rPr>
        <w:t>-</w:t>
      </w:r>
      <w:r>
        <w:rPr>
          <w:rtl/>
        </w:rPr>
        <w:tab/>
      </w:r>
      <w:r>
        <w:rPr>
          <w:rFonts w:hint="cs"/>
          <w:rtl/>
        </w:rPr>
        <w:t>بالإضافة إلى الموارد الوراثية، هل ينبغي أن ينطبق الصك أيضا على:</w:t>
      </w:r>
    </w:p>
    <w:p w:rsidR="00676537" w:rsidRDefault="00676537" w:rsidP="00676537">
      <w:pPr>
        <w:pStyle w:val="NormalParaAR"/>
        <w:spacing w:after="0"/>
        <w:ind w:left="567"/>
        <w:rPr>
          <w:rtl/>
        </w:rPr>
      </w:pPr>
      <w:r>
        <w:rPr>
          <w:rFonts w:hint="cs"/>
        </w:rPr>
        <w:sym w:font="Symbol" w:char="F0B0"/>
      </w:r>
      <w:r>
        <w:rPr>
          <w:rtl/>
        </w:rPr>
        <w:tab/>
      </w:r>
      <w:r>
        <w:rPr>
          <w:rFonts w:hint="cs"/>
          <w:rtl/>
        </w:rPr>
        <w:t>المشتقات</w:t>
      </w:r>
    </w:p>
    <w:p w:rsidR="00676537" w:rsidRDefault="00676537" w:rsidP="00676537">
      <w:pPr>
        <w:pStyle w:val="NormalParaAR"/>
        <w:ind w:left="567"/>
        <w:rPr>
          <w:rtl/>
        </w:rPr>
      </w:pPr>
      <w:r>
        <w:rPr>
          <w:rFonts w:hint="cs"/>
        </w:rPr>
        <w:sym w:font="Symbol" w:char="F0B0"/>
      </w:r>
      <w:r>
        <w:rPr>
          <w:rtl/>
        </w:rPr>
        <w:tab/>
      </w:r>
      <w:r>
        <w:rPr>
          <w:rFonts w:hint="cs"/>
          <w:rtl/>
        </w:rPr>
        <w:t>المعارف التقليدية المرتبطة بها/المعارف التقليدية المرتبطة بالموارد الوراثية</w:t>
      </w:r>
    </w:p>
    <w:p w:rsidR="00676537" w:rsidRDefault="00676537" w:rsidP="00676537">
      <w:pPr>
        <w:pStyle w:val="NormalParaAR"/>
        <w:spacing w:after="0"/>
        <w:rPr>
          <w:b/>
          <w:bCs/>
          <w:rtl/>
        </w:rPr>
      </w:pPr>
      <w:r>
        <w:rPr>
          <w:rFonts w:hint="cs"/>
          <w:b/>
          <w:bCs/>
          <w:rtl/>
        </w:rPr>
        <w:t>5</w:t>
      </w:r>
      <w:r w:rsidRPr="00F7688E">
        <w:rPr>
          <w:rFonts w:hint="cs"/>
          <w:b/>
          <w:bCs/>
          <w:rtl/>
        </w:rPr>
        <w:t>.</w:t>
      </w:r>
      <w:r w:rsidRPr="00F7688E">
        <w:rPr>
          <w:b/>
          <w:bCs/>
          <w:rtl/>
        </w:rPr>
        <w:tab/>
      </w:r>
      <w:r>
        <w:rPr>
          <w:rFonts w:hint="cs"/>
          <w:b/>
          <w:bCs/>
          <w:rtl/>
        </w:rPr>
        <w:t>شرط الكشف</w:t>
      </w:r>
    </w:p>
    <w:p w:rsidR="00676537" w:rsidRDefault="00676537" w:rsidP="00676537">
      <w:pPr>
        <w:pStyle w:val="NormalParaAR"/>
        <w:spacing w:after="0"/>
        <w:rPr>
          <w:rtl/>
        </w:rPr>
      </w:pPr>
      <w:r>
        <w:rPr>
          <w:rFonts w:hint="cs"/>
          <w:rtl/>
        </w:rPr>
        <w:t>-</w:t>
      </w:r>
      <w:r>
        <w:rPr>
          <w:rtl/>
        </w:rPr>
        <w:tab/>
      </w:r>
      <w:proofErr w:type="gramStart"/>
      <w:r>
        <w:rPr>
          <w:rFonts w:hint="cs"/>
          <w:rtl/>
        </w:rPr>
        <w:t>مضمون</w:t>
      </w:r>
      <w:proofErr w:type="gramEnd"/>
      <w:r>
        <w:rPr>
          <w:rFonts w:hint="cs"/>
          <w:rtl/>
        </w:rPr>
        <w:t xml:space="preserve"> الكشف</w:t>
      </w:r>
    </w:p>
    <w:p w:rsidR="00676537" w:rsidRDefault="00676537" w:rsidP="00676537">
      <w:pPr>
        <w:pStyle w:val="NormalParaAR"/>
        <w:spacing w:after="0"/>
        <w:ind w:left="567"/>
        <w:rPr>
          <w:rtl/>
        </w:rPr>
      </w:pPr>
      <w:r>
        <w:rPr>
          <w:rFonts w:hint="cs"/>
        </w:rPr>
        <w:sym w:font="Symbol" w:char="F0B0"/>
      </w:r>
      <w:r>
        <w:rPr>
          <w:rtl/>
        </w:rPr>
        <w:tab/>
      </w:r>
      <w:r>
        <w:rPr>
          <w:rFonts w:hint="cs"/>
          <w:rtl/>
        </w:rPr>
        <w:t>منشأ و/أو مصدر الموارد الوراثية</w:t>
      </w:r>
    </w:p>
    <w:p w:rsidR="00676537" w:rsidRDefault="00676537" w:rsidP="00C30E41">
      <w:pPr>
        <w:pStyle w:val="NormalParaAR"/>
        <w:spacing w:after="0"/>
        <w:ind w:left="567"/>
        <w:rPr>
          <w:rtl/>
        </w:rPr>
      </w:pPr>
      <w:r>
        <w:rPr>
          <w:rFonts w:hint="cs"/>
        </w:rPr>
        <w:sym w:font="Symbol" w:char="F0B0"/>
      </w:r>
      <w:r>
        <w:rPr>
          <w:rtl/>
        </w:rPr>
        <w:tab/>
      </w:r>
      <w:r>
        <w:rPr>
          <w:rFonts w:hint="cs"/>
          <w:rtl/>
        </w:rPr>
        <w:t xml:space="preserve">المعلومات الخاصة بالامتثال </w:t>
      </w:r>
      <w:r w:rsidRPr="00676537">
        <w:rPr>
          <w:rtl/>
        </w:rPr>
        <w:t>لشروط النفاذ وتقاسم المنافع</w:t>
      </w:r>
      <w:r w:rsidR="00C30E41">
        <w:rPr>
          <w:rFonts w:hint="cs"/>
          <w:rtl/>
        </w:rPr>
        <w:t xml:space="preserve">، </w:t>
      </w:r>
      <w:r w:rsidR="00C30E41" w:rsidRPr="00C30E41">
        <w:rPr>
          <w:rtl/>
        </w:rPr>
        <w:t>بما في ذلك الموافقة المسبقة المستنيرة</w:t>
      </w:r>
    </w:p>
    <w:p w:rsidR="00C30E41" w:rsidRDefault="00C30E41" w:rsidP="00C30E41">
      <w:pPr>
        <w:pStyle w:val="NormalParaAR"/>
        <w:spacing w:after="0"/>
        <w:rPr>
          <w:rtl/>
        </w:rPr>
      </w:pPr>
      <w:r>
        <w:rPr>
          <w:rFonts w:hint="cs"/>
          <w:rtl/>
        </w:rPr>
        <w:t>-</w:t>
      </w:r>
      <w:r>
        <w:rPr>
          <w:rtl/>
        </w:rPr>
        <w:tab/>
      </w:r>
      <w:r>
        <w:rPr>
          <w:rFonts w:hint="cs"/>
          <w:rtl/>
        </w:rPr>
        <w:t>الاستثناءات والتقييدات</w:t>
      </w:r>
    </w:p>
    <w:p w:rsidR="00C30E41" w:rsidRDefault="00C30E41" w:rsidP="00C30E41">
      <w:pPr>
        <w:pStyle w:val="NormalParaAR"/>
        <w:spacing w:after="0"/>
        <w:ind w:left="567"/>
        <w:rPr>
          <w:rtl/>
        </w:rPr>
      </w:pPr>
      <w:r>
        <w:rPr>
          <w:rFonts w:hint="cs"/>
        </w:rPr>
        <w:sym w:font="Symbol" w:char="F0B0"/>
      </w:r>
      <w:r>
        <w:rPr>
          <w:rtl/>
        </w:rPr>
        <w:tab/>
      </w:r>
      <w:r>
        <w:rPr>
          <w:rFonts w:hint="cs"/>
          <w:rtl/>
        </w:rPr>
        <w:t>نوع الاستثناءات</w:t>
      </w:r>
    </w:p>
    <w:p w:rsidR="00C30E41" w:rsidRDefault="00C30E41" w:rsidP="00C30E41">
      <w:pPr>
        <w:pStyle w:val="NormalParaAR"/>
        <w:spacing w:after="0"/>
        <w:ind w:left="567"/>
        <w:rPr>
          <w:rtl/>
        </w:rPr>
      </w:pPr>
      <w:r>
        <w:rPr>
          <w:rFonts w:hint="cs"/>
        </w:rPr>
        <w:sym w:font="Symbol" w:char="F0B0"/>
      </w:r>
      <w:r>
        <w:rPr>
          <w:rtl/>
        </w:rPr>
        <w:tab/>
      </w:r>
      <w:r>
        <w:rPr>
          <w:rFonts w:hint="cs"/>
          <w:rtl/>
        </w:rPr>
        <w:t>الاستثناءات المرتبطة بالمصلحة العامة فقط</w:t>
      </w:r>
    </w:p>
    <w:p w:rsidR="00C30E41" w:rsidRDefault="00C30E41" w:rsidP="00C30E41">
      <w:pPr>
        <w:pStyle w:val="NormalParaAR"/>
        <w:spacing w:after="0"/>
        <w:rPr>
          <w:rtl/>
        </w:rPr>
      </w:pPr>
      <w:r>
        <w:rPr>
          <w:rFonts w:hint="cs"/>
          <w:rtl/>
        </w:rPr>
        <w:t>-</w:t>
      </w:r>
      <w:r>
        <w:rPr>
          <w:rtl/>
        </w:rPr>
        <w:tab/>
      </w:r>
      <w:r>
        <w:rPr>
          <w:rFonts w:hint="cs"/>
          <w:rtl/>
        </w:rPr>
        <w:t xml:space="preserve">قابلية موضوع الموارد الوراثية و/أو مشتقاتها، </w:t>
      </w:r>
      <w:r w:rsidRPr="00C30E41">
        <w:rPr>
          <w:rtl/>
        </w:rPr>
        <w:t>بالصيغة التي وُجدت بها في الطبيعة أو عُزلت منها</w:t>
      </w:r>
      <w:r>
        <w:rPr>
          <w:rFonts w:hint="cs"/>
          <w:rtl/>
        </w:rPr>
        <w:t>، للحماية بموجب ملكية فكرية/براءة</w:t>
      </w:r>
    </w:p>
    <w:p w:rsidR="00C30E41" w:rsidRDefault="00C30E41" w:rsidP="00C30E41">
      <w:pPr>
        <w:pStyle w:val="NormalParaAR"/>
        <w:spacing w:after="0"/>
        <w:rPr>
          <w:rtl/>
        </w:rPr>
      </w:pPr>
      <w:r>
        <w:rPr>
          <w:rFonts w:hint="cs"/>
          <w:rtl/>
        </w:rPr>
        <w:t>-</w:t>
      </w:r>
      <w:r>
        <w:rPr>
          <w:rtl/>
        </w:rPr>
        <w:tab/>
      </w:r>
      <w:proofErr w:type="gramStart"/>
      <w:r>
        <w:rPr>
          <w:rFonts w:hint="cs"/>
          <w:rtl/>
        </w:rPr>
        <w:t>عواقب</w:t>
      </w:r>
      <w:proofErr w:type="gramEnd"/>
      <w:r>
        <w:rPr>
          <w:rFonts w:hint="cs"/>
          <w:rtl/>
        </w:rPr>
        <w:t xml:space="preserve"> عدم الامتثال</w:t>
      </w:r>
    </w:p>
    <w:p w:rsidR="00C30E41" w:rsidRDefault="00C30E41" w:rsidP="00C30E41">
      <w:pPr>
        <w:pStyle w:val="NormalParaAR"/>
        <w:spacing w:after="0"/>
        <w:ind w:left="567"/>
        <w:rPr>
          <w:rtl/>
        </w:rPr>
      </w:pPr>
      <w:r>
        <w:rPr>
          <w:rFonts w:hint="cs"/>
        </w:rPr>
        <w:sym w:font="Symbol" w:char="F0B0"/>
      </w:r>
      <w:r>
        <w:rPr>
          <w:rtl/>
        </w:rPr>
        <w:tab/>
      </w:r>
      <w:r>
        <w:rPr>
          <w:rFonts w:hint="cs"/>
          <w:rtl/>
        </w:rPr>
        <w:t>اتفاقات المعايير الدنيا و/أو القصوى</w:t>
      </w:r>
    </w:p>
    <w:p w:rsidR="00C30E41" w:rsidRDefault="00C30E41" w:rsidP="00C30E41">
      <w:pPr>
        <w:pStyle w:val="NormalParaAR"/>
        <w:spacing w:after="0"/>
        <w:ind w:left="567"/>
        <w:rPr>
          <w:rtl/>
        </w:rPr>
      </w:pPr>
      <w:r>
        <w:rPr>
          <w:rFonts w:hint="cs"/>
        </w:rPr>
        <w:sym w:font="Symbol" w:char="F0B0"/>
      </w:r>
      <w:r>
        <w:rPr>
          <w:rtl/>
        </w:rPr>
        <w:tab/>
      </w:r>
      <w:r>
        <w:rPr>
          <w:rFonts w:hint="cs"/>
          <w:rtl/>
        </w:rPr>
        <w:t>التدابير/</w:t>
      </w:r>
      <w:proofErr w:type="spellStart"/>
      <w:r>
        <w:rPr>
          <w:rFonts w:hint="cs"/>
          <w:rtl/>
        </w:rPr>
        <w:t>الجزاءات</w:t>
      </w:r>
      <w:proofErr w:type="spellEnd"/>
      <w:r>
        <w:rPr>
          <w:rFonts w:hint="cs"/>
          <w:rtl/>
        </w:rPr>
        <w:t xml:space="preserve"> داخل و/أو خارج نظام البراءات</w:t>
      </w:r>
    </w:p>
    <w:p w:rsidR="00C30E41" w:rsidRDefault="00C30E41" w:rsidP="00C30E41">
      <w:pPr>
        <w:pStyle w:val="NormalParaAR"/>
        <w:spacing w:after="0"/>
        <w:ind w:left="567"/>
        <w:rPr>
          <w:rtl/>
        </w:rPr>
      </w:pPr>
      <w:r>
        <w:rPr>
          <w:rFonts w:hint="cs"/>
        </w:rPr>
        <w:sym w:font="Symbol" w:char="F0B0"/>
      </w:r>
      <w:r>
        <w:rPr>
          <w:rtl/>
        </w:rPr>
        <w:tab/>
      </w:r>
      <w:proofErr w:type="gramStart"/>
      <w:r>
        <w:rPr>
          <w:rFonts w:hint="cs"/>
          <w:rtl/>
        </w:rPr>
        <w:t>شروط</w:t>
      </w:r>
      <w:proofErr w:type="gramEnd"/>
      <w:r>
        <w:rPr>
          <w:rFonts w:hint="cs"/>
          <w:rtl/>
        </w:rPr>
        <w:t xml:space="preserve"> الإلغاء الجائزة</w:t>
      </w:r>
    </w:p>
    <w:p w:rsidR="005C5227" w:rsidRDefault="005C5227" w:rsidP="005C5227">
      <w:pPr>
        <w:pStyle w:val="NormalParaAR"/>
        <w:spacing w:after="0"/>
        <w:rPr>
          <w:rtl/>
        </w:rPr>
      </w:pPr>
      <w:r>
        <w:rPr>
          <w:rFonts w:hint="cs"/>
          <w:rtl/>
        </w:rPr>
        <w:t>-</w:t>
      </w:r>
      <w:r>
        <w:rPr>
          <w:rtl/>
        </w:rPr>
        <w:tab/>
      </w:r>
      <w:proofErr w:type="gramStart"/>
      <w:r>
        <w:rPr>
          <w:rFonts w:hint="cs"/>
          <w:rtl/>
        </w:rPr>
        <w:t>الغرض</w:t>
      </w:r>
      <w:proofErr w:type="gramEnd"/>
      <w:r>
        <w:rPr>
          <w:rFonts w:hint="cs"/>
          <w:rtl/>
        </w:rPr>
        <w:t xml:space="preserve"> المنشود</w:t>
      </w:r>
    </w:p>
    <w:p w:rsidR="005C5227" w:rsidRDefault="005C5227" w:rsidP="005C5227">
      <w:pPr>
        <w:pStyle w:val="NormalParaAR"/>
        <w:spacing w:after="0"/>
        <w:ind w:left="567"/>
        <w:rPr>
          <w:rtl/>
        </w:rPr>
      </w:pPr>
      <w:r>
        <w:rPr>
          <w:rFonts w:hint="cs"/>
        </w:rPr>
        <w:sym w:font="Symbol" w:char="F0B0"/>
      </w:r>
      <w:r>
        <w:rPr>
          <w:rtl/>
        </w:rPr>
        <w:tab/>
      </w:r>
      <w:r>
        <w:rPr>
          <w:rFonts w:hint="cs"/>
          <w:rtl/>
        </w:rPr>
        <w:t xml:space="preserve">المطالبة بحماية اختراع بالاستناد </w:t>
      </w:r>
      <w:proofErr w:type="gramStart"/>
      <w:r>
        <w:rPr>
          <w:rFonts w:hint="cs"/>
          <w:rtl/>
        </w:rPr>
        <w:t>مباشرة</w:t>
      </w:r>
      <w:proofErr w:type="gramEnd"/>
      <w:r>
        <w:rPr>
          <w:rFonts w:hint="cs"/>
          <w:rtl/>
        </w:rPr>
        <w:t xml:space="preserve"> إلى الموضوع</w:t>
      </w:r>
    </w:p>
    <w:p w:rsidR="005C5227" w:rsidRDefault="005C5227" w:rsidP="005C5227">
      <w:pPr>
        <w:pStyle w:val="NormalParaAR"/>
        <w:spacing w:after="0"/>
        <w:ind w:left="567"/>
        <w:rPr>
          <w:rtl/>
        </w:rPr>
      </w:pPr>
      <w:r>
        <w:rPr>
          <w:rFonts w:hint="cs"/>
        </w:rPr>
        <w:sym w:font="Symbol" w:char="F0B0"/>
      </w:r>
      <w:r>
        <w:rPr>
          <w:rtl/>
        </w:rPr>
        <w:tab/>
      </w:r>
      <w:proofErr w:type="gramStart"/>
      <w:r>
        <w:rPr>
          <w:rFonts w:hint="cs"/>
          <w:rtl/>
        </w:rPr>
        <w:t>استعمال</w:t>
      </w:r>
      <w:proofErr w:type="gramEnd"/>
      <w:r>
        <w:rPr>
          <w:rFonts w:hint="cs"/>
          <w:rtl/>
        </w:rPr>
        <w:t xml:space="preserve"> الموضوع</w:t>
      </w:r>
    </w:p>
    <w:p w:rsidR="005C5227" w:rsidRDefault="005C5227" w:rsidP="005C5227">
      <w:pPr>
        <w:pStyle w:val="NormalParaAR"/>
        <w:spacing w:after="0"/>
        <w:ind w:left="567"/>
        <w:rPr>
          <w:rtl/>
        </w:rPr>
      </w:pPr>
      <w:r>
        <w:rPr>
          <w:rFonts w:hint="cs"/>
        </w:rPr>
        <w:sym w:font="Symbol" w:char="F0B0"/>
      </w:r>
      <w:r>
        <w:rPr>
          <w:rtl/>
        </w:rPr>
        <w:tab/>
      </w:r>
      <w:r>
        <w:rPr>
          <w:rFonts w:hint="cs"/>
          <w:rtl/>
        </w:rPr>
        <w:t xml:space="preserve">الحاجة إلى النفاد المادي أو </w:t>
      </w:r>
      <w:proofErr w:type="gramStart"/>
      <w:r>
        <w:rPr>
          <w:rFonts w:hint="cs"/>
          <w:rtl/>
        </w:rPr>
        <w:t>النفاذ</w:t>
      </w:r>
      <w:proofErr w:type="gramEnd"/>
      <w:r>
        <w:rPr>
          <w:rFonts w:hint="cs"/>
          <w:rtl/>
        </w:rPr>
        <w:t xml:space="preserve"> إلى موضوع غير ملموس</w:t>
      </w:r>
    </w:p>
    <w:p w:rsidR="005C5227" w:rsidRDefault="005C5227" w:rsidP="005C5227">
      <w:pPr>
        <w:pStyle w:val="NormalParaAR"/>
        <w:spacing w:after="0"/>
        <w:rPr>
          <w:rtl/>
        </w:rPr>
      </w:pPr>
      <w:r>
        <w:rPr>
          <w:rFonts w:hint="cs"/>
          <w:rtl/>
        </w:rPr>
        <w:t>-</w:t>
      </w:r>
      <w:r>
        <w:rPr>
          <w:rtl/>
        </w:rPr>
        <w:tab/>
      </w:r>
      <w:r>
        <w:rPr>
          <w:rFonts w:hint="cs"/>
          <w:rtl/>
        </w:rPr>
        <w:t>العلاقة بالأنظمة الوطنية والمحلية للنفاذ وتقاسم المنافع</w:t>
      </w:r>
    </w:p>
    <w:p w:rsidR="005C5227" w:rsidRDefault="005C5227" w:rsidP="00A840F7">
      <w:pPr>
        <w:pStyle w:val="NormalParaAR"/>
        <w:ind w:left="567"/>
        <w:rPr>
          <w:rtl/>
        </w:rPr>
      </w:pPr>
      <w:r>
        <w:rPr>
          <w:rFonts w:hint="cs"/>
        </w:rPr>
        <w:lastRenderedPageBreak/>
        <w:sym w:font="Symbol" w:char="F0B0"/>
      </w:r>
      <w:r>
        <w:rPr>
          <w:rtl/>
        </w:rPr>
        <w:tab/>
      </w:r>
      <w:r>
        <w:rPr>
          <w:rFonts w:hint="cs"/>
          <w:rtl/>
        </w:rPr>
        <w:t>دور مكتب الملكية الفكرية/البراءات في تبليغ المعلومات الخاصة بالكشف إلى آلية تبادل المعلومات لا</w:t>
      </w:r>
      <w:r w:rsidRPr="005C5227">
        <w:rPr>
          <w:rtl/>
        </w:rPr>
        <w:t>تفاقية التنوع البيولوجي/المعاهدة الدولية بشأن الموارد الوراثية النباتية للأغذية والزراعة</w:t>
      </w:r>
    </w:p>
    <w:p w:rsidR="00A840F7" w:rsidRDefault="00A840F7" w:rsidP="00A840F7">
      <w:pPr>
        <w:pStyle w:val="NormalParaAR"/>
        <w:spacing w:after="0"/>
        <w:rPr>
          <w:b/>
          <w:bCs/>
          <w:rtl/>
        </w:rPr>
      </w:pPr>
      <w:r>
        <w:rPr>
          <w:rFonts w:hint="cs"/>
          <w:b/>
          <w:bCs/>
          <w:rtl/>
        </w:rPr>
        <w:t>6</w:t>
      </w:r>
      <w:r w:rsidRPr="00F7688E">
        <w:rPr>
          <w:rFonts w:hint="cs"/>
          <w:b/>
          <w:bCs/>
          <w:rtl/>
        </w:rPr>
        <w:t>.</w:t>
      </w:r>
      <w:r w:rsidRPr="00F7688E">
        <w:rPr>
          <w:b/>
          <w:bCs/>
          <w:rtl/>
        </w:rPr>
        <w:tab/>
      </w:r>
      <w:r>
        <w:rPr>
          <w:rFonts w:hint="cs"/>
          <w:b/>
          <w:bCs/>
          <w:rtl/>
        </w:rPr>
        <w:t>التدابير الدفاعية/</w:t>
      </w:r>
      <w:proofErr w:type="gramStart"/>
      <w:r>
        <w:rPr>
          <w:rFonts w:hint="cs"/>
          <w:b/>
          <w:bCs/>
          <w:rtl/>
        </w:rPr>
        <w:t>عدم</w:t>
      </w:r>
      <w:proofErr w:type="gramEnd"/>
      <w:r>
        <w:rPr>
          <w:rFonts w:hint="cs"/>
          <w:b/>
          <w:bCs/>
          <w:rtl/>
        </w:rPr>
        <w:t xml:space="preserve"> الكشف</w:t>
      </w:r>
    </w:p>
    <w:p w:rsidR="00A840F7" w:rsidRDefault="00A840F7" w:rsidP="00A840F7">
      <w:pPr>
        <w:pStyle w:val="NormalParaAR"/>
        <w:rPr>
          <w:rtl/>
        </w:rPr>
      </w:pPr>
      <w:r>
        <w:rPr>
          <w:rFonts w:hint="cs"/>
          <w:rtl/>
        </w:rPr>
        <w:t>-</w:t>
      </w:r>
      <w:r>
        <w:rPr>
          <w:rtl/>
        </w:rPr>
        <w:tab/>
      </w:r>
      <w:r>
        <w:rPr>
          <w:rFonts w:hint="cs"/>
          <w:rtl/>
        </w:rPr>
        <w:t>النظر في الحاجة إلى المزيد من تدابير/أنظمة العناية الواجبة</w:t>
      </w:r>
    </w:p>
    <w:p w:rsidR="00A840F7" w:rsidRDefault="00A840F7" w:rsidP="00A840F7">
      <w:pPr>
        <w:pStyle w:val="NormalParaAR"/>
        <w:spacing w:after="0"/>
        <w:rPr>
          <w:b/>
          <w:bCs/>
          <w:rtl/>
        </w:rPr>
      </w:pPr>
      <w:r>
        <w:rPr>
          <w:rFonts w:hint="cs"/>
          <w:b/>
          <w:bCs/>
          <w:rtl/>
        </w:rPr>
        <w:t>7</w:t>
      </w:r>
      <w:r w:rsidRPr="00F7688E">
        <w:rPr>
          <w:rFonts w:hint="cs"/>
          <w:b/>
          <w:bCs/>
          <w:rtl/>
        </w:rPr>
        <w:t>.</w:t>
      </w:r>
      <w:r w:rsidRPr="00F7688E">
        <w:rPr>
          <w:b/>
          <w:bCs/>
          <w:rtl/>
        </w:rPr>
        <w:tab/>
      </w:r>
      <w:r>
        <w:rPr>
          <w:rFonts w:hint="cs"/>
          <w:b/>
          <w:bCs/>
          <w:rtl/>
        </w:rPr>
        <w:t>قواعد البيانات</w:t>
      </w:r>
    </w:p>
    <w:p w:rsidR="00A840F7" w:rsidRDefault="00A840F7" w:rsidP="00A840F7">
      <w:pPr>
        <w:pStyle w:val="NormalParaAR"/>
        <w:spacing w:after="0"/>
        <w:rPr>
          <w:rtl/>
        </w:rPr>
      </w:pPr>
      <w:r>
        <w:rPr>
          <w:rFonts w:hint="cs"/>
          <w:rtl/>
        </w:rPr>
        <w:t>-</w:t>
      </w:r>
      <w:r>
        <w:rPr>
          <w:rtl/>
        </w:rPr>
        <w:tab/>
      </w:r>
      <w:r>
        <w:rPr>
          <w:rFonts w:hint="cs"/>
          <w:rtl/>
        </w:rPr>
        <w:t xml:space="preserve">قواعد البيانات باعتبارها </w:t>
      </w:r>
      <w:r w:rsidR="001628B5">
        <w:rPr>
          <w:rFonts w:hint="cs"/>
          <w:rtl/>
        </w:rPr>
        <w:t xml:space="preserve">تدابير دفاعية أو </w:t>
      </w:r>
      <w:proofErr w:type="gramStart"/>
      <w:r>
        <w:rPr>
          <w:rFonts w:hint="cs"/>
          <w:rtl/>
        </w:rPr>
        <w:t>تدابير</w:t>
      </w:r>
      <w:proofErr w:type="gramEnd"/>
      <w:r>
        <w:rPr>
          <w:rFonts w:hint="cs"/>
          <w:rtl/>
        </w:rPr>
        <w:t xml:space="preserve"> تكميلية لشرط الكشف</w:t>
      </w:r>
    </w:p>
    <w:p w:rsidR="00A840F7" w:rsidRDefault="00A840F7" w:rsidP="00A840F7">
      <w:pPr>
        <w:pStyle w:val="NormalParaAR"/>
        <w:spacing w:after="0"/>
        <w:rPr>
          <w:rtl/>
        </w:rPr>
      </w:pPr>
      <w:r>
        <w:rPr>
          <w:rFonts w:hint="cs"/>
          <w:rtl/>
        </w:rPr>
        <w:t>-</w:t>
      </w:r>
      <w:r>
        <w:rPr>
          <w:rtl/>
        </w:rPr>
        <w:tab/>
      </w:r>
      <w:r w:rsidR="007F5540">
        <w:rPr>
          <w:rFonts w:hint="cs"/>
          <w:rtl/>
        </w:rPr>
        <w:t>ال</w:t>
      </w:r>
      <w:r>
        <w:rPr>
          <w:rFonts w:hint="cs"/>
          <w:rtl/>
        </w:rPr>
        <w:t xml:space="preserve">ضمانات الخاصة بالمعارف التقليدية </w:t>
      </w:r>
      <w:proofErr w:type="gramStart"/>
      <w:r>
        <w:rPr>
          <w:rFonts w:hint="cs"/>
          <w:rtl/>
        </w:rPr>
        <w:t>المحتفظ</w:t>
      </w:r>
      <w:proofErr w:type="gramEnd"/>
      <w:r>
        <w:rPr>
          <w:rFonts w:hint="cs"/>
          <w:rtl/>
        </w:rPr>
        <w:t xml:space="preserve"> بها على نطاق واسع و/أو المتاحة للجمهور</w:t>
      </w:r>
    </w:p>
    <w:p w:rsidR="00A840F7" w:rsidRDefault="00A840F7" w:rsidP="00A840F7">
      <w:pPr>
        <w:pStyle w:val="NormalParaAR"/>
        <w:rPr>
          <w:rtl/>
        </w:rPr>
      </w:pPr>
      <w:r>
        <w:rPr>
          <w:rFonts w:hint="cs"/>
          <w:rtl/>
        </w:rPr>
        <w:t>-</w:t>
      </w:r>
      <w:r>
        <w:rPr>
          <w:rtl/>
        </w:rPr>
        <w:tab/>
      </w:r>
      <w:r>
        <w:rPr>
          <w:rFonts w:hint="cs"/>
          <w:rtl/>
        </w:rPr>
        <w:t>العبء المفروض على أصحاب المعارف التقل</w:t>
      </w:r>
      <w:bookmarkStart w:id="2" w:name="_GoBack"/>
      <w:bookmarkEnd w:id="2"/>
      <w:r>
        <w:rPr>
          <w:rFonts w:hint="cs"/>
          <w:rtl/>
        </w:rPr>
        <w:t>يدية والدول الأعضاء</w:t>
      </w:r>
    </w:p>
    <w:p w:rsidR="00A840F7" w:rsidRDefault="00A840F7" w:rsidP="00A840F7">
      <w:pPr>
        <w:pStyle w:val="NormalParaAR"/>
        <w:rPr>
          <w:b/>
          <w:bCs/>
          <w:rtl/>
        </w:rPr>
      </w:pPr>
      <w:r>
        <w:rPr>
          <w:rFonts w:hint="cs"/>
          <w:b/>
          <w:bCs/>
          <w:rtl/>
        </w:rPr>
        <w:t>8</w:t>
      </w:r>
      <w:r w:rsidRPr="00F7688E">
        <w:rPr>
          <w:rFonts w:hint="cs"/>
          <w:b/>
          <w:bCs/>
          <w:rtl/>
        </w:rPr>
        <w:t>.</w:t>
      </w:r>
      <w:r w:rsidRPr="00F7688E">
        <w:rPr>
          <w:b/>
          <w:bCs/>
          <w:rtl/>
        </w:rPr>
        <w:tab/>
      </w:r>
      <w:r>
        <w:rPr>
          <w:rFonts w:hint="cs"/>
          <w:b/>
          <w:bCs/>
          <w:rtl/>
        </w:rPr>
        <w:t>العلاقة بالاتفاقات الدولية، بما في ذلك معاهدة التعاون بشأن البراءات ومعاهدة قانون البراءات</w:t>
      </w:r>
    </w:p>
    <w:p w:rsidR="00A840F7" w:rsidRDefault="00A840F7" w:rsidP="00A840F7">
      <w:pPr>
        <w:pStyle w:val="NormalParaAR"/>
        <w:rPr>
          <w:b/>
          <w:bCs/>
          <w:rtl/>
        </w:rPr>
      </w:pPr>
      <w:r>
        <w:rPr>
          <w:rFonts w:hint="cs"/>
          <w:b/>
          <w:bCs/>
          <w:rtl/>
        </w:rPr>
        <w:t>9.</w:t>
      </w:r>
      <w:r>
        <w:rPr>
          <w:b/>
          <w:bCs/>
          <w:rtl/>
        </w:rPr>
        <w:tab/>
      </w:r>
      <w:r>
        <w:rPr>
          <w:rFonts w:hint="cs"/>
          <w:b/>
          <w:bCs/>
          <w:rtl/>
        </w:rPr>
        <w:t xml:space="preserve">التعاون عبر </w:t>
      </w:r>
      <w:proofErr w:type="gramStart"/>
      <w:r>
        <w:rPr>
          <w:rFonts w:hint="cs"/>
          <w:b/>
          <w:bCs/>
          <w:rtl/>
        </w:rPr>
        <w:t>الحدود</w:t>
      </w:r>
      <w:proofErr w:type="gramEnd"/>
    </w:p>
    <w:p w:rsidR="00A840F7" w:rsidRPr="00A840F7" w:rsidRDefault="00A840F7" w:rsidP="00A840F7">
      <w:pPr>
        <w:pStyle w:val="NormalParaAR"/>
        <w:spacing w:after="480"/>
        <w:rPr>
          <w:b/>
          <w:bCs/>
          <w:rtl/>
        </w:rPr>
      </w:pPr>
      <w:r w:rsidRPr="00A840F7">
        <w:rPr>
          <w:rFonts w:hint="cs"/>
          <w:b/>
          <w:bCs/>
          <w:rtl/>
        </w:rPr>
        <w:t>10.</w:t>
      </w:r>
      <w:r w:rsidRPr="00A840F7">
        <w:rPr>
          <w:b/>
          <w:bCs/>
          <w:rtl/>
        </w:rPr>
        <w:tab/>
      </w:r>
      <w:proofErr w:type="gramStart"/>
      <w:r w:rsidRPr="00A840F7">
        <w:rPr>
          <w:rFonts w:hint="cs"/>
          <w:b/>
          <w:bCs/>
          <w:rtl/>
        </w:rPr>
        <w:t>المساعدة</w:t>
      </w:r>
      <w:proofErr w:type="gramEnd"/>
      <w:r w:rsidRPr="00A840F7">
        <w:rPr>
          <w:rFonts w:hint="cs"/>
          <w:b/>
          <w:bCs/>
          <w:rtl/>
        </w:rPr>
        <w:t xml:space="preserve"> التقنية والتعاون وتكوين الكفاءات</w:t>
      </w:r>
    </w:p>
    <w:p w:rsidR="00676537" w:rsidRPr="00F7688E" w:rsidRDefault="00A840F7" w:rsidP="00A840F7">
      <w:pPr>
        <w:pStyle w:val="EndofDocumentAR"/>
      </w:pPr>
      <w:r>
        <w:rPr>
          <w:rFonts w:hint="cs"/>
          <w:rtl/>
        </w:rPr>
        <w:t xml:space="preserve">[نهاية المرفق </w:t>
      </w:r>
      <w:proofErr w:type="gramStart"/>
      <w:r>
        <w:rPr>
          <w:rFonts w:hint="cs"/>
          <w:rtl/>
        </w:rPr>
        <w:t>والوثيقة</w:t>
      </w:r>
      <w:proofErr w:type="gramEnd"/>
      <w:r>
        <w:rPr>
          <w:rFonts w:hint="cs"/>
          <w:rtl/>
        </w:rPr>
        <w:t>]</w:t>
      </w:r>
    </w:p>
    <w:sectPr w:rsidR="00676537" w:rsidRPr="00F7688E" w:rsidSect="007F5540">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421" w:rsidRDefault="00811421">
      <w:r>
        <w:separator/>
      </w:r>
    </w:p>
  </w:endnote>
  <w:endnote w:type="continuationSeparator" w:id="0">
    <w:p w:rsidR="00811421" w:rsidRDefault="0081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421" w:rsidRDefault="00811421" w:rsidP="009622BF">
      <w:pPr>
        <w:bidi/>
      </w:pPr>
      <w:bookmarkStart w:id="0" w:name="OLE_LINK1"/>
      <w:bookmarkStart w:id="1" w:name="OLE_LINK2"/>
      <w:r>
        <w:separator/>
      </w:r>
      <w:bookmarkEnd w:id="0"/>
      <w:bookmarkEnd w:id="1"/>
    </w:p>
  </w:footnote>
  <w:footnote w:type="continuationSeparator" w:id="0">
    <w:p w:rsidR="00811421" w:rsidRDefault="00811421"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F77FC" w:rsidP="00D61541">
    <w:r>
      <w:fldChar w:fldCharType="begin"/>
    </w:r>
    <w:r>
      <w:instrText xml:space="preserve"> PAGE  \* MERGEFORMAT </w:instrText>
    </w:r>
    <w:r>
      <w:fldChar w:fldCharType="separate"/>
    </w:r>
    <w:r w:rsidR="00573389">
      <w:rPr>
        <w:noProof/>
      </w:rPr>
      <w:t>4</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540" w:rsidRDefault="007F5540" w:rsidP="00D61541">
    <w:r>
      <w:fldChar w:fldCharType="begin"/>
    </w:r>
    <w:r>
      <w:instrText xml:space="preserve"> PAGE   \* MERGEFORMAT </w:instrText>
    </w:r>
    <w:r>
      <w:fldChar w:fldCharType="separate"/>
    </w:r>
    <w:r w:rsidR="00573389">
      <w:rPr>
        <w:noProof/>
      </w:rPr>
      <w:t>2</w:t>
    </w:r>
    <w:r>
      <w:rPr>
        <w:noProof/>
      </w:rPr>
      <w:fldChar w:fldCharType="end"/>
    </w:r>
  </w:p>
  <w:p w:rsidR="007F5540" w:rsidRDefault="007F5540"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8E" w:rsidRDefault="00F7688E" w:rsidP="00F7688E">
    <w:pPr>
      <w:pStyle w:val="Header"/>
    </w:pPr>
    <w:r>
      <w:t>ANNEX</w:t>
    </w:r>
  </w:p>
  <w:p w:rsidR="00F7688E" w:rsidRPr="00F7688E" w:rsidRDefault="00F7688E" w:rsidP="00F7688E">
    <w:pPr>
      <w:pStyle w:val="Header"/>
      <w:bidi/>
      <w:jc w:val="right"/>
      <w:rPr>
        <w:rFonts w:ascii="Arabic Typesetting" w:hAnsi="Arabic Typesetting" w:cs="Arabic Typesetting"/>
        <w:sz w:val="36"/>
        <w:szCs w:val="36"/>
        <w:rtl/>
      </w:rPr>
    </w:pPr>
    <w:r w:rsidRPr="00F7688E">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E991900"/>
    <w:multiLevelType w:val="hybridMultilevel"/>
    <w:tmpl w:val="2DD00ADE"/>
    <w:lvl w:ilvl="0" w:tplc="53184AAC">
      <w:start w:val="4"/>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55462E"/>
    <w:multiLevelType w:val="hybridMultilevel"/>
    <w:tmpl w:val="37844F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571E61"/>
    <w:multiLevelType w:val="hybridMultilevel"/>
    <w:tmpl w:val="C980C148"/>
    <w:lvl w:ilvl="0" w:tplc="C324EBCE">
      <w:start w:val="4"/>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7214B97"/>
    <w:multiLevelType w:val="hybridMultilevel"/>
    <w:tmpl w:val="08AE79AA"/>
    <w:lvl w:ilvl="0" w:tplc="F6DACD86">
      <w:start w:val="4"/>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7"/>
  </w:num>
  <w:num w:numId="3">
    <w:abstractNumId w:val="10"/>
  </w:num>
  <w:num w:numId="4">
    <w:abstractNumId w:val="21"/>
  </w:num>
  <w:num w:numId="5">
    <w:abstractNumId w:val="8"/>
  </w:num>
  <w:num w:numId="6">
    <w:abstractNumId w:val="22"/>
  </w:num>
  <w:num w:numId="7">
    <w:abstractNumId w:val="14"/>
  </w:num>
  <w:num w:numId="8">
    <w:abstractNumId w:val="20"/>
  </w:num>
  <w:num w:numId="9">
    <w:abstractNumId w:val="19"/>
  </w:num>
  <w:num w:numId="10">
    <w:abstractNumId w:val="23"/>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 w:numId="22">
    <w:abstractNumId w:val="18"/>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2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377C8"/>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3CAD"/>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E9A"/>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28B5"/>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5A"/>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2EC2"/>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05C"/>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77C91"/>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5B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1BC4"/>
    <w:rsid w:val="0052212E"/>
    <w:rsid w:val="00522E91"/>
    <w:rsid w:val="0052302D"/>
    <w:rsid w:val="005236A5"/>
    <w:rsid w:val="00526462"/>
    <w:rsid w:val="005266BD"/>
    <w:rsid w:val="0052772D"/>
    <w:rsid w:val="00530442"/>
    <w:rsid w:val="00534AF0"/>
    <w:rsid w:val="00535060"/>
    <w:rsid w:val="00535738"/>
    <w:rsid w:val="005409EB"/>
    <w:rsid w:val="00540F30"/>
    <w:rsid w:val="005411C3"/>
    <w:rsid w:val="00541DD2"/>
    <w:rsid w:val="00542561"/>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65FB"/>
    <w:rsid w:val="005674C3"/>
    <w:rsid w:val="00567990"/>
    <w:rsid w:val="00567C4C"/>
    <w:rsid w:val="00570B8B"/>
    <w:rsid w:val="005728C8"/>
    <w:rsid w:val="00573389"/>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96B26"/>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227"/>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3CEE"/>
    <w:rsid w:val="005F6B68"/>
    <w:rsid w:val="005F6F2E"/>
    <w:rsid w:val="005F7D85"/>
    <w:rsid w:val="006011D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4FB0"/>
    <w:rsid w:val="006351AD"/>
    <w:rsid w:val="00635A2A"/>
    <w:rsid w:val="00636A63"/>
    <w:rsid w:val="00636C79"/>
    <w:rsid w:val="00636DCB"/>
    <w:rsid w:val="00636DE3"/>
    <w:rsid w:val="00636F89"/>
    <w:rsid w:val="0063700D"/>
    <w:rsid w:val="00637470"/>
    <w:rsid w:val="00637E13"/>
    <w:rsid w:val="00640D89"/>
    <w:rsid w:val="00640F58"/>
    <w:rsid w:val="006410A8"/>
    <w:rsid w:val="00641203"/>
    <w:rsid w:val="00641776"/>
    <w:rsid w:val="0064656E"/>
    <w:rsid w:val="00646DF5"/>
    <w:rsid w:val="00650397"/>
    <w:rsid w:val="006507E8"/>
    <w:rsid w:val="00650C73"/>
    <w:rsid w:val="00651143"/>
    <w:rsid w:val="00651959"/>
    <w:rsid w:val="0065230D"/>
    <w:rsid w:val="00653149"/>
    <w:rsid w:val="006531E4"/>
    <w:rsid w:val="00654505"/>
    <w:rsid w:val="006575ED"/>
    <w:rsid w:val="006578FD"/>
    <w:rsid w:val="00660060"/>
    <w:rsid w:val="006609AA"/>
    <w:rsid w:val="00662399"/>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537"/>
    <w:rsid w:val="0067663E"/>
    <w:rsid w:val="00676EAF"/>
    <w:rsid w:val="00677850"/>
    <w:rsid w:val="00680657"/>
    <w:rsid w:val="00680BD9"/>
    <w:rsid w:val="00681B4A"/>
    <w:rsid w:val="00681D07"/>
    <w:rsid w:val="00681EDA"/>
    <w:rsid w:val="00682017"/>
    <w:rsid w:val="00682AAD"/>
    <w:rsid w:val="006868CA"/>
    <w:rsid w:val="00686E32"/>
    <w:rsid w:val="00687454"/>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4DB7"/>
    <w:rsid w:val="00715129"/>
    <w:rsid w:val="007154CE"/>
    <w:rsid w:val="00715B25"/>
    <w:rsid w:val="00716020"/>
    <w:rsid w:val="00720860"/>
    <w:rsid w:val="00721087"/>
    <w:rsid w:val="00721530"/>
    <w:rsid w:val="00723422"/>
    <w:rsid w:val="00724D0E"/>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4C6"/>
    <w:rsid w:val="00792F0C"/>
    <w:rsid w:val="00795460"/>
    <w:rsid w:val="00796CF7"/>
    <w:rsid w:val="007A0313"/>
    <w:rsid w:val="007A0A83"/>
    <w:rsid w:val="007A4BB3"/>
    <w:rsid w:val="007A6307"/>
    <w:rsid w:val="007A6822"/>
    <w:rsid w:val="007A724D"/>
    <w:rsid w:val="007A749D"/>
    <w:rsid w:val="007A7B37"/>
    <w:rsid w:val="007B024C"/>
    <w:rsid w:val="007B1C4C"/>
    <w:rsid w:val="007B23C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6FD4"/>
    <w:rsid w:val="007E09E2"/>
    <w:rsid w:val="007E0FF5"/>
    <w:rsid w:val="007E1012"/>
    <w:rsid w:val="007E17CD"/>
    <w:rsid w:val="007E24ED"/>
    <w:rsid w:val="007E374B"/>
    <w:rsid w:val="007E39DE"/>
    <w:rsid w:val="007E3F53"/>
    <w:rsid w:val="007E7997"/>
    <w:rsid w:val="007E7B47"/>
    <w:rsid w:val="007F04EF"/>
    <w:rsid w:val="007F342F"/>
    <w:rsid w:val="007F38D1"/>
    <w:rsid w:val="007F5540"/>
    <w:rsid w:val="007F56BB"/>
    <w:rsid w:val="007F63CE"/>
    <w:rsid w:val="007F6EA4"/>
    <w:rsid w:val="008002A5"/>
    <w:rsid w:val="0080050E"/>
    <w:rsid w:val="00801329"/>
    <w:rsid w:val="00801424"/>
    <w:rsid w:val="00801AA4"/>
    <w:rsid w:val="00801B7E"/>
    <w:rsid w:val="008021B9"/>
    <w:rsid w:val="00806E68"/>
    <w:rsid w:val="00807FC3"/>
    <w:rsid w:val="00810034"/>
    <w:rsid w:val="00811421"/>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2D4A"/>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2FEE"/>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1AEB"/>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6BC6"/>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3D3A"/>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00F5"/>
    <w:rsid w:val="00A61365"/>
    <w:rsid w:val="00A61759"/>
    <w:rsid w:val="00A61B88"/>
    <w:rsid w:val="00A62C70"/>
    <w:rsid w:val="00A63982"/>
    <w:rsid w:val="00A65845"/>
    <w:rsid w:val="00A65A41"/>
    <w:rsid w:val="00A666AA"/>
    <w:rsid w:val="00A671FC"/>
    <w:rsid w:val="00A70295"/>
    <w:rsid w:val="00A71670"/>
    <w:rsid w:val="00A72874"/>
    <w:rsid w:val="00A72E48"/>
    <w:rsid w:val="00A7359C"/>
    <w:rsid w:val="00A73616"/>
    <w:rsid w:val="00A76648"/>
    <w:rsid w:val="00A76DF7"/>
    <w:rsid w:val="00A77523"/>
    <w:rsid w:val="00A83454"/>
    <w:rsid w:val="00A840F7"/>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0A9"/>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A9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0011"/>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0E41"/>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A7C6C"/>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1587"/>
    <w:rsid w:val="00D329B9"/>
    <w:rsid w:val="00D33412"/>
    <w:rsid w:val="00D3482C"/>
    <w:rsid w:val="00D3664C"/>
    <w:rsid w:val="00D3683A"/>
    <w:rsid w:val="00D37468"/>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0CB"/>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8FC"/>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543"/>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2ECB"/>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A6EA1"/>
    <w:rsid w:val="00EB24F2"/>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88E"/>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54D3"/>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F7688E"/>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F7688E"/>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8A861-6B0A-44D8-B933-C45F1373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GRTKF_IC_29_AR.dotx</Template>
  <TotalTime>1</TotalTime>
  <Pages>6</Pages>
  <Words>1179</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WIPO/GRTKF/IC/29/-- (Arabic)</vt:lpstr>
    </vt:vector>
  </TitlesOfParts>
  <Company>World Intellectual Property Organization</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 (Arabic)</dc:title>
  <dc:creator>MERZOUK Fawzi</dc:creator>
  <cp:lastModifiedBy>YOUSSEF Randa</cp:lastModifiedBy>
  <cp:revision>3</cp:revision>
  <cp:lastPrinted>2016-02-22T13:29:00Z</cp:lastPrinted>
  <dcterms:created xsi:type="dcterms:W3CDTF">2016-02-22T13:29:00Z</dcterms:created>
  <dcterms:modified xsi:type="dcterms:W3CDTF">2016-02-22T13:29:00Z</dcterms:modified>
</cp:coreProperties>
</file>