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6011D1">
            <w:pPr>
              <w:pStyle w:val="DocumentCodeAR"/>
              <w:bidi/>
              <w:rPr>
                <w:rtl/>
              </w:rPr>
            </w:pPr>
            <w:r>
              <w:t>WIPO/GRTKF/IC</w:t>
            </w:r>
            <w:r w:rsidR="00100F97">
              <w:t>/</w:t>
            </w:r>
            <w:r w:rsidR="00B42A9E">
              <w:t>2</w:t>
            </w:r>
            <w:r w:rsidR="006011D1">
              <w:t>7</w:t>
            </w:r>
            <w:r w:rsidR="008153D4">
              <w:t>/</w:t>
            </w:r>
            <w:r w:rsidR="000E6B72">
              <w:t>INF/</w:t>
            </w:r>
            <w:r w:rsidR="008153D4">
              <w:t>10</w:t>
            </w:r>
          </w:p>
        </w:tc>
      </w:tr>
      <w:tr w:rsidR="001667B6" w:rsidTr="00BF164F">
        <w:tc>
          <w:tcPr>
            <w:tcW w:w="9571" w:type="dxa"/>
            <w:gridSpan w:val="3"/>
          </w:tcPr>
          <w:p w:rsidR="001667B6" w:rsidRPr="00B6101C" w:rsidRDefault="00B6101C" w:rsidP="008153D4">
            <w:pPr>
              <w:pStyle w:val="DocumentLanguageAR"/>
              <w:bidi/>
              <w:rPr>
                <w:rtl/>
              </w:rPr>
            </w:pPr>
            <w:r w:rsidRPr="00B6101C">
              <w:rPr>
                <w:rFonts w:hint="cs"/>
                <w:rtl/>
              </w:rPr>
              <w:t xml:space="preserve">الأصل: </w:t>
            </w:r>
            <w:r w:rsidR="008153D4">
              <w:rPr>
                <w:rFonts w:hint="cs"/>
                <w:rtl/>
              </w:rPr>
              <w:t>بالإنكليزية</w:t>
            </w:r>
          </w:p>
        </w:tc>
      </w:tr>
      <w:tr w:rsidR="001667B6" w:rsidTr="00BF164F">
        <w:tc>
          <w:tcPr>
            <w:tcW w:w="9571" w:type="dxa"/>
            <w:gridSpan w:val="3"/>
          </w:tcPr>
          <w:p w:rsidR="001667B6" w:rsidRPr="00B6101C" w:rsidRDefault="00B6101C" w:rsidP="008153D4">
            <w:pPr>
              <w:pStyle w:val="DocumentDateAR"/>
              <w:bidi/>
              <w:rPr>
                <w:rtl/>
              </w:rPr>
            </w:pPr>
            <w:r w:rsidRPr="00B6101C">
              <w:rPr>
                <w:rFonts w:hint="cs"/>
                <w:rtl/>
              </w:rPr>
              <w:t xml:space="preserve">التاريخ: </w:t>
            </w:r>
            <w:r w:rsidR="008153D4">
              <w:rPr>
                <w:rFonts w:hint="cs"/>
                <w:rtl/>
              </w:rPr>
              <w:t>12</w:t>
            </w:r>
            <w:r w:rsidRPr="00B6101C">
              <w:rPr>
                <w:rFonts w:hint="cs"/>
                <w:rtl/>
              </w:rPr>
              <w:t xml:space="preserve"> </w:t>
            </w:r>
            <w:r w:rsidR="008153D4">
              <w:rPr>
                <w:rFonts w:hint="cs"/>
                <w:rtl/>
              </w:rPr>
              <w:t>مارس</w:t>
            </w:r>
            <w:r w:rsidRPr="00B6101C">
              <w:rPr>
                <w:rFonts w:hint="cs"/>
                <w:rtl/>
              </w:rPr>
              <w:t xml:space="preserve"> </w:t>
            </w:r>
            <w:r w:rsidR="00190B6D">
              <w:rPr>
                <w:rFonts w:hint="cs"/>
                <w:rtl/>
              </w:rPr>
              <w:t>201</w:t>
            </w:r>
            <w:r w:rsidR="00B42A9E">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011D1">
      <w:pPr>
        <w:pStyle w:val="MeetingSessionAR"/>
        <w:bidi/>
        <w:rPr>
          <w:rFonts w:ascii="Cambria Math" w:hAnsi="Cambria Math"/>
          <w:rtl/>
        </w:rPr>
      </w:pPr>
      <w:r w:rsidRPr="00783D11">
        <w:rPr>
          <w:rFonts w:ascii="Cambria Math" w:hAnsi="Cambria Math"/>
          <w:rtl/>
        </w:rPr>
        <w:t xml:space="preserve">الدورة </w:t>
      </w:r>
      <w:r w:rsidR="00B42A9E">
        <w:rPr>
          <w:rFonts w:ascii="Cambria Math" w:hAnsi="Cambria Math" w:hint="cs"/>
          <w:rtl/>
        </w:rPr>
        <w:t>السا</w:t>
      </w:r>
      <w:r w:rsidR="006011D1">
        <w:rPr>
          <w:rFonts w:ascii="Cambria Math" w:hAnsi="Cambria Math" w:hint="cs"/>
          <w:rtl/>
          <w:lang w:val="fr-CH"/>
        </w:rPr>
        <w:t>بع</w:t>
      </w:r>
      <w:r w:rsidR="00B42A9E">
        <w:rPr>
          <w:rFonts w:ascii="Cambria Math" w:hAnsi="Cambria Math" w:hint="cs"/>
          <w:rtl/>
        </w:rPr>
        <w:t>ة</w:t>
      </w:r>
      <w:r w:rsidR="00772E46">
        <w:rPr>
          <w:rFonts w:ascii="Cambria Math" w:hAnsi="Cambria Math" w:hint="cs"/>
          <w:rtl/>
        </w:rPr>
        <w:t xml:space="preserve"> والعشرون</w:t>
      </w:r>
    </w:p>
    <w:p w:rsidR="00D61541" w:rsidRPr="00D61541" w:rsidRDefault="00D61541" w:rsidP="006011D1">
      <w:pPr>
        <w:pStyle w:val="MeetingDatesAR"/>
        <w:bidi/>
        <w:rPr>
          <w:rtl/>
        </w:rPr>
      </w:pPr>
      <w:r w:rsidRPr="00D61541">
        <w:rPr>
          <w:rFonts w:hint="cs"/>
          <w:rtl/>
        </w:rPr>
        <w:t xml:space="preserve">جنيف، من </w:t>
      </w:r>
      <w:r w:rsidR="006011D1">
        <w:rPr>
          <w:rFonts w:hint="cs"/>
          <w:rtl/>
        </w:rPr>
        <w:t>24</w:t>
      </w:r>
      <w:r w:rsidR="00100F97">
        <w:rPr>
          <w:rFonts w:hint="cs"/>
          <w:rtl/>
        </w:rPr>
        <w:t xml:space="preserve"> </w:t>
      </w:r>
      <w:r w:rsidR="006011D1">
        <w:rPr>
          <w:rFonts w:hint="cs"/>
          <w:rtl/>
        </w:rPr>
        <w:t xml:space="preserve">مارس </w:t>
      </w:r>
      <w:r w:rsidR="00100F97">
        <w:rPr>
          <w:rFonts w:hint="cs"/>
          <w:rtl/>
        </w:rPr>
        <w:t xml:space="preserve">إلى </w:t>
      </w:r>
      <w:r w:rsidR="006011D1">
        <w:rPr>
          <w:rFonts w:hint="cs"/>
          <w:rtl/>
        </w:rPr>
        <w:t>4</w:t>
      </w:r>
      <w:r w:rsidR="00783D11">
        <w:rPr>
          <w:rFonts w:hint="cs"/>
          <w:rtl/>
        </w:rPr>
        <w:t xml:space="preserve"> </w:t>
      </w:r>
      <w:r w:rsidR="006011D1">
        <w:rPr>
          <w:rFonts w:hint="cs"/>
          <w:rtl/>
        </w:rPr>
        <w:t xml:space="preserve">أبريل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E3BCD" w:rsidP="00B0073B">
      <w:pPr>
        <w:pStyle w:val="DocumentTitleAR"/>
        <w:bidi/>
        <w:rPr>
          <w:rtl/>
        </w:rPr>
      </w:pPr>
      <w:r>
        <w:rPr>
          <w:rtl/>
        </w:rPr>
        <w:t>المعارف التقليدية و</w:t>
      </w:r>
      <w:r>
        <w:rPr>
          <w:rFonts w:hint="cs"/>
          <w:rtl/>
        </w:rPr>
        <w:t xml:space="preserve">أشكال التعبير الثقافي التقليدي: بعض </w:t>
      </w:r>
      <w:r w:rsidR="00B0073B">
        <w:rPr>
          <w:rFonts w:hint="cs"/>
          <w:rtl/>
        </w:rPr>
        <w:t>القضايا</w:t>
      </w:r>
      <w:r>
        <w:rPr>
          <w:rFonts w:hint="cs"/>
          <w:rtl/>
        </w:rPr>
        <w:t xml:space="preserve"> </w:t>
      </w:r>
      <w:r w:rsidR="00B0073B">
        <w:rPr>
          <w:rFonts w:hint="cs"/>
          <w:rtl/>
        </w:rPr>
        <w:t>المتداخلة</w:t>
      </w:r>
      <w:r>
        <w:rPr>
          <w:rFonts w:hint="cs"/>
          <w:rtl/>
        </w:rPr>
        <w:t xml:space="preserve"> المقترحة</w:t>
      </w:r>
    </w:p>
    <w:p w:rsidR="00D61541" w:rsidRPr="00D61541" w:rsidRDefault="00D61541" w:rsidP="00AE3BCD">
      <w:pPr>
        <w:pStyle w:val="PreparedbyAR"/>
        <w:bidi/>
        <w:rPr>
          <w:rtl/>
        </w:rPr>
      </w:pPr>
      <w:r w:rsidRPr="00D61541">
        <w:rPr>
          <w:rFonts w:hint="cs"/>
          <w:rtl/>
        </w:rPr>
        <w:t xml:space="preserve">من </w:t>
      </w:r>
      <w:r w:rsidRPr="00931859">
        <w:rPr>
          <w:rFonts w:hint="cs"/>
          <w:rtl/>
        </w:rPr>
        <w:t>إعداد</w:t>
      </w:r>
      <w:r w:rsidR="00AE3BCD">
        <w:rPr>
          <w:rFonts w:hint="cs"/>
          <w:rtl/>
        </w:rPr>
        <w:t xml:space="preserve"> سعادة السفير واين ماكوك، رئيس </w:t>
      </w:r>
      <w:r w:rsidR="00AE3BCD" w:rsidRPr="00AE3BCD">
        <w:rPr>
          <w:rtl/>
        </w:rPr>
        <w:t>اللجنة الحكومية الدولية المعنية بالملكية الفكرية والموارد الوراثية والمعارف التقليدية والفولكلور</w:t>
      </w:r>
    </w:p>
    <w:p w:rsidR="006011D1" w:rsidRDefault="002A5D1E" w:rsidP="004E2D68">
      <w:pPr>
        <w:pStyle w:val="NumberedParaAR"/>
      </w:pPr>
      <w:r>
        <w:rPr>
          <w:rFonts w:hint="cs"/>
          <w:rtl/>
        </w:rPr>
        <w:t>طبقا</w:t>
      </w:r>
      <w:r w:rsidR="00383D0E">
        <w:rPr>
          <w:rFonts w:hint="cs"/>
          <w:rtl/>
        </w:rPr>
        <w:t xml:space="preserve"> لبرنامج عمل </w:t>
      </w:r>
      <w:r w:rsidR="00383D0E" w:rsidRPr="00383D0E">
        <w:rPr>
          <w:rtl/>
        </w:rPr>
        <w:t>اللجنة الحكومية الدولية المعنية بالملكية الفكرية والموارد الوراثية والمعارف التقليدية والفولكلور</w:t>
      </w:r>
      <w:r w:rsidR="00383D0E">
        <w:rPr>
          <w:rFonts w:hint="cs"/>
          <w:rtl/>
        </w:rPr>
        <w:t xml:space="preserve">(اللجنة) لعام 2014، ستنطوي الدورة السابعة والعشرون للجنة على النظر في </w:t>
      </w:r>
      <w:r w:rsidR="004E2D68">
        <w:rPr>
          <w:rFonts w:hint="cs"/>
          <w:rtl/>
        </w:rPr>
        <w:t>القضايا</w:t>
      </w:r>
      <w:r w:rsidR="00383D0E">
        <w:rPr>
          <w:rFonts w:hint="cs"/>
          <w:rtl/>
        </w:rPr>
        <w:t xml:space="preserve"> </w:t>
      </w:r>
      <w:r w:rsidR="004E2D68">
        <w:rPr>
          <w:rFonts w:hint="cs"/>
          <w:rtl/>
        </w:rPr>
        <w:t>المتداخلة</w:t>
      </w:r>
      <w:r w:rsidR="00383D0E">
        <w:rPr>
          <w:rFonts w:hint="cs"/>
          <w:rtl/>
        </w:rPr>
        <w:t xml:space="preserve"> </w:t>
      </w:r>
      <w:r w:rsidR="004E2D68">
        <w:rPr>
          <w:rFonts w:hint="cs"/>
          <w:rtl/>
        </w:rPr>
        <w:t>المرتبطة</w:t>
      </w:r>
      <w:r w:rsidR="00383D0E">
        <w:rPr>
          <w:rFonts w:hint="cs"/>
          <w:rtl/>
        </w:rPr>
        <w:t xml:space="preserve"> بالمعارف التقليدية وأشكال التعبير الثقافي التقليدي.</w:t>
      </w:r>
    </w:p>
    <w:p w:rsidR="00383D0E" w:rsidRDefault="00383D0E" w:rsidP="00F76AD0">
      <w:pPr>
        <w:pStyle w:val="NumberedParaAR"/>
      </w:pPr>
      <w:r>
        <w:rPr>
          <w:rFonts w:hint="cs"/>
          <w:rtl/>
        </w:rPr>
        <w:t xml:space="preserve">ولهذا الغرض </w:t>
      </w:r>
      <w:r w:rsidR="00FE1B21">
        <w:rPr>
          <w:rFonts w:hint="cs"/>
          <w:rtl/>
        </w:rPr>
        <w:t>أعدّ</w:t>
      </w:r>
      <w:r>
        <w:rPr>
          <w:rFonts w:hint="cs"/>
          <w:rtl/>
        </w:rPr>
        <w:t xml:space="preserve"> رئيس اللجنة، سعادة السفير واي ماكوك، ورقة غير رسمية تبرز وجهات نظر الرئيس بشأن بعض </w:t>
      </w:r>
      <w:r w:rsidR="00EC1111">
        <w:rPr>
          <w:rFonts w:hint="cs"/>
          <w:rtl/>
        </w:rPr>
        <w:t xml:space="preserve">من </w:t>
      </w:r>
      <w:r w:rsidR="004E2D68">
        <w:rPr>
          <w:rFonts w:hint="cs"/>
          <w:rtl/>
        </w:rPr>
        <w:t>القضايا</w:t>
      </w:r>
      <w:r>
        <w:rPr>
          <w:rFonts w:hint="cs"/>
          <w:rtl/>
        </w:rPr>
        <w:t xml:space="preserve"> </w:t>
      </w:r>
      <w:r w:rsidR="004E2D68">
        <w:rPr>
          <w:rFonts w:hint="cs"/>
          <w:rtl/>
        </w:rPr>
        <w:t>المتداخلة</w:t>
      </w:r>
      <w:r>
        <w:rPr>
          <w:rFonts w:hint="cs"/>
          <w:rtl/>
        </w:rPr>
        <w:t xml:space="preserve"> </w:t>
      </w:r>
      <w:r w:rsidR="00EC1111">
        <w:rPr>
          <w:rFonts w:hint="cs"/>
          <w:rtl/>
        </w:rPr>
        <w:t xml:space="preserve">المحتملة </w:t>
      </w:r>
      <w:r w:rsidR="004E2D68">
        <w:rPr>
          <w:rFonts w:hint="cs"/>
          <w:rtl/>
        </w:rPr>
        <w:t>المرتبطة</w:t>
      </w:r>
      <w:r w:rsidR="00F76AD0">
        <w:rPr>
          <w:rFonts w:hint="cs"/>
          <w:rtl/>
        </w:rPr>
        <w:t xml:space="preserve"> بالمعارف التقليدية/</w:t>
      </w:r>
      <w:r>
        <w:rPr>
          <w:rFonts w:hint="cs"/>
          <w:rtl/>
        </w:rPr>
        <w:t>أشكال التعبير الثقافي التقليدي. وتتضمن ورق</w:t>
      </w:r>
      <w:r w:rsidR="00F76AD0">
        <w:rPr>
          <w:rFonts w:hint="cs"/>
          <w:rtl/>
        </w:rPr>
        <w:t>ة الرئيس غير الرسمية جدولا يعرض</w:t>
      </w:r>
      <w:r>
        <w:rPr>
          <w:rFonts w:hint="cs"/>
          <w:rtl/>
        </w:rPr>
        <w:t xml:space="preserve">، </w:t>
      </w:r>
      <w:r w:rsidR="00F76AD0">
        <w:rPr>
          <w:rFonts w:hint="cs"/>
          <w:rtl/>
        </w:rPr>
        <w:t>جنبا إلى جنب</w:t>
      </w:r>
      <w:r>
        <w:rPr>
          <w:rFonts w:hint="cs"/>
          <w:rtl/>
        </w:rPr>
        <w:t>، أحكام الوثيقتين</w:t>
      </w:r>
      <w:r w:rsidR="0063143B">
        <w:rPr>
          <w:rFonts w:hint="cs"/>
          <w:rtl/>
        </w:rPr>
        <w:t xml:space="preserve"> </w:t>
      </w:r>
      <w:r w:rsidR="0063143B" w:rsidRPr="0063143B">
        <w:t>WIPO/GRTKF/IC/27/4</w:t>
      </w:r>
      <w:r w:rsidR="0063143B">
        <w:rPr>
          <w:rFonts w:hint="cs"/>
          <w:rtl/>
        </w:rPr>
        <w:t xml:space="preserve"> ("</w:t>
      </w:r>
      <w:r w:rsidR="0063143B" w:rsidRPr="0063143B">
        <w:rPr>
          <w:rtl/>
        </w:rPr>
        <w:t>حماية المعارف التقليدية: مشروع مواد</w:t>
      </w:r>
      <w:r w:rsidR="0063143B">
        <w:rPr>
          <w:rFonts w:hint="cs"/>
          <w:rtl/>
        </w:rPr>
        <w:t>") و</w:t>
      </w:r>
      <w:r w:rsidR="0063143B" w:rsidRPr="0063143B">
        <w:t>WIPO/GRTKF/IC/27/5</w:t>
      </w:r>
      <w:r w:rsidR="00F76AD0">
        <w:rPr>
          <w:rFonts w:hint="cs"/>
          <w:rtl/>
        </w:rPr>
        <w:t xml:space="preserve"> </w:t>
      </w:r>
      <w:r w:rsidR="0063143B">
        <w:rPr>
          <w:rFonts w:hint="cs"/>
          <w:rtl/>
        </w:rPr>
        <w:t>("</w:t>
      </w:r>
      <w:r w:rsidR="0063143B" w:rsidRPr="0063143B">
        <w:rPr>
          <w:rtl/>
        </w:rPr>
        <w:t>حماية أشكال التعبير الثقافي التقليدي: مشروع مواد</w:t>
      </w:r>
      <w:r w:rsidR="0063143B">
        <w:rPr>
          <w:rFonts w:hint="cs"/>
          <w:rtl/>
        </w:rPr>
        <w:t>").</w:t>
      </w:r>
      <w:r w:rsidR="00F76AD0">
        <w:rPr>
          <w:rFonts w:hint="cs"/>
          <w:rtl/>
        </w:rPr>
        <w:t xml:space="preserve"> </w:t>
      </w:r>
      <w:r w:rsidR="0063143B">
        <w:rPr>
          <w:rFonts w:hint="cs"/>
          <w:rtl/>
        </w:rPr>
        <w:t>وأعِدّ</w:t>
      </w:r>
      <w:r w:rsidR="00F76AD0">
        <w:rPr>
          <w:rFonts w:hint="cs"/>
          <w:rtl/>
        </w:rPr>
        <w:t xml:space="preserve">ت الورقة غير الرسمية </w:t>
      </w:r>
      <w:r w:rsidR="0063143B">
        <w:rPr>
          <w:rFonts w:hint="cs"/>
          <w:rtl/>
        </w:rPr>
        <w:t xml:space="preserve">لتيسير المقارنة بين الوثيقتين المذكورتين. وبناء على طلب الرئيس ستعدّ الأمانة نسخا من الورقة غير الرسمية </w:t>
      </w:r>
      <w:proofErr w:type="spellStart"/>
      <w:r w:rsidR="0063143B">
        <w:rPr>
          <w:rFonts w:hint="cs"/>
          <w:rtl/>
        </w:rPr>
        <w:t>وتتيحها</w:t>
      </w:r>
      <w:proofErr w:type="spellEnd"/>
      <w:r w:rsidR="0063143B">
        <w:rPr>
          <w:rFonts w:hint="cs"/>
          <w:rtl/>
        </w:rPr>
        <w:t xml:space="preserve"> للمشاركين في اللجنة.</w:t>
      </w:r>
    </w:p>
    <w:p w:rsidR="0063143B" w:rsidRDefault="0063143B" w:rsidP="0063143B">
      <w:pPr>
        <w:pStyle w:val="NumberedParaAR"/>
      </w:pPr>
      <w:r>
        <w:rPr>
          <w:rFonts w:hint="cs"/>
          <w:rtl/>
        </w:rPr>
        <w:t>كما أعدّ الرئيس ملخصا عن الورقة غير الرسمية يرد في مرفق هذه الوثيقة.</w:t>
      </w:r>
    </w:p>
    <w:p w:rsidR="0063143B" w:rsidRDefault="0063143B" w:rsidP="0063143B">
      <w:pPr>
        <w:pStyle w:val="DecisionParaAR"/>
      </w:pPr>
      <w:r>
        <w:rPr>
          <w:rFonts w:hint="cs"/>
          <w:rtl/>
        </w:rPr>
        <w:t>إن اللجنة مدعوة إلى الإحاطة علما بهذه الوثيقة ومرفقها.</w:t>
      </w:r>
    </w:p>
    <w:p w:rsidR="00D16AD1" w:rsidRDefault="0063143B" w:rsidP="0063143B">
      <w:pPr>
        <w:pStyle w:val="EndofDocumentAR"/>
        <w:rPr>
          <w:rtl/>
        </w:rPr>
        <w:sectPr w:rsidR="00D16AD1"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63143B" w:rsidRPr="00FE1B21" w:rsidRDefault="00B909AA" w:rsidP="004E2D68">
      <w:pPr>
        <w:pStyle w:val="NormalParaAR"/>
        <w:jc w:val="center"/>
        <w:rPr>
          <w:sz w:val="40"/>
          <w:szCs w:val="40"/>
          <w:rtl/>
        </w:rPr>
      </w:pPr>
      <w:r w:rsidRPr="00FE1B21">
        <w:rPr>
          <w:rFonts w:hint="cs"/>
          <w:sz w:val="40"/>
          <w:szCs w:val="40"/>
          <w:rtl/>
        </w:rPr>
        <w:lastRenderedPageBreak/>
        <w:t xml:space="preserve">ملخص الورقة غير الرسمية التي أعدّها الرئيس بشأن </w:t>
      </w:r>
      <w:r w:rsidR="004E2D68">
        <w:rPr>
          <w:rFonts w:hint="cs"/>
          <w:sz w:val="40"/>
          <w:szCs w:val="40"/>
          <w:rtl/>
        </w:rPr>
        <w:t>القضايا</w:t>
      </w:r>
      <w:r w:rsidR="00FE1B21" w:rsidRPr="00FE1B21">
        <w:rPr>
          <w:rFonts w:hint="cs"/>
          <w:sz w:val="40"/>
          <w:szCs w:val="40"/>
          <w:rtl/>
        </w:rPr>
        <w:t xml:space="preserve"> </w:t>
      </w:r>
      <w:r w:rsidR="004E2D68">
        <w:rPr>
          <w:rFonts w:hint="cs"/>
          <w:sz w:val="40"/>
          <w:szCs w:val="40"/>
          <w:rtl/>
        </w:rPr>
        <w:t>المرتبطة</w:t>
      </w:r>
      <w:r w:rsidR="00FE1B21" w:rsidRPr="00FE1B21">
        <w:rPr>
          <w:rFonts w:hint="cs"/>
          <w:sz w:val="40"/>
          <w:szCs w:val="40"/>
          <w:rtl/>
        </w:rPr>
        <w:t xml:space="preserve"> بالمعارف التقليدية وأشكال التعبير الثقافي التقليدي</w:t>
      </w:r>
    </w:p>
    <w:p w:rsidR="00FE1B21" w:rsidRDefault="00C46097" w:rsidP="004E2D68">
      <w:pPr>
        <w:pStyle w:val="NumberedParaAR"/>
        <w:numPr>
          <w:ilvl w:val="0"/>
          <w:numId w:val="21"/>
        </w:numPr>
      </w:pPr>
      <w:r>
        <w:rPr>
          <w:rFonts w:hint="cs"/>
          <w:rtl/>
        </w:rPr>
        <w:t xml:space="preserve">حدّدت اللجنة ، سابقا، أربع </w:t>
      </w:r>
      <w:r w:rsidR="004E2D68">
        <w:rPr>
          <w:rFonts w:hint="cs"/>
          <w:rtl/>
        </w:rPr>
        <w:t>قضايا</w:t>
      </w:r>
      <w:r>
        <w:rPr>
          <w:rFonts w:hint="cs"/>
          <w:rtl/>
        </w:rPr>
        <w:t xml:space="preserve"> تتعلق بالسياسة العامة واتفقت على ضرورة منحها الأولوية في سلمّ </w:t>
      </w:r>
      <w:r w:rsidR="004E2D68">
        <w:rPr>
          <w:rFonts w:hint="cs"/>
          <w:rtl/>
        </w:rPr>
        <w:t>القضايا</w:t>
      </w:r>
      <w:r>
        <w:rPr>
          <w:rFonts w:hint="cs"/>
          <w:rtl/>
        </w:rPr>
        <w:t xml:space="preserve"> التي تستدعي الاهتمام، وتلك </w:t>
      </w:r>
      <w:r w:rsidR="004E2D68">
        <w:rPr>
          <w:rFonts w:hint="cs"/>
          <w:rtl/>
        </w:rPr>
        <w:t>القضايا</w:t>
      </w:r>
      <w:r>
        <w:rPr>
          <w:rFonts w:hint="cs"/>
          <w:rtl/>
        </w:rPr>
        <w:t xml:space="preserve"> هي: موضوع الحماية، والمستفيدون، ونطاق الحماية، والاستثناءات والتقييدات.</w:t>
      </w:r>
    </w:p>
    <w:p w:rsidR="00C46097" w:rsidRDefault="00B0073B" w:rsidP="004E2D68">
      <w:pPr>
        <w:pStyle w:val="NumberedParaAR"/>
        <w:numPr>
          <w:ilvl w:val="0"/>
          <w:numId w:val="21"/>
        </w:numPr>
      </w:pPr>
      <w:r>
        <w:rPr>
          <w:rFonts w:hint="cs"/>
          <w:rtl/>
        </w:rPr>
        <w:t xml:space="preserve">وفي الماضي، كانت اللجنة تنظر في تلك </w:t>
      </w:r>
      <w:r w:rsidR="004E2D68">
        <w:rPr>
          <w:rFonts w:hint="cs"/>
          <w:rtl/>
        </w:rPr>
        <w:t>القضايا</w:t>
      </w:r>
      <w:r>
        <w:rPr>
          <w:rFonts w:hint="cs"/>
          <w:rtl/>
        </w:rPr>
        <w:t xml:space="preserve"> المتعلقة بالسياسة العامة بشكل منفصل، ومواز في آن واحد، فيما يتصل بالمعارف التقليدية وأشكال التعبير الثقافي التقليدي. وبالنظر إلى أوجه التشابه الموجودة بين مشروع المواد الخاصة بالمعارف التقليدية ومشروع المواد الخاصة</w:t>
      </w:r>
      <w:r w:rsidRPr="00B0073B">
        <w:rPr>
          <w:rFonts w:hint="cs"/>
          <w:rtl/>
        </w:rPr>
        <w:t xml:space="preserve"> </w:t>
      </w:r>
      <w:r>
        <w:rPr>
          <w:rFonts w:hint="cs"/>
          <w:rtl/>
        </w:rPr>
        <w:t>بأشكال التعبير الثقافي التقليدي طلبت الجمعية العامة، لأوّل مرّة، أن يُنظر في "</w:t>
      </w:r>
      <w:r w:rsidR="004E2D68">
        <w:rPr>
          <w:rFonts w:hint="cs"/>
          <w:rtl/>
        </w:rPr>
        <w:t>القضايا</w:t>
      </w:r>
      <w:r>
        <w:rPr>
          <w:rFonts w:hint="cs"/>
          <w:rtl/>
        </w:rPr>
        <w:t xml:space="preserve"> </w:t>
      </w:r>
      <w:r w:rsidR="004E2D68">
        <w:rPr>
          <w:rFonts w:hint="cs"/>
          <w:rtl/>
        </w:rPr>
        <w:t>المتداخلة</w:t>
      </w:r>
      <w:r>
        <w:rPr>
          <w:rFonts w:hint="cs"/>
          <w:rtl/>
        </w:rPr>
        <w:t xml:space="preserve"> </w:t>
      </w:r>
      <w:r w:rsidR="004E2D68">
        <w:rPr>
          <w:rFonts w:hint="cs"/>
          <w:rtl/>
        </w:rPr>
        <w:t>المرتبطة</w:t>
      </w:r>
      <w:r w:rsidR="00051A57">
        <w:rPr>
          <w:rFonts w:hint="cs"/>
          <w:rtl/>
        </w:rPr>
        <w:t xml:space="preserve"> بالمعارف التقليدية/</w:t>
      </w:r>
      <w:r>
        <w:rPr>
          <w:rFonts w:hint="cs"/>
          <w:rtl/>
        </w:rPr>
        <w:t>أشكال التعبير الثقافي التقليدي."</w:t>
      </w:r>
    </w:p>
    <w:p w:rsidR="004E2D68" w:rsidRDefault="00051A57" w:rsidP="00CF6E94">
      <w:pPr>
        <w:pStyle w:val="NumberedParaAR"/>
        <w:numPr>
          <w:ilvl w:val="0"/>
          <w:numId w:val="21"/>
        </w:numPr>
      </w:pPr>
      <w:r>
        <w:rPr>
          <w:rFonts w:hint="cs"/>
          <w:rtl/>
        </w:rPr>
        <w:t xml:space="preserve">وأودّ أن أسترعي الانتباه إلى القضايا المتداخلة الأساسية التي لا تزال عالقة وتحول دون إحراز المزيد من التقدم في المفاوضات التي تجريها اللجنة بالاستناد إلى النصوص. وسيكون من الصعب، في </w:t>
      </w:r>
      <w:r w:rsidR="00327EC6">
        <w:rPr>
          <w:rFonts w:hint="cs"/>
          <w:rtl/>
        </w:rPr>
        <w:t>رأيي، المضي قدما ب</w:t>
      </w:r>
      <w:r>
        <w:rPr>
          <w:rFonts w:hint="cs"/>
          <w:rtl/>
        </w:rPr>
        <w:t>صياغة مشروع المواد الخاصة بالمعارف التقليدية و/أو مشروع المواد الخاصة بأشكال التعبير الثقافي التقليدي دون تسوية تلك القضايا المتداخلة الأساسية، أو توضيحها على الأقل. وبعض القض</w:t>
      </w:r>
      <w:r w:rsidR="00E31999">
        <w:rPr>
          <w:rFonts w:hint="cs"/>
          <w:rtl/>
        </w:rPr>
        <w:t>ايا التي أقترحها تدخل ضمن</w:t>
      </w:r>
      <w:r>
        <w:rPr>
          <w:rFonts w:hint="cs"/>
          <w:rtl/>
        </w:rPr>
        <w:t xml:space="preserve"> النص المتعلق بالمعارف التقليدية والنص المتعلق </w:t>
      </w:r>
      <w:r w:rsidR="00E31999">
        <w:rPr>
          <w:rFonts w:hint="cs"/>
          <w:rtl/>
        </w:rPr>
        <w:t>بأشكال التعبير الثقافي التقليدي على حد سواء (تداخل أفقي) و/أو تندرج في مجمل، أو معظم، مواد أحد النصين على الأقل (تداخل أفقي)</w:t>
      </w:r>
      <w:r w:rsidR="00B04517">
        <w:rPr>
          <w:rFonts w:hint="cs"/>
          <w:rtl/>
        </w:rPr>
        <w:t>. كما قد يسهّل</w:t>
      </w:r>
      <w:r w:rsidR="00E31999">
        <w:rPr>
          <w:rFonts w:hint="cs"/>
          <w:rtl/>
        </w:rPr>
        <w:t xml:space="preserve"> النقاش حول القضايا المتداخلة في الدورة السابعة والعشرين </w:t>
      </w:r>
      <w:r w:rsidR="00B04517">
        <w:rPr>
          <w:rFonts w:hint="cs"/>
          <w:rtl/>
        </w:rPr>
        <w:t xml:space="preserve">التعمّق في مقارنة النصين بطريقة مباشرة وتفاعلية، بما يفضي، مثلا، إلى احتمال موافقة </w:t>
      </w:r>
      <w:r w:rsidR="00F73B04">
        <w:rPr>
          <w:rFonts w:hint="cs"/>
          <w:rtl/>
        </w:rPr>
        <w:t>اللجنة</w:t>
      </w:r>
      <w:r w:rsidR="00B04517">
        <w:rPr>
          <w:rFonts w:hint="cs"/>
          <w:rtl/>
        </w:rPr>
        <w:t xml:space="preserve"> على </w:t>
      </w:r>
      <w:r w:rsidR="00CF6E94">
        <w:rPr>
          <w:rFonts w:hint="cs"/>
          <w:rtl/>
        </w:rPr>
        <w:t>اقتباس</w:t>
      </w:r>
      <w:r w:rsidR="00B04517">
        <w:rPr>
          <w:rFonts w:hint="cs"/>
          <w:rtl/>
        </w:rPr>
        <w:t xml:space="preserve"> </w:t>
      </w:r>
      <w:r w:rsidR="00327EC6">
        <w:rPr>
          <w:rFonts w:hint="cs"/>
          <w:rtl/>
        </w:rPr>
        <w:t>تعبير</w:t>
      </w:r>
      <w:r w:rsidR="00B04517">
        <w:rPr>
          <w:rFonts w:hint="cs"/>
          <w:rtl/>
        </w:rPr>
        <w:t xml:space="preserve"> أو </w:t>
      </w:r>
      <w:r w:rsidR="00327EC6">
        <w:rPr>
          <w:rFonts w:hint="cs"/>
          <w:rtl/>
        </w:rPr>
        <w:t>أسلوب</w:t>
      </w:r>
      <w:r w:rsidR="00B04517">
        <w:rPr>
          <w:rFonts w:hint="cs"/>
          <w:rtl/>
        </w:rPr>
        <w:t xml:space="preserve"> </w:t>
      </w:r>
      <w:r w:rsidR="00F73B04">
        <w:rPr>
          <w:rFonts w:hint="cs"/>
          <w:rtl/>
        </w:rPr>
        <w:t>من النص الخاص بأشكال ال</w:t>
      </w:r>
      <w:r w:rsidR="00327EC6">
        <w:rPr>
          <w:rFonts w:hint="cs"/>
          <w:rtl/>
        </w:rPr>
        <w:t>تعبير الثقافي التقليدي لإدراجه</w:t>
      </w:r>
      <w:r w:rsidR="00F73B04">
        <w:rPr>
          <w:rFonts w:hint="cs"/>
          <w:rtl/>
        </w:rPr>
        <w:t xml:space="preserve"> </w:t>
      </w:r>
      <w:r w:rsidR="00B04517">
        <w:rPr>
          <w:rFonts w:hint="cs"/>
          <w:rtl/>
        </w:rPr>
        <w:t>ف</w:t>
      </w:r>
      <w:r w:rsidR="00F73B04">
        <w:rPr>
          <w:rFonts w:hint="cs"/>
          <w:rtl/>
        </w:rPr>
        <w:t>ي النص الخاص بالمعارف التقليدية، والعكس بالعكس.</w:t>
      </w:r>
    </w:p>
    <w:p w:rsidR="00F73B04" w:rsidRDefault="00F73B04" w:rsidP="00F73B04">
      <w:pPr>
        <w:pStyle w:val="NumberedParaAR"/>
        <w:numPr>
          <w:ilvl w:val="0"/>
          <w:numId w:val="21"/>
        </w:numPr>
      </w:pPr>
      <w:r>
        <w:rPr>
          <w:rFonts w:hint="cs"/>
          <w:rtl/>
        </w:rPr>
        <w:t>وفيما يلي القضايا المتداخلة التي حدّدتها:</w:t>
      </w:r>
    </w:p>
    <w:p w:rsidR="00F73B04" w:rsidRDefault="00F73B04" w:rsidP="00F73B04">
      <w:pPr>
        <w:pStyle w:val="NumberedParaAR"/>
        <w:numPr>
          <w:ilvl w:val="0"/>
          <w:numId w:val="0"/>
        </w:numPr>
        <w:ind w:left="566"/>
        <w:rPr>
          <w:rtl/>
        </w:rPr>
      </w:pPr>
      <w:r>
        <w:rPr>
          <w:rFonts w:hint="cs"/>
          <w:rtl/>
        </w:rPr>
        <w:t>(1) معنى كلمة "تقليدي"؛</w:t>
      </w:r>
    </w:p>
    <w:p w:rsidR="00F73B04" w:rsidRDefault="00F73B04" w:rsidP="00F73B04">
      <w:pPr>
        <w:pStyle w:val="NumberedParaAR"/>
        <w:numPr>
          <w:ilvl w:val="0"/>
          <w:numId w:val="0"/>
        </w:numPr>
        <w:ind w:left="566"/>
        <w:rPr>
          <w:rtl/>
        </w:rPr>
      </w:pPr>
      <w:r>
        <w:rPr>
          <w:rFonts w:hint="cs"/>
          <w:rtl/>
        </w:rPr>
        <w:t>(2) والمستفيدون من الحماية، لا سيما دور الدول أو "الكيانات الوطنية"؛</w:t>
      </w:r>
    </w:p>
    <w:p w:rsidR="00F73B04" w:rsidRDefault="002233D2" w:rsidP="00F73B04">
      <w:pPr>
        <w:pStyle w:val="NumberedParaAR"/>
        <w:numPr>
          <w:ilvl w:val="0"/>
          <w:numId w:val="0"/>
        </w:numPr>
        <w:ind w:left="566"/>
        <w:rPr>
          <w:rtl/>
        </w:rPr>
      </w:pPr>
      <w:r>
        <w:rPr>
          <w:rFonts w:hint="cs"/>
          <w:rtl/>
        </w:rPr>
        <w:t xml:space="preserve">(3) </w:t>
      </w:r>
      <w:r w:rsidR="00CF6E94">
        <w:rPr>
          <w:rFonts w:hint="cs"/>
          <w:rtl/>
        </w:rPr>
        <w:t>و</w:t>
      </w:r>
      <w:r>
        <w:rPr>
          <w:rFonts w:hint="cs"/>
          <w:rtl/>
        </w:rPr>
        <w:t>طبيعة الحقوق، بما في ذلك معنى كلمتي "التملّك غير المشروع" و"سوء الاستخدام"؛</w:t>
      </w:r>
    </w:p>
    <w:p w:rsidR="002233D2" w:rsidRDefault="002233D2" w:rsidP="00F73B04">
      <w:pPr>
        <w:pStyle w:val="NumberedParaAR"/>
        <w:numPr>
          <w:ilvl w:val="0"/>
          <w:numId w:val="0"/>
        </w:numPr>
        <w:ind w:left="566"/>
        <w:rPr>
          <w:rtl/>
        </w:rPr>
      </w:pPr>
      <w:r>
        <w:rPr>
          <w:rFonts w:hint="cs"/>
          <w:rtl/>
        </w:rPr>
        <w:t>(4) ومعالجة المعارف التقليدية وأشكال التعبير</w:t>
      </w:r>
      <w:r w:rsidR="00CF6E94">
        <w:rPr>
          <w:rFonts w:hint="cs"/>
          <w:rtl/>
        </w:rPr>
        <w:t xml:space="preserve"> الثقافي التقليدي المتاحة للجمهور</w:t>
      </w:r>
      <w:r>
        <w:rPr>
          <w:rFonts w:hint="cs"/>
          <w:rtl/>
        </w:rPr>
        <w:t xml:space="preserve"> و/أو المنتشرة على نطاق واسع.</w:t>
      </w:r>
    </w:p>
    <w:p w:rsidR="002233D2" w:rsidRDefault="002233D2" w:rsidP="002233D2">
      <w:pPr>
        <w:pStyle w:val="NumberedParaAR"/>
        <w:numPr>
          <w:ilvl w:val="0"/>
          <w:numId w:val="21"/>
        </w:numPr>
      </w:pPr>
      <w:r>
        <w:rPr>
          <w:rFonts w:hint="cs"/>
          <w:rtl/>
        </w:rPr>
        <w:t>والقائمة ليست مكتملة بالضرورة وقد ترغب الوفود في اقتراح بعض القضايا المتداخلة الأخرى كي يُنظر فيها.</w:t>
      </w:r>
    </w:p>
    <w:p w:rsidR="002233D2" w:rsidRDefault="002233D2" w:rsidP="00AD5330">
      <w:pPr>
        <w:pStyle w:val="NumberedParaAR"/>
        <w:numPr>
          <w:ilvl w:val="0"/>
          <w:numId w:val="21"/>
        </w:numPr>
      </w:pPr>
      <w:r>
        <w:rPr>
          <w:rFonts w:hint="cs"/>
          <w:rtl/>
        </w:rPr>
        <w:t xml:space="preserve">وبخصوص كل </w:t>
      </w:r>
      <w:r w:rsidR="00AD5330">
        <w:rPr>
          <w:rFonts w:hint="cs"/>
          <w:rtl/>
        </w:rPr>
        <w:t xml:space="preserve">قضية </w:t>
      </w:r>
      <w:r>
        <w:rPr>
          <w:rFonts w:hint="cs"/>
          <w:rtl/>
        </w:rPr>
        <w:t>من القضايا التي حدّدت</w:t>
      </w:r>
      <w:r w:rsidR="00CF6E94">
        <w:rPr>
          <w:rFonts w:hint="cs"/>
          <w:rtl/>
        </w:rPr>
        <w:t>ُ</w:t>
      </w:r>
      <w:r>
        <w:rPr>
          <w:rFonts w:hint="cs"/>
          <w:rtl/>
        </w:rPr>
        <w:t xml:space="preserve">ها أعرض في الورقة غير الرسمية أيضا، حيثما </w:t>
      </w:r>
      <w:r w:rsidR="00AD5330">
        <w:rPr>
          <w:rFonts w:hint="cs"/>
          <w:rtl/>
        </w:rPr>
        <w:t>أمكن</w:t>
      </w:r>
      <w:r>
        <w:rPr>
          <w:rFonts w:hint="cs"/>
          <w:rtl/>
        </w:rPr>
        <w:t xml:space="preserve"> ذلك، الآثار </w:t>
      </w:r>
      <w:r w:rsidR="00AD5330">
        <w:rPr>
          <w:rFonts w:hint="cs"/>
          <w:rtl/>
        </w:rPr>
        <w:t>المترتبة عليها</w:t>
      </w:r>
      <w:r>
        <w:rPr>
          <w:rFonts w:hint="cs"/>
          <w:rtl/>
        </w:rPr>
        <w:t xml:space="preserve"> والنُهج الرئيسية لتناولها، وأحاول الإشارة إلى الخيارات المتاحة لمعالجتها.</w:t>
      </w:r>
    </w:p>
    <w:p w:rsidR="00AD5330" w:rsidRDefault="00AD5330" w:rsidP="000E6B72">
      <w:pPr>
        <w:pStyle w:val="NumberedParaAR"/>
        <w:numPr>
          <w:ilvl w:val="0"/>
          <w:numId w:val="21"/>
        </w:numPr>
        <w:spacing w:after="480"/>
      </w:pPr>
      <w:r>
        <w:rPr>
          <w:rFonts w:hint="cs"/>
          <w:rtl/>
        </w:rPr>
        <w:t xml:space="preserve">وقد يرغب المشاركون في الدورة السابعة والعشرين للجنة في </w:t>
      </w:r>
      <w:r w:rsidR="000E6B72">
        <w:rPr>
          <w:rFonts w:hint="cs"/>
          <w:rtl/>
        </w:rPr>
        <w:t>استعمال</w:t>
      </w:r>
      <w:r>
        <w:rPr>
          <w:rFonts w:hint="cs"/>
          <w:rtl/>
        </w:rPr>
        <w:t xml:space="preserve"> هذه الوثيقة الإعلامية والورقة غير الرسمية في تحضيرهم للدورة</w:t>
      </w:r>
      <w:r w:rsidRPr="00AD5330">
        <w:rPr>
          <w:rFonts w:hint="cs"/>
          <w:rtl/>
        </w:rPr>
        <w:t xml:space="preserve"> </w:t>
      </w:r>
      <w:r>
        <w:rPr>
          <w:rFonts w:hint="cs"/>
          <w:rtl/>
        </w:rPr>
        <w:t xml:space="preserve">كما يرونه مناسبا، مع مراعاة أن </w:t>
      </w:r>
      <w:r w:rsidR="000E6B72">
        <w:rPr>
          <w:rFonts w:hint="cs"/>
          <w:rtl/>
        </w:rPr>
        <w:t>الوثيقتين</w:t>
      </w:r>
      <w:r>
        <w:rPr>
          <w:rFonts w:hint="cs"/>
          <w:rtl/>
        </w:rPr>
        <w:t xml:space="preserve"> </w:t>
      </w:r>
      <w:r w:rsidR="000E6B72">
        <w:rPr>
          <w:rFonts w:hint="cs"/>
          <w:rtl/>
        </w:rPr>
        <w:t xml:space="preserve">المذكورتين لن تُستخدما </w:t>
      </w:r>
      <w:r>
        <w:rPr>
          <w:rFonts w:hint="cs"/>
          <w:rtl/>
        </w:rPr>
        <w:t>كوثيقتي عمل.</w:t>
      </w:r>
    </w:p>
    <w:p w:rsidR="00AD5330" w:rsidRDefault="000E6B72" w:rsidP="000E6B72">
      <w:pPr>
        <w:pStyle w:val="EndofDocumentAR"/>
        <w:rPr>
          <w:rtl/>
        </w:rPr>
      </w:pPr>
      <w:r>
        <w:rPr>
          <w:rFonts w:hint="cs"/>
          <w:rtl/>
        </w:rPr>
        <w:t>[نهاية المرفق والوثيقة]</w:t>
      </w:r>
    </w:p>
    <w:sectPr w:rsidR="00AD5330"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D4" w:rsidRDefault="008153D4">
      <w:r>
        <w:separator/>
      </w:r>
    </w:p>
  </w:endnote>
  <w:endnote w:type="continuationSeparator" w:id="0">
    <w:p w:rsidR="008153D4" w:rsidRDefault="008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D4" w:rsidRDefault="008153D4" w:rsidP="009622BF">
      <w:pPr>
        <w:bidi/>
      </w:pPr>
      <w:bookmarkStart w:id="0" w:name="OLE_LINK1"/>
      <w:bookmarkStart w:id="1" w:name="OLE_LINK2"/>
      <w:r>
        <w:separator/>
      </w:r>
      <w:bookmarkEnd w:id="0"/>
      <w:bookmarkEnd w:id="1"/>
    </w:p>
  </w:footnote>
  <w:footnote w:type="continuationSeparator" w:id="0">
    <w:p w:rsidR="008153D4" w:rsidRDefault="008153D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6011D1">
    <w:r>
      <w:t>WIPO/GRTKF/IC</w:t>
    </w:r>
    <w:r w:rsidR="002F77FC">
      <w:t>/</w:t>
    </w:r>
    <w:r w:rsidR="00B42A9E">
      <w:t>2</w:t>
    </w:r>
    <w:r w:rsidR="006011D1">
      <w:t>7</w:t>
    </w:r>
    <w:r w:rsidR="002F77FC">
      <w:t>/--</w:t>
    </w:r>
  </w:p>
  <w:p w:rsidR="002F77FC" w:rsidRDefault="002F77FC" w:rsidP="00D61541">
    <w:r>
      <w:fldChar w:fldCharType="begin"/>
    </w:r>
    <w:r>
      <w:instrText xml:space="preserve"> PAGE  \* MERGEFORMAT </w:instrText>
    </w:r>
    <w:r>
      <w:fldChar w:fldCharType="separate"/>
    </w:r>
    <w:r w:rsidR="00E95071">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AD0" w:rsidRPr="00F76AD0" w:rsidRDefault="00F76AD0" w:rsidP="00F76AD0">
    <w:pPr>
      <w:pStyle w:val="Header"/>
    </w:pPr>
    <w:bookmarkStart w:id="3" w:name="Code2"/>
    <w:bookmarkEnd w:id="3"/>
    <w:r w:rsidRPr="00F76AD0">
      <w:t>WIPO/GRTKF/IC/27/INF/10</w:t>
    </w:r>
  </w:p>
  <w:p w:rsidR="00F76AD0" w:rsidRDefault="00F76AD0" w:rsidP="00F76AD0">
    <w:pPr>
      <w:pStyle w:val="Header"/>
    </w:pPr>
    <w:r w:rsidRPr="00F76AD0">
      <w:t>ANNEX</w:t>
    </w:r>
  </w:p>
  <w:p w:rsidR="00F76AD0" w:rsidRPr="00F76AD0" w:rsidRDefault="00F76AD0" w:rsidP="00F76AD0">
    <w:pPr>
      <w:pStyle w:val="Header"/>
      <w:bidi/>
      <w:jc w:val="right"/>
      <w:rPr>
        <w:rFonts w:ascii="Arabic Typesetting" w:hAnsi="Arabic Typesetting" w:cs="Arabic Typesetting"/>
        <w:sz w:val="36"/>
        <w:szCs w:val="36"/>
      </w:rPr>
    </w:pPr>
    <w:r>
      <w:rP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AAC4D0E2"/>
    <w:lvl w:ilvl="0" w:tplc="123CCD12">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D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A57"/>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6B72"/>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3D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5D1E"/>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EC6"/>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3D0E"/>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2D68"/>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43B"/>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3D4"/>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8CE"/>
    <w:rsid w:val="00986E53"/>
    <w:rsid w:val="00987CE5"/>
    <w:rsid w:val="00993CF0"/>
    <w:rsid w:val="0099428D"/>
    <w:rsid w:val="009949A7"/>
    <w:rsid w:val="009950FB"/>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330"/>
    <w:rsid w:val="00AD652F"/>
    <w:rsid w:val="00AD7D05"/>
    <w:rsid w:val="00AE01F6"/>
    <w:rsid w:val="00AE16F0"/>
    <w:rsid w:val="00AE2328"/>
    <w:rsid w:val="00AE3BCD"/>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073B"/>
    <w:rsid w:val="00B03B63"/>
    <w:rsid w:val="00B04517"/>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09AA"/>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6097"/>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6E94"/>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AD1"/>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999"/>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094"/>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111"/>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B04"/>
    <w:rsid w:val="00F75896"/>
    <w:rsid w:val="00F76666"/>
    <w:rsid w:val="00F76AD0"/>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466"/>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1B21"/>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76AD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76AD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549E-F660-4CD6-A07E-CCF8FF69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GRTKF_IC_27_AR.dotx</Template>
  <TotalTime>219</TotalTime>
  <Pages>2</Pages>
  <Words>573</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WIPO/GRTKF/IC/27/INF/10 (Arabic)</vt:lpstr>
    </vt:vector>
  </TitlesOfParts>
  <Company>World Intellectual Property Organization</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WIPO/GRTKF/IC/27/INF/10 (Arabic)</dc:title>
  <dc:creator>من إعداد سعادة السفير واين ماكوك، رئيس اللجنة الحكومية الدولية المعنية بالملكية الفكرية والموارد الوراثية والمعارف التقليدية والفولكلور</dc:creator>
  <cp:lastModifiedBy>MERZOUK Fawzi</cp:lastModifiedBy>
  <cp:revision>13</cp:revision>
  <cp:lastPrinted>2014-03-14T15:18:00Z</cp:lastPrinted>
  <dcterms:created xsi:type="dcterms:W3CDTF">2014-03-14T08:52:00Z</dcterms:created>
  <dcterms:modified xsi:type="dcterms:W3CDTF">2014-03-14T15:18:00Z</dcterms:modified>
</cp:coreProperties>
</file>