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B52364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772E46">
            <w:pPr>
              <w:pStyle w:val="DocumentCodeAR"/>
              <w:bidi/>
              <w:rPr>
                <w:rtl/>
              </w:rPr>
            </w:pPr>
            <w:r>
              <w:t>WIPO/GRTKF/IC</w:t>
            </w:r>
            <w:r w:rsidR="00100F97">
              <w:t>/</w:t>
            </w:r>
            <w:r w:rsidR="00B42A9E">
              <w:t>26</w:t>
            </w:r>
            <w:r w:rsidR="00743943">
              <w:t>/INF/3</w:t>
            </w:r>
            <w:r w:rsidR="00B605B0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394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4394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B096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B0960">
              <w:rPr>
                <w:rFonts w:hint="cs"/>
                <w:rtl/>
              </w:rPr>
              <w:t>10</w:t>
            </w:r>
            <w:r w:rsidRPr="00B6101C">
              <w:rPr>
                <w:rFonts w:hint="cs"/>
                <w:rtl/>
              </w:rPr>
              <w:t xml:space="preserve"> </w:t>
            </w:r>
            <w:r w:rsidR="00AB0960">
              <w:rPr>
                <w:rFonts w:hint="cs"/>
                <w:rtl/>
              </w:rPr>
              <w:t>يناير</w:t>
            </w:r>
            <w:r w:rsidRPr="00B6101C">
              <w:rPr>
                <w:rFonts w:hint="cs"/>
                <w:rtl/>
              </w:rPr>
              <w:t xml:space="preserve"> </w:t>
            </w:r>
            <w:r w:rsidR="00AB0960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B42A9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B42A9E">
        <w:rPr>
          <w:rFonts w:ascii="Cambria Math" w:hAnsi="Cambria Math" w:hint="cs"/>
          <w:rtl/>
        </w:rPr>
        <w:t>السادسة</w:t>
      </w:r>
      <w:r w:rsidR="00772E46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B42A9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B42A9E">
        <w:rPr>
          <w:rFonts w:hint="cs"/>
          <w:rtl/>
        </w:rPr>
        <w:t>3</w:t>
      </w:r>
      <w:r w:rsidR="00100F97">
        <w:rPr>
          <w:rFonts w:hint="cs"/>
          <w:rtl/>
        </w:rPr>
        <w:t xml:space="preserve"> إلى </w:t>
      </w:r>
      <w:r w:rsidR="00B42A9E">
        <w:rPr>
          <w:rFonts w:hint="cs"/>
          <w:rtl/>
        </w:rPr>
        <w:t>7</w:t>
      </w:r>
      <w:r w:rsidR="00783D11">
        <w:rPr>
          <w:rFonts w:hint="cs"/>
          <w:rtl/>
        </w:rPr>
        <w:t xml:space="preserve"> </w:t>
      </w:r>
      <w:r w:rsidR="00B42A9E">
        <w:rPr>
          <w:rFonts w:hint="cs"/>
          <w:rtl/>
        </w:rPr>
        <w:t>فبراير</w:t>
      </w:r>
      <w:r w:rsidR="00AE2328">
        <w:rPr>
          <w:rFonts w:hint="cs"/>
          <w:rtl/>
        </w:rPr>
        <w:t xml:space="preserve"> </w:t>
      </w:r>
      <w:r w:rsidR="00B42A9E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43943" w:rsidP="00743943">
      <w:pPr>
        <w:pStyle w:val="DocumentTitleAR"/>
        <w:bidi/>
        <w:rPr>
          <w:rtl/>
        </w:rPr>
      </w:pPr>
      <w:r w:rsidRPr="00743943">
        <w:rPr>
          <w:rtl/>
        </w:rPr>
        <w:t xml:space="preserve">مشروع برنامج الدورة </w:t>
      </w:r>
      <w:r>
        <w:rPr>
          <w:rFonts w:hint="cs"/>
          <w:rtl/>
        </w:rPr>
        <w:t>السادسة</w:t>
      </w:r>
      <w:r w:rsidRPr="00743943">
        <w:rPr>
          <w:rtl/>
        </w:rPr>
        <w:t xml:space="preserve"> والعشرين</w:t>
      </w:r>
    </w:p>
    <w:p w:rsidR="00D61541" w:rsidRPr="00D61541" w:rsidRDefault="0073507F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 w:rsidR="00743943">
        <w:rPr>
          <w:rFonts w:hint="cs"/>
          <w:rtl/>
        </w:rPr>
        <w:t xml:space="preserve"> الأمانة</w:t>
      </w:r>
    </w:p>
    <w:p w:rsidR="00743943" w:rsidRPr="00743943" w:rsidRDefault="00743943" w:rsidP="0073507F">
      <w:pPr>
        <w:pStyle w:val="NormalParaAR"/>
        <w:numPr>
          <w:ilvl w:val="0"/>
          <w:numId w:val="11"/>
        </w:numPr>
        <w:rPr>
          <w:rtl/>
        </w:rPr>
      </w:pPr>
      <w:r w:rsidRPr="00743943">
        <w:rPr>
          <w:rFonts w:hint="cs"/>
          <w:rtl/>
        </w:rPr>
        <w:t xml:space="preserve">نزولا عند طلب اللجنة الحكومية الدولية المعنية بالملكية الفكرية والموارد الوراثية والمعارف التقليدية والفولكلور ("اللجنة") بتعميم مشروع لبرنامج العمل المقترح، تحتوي هذه الوثيقة على مشروع برنامج العمل المقترح للدورة </w:t>
      </w:r>
      <w:r w:rsidR="00326790">
        <w:rPr>
          <w:rFonts w:hint="cs"/>
          <w:rtl/>
        </w:rPr>
        <w:t>السادسة</w:t>
      </w:r>
      <w:r w:rsidRPr="00743943">
        <w:rPr>
          <w:rFonts w:hint="cs"/>
          <w:rtl/>
        </w:rPr>
        <w:t xml:space="preserve"> والعشرين للجنة. ولا يعدو مشروع هذا البرنامج كونه إرشاديا، على أن يحدد رئيس الدورة وأعضاؤها التنظيم الفعلي لعمل اللجنة وفقا للنظام الداخلي للجنة.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743943" w:rsidRPr="00743943" w:rsidTr="00371E45">
        <w:trPr>
          <w:trHeight w:val="2280"/>
        </w:trPr>
        <w:tc>
          <w:tcPr>
            <w:tcW w:w="3303" w:type="dxa"/>
            <w:shd w:val="clear" w:color="auto" w:fill="auto"/>
          </w:tcPr>
          <w:p w:rsidR="00743943" w:rsidRPr="00743943" w:rsidRDefault="00743943" w:rsidP="0032679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الأحد </w:t>
            </w:r>
            <w:r w:rsidR="00326790">
              <w:rPr>
                <w:rFonts w:hint="cs"/>
                <w:u w:val="single"/>
                <w:rtl/>
              </w:rPr>
              <w:t>2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Pr="00743943" w:rsidRDefault="00743943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>ابتداء من الساعة 15:00</w:t>
            </w:r>
          </w:p>
        </w:tc>
        <w:tc>
          <w:tcPr>
            <w:tcW w:w="6268" w:type="dxa"/>
            <w:shd w:val="clear" w:color="auto" w:fill="auto"/>
          </w:tcPr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tl/>
              </w:rPr>
              <w:t>منتدى السكان الأصليين الاستشاري</w:t>
            </w:r>
          </w:p>
          <w:p w:rsidR="00743943" w:rsidRPr="0073507F" w:rsidRDefault="00743943" w:rsidP="00743943">
            <w:pPr>
              <w:pStyle w:val="NormalParaAR"/>
              <w:rPr>
                <w:i/>
                <w:iCs/>
                <w:rtl/>
              </w:rPr>
            </w:pPr>
            <w:r w:rsidRPr="0073507F">
              <w:rPr>
                <w:rFonts w:hint="cs"/>
                <w:i/>
                <w:iCs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743943" w:rsidRPr="00743943" w:rsidTr="00371E45">
        <w:trPr>
          <w:trHeight w:val="2969"/>
        </w:trPr>
        <w:tc>
          <w:tcPr>
            <w:tcW w:w="3303" w:type="dxa"/>
            <w:shd w:val="clear" w:color="auto" w:fill="auto"/>
          </w:tcPr>
          <w:p w:rsidR="00743943" w:rsidRPr="00743943" w:rsidRDefault="00743943" w:rsidP="00326790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 w:rsidR="00326790">
              <w:rPr>
                <w:rFonts w:hint="cs"/>
                <w:u w:val="single"/>
                <w:rtl/>
              </w:rPr>
              <w:t>3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6B7243" w:rsidRDefault="006B7243" w:rsidP="00743943">
            <w:pPr>
              <w:pStyle w:val="NormalParaAR"/>
              <w:rPr>
                <w:rtl/>
              </w:rPr>
            </w:pPr>
          </w:p>
          <w:p w:rsidR="006B7243" w:rsidRDefault="006B7243" w:rsidP="00743943">
            <w:pPr>
              <w:pStyle w:val="NormalParaAR"/>
              <w:rPr>
                <w:rtl/>
              </w:rPr>
            </w:pPr>
          </w:p>
          <w:p w:rsidR="006B7243" w:rsidRDefault="006B7243" w:rsidP="00743943">
            <w:pPr>
              <w:pStyle w:val="NormalParaAR"/>
              <w:rPr>
                <w:rtl/>
              </w:rPr>
            </w:pPr>
          </w:p>
          <w:p w:rsidR="006B7243" w:rsidRDefault="006B7243" w:rsidP="00743943">
            <w:pPr>
              <w:pStyle w:val="NormalParaAR"/>
              <w:rPr>
                <w:rtl/>
              </w:rPr>
            </w:pPr>
          </w:p>
          <w:p w:rsidR="006B7243" w:rsidRDefault="006B7243" w:rsidP="00743943">
            <w:pPr>
              <w:pStyle w:val="NormalParaAR"/>
              <w:rPr>
                <w:rtl/>
              </w:rPr>
            </w:pPr>
          </w:p>
          <w:p w:rsidR="006B7243" w:rsidRDefault="006B7243" w:rsidP="00743943">
            <w:pPr>
              <w:pStyle w:val="NormalParaAR"/>
              <w:rPr>
                <w:rtl/>
              </w:rPr>
            </w:pPr>
            <w:r w:rsidRPr="006B7243">
              <w:rPr>
                <w:rtl/>
              </w:rPr>
              <w:t>15:00 – 18:00</w:t>
            </w:r>
          </w:p>
          <w:p w:rsidR="006B7243" w:rsidRPr="00743943" w:rsidRDefault="006B7243" w:rsidP="00743943">
            <w:pPr>
              <w:pStyle w:val="NormalParaAR"/>
              <w:rPr>
                <w:b/>
                <w:bCs/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1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743943">
              <w:rPr>
                <w:rFonts w:hint="cs"/>
                <w:rtl/>
              </w:rPr>
              <w:t>افتتاح الدورة</w:t>
            </w:r>
          </w:p>
          <w:p w:rsidR="00743943" w:rsidRPr="00743943" w:rsidRDefault="00743943" w:rsidP="0032679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2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326790" w:rsidRPr="00326790">
              <w:rPr>
                <w:rtl/>
              </w:rPr>
              <w:t>انتخاب أعضاء المكتب</w:t>
            </w:r>
          </w:p>
          <w:p w:rsidR="00AB0960" w:rsidRDefault="00AB0960" w:rsidP="00667665">
            <w:pPr>
              <w:pStyle w:val="NormalParaAR"/>
              <w:rPr>
                <w:rtl/>
              </w:rPr>
            </w:pPr>
          </w:p>
          <w:p w:rsidR="00FE559C" w:rsidRDefault="00667665" w:rsidP="00667665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 xml:space="preserve">اجتماع </w:t>
            </w:r>
            <w:r w:rsidR="003E5D52">
              <w:rPr>
                <w:rFonts w:hint="cs"/>
                <w:rtl/>
              </w:rPr>
              <w:t xml:space="preserve">على مستوى </w:t>
            </w:r>
            <w:r>
              <w:rPr>
                <w:rFonts w:hint="cs"/>
                <w:rtl/>
              </w:rPr>
              <w:t>السفراء/كبار المسؤولين</w:t>
            </w:r>
            <w:r w:rsidR="00FE559C">
              <w:rPr>
                <w:rFonts w:hint="cs"/>
                <w:rtl/>
              </w:rPr>
              <w:t xml:space="preserve"> الحكوميين</w:t>
            </w:r>
            <w:r w:rsidR="006B7243">
              <w:rPr>
                <w:rFonts w:hint="cs"/>
                <w:rtl/>
              </w:rPr>
              <w:t xml:space="preserve"> من العواصم</w:t>
            </w:r>
          </w:p>
          <w:p w:rsidR="00667665" w:rsidRPr="006B7243" w:rsidRDefault="006B7243" w:rsidP="006B7243">
            <w:pPr>
              <w:pStyle w:val="NormalParaAR"/>
              <w:rPr>
                <w:i/>
                <w:iCs/>
                <w:rtl/>
              </w:rPr>
            </w:pPr>
            <w:r w:rsidRPr="006B7243">
              <w:rPr>
                <w:rFonts w:hint="cs"/>
                <w:i/>
                <w:iCs/>
                <w:rtl/>
              </w:rPr>
              <w:t>جزء من الدورة المنعقدة، وفقا للفقرة (ب) من ولاية اللجنة في الثنائية</w:t>
            </w:r>
            <w:r w:rsidRPr="006B7243">
              <w:rPr>
                <w:rFonts w:hint="eastAsia"/>
                <w:i/>
                <w:iCs/>
                <w:rtl/>
              </w:rPr>
              <w:t> </w:t>
            </w:r>
            <w:r w:rsidRPr="006B7243">
              <w:rPr>
                <w:rFonts w:hint="cs"/>
                <w:i/>
                <w:iCs/>
                <w:rtl/>
              </w:rPr>
              <w:t>2014/2015</w:t>
            </w:r>
            <w:r w:rsidR="00667665" w:rsidRPr="006B7243">
              <w:rPr>
                <w:rFonts w:hint="cs"/>
                <w:i/>
                <w:iCs/>
                <w:rtl/>
              </w:rPr>
              <w:t xml:space="preserve"> </w:t>
            </w:r>
            <w:r w:rsidRPr="006B7243">
              <w:rPr>
                <w:rFonts w:hint="cs"/>
                <w:i/>
                <w:iCs/>
                <w:rtl/>
              </w:rPr>
              <w:t xml:space="preserve">من أجل </w:t>
            </w:r>
            <w:r w:rsidR="003E5D52" w:rsidRPr="006B7243">
              <w:rPr>
                <w:rFonts w:hint="cs"/>
                <w:i/>
                <w:iCs/>
                <w:rtl/>
              </w:rPr>
              <w:t>تبادل وجهات النظر حول المسائل السياسية الرئيسية المتعلقة بالمفاوضات</w:t>
            </w:r>
            <w:r w:rsidRPr="006B7243">
              <w:rPr>
                <w:rFonts w:hint="cs"/>
                <w:i/>
                <w:iCs/>
                <w:rtl/>
              </w:rPr>
              <w:t xml:space="preserve"> و</w:t>
            </w:r>
            <w:r w:rsidR="003E5D52" w:rsidRPr="006B7243">
              <w:rPr>
                <w:rFonts w:hint="cs"/>
                <w:i/>
                <w:iCs/>
                <w:rtl/>
              </w:rPr>
              <w:t>تقديم المزيد من الإرشاد/التوجيه للمسار.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3:</w:t>
            </w:r>
            <w:r w:rsidRPr="00743943">
              <w:rPr>
                <w:b/>
                <w:bCs/>
                <w:rtl/>
              </w:rPr>
              <w:tab/>
            </w:r>
            <w:r>
              <w:rPr>
                <w:rFonts w:hint="cs"/>
                <w:rtl/>
              </w:rPr>
              <w:t>اعتماد جدول الأعمال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الوثيقة 2</w:t>
            </w:r>
            <w:r w:rsidRPr="0073507F">
              <w:t>WIPO/GRTKF/IC/26/1 Prov</w:t>
            </w:r>
            <w:r>
              <w:t>.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WIPO/GRTKF/IC/26/INF/2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WIPO/GRTKF/IC/26/INF/3 Rev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Pr="00743943">
              <w:rPr>
                <w:b/>
                <w:bCs/>
              </w:rPr>
              <w:t>4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>اعتماد تقرير الدورة الخامسة والعشرين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>
              <w:rPr>
                <w:rtl/>
              </w:rPr>
              <w:t xml:space="preserve">الوثيقة </w:t>
            </w:r>
            <w:r>
              <w:t>WIPO/GRTKF/IC/25/8 Prov. 2</w:t>
            </w:r>
            <w:r>
              <w:rPr>
                <w:rtl/>
              </w:rPr>
              <w:t>.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5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بعض المنظمات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4957F0">
              <w:t>WIPO/GRTKF/IC/</w:t>
            </w:r>
            <w:r>
              <w:t>26</w:t>
            </w:r>
            <w:r w:rsidRPr="004957F0">
              <w:t>/2</w:t>
            </w:r>
            <w:r>
              <w:rPr>
                <w:rFonts w:hint="cs"/>
                <w:rtl/>
              </w:rPr>
              <w:t>.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مشاركة الجماعات الأصلية والمحلية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صندوق التبرعات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الوثيقة </w:t>
            </w:r>
            <w:r w:rsidRPr="00743943">
              <w:t>WIPO/GRTKF/IC/</w:t>
            </w:r>
            <w:r>
              <w:t>26</w:t>
            </w:r>
            <w:r w:rsidRPr="00743943">
              <w:t>/3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WIPO/GRTKF/IC/</w:t>
            </w:r>
            <w:r>
              <w:t>26</w:t>
            </w:r>
            <w:r w:rsidRPr="00743943">
              <w:t>/INF/4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WIPO/GRTKF/IC/</w:t>
            </w:r>
            <w:r>
              <w:t>26</w:t>
            </w:r>
            <w:r w:rsidRPr="00743943">
              <w:t>/INF/6</w:t>
            </w:r>
          </w:p>
          <w:p w:rsidR="00AB0960" w:rsidRPr="00743943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منبر الجماعات الأصلية والمحلية</w:t>
            </w:r>
          </w:p>
          <w:p w:rsidR="00AB0960" w:rsidRPr="006B7243" w:rsidRDefault="00AB0960" w:rsidP="00AB0960">
            <w:pPr>
              <w:pStyle w:val="NormalParaAR"/>
              <w:rPr>
                <w:i/>
                <w:iCs/>
                <w:rtl/>
              </w:rPr>
            </w:pPr>
            <w:r w:rsidRPr="006B7243">
              <w:rPr>
                <w:i/>
                <w:iCs/>
                <w:rtl/>
              </w:rPr>
              <w:t>ليس جزءا رسميا من دورة اللجنة، لكنه سيُذكر في تقريرها</w:t>
            </w:r>
          </w:p>
          <w:p w:rsidR="00AB0960" w:rsidRDefault="00AB0960" w:rsidP="00AB0960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26</w:t>
            </w:r>
            <w:r w:rsidRPr="00743943">
              <w:t>/INF/5</w:t>
            </w:r>
          </w:p>
          <w:p w:rsidR="00AB0960" w:rsidRDefault="00AB0960" w:rsidP="006B7243">
            <w:pPr>
              <w:pStyle w:val="NormalParaAR"/>
              <w:keepNext/>
              <w:rPr>
                <w:b/>
                <w:bCs/>
                <w:rtl/>
              </w:rPr>
            </w:pPr>
          </w:p>
          <w:p w:rsidR="006B7243" w:rsidRDefault="006B7243" w:rsidP="006B7243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</w:p>
          <w:p w:rsidR="006B7243" w:rsidRPr="00743943" w:rsidRDefault="006B7243" w:rsidP="006B72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26</w:t>
            </w:r>
            <w:r w:rsidRPr="00743943">
              <w:t>/4</w:t>
            </w:r>
          </w:p>
          <w:p w:rsidR="006B7243" w:rsidRPr="00743943" w:rsidRDefault="006B7243" w:rsidP="006B72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26</w:t>
            </w:r>
            <w:r w:rsidRPr="00743943">
              <w:t>/INF/7</w:t>
            </w:r>
          </w:p>
          <w:p w:rsidR="006B7243" w:rsidRDefault="006B7243" w:rsidP="006B7243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26</w:t>
            </w:r>
            <w:r w:rsidRPr="00743943">
              <w:t>/INF/8</w:t>
            </w: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26</w:t>
            </w:r>
            <w:r w:rsidRPr="00743943">
              <w:t>/INF/</w:t>
            </w:r>
            <w:r>
              <w:t>9</w:t>
            </w:r>
          </w:p>
        </w:tc>
      </w:tr>
      <w:tr w:rsidR="00743943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43943" w:rsidRPr="00743943" w:rsidRDefault="00743943" w:rsidP="00815D49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الثلاثاء </w:t>
            </w:r>
            <w:r w:rsidR="00815D49">
              <w:rPr>
                <w:rFonts w:hint="cs"/>
                <w:u w:val="single"/>
                <w:rtl/>
              </w:rPr>
              <w:t>4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43943" w:rsidRPr="00743943" w:rsidRDefault="00743943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815D49" w:rsidRDefault="00815D49" w:rsidP="00743943">
            <w:pPr>
              <w:pStyle w:val="NormalParaAR"/>
              <w:rPr>
                <w:b/>
                <w:bCs/>
                <w:rtl/>
              </w:rPr>
            </w:pPr>
          </w:p>
          <w:p w:rsidR="00743943" w:rsidRPr="00743943" w:rsidRDefault="00815D49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="00743943"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</w:tc>
      </w:tr>
      <w:tr w:rsidR="00743943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43943" w:rsidRPr="00743943" w:rsidRDefault="00743943" w:rsidP="00815D49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الأربعاء </w:t>
            </w:r>
            <w:r w:rsidR="00815D49">
              <w:rPr>
                <w:rFonts w:hint="cs"/>
                <w:u w:val="single"/>
                <w:rtl/>
              </w:rPr>
              <w:t>5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Pr="00743943" w:rsidRDefault="00743943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43943" w:rsidRPr="00743943" w:rsidRDefault="00743943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  <w:p w:rsidR="00743943" w:rsidRPr="00743943" w:rsidRDefault="003D5508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43943" w:rsidRPr="00743943" w:rsidRDefault="003D5508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43943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43943" w:rsidRPr="00743943" w:rsidRDefault="00743943" w:rsidP="00815D49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الخميس </w:t>
            </w:r>
            <w:r w:rsidR="00815D49">
              <w:rPr>
                <w:rFonts w:hint="cs"/>
                <w:u w:val="single"/>
                <w:rtl/>
              </w:rPr>
              <w:t>6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43943" w:rsidRPr="00743943" w:rsidRDefault="00743943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43943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43943" w:rsidRPr="00743943" w:rsidTr="00371E45">
        <w:trPr>
          <w:trHeight w:val="2545"/>
        </w:trPr>
        <w:tc>
          <w:tcPr>
            <w:tcW w:w="3303" w:type="dxa"/>
            <w:shd w:val="clear" w:color="auto" w:fill="auto"/>
          </w:tcPr>
          <w:p w:rsidR="00743943" w:rsidRPr="00743943" w:rsidRDefault="00743943" w:rsidP="00815D49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الجمعة </w:t>
            </w:r>
            <w:r w:rsidR="00815D49">
              <w:rPr>
                <w:rFonts w:hint="cs"/>
                <w:u w:val="single"/>
                <w:rtl/>
              </w:rPr>
              <w:t>7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 w:rsidR="00326790">
              <w:rPr>
                <w:rFonts w:hint="cs"/>
                <w:u w:val="single"/>
                <w:rtl/>
              </w:rPr>
              <w:t>2014</w:t>
            </w:r>
          </w:p>
          <w:p w:rsidR="00743943" w:rsidRPr="00743943" w:rsidRDefault="00743943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D74819" w:rsidRDefault="00D74819" w:rsidP="00815D49">
            <w:pPr>
              <w:pStyle w:val="NormalParaAR"/>
            </w:pPr>
          </w:p>
          <w:p w:rsidR="00743943" w:rsidRPr="00743943" w:rsidRDefault="00743943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="00815D49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43943" w:rsidRPr="00743943" w:rsidRDefault="00743943" w:rsidP="00743943">
            <w:pPr>
              <w:pStyle w:val="NormalParaAR"/>
              <w:rPr>
                <w:rtl/>
              </w:rPr>
            </w:pP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D74819" w:rsidRDefault="00D74819" w:rsidP="00815D49">
            <w:pPr>
              <w:pStyle w:val="NormalParaAR"/>
              <w:rPr>
                <w:b/>
                <w:bCs/>
              </w:rPr>
            </w:pPr>
          </w:p>
          <w:p w:rsidR="00743943" w:rsidRDefault="00815D49" w:rsidP="00815D49">
            <w:pPr>
              <w:pStyle w:val="NormalParaAR"/>
              <w:rPr>
                <w:i/>
                <w:iCs/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8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أية مسائل أخرى</w:t>
            </w:r>
          </w:p>
          <w:p w:rsidR="00815D49" w:rsidRPr="00743943" w:rsidRDefault="00815D49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9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اختتام الدورة</w:t>
            </w:r>
          </w:p>
        </w:tc>
      </w:tr>
    </w:tbl>
    <w:p w:rsidR="00743943" w:rsidRPr="00743943" w:rsidRDefault="00743943" w:rsidP="00815D49">
      <w:pPr>
        <w:pStyle w:val="EndofDocumentAR"/>
        <w:rPr>
          <w:rtl/>
        </w:rPr>
      </w:pPr>
      <w:r w:rsidRPr="00743943">
        <w:rPr>
          <w:rFonts w:hint="cs"/>
          <w:rtl/>
        </w:rPr>
        <w:t>[نهاية الوثيقة]</w:t>
      </w:r>
    </w:p>
    <w:sectPr w:rsidR="00743943" w:rsidRPr="0074394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7F" w:rsidRDefault="0073507F">
      <w:r>
        <w:separator/>
      </w:r>
    </w:p>
  </w:endnote>
  <w:endnote w:type="continuationSeparator" w:id="0">
    <w:p w:rsidR="0073507F" w:rsidRDefault="007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7F" w:rsidRDefault="0073507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3507F" w:rsidRDefault="0073507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60" w:rsidRDefault="00DD4DA9" w:rsidP="00D61541">
    <w:pPr>
      <w:rPr>
        <w:rtl/>
      </w:rPr>
    </w:pPr>
    <w:r>
      <w:t>WIPO/GRTKF/IC/26/INF/3 Rev</w:t>
    </w:r>
    <w:r w:rsidR="00AB0960" w:rsidRPr="00AB0960">
      <w:t>.</w:t>
    </w:r>
  </w:p>
  <w:p w:rsidR="0073507F" w:rsidRDefault="0073507F" w:rsidP="00D61541">
    <w:r>
      <w:fldChar w:fldCharType="begin"/>
    </w:r>
    <w:r>
      <w:instrText xml:space="preserve"> PAGE  \* MERGEFORMAT </w:instrText>
    </w:r>
    <w:r>
      <w:fldChar w:fldCharType="separate"/>
    </w:r>
    <w:r w:rsidR="004A704C">
      <w:rPr>
        <w:noProof/>
      </w:rPr>
      <w:t>3</w:t>
    </w:r>
    <w:r>
      <w:fldChar w:fldCharType="end"/>
    </w:r>
  </w:p>
  <w:p w:rsidR="0073507F" w:rsidRDefault="0073507F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290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97E54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790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1E45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2A5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508"/>
    <w:rsid w:val="003D56B5"/>
    <w:rsid w:val="003D5DCC"/>
    <w:rsid w:val="003D6B84"/>
    <w:rsid w:val="003E1A49"/>
    <w:rsid w:val="003E2D01"/>
    <w:rsid w:val="003E330E"/>
    <w:rsid w:val="003E3AE3"/>
    <w:rsid w:val="003E5733"/>
    <w:rsid w:val="003E5D52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704C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047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665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4A2E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243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F38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07F"/>
    <w:rsid w:val="00735C8A"/>
    <w:rsid w:val="00735FE2"/>
    <w:rsid w:val="0073719A"/>
    <w:rsid w:val="00737C62"/>
    <w:rsid w:val="00737C91"/>
    <w:rsid w:val="0074130E"/>
    <w:rsid w:val="00743937"/>
    <w:rsid w:val="00743943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5D49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52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5BE7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0960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364"/>
    <w:rsid w:val="00B52695"/>
    <w:rsid w:val="00B545AF"/>
    <w:rsid w:val="00B55B09"/>
    <w:rsid w:val="00B56711"/>
    <w:rsid w:val="00B57EF2"/>
    <w:rsid w:val="00B604F3"/>
    <w:rsid w:val="00B605B0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4819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2EA2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4DA9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5B5F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59C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E32D-8096-4C1F-AB6A-224E616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WIPO/GRTKF/IC/26/INF/3 REV. (Arabic)</vt:lpstr>
    </vt:vector>
  </TitlesOfParts>
  <Company>World Intellectual Property Organization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WIPO/GRTKF/IC/26/INF/3 REV. (Arabic)</dc:title>
  <dc:subject>مشروع برنامج الدورة السادسة والعشرين</dc:subject>
  <dc:creator>من إعداد الأمانة</dc:creator>
  <cp:lastModifiedBy>DOMBRE Nadia</cp:lastModifiedBy>
  <cp:revision>2</cp:revision>
  <cp:lastPrinted>2014-01-13T17:22:00Z</cp:lastPrinted>
  <dcterms:created xsi:type="dcterms:W3CDTF">2014-01-22T09:38:00Z</dcterms:created>
  <dcterms:modified xsi:type="dcterms:W3CDTF">2014-01-22T09:38:00Z</dcterms:modified>
</cp:coreProperties>
</file>