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72C94" w:rsidRPr="00016B26" w:rsidTr="00E41267">
        <w:trPr>
          <w:trHeight w:val="1977"/>
        </w:trPr>
        <w:tc>
          <w:tcPr>
            <w:tcW w:w="4594" w:type="dxa"/>
            <w:tcBorders>
              <w:bottom w:val="single" w:sz="4" w:space="0" w:color="auto"/>
            </w:tcBorders>
            <w:tcMar>
              <w:bottom w:w="170" w:type="dxa"/>
            </w:tcMar>
          </w:tcPr>
          <w:p w:rsidR="00772C94" w:rsidRPr="00016B26" w:rsidRDefault="00772C94" w:rsidP="00E41267">
            <w:r w:rsidRPr="00016B26">
              <w:rPr>
                <w:rFonts w:hint="eastAsia"/>
                <w:noProof/>
              </w:rPr>
              <w:drawing>
                <wp:anchor distT="0" distB="0" distL="114300" distR="114300" simplePos="0" relativeHeight="251659264" behindDoc="1" locked="0" layoutInCell="0" allowOverlap="1" wp14:anchorId="48A99B48" wp14:editId="2DB6E4D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72C94" w:rsidRPr="00016B26" w:rsidRDefault="00772C94" w:rsidP="00E41267"/>
        </w:tc>
        <w:tc>
          <w:tcPr>
            <w:tcW w:w="425" w:type="dxa"/>
            <w:tcBorders>
              <w:bottom w:val="single" w:sz="4" w:space="0" w:color="auto"/>
            </w:tcBorders>
            <w:tcMar>
              <w:left w:w="0" w:type="dxa"/>
              <w:right w:w="0" w:type="dxa"/>
            </w:tcMar>
          </w:tcPr>
          <w:p w:rsidR="00772C94" w:rsidRPr="00016B26" w:rsidRDefault="00772C94" w:rsidP="00E41267">
            <w:pPr>
              <w:jc w:val="right"/>
            </w:pPr>
            <w:r w:rsidRPr="00016B26">
              <w:rPr>
                <w:rFonts w:hint="eastAsia"/>
                <w:b/>
                <w:sz w:val="40"/>
                <w:szCs w:val="40"/>
              </w:rPr>
              <w:t>C</w:t>
            </w:r>
          </w:p>
        </w:tc>
      </w:tr>
      <w:tr w:rsidR="00772C94" w:rsidRPr="00016B26" w:rsidTr="00E41267">
        <w:trPr>
          <w:trHeight w:hRule="exact" w:val="340"/>
        </w:trPr>
        <w:tc>
          <w:tcPr>
            <w:tcW w:w="9356" w:type="dxa"/>
            <w:gridSpan w:val="3"/>
            <w:tcBorders>
              <w:top w:val="single" w:sz="4" w:space="0" w:color="auto"/>
            </w:tcBorders>
            <w:tcMar>
              <w:top w:w="170" w:type="dxa"/>
              <w:left w:w="0" w:type="dxa"/>
              <w:right w:w="0" w:type="dxa"/>
            </w:tcMar>
            <w:vAlign w:val="bottom"/>
          </w:tcPr>
          <w:p w:rsidR="00772C94" w:rsidRPr="00016B26" w:rsidRDefault="00772C94" w:rsidP="00862497">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bookmarkStart w:id="0" w:name="Code"/>
            <w:bookmarkEnd w:id="0"/>
            <w:r w:rsidR="00862497">
              <w:rPr>
                <w:rFonts w:ascii="Arial Black" w:hAnsi="Arial Black" w:hint="eastAsia"/>
                <w:caps/>
                <w:sz w:val="15"/>
              </w:rPr>
              <w:t>4</w:t>
            </w:r>
            <w:bookmarkStart w:id="1" w:name="_GoBack"/>
            <w:bookmarkEnd w:id="1"/>
          </w:p>
        </w:tc>
      </w:tr>
      <w:tr w:rsidR="00772C94" w:rsidRPr="00016B26" w:rsidTr="00E41267">
        <w:trPr>
          <w:trHeight w:hRule="exact" w:val="170"/>
        </w:trPr>
        <w:tc>
          <w:tcPr>
            <w:tcW w:w="9356" w:type="dxa"/>
            <w:gridSpan w:val="3"/>
            <w:noWrap/>
            <w:tcMar>
              <w:left w:w="0" w:type="dxa"/>
              <w:right w:w="0" w:type="dxa"/>
            </w:tcMar>
            <w:vAlign w:val="bottom"/>
          </w:tcPr>
          <w:p w:rsidR="00772C94" w:rsidRPr="00016B26" w:rsidRDefault="00772C94" w:rsidP="00E41267">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2" w:name="Original"/>
            <w:bookmarkEnd w:id="2"/>
            <w:r w:rsidRPr="00016B26">
              <w:rPr>
                <w:rFonts w:eastAsia="SimHei" w:hint="eastAsia"/>
                <w:b/>
                <w:sz w:val="15"/>
                <w:szCs w:val="15"/>
                <w:lang w:val="pt-BR"/>
              </w:rPr>
              <w:t>英文</w:t>
            </w:r>
          </w:p>
        </w:tc>
      </w:tr>
      <w:tr w:rsidR="00772C94" w:rsidRPr="00016B26" w:rsidTr="00E41267">
        <w:trPr>
          <w:trHeight w:hRule="exact" w:val="198"/>
        </w:trPr>
        <w:tc>
          <w:tcPr>
            <w:tcW w:w="9356" w:type="dxa"/>
            <w:gridSpan w:val="3"/>
            <w:tcMar>
              <w:left w:w="0" w:type="dxa"/>
              <w:right w:w="0" w:type="dxa"/>
            </w:tcMar>
            <w:vAlign w:val="bottom"/>
          </w:tcPr>
          <w:p w:rsidR="00772C94" w:rsidRPr="00016B26" w:rsidRDefault="00772C94" w:rsidP="00E41267">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3" w:name="Date"/>
            <w:bookmarkEnd w:id="3"/>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2</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16</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72C94" w:rsidRDefault="00772C94" w:rsidP="00772C94"/>
    <w:p w:rsidR="00772C94" w:rsidRPr="00016B26" w:rsidRDefault="00772C94" w:rsidP="00772C94"/>
    <w:p w:rsidR="00772C94" w:rsidRPr="00016B26" w:rsidRDefault="00772C94" w:rsidP="00772C94"/>
    <w:p w:rsidR="00772C94" w:rsidRPr="00016B26" w:rsidRDefault="00772C94" w:rsidP="00772C94"/>
    <w:p w:rsidR="00772C94" w:rsidRPr="00016B26" w:rsidRDefault="00772C94" w:rsidP="00772C94"/>
    <w:p w:rsidR="00772C94" w:rsidRPr="00016B26" w:rsidRDefault="00772C94" w:rsidP="00772C94">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772C94" w:rsidRPr="00016B26" w:rsidRDefault="00772C94" w:rsidP="00772C94">
      <w:pPr>
        <w:rPr>
          <w:rFonts w:ascii="SimHei" w:eastAsia="SimHei"/>
          <w:sz w:val="28"/>
          <w:szCs w:val="28"/>
        </w:rPr>
      </w:pPr>
      <w:r w:rsidRPr="00016B26">
        <w:rPr>
          <w:rFonts w:ascii="SimHei" w:eastAsia="SimHei" w:hint="eastAsia"/>
          <w:sz w:val="28"/>
          <w:szCs w:val="28"/>
        </w:rPr>
        <w:t>工作组</w:t>
      </w:r>
    </w:p>
    <w:p w:rsidR="00772C94" w:rsidRPr="00016B26" w:rsidRDefault="00772C94" w:rsidP="00772C94"/>
    <w:p w:rsidR="00772C94" w:rsidRPr="00615BD4" w:rsidRDefault="00772C94" w:rsidP="00772C94"/>
    <w:p w:rsidR="00772C94" w:rsidRPr="00016B26" w:rsidRDefault="00772C94" w:rsidP="00772C94">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772C94" w:rsidRPr="00016B26" w:rsidRDefault="00772C94" w:rsidP="00772C94">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772C94" w:rsidRPr="00016B26" w:rsidRDefault="00772C94" w:rsidP="00772C94"/>
    <w:p w:rsidR="00772C94" w:rsidRPr="00016B26" w:rsidRDefault="00772C94" w:rsidP="00772C94"/>
    <w:p w:rsidR="00772C94" w:rsidRPr="00016B26" w:rsidRDefault="00772C94" w:rsidP="00772C94"/>
    <w:p w:rsidR="00772C94" w:rsidRPr="00016B26" w:rsidRDefault="00772C94" w:rsidP="00772C94">
      <w:pPr>
        <w:rPr>
          <w:rFonts w:ascii="KaiTi" w:eastAsia="KaiTi" w:hAnsi="KaiTi"/>
          <w:sz w:val="24"/>
          <w:szCs w:val="32"/>
        </w:rPr>
      </w:pPr>
      <w:bookmarkStart w:id="4" w:name="TitleOfDoc"/>
      <w:bookmarkEnd w:id="4"/>
      <w:r w:rsidRPr="00772C94">
        <w:rPr>
          <w:rFonts w:ascii="KaiTi" w:eastAsia="KaiTi" w:hAnsi="KaiTi" w:hint="eastAsia"/>
          <w:sz w:val="24"/>
          <w:szCs w:val="32"/>
        </w:rPr>
        <w:t>在国际申请中使用国家分类号</w:t>
      </w:r>
    </w:p>
    <w:p w:rsidR="00772C94" w:rsidRPr="00772C94" w:rsidRDefault="00772C94" w:rsidP="00772C94"/>
    <w:p w:rsidR="00772C94" w:rsidRPr="00494405" w:rsidRDefault="00772C94" w:rsidP="00772C94">
      <w:pPr>
        <w:rPr>
          <w:rFonts w:ascii="KaiTi" w:eastAsia="KaiTi" w:hAnsi="KaiTi"/>
          <w:sz w:val="21"/>
          <w:szCs w:val="21"/>
        </w:rPr>
      </w:pPr>
      <w:bookmarkStart w:id="5" w:name="Prepared"/>
      <w:bookmarkEnd w:id="5"/>
      <w:r w:rsidRPr="00615BD4">
        <w:rPr>
          <w:rFonts w:ascii="KaiTi" w:eastAsia="KaiTi" w:hAnsi="KaiTi" w:hint="eastAsia"/>
          <w:sz w:val="21"/>
          <w:szCs w:val="21"/>
        </w:rPr>
        <w:t>国际局编拟的文件</w:t>
      </w:r>
    </w:p>
    <w:p w:rsidR="00772C94" w:rsidRPr="00016B26" w:rsidRDefault="00772C94" w:rsidP="00772C94"/>
    <w:p w:rsidR="00772C94" w:rsidRPr="00016B26" w:rsidRDefault="00772C94" w:rsidP="00772C94"/>
    <w:p w:rsidR="00772C94" w:rsidRPr="00016B26" w:rsidRDefault="00772C94" w:rsidP="00772C94"/>
    <w:p w:rsidR="00772C94" w:rsidRPr="00016B26" w:rsidRDefault="00772C94" w:rsidP="00772C94"/>
    <w:p w:rsidR="003D6DC6" w:rsidRPr="00772C94" w:rsidRDefault="003D6DC6"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概　述</w:t>
      </w:r>
    </w:p>
    <w:p w:rsidR="003D6DC6" w:rsidRPr="00772C94" w:rsidRDefault="003D6DC6"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国际局建议，应鼓励以合作专利分类（CPC）作为国内分类体系的国际检索单位，按照该分类体系对国际申请进行分类，国际局应登记并提供这些分类号，以供在PATENTSCOPE中检索，并供下载到其他专利数据库中使用。实现这种做法无须对《PCT实施细则》</w:t>
      </w:r>
      <w:proofErr w:type="gramStart"/>
      <w:r w:rsidRPr="00772C94">
        <w:rPr>
          <w:rFonts w:ascii="SimSun" w:hAnsi="SimSun"/>
          <w:sz w:val="21"/>
        </w:rPr>
        <w:t>作出</w:t>
      </w:r>
      <w:proofErr w:type="gramEnd"/>
      <w:r w:rsidRPr="00772C94">
        <w:rPr>
          <w:rFonts w:ascii="SimSun" w:hAnsi="SimSun"/>
          <w:sz w:val="21"/>
        </w:rPr>
        <w:t>任何修改。授权条款可以纳入PCT大会今年将需要批准的国际检索单位与国际局之间的新协议</w:t>
      </w:r>
      <w:r w:rsidR="00E71283" w:rsidRPr="00772C94">
        <w:rPr>
          <w:rFonts w:ascii="SimSun" w:hAnsi="SimSun" w:hint="eastAsia"/>
          <w:sz w:val="21"/>
        </w:rPr>
        <w:t>中</w:t>
      </w:r>
      <w:r w:rsidRPr="00772C94">
        <w:rPr>
          <w:rFonts w:ascii="SimSun" w:hAnsi="SimSun"/>
          <w:sz w:val="21"/>
        </w:rPr>
        <w:t>。</w:t>
      </w:r>
    </w:p>
    <w:p w:rsidR="00DB4305" w:rsidRPr="00772C94" w:rsidRDefault="00DB4305"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背</w:t>
      </w:r>
      <w:r w:rsidR="009D2B7D" w:rsidRPr="00772C94">
        <w:rPr>
          <w:rFonts w:ascii="SimHei" w:eastAsia="SimHei" w:hAnsi="SimHei"/>
          <w:b w:val="0"/>
          <w:sz w:val="21"/>
        </w:rPr>
        <w:t xml:space="preserve">　</w:t>
      </w:r>
      <w:r w:rsidRPr="00772C94">
        <w:rPr>
          <w:rFonts w:ascii="SimHei" w:eastAsia="SimHei" w:hAnsi="SimHei"/>
          <w:b w:val="0"/>
          <w:sz w:val="21"/>
        </w:rPr>
        <w:t>景</w:t>
      </w:r>
    </w:p>
    <w:p w:rsidR="00DB4305" w:rsidRPr="00772C94" w:rsidRDefault="00FF1429" w:rsidP="00772C94">
      <w:pPr>
        <w:pStyle w:val="ONUME"/>
        <w:tabs>
          <w:tab w:val="clear" w:pos="567"/>
        </w:tabs>
        <w:overflowPunct w:val="0"/>
        <w:spacing w:afterLines="50" w:after="120" w:line="340" w:lineRule="atLeast"/>
        <w:jc w:val="both"/>
        <w:rPr>
          <w:rFonts w:ascii="SimSun" w:hAnsi="SimSun"/>
          <w:sz w:val="21"/>
        </w:rPr>
      </w:pPr>
      <w:bookmarkStart w:id="6" w:name="_Ref472592513"/>
      <w:r w:rsidRPr="00772C94">
        <w:rPr>
          <w:rFonts w:ascii="SimSun" w:hAnsi="SimSun"/>
          <w:sz w:val="21"/>
        </w:rPr>
        <w:t>PCT</w:t>
      </w:r>
      <w:r w:rsidR="00DB4305" w:rsidRPr="00772C94">
        <w:rPr>
          <w:rFonts w:ascii="SimSun" w:hAnsi="SimSun"/>
          <w:sz w:val="21"/>
        </w:rPr>
        <w:t>工作组在2016年5月17日至20日于日内瓦举行的第九届会议上，讨论了大韩民国提交的一份工作文件，题为</w:t>
      </w:r>
      <w:r w:rsidR="00636328" w:rsidRPr="00772C94">
        <w:rPr>
          <w:rFonts w:ascii="SimSun" w:hAnsi="SimSun" w:hint="eastAsia"/>
          <w:sz w:val="21"/>
        </w:rPr>
        <w:t>“</w:t>
      </w:r>
      <w:r w:rsidR="00DB4305" w:rsidRPr="00772C94">
        <w:rPr>
          <w:rFonts w:ascii="SimSun" w:hAnsi="SimSun"/>
          <w:sz w:val="21"/>
        </w:rPr>
        <w:t>在已公布国际申请扉页注明国家分类</w:t>
      </w:r>
      <w:r w:rsidR="00636328" w:rsidRPr="00772C94">
        <w:rPr>
          <w:rFonts w:ascii="SimSun" w:hAnsi="SimSun" w:hint="eastAsia"/>
          <w:sz w:val="21"/>
        </w:rPr>
        <w:t>”</w:t>
      </w:r>
      <w:r w:rsidR="00DB4305" w:rsidRPr="00772C94">
        <w:rPr>
          <w:rFonts w:ascii="SimSun" w:hAnsi="SimSun"/>
          <w:sz w:val="21"/>
        </w:rPr>
        <w:t>（文件PCT/WG/9/26）。该工作文件提议，除了国际专利分类（IPC）号以外，国际检索单位分配并在国际检索报告中注明的国家分类号，可以包括在国际申请扉页所载的信息中。谅解是，这种做法将主要适用于使用CPC进行的分类。该届会议报告的第198段至第214段提供了讨论的详情；第214段概述了工作组商定的后续工作：</w:t>
      </w:r>
      <w:bookmarkEnd w:id="6"/>
    </w:p>
    <w:p w:rsidR="00DB4305" w:rsidRPr="00772C94" w:rsidRDefault="00636328" w:rsidP="00772C94">
      <w:pPr>
        <w:pStyle w:val="ONUME"/>
        <w:numPr>
          <w:ilvl w:val="0"/>
          <w:numId w:val="0"/>
        </w:numPr>
        <w:spacing w:afterLines="50" w:after="120" w:line="340" w:lineRule="atLeast"/>
        <w:ind w:left="567"/>
        <w:jc w:val="both"/>
        <w:rPr>
          <w:rFonts w:ascii="SimSun" w:hAnsi="SimSun"/>
          <w:sz w:val="21"/>
        </w:rPr>
      </w:pPr>
      <w:r w:rsidRPr="00772C94">
        <w:rPr>
          <w:rFonts w:ascii="SimSun" w:hAnsi="SimSun" w:hint="eastAsia"/>
          <w:sz w:val="21"/>
        </w:rPr>
        <w:t>“</w:t>
      </w:r>
      <w:r w:rsidR="00DB4305" w:rsidRPr="00772C94">
        <w:rPr>
          <w:rFonts w:ascii="SimSun" w:hAnsi="SimSun"/>
          <w:sz w:val="21"/>
        </w:rPr>
        <w:t>214</w:t>
      </w:r>
      <w:r w:rsidR="00CD301F">
        <w:rPr>
          <w:rFonts w:ascii="SimSun" w:hAnsi="SimSun" w:hint="eastAsia"/>
          <w:sz w:val="21"/>
        </w:rPr>
        <w:t>.</w:t>
      </w:r>
      <w:r w:rsidR="00DB4305" w:rsidRPr="00772C94">
        <w:rPr>
          <w:rFonts w:ascii="SimSun" w:hAnsi="SimSun"/>
          <w:sz w:val="21"/>
        </w:rPr>
        <w:t>工作组邀请韩国特许厅与国际局合作开发和讨论与落实文件PCT/WG/9/26所列各项原则相关的法律和技术问题，并邀请国际局发出通函，从各局收集各国在分类方面的评论意见和信息。工作组下届会议将审议所有上述信息。</w:t>
      </w:r>
      <w:r w:rsidRPr="00772C94">
        <w:rPr>
          <w:rFonts w:ascii="SimSun" w:hAnsi="SimSun" w:hint="eastAsia"/>
          <w:sz w:val="21"/>
        </w:rPr>
        <w:t>”</w:t>
      </w:r>
    </w:p>
    <w:p w:rsidR="00B11ADE" w:rsidRPr="00772C94" w:rsidRDefault="00B11ADE"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lastRenderedPageBreak/>
        <w:t>法律框架</w:t>
      </w:r>
    </w:p>
    <w:p w:rsidR="00B11ADE" w:rsidRPr="00772C94" w:rsidRDefault="00B11ADE"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PCT细则43.3(a)</w:t>
      </w:r>
      <w:r w:rsidR="00636328" w:rsidRPr="00772C94">
        <w:rPr>
          <w:rFonts w:ascii="SimSun" w:hAnsi="SimSun"/>
          <w:sz w:val="21"/>
        </w:rPr>
        <w:t>指出</w:t>
      </w:r>
      <w:r w:rsidR="00636328" w:rsidRPr="00772C94">
        <w:rPr>
          <w:rFonts w:ascii="SimSun" w:hAnsi="SimSun" w:hint="eastAsia"/>
          <w:sz w:val="21"/>
        </w:rPr>
        <w:t>：“</w:t>
      </w:r>
      <w:r w:rsidRPr="00772C94">
        <w:rPr>
          <w:rFonts w:ascii="SimSun" w:hAnsi="SimSun"/>
          <w:sz w:val="21"/>
        </w:rPr>
        <w:t>国际检索报告至少应有按国际专利分类法对主题所作的分类号。</w:t>
      </w:r>
      <w:r w:rsidR="00636328" w:rsidRPr="00772C94">
        <w:rPr>
          <w:rFonts w:ascii="SimSun" w:hAnsi="SimSun" w:hint="eastAsia"/>
          <w:sz w:val="21"/>
        </w:rPr>
        <w:t>”</w:t>
      </w:r>
      <w:r w:rsidRPr="00772C94">
        <w:rPr>
          <w:rFonts w:ascii="SimSun" w:hAnsi="SimSun"/>
          <w:sz w:val="21"/>
        </w:rPr>
        <w:t>《PCT行政规程》第504条对分类</w:t>
      </w:r>
      <w:proofErr w:type="gramStart"/>
      <w:r w:rsidRPr="00772C94">
        <w:rPr>
          <w:rFonts w:ascii="SimSun" w:hAnsi="SimSun"/>
          <w:sz w:val="21"/>
        </w:rPr>
        <w:t>作出</w:t>
      </w:r>
      <w:proofErr w:type="gramEnd"/>
      <w:r w:rsidRPr="00772C94">
        <w:rPr>
          <w:rFonts w:ascii="SimSun" w:hAnsi="SimSun"/>
          <w:sz w:val="21"/>
        </w:rPr>
        <w:t>更详细的规定。关于国家分类号，如果国际检索单位使用的是相应的国家分类系统，第504</w:t>
      </w:r>
      <w:r w:rsidR="00636328" w:rsidRPr="00772C94">
        <w:rPr>
          <w:rFonts w:ascii="SimSun" w:hAnsi="SimSun"/>
          <w:sz w:val="21"/>
        </w:rPr>
        <w:t>条</w:t>
      </w:r>
      <w:r w:rsidR="00636328" w:rsidRPr="00772C94">
        <w:rPr>
          <w:rFonts w:ascii="SimSun" w:hAnsi="SimSun" w:hint="eastAsia"/>
          <w:sz w:val="21"/>
        </w:rPr>
        <w:t>(</w:t>
      </w:r>
      <w:r w:rsidRPr="00772C94">
        <w:rPr>
          <w:rFonts w:ascii="SimSun" w:hAnsi="SimSun"/>
          <w:sz w:val="21"/>
        </w:rPr>
        <w:t>b</w:t>
      </w:r>
      <w:r w:rsidR="00636328" w:rsidRPr="00772C94">
        <w:rPr>
          <w:rFonts w:ascii="SimSun" w:hAnsi="SimSun" w:hint="eastAsia"/>
          <w:sz w:val="21"/>
        </w:rPr>
        <w:t>)</w:t>
      </w:r>
      <w:proofErr w:type="gramStart"/>
      <w:r w:rsidRPr="00772C94">
        <w:rPr>
          <w:rFonts w:ascii="SimSun" w:hAnsi="SimSun"/>
          <w:sz w:val="21"/>
        </w:rPr>
        <w:t>项允许</w:t>
      </w:r>
      <w:proofErr w:type="gramEnd"/>
      <w:r w:rsidRPr="00772C94">
        <w:rPr>
          <w:rFonts w:ascii="SimSun" w:hAnsi="SimSun"/>
          <w:sz w:val="21"/>
        </w:rPr>
        <w:t>将国家分类号写入国际检索报告。如果国际检索单位既使用IPC，也使用国家分类系统，第504条(c)项规定，</w:t>
      </w:r>
      <w:r w:rsidR="00636328" w:rsidRPr="00772C94">
        <w:rPr>
          <w:rFonts w:ascii="SimSun" w:hAnsi="SimSun" w:hint="eastAsia"/>
          <w:sz w:val="21"/>
        </w:rPr>
        <w:t>“</w:t>
      </w:r>
      <w:r w:rsidRPr="00772C94">
        <w:rPr>
          <w:rFonts w:ascii="SimSun" w:hAnsi="SimSun"/>
          <w:sz w:val="21"/>
        </w:rPr>
        <w:t>只要可能，国际检索报告应注明两个相互对立分类法的相应分类号</w:t>
      </w:r>
      <w:r w:rsidR="00636328" w:rsidRPr="00772C94">
        <w:rPr>
          <w:rFonts w:ascii="SimSun" w:hAnsi="SimSun" w:hint="eastAsia"/>
          <w:sz w:val="21"/>
        </w:rPr>
        <w:t>”</w:t>
      </w:r>
      <w:r w:rsidRPr="00772C94">
        <w:rPr>
          <w:rFonts w:ascii="SimSun" w:hAnsi="SimSun"/>
          <w:sz w:val="21"/>
        </w:rPr>
        <w:t>。</w:t>
      </w:r>
    </w:p>
    <w:p w:rsidR="00B11ADE" w:rsidRPr="00772C94" w:rsidRDefault="00B11ADE"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就国际初步审查而言，PCT细则70.5(a)规定国际初步审查报告重复国际检索单位所提供的分类，除非国际初步审查单位不同意该分类。如果不同意的话，细则70.5(b)要求国际初步审查单位至少根据IPC，报告其认为是正确的分类。</w:t>
      </w:r>
    </w:p>
    <w:p w:rsidR="00EC00B7" w:rsidRPr="00772C94" w:rsidRDefault="00B11ADE" w:rsidP="00772C94">
      <w:pPr>
        <w:pStyle w:val="ONUME"/>
        <w:tabs>
          <w:tab w:val="clear" w:pos="567"/>
        </w:tabs>
        <w:overflowPunct w:val="0"/>
        <w:spacing w:afterLines="50" w:after="120" w:line="340" w:lineRule="atLeast"/>
        <w:jc w:val="both"/>
        <w:rPr>
          <w:rFonts w:ascii="SimSun" w:hAnsi="SimSun"/>
          <w:sz w:val="21"/>
        </w:rPr>
      </w:pPr>
      <w:bookmarkStart w:id="7" w:name="_Ref475456206"/>
      <w:r w:rsidRPr="00772C94">
        <w:rPr>
          <w:rFonts w:ascii="SimSun" w:hAnsi="SimSun"/>
          <w:sz w:val="21"/>
        </w:rPr>
        <w:t>因此，目前根据《PCT实施细则》和</w:t>
      </w:r>
      <w:r w:rsidR="00636328" w:rsidRPr="00772C94">
        <w:rPr>
          <w:rFonts w:ascii="SimSun" w:hAnsi="SimSun"/>
          <w:sz w:val="21"/>
        </w:rPr>
        <w:t>《行政规程》</w:t>
      </w:r>
      <w:r w:rsidRPr="00772C94">
        <w:rPr>
          <w:rFonts w:ascii="SimSun" w:hAnsi="SimSun"/>
          <w:sz w:val="21"/>
        </w:rPr>
        <w:t>，国际检索报告和国际初步审查报告已经可以既包含IPC号，也包含国际检索单位或国际初步审查单位所使用的任何国家分类系统。就各国际单位而言，各局与</w:t>
      </w:r>
      <w:proofErr w:type="gramStart"/>
      <w:r w:rsidRPr="00772C94">
        <w:rPr>
          <w:rFonts w:ascii="SimSun" w:hAnsi="SimSun"/>
          <w:sz w:val="21"/>
        </w:rPr>
        <w:t>国际局依</w:t>
      </w:r>
      <w:proofErr w:type="gramEnd"/>
      <w:r w:rsidRPr="00772C94">
        <w:rPr>
          <w:rFonts w:ascii="SimSun" w:hAnsi="SimSun"/>
          <w:sz w:val="21"/>
        </w:rPr>
        <w:t>PCT第16条第(3)款(b)项和第32条第(3)款(b)项，就各局作为国际检索和初步审查单位来运行而签订的各项协议的第6条中，对上述问题</w:t>
      </w:r>
      <w:proofErr w:type="gramStart"/>
      <w:r w:rsidRPr="00772C94">
        <w:rPr>
          <w:rFonts w:ascii="SimSun" w:hAnsi="SimSun"/>
          <w:sz w:val="21"/>
        </w:rPr>
        <w:t>作出</w:t>
      </w:r>
      <w:proofErr w:type="gramEnd"/>
      <w:r w:rsidRPr="00772C94">
        <w:rPr>
          <w:rFonts w:ascii="SimSun" w:hAnsi="SimSun"/>
          <w:sz w:val="21"/>
        </w:rPr>
        <w:t>规定；目前，仅有与美国专利商标局（USPTO）的协议明确规</w:t>
      </w:r>
      <w:r w:rsidR="00636328" w:rsidRPr="00772C94">
        <w:rPr>
          <w:rFonts w:ascii="SimSun" w:hAnsi="SimSun"/>
          <w:sz w:val="21"/>
        </w:rPr>
        <w:t>定，要</w:t>
      </w:r>
      <w:r w:rsidR="00636328" w:rsidRPr="00772C94">
        <w:rPr>
          <w:rFonts w:ascii="SimSun" w:hAnsi="SimSun" w:hint="eastAsia"/>
          <w:sz w:val="21"/>
        </w:rPr>
        <w:t>包括</w:t>
      </w:r>
      <w:r w:rsidRPr="00772C94">
        <w:rPr>
          <w:rFonts w:ascii="SimSun" w:hAnsi="SimSun"/>
          <w:sz w:val="21"/>
        </w:rPr>
        <w:t>USPTO以国际单位身份所用的国家分类号。所有这些协议都将于2017年12月31日到期。</w:t>
      </w:r>
    </w:p>
    <w:p w:rsidR="00B11ADE" w:rsidRPr="00772C94" w:rsidRDefault="00CF665E"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在2017年2月8日至10日在雷克雅未克举行的国际单位会议第二十四届会议上，批准了一份示范协议草案，作为各国际单位与国际局自2018年1月1日起，依第16条第(3)款(b)项和第32条第(3)款(b)项所签各项协议的基础（见文件PCT/MIA/24/2的附件和该届会议的主席总结——文件PCT/MIA/24/15的第30段和第31段）。</w:t>
      </w:r>
      <w:r w:rsidR="00174447" w:rsidRPr="00772C94">
        <w:rPr>
          <w:rFonts w:ascii="SimSun" w:hAnsi="SimSun"/>
          <w:sz w:val="21"/>
        </w:rPr>
        <w:t>该示范协议草案的第6条允许一个单位依细则43.3(a)和70.5，根据协议附件中指明的任何其他专利分类，对主题</w:t>
      </w:r>
      <w:proofErr w:type="gramStart"/>
      <w:r w:rsidR="00174447" w:rsidRPr="00772C94">
        <w:rPr>
          <w:rFonts w:ascii="SimSun" w:hAnsi="SimSun"/>
          <w:sz w:val="21"/>
        </w:rPr>
        <w:t>作出</w:t>
      </w:r>
      <w:proofErr w:type="gramEnd"/>
      <w:r w:rsidR="00174447" w:rsidRPr="00772C94">
        <w:rPr>
          <w:rFonts w:ascii="SimSun" w:hAnsi="SimSun"/>
          <w:sz w:val="21"/>
        </w:rPr>
        <w:t>分类。因此，一个单位可以就修正该附件发出通知，表示它将把CPC号添加到国际检索报告和国际初步审查报告中。</w:t>
      </w:r>
      <w:bookmarkEnd w:id="7"/>
    </w:p>
    <w:p w:rsidR="00B11ADE" w:rsidRPr="00772C94" w:rsidRDefault="00B11ADE"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国家分类号目前仅在国际检索报告中出现，没有出现在已公布国际申请的扉页上。因此，根据《行政规程》附件D（从公布的国际申请扉页摘出并包含在公报中的信息）第2.2条，摘出的只有IPC分类号。此外，目前任何国家分类号都没有被提取出来用于他处，例如放入任何电子数据库中。</w:t>
      </w:r>
    </w:p>
    <w:p w:rsidR="00B11ADE" w:rsidRPr="00772C94" w:rsidRDefault="00B11ADE"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通函C.PCT 1488号</w:t>
      </w:r>
    </w:p>
    <w:p w:rsidR="00EF3666" w:rsidRPr="00772C94" w:rsidRDefault="00F97F32"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为跟进工作组的要求（见上文第2段），国际局于2016年11月30日向作为受理局、国际检索和初步审查单位和/或指定局/</w:t>
      </w:r>
      <w:proofErr w:type="gramStart"/>
      <w:r w:rsidRPr="00772C94">
        <w:rPr>
          <w:rFonts w:ascii="SimSun" w:hAnsi="SimSun"/>
          <w:sz w:val="21"/>
        </w:rPr>
        <w:t>选定局</w:t>
      </w:r>
      <w:proofErr w:type="gramEnd"/>
      <w:r w:rsidRPr="00772C94">
        <w:rPr>
          <w:rFonts w:ascii="SimSun" w:hAnsi="SimSun"/>
          <w:sz w:val="21"/>
        </w:rPr>
        <w:t>的各局，并向某些代表PCT体系用户的非政府组织发出了通函C. PCT 1488号。</w:t>
      </w:r>
    </w:p>
    <w:p w:rsidR="00EF3666" w:rsidRPr="00772C94" w:rsidRDefault="00EF3666" w:rsidP="00772C94">
      <w:pPr>
        <w:pStyle w:val="ONUME"/>
        <w:tabs>
          <w:tab w:val="clear" w:pos="567"/>
        </w:tabs>
        <w:overflowPunct w:val="0"/>
        <w:spacing w:afterLines="50" w:after="120" w:line="340" w:lineRule="atLeast"/>
        <w:jc w:val="both"/>
        <w:rPr>
          <w:rFonts w:ascii="SimSun" w:hAnsi="SimSun"/>
          <w:sz w:val="21"/>
        </w:rPr>
      </w:pPr>
      <w:bookmarkStart w:id="8" w:name="_Ref475454318"/>
      <w:r w:rsidRPr="00772C94">
        <w:rPr>
          <w:rFonts w:ascii="SimSun" w:hAnsi="SimSun"/>
          <w:sz w:val="21"/>
        </w:rPr>
        <w:t>通函C.PCT 1488号的第13段至第16段针对大韩民国的提案提出了以下推进方式：</w:t>
      </w:r>
      <w:bookmarkEnd w:id="8"/>
    </w:p>
    <w:p w:rsidR="00EF3666" w:rsidRPr="00772C94" w:rsidRDefault="00636328" w:rsidP="00772C94">
      <w:pPr>
        <w:pStyle w:val="ONUME"/>
        <w:numPr>
          <w:ilvl w:val="0"/>
          <w:numId w:val="0"/>
        </w:numPr>
        <w:spacing w:afterLines="50" w:after="120" w:line="340" w:lineRule="atLeast"/>
        <w:ind w:left="567"/>
        <w:jc w:val="both"/>
        <w:rPr>
          <w:rFonts w:ascii="SimSun" w:hAnsi="SimSun"/>
          <w:sz w:val="21"/>
        </w:rPr>
      </w:pPr>
      <w:r w:rsidRPr="00772C94">
        <w:rPr>
          <w:rFonts w:ascii="SimSun" w:hAnsi="SimSun" w:hint="eastAsia"/>
          <w:sz w:val="21"/>
        </w:rPr>
        <w:t>“</w:t>
      </w:r>
      <w:r w:rsidR="00EF3666" w:rsidRPr="00772C94">
        <w:rPr>
          <w:rFonts w:ascii="SimSun" w:hAnsi="SimSun"/>
          <w:sz w:val="21"/>
        </w:rPr>
        <w:t>13.</w:t>
      </w:r>
      <w:r w:rsidR="00772C94">
        <w:rPr>
          <w:rFonts w:ascii="SimSun" w:hAnsi="SimSun" w:hint="eastAsia"/>
          <w:sz w:val="21"/>
        </w:rPr>
        <w:tab/>
      </w:r>
      <w:r w:rsidR="00EF3666" w:rsidRPr="00772C94">
        <w:rPr>
          <w:rFonts w:ascii="SimSun" w:hAnsi="SimSun"/>
          <w:sz w:val="21"/>
        </w:rPr>
        <w:t>考虑到大韩民国提案的目标和有效共享专利分类信息的主要要求，国际局建议采用以下方式：</w:t>
      </w:r>
    </w:p>
    <w:p w:rsidR="00EF3666" w:rsidRPr="00772C94" w:rsidRDefault="00EF3666" w:rsidP="00772C94">
      <w:pPr>
        <w:pStyle w:val="ONUME"/>
        <w:numPr>
          <w:ilvl w:val="1"/>
          <w:numId w:val="5"/>
        </w:numPr>
        <w:overflowPunct w:val="0"/>
        <w:spacing w:afterLines="50" w:after="120" w:line="340" w:lineRule="atLeast"/>
        <w:ind w:left="1134"/>
        <w:jc w:val="both"/>
        <w:rPr>
          <w:rFonts w:ascii="SimSun" w:hAnsi="SimSun"/>
          <w:sz w:val="21"/>
        </w:rPr>
      </w:pPr>
      <w:r w:rsidRPr="00772C94">
        <w:rPr>
          <w:rFonts w:ascii="SimSun" w:hAnsi="SimSun"/>
          <w:sz w:val="21"/>
        </w:rPr>
        <w:t>如果国际检索单位具备以CPC作为国家分类法，对专利申请的主题进行分类的经验，则该单位可以向国际局传送任何CPC号。只有具备CPC分类经验的单位才能传送关于国际申请的CPC数据。使用国家分类法，而不是使用CPC的国际检索单位，原则上也可以将其分类数据传送给国际局。</w:t>
      </w:r>
    </w:p>
    <w:p w:rsidR="00EF3666" w:rsidRPr="00772C94" w:rsidRDefault="00EF3666" w:rsidP="00772C94">
      <w:pPr>
        <w:pStyle w:val="ONUME"/>
        <w:numPr>
          <w:ilvl w:val="1"/>
          <w:numId w:val="5"/>
        </w:numPr>
        <w:overflowPunct w:val="0"/>
        <w:spacing w:afterLines="50" w:after="120" w:line="340" w:lineRule="atLeast"/>
        <w:ind w:left="1134"/>
        <w:jc w:val="both"/>
        <w:rPr>
          <w:rFonts w:ascii="SimSun" w:hAnsi="SimSun"/>
          <w:sz w:val="21"/>
        </w:rPr>
      </w:pPr>
      <w:r w:rsidRPr="00772C94">
        <w:rPr>
          <w:rFonts w:ascii="SimSun" w:hAnsi="SimSun"/>
          <w:sz w:val="21"/>
        </w:rPr>
        <w:t>所有CPC和其他国家分类数据应正确说明分类类型和版本，必须以机器可读格式传送，可以作为XML国际检索报告中所载分类的内容，如果这样不可行的话，也可以作为机</w:t>
      </w:r>
      <w:r w:rsidRPr="00772C94">
        <w:rPr>
          <w:rFonts w:ascii="SimSun" w:hAnsi="SimSun"/>
          <w:sz w:val="21"/>
        </w:rPr>
        <w:lastRenderedPageBreak/>
        <w:t>器可读数</w:t>
      </w:r>
      <w:proofErr w:type="gramStart"/>
      <w:r w:rsidRPr="00772C94">
        <w:rPr>
          <w:rFonts w:ascii="SimSun" w:hAnsi="SimSun"/>
          <w:sz w:val="21"/>
        </w:rPr>
        <w:t>据另外</w:t>
      </w:r>
      <w:proofErr w:type="gramEnd"/>
      <w:r w:rsidRPr="00772C94">
        <w:rPr>
          <w:rFonts w:ascii="SimSun" w:hAnsi="SimSun"/>
          <w:sz w:val="21"/>
        </w:rPr>
        <w:t>传送。国际</w:t>
      </w:r>
      <w:proofErr w:type="gramStart"/>
      <w:r w:rsidRPr="00772C94">
        <w:rPr>
          <w:rFonts w:ascii="SimSun" w:hAnsi="SimSun"/>
          <w:sz w:val="21"/>
        </w:rPr>
        <w:t>局不会</w:t>
      </w:r>
      <w:proofErr w:type="gramEnd"/>
      <w:r w:rsidRPr="00772C94">
        <w:rPr>
          <w:rFonts w:ascii="SimSun" w:hAnsi="SimSun"/>
          <w:sz w:val="21"/>
        </w:rPr>
        <w:t>重新输入其收到的非XML格式国际检索报告中的任何分类号。</w:t>
      </w:r>
    </w:p>
    <w:p w:rsidR="00EF3666" w:rsidRPr="00772C94" w:rsidRDefault="00EF3666" w:rsidP="00772C94">
      <w:pPr>
        <w:pStyle w:val="ONUME"/>
        <w:numPr>
          <w:ilvl w:val="1"/>
          <w:numId w:val="5"/>
        </w:numPr>
        <w:overflowPunct w:val="0"/>
        <w:spacing w:afterLines="50" w:after="120" w:line="340" w:lineRule="atLeast"/>
        <w:ind w:left="1134"/>
        <w:jc w:val="both"/>
        <w:rPr>
          <w:rFonts w:ascii="SimSun" w:hAnsi="SimSun"/>
          <w:sz w:val="21"/>
        </w:rPr>
      </w:pPr>
      <w:r w:rsidRPr="00772C94">
        <w:rPr>
          <w:rFonts w:ascii="SimSun" w:hAnsi="SimSun"/>
          <w:sz w:val="21"/>
        </w:rPr>
        <w:t>国际局将导入并存储机器可读格式的国家分类信息，这些信息的分类法如上文</w:t>
      </w:r>
      <w:r w:rsidRPr="00772C94">
        <w:rPr>
          <w:rFonts w:ascii="KaiTi" w:eastAsia="KaiTi" w:hAnsi="KaiTi"/>
          <w:sz w:val="21"/>
        </w:rPr>
        <w:t>[通函C. PCT 1488号]</w:t>
      </w:r>
      <w:r w:rsidRPr="00772C94">
        <w:rPr>
          <w:rFonts w:ascii="SimSun" w:hAnsi="SimSun"/>
          <w:sz w:val="21"/>
        </w:rPr>
        <w:t>第11段所述，可方便地供公众获悉。国际局将对适用于国际申请的CPC分类号进行自动确认，如果发现有任何差异，例如所用的分类号已不再适用，国际局将与国际检索单位联系。国际局预期无法对任何其他国家分类号执行任何此种确认工作。</w:t>
      </w:r>
    </w:p>
    <w:p w:rsidR="00EF3666" w:rsidRPr="00772C94" w:rsidRDefault="00EF3666" w:rsidP="00772C94">
      <w:pPr>
        <w:pStyle w:val="ONUME"/>
        <w:numPr>
          <w:ilvl w:val="1"/>
          <w:numId w:val="5"/>
        </w:numPr>
        <w:overflowPunct w:val="0"/>
        <w:spacing w:afterLines="50" w:after="120" w:line="340" w:lineRule="atLeast"/>
        <w:ind w:left="1134"/>
        <w:jc w:val="both"/>
        <w:rPr>
          <w:rFonts w:ascii="SimSun" w:hAnsi="SimSun"/>
          <w:sz w:val="21"/>
        </w:rPr>
      </w:pPr>
      <w:r w:rsidRPr="00772C94">
        <w:rPr>
          <w:rFonts w:ascii="SimSun" w:hAnsi="SimSun"/>
          <w:sz w:val="21"/>
        </w:rPr>
        <w:t>任何导入的CPC数据和其他国家分类数据，包括国际公布相关XML数据中的数据，都将以机器可读格式公布在PATENTSCOPE中，但不会出现在已公布国际申请的扉页上。</w:t>
      </w:r>
    </w:p>
    <w:p w:rsidR="008B7AD8" w:rsidRPr="00772C94" w:rsidRDefault="00814631" w:rsidP="00772C94">
      <w:pPr>
        <w:pStyle w:val="ONUME"/>
        <w:numPr>
          <w:ilvl w:val="0"/>
          <w:numId w:val="0"/>
        </w:numPr>
        <w:spacing w:afterLines="50" w:after="120" w:line="340" w:lineRule="atLeast"/>
        <w:ind w:left="567"/>
        <w:jc w:val="both"/>
        <w:rPr>
          <w:rFonts w:ascii="SimSun" w:hAnsi="SimSun"/>
          <w:sz w:val="21"/>
        </w:rPr>
      </w:pPr>
      <w:r w:rsidRPr="00772C94">
        <w:rPr>
          <w:rFonts w:ascii="SimSun" w:hAnsi="SimSun" w:hint="eastAsia"/>
          <w:sz w:val="21"/>
        </w:rPr>
        <w:t>“</w:t>
      </w:r>
      <w:r w:rsidR="00EF3666" w:rsidRPr="00772C94">
        <w:rPr>
          <w:rFonts w:ascii="SimSun" w:hAnsi="SimSun"/>
          <w:sz w:val="21"/>
        </w:rPr>
        <w:t>14</w:t>
      </w:r>
      <w:r w:rsidR="00772C94">
        <w:rPr>
          <w:rFonts w:ascii="SimSun" w:hAnsi="SimSun" w:hint="eastAsia"/>
          <w:sz w:val="21"/>
        </w:rPr>
        <w:t>.</w:t>
      </w:r>
      <w:r w:rsidR="00772C94">
        <w:rPr>
          <w:rFonts w:ascii="SimSun" w:hAnsi="SimSun" w:hint="eastAsia"/>
          <w:sz w:val="21"/>
        </w:rPr>
        <w:tab/>
      </w:r>
      <w:r w:rsidR="00EF3666" w:rsidRPr="00772C94">
        <w:rPr>
          <w:rFonts w:ascii="SimSun" w:hAnsi="SimSun"/>
          <w:sz w:val="21"/>
        </w:rPr>
        <w:t>希望在国际检索报告和国际初步审查报告中增加除国际专利分类以外的分类信息的国际单位，将需要在依PCT第16条第(3)款(b)项和第32条第(3)款(b)项的协议中指明其分类制度（见上文</w:t>
      </w:r>
      <w:r w:rsidR="00EF3666" w:rsidRPr="00772C94">
        <w:rPr>
          <w:rFonts w:ascii="KaiTi" w:eastAsia="KaiTi" w:hAnsi="KaiTi"/>
          <w:sz w:val="21"/>
        </w:rPr>
        <w:t>[通函C.PCT 1488号]</w:t>
      </w:r>
      <w:r w:rsidR="00EF3666" w:rsidRPr="00772C94">
        <w:rPr>
          <w:rFonts w:ascii="SimSun" w:hAnsi="SimSun"/>
          <w:sz w:val="21"/>
        </w:rPr>
        <w:t>第6段</w:t>
      </w:r>
      <w:r w:rsidR="00EF3666" w:rsidRPr="00772C94">
        <w:rPr>
          <w:rFonts w:ascii="KaiTi" w:eastAsia="KaiTi" w:hAnsi="KaiTi"/>
          <w:sz w:val="21"/>
        </w:rPr>
        <w:t>[该段与上文第5段相同]</w:t>
      </w:r>
      <w:r w:rsidR="00EF3666" w:rsidRPr="00772C94">
        <w:rPr>
          <w:rFonts w:ascii="SimSun" w:hAnsi="SimSun"/>
          <w:sz w:val="21"/>
        </w:rPr>
        <w:t>）。</w:t>
      </w:r>
    </w:p>
    <w:p w:rsidR="00EF3666" w:rsidRPr="00772C94" w:rsidRDefault="00814631" w:rsidP="00772C94">
      <w:pPr>
        <w:pStyle w:val="ONUME"/>
        <w:numPr>
          <w:ilvl w:val="0"/>
          <w:numId w:val="0"/>
        </w:numPr>
        <w:spacing w:afterLines="50" w:after="120" w:line="340" w:lineRule="atLeast"/>
        <w:ind w:left="567"/>
        <w:jc w:val="both"/>
        <w:rPr>
          <w:rFonts w:ascii="SimSun" w:hAnsi="SimSun"/>
          <w:sz w:val="21"/>
        </w:rPr>
      </w:pPr>
      <w:r w:rsidRPr="00772C94">
        <w:rPr>
          <w:rFonts w:ascii="SimSun" w:hAnsi="SimSun" w:hint="eastAsia"/>
          <w:sz w:val="21"/>
        </w:rPr>
        <w:t>“</w:t>
      </w:r>
      <w:r w:rsidR="00EF3666" w:rsidRPr="00772C94">
        <w:rPr>
          <w:rFonts w:ascii="SimSun" w:hAnsi="SimSun"/>
          <w:sz w:val="21"/>
        </w:rPr>
        <w:t>15</w:t>
      </w:r>
      <w:r w:rsidR="00772C94">
        <w:rPr>
          <w:rFonts w:ascii="SimSun" w:hAnsi="SimSun" w:hint="eastAsia"/>
          <w:sz w:val="21"/>
        </w:rPr>
        <w:t>.</w:t>
      </w:r>
      <w:r w:rsidR="00772C94">
        <w:rPr>
          <w:rFonts w:ascii="SimSun" w:hAnsi="SimSun" w:hint="eastAsia"/>
          <w:sz w:val="21"/>
        </w:rPr>
        <w:tab/>
      </w:r>
      <w:r w:rsidR="00EF3666" w:rsidRPr="00772C94">
        <w:rPr>
          <w:rFonts w:ascii="SimSun" w:hAnsi="SimSun"/>
          <w:sz w:val="21"/>
        </w:rPr>
        <w:t>落实这一方式似乎无须对《PCT实施细则》进行任何修正，而且只需对《行政规程》（附件F的附录I）进行少量改动，以确保针对国际检索报告和已公布国际申请的XML格式适于以可以有效确认和导入的结构，将分类数据包括进来。</w:t>
      </w:r>
    </w:p>
    <w:p w:rsidR="00EF3666" w:rsidRPr="00772C94" w:rsidRDefault="00814631" w:rsidP="00772C94">
      <w:pPr>
        <w:pStyle w:val="ONUME"/>
        <w:numPr>
          <w:ilvl w:val="0"/>
          <w:numId w:val="0"/>
        </w:numPr>
        <w:spacing w:afterLines="50" w:after="120" w:line="340" w:lineRule="atLeast"/>
        <w:ind w:left="567"/>
        <w:jc w:val="both"/>
        <w:rPr>
          <w:rFonts w:ascii="SimSun" w:hAnsi="SimSun"/>
          <w:sz w:val="21"/>
        </w:rPr>
      </w:pPr>
      <w:r w:rsidRPr="00772C94">
        <w:rPr>
          <w:rFonts w:ascii="SimSun" w:hAnsi="SimSun" w:hint="eastAsia"/>
          <w:sz w:val="21"/>
        </w:rPr>
        <w:t>“</w:t>
      </w:r>
      <w:r w:rsidR="00EF3666" w:rsidRPr="00772C94">
        <w:rPr>
          <w:rFonts w:ascii="SimSun" w:hAnsi="SimSun"/>
          <w:sz w:val="21"/>
        </w:rPr>
        <w:t>16</w:t>
      </w:r>
      <w:r w:rsidR="00772C94">
        <w:rPr>
          <w:rFonts w:ascii="SimSun" w:hAnsi="SimSun" w:hint="eastAsia"/>
          <w:sz w:val="21"/>
        </w:rPr>
        <w:t>.</w:t>
      </w:r>
      <w:r w:rsidR="00772C94">
        <w:rPr>
          <w:rFonts w:ascii="SimSun" w:hAnsi="SimSun" w:hint="eastAsia"/>
          <w:sz w:val="21"/>
        </w:rPr>
        <w:tab/>
      </w:r>
      <w:r w:rsidR="00EF3666" w:rsidRPr="00772C94">
        <w:rPr>
          <w:rFonts w:ascii="SimSun" w:hAnsi="SimSun"/>
          <w:sz w:val="21"/>
        </w:rPr>
        <w:t>还需要考虑维护CPC版本信息的流程，以确保确认工作能正确地进行。</w:t>
      </w:r>
      <w:r w:rsidRPr="00772C94">
        <w:rPr>
          <w:rFonts w:ascii="SimSun" w:hAnsi="SimSun" w:hint="eastAsia"/>
          <w:sz w:val="21"/>
        </w:rPr>
        <w:t>”</w:t>
      </w:r>
    </w:p>
    <w:p w:rsidR="00DB4305" w:rsidRPr="00772C94" w:rsidRDefault="00DB4305"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对答复的讨论</w:t>
      </w:r>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bookmarkStart w:id="9" w:name="_Ref472528419"/>
      <w:r w:rsidRPr="00772C94">
        <w:rPr>
          <w:rFonts w:ascii="SimSun" w:hAnsi="SimSun"/>
          <w:sz w:val="21"/>
        </w:rPr>
        <w:t>迄今为止，已有18个主管局答复了通函；以下各段总结并讨论了这些主管局的答复。</w:t>
      </w:r>
      <w:bookmarkEnd w:id="9"/>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几乎所有的主管局都支持通函第13段至第16段中讨论的建议推进方式。</w:t>
      </w:r>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各主管局还广泛支持通函第10段至第12段中所讨论的国际单位分享国家分类数据的目标和要求。然而，一个单位确实认为，让有使用CPC经验的国际检索单位向国际局传送CPC号的要求不够清楚；该局建议设置一些参数，以确定一个国际检索单位是否具备了必要的经验。</w:t>
      </w:r>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bookmarkStart w:id="10" w:name="_Ref475457195"/>
      <w:r w:rsidRPr="00772C94">
        <w:rPr>
          <w:rFonts w:ascii="SimSun" w:hAnsi="SimSun"/>
          <w:sz w:val="21"/>
        </w:rPr>
        <w:t>两个主管局提出了合作专利分类（CPC）法以不同语言提供的问题。其中一个局尽管支持通函（转录于上文第9段）中的建议推进方式，但也强调CPC应以各种语言向公众方便地提供，并可以包括类似于《国际专利分类斯特拉斯堡协定》第三条第(1)款中的条件：</w:t>
      </w:r>
      <w:r w:rsidR="00814631" w:rsidRPr="00772C94">
        <w:rPr>
          <w:rFonts w:ascii="SimSun" w:hAnsi="SimSun" w:hint="eastAsia"/>
          <w:sz w:val="21"/>
        </w:rPr>
        <w:t>“</w:t>
      </w:r>
      <w:r w:rsidRPr="00772C94">
        <w:rPr>
          <w:rFonts w:ascii="SimSun" w:hAnsi="SimSun"/>
          <w:sz w:val="21"/>
        </w:rPr>
        <w:t>本分类法应用英语和法语制定，两种文本均为同等的文本。</w:t>
      </w:r>
      <w:r w:rsidR="00814631" w:rsidRPr="00772C94">
        <w:rPr>
          <w:rFonts w:ascii="SimSun" w:hAnsi="SimSun" w:hint="eastAsia"/>
          <w:sz w:val="21"/>
        </w:rPr>
        <w:t>”</w:t>
      </w:r>
      <w:r w:rsidR="00E14A3B" w:rsidRPr="00772C94">
        <w:rPr>
          <w:rFonts w:ascii="SimSun" w:hAnsi="SimSun"/>
          <w:sz w:val="21"/>
        </w:rPr>
        <w:t>另一个局不支持将CPC号和国家分类号写入国际申请扉页的提案，因为这种信息对于使用英语以外的语言的国家用户来说，价值有限，该局还补充说没有任何将CPC翻译成该局的本国语言的打算。</w:t>
      </w:r>
      <w:bookmarkEnd w:id="10"/>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r w:rsidRPr="00772C94">
        <w:rPr>
          <w:rFonts w:ascii="SimSun" w:hAnsi="SimSun"/>
          <w:sz w:val="21"/>
        </w:rPr>
        <w:t>有些</w:t>
      </w:r>
      <w:r w:rsidR="00DD5094" w:rsidRPr="00772C94">
        <w:rPr>
          <w:rFonts w:ascii="SimSun" w:hAnsi="SimSun" w:hint="eastAsia"/>
          <w:sz w:val="21"/>
        </w:rPr>
        <w:t>主管</w:t>
      </w:r>
      <w:r w:rsidRPr="00772C94">
        <w:rPr>
          <w:rFonts w:ascii="SimSun" w:hAnsi="SimSun"/>
          <w:sz w:val="21"/>
        </w:rPr>
        <w:t>局提出有必要澄清国际检索单位所用CPC分类的版本，并向国际局以XML格式提供这个版本。有一个局对CPC数据方面的差异给国际</w:t>
      </w:r>
      <w:proofErr w:type="gramStart"/>
      <w:r w:rsidRPr="00772C94">
        <w:rPr>
          <w:rFonts w:ascii="SimSun" w:hAnsi="SimSun"/>
          <w:sz w:val="21"/>
        </w:rPr>
        <w:t>局造成</w:t>
      </w:r>
      <w:proofErr w:type="gramEnd"/>
      <w:r w:rsidRPr="00772C94">
        <w:rPr>
          <w:rFonts w:ascii="SimSun" w:hAnsi="SimSun"/>
          <w:sz w:val="21"/>
        </w:rPr>
        <w:t>的任何额外工作量表示担心，并提出一种可能的备选方案，即如果最新版的CPC未以可接受的格式向国际局提供，则应暂缓将CPC号纳入在各局之间共享的数据和PATENTSCOPE的数据中。另一个局表示有CPC标准，主要以WIPO标准ST.8为基础，这使该局得以注明其用来分类的CPC版本。该局还提到了CPC的网站（www.cpcinfo.org），网站上提供有效的XML号的信息，以供下载每个版本的CPC。</w:t>
      </w:r>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bookmarkStart w:id="11" w:name="_Ref475455307"/>
      <w:r w:rsidRPr="00772C94">
        <w:rPr>
          <w:rFonts w:ascii="SimSun" w:hAnsi="SimSun"/>
          <w:sz w:val="21"/>
        </w:rPr>
        <w:t>有些</w:t>
      </w:r>
      <w:r w:rsidR="004956E0" w:rsidRPr="00772C94">
        <w:rPr>
          <w:rFonts w:ascii="SimSun" w:hAnsi="SimSun" w:hint="eastAsia"/>
          <w:sz w:val="21"/>
        </w:rPr>
        <w:t>主管</w:t>
      </w:r>
      <w:r w:rsidRPr="00772C94">
        <w:rPr>
          <w:rFonts w:ascii="SimSun" w:hAnsi="SimSun"/>
          <w:sz w:val="21"/>
        </w:rPr>
        <w:t>局表示，如通函第9段所述，不支持在国际申请的扉页增加CPC这样的国家分类信息，而是在数据库中提供这种信息。考虑到国际申请扉页上的有限空间，这些局以可能有大量额外分类号和重复IPC数据为由，不支持扉页上的国家分类号。这些主管局还指出，与IPC相比，CPC的改</w:t>
      </w:r>
      <w:r w:rsidRPr="00772C94">
        <w:rPr>
          <w:rFonts w:ascii="SimSun" w:hAnsi="SimSun"/>
          <w:sz w:val="21"/>
        </w:rPr>
        <w:lastRenderedPageBreak/>
        <w:t>动更为频繁，而且文件扉页上的分类信息实际上在检索中从未用到，因为现在的检索都使用电子工具进行。</w:t>
      </w:r>
      <w:bookmarkEnd w:id="11"/>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bookmarkStart w:id="12" w:name="_Ref475455219"/>
      <w:r w:rsidRPr="00772C94">
        <w:rPr>
          <w:rFonts w:ascii="SimSun" w:hAnsi="SimSun"/>
          <w:sz w:val="21"/>
        </w:rPr>
        <w:t>其他一些</w:t>
      </w:r>
      <w:r w:rsidR="00DD5094" w:rsidRPr="00772C94">
        <w:rPr>
          <w:rFonts w:ascii="SimSun" w:hAnsi="SimSun" w:hint="eastAsia"/>
          <w:sz w:val="21"/>
        </w:rPr>
        <w:t>主管</w:t>
      </w:r>
      <w:r w:rsidRPr="00772C94">
        <w:rPr>
          <w:rFonts w:ascii="SimSun" w:hAnsi="SimSun"/>
          <w:sz w:val="21"/>
        </w:rPr>
        <w:t>局支持通函第13段至第16段提出的推进方式，认为在国际申请的扉页上增加CPC号或国家分类号对主管局、申请人和第三方有额外的好处。其中一个局希望继续讨论这一问题。</w:t>
      </w:r>
      <w:bookmarkEnd w:id="12"/>
    </w:p>
    <w:p w:rsidR="00DB4305" w:rsidRPr="00772C94" w:rsidRDefault="00DB4305" w:rsidP="00772C94">
      <w:pPr>
        <w:pStyle w:val="ONUME"/>
        <w:tabs>
          <w:tab w:val="clear" w:pos="567"/>
        </w:tabs>
        <w:overflowPunct w:val="0"/>
        <w:spacing w:afterLines="50" w:after="120" w:line="340" w:lineRule="atLeast"/>
        <w:jc w:val="both"/>
        <w:rPr>
          <w:rFonts w:ascii="SimSun" w:hAnsi="SimSun"/>
          <w:sz w:val="21"/>
        </w:rPr>
      </w:pPr>
      <w:bookmarkStart w:id="13" w:name="_Ref472528426"/>
      <w:r w:rsidRPr="00772C94">
        <w:rPr>
          <w:rFonts w:ascii="SimSun" w:hAnsi="SimSun"/>
          <w:sz w:val="21"/>
        </w:rPr>
        <w:t>有一个</w:t>
      </w:r>
      <w:r w:rsidR="00DD5094" w:rsidRPr="00772C94">
        <w:rPr>
          <w:rFonts w:ascii="SimSun" w:hAnsi="SimSun" w:hint="eastAsia"/>
          <w:sz w:val="21"/>
        </w:rPr>
        <w:t>主管</w:t>
      </w:r>
      <w:r w:rsidRPr="00772C94">
        <w:rPr>
          <w:rFonts w:ascii="SimSun" w:hAnsi="SimSun"/>
          <w:sz w:val="21"/>
        </w:rPr>
        <w:t>局尽管认为该提案对于提高检索效率将产生积极影响，但还是要求各局进一步讨论和研究在国际申请中使用合作专利分类（CPC）的问题。该局提出的可能需要进一步研究的问题包括：分类号数据的不对等交换、参差不齐的CPC分类质量、重新分类的工作量，以及修订CPC所需的资</w:t>
      </w:r>
      <w:r w:rsidR="009D2B7D">
        <w:rPr>
          <w:rFonts w:ascii="SimSun" w:hAnsi="SimSun"/>
          <w:sz w:val="21"/>
        </w:rPr>
        <w:t>‍</w:t>
      </w:r>
      <w:r w:rsidRPr="00772C94">
        <w:rPr>
          <w:rFonts w:ascii="SimSun" w:hAnsi="SimSun"/>
          <w:sz w:val="21"/>
        </w:rPr>
        <w:t>源。</w:t>
      </w:r>
      <w:bookmarkEnd w:id="13"/>
    </w:p>
    <w:p w:rsidR="00DB4305" w:rsidRPr="00772C94" w:rsidRDefault="00091FFD"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PCT国际单位会议第二十四届会议的讨论</w:t>
      </w:r>
    </w:p>
    <w:p w:rsidR="00683769" w:rsidRPr="00772C94" w:rsidRDefault="00091FFD" w:rsidP="00772C94">
      <w:pPr>
        <w:pStyle w:val="ONUME"/>
        <w:tabs>
          <w:tab w:val="clear" w:pos="567"/>
        </w:tabs>
        <w:overflowPunct w:val="0"/>
        <w:spacing w:afterLines="50" w:after="120" w:line="340" w:lineRule="atLeast"/>
        <w:jc w:val="both"/>
        <w:rPr>
          <w:rFonts w:ascii="SimSun" w:hAnsi="SimSun"/>
          <w:sz w:val="21"/>
        </w:rPr>
      </w:pPr>
      <w:bookmarkStart w:id="14" w:name="_Ref475025848"/>
      <w:r w:rsidRPr="00772C94">
        <w:rPr>
          <w:rFonts w:ascii="SimSun" w:hAnsi="SimSun"/>
          <w:sz w:val="21"/>
        </w:rPr>
        <w:t>2017年2月8日至10日在雷克雅未克举行的国际单位会议第二十四届会议，讨论了在国际申请中使用国家分类号（见文件PCT/MIA/24/12）。</w:t>
      </w:r>
      <w:r w:rsidR="00710670" w:rsidRPr="00772C94">
        <w:rPr>
          <w:rFonts w:ascii="SimSun" w:hAnsi="SimSun"/>
          <w:sz w:val="21"/>
        </w:rPr>
        <w:t>该届会议的主席总结在文件PCT/MIA/24/15的第52段至第57段概述了讨论情况，内容如下：</w:t>
      </w:r>
      <w:bookmarkEnd w:id="14"/>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w:t>
      </w:r>
      <w:r w:rsidR="00683769" w:rsidRPr="00772C94">
        <w:rPr>
          <w:rFonts w:ascii="SimSun" w:hAnsi="SimSun"/>
          <w:sz w:val="21"/>
        </w:rPr>
        <w:t>52.</w:t>
      </w:r>
      <w:r w:rsidR="00683769" w:rsidRPr="00772C94">
        <w:rPr>
          <w:rFonts w:ascii="SimSun" w:hAnsi="SimSun"/>
          <w:sz w:val="21"/>
        </w:rPr>
        <w:tab/>
        <w:t>讨论依据文件PCT/MIA/24/12进行。</w:t>
      </w:r>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“53.</w:t>
      </w:r>
      <w:r w:rsidRPr="00772C94">
        <w:rPr>
          <w:rFonts w:ascii="SimSun" w:hAnsi="SimSun" w:hint="eastAsia"/>
          <w:sz w:val="21"/>
        </w:rPr>
        <w:tab/>
      </w:r>
      <w:r w:rsidR="00683769" w:rsidRPr="00772C94">
        <w:rPr>
          <w:rFonts w:ascii="SimSun" w:hAnsi="SimSun"/>
          <w:sz w:val="21"/>
        </w:rPr>
        <w:t>各单位支持具有充分经验的国际检索单位使用合作专利分类</w:t>
      </w:r>
      <w:r w:rsidR="00A77BD7" w:rsidRPr="00772C94">
        <w:rPr>
          <w:rFonts w:ascii="SimSun" w:hAnsi="SimSun"/>
          <w:sz w:val="21"/>
        </w:rPr>
        <w:t>（</w:t>
      </w:r>
      <w:r w:rsidR="00683769" w:rsidRPr="00772C94">
        <w:rPr>
          <w:rFonts w:ascii="SimSun" w:hAnsi="SimSun"/>
          <w:sz w:val="21"/>
        </w:rPr>
        <w:t>CPC</w:t>
      </w:r>
      <w:r w:rsidR="00A77BD7" w:rsidRPr="00772C94">
        <w:rPr>
          <w:rFonts w:ascii="SimSun" w:hAnsi="SimSun"/>
          <w:sz w:val="21"/>
        </w:rPr>
        <w:t>）</w:t>
      </w:r>
      <w:r w:rsidR="00683769" w:rsidRPr="00772C94">
        <w:rPr>
          <w:rFonts w:ascii="SimSun" w:hAnsi="SimSun"/>
          <w:sz w:val="21"/>
        </w:rPr>
        <w:t>号向国际局传送XML格式的文件并纳入PATENTSCOPE数据库的提案。一个单位表示，根据它的理解，</w:t>
      </w:r>
      <w:r w:rsidRPr="00772C94">
        <w:rPr>
          <w:rFonts w:ascii="SimSun" w:hAnsi="SimSun" w:hint="eastAsia"/>
          <w:sz w:val="21"/>
        </w:rPr>
        <w:t>‘</w:t>
      </w:r>
      <w:r w:rsidR="00683769" w:rsidRPr="00772C94">
        <w:rPr>
          <w:rFonts w:ascii="SimSun" w:hAnsi="SimSun"/>
          <w:sz w:val="21"/>
        </w:rPr>
        <w:t>具有充分经验</w:t>
      </w:r>
      <w:r w:rsidRPr="00772C94">
        <w:rPr>
          <w:rFonts w:ascii="SimSun" w:hAnsi="SimSun" w:hint="eastAsia"/>
          <w:sz w:val="21"/>
        </w:rPr>
        <w:t>’</w:t>
      </w:r>
      <w:r w:rsidR="00683769" w:rsidRPr="00772C94">
        <w:rPr>
          <w:rFonts w:ascii="SimSun" w:hAnsi="SimSun"/>
          <w:sz w:val="21"/>
        </w:rPr>
        <w:t>指的是国际检索单位在其日常国内分类流程中使用CPC。</w:t>
      </w:r>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“54</w:t>
      </w:r>
      <w:r w:rsidR="009D2B7D" w:rsidRPr="00772C94">
        <w:rPr>
          <w:rFonts w:ascii="SimSun" w:hAnsi="SimSun"/>
          <w:sz w:val="21"/>
        </w:rPr>
        <w:t>.</w:t>
      </w:r>
      <w:r w:rsidR="009D2B7D" w:rsidRPr="00772C94">
        <w:rPr>
          <w:rFonts w:ascii="SimSun" w:hAnsi="SimSun"/>
          <w:sz w:val="21"/>
        </w:rPr>
        <w:tab/>
      </w:r>
      <w:r w:rsidR="00683769" w:rsidRPr="00772C94">
        <w:rPr>
          <w:rFonts w:ascii="SimSun" w:hAnsi="SimSun"/>
          <w:sz w:val="21"/>
        </w:rPr>
        <w:t>欧洲专利局表示，应在向国际局传送前在源头上即对CPC号进行确认，以改进数据质量。在这方面，欧洲专利局向其他国际检索单位提供一项确认CPC号的网络服务。另一个单位询问国际局是否有对于国际检索单位所提供的CPC号进行确认和改正的资源。</w:t>
      </w:r>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“55</w:t>
      </w:r>
      <w:r w:rsidR="009D2B7D" w:rsidRPr="00772C94">
        <w:rPr>
          <w:rFonts w:ascii="SimSun" w:hAnsi="SimSun"/>
          <w:sz w:val="21"/>
        </w:rPr>
        <w:t>.</w:t>
      </w:r>
      <w:r w:rsidR="009D2B7D" w:rsidRPr="00772C94">
        <w:rPr>
          <w:rFonts w:ascii="SimSun" w:hAnsi="SimSun"/>
          <w:sz w:val="21"/>
        </w:rPr>
        <w:tab/>
      </w:r>
      <w:r w:rsidR="00683769" w:rsidRPr="00772C94">
        <w:rPr>
          <w:rFonts w:ascii="SimSun" w:hAnsi="SimSun"/>
          <w:sz w:val="21"/>
        </w:rPr>
        <w:t>一个单位表示，在所公布国际申请的首页添加国内分类号可能是可取的做法。</w:t>
      </w:r>
      <w:r w:rsidR="00683769" w:rsidRPr="00772C94">
        <w:rPr>
          <w:rFonts w:ascii="SimSun" w:hAnsi="SimSun"/>
          <w:sz w:val="21"/>
        </w:rPr>
        <w:tab/>
        <w:t>该单位在作为指定局时，目前并不从PATENTSCOPE中提取XML数据。此外，该单位在作为国际检索单位时，不向国际局传送XML格式的国际检索报告，但它希望在未来这么做。另一个单位表示，国际专利申请的首页应只包含国际专利分类</w:t>
      </w:r>
      <w:r w:rsidR="00A77BD7" w:rsidRPr="00772C94">
        <w:rPr>
          <w:rFonts w:ascii="SimSun" w:hAnsi="SimSun"/>
          <w:sz w:val="21"/>
        </w:rPr>
        <w:t>（</w:t>
      </w:r>
      <w:r w:rsidR="00683769" w:rsidRPr="00772C94">
        <w:rPr>
          <w:rFonts w:ascii="SimSun" w:hAnsi="SimSun"/>
          <w:sz w:val="21"/>
        </w:rPr>
        <w:t>IPC</w:t>
      </w:r>
      <w:r w:rsidR="00A77BD7" w:rsidRPr="00772C94">
        <w:rPr>
          <w:rFonts w:ascii="SimSun" w:hAnsi="SimSun"/>
          <w:sz w:val="21"/>
        </w:rPr>
        <w:t>）</w:t>
      </w:r>
      <w:r w:rsidR="00683769" w:rsidRPr="00772C94">
        <w:rPr>
          <w:rFonts w:ascii="SimSun" w:hAnsi="SimSun"/>
          <w:sz w:val="21"/>
        </w:rPr>
        <w:t>号。</w:t>
      </w:r>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“56</w:t>
      </w:r>
      <w:r w:rsidR="009D2B7D" w:rsidRPr="00772C94">
        <w:rPr>
          <w:rFonts w:ascii="SimSun" w:hAnsi="SimSun"/>
          <w:sz w:val="21"/>
        </w:rPr>
        <w:t>.</w:t>
      </w:r>
      <w:r w:rsidR="009D2B7D" w:rsidRPr="00772C94">
        <w:rPr>
          <w:rFonts w:ascii="SimSun" w:hAnsi="SimSun"/>
          <w:sz w:val="21"/>
        </w:rPr>
        <w:tab/>
      </w:r>
      <w:r w:rsidR="00683769" w:rsidRPr="00772C94">
        <w:rPr>
          <w:rFonts w:ascii="SimSun" w:hAnsi="SimSun"/>
          <w:sz w:val="21"/>
        </w:rPr>
        <w:t>韩国特许厅感谢各单位对该文件提出的评论意见，表示将继续与国际局合作，为PCT工作组的讨论做好准备。</w:t>
      </w:r>
    </w:p>
    <w:p w:rsidR="00683769" w:rsidRPr="00772C94" w:rsidRDefault="00DD5094" w:rsidP="009D2B7D">
      <w:pPr>
        <w:pStyle w:val="ONUME"/>
        <w:numPr>
          <w:ilvl w:val="0"/>
          <w:numId w:val="0"/>
        </w:numPr>
        <w:overflowPunct w:val="0"/>
        <w:spacing w:afterLines="50" w:after="120" w:line="340" w:lineRule="atLeast"/>
        <w:ind w:left="567"/>
        <w:jc w:val="both"/>
        <w:rPr>
          <w:rFonts w:ascii="SimSun" w:hAnsi="SimSun"/>
          <w:sz w:val="21"/>
        </w:rPr>
      </w:pPr>
      <w:r w:rsidRPr="00772C94">
        <w:rPr>
          <w:rFonts w:ascii="SimSun" w:hAnsi="SimSun" w:hint="eastAsia"/>
          <w:sz w:val="21"/>
        </w:rPr>
        <w:t>“57</w:t>
      </w:r>
      <w:r w:rsidR="009D2B7D" w:rsidRPr="00772C94">
        <w:rPr>
          <w:rFonts w:ascii="SimSun" w:hAnsi="SimSun"/>
          <w:sz w:val="21"/>
        </w:rPr>
        <w:t>.</w:t>
      </w:r>
      <w:r w:rsidR="009D2B7D" w:rsidRPr="00772C94">
        <w:rPr>
          <w:rFonts w:ascii="SimSun" w:hAnsi="SimSun"/>
          <w:sz w:val="21"/>
        </w:rPr>
        <w:tab/>
      </w:r>
      <w:r w:rsidR="00683769" w:rsidRPr="00772C94">
        <w:rPr>
          <w:rFonts w:ascii="SimSun" w:hAnsi="SimSun"/>
          <w:sz w:val="21"/>
        </w:rPr>
        <w:t>会议注意到文件PCT/MIA/24/12的内容。</w:t>
      </w:r>
      <w:r w:rsidRPr="00772C94">
        <w:rPr>
          <w:rFonts w:ascii="SimSun" w:hAnsi="SimSun" w:hint="eastAsia"/>
          <w:sz w:val="21"/>
        </w:rPr>
        <w:t>”</w:t>
      </w:r>
    </w:p>
    <w:p w:rsidR="00683769" w:rsidRPr="00772C94" w:rsidRDefault="00683769" w:rsidP="00772C94">
      <w:pPr>
        <w:pStyle w:val="1"/>
        <w:spacing w:beforeLines="100" w:afterLines="50" w:after="120" w:line="340" w:lineRule="atLeast"/>
        <w:rPr>
          <w:rFonts w:ascii="SimHei" w:eastAsia="SimHei" w:hAnsi="SimHei"/>
          <w:b w:val="0"/>
          <w:sz w:val="21"/>
        </w:rPr>
      </w:pPr>
      <w:r w:rsidRPr="00772C94">
        <w:rPr>
          <w:rFonts w:ascii="SimHei" w:eastAsia="SimHei" w:hAnsi="SimHei"/>
          <w:b w:val="0"/>
          <w:sz w:val="21"/>
        </w:rPr>
        <w:t>下一步工作</w:t>
      </w:r>
    </w:p>
    <w:p w:rsidR="00683769" w:rsidRPr="00772C94" w:rsidRDefault="003B13AD" w:rsidP="00772C94">
      <w:pPr>
        <w:pStyle w:val="ONUME"/>
        <w:tabs>
          <w:tab w:val="clear" w:pos="567"/>
        </w:tabs>
        <w:overflowPunct w:val="0"/>
        <w:spacing w:afterLines="50" w:after="120" w:line="340" w:lineRule="atLeast"/>
        <w:jc w:val="both"/>
        <w:rPr>
          <w:rFonts w:ascii="SimSun" w:hAnsi="SimSun"/>
          <w:sz w:val="21"/>
        </w:rPr>
      </w:pPr>
      <w:bookmarkStart w:id="15" w:name="_Ref475029019"/>
      <w:r w:rsidRPr="00772C94">
        <w:rPr>
          <w:rFonts w:ascii="SimSun" w:hAnsi="SimSun"/>
          <w:sz w:val="21"/>
        </w:rPr>
        <w:t>国际局打算提出提案，以便允许国际检索单位向国际局传送CPC号和国家分类信息，前提是此种数据已由国际检索单位确认，并以机器可读的格式传送，如上文第9段转录的通函C. PCT 1488号第13段至第16段所解释的那样，并要考虑到针该通函的答复，还要考虑在国际单位会议第二十四届会议和工作组本届会议上提出的评论意见。</w:t>
      </w:r>
      <w:bookmarkEnd w:id="15"/>
    </w:p>
    <w:p w:rsidR="003D3E05" w:rsidRPr="00772C94" w:rsidRDefault="003D3E05" w:rsidP="00772C94">
      <w:pPr>
        <w:pStyle w:val="ONUME"/>
        <w:tabs>
          <w:tab w:val="clear" w:pos="567"/>
        </w:tabs>
        <w:overflowPunct w:val="0"/>
        <w:spacing w:afterLines="50" w:after="120" w:line="340" w:lineRule="atLeast"/>
        <w:jc w:val="both"/>
        <w:rPr>
          <w:rFonts w:ascii="SimSun" w:hAnsi="SimSun"/>
          <w:sz w:val="21"/>
        </w:rPr>
      </w:pPr>
      <w:bookmarkStart w:id="16" w:name="_Ref475458026"/>
      <w:r w:rsidRPr="00772C94">
        <w:rPr>
          <w:rFonts w:ascii="SimSun" w:hAnsi="SimSun"/>
          <w:sz w:val="21"/>
        </w:rPr>
        <w:t>国际局接着建议CPC和其他国家分类数据以电子方式提供，以便用于数据库，但不写入已公布国际申请的扉页。尽管若干个主管局在对通函C. PCT 1488号的答复中表示，他们认为在扉页上增加CPC</w:t>
      </w:r>
      <w:proofErr w:type="gramStart"/>
      <w:r w:rsidRPr="00772C94">
        <w:rPr>
          <w:rFonts w:ascii="SimSun" w:hAnsi="SimSun"/>
          <w:sz w:val="21"/>
        </w:rPr>
        <w:t>号很有用</w:t>
      </w:r>
      <w:proofErr w:type="gramEnd"/>
      <w:r w:rsidRPr="00772C94">
        <w:rPr>
          <w:rFonts w:ascii="SimSun" w:hAnsi="SimSun"/>
          <w:sz w:val="21"/>
        </w:rPr>
        <w:t>，总的来看，国际局认为</w:t>
      </w:r>
      <w:proofErr w:type="gramStart"/>
      <w:r w:rsidRPr="00772C94">
        <w:rPr>
          <w:rFonts w:ascii="SimSun" w:hAnsi="SimSun"/>
          <w:sz w:val="21"/>
        </w:rPr>
        <w:t>弊</w:t>
      </w:r>
      <w:proofErr w:type="gramEnd"/>
      <w:r w:rsidRPr="00772C94">
        <w:rPr>
          <w:rFonts w:ascii="SimSun" w:hAnsi="SimSun"/>
          <w:sz w:val="21"/>
        </w:rPr>
        <w:t>大于利，还有成本方面的变化，尤其指出以下几点：</w:t>
      </w:r>
    </w:p>
    <w:p w:rsidR="003D3E05" w:rsidRPr="00772C94" w:rsidRDefault="003D3E05" w:rsidP="009D2B7D">
      <w:pPr>
        <w:pStyle w:val="ONUME"/>
        <w:numPr>
          <w:ilvl w:val="1"/>
          <w:numId w:val="5"/>
        </w:numPr>
        <w:tabs>
          <w:tab w:val="clear" w:pos="1134"/>
        </w:tabs>
        <w:overflowPunct w:val="0"/>
        <w:spacing w:afterLines="50" w:after="120" w:line="340" w:lineRule="atLeast"/>
        <w:jc w:val="both"/>
        <w:rPr>
          <w:rFonts w:ascii="SimSun" w:hAnsi="SimSun"/>
          <w:sz w:val="21"/>
        </w:rPr>
      </w:pPr>
      <w:r w:rsidRPr="00772C94">
        <w:rPr>
          <w:rFonts w:ascii="SimSun" w:hAnsi="SimSun"/>
          <w:sz w:val="21"/>
        </w:rPr>
        <w:lastRenderedPageBreak/>
        <w:t>鉴于IPC和CPC之间的密切关系，注意到国际申请扉页上的空间有限，多余的分类号易导致注意力分散，因此在扉页上写入这两种分类在很大程度上只是提供重复信息，而不是有利于工作的重要附加信息。</w:t>
      </w:r>
    </w:p>
    <w:p w:rsidR="003D3E05" w:rsidRPr="00772C94" w:rsidRDefault="003D3E05" w:rsidP="009D2B7D">
      <w:pPr>
        <w:pStyle w:val="ONUME"/>
        <w:numPr>
          <w:ilvl w:val="1"/>
          <w:numId w:val="5"/>
        </w:numPr>
        <w:tabs>
          <w:tab w:val="clear" w:pos="1134"/>
        </w:tabs>
        <w:overflowPunct w:val="0"/>
        <w:spacing w:afterLines="50" w:after="120" w:line="340" w:lineRule="atLeast"/>
        <w:jc w:val="both"/>
        <w:rPr>
          <w:rFonts w:ascii="SimSun" w:hAnsi="SimSun"/>
          <w:sz w:val="21"/>
        </w:rPr>
      </w:pPr>
      <w:r w:rsidRPr="00772C94">
        <w:rPr>
          <w:rFonts w:ascii="SimSun" w:hAnsi="SimSun"/>
          <w:sz w:val="21"/>
        </w:rPr>
        <w:t>CPC不是以多语种版本维护的，这使得它不如IPC易于获得。</w:t>
      </w:r>
    </w:p>
    <w:p w:rsidR="00D57ABA" w:rsidRPr="00772C94" w:rsidRDefault="00F95FF8" w:rsidP="009D2B7D">
      <w:pPr>
        <w:pStyle w:val="ONUME"/>
        <w:numPr>
          <w:ilvl w:val="1"/>
          <w:numId w:val="5"/>
        </w:numPr>
        <w:tabs>
          <w:tab w:val="clear" w:pos="1134"/>
        </w:tabs>
        <w:overflowPunct w:val="0"/>
        <w:spacing w:afterLines="50" w:after="120" w:line="340" w:lineRule="atLeast"/>
        <w:jc w:val="both"/>
        <w:rPr>
          <w:rFonts w:ascii="SimSun" w:hAnsi="SimSun"/>
          <w:sz w:val="21"/>
        </w:rPr>
      </w:pPr>
      <w:r w:rsidRPr="00772C94">
        <w:rPr>
          <w:rFonts w:ascii="SimSun" w:hAnsi="SimSun"/>
          <w:sz w:val="21"/>
        </w:rPr>
        <w:t>CPC的修改更为频繁，因此扉页上的固定格式信息可能会比IPC更快过时，而电子格式则可以在后期对文件重新分类时得到更新。</w:t>
      </w:r>
      <w:bookmarkEnd w:id="16"/>
    </w:p>
    <w:p w:rsidR="00EE6DCF" w:rsidRPr="009D2B7D" w:rsidRDefault="00401F62" w:rsidP="009D2B7D">
      <w:pPr>
        <w:pStyle w:val="ONUME"/>
        <w:spacing w:afterLines="50" w:after="120" w:line="340" w:lineRule="atLeast"/>
        <w:ind w:left="5534"/>
        <w:jc w:val="both"/>
        <w:rPr>
          <w:rFonts w:ascii="KaiTi" w:eastAsia="KaiTi" w:hAnsi="KaiTi"/>
          <w:sz w:val="21"/>
        </w:rPr>
      </w:pPr>
      <w:r w:rsidRPr="009D2B7D">
        <w:rPr>
          <w:rFonts w:ascii="KaiTi" w:eastAsia="KaiTi" w:hAnsi="KaiTi"/>
          <w:sz w:val="21"/>
        </w:rPr>
        <w:t>请工作组：</w:t>
      </w:r>
    </w:p>
    <w:p w:rsidR="00EE6DCF" w:rsidRPr="009D2B7D" w:rsidRDefault="009D2B7D" w:rsidP="009D2B7D">
      <w:pPr>
        <w:pStyle w:val="ONUME"/>
        <w:numPr>
          <w:ilvl w:val="0"/>
          <w:numId w:val="0"/>
        </w:numPr>
        <w:spacing w:afterLines="50" w:after="120" w:line="340" w:lineRule="atLeast"/>
        <w:ind w:left="5534"/>
        <w:jc w:val="both"/>
        <w:rPr>
          <w:rFonts w:ascii="KaiTi" w:eastAsia="KaiTi" w:hAnsi="KaiTi"/>
          <w:sz w:val="21"/>
        </w:rPr>
      </w:pPr>
      <w:r>
        <w:rPr>
          <w:rFonts w:ascii="KaiTi" w:eastAsia="KaiTi" w:hAnsi="KaiTi" w:hint="eastAsia"/>
          <w:sz w:val="21"/>
        </w:rPr>
        <w:t>(</w:t>
      </w:r>
      <w:proofErr w:type="spellStart"/>
      <w:r>
        <w:rPr>
          <w:rFonts w:ascii="KaiTi" w:eastAsia="KaiTi" w:hAnsi="KaiTi" w:hint="eastAsia"/>
          <w:sz w:val="21"/>
        </w:rPr>
        <w:t>i</w:t>
      </w:r>
      <w:proofErr w:type="spellEnd"/>
      <w:r>
        <w:rPr>
          <w:rFonts w:ascii="KaiTi" w:eastAsia="KaiTi" w:hAnsi="KaiTi" w:hint="eastAsia"/>
          <w:sz w:val="21"/>
        </w:rPr>
        <w:t>)</w:t>
      </w:r>
      <w:r>
        <w:rPr>
          <w:rFonts w:ascii="KaiTi" w:eastAsia="KaiTi" w:hAnsi="KaiTi" w:hint="eastAsia"/>
          <w:sz w:val="21"/>
        </w:rPr>
        <w:tab/>
      </w:r>
      <w:r w:rsidR="00EE6DCF" w:rsidRPr="009D2B7D">
        <w:rPr>
          <w:rFonts w:ascii="KaiTi" w:eastAsia="KaiTi" w:hAnsi="KaiTi"/>
          <w:sz w:val="21"/>
        </w:rPr>
        <w:t>注意上文第10段至第17段</w:t>
      </w:r>
      <w:r w:rsidR="001F13BB" w:rsidRPr="009D2B7D">
        <w:rPr>
          <w:rFonts w:ascii="KaiTi" w:eastAsia="KaiTi" w:hAnsi="KaiTi" w:hint="eastAsia"/>
          <w:sz w:val="21"/>
        </w:rPr>
        <w:t>中</w:t>
      </w:r>
      <w:r w:rsidR="00EE6DCF" w:rsidRPr="009D2B7D">
        <w:rPr>
          <w:rFonts w:ascii="KaiTi" w:eastAsia="KaiTi" w:hAnsi="KaiTi"/>
          <w:sz w:val="21"/>
        </w:rPr>
        <w:t>所讨论的对通函C.PCT 1488号的答复，</w:t>
      </w:r>
      <w:r w:rsidR="004C028C" w:rsidRPr="009D2B7D">
        <w:rPr>
          <w:rFonts w:ascii="KaiTi" w:eastAsia="KaiTi" w:hAnsi="KaiTi" w:hint="eastAsia"/>
          <w:sz w:val="21"/>
        </w:rPr>
        <w:t>以及</w:t>
      </w:r>
      <w:r w:rsidR="00EE6DCF" w:rsidRPr="009D2B7D">
        <w:rPr>
          <w:rFonts w:ascii="KaiTi" w:eastAsia="KaiTi" w:hAnsi="KaiTi"/>
          <w:sz w:val="21"/>
        </w:rPr>
        <w:t>上文第18段</w:t>
      </w:r>
      <w:r w:rsidR="001F13BB" w:rsidRPr="009D2B7D">
        <w:rPr>
          <w:rFonts w:ascii="KaiTi" w:eastAsia="KaiTi" w:hAnsi="KaiTi" w:hint="eastAsia"/>
          <w:sz w:val="21"/>
        </w:rPr>
        <w:t>中</w:t>
      </w:r>
      <w:r w:rsidR="00EE6DCF" w:rsidRPr="009D2B7D">
        <w:rPr>
          <w:rFonts w:ascii="KaiTi" w:eastAsia="KaiTi" w:hAnsi="KaiTi"/>
          <w:sz w:val="21"/>
        </w:rPr>
        <w:t>所讨论的国际单位会议上的讨论情况；并</w:t>
      </w:r>
    </w:p>
    <w:p w:rsidR="00401F62" w:rsidRPr="009D2B7D" w:rsidRDefault="009D2B7D" w:rsidP="009D2B7D">
      <w:pPr>
        <w:pStyle w:val="ONUME"/>
        <w:numPr>
          <w:ilvl w:val="0"/>
          <w:numId w:val="0"/>
        </w:numPr>
        <w:spacing w:afterLines="50" w:after="120" w:line="340" w:lineRule="atLeast"/>
        <w:ind w:left="5534"/>
        <w:jc w:val="both"/>
        <w:rPr>
          <w:rFonts w:ascii="KaiTi" w:eastAsia="KaiTi" w:hAnsi="KaiTi"/>
          <w:sz w:val="21"/>
        </w:rPr>
      </w:pPr>
      <w:r>
        <w:rPr>
          <w:rFonts w:ascii="KaiTi" w:eastAsia="KaiTi" w:hAnsi="KaiTi" w:hint="eastAsia"/>
          <w:sz w:val="21"/>
        </w:rPr>
        <w:t>(</w:t>
      </w:r>
      <w:r w:rsidR="007E0D0D" w:rsidRPr="009D2B7D">
        <w:rPr>
          <w:rFonts w:ascii="KaiTi" w:eastAsia="KaiTi" w:hAnsi="KaiTi"/>
          <w:sz w:val="21"/>
        </w:rPr>
        <w:t>ii</w:t>
      </w:r>
      <w:r>
        <w:rPr>
          <w:rFonts w:ascii="KaiTi" w:eastAsia="KaiTi" w:hAnsi="KaiTi" w:hint="eastAsia"/>
          <w:sz w:val="21"/>
        </w:rPr>
        <w:t>)</w:t>
      </w:r>
      <w:r w:rsidR="007E0D0D" w:rsidRPr="009D2B7D">
        <w:rPr>
          <w:rFonts w:ascii="KaiTi" w:eastAsia="KaiTi" w:hAnsi="KaiTi"/>
          <w:sz w:val="21"/>
        </w:rPr>
        <w:t>对上文第19段和第20段中提出的下一步工作发表评论意见。</w:t>
      </w:r>
    </w:p>
    <w:p w:rsidR="009D2B7D" w:rsidRDefault="009D2B7D" w:rsidP="009D2B7D">
      <w:pPr>
        <w:pStyle w:val="ONUME"/>
        <w:numPr>
          <w:ilvl w:val="0"/>
          <w:numId w:val="0"/>
        </w:numPr>
        <w:spacing w:afterLines="50" w:after="120" w:line="340" w:lineRule="atLeast"/>
        <w:ind w:left="5534"/>
        <w:jc w:val="both"/>
        <w:rPr>
          <w:rFonts w:ascii="KaiTi" w:eastAsia="KaiTi" w:hAnsi="KaiTi"/>
          <w:sz w:val="21"/>
        </w:rPr>
      </w:pPr>
    </w:p>
    <w:p w:rsidR="003D7D7E" w:rsidRPr="009D2B7D" w:rsidRDefault="00401F62" w:rsidP="009D2B7D">
      <w:pPr>
        <w:pStyle w:val="ONUME"/>
        <w:numPr>
          <w:ilvl w:val="0"/>
          <w:numId w:val="0"/>
        </w:numPr>
        <w:spacing w:afterLines="50" w:after="120" w:line="340" w:lineRule="atLeast"/>
        <w:ind w:left="5534"/>
        <w:jc w:val="both"/>
        <w:rPr>
          <w:rFonts w:ascii="KaiTi" w:eastAsia="KaiTi" w:hAnsi="KaiTi"/>
          <w:sz w:val="21"/>
        </w:rPr>
      </w:pPr>
      <w:r w:rsidRPr="009D2B7D">
        <w:rPr>
          <w:rFonts w:ascii="KaiTi" w:eastAsia="KaiTi" w:hAnsi="KaiTi"/>
          <w:sz w:val="21"/>
        </w:rPr>
        <w:t>[文件完]</w:t>
      </w:r>
    </w:p>
    <w:sectPr w:rsidR="003D7D7E" w:rsidRPr="009D2B7D" w:rsidSect="00B11AD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1C" w:rsidRDefault="00D25D1C">
      <w:r>
        <w:separator/>
      </w:r>
    </w:p>
  </w:endnote>
  <w:endnote w:type="continuationSeparator" w:id="0">
    <w:p w:rsidR="00D25D1C" w:rsidRDefault="00D25D1C" w:rsidP="003B38C1">
      <w:r>
        <w:separator/>
      </w:r>
    </w:p>
    <w:p w:rsidR="00D25D1C" w:rsidRPr="003B38C1" w:rsidRDefault="00D25D1C" w:rsidP="003B38C1">
      <w:pPr>
        <w:spacing w:after="60"/>
        <w:rPr>
          <w:sz w:val="17"/>
        </w:rPr>
      </w:pPr>
      <w:r>
        <w:rPr>
          <w:sz w:val="17"/>
        </w:rPr>
        <w:t>[Endnote continued from previous page]</w:t>
      </w:r>
    </w:p>
  </w:endnote>
  <w:endnote w:type="continuationNotice" w:id="1">
    <w:p w:rsidR="00D25D1C" w:rsidRPr="003B38C1" w:rsidRDefault="00D25D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1C" w:rsidRDefault="00D25D1C">
      <w:r>
        <w:separator/>
      </w:r>
    </w:p>
  </w:footnote>
  <w:footnote w:type="continuationSeparator" w:id="0">
    <w:p w:rsidR="00D25D1C" w:rsidRDefault="00D25D1C" w:rsidP="008B60B2">
      <w:r>
        <w:separator/>
      </w:r>
    </w:p>
    <w:p w:rsidR="00D25D1C" w:rsidRPr="00ED77FB" w:rsidRDefault="00D25D1C" w:rsidP="008B60B2">
      <w:pPr>
        <w:spacing w:after="60"/>
        <w:rPr>
          <w:sz w:val="17"/>
          <w:szCs w:val="17"/>
        </w:rPr>
      </w:pPr>
      <w:r w:rsidRPr="00ED77FB">
        <w:rPr>
          <w:sz w:val="17"/>
          <w:szCs w:val="17"/>
        </w:rPr>
        <w:t>[Footnote continued from previous page]</w:t>
      </w:r>
    </w:p>
  </w:footnote>
  <w:footnote w:type="continuationNotice" w:id="1">
    <w:p w:rsidR="00D25D1C" w:rsidRPr="00ED77FB" w:rsidRDefault="00D25D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62" w:rsidRPr="00772C94" w:rsidRDefault="00401F62" w:rsidP="00477D6B">
    <w:pPr>
      <w:jc w:val="right"/>
      <w:rPr>
        <w:rFonts w:ascii="SimSun" w:hAnsi="SimSun"/>
        <w:sz w:val="21"/>
      </w:rPr>
    </w:pPr>
    <w:bookmarkStart w:id="17" w:name="Code2"/>
    <w:bookmarkEnd w:id="17"/>
    <w:r w:rsidRPr="00772C94">
      <w:rPr>
        <w:rFonts w:ascii="SimSun" w:hAnsi="SimSun"/>
        <w:sz w:val="21"/>
      </w:rPr>
      <w:t>PCT/WG/10/4</w:t>
    </w:r>
  </w:p>
  <w:p w:rsidR="00401F62" w:rsidRPr="00772C94" w:rsidRDefault="001F13BB" w:rsidP="00477D6B">
    <w:pPr>
      <w:jc w:val="right"/>
      <w:rPr>
        <w:rFonts w:ascii="SimSun" w:hAnsi="SimSun"/>
        <w:sz w:val="21"/>
      </w:rPr>
    </w:pPr>
    <w:r w:rsidRPr="00772C94">
      <w:rPr>
        <w:rFonts w:ascii="SimSun" w:hAnsi="SimSun" w:hint="eastAsia"/>
        <w:sz w:val="21"/>
      </w:rPr>
      <w:t>第</w:t>
    </w:r>
    <w:r w:rsidR="00401F62" w:rsidRPr="00772C94">
      <w:rPr>
        <w:rFonts w:ascii="SimSun" w:hAnsi="SimSun"/>
        <w:sz w:val="21"/>
      </w:rPr>
      <w:fldChar w:fldCharType="begin"/>
    </w:r>
    <w:r w:rsidR="00401F62" w:rsidRPr="00772C94">
      <w:rPr>
        <w:rFonts w:ascii="SimSun" w:hAnsi="SimSun"/>
        <w:sz w:val="21"/>
      </w:rPr>
      <w:instrText xml:space="preserve"> PAGE  \* MERGEFORMAT </w:instrText>
    </w:r>
    <w:r w:rsidR="00401F62" w:rsidRPr="00772C94">
      <w:rPr>
        <w:rFonts w:ascii="SimSun" w:hAnsi="SimSun"/>
        <w:sz w:val="21"/>
      </w:rPr>
      <w:fldChar w:fldCharType="separate"/>
    </w:r>
    <w:r w:rsidR="00862497">
      <w:rPr>
        <w:rFonts w:ascii="SimSun" w:hAnsi="SimSun"/>
        <w:noProof/>
        <w:sz w:val="21"/>
      </w:rPr>
      <w:t>2</w:t>
    </w:r>
    <w:r w:rsidR="00401F62" w:rsidRPr="00772C94">
      <w:rPr>
        <w:rFonts w:ascii="SimSun" w:hAnsi="SimSun"/>
        <w:sz w:val="21"/>
      </w:rPr>
      <w:fldChar w:fldCharType="end"/>
    </w:r>
    <w:r w:rsidRPr="00772C94">
      <w:rPr>
        <w:rFonts w:ascii="SimSun" w:hAnsi="SimSun" w:hint="eastAsia"/>
        <w:sz w:val="21"/>
      </w:rPr>
      <w:t>页</w:t>
    </w:r>
  </w:p>
  <w:p w:rsidR="00401F62" w:rsidRPr="00772C94" w:rsidRDefault="00401F6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5"/>
    <w:rsid w:val="00043CAA"/>
    <w:rsid w:val="00075432"/>
    <w:rsid w:val="00091FFD"/>
    <w:rsid w:val="000968ED"/>
    <w:rsid w:val="000B1F9A"/>
    <w:rsid w:val="000F5E56"/>
    <w:rsid w:val="001362EE"/>
    <w:rsid w:val="00141F18"/>
    <w:rsid w:val="00174447"/>
    <w:rsid w:val="001832A6"/>
    <w:rsid w:val="001F13BB"/>
    <w:rsid w:val="001F401B"/>
    <w:rsid w:val="00207775"/>
    <w:rsid w:val="0021217E"/>
    <w:rsid w:val="002634C4"/>
    <w:rsid w:val="002928D3"/>
    <w:rsid w:val="002A4EDA"/>
    <w:rsid w:val="002F1FE6"/>
    <w:rsid w:val="002F4E68"/>
    <w:rsid w:val="00312F7F"/>
    <w:rsid w:val="0033339D"/>
    <w:rsid w:val="00361450"/>
    <w:rsid w:val="003673CF"/>
    <w:rsid w:val="003845C1"/>
    <w:rsid w:val="003A6F89"/>
    <w:rsid w:val="003B0B80"/>
    <w:rsid w:val="003B13AD"/>
    <w:rsid w:val="003B38C1"/>
    <w:rsid w:val="003D3E05"/>
    <w:rsid w:val="003D6DC6"/>
    <w:rsid w:val="003D7D7E"/>
    <w:rsid w:val="00401F62"/>
    <w:rsid w:val="00423E3E"/>
    <w:rsid w:val="00427AF4"/>
    <w:rsid w:val="004647DA"/>
    <w:rsid w:val="00474062"/>
    <w:rsid w:val="00477D6B"/>
    <w:rsid w:val="004956E0"/>
    <w:rsid w:val="004C028C"/>
    <w:rsid w:val="005019FF"/>
    <w:rsid w:val="0053057A"/>
    <w:rsid w:val="00560A29"/>
    <w:rsid w:val="005C6649"/>
    <w:rsid w:val="00605827"/>
    <w:rsid w:val="00636328"/>
    <w:rsid w:val="00646050"/>
    <w:rsid w:val="00647E5A"/>
    <w:rsid w:val="006713CA"/>
    <w:rsid w:val="00676C5C"/>
    <w:rsid w:val="00683769"/>
    <w:rsid w:val="006E65B5"/>
    <w:rsid w:val="00710670"/>
    <w:rsid w:val="0074386F"/>
    <w:rsid w:val="00772C94"/>
    <w:rsid w:val="007D1613"/>
    <w:rsid w:val="007E0D0D"/>
    <w:rsid w:val="007E4C0E"/>
    <w:rsid w:val="00814631"/>
    <w:rsid w:val="00862497"/>
    <w:rsid w:val="008B2CC1"/>
    <w:rsid w:val="008B60B2"/>
    <w:rsid w:val="008B7AD8"/>
    <w:rsid w:val="0090731E"/>
    <w:rsid w:val="00916EE2"/>
    <w:rsid w:val="00944D9B"/>
    <w:rsid w:val="00951AC0"/>
    <w:rsid w:val="00952E18"/>
    <w:rsid w:val="00956814"/>
    <w:rsid w:val="00966A22"/>
    <w:rsid w:val="0096722F"/>
    <w:rsid w:val="00980843"/>
    <w:rsid w:val="00990860"/>
    <w:rsid w:val="00992354"/>
    <w:rsid w:val="009D2B7D"/>
    <w:rsid w:val="009E2791"/>
    <w:rsid w:val="009E3F6F"/>
    <w:rsid w:val="009E6A0B"/>
    <w:rsid w:val="009F499F"/>
    <w:rsid w:val="00A0469D"/>
    <w:rsid w:val="00A42DAF"/>
    <w:rsid w:val="00A45BD8"/>
    <w:rsid w:val="00A77BD7"/>
    <w:rsid w:val="00A869B7"/>
    <w:rsid w:val="00AC205C"/>
    <w:rsid w:val="00AF0A6B"/>
    <w:rsid w:val="00AF6754"/>
    <w:rsid w:val="00B05A69"/>
    <w:rsid w:val="00B11ADE"/>
    <w:rsid w:val="00B4557B"/>
    <w:rsid w:val="00B9734B"/>
    <w:rsid w:val="00BA30E2"/>
    <w:rsid w:val="00BE6A22"/>
    <w:rsid w:val="00C11BFE"/>
    <w:rsid w:val="00C5068F"/>
    <w:rsid w:val="00C72C0E"/>
    <w:rsid w:val="00CA44F1"/>
    <w:rsid w:val="00CD04F1"/>
    <w:rsid w:val="00CD301F"/>
    <w:rsid w:val="00CF665E"/>
    <w:rsid w:val="00D13285"/>
    <w:rsid w:val="00D25D1C"/>
    <w:rsid w:val="00D45252"/>
    <w:rsid w:val="00D57ABA"/>
    <w:rsid w:val="00D71B4D"/>
    <w:rsid w:val="00D93D55"/>
    <w:rsid w:val="00DB4305"/>
    <w:rsid w:val="00DD5094"/>
    <w:rsid w:val="00DE0DF8"/>
    <w:rsid w:val="00E14A3B"/>
    <w:rsid w:val="00E15015"/>
    <w:rsid w:val="00E335FE"/>
    <w:rsid w:val="00E71283"/>
    <w:rsid w:val="00EC00B7"/>
    <w:rsid w:val="00EC4E49"/>
    <w:rsid w:val="00ED77FB"/>
    <w:rsid w:val="00EE45FA"/>
    <w:rsid w:val="00EE6DCF"/>
    <w:rsid w:val="00EF3666"/>
    <w:rsid w:val="00F129B3"/>
    <w:rsid w:val="00F66152"/>
    <w:rsid w:val="00F95FF8"/>
    <w:rsid w:val="00F97F32"/>
    <w:rsid w:val="00FB6559"/>
    <w:rsid w:val="00FF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E65B5"/>
    <w:rPr>
      <w:rFonts w:ascii="Tahoma" w:hAnsi="Tahoma" w:cs="Tahoma"/>
      <w:sz w:val="16"/>
      <w:szCs w:val="16"/>
    </w:rPr>
  </w:style>
  <w:style w:type="character" w:customStyle="1" w:styleId="Char0">
    <w:name w:val="批注框文本 Char"/>
    <w:basedOn w:val="a1"/>
    <w:link w:val="ad"/>
    <w:rsid w:val="006E65B5"/>
    <w:rPr>
      <w:rFonts w:ascii="Tahoma" w:eastAsia="SimSun" w:hAnsi="Tahoma" w:cs="Tahoma"/>
      <w:sz w:val="16"/>
      <w:szCs w:val="16"/>
      <w:lang w:eastAsia="zh-CN"/>
    </w:rPr>
  </w:style>
  <w:style w:type="character" w:customStyle="1" w:styleId="ONUMEChar">
    <w:name w:val="ONUM E Char"/>
    <w:basedOn w:val="a1"/>
    <w:link w:val="ONUME"/>
    <w:rsid w:val="00DB4305"/>
    <w:rPr>
      <w:rFonts w:ascii="Arial" w:eastAsia="SimSun" w:hAnsi="Arial" w:cs="Arial"/>
      <w:sz w:val="22"/>
      <w:lang w:eastAsia="zh-CN"/>
    </w:rPr>
  </w:style>
  <w:style w:type="character" w:styleId="ae">
    <w:name w:val="Hyperlink"/>
    <w:basedOn w:val="a1"/>
    <w:rsid w:val="00DB4305"/>
    <w:rPr>
      <w:color w:val="0000FF" w:themeColor="hyperlink"/>
      <w:u w:val="single"/>
    </w:rPr>
  </w:style>
  <w:style w:type="character" w:customStyle="1" w:styleId="Char">
    <w:name w:val="页眉 Char"/>
    <w:basedOn w:val="a1"/>
    <w:link w:val="aa"/>
    <w:uiPriority w:val="99"/>
    <w:rsid w:val="00401F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E65B5"/>
    <w:rPr>
      <w:rFonts w:ascii="Tahoma" w:hAnsi="Tahoma" w:cs="Tahoma"/>
      <w:sz w:val="16"/>
      <w:szCs w:val="16"/>
    </w:rPr>
  </w:style>
  <w:style w:type="character" w:customStyle="1" w:styleId="Char0">
    <w:name w:val="批注框文本 Char"/>
    <w:basedOn w:val="a1"/>
    <w:link w:val="ad"/>
    <w:rsid w:val="006E65B5"/>
    <w:rPr>
      <w:rFonts w:ascii="Tahoma" w:eastAsia="SimSun" w:hAnsi="Tahoma" w:cs="Tahoma"/>
      <w:sz w:val="16"/>
      <w:szCs w:val="16"/>
      <w:lang w:eastAsia="zh-CN"/>
    </w:rPr>
  </w:style>
  <w:style w:type="character" w:customStyle="1" w:styleId="ONUMEChar">
    <w:name w:val="ONUM E Char"/>
    <w:basedOn w:val="a1"/>
    <w:link w:val="ONUME"/>
    <w:rsid w:val="00DB4305"/>
    <w:rPr>
      <w:rFonts w:ascii="Arial" w:eastAsia="SimSun" w:hAnsi="Arial" w:cs="Arial"/>
      <w:sz w:val="22"/>
      <w:lang w:eastAsia="zh-CN"/>
    </w:rPr>
  </w:style>
  <w:style w:type="character" w:styleId="ae">
    <w:name w:val="Hyperlink"/>
    <w:basedOn w:val="a1"/>
    <w:rsid w:val="00DB4305"/>
    <w:rPr>
      <w:color w:val="0000FF" w:themeColor="hyperlink"/>
      <w:u w:val="single"/>
    </w:rPr>
  </w:style>
  <w:style w:type="character" w:customStyle="1" w:styleId="Char">
    <w:name w:val="页眉 Char"/>
    <w:basedOn w:val="a1"/>
    <w:link w:val="aa"/>
    <w:uiPriority w:val="99"/>
    <w:rsid w:val="00401F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DE69-2737-47FF-8B2D-28D820D8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66</TotalTime>
  <Pages>5</Pages>
  <Words>2323</Words>
  <Characters>2625</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PCT/WG/10/4</dc:title>
  <dc:subject>在国际申请中使用国家分类号</dc:subject>
  <dc:creator/>
  <cp:lastModifiedBy>MA Weihai</cp:lastModifiedBy>
  <cp:revision>15</cp:revision>
  <cp:lastPrinted>2017-03-07T07:45:00Z</cp:lastPrinted>
  <dcterms:created xsi:type="dcterms:W3CDTF">2017-02-24T14:47:00Z</dcterms:created>
  <dcterms:modified xsi:type="dcterms:W3CDTF">2017-03-07T13:51:00Z</dcterms:modified>
</cp:coreProperties>
</file>