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161E" w14:textId="3F19787D" w:rsidR="008B2CC1" w:rsidRPr="008B2CC1" w:rsidRDefault="006F399B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50A61780" wp14:editId="70479D20">
            <wp:extent cx="3249295" cy="1633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ja-JP"/>
        </w:rPr>
        <mc:AlternateContent>
          <mc:Choice Requires="wps">
            <w:drawing>
              <wp:inline distT="0" distB="0" distL="0" distR="0" wp14:anchorId="36C3E369" wp14:editId="4F30337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BDA42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855645F" w14:textId="03A1E1B8"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</w:t>
      </w:r>
      <w:r w:rsidR="003F4C9E">
        <w:rPr>
          <w:rFonts w:ascii="Arial Black" w:hAnsi="Arial Black"/>
          <w:caps/>
          <w:sz w:val="15"/>
          <w:szCs w:val="15"/>
        </w:rPr>
        <w:t>7</w:t>
      </w:r>
      <w:r w:rsidR="00497C1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A62AA">
        <w:rPr>
          <w:rFonts w:ascii="Arial Black" w:hAnsi="Arial Black"/>
          <w:caps/>
          <w:sz w:val="15"/>
          <w:szCs w:val="15"/>
        </w:rPr>
        <w:t>10</w:t>
      </w:r>
    </w:p>
    <w:p w14:paraId="2EF88ACC" w14:textId="6BE035CA" w:rsidR="00CE65D4" w:rsidRPr="00CE65D4" w:rsidRDefault="006F399B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0FF1785F" w14:textId="4BC33F72" w:rsidR="008B2CC1" w:rsidRPr="00CE65D4" w:rsidRDefault="006F399B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B02F9F">
        <w:rPr>
          <w:rFonts w:ascii="Arial Black" w:hAnsi="Arial Black"/>
          <w:caps/>
          <w:sz w:val="15"/>
          <w:szCs w:val="15"/>
        </w:rPr>
        <w:t>22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января</w:t>
      </w:r>
      <w:r w:rsidR="00B1366E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4 года</w:t>
      </w:r>
    </w:p>
    <w:bookmarkEnd w:id="2"/>
    <w:p w14:paraId="3DA39A32" w14:textId="3AF60871" w:rsidR="008B2CC1" w:rsidRPr="00AC1888" w:rsidRDefault="00AC1888" w:rsidP="00A26A28">
      <w:pPr>
        <w:spacing w:after="720"/>
        <w:rPr>
          <w:b/>
          <w:sz w:val="28"/>
          <w:szCs w:val="28"/>
          <w:lang w:val="ru-RU"/>
        </w:rPr>
      </w:pPr>
      <w:r w:rsidRPr="00AC1888">
        <w:rPr>
          <w:b/>
          <w:sz w:val="28"/>
          <w:szCs w:val="28"/>
          <w:lang w:val="ru-RU"/>
        </w:rPr>
        <w:t>Рабочая группа по Договору о патентной кооперации (РСТ)</w:t>
      </w:r>
    </w:p>
    <w:p w14:paraId="485F4728" w14:textId="035C2BFC" w:rsidR="008B2CC1" w:rsidRPr="003845C1" w:rsidRDefault="00AC1888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Семнадцатая сессия</w:t>
      </w:r>
    </w:p>
    <w:p w14:paraId="0A399EF4" w14:textId="26F43A10" w:rsidR="008B2CC1" w:rsidRPr="00AC1888" w:rsidRDefault="00AC1888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E90B8B" w:rsidRPr="008D0E8D">
        <w:rPr>
          <w:b/>
          <w:sz w:val="24"/>
          <w:szCs w:val="24"/>
        </w:rPr>
        <w:t xml:space="preserve">, </w:t>
      </w:r>
      <w:r w:rsidR="003F4C9E">
        <w:rPr>
          <w:b/>
          <w:sz w:val="24"/>
          <w:szCs w:val="24"/>
        </w:rPr>
        <w:t>19</w:t>
      </w:r>
      <w:r w:rsidRPr="00AC1888">
        <w:rPr>
          <w:b/>
          <w:bCs/>
        </w:rPr>
        <w:t>–</w:t>
      </w:r>
      <w:r w:rsidR="003F4C9E">
        <w:rPr>
          <w:b/>
          <w:sz w:val="24"/>
          <w:szCs w:val="24"/>
        </w:rPr>
        <w:t>21</w:t>
      </w:r>
      <w:r>
        <w:rPr>
          <w:b/>
          <w:sz w:val="24"/>
          <w:szCs w:val="24"/>
          <w:lang w:val="ru-RU"/>
        </w:rPr>
        <w:t xml:space="preserve"> февраля</w:t>
      </w:r>
      <w:r w:rsidR="003F4C9E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  <w:lang w:val="ru-RU"/>
        </w:rPr>
        <w:t xml:space="preserve"> года</w:t>
      </w:r>
    </w:p>
    <w:p w14:paraId="5F93ACD0" w14:textId="7740A2E9" w:rsidR="008B2CC1" w:rsidRPr="009F3BF9" w:rsidRDefault="00F36728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цитирование неписьменного раскрытия</w:t>
      </w:r>
    </w:p>
    <w:p w14:paraId="3F598DEA" w14:textId="0F25FC44" w:rsidR="008B2CC1" w:rsidRPr="004D39C4" w:rsidRDefault="00F36728" w:rsidP="00CE65D4">
      <w:pPr>
        <w:spacing w:after="960"/>
        <w:rPr>
          <w:i/>
        </w:rPr>
      </w:pPr>
      <w:bookmarkStart w:id="4" w:name="Prepared"/>
      <w:bookmarkEnd w:id="3"/>
      <w:r>
        <w:rPr>
          <w:i/>
          <w:lang w:val="ru-RU"/>
        </w:rPr>
        <w:t>Документ подготовлен Международным бюро</w:t>
      </w:r>
    </w:p>
    <w:bookmarkEnd w:id="4"/>
    <w:p w14:paraId="69A6287D" w14:textId="7CBF8ED0" w:rsidR="002928D3" w:rsidRDefault="004F0307" w:rsidP="00B1366E">
      <w:pPr>
        <w:pStyle w:val="Heading1"/>
      </w:pPr>
      <w:r>
        <w:rPr>
          <w:lang w:val="ru-RU"/>
        </w:rPr>
        <w:t>Резюме</w:t>
      </w:r>
    </w:p>
    <w:p w14:paraId="42C8C89C" w14:textId="743A1870" w:rsidR="00B1366E" w:rsidRDefault="00627EC1" w:rsidP="0072149C">
      <w:pPr>
        <w:pStyle w:val="ONUME"/>
      </w:pPr>
      <w:r>
        <w:rPr>
          <w:lang w:val="ru-RU"/>
        </w:rPr>
        <w:t>В настоящем документе содержится проект поправок к Инструкции к РСТ, призванных рас</w:t>
      </w:r>
      <w:r w:rsidR="00D3037D">
        <w:rPr>
          <w:lang w:val="ru-RU"/>
        </w:rPr>
        <w:t xml:space="preserve">пространить </w:t>
      </w:r>
      <w:r>
        <w:rPr>
          <w:lang w:val="ru-RU"/>
        </w:rPr>
        <w:t xml:space="preserve">определение соответствующего уровня техники </w:t>
      </w:r>
      <w:r w:rsidR="00C65F4D">
        <w:rPr>
          <w:lang w:val="ru-RU"/>
        </w:rPr>
        <w:t>для</w:t>
      </w:r>
      <w:r w:rsidR="000E7FFA">
        <w:rPr>
          <w:lang w:val="ru-RU"/>
        </w:rPr>
        <w:t xml:space="preserve"> целей</w:t>
      </w:r>
      <w:r w:rsidR="00C65F4D">
        <w:rPr>
          <w:lang w:val="ru-RU"/>
        </w:rPr>
        <w:t xml:space="preserve"> международного поиска</w:t>
      </w:r>
      <w:r w:rsidR="000E7FFA">
        <w:rPr>
          <w:lang w:val="ru-RU"/>
        </w:rPr>
        <w:t xml:space="preserve"> и</w:t>
      </w:r>
      <w:r w:rsidR="00C65F4D">
        <w:rPr>
          <w:lang w:val="ru-RU"/>
        </w:rPr>
        <w:t xml:space="preserve"> международной предварительной экспертизы</w:t>
      </w:r>
      <w:r w:rsidR="00C46573">
        <w:rPr>
          <w:lang w:val="ru-RU"/>
        </w:rPr>
        <w:t xml:space="preserve"> </w:t>
      </w:r>
      <w:r w:rsidR="00C65F4D">
        <w:rPr>
          <w:lang w:val="ru-RU"/>
        </w:rPr>
        <w:t>на неписьменные раскрытия</w:t>
      </w:r>
      <w:r w:rsidR="001D2F80">
        <w:t xml:space="preserve">.  </w:t>
      </w:r>
      <w:r w:rsidR="001E26F8">
        <w:rPr>
          <w:lang w:val="ru-RU"/>
        </w:rPr>
        <w:t xml:space="preserve">В </w:t>
      </w:r>
      <w:r w:rsidR="00815C8C">
        <w:rPr>
          <w:lang w:val="ru-RU"/>
        </w:rPr>
        <w:t>не</w:t>
      </w:r>
      <w:r w:rsidR="00751283">
        <w:rPr>
          <w:lang w:val="ru-RU"/>
        </w:rPr>
        <w:t>м</w:t>
      </w:r>
      <w:r w:rsidR="001E26F8">
        <w:rPr>
          <w:lang w:val="ru-RU"/>
        </w:rPr>
        <w:t xml:space="preserve"> также приводится обновленная информация о работе</w:t>
      </w:r>
      <w:r w:rsidR="00C42225">
        <w:rPr>
          <w:lang w:val="ru-RU"/>
        </w:rPr>
        <w:t xml:space="preserve"> на уровне </w:t>
      </w:r>
      <w:r w:rsidR="008A6543">
        <w:rPr>
          <w:lang w:val="ru-RU"/>
        </w:rPr>
        <w:t>М</w:t>
      </w:r>
      <w:r w:rsidR="00075D54">
        <w:rPr>
          <w:lang w:val="ru-RU"/>
        </w:rPr>
        <w:t>еждународны</w:t>
      </w:r>
      <w:r w:rsidR="00C42225">
        <w:rPr>
          <w:lang w:val="ru-RU"/>
        </w:rPr>
        <w:t>х</w:t>
      </w:r>
      <w:r w:rsidR="00075D54">
        <w:rPr>
          <w:lang w:val="ru-RU"/>
        </w:rPr>
        <w:t xml:space="preserve"> орган</w:t>
      </w:r>
      <w:r w:rsidR="00C42225">
        <w:rPr>
          <w:lang w:val="ru-RU"/>
        </w:rPr>
        <w:t xml:space="preserve">ов, которую </w:t>
      </w:r>
      <w:r w:rsidR="00751283">
        <w:rPr>
          <w:lang w:val="ru-RU"/>
        </w:rPr>
        <w:t xml:space="preserve">необходимо </w:t>
      </w:r>
      <w:r w:rsidR="00C42225">
        <w:rPr>
          <w:lang w:val="ru-RU"/>
        </w:rPr>
        <w:t>изучить</w:t>
      </w:r>
      <w:r w:rsidR="00751283">
        <w:rPr>
          <w:lang w:val="ru-RU"/>
        </w:rPr>
        <w:t>, прежде чем внедрять это изменение, связанное с п</w:t>
      </w:r>
      <w:r w:rsidR="00C42225">
        <w:rPr>
          <w:lang w:val="ru-RU"/>
        </w:rPr>
        <w:t>о</w:t>
      </w:r>
      <w:r w:rsidR="00751283">
        <w:rPr>
          <w:lang w:val="ru-RU"/>
        </w:rPr>
        <w:t>р</w:t>
      </w:r>
      <w:r w:rsidR="00C42225">
        <w:rPr>
          <w:lang w:val="ru-RU"/>
        </w:rPr>
        <w:t>ядком</w:t>
      </w:r>
      <w:r w:rsidR="00751283">
        <w:rPr>
          <w:lang w:val="ru-RU"/>
        </w:rPr>
        <w:t xml:space="preserve"> хранения неписьменных раскрытий и </w:t>
      </w:r>
      <w:r w:rsidR="007E5D32">
        <w:rPr>
          <w:lang w:val="ru-RU"/>
        </w:rPr>
        <w:t>обеспечения доступа к ним заявителей, Указанных ведомств и других сторон</w:t>
      </w:r>
      <w:r w:rsidR="00FF4D1B">
        <w:t>.</w:t>
      </w:r>
    </w:p>
    <w:p w14:paraId="399F3331" w14:textId="059CCE81" w:rsidR="00B86092" w:rsidRDefault="002C2378" w:rsidP="00B86092">
      <w:pPr>
        <w:pStyle w:val="Heading1"/>
      </w:pPr>
      <w:r>
        <w:rPr>
          <w:lang w:val="ru-RU"/>
        </w:rPr>
        <w:t>с</w:t>
      </w:r>
      <w:r w:rsidR="004F0307">
        <w:rPr>
          <w:lang w:val="ru-RU"/>
        </w:rPr>
        <w:t>правочная информация</w:t>
      </w:r>
    </w:p>
    <w:p w14:paraId="4AB981E9" w14:textId="325DEE08" w:rsidR="007543AE" w:rsidRDefault="008A6543" w:rsidP="00372430">
      <w:pPr>
        <w:pStyle w:val="ONUME"/>
      </w:pPr>
      <w:r>
        <w:rPr>
          <w:lang w:val="ru-RU"/>
        </w:rPr>
        <w:t xml:space="preserve">На двадцать девятой сессии Заседания Международных органов в рамках </w:t>
      </w:r>
      <w:r w:rsidR="00F47DE5">
        <w:rPr>
          <w:lang w:val="ru-RU"/>
        </w:rPr>
        <w:t>РСТ</w:t>
      </w:r>
      <w:r w:rsidR="00372430">
        <w:t xml:space="preserve"> (</w:t>
      </w:r>
      <w:r w:rsidR="00F47DE5">
        <w:rPr>
          <w:lang w:val="ru-RU"/>
        </w:rPr>
        <w:t>Заседание</w:t>
      </w:r>
      <w:r w:rsidR="00372430">
        <w:t xml:space="preserve">) </w:t>
      </w:r>
      <w:r w:rsidR="00F47DE5">
        <w:rPr>
          <w:lang w:val="ru-RU"/>
        </w:rPr>
        <w:t xml:space="preserve">в июне </w:t>
      </w:r>
      <w:r w:rsidR="00372430">
        <w:t>2022</w:t>
      </w:r>
      <w:r w:rsidR="00F47DE5">
        <w:rPr>
          <w:lang w:val="ru-RU"/>
        </w:rPr>
        <w:t xml:space="preserve"> года Международные органы обсудили документ о цитировании уровня техники</w:t>
      </w:r>
      <w:r w:rsidR="0090062D">
        <w:rPr>
          <w:lang w:val="ru-RU"/>
        </w:rPr>
        <w:t>, существующего в неписьменном виде</w:t>
      </w:r>
      <w:r w:rsidR="00372430">
        <w:t xml:space="preserve"> (</w:t>
      </w:r>
      <w:r w:rsidR="0090062D">
        <w:rPr>
          <w:lang w:val="ru-RU"/>
        </w:rPr>
        <w:t>документ </w:t>
      </w:r>
      <w:r w:rsidR="009A697F">
        <w:t>PCT/MIA/29/2</w:t>
      </w:r>
      <w:r w:rsidR="00372430">
        <w:t>)</w:t>
      </w:r>
      <w:r w:rsidR="009A697F">
        <w:t xml:space="preserve">.  </w:t>
      </w:r>
      <w:r w:rsidR="00630E0C">
        <w:rPr>
          <w:lang w:val="ru-RU"/>
        </w:rPr>
        <w:t xml:space="preserve">В этом документе были представлены проекты отдельных </w:t>
      </w:r>
      <w:r w:rsidR="00611A8F">
        <w:rPr>
          <w:lang w:val="ru-RU"/>
        </w:rPr>
        <w:t xml:space="preserve">предварительных </w:t>
      </w:r>
      <w:r w:rsidR="00552072">
        <w:rPr>
          <w:lang w:val="ru-RU"/>
        </w:rPr>
        <w:t>поправок к Инструкции к РСТ, которые расширя</w:t>
      </w:r>
      <w:r w:rsidR="00757DA8">
        <w:rPr>
          <w:lang w:val="ru-RU"/>
        </w:rPr>
        <w:t>ю</w:t>
      </w:r>
      <w:r w:rsidR="00552072">
        <w:rPr>
          <w:lang w:val="ru-RU"/>
        </w:rPr>
        <w:t>т определение соответствующего уровня техники в рамках РСТ, распростран</w:t>
      </w:r>
      <w:r w:rsidR="00757DA8">
        <w:rPr>
          <w:lang w:val="ru-RU"/>
        </w:rPr>
        <w:t>яя</w:t>
      </w:r>
      <w:r w:rsidR="00552072">
        <w:rPr>
          <w:lang w:val="ru-RU"/>
        </w:rPr>
        <w:t xml:space="preserve"> его как на письменные, так и неписьменные раскрытия</w:t>
      </w:r>
      <w:r w:rsidR="00004C28">
        <w:t xml:space="preserve">.  </w:t>
      </w:r>
      <w:r w:rsidR="000B54CC">
        <w:rPr>
          <w:lang w:val="ru-RU"/>
        </w:rPr>
        <w:t xml:space="preserve">В документе </w:t>
      </w:r>
      <w:r w:rsidR="00237CC6">
        <w:rPr>
          <w:lang w:val="ru-RU"/>
        </w:rPr>
        <w:t>также</w:t>
      </w:r>
      <w:r w:rsidR="00025B44">
        <w:rPr>
          <w:lang w:val="ru-RU"/>
        </w:rPr>
        <w:t xml:space="preserve"> были</w:t>
      </w:r>
      <w:r w:rsidR="000B54CC">
        <w:rPr>
          <w:lang w:val="ru-RU"/>
        </w:rPr>
        <w:t xml:space="preserve"> описаны изменения, которые потребуется внести в практику цитирования уровня техники для распространения </w:t>
      </w:r>
      <w:r w:rsidR="00025B44">
        <w:rPr>
          <w:lang w:val="ru-RU"/>
        </w:rPr>
        <w:t xml:space="preserve">упомянутого </w:t>
      </w:r>
      <w:r w:rsidR="000B54CC">
        <w:rPr>
          <w:lang w:val="ru-RU"/>
        </w:rPr>
        <w:t xml:space="preserve">определения </w:t>
      </w:r>
      <w:r w:rsidR="00237CC6">
        <w:rPr>
          <w:lang w:val="ru-RU"/>
        </w:rPr>
        <w:t>на письменные и неписьменные раскрытия</w:t>
      </w:r>
      <w:r w:rsidR="00004C28">
        <w:t xml:space="preserve">.  </w:t>
      </w:r>
      <w:r w:rsidR="00D30698">
        <w:rPr>
          <w:lang w:val="ru-RU"/>
        </w:rPr>
        <w:t>Основные тезисы состоявше</w:t>
      </w:r>
      <w:r w:rsidR="00290E4C">
        <w:rPr>
          <w:lang w:val="ru-RU"/>
        </w:rPr>
        <w:t xml:space="preserve">йся дискуссии </w:t>
      </w:r>
      <w:r w:rsidR="00D30698">
        <w:rPr>
          <w:lang w:val="ru-RU"/>
        </w:rPr>
        <w:t>изложены в пунктах</w:t>
      </w:r>
      <w:r w:rsidR="00372430">
        <w:t> 28</w:t>
      </w:r>
      <w:r w:rsidR="00D30698" w:rsidRPr="00D30698">
        <w:t>–</w:t>
      </w:r>
      <w:r w:rsidR="00372430">
        <w:t xml:space="preserve">33 </w:t>
      </w:r>
      <w:r w:rsidR="00D30698">
        <w:rPr>
          <w:lang w:val="ru-RU"/>
        </w:rPr>
        <w:t>резюме Председателя данной сессии</w:t>
      </w:r>
      <w:r w:rsidR="00372430">
        <w:t xml:space="preserve">, </w:t>
      </w:r>
      <w:r w:rsidR="00D30698">
        <w:rPr>
          <w:lang w:val="ru-RU"/>
        </w:rPr>
        <w:t>документ </w:t>
      </w:r>
      <w:r w:rsidR="00372430">
        <w:t>PCT/MIA/29/10.</w:t>
      </w:r>
    </w:p>
    <w:p w14:paraId="1E4EDAA9" w14:textId="7D534F04" w:rsidR="0034720B" w:rsidRDefault="00A74E8D" w:rsidP="0072149C">
      <w:pPr>
        <w:pStyle w:val="ONUME"/>
      </w:pPr>
      <w:r>
        <w:rPr>
          <w:lang w:val="ru-RU"/>
        </w:rPr>
        <w:lastRenderedPageBreak/>
        <w:t>На пятнадцатой сессии Рабочей группы</w:t>
      </w:r>
      <w:r w:rsidR="004C4B47">
        <w:rPr>
          <w:lang w:val="ru-RU"/>
        </w:rPr>
        <w:t xml:space="preserve"> </w:t>
      </w:r>
      <w:r>
        <w:rPr>
          <w:lang w:val="ru-RU"/>
        </w:rPr>
        <w:t xml:space="preserve">в октябре </w:t>
      </w:r>
      <w:r>
        <w:t>2022</w:t>
      </w:r>
      <w:r>
        <w:rPr>
          <w:lang w:val="ru-RU"/>
        </w:rPr>
        <w:t xml:space="preserve"> года</w:t>
      </w:r>
      <w:r>
        <w:t xml:space="preserve"> </w:t>
      </w:r>
      <w:r w:rsidR="00964240">
        <w:rPr>
          <w:lang w:val="ru-RU"/>
        </w:rPr>
        <w:t xml:space="preserve">Международное бюро представило документ, посвященный неписьменным раскрытиям, с пересмотренным проектом поправок </w:t>
      </w:r>
      <w:r w:rsidR="00DB542A">
        <w:t>(</w:t>
      </w:r>
      <w:r w:rsidR="00964240">
        <w:rPr>
          <w:lang w:val="ru-RU"/>
        </w:rPr>
        <w:t xml:space="preserve">документ </w:t>
      </w:r>
      <w:r w:rsidR="00DB542A">
        <w:t xml:space="preserve">PCT/WG/15/5).  </w:t>
      </w:r>
      <w:r w:rsidR="00BE775E">
        <w:rPr>
          <w:lang w:val="ru-RU"/>
        </w:rPr>
        <w:t>В пунктах</w:t>
      </w:r>
      <w:r w:rsidR="00A64DC6">
        <w:rPr>
          <w:lang w:val="ru-RU"/>
        </w:rPr>
        <w:t xml:space="preserve"> </w:t>
      </w:r>
      <w:r w:rsidR="009A62AA">
        <w:t>61</w:t>
      </w:r>
      <w:r w:rsidR="00BE775E" w:rsidRPr="00BE775E">
        <w:t>–</w:t>
      </w:r>
      <w:r w:rsidR="009A62AA">
        <w:t xml:space="preserve">65 </w:t>
      </w:r>
      <w:r w:rsidR="00BE775E">
        <w:rPr>
          <w:lang w:val="ru-RU"/>
        </w:rPr>
        <w:t xml:space="preserve">резюме Председателя соответствующей сессии (документ </w:t>
      </w:r>
      <w:r w:rsidR="009A62AA">
        <w:t>PCT/WG/15/19</w:t>
      </w:r>
      <w:r w:rsidR="00BE775E">
        <w:rPr>
          <w:lang w:val="ru-RU"/>
        </w:rPr>
        <w:t xml:space="preserve">) приводятся основные тезисы </w:t>
      </w:r>
      <w:r w:rsidR="00DB4DEF">
        <w:rPr>
          <w:lang w:val="ru-RU"/>
        </w:rPr>
        <w:t>дискуссии</w:t>
      </w:r>
      <w:r w:rsidR="00E10ADA">
        <w:rPr>
          <w:lang w:val="ru-RU"/>
        </w:rPr>
        <w:t xml:space="preserve"> по этой теме</w:t>
      </w:r>
      <w:r w:rsidR="00021297">
        <w:t xml:space="preserve">. </w:t>
      </w:r>
      <w:r w:rsidR="00004C28">
        <w:t xml:space="preserve"> </w:t>
      </w:r>
      <w:r w:rsidR="006541D6">
        <w:rPr>
          <w:lang w:val="ru-RU"/>
        </w:rPr>
        <w:t xml:space="preserve">Делегации признали </w:t>
      </w:r>
      <w:r w:rsidR="00537437">
        <w:rPr>
          <w:lang w:val="ru-RU"/>
        </w:rPr>
        <w:t xml:space="preserve">целесообразность </w:t>
      </w:r>
      <w:r w:rsidR="006541D6">
        <w:rPr>
          <w:lang w:val="ru-RU"/>
        </w:rPr>
        <w:t xml:space="preserve">модернизации правовой базы путем включения в определение уровня техники неписьменных раскрытий, заметив при этом, что </w:t>
      </w:r>
      <w:r w:rsidR="006541D6" w:rsidRPr="006541D6">
        <w:rPr>
          <w:lang w:val="ru-RU"/>
        </w:rPr>
        <w:t>предлагаемое расширение создаст проблемы с технической и юридической точек зрения</w:t>
      </w:r>
      <w:r w:rsidR="0034720B">
        <w:t>.</w:t>
      </w:r>
      <w:r w:rsidR="00021297">
        <w:t xml:space="preserve">  </w:t>
      </w:r>
      <w:r w:rsidR="0012053B">
        <w:rPr>
          <w:lang w:val="ru-RU"/>
        </w:rPr>
        <w:t xml:space="preserve">С учетом этого </w:t>
      </w:r>
      <w:r w:rsidR="0012053B" w:rsidRPr="0012053B">
        <w:rPr>
          <w:lang w:val="ru-RU"/>
        </w:rPr>
        <w:t>Рабочая группа предложила Международным органам изучить требования эффективной реализации</w:t>
      </w:r>
      <w:r w:rsidR="0012053B">
        <w:rPr>
          <w:lang w:val="ru-RU"/>
        </w:rPr>
        <w:t xml:space="preserve"> данного предложения</w:t>
      </w:r>
      <w:r w:rsidR="0012053B" w:rsidRPr="0012053B">
        <w:rPr>
          <w:lang w:val="ru-RU"/>
        </w:rPr>
        <w:t>, принимая во внимание озвученные комментарии, и представить рекомендации по дальнейшей работе</w:t>
      </w:r>
      <w:r w:rsidR="0012053B">
        <w:rPr>
          <w:lang w:val="ru-RU"/>
        </w:rPr>
        <w:t xml:space="preserve"> в</w:t>
      </w:r>
      <w:r w:rsidR="00D24841">
        <w:rPr>
          <w:lang w:val="ru-RU"/>
        </w:rPr>
        <w:t xml:space="preserve"> данной области</w:t>
      </w:r>
      <w:r w:rsidR="0012053B">
        <w:rPr>
          <w:lang w:val="ru-RU"/>
        </w:rPr>
        <w:t>.</w:t>
      </w:r>
    </w:p>
    <w:p w14:paraId="014B316B" w14:textId="7E22BD1F" w:rsidR="00A40BA8" w:rsidRDefault="00A64DC6">
      <w:pPr>
        <w:pStyle w:val="ONUME"/>
      </w:pPr>
      <w:bookmarkStart w:id="5" w:name="_Ref156487245"/>
      <w:r>
        <w:rPr>
          <w:lang w:val="ru-RU"/>
        </w:rPr>
        <w:t xml:space="preserve">На тридцатой сессии </w:t>
      </w:r>
      <w:r w:rsidR="00283C7A">
        <w:rPr>
          <w:lang w:val="ru-RU"/>
        </w:rPr>
        <w:t xml:space="preserve">Заседания в </w:t>
      </w:r>
      <w:r w:rsidR="00697015">
        <w:rPr>
          <w:lang w:val="ru-RU"/>
        </w:rPr>
        <w:t>н</w:t>
      </w:r>
      <w:r w:rsidR="00283C7A">
        <w:rPr>
          <w:lang w:val="ru-RU"/>
        </w:rPr>
        <w:t>о</w:t>
      </w:r>
      <w:r w:rsidR="00697015">
        <w:rPr>
          <w:lang w:val="ru-RU"/>
        </w:rPr>
        <w:t>я</w:t>
      </w:r>
      <w:r w:rsidR="00283C7A">
        <w:rPr>
          <w:lang w:val="ru-RU"/>
        </w:rPr>
        <w:t xml:space="preserve">бре 2023 года Международные органы обсудили </w:t>
      </w:r>
      <w:r w:rsidR="00A71735">
        <w:rPr>
          <w:lang w:val="ru-RU"/>
        </w:rPr>
        <w:t>варианты</w:t>
      </w:r>
      <w:r w:rsidR="00283C7A">
        <w:rPr>
          <w:lang w:val="ru-RU"/>
        </w:rPr>
        <w:t xml:space="preserve"> дальнейш</w:t>
      </w:r>
      <w:r w:rsidR="00697015">
        <w:rPr>
          <w:lang w:val="ru-RU"/>
        </w:rPr>
        <w:t>ей работы</w:t>
      </w:r>
      <w:r w:rsidR="00283C7A">
        <w:rPr>
          <w:lang w:val="ru-RU"/>
        </w:rPr>
        <w:t xml:space="preserve"> по совершенствованию практики цитирования и хранения неписьменных раскрытий</w:t>
      </w:r>
      <w:r w:rsidR="00884077">
        <w:t xml:space="preserve">, </w:t>
      </w:r>
      <w:r w:rsidR="00697015">
        <w:rPr>
          <w:lang w:val="ru-RU"/>
        </w:rPr>
        <w:t xml:space="preserve">включая вопросы создания центрального хранилища для хранения и получения данных </w:t>
      </w:r>
      <w:r w:rsidR="00884077">
        <w:t>(</w:t>
      </w:r>
      <w:r w:rsidR="00697015">
        <w:rPr>
          <w:lang w:val="ru-RU"/>
        </w:rPr>
        <w:t xml:space="preserve">см. документ </w:t>
      </w:r>
      <w:r w:rsidR="00884077">
        <w:t xml:space="preserve">PCT/MIA/30/5 </w:t>
      </w:r>
      <w:r w:rsidR="00697015">
        <w:rPr>
          <w:lang w:val="ru-RU"/>
        </w:rPr>
        <w:t xml:space="preserve">и пункты </w:t>
      </w:r>
      <w:r w:rsidR="00884077">
        <w:t>22</w:t>
      </w:r>
      <w:r w:rsidR="00697015" w:rsidRPr="00697015">
        <w:t>–</w:t>
      </w:r>
      <w:r w:rsidR="00884077">
        <w:t xml:space="preserve">27 </w:t>
      </w:r>
      <w:r w:rsidR="00697015">
        <w:rPr>
          <w:lang w:val="ru-RU"/>
        </w:rPr>
        <w:t>резюме Председателя</w:t>
      </w:r>
      <w:r w:rsidR="00884077">
        <w:t>,</w:t>
      </w:r>
      <w:r w:rsidR="00697015">
        <w:rPr>
          <w:lang w:val="ru-RU"/>
        </w:rPr>
        <w:t xml:space="preserve"> документ</w:t>
      </w:r>
      <w:r w:rsidR="00884077">
        <w:t xml:space="preserve"> PCT/MIA/30/10).  </w:t>
      </w:r>
      <w:r w:rsidR="00697015">
        <w:rPr>
          <w:lang w:val="ru-RU"/>
        </w:rPr>
        <w:t>В пункте</w:t>
      </w:r>
      <w:r w:rsidR="00884077">
        <w:t xml:space="preserve"> 27 </w:t>
      </w:r>
      <w:r w:rsidR="00697015">
        <w:rPr>
          <w:lang w:val="ru-RU"/>
        </w:rPr>
        <w:t xml:space="preserve">упомянутого резюме Председателя изложен согласованный план </w:t>
      </w:r>
      <w:r w:rsidR="00C96E81">
        <w:rPr>
          <w:lang w:val="ru-RU"/>
        </w:rPr>
        <w:t>дальнейших действий</w:t>
      </w:r>
      <w:r w:rsidR="00A40BA8">
        <w:t>:</w:t>
      </w:r>
      <w:bookmarkEnd w:id="5"/>
    </w:p>
    <w:p w14:paraId="55422CFC" w14:textId="30A51318" w:rsidR="00A40BA8" w:rsidRPr="003A353D" w:rsidRDefault="00FB2738" w:rsidP="00C3181B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«</w:t>
      </w:r>
      <w:r w:rsidR="00A40BA8">
        <w:t>27.</w:t>
      </w:r>
      <w:r w:rsidR="00A40BA8">
        <w:tab/>
      </w:r>
      <w:r w:rsidRPr="003A353D">
        <w:rPr>
          <w:lang w:val="ru-RU"/>
        </w:rPr>
        <w:t>Заседание предложило Международному бюро</w:t>
      </w:r>
      <w:r w:rsidR="00A40BA8" w:rsidRPr="003A353D">
        <w:rPr>
          <w:lang w:val="ru-RU"/>
        </w:rPr>
        <w:t>:</w:t>
      </w:r>
    </w:p>
    <w:p w14:paraId="66C4A2D3" w14:textId="1BD46EF3" w:rsidR="00A40BA8" w:rsidRPr="003A353D" w:rsidRDefault="00A40BA8" w:rsidP="00C318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A353D">
        <w:rPr>
          <w:lang w:val="ru-RU"/>
        </w:rPr>
        <w:t>(a)</w:t>
      </w:r>
      <w:r w:rsidRPr="003A353D">
        <w:rPr>
          <w:lang w:val="ru-RU"/>
        </w:rPr>
        <w:tab/>
      </w:r>
      <w:r w:rsidR="003A353D" w:rsidRPr="003A353D">
        <w:rPr>
          <w:lang w:val="ru-RU"/>
        </w:rPr>
        <w:t>подготовить проект поправок к правилам РСТ 33, 64 и связанным с ними положениям для рассмотрения Рабочей группой по РСТ</w:t>
      </w:r>
      <w:r w:rsidRPr="003A353D">
        <w:rPr>
          <w:lang w:val="ru-RU"/>
        </w:rPr>
        <w:t>;</w:t>
      </w:r>
    </w:p>
    <w:p w14:paraId="07145B12" w14:textId="242C1425" w:rsidR="0034720B" w:rsidRPr="003A353D" w:rsidRDefault="00A40BA8" w:rsidP="00C3181B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3A353D">
        <w:rPr>
          <w:lang w:val="ru-RU"/>
        </w:rPr>
        <w:t>(b)</w:t>
      </w:r>
      <w:r w:rsidRPr="003A353D">
        <w:rPr>
          <w:lang w:val="ru-RU"/>
        </w:rPr>
        <w:tab/>
      </w:r>
      <w:r w:rsidR="003A353D" w:rsidRPr="003A353D">
        <w:rPr>
          <w:lang w:val="ru-RU"/>
        </w:rPr>
        <w:t>создать в Wiki Подгруппы обеспечения качества разделы для сбора информации о системах, используемых Международными органами для записи неписьменных раскрытий, и любом изучении Международным бюро или Международными органами типов неписьменных раскрытий для решения вопросов авторского права»</w:t>
      </w:r>
      <w:r w:rsidRPr="003A353D">
        <w:rPr>
          <w:lang w:val="ru-RU"/>
        </w:rPr>
        <w:t>.</w:t>
      </w:r>
    </w:p>
    <w:p w14:paraId="20673EBE" w14:textId="6E4DFC9F" w:rsidR="003A5721" w:rsidRDefault="00F7671D" w:rsidP="00F86CB6">
      <w:pPr>
        <w:pStyle w:val="Heading1"/>
      </w:pPr>
      <w:r>
        <w:rPr>
          <w:lang w:val="ru-RU"/>
        </w:rPr>
        <w:t>Предлагаем</w:t>
      </w:r>
      <w:r w:rsidR="00C760F7">
        <w:rPr>
          <w:lang w:val="ru-RU"/>
        </w:rPr>
        <w:t xml:space="preserve">ые изменения к правовой базе </w:t>
      </w:r>
      <w:r w:rsidR="003142EF">
        <w:rPr>
          <w:lang w:val="ru-RU"/>
        </w:rPr>
        <w:t>в части, касающейся неписьменных материалов</w:t>
      </w:r>
    </w:p>
    <w:p w14:paraId="5280366E" w14:textId="0CA30BC7" w:rsidR="00F86CB6" w:rsidRPr="0092767C" w:rsidRDefault="0092767C" w:rsidP="00F86CB6">
      <w:pPr>
        <w:pStyle w:val="Heading2"/>
        <w:rPr>
          <w:lang w:val="ru-RU"/>
        </w:rPr>
      </w:pPr>
      <w:r w:rsidRPr="0092767C">
        <w:rPr>
          <w:lang w:val="ru-RU"/>
        </w:rPr>
        <w:t>Определение уровня техники</w:t>
      </w:r>
    </w:p>
    <w:p w14:paraId="1BB4E963" w14:textId="4946ADB2" w:rsidR="00F86CB6" w:rsidRPr="0092767C" w:rsidRDefault="0092767C" w:rsidP="00C3181B">
      <w:pPr>
        <w:pStyle w:val="ONUME"/>
        <w:rPr>
          <w:lang w:val="ru-RU"/>
        </w:rPr>
      </w:pPr>
      <w:r w:rsidRPr="0092767C">
        <w:rPr>
          <w:lang w:val="ru-RU"/>
        </w:rPr>
        <w:t>В приложении к настоящему документу содержится проект поправок к Инструкции к РСТ, предусматривающих расширение определения соответствующего уровня техники таким образом, чтобы оно охватывало все типы раскрытий, как письменных, так и неписьменных.  Определение уровня техники, содержащееся в этих поправках, сформулировано таким образом, чтобы оно согласовывалось с определениями, используемыми в новейших национальных и региональных патентных законах.</w:t>
      </w:r>
    </w:p>
    <w:p w14:paraId="460E9178" w14:textId="79453B61" w:rsidR="00AF233F" w:rsidRDefault="00A955C8" w:rsidP="005A2B2D">
      <w:pPr>
        <w:pStyle w:val="ONUME"/>
      </w:pPr>
      <w:r>
        <w:rPr>
          <w:lang w:val="ru-RU"/>
        </w:rPr>
        <w:t>В предлагаемом новом определении учтены замечания</w:t>
      </w:r>
      <w:r w:rsidR="00173480">
        <w:rPr>
          <w:lang w:val="ru-RU"/>
        </w:rPr>
        <w:t>, озвученные на предыдущих сессиях Рабочей группы и Заседания</w:t>
      </w:r>
      <w:r w:rsidR="00DE307D" w:rsidRPr="0072149C">
        <w:t xml:space="preserve">.  </w:t>
      </w:r>
      <w:r w:rsidR="004451F5">
        <w:rPr>
          <w:lang w:val="ru-RU"/>
        </w:rPr>
        <w:t>В частности,</w:t>
      </w:r>
      <w:r w:rsidR="00053678">
        <w:rPr>
          <w:lang w:val="ru-RU"/>
        </w:rPr>
        <w:t xml:space="preserve"> в настоящем предложении представлены правила </w:t>
      </w:r>
      <w:r w:rsidR="008D277F" w:rsidRPr="0072149C">
        <w:t xml:space="preserve">33 </w:t>
      </w:r>
      <w:r w:rsidR="00053678">
        <w:rPr>
          <w:lang w:val="ru-RU"/>
        </w:rPr>
        <w:t>и</w:t>
      </w:r>
      <w:r w:rsidR="008D277F" w:rsidRPr="0072149C">
        <w:t xml:space="preserve"> 6</w:t>
      </w:r>
      <w:r w:rsidR="00E32E53" w:rsidRPr="0072149C">
        <w:t>4</w:t>
      </w:r>
      <w:r w:rsidR="00053678">
        <w:rPr>
          <w:lang w:val="ru-RU"/>
        </w:rPr>
        <w:t>, пересмотренные с учетом замечаний, сформулированных на двадцать девятой сессии Заседания</w:t>
      </w:r>
      <w:r w:rsidR="00E32E53" w:rsidRPr="0072149C">
        <w:t xml:space="preserve"> (</w:t>
      </w:r>
      <w:r w:rsidR="00053678">
        <w:rPr>
          <w:lang w:val="ru-RU"/>
        </w:rPr>
        <w:t xml:space="preserve">см. документ </w:t>
      </w:r>
      <w:r w:rsidR="00E32E53" w:rsidRPr="0072149C">
        <w:t xml:space="preserve">PCT/MIA/29/10, </w:t>
      </w:r>
      <w:r w:rsidR="00053678">
        <w:rPr>
          <w:lang w:val="ru-RU"/>
        </w:rPr>
        <w:t>пункт </w:t>
      </w:r>
      <w:r w:rsidR="00E32E53" w:rsidRPr="0072149C">
        <w:t>31).</w:t>
      </w:r>
      <w:r w:rsidR="00857E7E" w:rsidRPr="0072149C">
        <w:t xml:space="preserve">  </w:t>
      </w:r>
      <w:r w:rsidR="005A43D1">
        <w:rPr>
          <w:lang w:val="ru-RU"/>
        </w:rPr>
        <w:t xml:space="preserve">Новая формулировка </w:t>
      </w:r>
      <w:r w:rsidR="00AE3829">
        <w:rPr>
          <w:lang w:val="ru-RU"/>
        </w:rPr>
        <w:t xml:space="preserve">является </w:t>
      </w:r>
      <w:r w:rsidR="005A43D1">
        <w:rPr>
          <w:lang w:val="ru-RU"/>
        </w:rPr>
        <w:t>универсальн</w:t>
      </w:r>
      <w:r w:rsidR="00AE3829">
        <w:rPr>
          <w:lang w:val="ru-RU"/>
        </w:rPr>
        <w:t>ым</w:t>
      </w:r>
      <w:r w:rsidR="005A43D1">
        <w:rPr>
          <w:lang w:val="ru-RU"/>
        </w:rPr>
        <w:t xml:space="preserve"> определение</w:t>
      </w:r>
      <w:r w:rsidR="00AE3829">
        <w:rPr>
          <w:lang w:val="ru-RU"/>
        </w:rPr>
        <w:t xml:space="preserve">м уровня техники, которое охватывает все виды письменных и неписьменных материалов и не требует отдельного определения </w:t>
      </w:r>
      <w:r w:rsidR="00DA1DC3">
        <w:rPr>
          <w:lang w:val="ru-RU"/>
        </w:rPr>
        <w:t xml:space="preserve">для </w:t>
      </w:r>
      <w:r w:rsidR="00CD3DFF">
        <w:rPr>
          <w:lang w:val="ru-RU"/>
        </w:rPr>
        <w:t>неписьменн</w:t>
      </w:r>
      <w:r w:rsidR="00DA1DC3">
        <w:rPr>
          <w:lang w:val="ru-RU"/>
        </w:rPr>
        <w:t>ого</w:t>
      </w:r>
      <w:r w:rsidR="00CD3DFF">
        <w:rPr>
          <w:lang w:val="ru-RU"/>
        </w:rPr>
        <w:t xml:space="preserve"> раскрыти</w:t>
      </w:r>
      <w:r w:rsidR="00DA1DC3">
        <w:rPr>
          <w:lang w:val="ru-RU"/>
        </w:rPr>
        <w:t>я</w:t>
      </w:r>
      <w:r w:rsidR="00857E7E" w:rsidRPr="0072149C">
        <w:t>.</w:t>
      </w:r>
    </w:p>
    <w:p w14:paraId="3880FEDA" w14:textId="77777777" w:rsidR="00AF233F" w:rsidRDefault="00AF233F">
      <w:r>
        <w:br w:type="page"/>
      </w:r>
    </w:p>
    <w:p w14:paraId="56DAA2C5" w14:textId="675282E2" w:rsidR="0072149C" w:rsidRDefault="001C5200" w:rsidP="00C3181B">
      <w:pPr>
        <w:pStyle w:val="Heading2"/>
      </w:pPr>
      <w:r>
        <w:rPr>
          <w:lang w:val="ru-RU"/>
        </w:rPr>
        <w:lastRenderedPageBreak/>
        <w:t>цитирование уровня техники</w:t>
      </w:r>
    </w:p>
    <w:p w14:paraId="064AFD77" w14:textId="64CF657F" w:rsidR="0072149C" w:rsidRDefault="008649CE" w:rsidP="0072149C">
      <w:pPr>
        <w:pStyle w:val="ONUME"/>
      </w:pPr>
      <w:r>
        <w:rPr>
          <w:lang w:val="ru-RU"/>
        </w:rPr>
        <w:t>Несмотря на то что предлагаемые изменения к правилам</w:t>
      </w:r>
      <w:r w:rsidR="00217CE3">
        <w:t xml:space="preserve"> 33.1(a) </w:t>
      </w:r>
      <w:r>
        <w:rPr>
          <w:lang w:val="ru-RU"/>
        </w:rPr>
        <w:t>и </w:t>
      </w:r>
      <w:r w:rsidR="00217CE3">
        <w:t xml:space="preserve">66.1(a) </w:t>
      </w:r>
      <w:r>
        <w:rPr>
          <w:lang w:val="ru-RU"/>
        </w:rPr>
        <w:t xml:space="preserve">устраняют необходимость </w:t>
      </w:r>
      <w:r w:rsidR="00AB55EA">
        <w:rPr>
          <w:lang w:val="ru-RU"/>
        </w:rPr>
        <w:t>в определении неписьменного раскрытия, сохраняются вопросы, связанные с цитированием раскрытия</w:t>
      </w:r>
      <w:r w:rsidR="00217CE3">
        <w:t xml:space="preserve">.  </w:t>
      </w:r>
      <w:r w:rsidR="00AB55EA">
        <w:rPr>
          <w:lang w:val="ru-RU"/>
        </w:rPr>
        <w:t>Правила</w:t>
      </w:r>
      <w:r w:rsidR="00217CE3">
        <w:t xml:space="preserve"> 33.1(b) </w:t>
      </w:r>
      <w:r w:rsidR="00AB55EA">
        <w:rPr>
          <w:lang w:val="ru-RU"/>
        </w:rPr>
        <w:t>и</w:t>
      </w:r>
      <w:r w:rsidR="00217CE3">
        <w:t> 64.2</w:t>
      </w:r>
      <w:r w:rsidR="00AB55EA">
        <w:rPr>
          <w:lang w:val="ru-RU"/>
        </w:rPr>
        <w:t xml:space="preserve"> </w:t>
      </w:r>
      <w:r w:rsidR="00A4421D">
        <w:rPr>
          <w:lang w:val="ru-RU"/>
        </w:rPr>
        <w:t xml:space="preserve">обязывают </w:t>
      </w:r>
      <w:r w:rsidR="00AB55EA">
        <w:rPr>
          <w:lang w:val="ru-RU"/>
        </w:rPr>
        <w:t>включать в отчет о поиске</w:t>
      </w:r>
      <w:r w:rsidR="00A4421D">
        <w:rPr>
          <w:lang w:val="ru-RU"/>
        </w:rPr>
        <w:t xml:space="preserve"> факт</w:t>
      </w:r>
      <w:r w:rsidR="00AB55EA">
        <w:rPr>
          <w:lang w:val="ru-RU"/>
        </w:rPr>
        <w:t xml:space="preserve"> письменно</w:t>
      </w:r>
      <w:r w:rsidR="00A4421D">
        <w:rPr>
          <w:lang w:val="ru-RU"/>
        </w:rPr>
        <w:t>го</w:t>
      </w:r>
      <w:r w:rsidR="00AB55EA">
        <w:rPr>
          <w:lang w:val="ru-RU"/>
        </w:rPr>
        <w:t xml:space="preserve"> раскрыти</w:t>
      </w:r>
      <w:r w:rsidR="00A4421D">
        <w:rPr>
          <w:lang w:val="ru-RU"/>
        </w:rPr>
        <w:t>я, которое само по с</w:t>
      </w:r>
      <w:r w:rsidR="00AB55EA">
        <w:rPr>
          <w:lang w:val="ru-RU"/>
        </w:rPr>
        <w:t>е</w:t>
      </w:r>
      <w:r w:rsidR="00A4421D">
        <w:rPr>
          <w:lang w:val="ru-RU"/>
        </w:rPr>
        <w:t xml:space="preserve">бе не является предшествующим уровнем техники, поскольку </w:t>
      </w:r>
      <w:r w:rsidR="00A13498">
        <w:rPr>
          <w:lang w:val="ru-RU"/>
        </w:rPr>
        <w:t xml:space="preserve">было обнародовано </w:t>
      </w:r>
      <w:r w:rsidR="00B12981">
        <w:rPr>
          <w:lang w:val="ru-RU"/>
        </w:rPr>
        <w:t xml:space="preserve">на дату подачи или позднее </w:t>
      </w:r>
      <w:r w:rsidR="00217CE3">
        <w:t>(</w:t>
      </w:r>
      <w:r w:rsidR="00B12981">
        <w:rPr>
          <w:lang w:val="ru-RU"/>
        </w:rPr>
        <w:t>правило</w:t>
      </w:r>
      <w:r w:rsidR="00217CE3">
        <w:t xml:space="preserve"> 33) </w:t>
      </w:r>
      <w:r w:rsidR="00B12981">
        <w:rPr>
          <w:lang w:val="ru-RU"/>
        </w:rPr>
        <w:t>или на дату приоритета или позднее</w:t>
      </w:r>
      <w:r w:rsidR="00217CE3">
        <w:t xml:space="preserve"> (</w:t>
      </w:r>
      <w:r w:rsidR="00B12981">
        <w:rPr>
          <w:lang w:val="ru-RU"/>
        </w:rPr>
        <w:t>правило</w:t>
      </w:r>
      <w:r w:rsidR="00217CE3">
        <w:t> 6</w:t>
      </w:r>
      <w:r w:rsidR="002E79C9">
        <w:t>4</w:t>
      </w:r>
      <w:r w:rsidR="00217CE3">
        <w:t>)</w:t>
      </w:r>
      <w:r w:rsidR="00B12981">
        <w:rPr>
          <w:lang w:val="ru-RU"/>
        </w:rPr>
        <w:t>,</w:t>
      </w:r>
      <w:r w:rsidR="00A13498">
        <w:rPr>
          <w:lang w:val="ru-RU"/>
        </w:rPr>
        <w:t xml:space="preserve"> но служит доказательством более раннего неписьменного раскрытия</w:t>
      </w:r>
      <w:r w:rsidR="00217CE3">
        <w:t>.</w:t>
      </w:r>
    </w:p>
    <w:p w14:paraId="77CEE9B2" w14:textId="4D0FF3DB" w:rsidR="00124C93" w:rsidRDefault="00E35ABE" w:rsidP="0072149C">
      <w:pPr>
        <w:pStyle w:val="ONUME"/>
      </w:pPr>
      <w:r>
        <w:rPr>
          <w:lang w:val="ru-RU"/>
        </w:rPr>
        <w:t xml:space="preserve">В принципе </w:t>
      </w:r>
      <w:r w:rsidR="000C4EBF">
        <w:rPr>
          <w:lang w:val="ru-RU"/>
        </w:rPr>
        <w:t xml:space="preserve">цель </w:t>
      </w:r>
      <w:r>
        <w:rPr>
          <w:lang w:val="ru-RU"/>
        </w:rPr>
        <w:t xml:space="preserve">этих правил заключается не в том, чтобы определить, в </w:t>
      </w:r>
      <w:r w:rsidRPr="00F73ECC">
        <w:rPr>
          <w:lang w:val="ru-RU"/>
        </w:rPr>
        <w:t xml:space="preserve">письменном или неписьменном виде было </w:t>
      </w:r>
      <w:r w:rsidR="000C4EBF" w:rsidRPr="00F73ECC">
        <w:rPr>
          <w:lang w:val="ru-RU"/>
        </w:rPr>
        <w:t xml:space="preserve">сделано </w:t>
      </w:r>
      <w:r w:rsidRPr="00F73ECC">
        <w:rPr>
          <w:lang w:val="ru-RU"/>
        </w:rPr>
        <w:t>более раннее или более позднее раскрытие</w:t>
      </w:r>
      <w:r w:rsidR="000C4EBF" w:rsidRPr="00F73ECC">
        <w:rPr>
          <w:lang w:val="ru-RU"/>
        </w:rPr>
        <w:t xml:space="preserve">.  Скорее, </w:t>
      </w:r>
      <w:r w:rsidR="0049768F">
        <w:rPr>
          <w:lang w:val="ru-RU"/>
        </w:rPr>
        <w:t xml:space="preserve">речь идет о наличии </w:t>
      </w:r>
      <w:r w:rsidR="00BC6023" w:rsidRPr="00F73ECC">
        <w:rPr>
          <w:lang w:val="ru-RU"/>
        </w:rPr>
        <w:t>постоянн</w:t>
      </w:r>
      <w:r w:rsidR="0049768F">
        <w:rPr>
          <w:lang w:val="ru-RU"/>
        </w:rPr>
        <w:t xml:space="preserve">ой </w:t>
      </w:r>
      <w:r w:rsidR="00BC6023" w:rsidRPr="00F73ECC">
        <w:rPr>
          <w:lang w:val="ru-RU"/>
        </w:rPr>
        <w:t>запис</w:t>
      </w:r>
      <w:r w:rsidR="0049768F">
        <w:rPr>
          <w:lang w:val="ru-RU"/>
        </w:rPr>
        <w:t>и</w:t>
      </w:r>
      <w:r w:rsidR="00BC6023" w:rsidRPr="00F73ECC">
        <w:rPr>
          <w:lang w:val="ru-RU"/>
        </w:rPr>
        <w:t>, опубликованн</w:t>
      </w:r>
      <w:r w:rsidR="0049768F">
        <w:rPr>
          <w:lang w:val="ru-RU"/>
        </w:rPr>
        <w:t>ой</w:t>
      </w:r>
      <w:r w:rsidR="00BC6023" w:rsidRPr="00F73ECC">
        <w:rPr>
          <w:lang w:val="ru-RU"/>
        </w:rPr>
        <w:t xml:space="preserve"> после определенной даты, которая фиксирует факт более раннего кратковременного раскрытия</w:t>
      </w:r>
      <w:r w:rsidR="00BA0867" w:rsidRPr="00F73ECC">
        <w:t>.</w:t>
      </w:r>
      <w:r w:rsidR="00124C93" w:rsidRPr="00F73ECC">
        <w:t xml:space="preserve"> </w:t>
      </w:r>
      <w:r w:rsidR="00BA0867" w:rsidRPr="00F73ECC">
        <w:t xml:space="preserve"> </w:t>
      </w:r>
      <w:r w:rsidR="00702F8B" w:rsidRPr="00F73ECC">
        <w:rPr>
          <w:lang w:val="ru-RU"/>
        </w:rPr>
        <w:t xml:space="preserve">В общем плане </w:t>
      </w:r>
      <w:r w:rsidR="00FA441D" w:rsidRPr="00F73ECC">
        <w:rPr>
          <w:lang w:val="ru-RU"/>
        </w:rPr>
        <w:t xml:space="preserve">к таким случаям можно отнести более ранее раскрытие в </w:t>
      </w:r>
      <w:r w:rsidR="00160757">
        <w:rPr>
          <w:lang w:val="ru-RU"/>
        </w:rPr>
        <w:t>форме</w:t>
      </w:r>
      <w:r w:rsidR="00FA441D" w:rsidRPr="00F73ECC">
        <w:rPr>
          <w:lang w:val="ru-RU"/>
        </w:rPr>
        <w:t xml:space="preserve"> </w:t>
      </w:r>
      <w:r w:rsidR="005A01DA" w:rsidRPr="00F73ECC">
        <w:rPr>
          <w:lang w:val="ru-RU"/>
        </w:rPr>
        <w:t xml:space="preserve">записи, сделанной </w:t>
      </w:r>
      <w:r w:rsidR="00FA441D" w:rsidRPr="00F73ECC">
        <w:rPr>
          <w:lang w:val="ru-RU"/>
        </w:rPr>
        <w:t xml:space="preserve">на </w:t>
      </w:r>
      <w:r w:rsidR="005A01DA" w:rsidRPr="00F73ECC">
        <w:rPr>
          <w:lang w:val="ru-RU"/>
        </w:rPr>
        <w:t>доске в ходе публичной лекции, которая затем была стерта, но осталась</w:t>
      </w:r>
      <w:r w:rsidR="005A01DA">
        <w:rPr>
          <w:lang w:val="ru-RU"/>
        </w:rPr>
        <w:t xml:space="preserve"> задокументированной в виде </w:t>
      </w:r>
      <w:r w:rsidR="00E063CE">
        <w:rPr>
          <w:lang w:val="ru-RU"/>
        </w:rPr>
        <w:t>аудиозаписи, ставшей доступной через несколько дней</w:t>
      </w:r>
      <w:r w:rsidR="00BA0867">
        <w:t>.</w:t>
      </w:r>
    </w:p>
    <w:p w14:paraId="62966BC3" w14:textId="705EC80B" w:rsidR="00BA0867" w:rsidRPr="0072149C" w:rsidRDefault="008357BE" w:rsidP="00C3181B">
      <w:pPr>
        <w:pStyle w:val="ONUME"/>
        <w:keepLines/>
      </w:pPr>
      <w:r>
        <w:rPr>
          <w:lang w:val="ru-RU"/>
        </w:rPr>
        <w:t>Однако</w:t>
      </w:r>
      <w:r w:rsidR="005D7B20">
        <w:rPr>
          <w:lang w:val="ru-RU"/>
        </w:rPr>
        <w:t xml:space="preserve"> </w:t>
      </w:r>
      <w:r w:rsidR="00291CCE">
        <w:rPr>
          <w:lang w:val="ru-RU"/>
        </w:rPr>
        <w:t>мы</w:t>
      </w:r>
      <w:r w:rsidR="005D7B20">
        <w:rPr>
          <w:lang w:val="ru-RU"/>
        </w:rPr>
        <w:t xml:space="preserve"> не предлагаем менять правила</w:t>
      </w:r>
      <w:r w:rsidR="002E79C9">
        <w:t xml:space="preserve"> 33.1(a) </w:t>
      </w:r>
      <w:r w:rsidR="005D7B20">
        <w:rPr>
          <w:lang w:val="ru-RU"/>
        </w:rPr>
        <w:t>и</w:t>
      </w:r>
      <w:r w:rsidR="002E79C9">
        <w:t xml:space="preserve"> 64.2.  </w:t>
      </w:r>
      <w:r w:rsidR="002458C7">
        <w:rPr>
          <w:lang w:val="ru-RU"/>
        </w:rPr>
        <w:t xml:space="preserve">Все, что мы хотим, </w:t>
      </w:r>
      <w:r w:rsidR="006B1437" w:rsidRPr="00697015">
        <w:t>–</w:t>
      </w:r>
      <w:r w:rsidR="002458C7">
        <w:rPr>
          <w:lang w:val="ru-RU"/>
        </w:rPr>
        <w:t xml:space="preserve"> это дать понять, что публичное раскрытие в любом виде в принципе может </w:t>
      </w:r>
      <w:r w:rsidR="006A52E6">
        <w:rPr>
          <w:lang w:val="ru-RU"/>
        </w:rPr>
        <w:t>входить в</w:t>
      </w:r>
      <w:r w:rsidR="002458C7">
        <w:rPr>
          <w:lang w:val="ru-RU"/>
        </w:rPr>
        <w:t xml:space="preserve"> уров</w:t>
      </w:r>
      <w:r w:rsidR="006A52E6">
        <w:rPr>
          <w:lang w:val="ru-RU"/>
        </w:rPr>
        <w:t>е</w:t>
      </w:r>
      <w:r w:rsidR="002458C7">
        <w:rPr>
          <w:lang w:val="ru-RU"/>
        </w:rPr>
        <w:t>н</w:t>
      </w:r>
      <w:r w:rsidR="006A52E6">
        <w:rPr>
          <w:lang w:val="ru-RU"/>
        </w:rPr>
        <w:t>ь</w:t>
      </w:r>
      <w:r w:rsidR="002458C7">
        <w:rPr>
          <w:lang w:val="ru-RU"/>
        </w:rPr>
        <w:t xml:space="preserve"> техники и что отчет о международном поиске и </w:t>
      </w:r>
      <w:r w:rsidR="006B1437">
        <w:rPr>
          <w:lang w:val="ru-RU"/>
        </w:rPr>
        <w:t>письменное сообщение могут с</w:t>
      </w:r>
      <w:r w:rsidR="00A31D00">
        <w:rPr>
          <w:lang w:val="ru-RU"/>
        </w:rPr>
        <w:t>одержать сс</w:t>
      </w:r>
      <w:r w:rsidR="006B1437">
        <w:rPr>
          <w:lang w:val="ru-RU"/>
        </w:rPr>
        <w:t>ыл</w:t>
      </w:r>
      <w:r w:rsidR="00A31D00">
        <w:rPr>
          <w:lang w:val="ru-RU"/>
        </w:rPr>
        <w:t>ку</w:t>
      </w:r>
      <w:r w:rsidR="006B1437">
        <w:rPr>
          <w:lang w:val="ru-RU"/>
        </w:rPr>
        <w:t xml:space="preserve"> на раскрытия, которые сами по себе не являются предшествующим уровнем техники, но </w:t>
      </w:r>
      <w:r w:rsidR="00D33053">
        <w:rPr>
          <w:lang w:val="ru-RU"/>
        </w:rPr>
        <w:t>служат доказательством предшествовавшего раскрытия</w:t>
      </w:r>
      <w:r w:rsidR="002E79C9">
        <w:t xml:space="preserve">.  </w:t>
      </w:r>
      <w:r w:rsidR="00231AE2">
        <w:rPr>
          <w:lang w:val="ru-RU"/>
        </w:rPr>
        <w:t xml:space="preserve">Важным изменением является то, что определение уровня техники должно стать </w:t>
      </w:r>
      <w:r w:rsidR="00427DAF">
        <w:rPr>
          <w:lang w:val="ru-RU"/>
        </w:rPr>
        <w:t>четким</w:t>
      </w:r>
      <w:r w:rsidR="002E79C9">
        <w:t xml:space="preserve">.  </w:t>
      </w:r>
      <w:r w:rsidR="00C00BCA">
        <w:rPr>
          <w:lang w:val="ru-RU"/>
        </w:rPr>
        <w:t xml:space="preserve">Вопросы, связанные с порядком цитирования, хранения и оценки доказательств более раннего раскрытия, могут быть </w:t>
      </w:r>
      <w:r w:rsidR="00B351E6">
        <w:rPr>
          <w:lang w:val="ru-RU"/>
        </w:rPr>
        <w:t>по большей части оставлены на усмотрение Руководства по проведению международного поиска и экспертизы</w:t>
      </w:r>
      <w:r w:rsidR="002E79C9">
        <w:t xml:space="preserve"> (</w:t>
      </w:r>
      <w:r w:rsidR="00CE2863">
        <w:rPr>
          <w:lang w:val="ru-RU"/>
        </w:rPr>
        <w:t>особенно в случае оценки и решений судов и трибуналов)</w:t>
      </w:r>
      <w:r w:rsidR="00C57202">
        <w:rPr>
          <w:lang w:val="ru-RU"/>
        </w:rPr>
        <w:t xml:space="preserve"> при условии,</w:t>
      </w:r>
      <w:r w:rsidR="00CE2863">
        <w:rPr>
          <w:lang w:val="ru-RU"/>
        </w:rPr>
        <w:t xml:space="preserve"> </w:t>
      </w:r>
      <w:r w:rsidR="00C57202">
        <w:rPr>
          <w:lang w:val="ru-RU"/>
        </w:rPr>
        <w:t xml:space="preserve">что установлен общий принцип возможности ссылаться на </w:t>
      </w:r>
      <w:r w:rsidR="0014062C">
        <w:rPr>
          <w:lang w:val="ru-RU"/>
        </w:rPr>
        <w:t>более позднее раскрытие</w:t>
      </w:r>
      <w:r w:rsidR="002E79C9">
        <w:t>.</w:t>
      </w:r>
    </w:p>
    <w:p w14:paraId="0C574C46" w14:textId="25C8C1C8" w:rsidR="00D26E95" w:rsidRDefault="00887D10" w:rsidP="00D26E95">
      <w:pPr>
        <w:pStyle w:val="Heading1"/>
      </w:pPr>
      <w:r>
        <w:rPr>
          <w:lang w:val="ru-RU"/>
        </w:rPr>
        <w:t>Дальнейш</w:t>
      </w:r>
      <w:r w:rsidR="0070765A">
        <w:rPr>
          <w:lang w:val="ru-RU"/>
        </w:rPr>
        <w:t xml:space="preserve">ие направления </w:t>
      </w:r>
      <w:r>
        <w:rPr>
          <w:lang w:val="ru-RU"/>
        </w:rPr>
        <w:t>работ</w:t>
      </w:r>
      <w:r w:rsidR="0070765A">
        <w:rPr>
          <w:lang w:val="ru-RU"/>
        </w:rPr>
        <w:t>ы</w:t>
      </w:r>
    </w:p>
    <w:p w14:paraId="670A7420" w14:textId="5A947B87" w:rsidR="00D26E95" w:rsidRPr="0072149C" w:rsidRDefault="00DA053C" w:rsidP="00C3181B">
      <w:pPr>
        <w:pStyle w:val="ONUME"/>
      </w:pPr>
      <w:r>
        <w:rPr>
          <w:lang w:val="ru-RU"/>
        </w:rPr>
        <w:t>Что касается вопроса</w:t>
      </w:r>
      <w:r w:rsidR="0070765A">
        <w:rPr>
          <w:lang w:val="ru-RU"/>
        </w:rPr>
        <w:t xml:space="preserve"> авторских прав на непатентную литературу,</w:t>
      </w:r>
      <w:r w:rsidR="00AE77E5">
        <w:rPr>
          <w:lang w:val="ru-RU"/>
        </w:rPr>
        <w:t xml:space="preserve"> то</w:t>
      </w:r>
      <w:r w:rsidR="0070765A">
        <w:rPr>
          <w:lang w:val="ru-RU"/>
        </w:rPr>
        <w:t xml:space="preserve"> на сегодняшний день практического решения проблемы не существует. </w:t>
      </w:r>
      <w:r>
        <w:rPr>
          <w:lang w:val="ru-RU"/>
        </w:rPr>
        <w:t xml:space="preserve"> </w:t>
      </w:r>
      <w:r w:rsidR="00AE77E5">
        <w:rPr>
          <w:lang w:val="ru-RU"/>
        </w:rPr>
        <w:t xml:space="preserve">В рамках этой сложной темы, включающей в себя правовые и технические аспекты, сначала необходимо проанализировать конкретные вопросы, и, возможно, </w:t>
      </w:r>
      <w:r w:rsidR="00842883">
        <w:rPr>
          <w:lang w:val="ru-RU"/>
        </w:rPr>
        <w:t>найти комплексное решение, работающее на международном уровне, не удастся</w:t>
      </w:r>
      <w:r w:rsidR="00A51DBC" w:rsidRPr="0072149C">
        <w:t xml:space="preserve">.  </w:t>
      </w:r>
      <w:r w:rsidR="003053A5">
        <w:rPr>
          <w:lang w:val="ru-RU"/>
        </w:rPr>
        <w:t xml:space="preserve">Международное бюро предложит продолжить обсуждение этой темы на </w:t>
      </w:r>
      <w:r w:rsidR="003053A5" w:rsidRPr="003053A5">
        <w:rPr>
          <w:lang w:val="ru-RU"/>
        </w:rPr>
        <w:t>Wiki</w:t>
      </w:r>
      <w:r w:rsidR="003053A5">
        <w:rPr>
          <w:lang w:val="ru-RU"/>
        </w:rPr>
        <w:t>-форуме</w:t>
      </w:r>
      <w:r w:rsidR="003053A5" w:rsidRPr="003053A5">
        <w:rPr>
          <w:lang w:val="ru-RU"/>
        </w:rPr>
        <w:t xml:space="preserve"> Подгруппы обеспечения качества </w:t>
      </w:r>
      <w:r w:rsidR="003053A5">
        <w:rPr>
          <w:lang w:val="ru-RU"/>
        </w:rPr>
        <w:t>Заседания Международных органов</w:t>
      </w:r>
      <w:r w:rsidR="00FA531C">
        <w:t xml:space="preserve">.  </w:t>
      </w:r>
      <w:r w:rsidR="008D014E">
        <w:rPr>
          <w:lang w:val="ru-RU"/>
        </w:rPr>
        <w:t>Как отмечено в пункте</w:t>
      </w:r>
      <w:r w:rsidR="005E7327">
        <w:t xml:space="preserve"> 27(b) </w:t>
      </w:r>
      <w:r w:rsidR="008D014E">
        <w:rPr>
          <w:lang w:val="ru-RU"/>
        </w:rPr>
        <w:t>документа </w:t>
      </w:r>
      <w:r w:rsidR="005E7327">
        <w:t>PCT/MIA/30/10 (</w:t>
      </w:r>
      <w:r w:rsidR="008D014E">
        <w:rPr>
          <w:lang w:val="ru-RU"/>
        </w:rPr>
        <w:t>см. пункт</w:t>
      </w:r>
      <w:r w:rsidR="005E7327">
        <w:t> </w:t>
      </w:r>
      <w:r w:rsidR="005E7327">
        <w:fldChar w:fldCharType="begin"/>
      </w:r>
      <w:r w:rsidR="005E7327">
        <w:instrText xml:space="preserve"> REF _Ref156487245 \r \h </w:instrText>
      </w:r>
      <w:r w:rsidR="005E7327">
        <w:fldChar w:fldCharType="separate"/>
      </w:r>
      <w:r w:rsidR="00B8730B">
        <w:t>4</w:t>
      </w:r>
      <w:r w:rsidR="005E7327">
        <w:fldChar w:fldCharType="end"/>
      </w:r>
      <w:r w:rsidR="00477F2E">
        <w:rPr>
          <w:lang w:val="ru-RU"/>
        </w:rPr>
        <w:t xml:space="preserve">, </w:t>
      </w:r>
      <w:r w:rsidR="008D014E">
        <w:rPr>
          <w:lang w:val="ru-RU"/>
        </w:rPr>
        <w:t>выше)</w:t>
      </w:r>
      <w:r w:rsidR="005E7327">
        <w:t xml:space="preserve">), </w:t>
      </w:r>
      <w:r w:rsidR="00D52F79">
        <w:rPr>
          <w:lang w:val="ru-RU"/>
        </w:rPr>
        <w:t>планируется, что следующим этапом станет обмен информацией о системах, используемых Международными органами для записи и архивирования неписьменных раскрытий</w:t>
      </w:r>
      <w:r w:rsidR="00FA531C">
        <w:t>.</w:t>
      </w:r>
      <w:r w:rsidR="00A51DBC" w:rsidRPr="0072149C">
        <w:t xml:space="preserve"> </w:t>
      </w:r>
      <w:r w:rsidR="00FA531C">
        <w:t xml:space="preserve"> </w:t>
      </w:r>
      <w:r w:rsidR="00D740F2">
        <w:rPr>
          <w:lang w:val="ru-RU"/>
        </w:rPr>
        <w:t xml:space="preserve">Как представляется, это поможет выявить практические формы технической работы и четче сформулировать </w:t>
      </w:r>
      <w:r w:rsidR="00FD5AE2">
        <w:rPr>
          <w:lang w:val="ru-RU"/>
        </w:rPr>
        <w:t>конкретные вопросы авторского права, которым требуется уделить внимание</w:t>
      </w:r>
      <w:r w:rsidR="00C26A72" w:rsidRPr="0072149C">
        <w:t>.</w:t>
      </w:r>
    </w:p>
    <w:p w14:paraId="237DD0B2" w14:textId="66B36204" w:rsidR="00A06F50" w:rsidRDefault="00A944A2" w:rsidP="00A06F50">
      <w:pPr>
        <w:pStyle w:val="Heading1"/>
      </w:pPr>
      <w:r>
        <w:rPr>
          <w:lang w:val="ru-RU"/>
        </w:rPr>
        <w:t>Дальнейшие шаги</w:t>
      </w:r>
    </w:p>
    <w:p w14:paraId="2CBBF397" w14:textId="0FBE4959" w:rsidR="003620B5" w:rsidRDefault="00505753" w:rsidP="00C3181B">
      <w:pPr>
        <w:pStyle w:val="ONUME"/>
      </w:pPr>
      <w:r>
        <w:rPr>
          <w:lang w:val="ru-RU"/>
        </w:rPr>
        <w:t>Вопрос о том, чтобы предложить Ассамблее Союза РСТ внести поправки в правила</w:t>
      </w:r>
      <w:r w:rsidR="00FA531C">
        <w:t xml:space="preserve"> 33 </w:t>
      </w:r>
      <w:r>
        <w:rPr>
          <w:lang w:val="ru-RU"/>
        </w:rPr>
        <w:t>и</w:t>
      </w:r>
      <w:r w:rsidR="00FA531C">
        <w:t xml:space="preserve"> 64 </w:t>
      </w:r>
      <w:r>
        <w:rPr>
          <w:lang w:val="ru-RU"/>
        </w:rPr>
        <w:t>на следующей сессии, не стоит.</w:t>
      </w:r>
      <w:r w:rsidR="00FA531C">
        <w:t xml:space="preserve">  </w:t>
      </w:r>
      <w:r w:rsidR="00F162CC">
        <w:rPr>
          <w:lang w:val="ru-RU"/>
        </w:rPr>
        <w:t xml:space="preserve">Скорее, мы предлагаем считать любую </w:t>
      </w:r>
      <w:r w:rsidR="001678B4">
        <w:rPr>
          <w:lang w:val="ru-RU"/>
        </w:rPr>
        <w:t>договоренность по проекту поправок, представленных в приложении к настоящему документу, предварительной</w:t>
      </w:r>
      <w:r w:rsidR="000718BD">
        <w:rPr>
          <w:lang w:val="ru-RU"/>
        </w:rPr>
        <w:t xml:space="preserve"> и </w:t>
      </w:r>
      <w:r w:rsidR="001678B4">
        <w:rPr>
          <w:lang w:val="ru-RU"/>
        </w:rPr>
        <w:t xml:space="preserve">предлагаем Международным органам продолжить изучать вопросы, касающиеся цитирования неписьменных раскрытий </w:t>
      </w:r>
      <w:r w:rsidR="006C1E94">
        <w:rPr>
          <w:lang w:val="ru-RU"/>
        </w:rPr>
        <w:t>в качестве уровня техники в рамках</w:t>
      </w:r>
      <w:r w:rsidR="00A06F50">
        <w:t xml:space="preserve"> PCT</w:t>
      </w:r>
      <w:r w:rsidR="006C1E94">
        <w:rPr>
          <w:lang w:val="ru-RU"/>
        </w:rPr>
        <w:t>, и вынести рекомендации в отношении дальнейших шагов</w:t>
      </w:r>
      <w:r w:rsidR="00A06F50">
        <w:t>.</w:t>
      </w:r>
    </w:p>
    <w:p w14:paraId="121082BF" w14:textId="77777777" w:rsidR="003620B5" w:rsidRDefault="003620B5">
      <w:r>
        <w:br w:type="page"/>
      </w:r>
    </w:p>
    <w:p w14:paraId="130AC4CC" w14:textId="325F7C5C" w:rsidR="000A6902" w:rsidRPr="00C3181B" w:rsidRDefault="00CF0A00" w:rsidP="000E00CE">
      <w:pPr>
        <w:pStyle w:val="ONUME"/>
        <w:tabs>
          <w:tab w:val="left" w:pos="6096"/>
        </w:tabs>
        <w:spacing w:after="360"/>
        <w:ind w:left="5530"/>
        <w:rPr>
          <w:i/>
        </w:rPr>
      </w:pPr>
      <w:r>
        <w:rPr>
          <w:i/>
          <w:lang w:val="ru-RU"/>
        </w:rPr>
        <w:lastRenderedPageBreak/>
        <w:t>Рабочей группе предлагается прокомментировать проект поправок к правилам</w:t>
      </w:r>
      <w:r w:rsidR="00FA531C">
        <w:rPr>
          <w:i/>
        </w:rPr>
        <w:t xml:space="preserve"> 33 </w:t>
      </w:r>
      <w:r>
        <w:rPr>
          <w:i/>
          <w:lang w:val="ru-RU"/>
        </w:rPr>
        <w:t>и </w:t>
      </w:r>
      <w:r w:rsidR="00FA531C">
        <w:rPr>
          <w:i/>
        </w:rPr>
        <w:t>64</w:t>
      </w:r>
      <w:r>
        <w:rPr>
          <w:i/>
          <w:lang w:val="ru-RU"/>
        </w:rPr>
        <w:t xml:space="preserve">, содержащихся в приложении к настоящему документу, и </w:t>
      </w:r>
      <w:r w:rsidR="005076A0">
        <w:rPr>
          <w:i/>
          <w:lang w:val="ru-RU"/>
        </w:rPr>
        <w:t>требования, связанные с дальнейшими направлениями работы по данной теме</w:t>
      </w:r>
      <w:r w:rsidR="00FA531C">
        <w:rPr>
          <w:i/>
        </w:rPr>
        <w:t>.</w:t>
      </w:r>
    </w:p>
    <w:p w14:paraId="4608C962" w14:textId="6EF05535" w:rsidR="000A6902" w:rsidRDefault="000A6902" w:rsidP="000A6902">
      <w:pPr>
        <w:pStyle w:val="Endofdocument-Annex"/>
        <w:sectPr w:rsidR="000A6902" w:rsidSect="00B136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</w:t>
      </w:r>
      <w:r w:rsidR="005076A0">
        <w:rPr>
          <w:lang w:val="ru-RU"/>
        </w:rPr>
        <w:t>Приложение следует</w:t>
      </w:r>
      <w:r>
        <w:t>]</w:t>
      </w:r>
    </w:p>
    <w:p w14:paraId="52B9B55D" w14:textId="77777777" w:rsidR="00DE307D" w:rsidRDefault="00DE307D" w:rsidP="008D277F"/>
    <w:p w14:paraId="4BBF3066" w14:textId="7B0B330F" w:rsidR="00DE307D" w:rsidRDefault="00C31ECE" w:rsidP="00DE307D">
      <w:pPr>
        <w:pStyle w:val="Endofdocument-Annex"/>
        <w:ind w:left="0"/>
        <w:jc w:val="center"/>
      </w:pPr>
      <w:r>
        <w:rPr>
          <w:lang w:val="ru-RU"/>
        </w:rPr>
        <w:t xml:space="preserve">ПРОЕКТ ПРЕДВАРИТЕЛЬНЫХ ПОПРАВОК </w:t>
      </w:r>
      <w:r w:rsidR="000D0AA1">
        <w:rPr>
          <w:lang w:val="ru-RU"/>
        </w:rPr>
        <w:br/>
      </w:r>
      <w:r>
        <w:rPr>
          <w:lang w:val="ru-RU"/>
        </w:rPr>
        <w:t xml:space="preserve">К ИНСТРУКЦИИ К </w:t>
      </w:r>
      <w:r w:rsidR="00DE307D">
        <w:t>PCT</w:t>
      </w:r>
      <w:r w:rsidR="00DE307D">
        <w:rPr>
          <w:rStyle w:val="FootnoteReference"/>
        </w:rPr>
        <w:footnoteReference w:id="2"/>
      </w:r>
    </w:p>
    <w:p w14:paraId="00B08722" w14:textId="77777777" w:rsidR="00DE307D" w:rsidRDefault="00DE307D" w:rsidP="00DE307D">
      <w:pPr>
        <w:pStyle w:val="Endofdocument-Annex"/>
        <w:ind w:left="0"/>
      </w:pPr>
    </w:p>
    <w:p w14:paraId="0F3CE12C" w14:textId="77777777" w:rsidR="00DE307D" w:rsidRDefault="00DE307D" w:rsidP="00DE307D">
      <w:pPr>
        <w:pStyle w:val="Endofdocument-Annex"/>
        <w:ind w:left="0"/>
      </w:pPr>
    </w:p>
    <w:p w14:paraId="2D9702D8" w14:textId="1282ABE4" w:rsidR="00DE307D" w:rsidRDefault="002C2378" w:rsidP="00DE307D">
      <w:pPr>
        <w:pStyle w:val="Endofdocument-Annex"/>
        <w:ind w:left="0"/>
        <w:jc w:val="center"/>
      </w:pPr>
      <w:r>
        <w:rPr>
          <w:lang w:val="ru-RU"/>
        </w:rPr>
        <w:t>СОДЕРЖАНИЕ</w:t>
      </w:r>
    </w:p>
    <w:p w14:paraId="1554DDBE" w14:textId="77777777" w:rsidR="00DE307D" w:rsidRDefault="00DE307D" w:rsidP="00DE307D">
      <w:pPr>
        <w:pStyle w:val="Endofdocument-Annex"/>
        <w:ind w:left="0"/>
      </w:pPr>
    </w:p>
    <w:p w14:paraId="73CB85DE" w14:textId="77777777" w:rsidR="00DE307D" w:rsidRDefault="00DE307D" w:rsidP="00DE307D">
      <w:pPr>
        <w:pStyle w:val="Endofdocument-Annex"/>
        <w:ind w:left="0"/>
      </w:pPr>
    </w:p>
    <w:p w14:paraId="379D6924" w14:textId="12A585C4" w:rsidR="00125B31" w:rsidRDefault="00DE307D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\h \z \t "Leg # Title,1,Leg SubRule #,2" </w:instrText>
      </w:r>
      <w:r>
        <w:fldChar w:fldCharType="separate"/>
      </w:r>
      <w:hyperlink w:anchor="_Toc157153971" w:history="1">
        <w:r w:rsidR="00125B31" w:rsidRPr="009168CC">
          <w:rPr>
            <w:rStyle w:val="Hyperlink"/>
            <w:noProof/>
            <w:lang w:val="ru-RU"/>
          </w:rPr>
          <w:t>Правило</w:t>
        </w:r>
        <w:r w:rsidR="00125B31" w:rsidRPr="009168CC">
          <w:rPr>
            <w:rStyle w:val="Hyperlink"/>
            <w:noProof/>
          </w:rPr>
          <w:t xml:space="preserve"> 33 </w:t>
        </w:r>
        <w:r w:rsidR="00125B31" w:rsidRPr="009168CC">
          <w:rPr>
            <w:rStyle w:val="Hyperlink"/>
            <w:noProof/>
            <w:lang w:val="ru-RU"/>
          </w:rPr>
          <w:t>Соответствующий уровень техники для целей международного поиска</w:t>
        </w:r>
        <w:r w:rsidR="00125B31">
          <w:rPr>
            <w:noProof/>
            <w:webHidden/>
          </w:rPr>
          <w:tab/>
        </w:r>
        <w:r w:rsidR="00125B31">
          <w:rPr>
            <w:noProof/>
            <w:webHidden/>
          </w:rPr>
          <w:fldChar w:fldCharType="begin"/>
        </w:r>
        <w:r w:rsidR="00125B31">
          <w:rPr>
            <w:noProof/>
            <w:webHidden/>
          </w:rPr>
          <w:instrText xml:space="preserve"> PAGEREF _Toc157153971 \h </w:instrText>
        </w:r>
        <w:r w:rsidR="00125B31">
          <w:rPr>
            <w:noProof/>
            <w:webHidden/>
          </w:rPr>
        </w:r>
        <w:r w:rsidR="00125B31">
          <w:rPr>
            <w:noProof/>
            <w:webHidden/>
          </w:rPr>
          <w:fldChar w:fldCharType="separate"/>
        </w:r>
        <w:r w:rsidR="00125B31">
          <w:rPr>
            <w:noProof/>
            <w:webHidden/>
          </w:rPr>
          <w:t>2</w:t>
        </w:r>
        <w:r w:rsidR="00125B31">
          <w:rPr>
            <w:noProof/>
            <w:webHidden/>
          </w:rPr>
          <w:fldChar w:fldCharType="end"/>
        </w:r>
      </w:hyperlink>
    </w:p>
    <w:p w14:paraId="2CD75D06" w14:textId="1E1A4558" w:rsidR="00125B31" w:rsidRDefault="007D50C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57153972" w:history="1">
        <w:r w:rsidR="00125B31" w:rsidRPr="009168CC">
          <w:rPr>
            <w:rStyle w:val="Hyperlink"/>
            <w:noProof/>
          </w:rPr>
          <w:t>33.1   </w:t>
        </w:r>
        <w:r w:rsidR="00125B31" w:rsidRPr="009168CC">
          <w:rPr>
            <w:rStyle w:val="Hyperlink"/>
            <w:i/>
            <w:noProof/>
            <w:lang w:val="ru-RU"/>
          </w:rPr>
          <w:t>Соответствующий уровень техники для целей международного поиска</w:t>
        </w:r>
        <w:r w:rsidR="00125B31">
          <w:rPr>
            <w:noProof/>
            <w:webHidden/>
          </w:rPr>
          <w:tab/>
        </w:r>
        <w:r w:rsidR="00125B31">
          <w:rPr>
            <w:noProof/>
            <w:webHidden/>
          </w:rPr>
          <w:fldChar w:fldCharType="begin"/>
        </w:r>
        <w:r w:rsidR="00125B31">
          <w:rPr>
            <w:noProof/>
            <w:webHidden/>
          </w:rPr>
          <w:instrText xml:space="preserve"> PAGEREF _Toc157153972 \h </w:instrText>
        </w:r>
        <w:r w:rsidR="00125B31">
          <w:rPr>
            <w:noProof/>
            <w:webHidden/>
          </w:rPr>
        </w:r>
        <w:r w:rsidR="00125B31">
          <w:rPr>
            <w:noProof/>
            <w:webHidden/>
          </w:rPr>
          <w:fldChar w:fldCharType="separate"/>
        </w:r>
        <w:r w:rsidR="00125B31">
          <w:rPr>
            <w:noProof/>
            <w:webHidden/>
          </w:rPr>
          <w:t>2</w:t>
        </w:r>
        <w:r w:rsidR="00125B31">
          <w:rPr>
            <w:noProof/>
            <w:webHidden/>
          </w:rPr>
          <w:fldChar w:fldCharType="end"/>
        </w:r>
      </w:hyperlink>
    </w:p>
    <w:p w14:paraId="5D188BF1" w14:textId="1F486913" w:rsidR="00125B31" w:rsidRDefault="007D50C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57153973" w:history="1">
        <w:r w:rsidR="00125B31" w:rsidRPr="009168CC">
          <w:rPr>
            <w:rStyle w:val="Hyperlink"/>
            <w:noProof/>
          </w:rPr>
          <w:t xml:space="preserve">33.2 </w:t>
        </w:r>
        <w:r w:rsidR="00125B31" w:rsidRPr="009168CC">
          <w:rPr>
            <w:rStyle w:val="Hyperlink"/>
            <w:noProof/>
            <w:lang w:val="ru-RU"/>
          </w:rPr>
          <w:t>и</w:t>
        </w:r>
        <w:r w:rsidR="00125B31" w:rsidRPr="009168CC">
          <w:rPr>
            <w:rStyle w:val="Hyperlink"/>
            <w:noProof/>
          </w:rPr>
          <w:t xml:space="preserve"> 33.3</w:t>
        </w:r>
        <w:r w:rsidR="00125B31" w:rsidRPr="009168CC">
          <w:rPr>
            <w:rStyle w:val="Hyperlink"/>
            <w:noProof/>
            <w:lang w:val="ru-RU"/>
          </w:rPr>
          <w:t>   </w:t>
        </w:r>
        <w:r w:rsidR="00125B31" w:rsidRPr="009168CC">
          <w:rPr>
            <w:rStyle w:val="Hyperlink"/>
            <w:noProof/>
          </w:rPr>
          <w:t>[</w:t>
        </w:r>
        <w:r w:rsidR="00125B31" w:rsidRPr="009168CC">
          <w:rPr>
            <w:rStyle w:val="Hyperlink"/>
            <w:noProof/>
            <w:lang w:val="ru-RU"/>
          </w:rPr>
          <w:t>Без изменений</w:t>
        </w:r>
        <w:r w:rsidR="00125B31" w:rsidRPr="009168CC">
          <w:rPr>
            <w:rStyle w:val="Hyperlink"/>
            <w:noProof/>
          </w:rPr>
          <w:t>]</w:t>
        </w:r>
        <w:r w:rsidR="00125B31">
          <w:rPr>
            <w:noProof/>
            <w:webHidden/>
          </w:rPr>
          <w:tab/>
        </w:r>
        <w:r w:rsidR="00125B31">
          <w:rPr>
            <w:noProof/>
            <w:webHidden/>
          </w:rPr>
          <w:fldChar w:fldCharType="begin"/>
        </w:r>
        <w:r w:rsidR="00125B31">
          <w:rPr>
            <w:noProof/>
            <w:webHidden/>
          </w:rPr>
          <w:instrText xml:space="preserve"> PAGEREF _Toc157153973 \h </w:instrText>
        </w:r>
        <w:r w:rsidR="00125B31">
          <w:rPr>
            <w:noProof/>
            <w:webHidden/>
          </w:rPr>
        </w:r>
        <w:r w:rsidR="00125B31">
          <w:rPr>
            <w:noProof/>
            <w:webHidden/>
          </w:rPr>
          <w:fldChar w:fldCharType="separate"/>
        </w:r>
        <w:r w:rsidR="00125B31">
          <w:rPr>
            <w:noProof/>
            <w:webHidden/>
          </w:rPr>
          <w:t>2</w:t>
        </w:r>
        <w:r w:rsidR="00125B31">
          <w:rPr>
            <w:noProof/>
            <w:webHidden/>
          </w:rPr>
          <w:fldChar w:fldCharType="end"/>
        </w:r>
      </w:hyperlink>
    </w:p>
    <w:p w14:paraId="11BD7173" w14:textId="1D47D8DF" w:rsidR="00125B31" w:rsidRDefault="007D50CA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57153974" w:history="1">
        <w:r w:rsidR="00125B31" w:rsidRPr="009168CC">
          <w:rPr>
            <w:rStyle w:val="Hyperlink"/>
            <w:noProof/>
            <w:lang w:val="ru-RU"/>
          </w:rPr>
          <w:t>Правило</w:t>
        </w:r>
        <w:r w:rsidR="00125B31" w:rsidRPr="009168CC">
          <w:rPr>
            <w:rStyle w:val="Hyperlink"/>
            <w:noProof/>
          </w:rPr>
          <w:t xml:space="preserve"> 64 </w:t>
        </w:r>
        <w:r w:rsidR="00125B31" w:rsidRPr="009168CC">
          <w:rPr>
            <w:rStyle w:val="Hyperlink"/>
            <w:noProof/>
            <w:lang w:val="ru-RU"/>
          </w:rPr>
          <w:t>Предшествующий уровень техники для целей международной предварительной экспертизы</w:t>
        </w:r>
        <w:r w:rsidR="00125B31">
          <w:rPr>
            <w:noProof/>
            <w:webHidden/>
          </w:rPr>
          <w:tab/>
        </w:r>
        <w:r w:rsidR="00125B31">
          <w:rPr>
            <w:noProof/>
            <w:webHidden/>
          </w:rPr>
          <w:fldChar w:fldCharType="begin"/>
        </w:r>
        <w:r w:rsidR="00125B31">
          <w:rPr>
            <w:noProof/>
            <w:webHidden/>
          </w:rPr>
          <w:instrText xml:space="preserve"> PAGEREF _Toc157153974 \h </w:instrText>
        </w:r>
        <w:r w:rsidR="00125B31">
          <w:rPr>
            <w:noProof/>
            <w:webHidden/>
          </w:rPr>
        </w:r>
        <w:r w:rsidR="00125B31">
          <w:rPr>
            <w:noProof/>
            <w:webHidden/>
          </w:rPr>
          <w:fldChar w:fldCharType="separate"/>
        </w:r>
        <w:r w:rsidR="00125B31">
          <w:rPr>
            <w:noProof/>
            <w:webHidden/>
          </w:rPr>
          <w:t>3</w:t>
        </w:r>
        <w:r w:rsidR="00125B31">
          <w:rPr>
            <w:noProof/>
            <w:webHidden/>
          </w:rPr>
          <w:fldChar w:fldCharType="end"/>
        </w:r>
      </w:hyperlink>
    </w:p>
    <w:p w14:paraId="2BB5F489" w14:textId="51702A21" w:rsidR="00125B31" w:rsidRDefault="007D50C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57153975" w:history="1">
        <w:r w:rsidR="00125B31" w:rsidRPr="009168CC">
          <w:rPr>
            <w:rStyle w:val="Hyperlink"/>
            <w:noProof/>
          </w:rPr>
          <w:t>64.1   </w:t>
        </w:r>
        <w:r w:rsidR="00125B31" w:rsidRPr="009168CC">
          <w:rPr>
            <w:rStyle w:val="Hyperlink"/>
            <w:i/>
            <w:noProof/>
            <w:lang w:val="ru-RU"/>
          </w:rPr>
          <w:t>Предшествующий уровень техники</w:t>
        </w:r>
        <w:r w:rsidR="00125B31">
          <w:rPr>
            <w:noProof/>
            <w:webHidden/>
          </w:rPr>
          <w:tab/>
        </w:r>
        <w:r w:rsidR="00125B31">
          <w:rPr>
            <w:noProof/>
            <w:webHidden/>
          </w:rPr>
          <w:fldChar w:fldCharType="begin"/>
        </w:r>
        <w:r w:rsidR="00125B31">
          <w:rPr>
            <w:noProof/>
            <w:webHidden/>
          </w:rPr>
          <w:instrText xml:space="preserve"> PAGEREF _Toc157153975 \h </w:instrText>
        </w:r>
        <w:r w:rsidR="00125B31">
          <w:rPr>
            <w:noProof/>
            <w:webHidden/>
          </w:rPr>
        </w:r>
        <w:r w:rsidR="00125B31">
          <w:rPr>
            <w:noProof/>
            <w:webHidden/>
          </w:rPr>
          <w:fldChar w:fldCharType="separate"/>
        </w:r>
        <w:r w:rsidR="00125B31">
          <w:rPr>
            <w:noProof/>
            <w:webHidden/>
          </w:rPr>
          <w:t>3</w:t>
        </w:r>
        <w:r w:rsidR="00125B31">
          <w:rPr>
            <w:noProof/>
            <w:webHidden/>
          </w:rPr>
          <w:fldChar w:fldCharType="end"/>
        </w:r>
      </w:hyperlink>
    </w:p>
    <w:p w14:paraId="7E73089A" w14:textId="2DE28BC0" w:rsidR="00125B31" w:rsidRDefault="007D50C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157153976" w:history="1">
        <w:r w:rsidR="00125B31" w:rsidRPr="009168CC">
          <w:rPr>
            <w:rStyle w:val="Hyperlink"/>
            <w:noProof/>
          </w:rPr>
          <w:t xml:space="preserve">64.2 </w:t>
        </w:r>
        <w:r w:rsidR="00125B31" w:rsidRPr="009168CC">
          <w:rPr>
            <w:rStyle w:val="Hyperlink"/>
            <w:noProof/>
            <w:lang w:val="ru-RU"/>
          </w:rPr>
          <w:t>и</w:t>
        </w:r>
        <w:r w:rsidR="00125B31" w:rsidRPr="009168CC">
          <w:rPr>
            <w:rStyle w:val="Hyperlink"/>
            <w:noProof/>
          </w:rPr>
          <w:t xml:space="preserve"> 64.3</w:t>
        </w:r>
        <w:r w:rsidR="00125B31" w:rsidRPr="009168CC">
          <w:rPr>
            <w:rStyle w:val="Hyperlink"/>
            <w:noProof/>
            <w:lang w:val="ru-RU"/>
          </w:rPr>
          <w:t>   </w:t>
        </w:r>
        <w:r w:rsidR="00125B31" w:rsidRPr="009168CC">
          <w:rPr>
            <w:rStyle w:val="Hyperlink"/>
            <w:noProof/>
          </w:rPr>
          <w:t>[</w:t>
        </w:r>
        <w:r w:rsidR="00125B31" w:rsidRPr="009168CC">
          <w:rPr>
            <w:rStyle w:val="Hyperlink"/>
            <w:noProof/>
            <w:lang w:val="ru-RU"/>
          </w:rPr>
          <w:t>Без изменений</w:t>
        </w:r>
        <w:r w:rsidR="00125B31" w:rsidRPr="009168CC">
          <w:rPr>
            <w:rStyle w:val="Hyperlink"/>
            <w:noProof/>
          </w:rPr>
          <w:t>]</w:t>
        </w:r>
        <w:r w:rsidR="00125B31">
          <w:rPr>
            <w:noProof/>
            <w:webHidden/>
          </w:rPr>
          <w:tab/>
        </w:r>
        <w:r w:rsidR="00125B31">
          <w:rPr>
            <w:noProof/>
            <w:webHidden/>
          </w:rPr>
          <w:fldChar w:fldCharType="begin"/>
        </w:r>
        <w:r w:rsidR="00125B31">
          <w:rPr>
            <w:noProof/>
            <w:webHidden/>
          </w:rPr>
          <w:instrText xml:space="preserve"> PAGEREF _Toc157153976 \h </w:instrText>
        </w:r>
        <w:r w:rsidR="00125B31">
          <w:rPr>
            <w:noProof/>
            <w:webHidden/>
          </w:rPr>
        </w:r>
        <w:r w:rsidR="00125B31">
          <w:rPr>
            <w:noProof/>
            <w:webHidden/>
          </w:rPr>
          <w:fldChar w:fldCharType="separate"/>
        </w:r>
        <w:r w:rsidR="00125B31">
          <w:rPr>
            <w:noProof/>
            <w:webHidden/>
          </w:rPr>
          <w:t>3</w:t>
        </w:r>
        <w:r w:rsidR="00125B31">
          <w:rPr>
            <w:noProof/>
            <w:webHidden/>
          </w:rPr>
          <w:fldChar w:fldCharType="end"/>
        </w:r>
      </w:hyperlink>
    </w:p>
    <w:p w14:paraId="0EA436DC" w14:textId="1E1DFE2C" w:rsidR="00DE307D" w:rsidRDefault="00DE307D" w:rsidP="00DE307D">
      <w:pPr>
        <w:pStyle w:val="Endofdocument-Annex"/>
        <w:ind w:left="0"/>
      </w:pPr>
      <w:r>
        <w:fldChar w:fldCharType="end"/>
      </w:r>
    </w:p>
    <w:p w14:paraId="4CD93D42" w14:textId="3FDD4584" w:rsidR="00DE307D" w:rsidRPr="006E324D" w:rsidRDefault="004B215C" w:rsidP="00DE307D">
      <w:pPr>
        <w:pStyle w:val="LegTitle"/>
      </w:pPr>
      <w:bookmarkStart w:id="7" w:name="_Toc50028896"/>
      <w:bookmarkStart w:id="8" w:name="_Toc71915892"/>
      <w:bookmarkStart w:id="9" w:name="_Toc97741903"/>
      <w:bookmarkStart w:id="10" w:name="_Toc157153971"/>
      <w:r>
        <w:rPr>
          <w:lang w:val="ru-RU"/>
        </w:rPr>
        <w:lastRenderedPageBreak/>
        <w:t>Правило</w:t>
      </w:r>
      <w:r w:rsidR="00DE307D">
        <w:t xml:space="preserve"> 33</w:t>
      </w:r>
      <w:r w:rsidR="00DE307D" w:rsidRPr="006E324D">
        <w:br/>
      </w:r>
      <w:bookmarkEnd w:id="7"/>
      <w:bookmarkEnd w:id="8"/>
      <w:r w:rsidR="000E7FFA">
        <w:rPr>
          <w:lang w:val="ru-RU"/>
        </w:rPr>
        <w:t>Соответствующий уровень техники для целей международного поиска</w:t>
      </w:r>
      <w:bookmarkEnd w:id="9"/>
      <w:bookmarkEnd w:id="10"/>
    </w:p>
    <w:p w14:paraId="450FF4AD" w14:textId="408C899B" w:rsidR="00DE307D" w:rsidRPr="006E324D" w:rsidRDefault="00DE307D" w:rsidP="00DE307D">
      <w:pPr>
        <w:pStyle w:val="LegSubRule"/>
        <w:keepLines w:val="0"/>
        <w:outlineLvl w:val="0"/>
      </w:pPr>
      <w:bookmarkStart w:id="11" w:name="_Toc50028897"/>
      <w:bookmarkStart w:id="12" w:name="_Toc71915893"/>
      <w:bookmarkStart w:id="13" w:name="_Toc97741904"/>
      <w:bookmarkStart w:id="14" w:name="_Toc157153972"/>
      <w:r>
        <w:t>33</w:t>
      </w:r>
      <w:r w:rsidRPr="006E324D">
        <w:t>.1   </w:t>
      </w:r>
      <w:bookmarkEnd w:id="11"/>
      <w:bookmarkEnd w:id="12"/>
      <w:r w:rsidR="00FE47FE">
        <w:rPr>
          <w:i/>
          <w:lang w:val="ru-RU"/>
        </w:rPr>
        <w:t>Соответствующий уровень техники для целей международного поиска</w:t>
      </w:r>
      <w:bookmarkEnd w:id="13"/>
      <w:bookmarkEnd w:id="14"/>
    </w:p>
    <w:p w14:paraId="102A79AD" w14:textId="7E053F1E" w:rsidR="00DE307D" w:rsidRDefault="00DE307D" w:rsidP="00DE307D">
      <w:pPr>
        <w:pStyle w:val="Lega"/>
      </w:pPr>
      <w:r>
        <w:tab/>
        <w:t>(a)  </w:t>
      </w:r>
      <w:r w:rsidR="00CB375E" w:rsidRPr="00CB375E">
        <w:t xml:space="preserve">Для целей статьи 15(2) соответствующий уровень техники включает все то, что стало доступным публике где-либо в мире </w:t>
      </w:r>
      <w:r w:rsidR="0064733B" w:rsidRPr="0064733B">
        <w:rPr>
          <w:color w:val="0000FF"/>
          <w:u w:val="single"/>
          <w:lang w:val="ru-RU"/>
        </w:rPr>
        <w:t>каким бы то ни было способом</w:t>
      </w:r>
      <w:r w:rsidR="0044053E">
        <w:rPr>
          <w:color w:val="0000FF"/>
          <w:u w:val="single"/>
          <w:lang w:val="ru-RU"/>
        </w:rPr>
        <w:t>,</w:t>
      </w:r>
      <w:r w:rsidR="00CB375E" w:rsidRPr="0044053E">
        <w:rPr>
          <w:strike/>
          <w:color w:val="CC3300"/>
        </w:rPr>
        <w:t>посредством письменного раскрытия (включая чертежи и другие иллюстрации) и</w:t>
      </w:r>
      <w:r w:rsidR="0044053E">
        <w:rPr>
          <w:lang w:val="ru-RU"/>
        </w:rPr>
        <w:t xml:space="preserve"> </w:t>
      </w:r>
      <w:r w:rsidR="00CB375E" w:rsidRPr="00CB375E">
        <w:t>что может быть полезным при определении, является ли заявленное изобретение новым и соответствует ли оно изобретательскому уровню (т.е. является ли изобретение очевидным или нет) при условии, что раскрытие стало доступным до даты международной подачи.</w:t>
      </w:r>
    </w:p>
    <w:p w14:paraId="488A99BE" w14:textId="3F74DE8B" w:rsidR="00DE307D" w:rsidRPr="00CC11FB" w:rsidRDefault="00DE307D" w:rsidP="00DE307D">
      <w:pPr>
        <w:pStyle w:val="Lega"/>
        <w:rPr>
          <w:strike/>
          <w:lang w:val="ru-RU"/>
        </w:rPr>
      </w:pPr>
      <w:r>
        <w:tab/>
      </w:r>
      <w:r w:rsidRPr="002C6378">
        <w:t>(b)</w:t>
      </w:r>
      <w:r w:rsidR="0090651A">
        <w:rPr>
          <w:lang w:val="ru-RU"/>
        </w:rPr>
        <w:t>  </w:t>
      </w:r>
      <w:r w:rsidRPr="00842F72">
        <w:rPr>
          <w:i/>
        </w:rPr>
        <w:t>[</w:t>
      </w:r>
      <w:r w:rsidR="004B215C">
        <w:rPr>
          <w:i/>
          <w:lang w:val="ru-RU"/>
        </w:rPr>
        <w:t>Без изменений</w:t>
      </w:r>
      <w:r w:rsidRPr="00842F72">
        <w:rPr>
          <w:i/>
        </w:rPr>
        <w:t>]</w:t>
      </w:r>
      <w:r>
        <w:t xml:space="preserve"> </w:t>
      </w:r>
      <w:r w:rsidR="003762A1">
        <w:rPr>
          <w:lang w:val="ru-RU"/>
        </w:rPr>
        <w:t xml:space="preserve"> </w:t>
      </w:r>
      <w:r w:rsidR="000D6DBF" w:rsidRPr="000D6DBF">
        <w:rPr>
          <w:color w:val="000000" w:themeColor="text1"/>
        </w:rPr>
        <w:t>Когда в любом письменном раскрытии содержится ссылка на устное раскрытие, использование, выставку или другие способы, посредством которых содержание письменного раскрытия стало доступным публике, и когда такой доступ имел место до даты международной подачи, то в отчете о международном поиске должны особо упоминаться этот факт и дата, когда это произошло, если доступ публики к письменному раскрытию имел место на ту же или более позднюю дату по сравнению с датой международной подачи</w:t>
      </w:r>
      <w:r w:rsidR="00CC11FB">
        <w:rPr>
          <w:color w:val="000000" w:themeColor="text1"/>
          <w:lang w:val="ru-RU"/>
        </w:rPr>
        <w:t>.</w:t>
      </w:r>
    </w:p>
    <w:p w14:paraId="0838FB33" w14:textId="5CA84BE8" w:rsidR="00DE307D" w:rsidRPr="003762A1" w:rsidRDefault="00DE307D" w:rsidP="00DE307D">
      <w:pPr>
        <w:pStyle w:val="Lega"/>
        <w:rPr>
          <w:lang w:val="ru-RU"/>
        </w:rPr>
      </w:pPr>
      <w:r>
        <w:tab/>
        <w:t>(c</w:t>
      </w:r>
      <w:r w:rsidRPr="002C6378">
        <w:t>)</w:t>
      </w:r>
      <w:r w:rsidR="0090651A">
        <w:rPr>
          <w:lang w:val="ru-RU"/>
        </w:rPr>
        <w:t>  </w:t>
      </w:r>
      <w:r w:rsidRPr="00805178">
        <w:rPr>
          <w:i/>
        </w:rPr>
        <w:t>[</w:t>
      </w:r>
      <w:r w:rsidR="004B215C">
        <w:rPr>
          <w:i/>
          <w:lang w:val="ru-RU"/>
        </w:rPr>
        <w:t>Без изменений</w:t>
      </w:r>
      <w:r w:rsidRPr="00805178">
        <w:rPr>
          <w:i/>
        </w:rPr>
        <w:t>]</w:t>
      </w:r>
      <w:r>
        <w:t xml:space="preserve"> </w:t>
      </w:r>
      <w:r w:rsidR="003762A1">
        <w:rPr>
          <w:lang w:val="ru-RU"/>
        </w:rPr>
        <w:t xml:space="preserve"> </w:t>
      </w:r>
      <w:r w:rsidR="003762A1" w:rsidRPr="003762A1">
        <w:t>Любая опубликованная заявка или патент, дата публикации которых является такой же или более поздней по сравнению с датой подачи международной заявки, но дата подачи которых или, когда это применимо, дата испрашиваемого приоритета является более ранней, чем дата международной подачи международной заявки, по которой проводится поиск, и которые составляли бы соответствующий уровень техники для целей статьи 15(2), если бы они были опубликованы до даты международной подачи, особо упоминаются в отчете о международном поиске</w:t>
      </w:r>
      <w:r w:rsidR="003762A1">
        <w:rPr>
          <w:lang w:val="ru-RU"/>
        </w:rPr>
        <w:t>.</w:t>
      </w:r>
    </w:p>
    <w:p w14:paraId="0D097998" w14:textId="16C6BA29" w:rsidR="00DE307D" w:rsidRDefault="00DE307D" w:rsidP="00DE307D">
      <w:pPr>
        <w:pStyle w:val="LegSubRule"/>
        <w:keepLines w:val="0"/>
        <w:outlineLvl w:val="0"/>
      </w:pPr>
      <w:bookmarkStart w:id="15" w:name="_Toc97741905"/>
      <w:bookmarkStart w:id="16" w:name="_Toc157153973"/>
      <w:r>
        <w:t xml:space="preserve">33.2 </w:t>
      </w:r>
      <w:r w:rsidR="004B215C">
        <w:rPr>
          <w:lang w:val="ru-RU"/>
        </w:rPr>
        <w:t>и</w:t>
      </w:r>
      <w:r>
        <w:t xml:space="preserve"> 33.3</w:t>
      </w:r>
      <w:r w:rsidR="004B215C">
        <w:rPr>
          <w:lang w:val="ru-RU"/>
        </w:rPr>
        <w:t>   </w:t>
      </w:r>
      <w:r w:rsidRPr="00805178">
        <w:t>[</w:t>
      </w:r>
      <w:r w:rsidR="003A33A4">
        <w:rPr>
          <w:lang w:val="ru-RU"/>
        </w:rPr>
        <w:t>Без изменений</w:t>
      </w:r>
      <w:r w:rsidRPr="00805178">
        <w:t>]</w:t>
      </w:r>
      <w:bookmarkEnd w:id="15"/>
      <w:bookmarkEnd w:id="16"/>
    </w:p>
    <w:p w14:paraId="3F8A7A2F" w14:textId="042A80AF" w:rsidR="00DE307D" w:rsidRPr="006E324D" w:rsidRDefault="00C448F6" w:rsidP="00DE307D">
      <w:pPr>
        <w:pStyle w:val="LegTitle"/>
      </w:pPr>
      <w:bookmarkStart w:id="17" w:name="_Toc97741910"/>
      <w:bookmarkStart w:id="18" w:name="_Toc157153974"/>
      <w:r>
        <w:rPr>
          <w:lang w:val="ru-RU"/>
        </w:rPr>
        <w:lastRenderedPageBreak/>
        <w:t>Правило</w:t>
      </w:r>
      <w:r w:rsidR="00DE307D">
        <w:t xml:space="preserve"> 64</w:t>
      </w:r>
      <w:r w:rsidR="00DE307D" w:rsidRPr="006E324D">
        <w:br/>
      </w:r>
      <w:r w:rsidR="002160D4">
        <w:rPr>
          <w:lang w:val="ru-RU"/>
        </w:rPr>
        <w:t>Предшествующий уровень техники для целей международной предварительной экспертизы</w:t>
      </w:r>
      <w:bookmarkEnd w:id="17"/>
      <w:bookmarkEnd w:id="18"/>
    </w:p>
    <w:p w14:paraId="3E7E3F3B" w14:textId="71D48F03" w:rsidR="00DE307D" w:rsidRPr="006E324D" w:rsidRDefault="00DE307D" w:rsidP="00DE307D">
      <w:pPr>
        <w:pStyle w:val="LegSubRule"/>
        <w:keepLines w:val="0"/>
        <w:outlineLvl w:val="0"/>
      </w:pPr>
      <w:bookmarkStart w:id="19" w:name="_Toc97741911"/>
      <w:bookmarkStart w:id="20" w:name="_Toc157153975"/>
      <w:r>
        <w:t>64</w:t>
      </w:r>
      <w:r w:rsidRPr="006E324D">
        <w:t>.1   </w:t>
      </w:r>
      <w:r w:rsidR="002160D4">
        <w:rPr>
          <w:i/>
          <w:lang w:val="ru-RU"/>
        </w:rPr>
        <w:t>Предшествующий уровень техники</w:t>
      </w:r>
      <w:bookmarkEnd w:id="19"/>
      <w:bookmarkEnd w:id="20"/>
    </w:p>
    <w:p w14:paraId="0C4C9254" w14:textId="6EF28560" w:rsidR="00DE307D" w:rsidRPr="00D97E80" w:rsidRDefault="00DE307D" w:rsidP="00DE307D">
      <w:pPr>
        <w:pStyle w:val="Lega"/>
        <w:rPr>
          <w:lang w:val="ru-RU"/>
        </w:rPr>
      </w:pPr>
      <w:r>
        <w:tab/>
        <w:t>(a)  </w:t>
      </w:r>
      <w:r w:rsidR="00B71DE3" w:rsidRPr="00B71DE3">
        <w:t xml:space="preserve">Для целей статьи 33(2) и (3) все то, что стало общедоступным где-либо в мире </w:t>
      </w:r>
      <w:r w:rsidR="009845FA" w:rsidRPr="0064733B">
        <w:rPr>
          <w:color w:val="0000FF"/>
          <w:u w:val="single"/>
          <w:lang w:val="ru-RU"/>
        </w:rPr>
        <w:t>каким бы то ни было способом</w:t>
      </w:r>
      <w:r w:rsidR="00B71DE3" w:rsidRPr="009845FA">
        <w:rPr>
          <w:strike/>
          <w:color w:val="C00000"/>
        </w:rPr>
        <w:t>посредством письменного раскрытия (включая чертежи и другие иллюстрации)</w:t>
      </w:r>
      <w:r w:rsidR="00B71DE3" w:rsidRPr="00B71DE3">
        <w:t>, считается предшествующим уровнем техники при условии, что такое раскрытие имело место до соответствующей даты</w:t>
      </w:r>
      <w:r w:rsidR="00D97E80">
        <w:rPr>
          <w:lang w:val="ru-RU"/>
        </w:rPr>
        <w:t>.</w:t>
      </w:r>
    </w:p>
    <w:p w14:paraId="70965676" w14:textId="697972E3" w:rsidR="00DE307D" w:rsidRDefault="00DE307D" w:rsidP="00DE307D">
      <w:pPr>
        <w:pStyle w:val="Lega"/>
      </w:pPr>
      <w:r>
        <w:tab/>
      </w:r>
      <w:r w:rsidRPr="002C6378">
        <w:t>(b)</w:t>
      </w:r>
      <w:r w:rsidR="002160D4">
        <w:rPr>
          <w:lang w:val="ru-RU"/>
        </w:rPr>
        <w:t>  </w:t>
      </w:r>
      <w:r>
        <w:t>[</w:t>
      </w:r>
      <w:r w:rsidR="002160D4">
        <w:rPr>
          <w:lang w:val="ru-RU"/>
        </w:rPr>
        <w:t>Без изменений</w:t>
      </w:r>
      <w:r>
        <w:t>]</w:t>
      </w:r>
    </w:p>
    <w:p w14:paraId="527FE4AD" w14:textId="3A62E896" w:rsidR="00DE307D" w:rsidRDefault="00DE307D" w:rsidP="00DE307D">
      <w:pPr>
        <w:pStyle w:val="LegSubRule"/>
        <w:keepLines w:val="0"/>
        <w:outlineLvl w:val="0"/>
      </w:pPr>
      <w:bookmarkStart w:id="21" w:name="_Toc97741912"/>
      <w:bookmarkStart w:id="22" w:name="_Toc157153976"/>
      <w:r>
        <w:t>64.2</w:t>
      </w:r>
      <w:bookmarkEnd w:id="21"/>
      <w:r>
        <w:t xml:space="preserve"> </w:t>
      </w:r>
      <w:r w:rsidR="002160D4">
        <w:rPr>
          <w:lang w:val="ru-RU"/>
        </w:rPr>
        <w:t>и</w:t>
      </w:r>
      <w:r>
        <w:t xml:space="preserve"> 64.3</w:t>
      </w:r>
      <w:r w:rsidR="002160D4">
        <w:rPr>
          <w:lang w:val="ru-RU"/>
        </w:rPr>
        <w:t>   </w:t>
      </w:r>
      <w:r>
        <w:t>[</w:t>
      </w:r>
      <w:r w:rsidR="002160D4">
        <w:rPr>
          <w:lang w:val="ru-RU"/>
        </w:rPr>
        <w:t>Без изменений</w:t>
      </w:r>
      <w:r>
        <w:t>]</w:t>
      </w:r>
      <w:bookmarkEnd w:id="22"/>
    </w:p>
    <w:p w14:paraId="0F74ABC6" w14:textId="77777777" w:rsidR="00DE307D" w:rsidRDefault="00DE307D" w:rsidP="00DE307D">
      <w:pPr>
        <w:pStyle w:val="Lega"/>
      </w:pPr>
    </w:p>
    <w:p w14:paraId="09EE8620" w14:textId="77777777" w:rsidR="00DE307D" w:rsidRDefault="00DE307D" w:rsidP="00DE307D">
      <w:pPr>
        <w:pStyle w:val="Lega"/>
      </w:pPr>
    </w:p>
    <w:p w14:paraId="1E9C4023" w14:textId="188CF4C4" w:rsidR="00DE307D" w:rsidRDefault="00DE307D" w:rsidP="00DE307D">
      <w:pPr>
        <w:pStyle w:val="Endofdocument-Annex"/>
      </w:pPr>
      <w:r w:rsidRPr="00805178">
        <w:t>[</w:t>
      </w:r>
      <w:r w:rsidR="00AA5A55">
        <w:rPr>
          <w:lang w:val="ru-RU"/>
        </w:rPr>
        <w:t>Конец приложения и документа</w:t>
      </w:r>
      <w:r w:rsidRPr="00805178">
        <w:t>]</w:t>
      </w:r>
    </w:p>
    <w:p w14:paraId="6B552F44" w14:textId="77777777" w:rsidR="00DE307D" w:rsidRDefault="00DE307D" w:rsidP="00DE307D">
      <w:pPr>
        <w:pStyle w:val="ONUME"/>
        <w:numPr>
          <w:ilvl w:val="0"/>
          <w:numId w:val="0"/>
        </w:numPr>
      </w:pPr>
    </w:p>
    <w:p w14:paraId="1015DD2F" w14:textId="77777777" w:rsidR="00F86CB6" w:rsidRDefault="00F86CB6" w:rsidP="00F86CB6">
      <w:pPr>
        <w:pStyle w:val="ONUME"/>
        <w:numPr>
          <w:ilvl w:val="0"/>
          <w:numId w:val="0"/>
        </w:numPr>
      </w:pPr>
    </w:p>
    <w:p w14:paraId="1F54E552" w14:textId="066A4320" w:rsidR="00F86CB6" w:rsidRDefault="00F86CB6" w:rsidP="00B86092">
      <w:pPr>
        <w:spacing w:after="220"/>
      </w:pPr>
    </w:p>
    <w:sectPr w:rsidR="00F86CB6" w:rsidSect="00645743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4202" w14:textId="77777777" w:rsidR="0024059F" w:rsidRDefault="0024059F">
      <w:r>
        <w:separator/>
      </w:r>
    </w:p>
  </w:endnote>
  <w:endnote w:type="continuationSeparator" w:id="0">
    <w:p w14:paraId="240E4C9C" w14:textId="77777777" w:rsidR="0024059F" w:rsidRDefault="0024059F" w:rsidP="003B38C1">
      <w:r>
        <w:separator/>
      </w:r>
    </w:p>
    <w:p w14:paraId="539DB0E5" w14:textId="77777777" w:rsidR="0024059F" w:rsidRPr="003B38C1" w:rsidRDefault="0024059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0CA0B9D" w14:textId="77777777" w:rsidR="0024059F" w:rsidRPr="003B38C1" w:rsidRDefault="0024059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altName w:val="Nimbus Roman No9 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DE6D" w14:textId="77777777" w:rsidR="00AD5E36" w:rsidRDefault="00AD5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B2B5" w14:textId="77777777" w:rsidR="00AD5E36" w:rsidRDefault="00AD5E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5BA1" w14:textId="77777777" w:rsidR="00AD5E36" w:rsidRDefault="00AD5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0BB6" w14:textId="77777777" w:rsidR="0024059F" w:rsidRDefault="0024059F">
      <w:r>
        <w:separator/>
      </w:r>
    </w:p>
  </w:footnote>
  <w:footnote w:type="continuationSeparator" w:id="0">
    <w:p w14:paraId="52EF50AC" w14:textId="77777777" w:rsidR="0024059F" w:rsidRDefault="0024059F" w:rsidP="008B60B2">
      <w:r>
        <w:separator/>
      </w:r>
    </w:p>
    <w:p w14:paraId="41F6B2DF" w14:textId="77777777" w:rsidR="0024059F" w:rsidRPr="00ED77FB" w:rsidRDefault="0024059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2F95554" w14:textId="77777777" w:rsidR="0024059F" w:rsidRPr="00ED77FB" w:rsidRDefault="0024059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E033884" w14:textId="41BA77DB" w:rsidR="00DE307D" w:rsidRPr="0085293C" w:rsidRDefault="00DE307D" w:rsidP="00DE30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1C45C2" w:rsidRPr="001C45C2">
        <w:rPr>
          <w:lang w:val="ru-RU"/>
        </w:rPr>
        <w:t>Предлагаемые добавления и удаления выделены в тексте, соответственно, подчеркиванием и вычеркиванием</w:t>
      </w:r>
      <w:r w:rsidRPr="001C45C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AC8F" w14:textId="77777777" w:rsidR="00AD5E36" w:rsidRDefault="00AD5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41AE" w14:textId="15545F56" w:rsidR="00EC4E49" w:rsidRDefault="00B1366E" w:rsidP="00477D6B">
    <w:pPr>
      <w:jc w:val="right"/>
    </w:pPr>
    <w:bookmarkStart w:id="6" w:name="Code2"/>
    <w:bookmarkEnd w:id="6"/>
    <w:r>
      <w:t>PCT/WG/17/</w:t>
    </w:r>
    <w:r w:rsidR="005A2B2D">
      <w:t>10</w:t>
    </w:r>
  </w:p>
  <w:p w14:paraId="782D6FF9" w14:textId="112340A3" w:rsidR="00EC4E49" w:rsidRDefault="00AA5A5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  <w:p w14:paraId="022D9367" w14:textId="77777777" w:rsidR="00EC4E49" w:rsidRDefault="00EC4E49" w:rsidP="00477D6B">
    <w:pPr>
      <w:jc w:val="right"/>
    </w:pPr>
  </w:p>
  <w:p w14:paraId="297C9848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D013" w14:textId="77777777" w:rsidR="00AD5E36" w:rsidRDefault="00AD5E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3F26" w14:textId="60DA18BE" w:rsidR="005A2B2D" w:rsidRDefault="005A2B2D" w:rsidP="00477D6B">
    <w:pPr>
      <w:jc w:val="right"/>
    </w:pPr>
    <w:r>
      <w:t>PCT/WG/17/10</w:t>
    </w:r>
  </w:p>
  <w:p w14:paraId="36126C3F" w14:textId="56AAE240" w:rsidR="005A2B2D" w:rsidRDefault="00AA5A55" w:rsidP="00477D6B">
    <w:pPr>
      <w:jc w:val="right"/>
    </w:pPr>
    <w:r>
      <w:rPr>
        <w:lang w:val="ru-RU"/>
      </w:rPr>
      <w:t>Приложение</w:t>
    </w:r>
    <w:r w:rsidR="005A2B2D">
      <w:t xml:space="preserve">, </w:t>
    </w:r>
    <w:r>
      <w:rPr>
        <w:lang w:val="ru-RU"/>
      </w:rPr>
      <w:t>стр.</w:t>
    </w:r>
    <w:r w:rsidR="005A2B2D">
      <w:t xml:space="preserve"> </w:t>
    </w:r>
    <w:r w:rsidR="005A2B2D">
      <w:fldChar w:fldCharType="begin"/>
    </w:r>
    <w:r w:rsidR="005A2B2D">
      <w:instrText xml:space="preserve"> PAGE  \* MERGEFORMAT </w:instrText>
    </w:r>
    <w:r w:rsidR="005A2B2D">
      <w:fldChar w:fldCharType="separate"/>
    </w:r>
    <w:r w:rsidR="005A2B2D">
      <w:rPr>
        <w:noProof/>
      </w:rPr>
      <w:t>2</w:t>
    </w:r>
    <w:r w:rsidR="005A2B2D">
      <w:fldChar w:fldCharType="end"/>
    </w:r>
  </w:p>
  <w:p w14:paraId="7BCF85C0" w14:textId="77777777" w:rsidR="005A2B2D" w:rsidRDefault="005A2B2D" w:rsidP="00477D6B">
    <w:pPr>
      <w:jc w:val="right"/>
    </w:pPr>
  </w:p>
  <w:p w14:paraId="634B00EC" w14:textId="77777777" w:rsidR="005A2B2D" w:rsidRDefault="005A2B2D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247F" w14:textId="3DA3201A" w:rsidR="005A2B2D" w:rsidRDefault="005A2B2D" w:rsidP="00C3181B">
    <w:pPr>
      <w:pStyle w:val="Header"/>
      <w:jc w:val="right"/>
      <w:rPr>
        <w:lang w:val="fr-CH"/>
      </w:rPr>
    </w:pPr>
    <w:r>
      <w:rPr>
        <w:lang w:val="fr-CH"/>
      </w:rPr>
      <w:t>PCT/WG/17/10</w:t>
    </w:r>
  </w:p>
  <w:p w14:paraId="361368CD" w14:textId="5D24F15C" w:rsidR="005A2B2D" w:rsidRDefault="00AA5A55" w:rsidP="00C3181B">
    <w:pPr>
      <w:pStyle w:val="Header"/>
      <w:jc w:val="right"/>
      <w:rPr>
        <w:lang w:val="fr-CH"/>
      </w:rPr>
    </w:pPr>
    <w:r>
      <w:rPr>
        <w:lang w:val="ru-RU"/>
      </w:rPr>
      <w:t>ПРИЛОЖЕНИЕ</w:t>
    </w:r>
  </w:p>
  <w:p w14:paraId="00D097EB" w14:textId="77777777" w:rsidR="005A2B2D" w:rsidRPr="00374399" w:rsidRDefault="005A2B2D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38653">
    <w:abstractNumId w:val="2"/>
  </w:num>
  <w:num w:numId="2" w16cid:durableId="1159539219">
    <w:abstractNumId w:val="4"/>
  </w:num>
  <w:num w:numId="3" w16cid:durableId="76558780">
    <w:abstractNumId w:val="0"/>
  </w:num>
  <w:num w:numId="4" w16cid:durableId="1331255219">
    <w:abstractNumId w:val="5"/>
  </w:num>
  <w:num w:numId="5" w16cid:durableId="1001860684">
    <w:abstractNumId w:val="1"/>
  </w:num>
  <w:num w:numId="6" w16cid:durableId="970937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E"/>
    <w:rsid w:val="00004C28"/>
    <w:rsid w:val="0001647B"/>
    <w:rsid w:val="00021297"/>
    <w:rsid w:val="00025B44"/>
    <w:rsid w:val="00043CAA"/>
    <w:rsid w:val="00053678"/>
    <w:rsid w:val="000573C9"/>
    <w:rsid w:val="000718BD"/>
    <w:rsid w:val="00075432"/>
    <w:rsid w:val="00075D54"/>
    <w:rsid w:val="00077698"/>
    <w:rsid w:val="000968ED"/>
    <w:rsid w:val="000A6902"/>
    <w:rsid w:val="000B54CC"/>
    <w:rsid w:val="000C1C90"/>
    <w:rsid w:val="000C4EBF"/>
    <w:rsid w:val="000D0AA1"/>
    <w:rsid w:val="000D6DBF"/>
    <w:rsid w:val="000E00CE"/>
    <w:rsid w:val="000E7FFA"/>
    <w:rsid w:val="000F5E56"/>
    <w:rsid w:val="001024FE"/>
    <w:rsid w:val="0012053B"/>
    <w:rsid w:val="00124C93"/>
    <w:rsid w:val="00125B31"/>
    <w:rsid w:val="001362EE"/>
    <w:rsid w:val="0014062C"/>
    <w:rsid w:val="00142868"/>
    <w:rsid w:val="00160757"/>
    <w:rsid w:val="001678B4"/>
    <w:rsid w:val="00171194"/>
    <w:rsid w:val="00173480"/>
    <w:rsid w:val="001832A6"/>
    <w:rsid w:val="00183DCD"/>
    <w:rsid w:val="0019764C"/>
    <w:rsid w:val="001B52FF"/>
    <w:rsid w:val="001C45C2"/>
    <w:rsid w:val="001C5200"/>
    <w:rsid w:val="001C6808"/>
    <w:rsid w:val="001D2F80"/>
    <w:rsid w:val="001E26F8"/>
    <w:rsid w:val="002121FA"/>
    <w:rsid w:val="002160D4"/>
    <w:rsid w:val="00217CE3"/>
    <w:rsid w:val="00231AE2"/>
    <w:rsid w:val="00237CC6"/>
    <w:rsid w:val="0024059F"/>
    <w:rsid w:val="002458C7"/>
    <w:rsid w:val="002634C4"/>
    <w:rsid w:val="002750B9"/>
    <w:rsid w:val="00281715"/>
    <w:rsid w:val="00283C7A"/>
    <w:rsid w:val="00290E4C"/>
    <w:rsid w:val="00291CCE"/>
    <w:rsid w:val="002928D3"/>
    <w:rsid w:val="00296455"/>
    <w:rsid w:val="002B1C0D"/>
    <w:rsid w:val="002C2378"/>
    <w:rsid w:val="002C4E14"/>
    <w:rsid w:val="002E79C9"/>
    <w:rsid w:val="002F1FE6"/>
    <w:rsid w:val="002F4E68"/>
    <w:rsid w:val="003053A5"/>
    <w:rsid w:val="00312F7F"/>
    <w:rsid w:val="003142EF"/>
    <w:rsid w:val="003228B7"/>
    <w:rsid w:val="0034720B"/>
    <w:rsid w:val="003508A3"/>
    <w:rsid w:val="003620B5"/>
    <w:rsid w:val="003673CF"/>
    <w:rsid w:val="00372430"/>
    <w:rsid w:val="00374399"/>
    <w:rsid w:val="003762A1"/>
    <w:rsid w:val="003845C1"/>
    <w:rsid w:val="003A33A4"/>
    <w:rsid w:val="003A353D"/>
    <w:rsid w:val="003A5721"/>
    <w:rsid w:val="003A6F89"/>
    <w:rsid w:val="003B38C1"/>
    <w:rsid w:val="003D352A"/>
    <w:rsid w:val="003F4C9E"/>
    <w:rsid w:val="00423E3E"/>
    <w:rsid w:val="00427AF4"/>
    <w:rsid w:val="00427DAF"/>
    <w:rsid w:val="004400E2"/>
    <w:rsid w:val="0044053E"/>
    <w:rsid w:val="004451F5"/>
    <w:rsid w:val="00460934"/>
    <w:rsid w:val="00461632"/>
    <w:rsid w:val="004647DA"/>
    <w:rsid w:val="00474062"/>
    <w:rsid w:val="00477D6B"/>
    <w:rsid w:val="00477F2E"/>
    <w:rsid w:val="0049768F"/>
    <w:rsid w:val="00497C1B"/>
    <w:rsid w:val="004B215C"/>
    <w:rsid w:val="004B68B4"/>
    <w:rsid w:val="004C4B47"/>
    <w:rsid w:val="004D39C4"/>
    <w:rsid w:val="004F0307"/>
    <w:rsid w:val="00505753"/>
    <w:rsid w:val="005076A0"/>
    <w:rsid w:val="005170E4"/>
    <w:rsid w:val="0053057A"/>
    <w:rsid w:val="00530C79"/>
    <w:rsid w:val="00537437"/>
    <w:rsid w:val="0053784C"/>
    <w:rsid w:val="00542F0D"/>
    <w:rsid w:val="00543927"/>
    <w:rsid w:val="00552072"/>
    <w:rsid w:val="00560A29"/>
    <w:rsid w:val="00583CE8"/>
    <w:rsid w:val="00594D27"/>
    <w:rsid w:val="005A01DA"/>
    <w:rsid w:val="005A2B2D"/>
    <w:rsid w:val="005A43D1"/>
    <w:rsid w:val="005B680F"/>
    <w:rsid w:val="005D36E1"/>
    <w:rsid w:val="005D7B20"/>
    <w:rsid w:val="005E7327"/>
    <w:rsid w:val="00601760"/>
    <w:rsid w:val="00605827"/>
    <w:rsid w:val="00611A8F"/>
    <w:rsid w:val="00627EC1"/>
    <w:rsid w:val="00630E0C"/>
    <w:rsid w:val="0063787B"/>
    <w:rsid w:val="00637BE7"/>
    <w:rsid w:val="00645743"/>
    <w:rsid w:val="00646050"/>
    <w:rsid w:val="0064733B"/>
    <w:rsid w:val="006541D6"/>
    <w:rsid w:val="00663A98"/>
    <w:rsid w:val="00664E82"/>
    <w:rsid w:val="006713CA"/>
    <w:rsid w:val="00676C5C"/>
    <w:rsid w:val="00695558"/>
    <w:rsid w:val="00697015"/>
    <w:rsid w:val="006A52E6"/>
    <w:rsid w:val="006B1437"/>
    <w:rsid w:val="006B4C71"/>
    <w:rsid w:val="006C1E94"/>
    <w:rsid w:val="006D5E0F"/>
    <w:rsid w:val="006F399B"/>
    <w:rsid w:val="00702F8B"/>
    <w:rsid w:val="007058FB"/>
    <w:rsid w:val="0070765A"/>
    <w:rsid w:val="0072149C"/>
    <w:rsid w:val="00740A8B"/>
    <w:rsid w:val="00744C06"/>
    <w:rsid w:val="00746290"/>
    <w:rsid w:val="00751283"/>
    <w:rsid w:val="007530D2"/>
    <w:rsid w:val="007543AE"/>
    <w:rsid w:val="00757DA8"/>
    <w:rsid w:val="00761712"/>
    <w:rsid w:val="007B3093"/>
    <w:rsid w:val="007B6A58"/>
    <w:rsid w:val="007D1613"/>
    <w:rsid w:val="007E5D32"/>
    <w:rsid w:val="007F0236"/>
    <w:rsid w:val="00815C8C"/>
    <w:rsid w:val="00822E82"/>
    <w:rsid w:val="008357BE"/>
    <w:rsid w:val="00842883"/>
    <w:rsid w:val="00843D2E"/>
    <w:rsid w:val="008463C1"/>
    <w:rsid w:val="00857A74"/>
    <w:rsid w:val="00857E7E"/>
    <w:rsid w:val="008649CE"/>
    <w:rsid w:val="00873EE5"/>
    <w:rsid w:val="00884077"/>
    <w:rsid w:val="00887D10"/>
    <w:rsid w:val="008A6543"/>
    <w:rsid w:val="008B2CC1"/>
    <w:rsid w:val="008B4B5E"/>
    <w:rsid w:val="008B60B2"/>
    <w:rsid w:val="008D014E"/>
    <w:rsid w:val="008D277F"/>
    <w:rsid w:val="0090062D"/>
    <w:rsid w:val="0090651A"/>
    <w:rsid w:val="0090731E"/>
    <w:rsid w:val="00916EE2"/>
    <w:rsid w:val="0092767C"/>
    <w:rsid w:val="0093386E"/>
    <w:rsid w:val="00945164"/>
    <w:rsid w:val="00954434"/>
    <w:rsid w:val="00964240"/>
    <w:rsid w:val="00966A22"/>
    <w:rsid w:val="0096722F"/>
    <w:rsid w:val="009769A0"/>
    <w:rsid w:val="00980843"/>
    <w:rsid w:val="009845FA"/>
    <w:rsid w:val="009A27C2"/>
    <w:rsid w:val="009A62AA"/>
    <w:rsid w:val="009A697F"/>
    <w:rsid w:val="009E2791"/>
    <w:rsid w:val="009E3F6F"/>
    <w:rsid w:val="009F3BF9"/>
    <w:rsid w:val="009F499F"/>
    <w:rsid w:val="00A05297"/>
    <w:rsid w:val="00A06F50"/>
    <w:rsid w:val="00A13498"/>
    <w:rsid w:val="00A23BD4"/>
    <w:rsid w:val="00A264CB"/>
    <w:rsid w:val="00A26A28"/>
    <w:rsid w:val="00A31D00"/>
    <w:rsid w:val="00A40BA8"/>
    <w:rsid w:val="00A42DAF"/>
    <w:rsid w:val="00A4421D"/>
    <w:rsid w:val="00A45BD8"/>
    <w:rsid w:val="00A51DBC"/>
    <w:rsid w:val="00A64DC6"/>
    <w:rsid w:val="00A71735"/>
    <w:rsid w:val="00A74E8D"/>
    <w:rsid w:val="00A778BF"/>
    <w:rsid w:val="00A85B8E"/>
    <w:rsid w:val="00A944A2"/>
    <w:rsid w:val="00A955C8"/>
    <w:rsid w:val="00AA5A55"/>
    <w:rsid w:val="00AA765A"/>
    <w:rsid w:val="00AB55EA"/>
    <w:rsid w:val="00AC0E78"/>
    <w:rsid w:val="00AC1888"/>
    <w:rsid w:val="00AC205C"/>
    <w:rsid w:val="00AC605F"/>
    <w:rsid w:val="00AD5E36"/>
    <w:rsid w:val="00AE3829"/>
    <w:rsid w:val="00AE77E5"/>
    <w:rsid w:val="00AF233F"/>
    <w:rsid w:val="00AF5C73"/>
    <w:rsid w:val="00B01C0F"/>
    <w:rsid w:val="00B02F9F"/>
    <w:rsid w:val="00B05A69"/>
    <w:rsid w:val="00B12981"/>
    <w:rsid w:val="00B1366E"/>
    <w:rsid w:val="00B351E6"/>
    <w:rsid w:val="00B40598"/>
    <w:rsid w:val="00B50B99"/>
    <w:rsid w:val="00B62CD9"/>
    <w:rsid w:val="00B71DE3"/>
    <w:rsid w:val="00B75ADF"/>
    <w:rsid w:val="00B86092"/>
    <w:rsid w:val="00B8730B"/>
    <w:rsid w:val="00B951CC"/>
    <w:rsid w:val="00B9734B"/>
    <w:rsid w:val="00BA0867"/>
    <w:rsid w:val="00BA7CCF"/>
    <w:rsid w:val="00BC3300"/>
    <w:rsid w:val="00BC6023"/>
    <w:rsid w:val="00BE64F6"/>
    <w:rsid w:val="00BE775E"/>
    <w:rsid w:val="00BF1044"/>
    <w:rsid w:val="00BF2415"/>
    <w:rsid w:val="00C00BCA"/>
    <w:rsid w:val="00C11BFE"/>
    <w:rsid w:val="00C26A72"/>
    <w:rsid w:val="00C3181B"/>
    <w:rsid w:val="00C31ECE"/>
    <w:rsid w:val="00C33112"/>
    <w:rsid w:val="00C35D44"/>
    <w:rsid w:val="00C37C90"/>
    <w:rsid w:val="00C40229"/>
    <w:rsid w:val="00C42225"/>
    <w:rsid w:val="00C448F6"/>
    <w:rsid w:val="00C46573"/>
    <w:rsid w:val="00C4717C"/>
    <w:rsid w:val="00C50262"/>
    <w:rsid w:val="00C57202"/>
    <w:rsid w:val="00C65F4D"/>
    <w:rsid w:val="00C760F7"/>
    <w:rsid w:val="00C91AB4"/>
    <w:rsid w:val="00C94629"/>
    <w:rsid w:val="00C96E81"/>
    <w:rsid w:val="00CB34B8"/>
    <w:rsid w:val="00CB375E"/>
    <w:rsid w:val="00CC11FB"/>
    <w:rsid w:val="00CC26FB"/>
    <w:rsid w:val="00CD3DFF"/>
    <w:rsid w:val="00CE2863"/>
    <w:rsid w:val="00CE5E6E"/>
    <w:rsid w:val="00CE65D4"/>
    <w:rsid w:val="00CF0A00"/>
    <w:rsid w:val="00D24841"/>
    <w:rsid w:val="00D26E95"/>
    <w:rsid w:val="00D3037D"/>
    <w:rsid w:val="00D30698"/>
    <w:rsid w:val="00D33053"/>
    <w:rsid w:val="00D45252"/>
    <w:rsid w:val="00D52F79"/>
    <w:rsid w:val="00D71B4D"/>
    <w:rsid w:val="00D740F2"/>
    <w:rsid w:val="00D93D55"/>
    <w:rsid w:val="00D97E80"/>
    <w:rsid w:val="00DA053C"/>
    <w:rsid w:val="00DA1DC3"/>
    <w:rsid w:val="00DB4DEF"/>
    <w:rsid w:val="00DB542A"/>
    <w:rsid w:val="00DC1E5F"/>
    <w:rsid w:val="00DD38CE"/>
    <w:rsid w:val="00DE307D"/>
    <w:rsid w:val="00DE45FE"/>
    <w:rsid w:val="00DE73A3"/>
    <w:rsid w:val="00DF26C0"/>
    <w:rsid w:val="00E061A9"/>
    <w:rsid w:val="00E063CE"/>
    <w:rsid w:val="00E070BF"/>
    <w:rsid w:val="00E10ADA"/>
    <w:rsid w:val="00E161A2"/>
    <w:rsid w:val="00E32E53"/>
    <w:rsid w:val="00E335FE"/>
    <w:rsid w:val="00E35ABE"/>
    <w:rsid w:val="00E5021F"/>
    <w:rsid w:val="00E671A6"/>
    <w:rsid w:val="00E83E1F"/>
    <w:rsid w:val="00E90B8B"/>
    <w:rsid w:val="00EC4E49"/>
    <w:rsid w:val="00ED55E6"/>
    <w:rsid w:val="00ED77FB"/>
    <w:rsid w:val="00EF43EB"/>
    <w:rsid w:val="00F021A6"/>
    <w:rsid w:val="00F11D94"/>
    <w:rsid w:val="00F162CC"/>
    <w:rsid w:val="00F36728"/>
    <w:rsid w:val="00F47DE5"/>
    <w:rsid w:val="00F55220"/>
    <w:rsid w:val="00F66152"/>
    <w:rsid w:val="00F73ECC"/>
    <w:rsid w:val="00F7671D"/>
    <w:rsid w:val="00F86CB6"/>
    <w:rsid w:val="00F871AB"/>
    <w:rsid w:val="00FA441D"/>
    <w:rsid w:val="00FA531C"/>
    <w:rsid w:val="00FB2738"/>
    <w:rsid w:val="00FD5AE2"/>
    <w:rsid w:val="00FE47FE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2A749"/>
  <w15:docId w15:val="{0E61FFD6-F799-4C20-B3E1-E3549B71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DE30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307D"/>
    <w:rPr>
      <w:color w:val="0000FF" w:themeColor="hyperlink"/>
      <w:u w:val="single"/>
    </w:rPr>
  </w:style>
  <w:style w:type="paragraph" w:customStyle="1" w:styleId="LegTitle">
    <w:name w:val="Leg # Title"/>
    <w:basedOn w:val="Normal"/>
    <w:next w:val="Normal"/>
    <w:rsid w:val="00DE307D"/>
    <w:pPr>
      <w:keepNext/>
      <w:keepLines/>
      <w:pageBreakBefore/>
      <w:spacing w:before="240" w:after="240" w:line="360" w:lineRule="auto"/>
      <w:jc w:val="center"/>
    </w:pPr>
    <w:rPr>
      <w:rFonts w:eastAsia="Times New Roman" w:cs="Times New Roman"/>
      <w:b/>
      <w:noProof/>
      <w:snapToGrid w:val="0"/>
      <w:lang w:eastAsia="en-US"/>
    </w:rPr>
  </w:style>
  <w:style w:type="paragraph" w:customStyle="1" w:styleId="LegSubRule">
    <w:name w:val="Leg SubRule #"/>
    <w:basedOn w:val="Normal"/>
    <w:rsid w:val="00DE307D"/>
    <w:pPr>
      <w:keepNext/>
      <w:keepLines/>
      <w:tabs>
        <w:tab w:val="left" w:pos="510"/>
      </w:tabs>
      <w:spacing w:before="119" w:after="240" w:line="360" w:lineRule="auto"/>
      <w:ind w:left="533" w:hanging="533"/>
    </w:pPr>
    <w:rPr>
      <w:rFonts w:eastAsia="Times New Roman" w:cs="Times New Roman"/>
      <w:noProof/>
      <w:snapToGrid w:val="0"/>
      <w:lang w:eastAsia="en-US"/>
    </w:rPr>
  </w:style>
  <w:style w:type="paragraph" w:customStyle="1" w:styleId="Lega">
    <w:name w:val="Leg (a)"/>
    <w:basedOn w:val="Normal"/>
    <w:rsid w:val="00DE307D"/>
    <w:pPr>
      <w:tabs>
        <w:tab w:val="left" w:pos="454"/>
      </w:tabs>
      <w:spacing w:before="119" w:after="240" w:line="360" w:lineRule="auto"/>
    </w:pPr>
    <w:rPr>
      <w:rFonts w:eastAsia="Times New Roman" w:cs="Times New Roman"/>
      <w:noProof/>
      <w:snapToGrid w:val="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E307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E307D"/>
    <w:pPr>
      <w:spacing w:after="100"/>
    </w:pPr>
  </w:style>
  <w:style w:type="character" w:styleId="LineNumber">
    <w:name w:val="line number"/>
    <w:basedOn w:val="DefaultParagraphFont"/>
    <w:semiHidden/>
    <w:unhideWhenUsed/>
    <w:rsid w:val="00645743"/>
  </w:style>
  <w:style w:type="paragraph" w:styleId="Revision">
    <w:name w:val="Revision"/>
    <w:hidden/>
    <w:uiPriority w:val="99"/>
    <w:semiHidden/>
    <w:rsid w:val="00372430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543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43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43A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543AE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A8AE-CDC3-40C9-A01B-D84F67A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1377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Citation of non-written disclosures</vt:lpstr>
      <vt:lpstr>Резюме</vt:lpstr>
      <vt:lpstr>справочная информация</vt:lpstr>
      <vt:lpstr>Предлагаемые изменения к правовой базе в части, касающейся неписьменных материал</vt:lpstr>
      <vt:lpstr>    Определение уровня техники</vt:lpstr>
      <vt:lpstr>    цитирование предшествующего уровня техники</vt:lpstr>
      <vt:lpstr>Дальнейшие направления работы</vt:lpstr>
      <vt:lpstr>Дальнейшие шаги</vt:lpstr>
      <vt:lpstr>33.1   Соответствующий уровень техники для целей международного поиска</vt:lpstr>
      <vt:lpstr>33.2 и 33.3   [Без изменений]</vt:lpstr>
      <vt:lpstr>64.1   Предшествующий уровень техники</vt:lpstr>
      <vt:lpstr>64.2 и 64.3   [Без изменений]</vt:lpstr>
    </vt:vector>
  </TitlesOfParts>
  <Company>WIPO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Citation of non-written disclosures</dc:title>
  <dc:subject>Citation of Non-Written Disclosure</dc:subject>
  <dc:creator>BONNET Jérôme</dc:creator>
  <cp:keywords>PUBLIC</cp:keywords>
  <cp:lastModifiedBy>MARLOW Thomas</cp:lastModifiedBy>
  <cp:revision>2</cp:revision>
  <cp:lastPrinted>2024-01-22T14:35:00Z</cp:lastPrinted>
  <dcterms:created xsi:type="dcterms:W3CDTF">2024-01-26T09:30:00Z</dcterms:created>
  <dcterms:modified xsi:type="dcterms:W3CDTF">2024-01-26T09:30:00Z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2023-12-13T09:48:21Z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0bf27739-8b3d-4d7e-ba90-ef8e3b8e5134</vt:lpwstr>
  </property>
  <property fmtid="{D5CDD505-2E9C-101B-9397-08002B2CF9AE}" pid="14" name="MSIP_Label_20773ee6-353b-4fb9-a59d-0b94c8c67bea_ContentBits">
    <vt:lpwstr>0</vt:lpwstr>
  </property>
</Properties>
</file>