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411C4" w:rsidTr="000E45C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411C4" w:rsidRDefault="00EC4E49" w:rsidP="002411C4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411C4" w:rsidRDefault="000E45C6" w:rsidP="002411C4">
            <w:pPr>
              <w:rPr>
                <w:lang w:val="ru-RU"/>
              </w:rPr>
            </w:pPr>
            <w:r w:rsidRPr="002411C4">
              <w:rPr>
                <w:noProof/>
                <w:lang w:eastAsia="en-US"/>
              </w:rPr>
              <w:drawing>
                <wp:inline distT="0" distB="0" distL="0" distR="0" wp14:anchorId="4336BDAF" wp14:editId="2617B539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411C4" w:rsidRDefault="0099385E" w:rsidP="002411C4">
            <w:pPr>
              <w:jc w:val="right"/>
              <w:rPr>
                <w:lang w:val="ru-RU"/>
              </w:rPr>
            </w:pPr>
            <w:r w:rsidRPr="002411C4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2411C4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411C4" w:rsidRDefault="00F960DD" w:rsidP="002411C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411C4">
              <w:rPr>
                <w:rFonts w:ascii="Arial Black" w:hAnsi="Arial Black"/>
                <w:caps/>
                <w:sz w:val="15"/>
                <w:lang w:val="ru-RU"/>
              </w:rPr>
              <w:t>PCT/WG/11/</w:t>
            </w:r>
            <w:bookmarkStart w:id="1" w:name="Code"/>
            <w:bookmarkEnd w:id="1"/>
            <w:r w:rsidR="00EA46F9" w:rsidRPr="002411C4">
              <w:rPr>
                <w:rFonts w:ascii="Arial Black" w:hAnsi="Arial Black"/>
                <w:caps/>
                <w:sz w:val="15"/>
                <w:lang w:val="ru-RU"/>
              </w:rPr>
              <w:t>9</w:t>
            </w:r>
          </w:p>
        </w:tc>
      </w:tr>
      <w:tr w:rsidR="000E45C6" w:rsidRPr="002411C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E45C6" w:rsidRPr="002411C4" w:rsidRDefault="000E45C6" w:rsidP="002411C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411C4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0E45C6" w:rsidRPr="002411C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E45C6" w:rsidRPr="002411C4" w:rsidRDefault="000E45C6" w:rsidP="002411C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411C4">
              <w:rPr>
                <w:rFonts w:ascii="Arial Black" w:hAnsi="Arial Black"/>
                <w:caps/>
                <w:sz w:val="15"/>
                <w:lang w:val="ru-RU"/>
              </w:rPr>
              <w:t>ДАТА: 18 апреля 2018 г.</w:t>
            </w:r>
          </w:p>
        </w:tc>
      </w:tr>
    </w:tbl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0E45C6" w:rsidP="002411C4">
      <w:pPr>
        <w:rPr>
          <w:b/>
          <w:sz w:val="28"/>
          <w:szCs w:val="28"/>
          <w:lang w:val="ru-RU"/>
        </w:rPr>
      </w:pPr>
      <w:r w:rsidRPr="002411C4">
        <w:rPr>
          <w:b/>
          <w:sz w:val="28"/>
          <w:szCs w:val="28"/>
          <w:lang w:val="ru-RU"/>
        </w:rPr>
        <w:t xml:space="preserve">Рабочая группа по </w:t>
      </w:r>
    </w:p>
    <w:p w:rsidR="00712676" w:rsidRPr="002411C4" w:rsidRDefault="000E45C6" w:rsidP="002411C4">
      <w:pPr>
        <w:rPr>
          <w:b/>
          <w:sz w:val="28"/>
          <w:szCs w:val="28"/>
          <w:lang w:val="ru-RU"/>
        </w:rPr>
      </w:pPr>
      <w:r w:rsidRPr="002411C4">
        <w:rPr>
          <w:b/>
          <w:sz w:val="28"/>
          <w:szCs w:val="28"/>
          <w:lang w:val="ru-RU"/>
        </w:rPr>
        <w:t>Договору о патентной кооперации (PCT)</w:t>
      </w: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0E45C6" w:rsidP="002411C4">
      <w:pPr>
        <w:rPr>
          <w:b/>
          <w:sz w:val="24"/>
          <w:szCs w:val="24"/>
          <w:lang w:val="ru-RU"/>
        </w:rPr>
      </w:pPr>
      <w:r w:rsidRPr="002411C4">
        <w:rPr>
          <w:b/>
          <w:sz w:val="24"/>
          <w:szCs w:val="24"/>
          <w:lang w:val="ru-RU"/>
        </w:rPr>
        <w:t>Одиннадцатая сессия</w:t>
      </w:r>
    </w:p>
    <w:p w:rsidR="00712676" w:rsidRPr="002411C4" w:rsidRDefault="000E45C6" w:rsidP="002411C4">
      <w:pPr>
        <w:rPr>
          <w:b/>
          <w:sz w:val="24"/>
          <w:szCs w:val="24"/>
          <w:lang w:val="ru-RU"/>
        </w:rPr>
      </w:pPr>
      <w:r w:rsidRPr="002411C4">
        <w:rPr>
          <w:b/>
          <w:sz w:val="24"/>
          <w:szCs w:val="24"/>
          <w:lang w:val="ru-RU"/>
        </w:rPr>
        <w:t xml:space="preserve">Женева, 18 – 22 июня 2018 г. </w:t>
      </w: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3470F4" w:rsidP="002411C4">
      <w:pPr>
        <w:rPr>
          <w:caps/>
          <w:sz w:val="24"/>
          <w:lang w:val="ru-RU"/>
        </w:rPr>
      </w:pPr>
      <w:bookmarkStart w:id="2" w:name="TitleOfDoc"/>
      <w:bookmarkEnd w:id="2"/>
      <w:r w:rsidRPr="002411C4">
        <w:rPr>
          <w:caps/>
          <w:sz w:val="24"/>
          <w:lang w:val="ru-RU"/>
        </w:rPr>
        <w:t xml:space="preserve">Онлайн-сервисы PCT </w:t>
      </w: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3470F4" w:rsidP="002411C4">
      <w:pPr>
        <w:rPr>
          <w:i/>
          <w:lang w:val="ru-RU"/>
        </w:rPr>
      </w:pPr>
      <w:bookmarkStart w:id="3" w:name="Prepared"/>
      <w:bookmarkEnd w:id="3"/>
      <w:r w:rsidRPr="002411C4">
        <w:rPr>
          <w:i/>
          <w:lang w:val="ru-RU"/>
        </w:rPr>
        <w:t>Документ подготовлен Международным бюро</w:t>
      </w: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712676" w:rsidP="002411C4">
      <w:pPr>
        <w:rPr>
          <w:lang w:val="ru-RU"/>
        </w:rPr>
      </w:pPr>
    </w:p>
    <w:p w:rsidR="00712676" w:rsidRPr="002411C4" w:rsidRDefault="003470F4" w:rsidP="002411C4">
      <w:pPr>
        <w:pStyle w:val="Heading1"/>
        <w:keepNext w:val="0"/>
        <w:spacing w:before="0" w:after="120"/>
        <w:rPr>
          <w:szCs w:val="22"/>
          <w:lang w:val="ru-RU"/>
        </w:rPr>
      </w:pPr>
      <w:r w:rsidRPr="002411C4">
        <w:rPr>
          <w:szCs w:val="22"/>
          <w:lang w:val="ru-RU"/>
        </w:rPr>
        <w:t>РЕЗЮМЕ</w:t>
      </w:r>
    </w:p>
    <w:p w:rsidR="00712676" w:rsidRDefault="003470F4" w:rsidP="002411C4">
      <w:pPr>
        <w:pStyle w:val="ONUME"/>
        <w:spacing w:after="0"/>
        <w:rPr>
          <w:lang w:val="ru-RU"/>
        </w:rPr>
      </w:pPr>
      <w:r w:rsidRPr="002411C4">
        <w:rPr>
          <w:szCs w:val="22"/>
          <w:lang w:val="ru-RU"/>
        </w:rPr>
        <w:t xml:space="preserve">Онлайн-сервисы </w:t>
      </w:r>
      <w:r w:rsidR="007535CD" w:rsidRPr="002411C4">
        <w:rPr>
          <w:szCs w:val="22"/>
          <w:lang w:val="ru-RU"/>
        </w:rPr>
        <w:t xml:space="preserve">PCT </w:t>
      </w:r>
      <w:r w:rsidR="00316416" w:rsidRPr="002411C4">
        <w:rPr>
          <w:szCs w:val="22"/>
          <w:lang w:val="ru-RU"/>
        </w:rPr>
        <w:t xml:space="preserve">надежно функционируют и охватывают подавляющее большинство операций, производимых ведомствами с документами.  Для </w:t>
      </w:r>
      <w:r w:rsidR="00566B16" w:rsidRPr="002411C4">
        <w:rPr>
          <w:szCs w:val="22"/>
          <w:lang w:val="ru-RU"/>
        </w:rPr>
        <w:t xml:space="preserve">достижения </w:t>
      </w:r>
      <w:r w:rsidR="00316416" w:rsidRPr="002411C4">
        <w:rPr>
          <w:szCs w:val="22"/>
          <w:lang w:val="ru-RU"/>
        </w:rPr>
        <w:t xml:space="preserve">дальнейших значительных усовершенствований необходимо перейти от пересылки изображений традиционных бланков на бумаге к последовательной передаче </w:t>
      </w:r>
      <w:r w:rsidR="00E20DCA">
        <w:rPr>
          <w:szCs w:val="22"/>
          <w:lang w:val="ru-RU"/>
        </w:rPr>
        <w:t xml:space="preserve">надежно </w:t>
      </w:r>
      <w:r w:rsidR="00316416" w:rsidRPr="002411C4">
        <w:rPr>
          <w:szCs w:val="22"/>
          <w:lang w:val="ru-RU"/>
        </w:rPr>
        <w:t>обмениваемых и</w:t>
      </w:r>
      <w:r w:rsidR="00566B16" w:rsidRPr="002411C4">
        <w:rPr>
          <w:szCs w:val="22"/>
          <w:lang w:val="ru-RU"/>
        </w:rPr>
        <w:t xml:space="preserve"> напрямую обрабатываемых данных, что должно обеспечить </w:t>
      </w:r>
      <w:r w:rsidR="00E20DCA">
        <w:rPr>
          <w:szCs w:val="22"/>
          <w:lang w:val="ru-RU"/>
        </w:rPr>
        <w:t xml:space="preserve">сокращение </w:t>
      </w:r>
      <w:r w:rsidR="00566B16" w:rsidRPr="002411C4">
        <w:rPr>
          <w:szCs w:val="22"/>
          <w:lang w:val="ru-RU"/>
        </w:rPr>
        <w:t>задерж</w:t>
      </w:r>
      <w:r w:rsidR="00E20DCA">
        <w:rPr>
          <w:szCs w:val="22"/>
          <w:lang w:val="ru-RU"/>
        </w:rPr>
        <w:t>е</w:t>
      </w:r>
      <w:r w:rsidR="00566B16" w:rsidRPr="002411C4">
        <w:rPr>
          <w:szCs w:val="22"/>
          <w:lang w:val="ru-RU"/>
        </w:rPr>
        <w:t>к</w:t>
      </w:r>
      <w:r w:rsidR="00E20DCA">
        <w:rPr>
          <w:szCs w:val="22"/>
          <w:lang w:val="ru-RU"/>
        </w:rPr>
        <w:t xml:space="preserve">, связанных </w:t>
      </w:r>
      <w:r w:rsidR="00566B16" w:rsidRPr="002411C4">
        <w:rPr>
          <w:szCs w:val="22"/>
          <w:lang w:val="ru-RU"/>
        </w:rPr>
        <w:t>с пакетной обработкой через большие промежутки времени</w:t>
      </w:r>
      <w:r w:rsidR="007535CD" w:rsidRPr="002411C4">
        <w:rPr>
          <w:lang w:val="ru-RU"/>
        </w:rPr>
        <w:t>.</w:t>
      </w:r>
    </w:p>
    <w:p w:rsidR="00E20DCA" w:rsidRPr="002411C4" w:rsidRDefault="00E20DCA" w:rsidP="00E20DCA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712676" w:rsidRPr="002411C4" w:rsidRDefault="00566B16" w:rsidP="002411C4">
      <w:pPr>
        <w:pStyle w:val="ONUME"/>
        <w:rPr>
          <w:lang w:val="ru-RU"/>
        </w:rPr>
      </w:pPr>
      <w:r w:rsidRPr="002411C4">
        <w:rPr>
          <w:lang w:val="ru-RU"/>
        </w:rPr>
        <w:t>В числе текущих приоритетов определены следующие</w:t>
      </w:r>
      <w:r w:rsidR="007535CD" w:rsidRPr="002411C4">
        <w:rPr>
          <w:lang w:val="ru-RU"/>
        </w:rPr>
        <w:t>:</w:t>
      </w:r>
      <w:r w:rsidRPr="002411C4">
        <w:rPr>
          <w:lang w:val="ru-RU"/>
        </w:rPr>
        <w:t xml:space="preserve"> </w:t>
      </w:r>
    </w:p>
    <w:p w:rsidR="00712676" w:rsidRPr="002411C4" w:rsidRDefault="008C7327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эффективная полнотекстовая обработка с признанием формата Office Open XML (DOCX) в качестве одного из основных форматов для составления документов</w:t>
      </w:r>
      <w:r w:rsidR="007535CD" w:rsidRPr="002411C4">
        <w:rPr>
          <w:lang w:val="ru-RU"/>
        </w:rPr>
        <w:t>;</w:t>
      </w:r>
      <w:r w:rsidRPr="002411C4">
        <w:rPr>
          <w:lang w:val="ru-RU"/>
        </w:rPr>
        <w:t xml:space="preserve"> </w:t>
      </w:r>
    </w:p>
    <w:p w:rsidR="00712676" w:rsidRPr="002411C4" w:rsidRDefault="008C7327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более широкое и более эффективное использование формата XML для основных документов и данных, в особенности для отчетов о международном поиске, письменных сообщений и связанных с ними документов</w:t>
      </w:r>
      <w:r w:rsidR="007535CD" w:rsidRPr="002411C4">
        <w:rPr>
          <w:lang w:val="ru-RU"/>
        </w:rPr>
        <w:t>;</w:t>
      </w:r>
    </w:p>
    <w:p w:rsidR="00712676" w:rsidRPr="002411C4" w:rsidRDefault="008C7327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 xml:space="preserve">улучшение доступных ведомствам функций ePCT, </w:t>
      </w:r>
      <w:r w:rsidR="00E20DCA">
        <w:rPr>
          <w:lang w:val="ru-RU"/>
        </w:rPr>
        <w:t xml:space="preserve">в частности </w:t>
      </w:r>
      <w:r w:rsidRPr="002411C4">
        <w:rPr>
          <w:lang w:val="ru-RU"/>
        </w:rPr>
        <w:t>внедрение функции «документооборот» с возможностью распределения задач среди отдельных сотрудников крупных подразделений</w:t>
      </w:r>
      <w:r w:rsidR="006B20C6" w:rsidRPr="002411C4">
        <w:rPr>
          <w:lang w:val="ru-RU"/>
        </w:rPr>
        <w:t>;</w:t>
      </w:r>
    </w:p>
    <w:p w:rsidR="00712676" w:rsidRPr="002411C4" w:rsidRDefault="002430F9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эффективное использование общих инструментов и процедур в целях минимизации дублирования усилий в рамках дальнейшего развития систем и отклонений от ключевых информационных стандартов</w:t>
      </w:r>
      <w:r w:rsidR="007535CD" w:rsidRPr="002411C4">
        <w:rPr>
          <w:lang w:val="ru-RU"/>
        </w:rPr>
        <w:t>;</w:t>
      </w:r>
    </w:p>
    <w:p w:rsidR="00712676" w:rsidRPr="002411C4" w:rsidRDefault="002430F9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использование надежных интернет-сервисов для межмашинного обмена данными</w:t>
      </w:r>
      <w:r w:rsidR="007535CD" w:rsidRPr="002411C4">
        <w:rPr>
          <w:lang w:val="ru-RU"/>
        </w:rPr>
        <w:t>;</w:t>
      </w:r>
      <w:r w:rsidRPr="002411C4">
        <w:rPr>
          <w:lang w:val="ru-RU"/>
        </w:rPr>
        <w:t xml:space="preserve"> </w:t>
      </w:r>
    </w:p>
    <w:p w:rsidR="00712676" w:rsidRPr="002411C4" w:rsidRDefault="002430F9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lastRenderedPageBreak/>
        <w:t>повышение качества информации на национальной фазе</w:t>
      </w:r>
      <w:r w:rsidR="007535CD" w:rsidRPr="002411C4">
        <w:rPr>
          <w:lang w:val="ru-RU"/>
        </w:rPr>
        <w:t>.</w:t>
      </w:r>
      <w:r w:rsidRPr="002411C4">
        <w:rPr>
          <w:lang w:val="ru-RU"/>
        </w:rPr>
        <w:t xml:space="preserve"> </w:t>
      </w:r>
    </w:p>
    <w:p w:rsidR="00712676" w:rsidRPr="002411C4" w:rsidRDefault="006375A6" w:rsidP="002411C4">
      <w:pPr>
        <w:pStyle w:val="Heading1"/>
        <w:keepNext w:val="0"/>
        <w:rPr>
          <w:lang w:val="ru-RU"/>
        </w:rPr>
      </w:pPr>
      <w:r w:rsidRPr="002411C4">
        <w:rPr>
          <w:lang w:val="ru-RU"/>
        </w:rPr>
        <w:t xml:space="preserve">СТАТУС ОСНОВНЫХ ОНЛАЙН-СЕРВИСОВ </w:t>
      </w:r>
    </w:p>
    <w:p w:rsidR="00712676" w:rsidRPr="002411C4" w:rsidRDefault="007535CD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>ePCT</w:t>
      </w:r>
    </w:p>
    <w:p w:rsidR="00712676" w:rsidRPr="002411C4" w:rsidRDefault="006375A6" w:rsidP="002411C4">
      <w:pPr>
        <w:pStyle w:val="ONUME"/>
        <w:rPr>
          <w:lang w:val="ru-RU"/>
        </w:rPr>
      </w:pPr>
      <w:r w:rsidRPr="002411C4">
        <w:rPr>
          <w:lang w:val="ru-RU"/>
        </w:rPr>
        <w:t>Система ePCT, работающая на базе браузера, в настоящее время является стабильным программным комплексом</w:t>
      </w:r>
      <w:r w:rsidR="007535CD" w:rsidRPr="002411C4">
        <w:rPr>
          <w:lang w:val="ru-RU"/>
        </w:rPr>
        <w:t xml:space="preserve">, </w:t>
      </w:r>
      <w:r w:rsidRPr="002411C4">
        <w:rPr>
          <w:lang w:val="ru-RU"/>
        </w:rPr>
        <w:t>используемым для оказания услуг заявителям, ведомствам и третьим сторонам</w:t>
      </w:r>
      <w:r w:rsidR="007535CD" w:rsidRPr="002411C4">
        <w:rPr>
          <w:lang w:val="ru-RU"/>
        </w:rPr>
        <w:t xml:space="preserve">.  </w:t>
      </w:r>
      <w:r w:rsidRPr="002411C4">
        <w:rPr>
          <w:lang w:val="ru-RU"/>
        </w:rPr>
        <w:t>За время, прошедшее после предыдущей сессии Рабочей группы, был</w:t>
      </w:r>
      <w:r w:rsidR="00E20DCA">
        <w:rPr>
          <w:lang w:val="ru-RU"/>
        </w:rPr>
        <w:t xml:space="preserve">и реализованы многочисленные небольшие функциональные усовершенствования </w:t>
      </w:r>
      <w:r w:rsidRPr="002411C4">
        <w:rPr>
          <w:lang w:val="ru-RU"/>
        </w:rPr>
        <w:t>для удобства как заявителей, так и ведомств</w:t>
      </w:r>
      <w:r w:rsidR="007535CD" w:rsidRPr="002411C4">
        <w:rPr>
          <w:lang w:val="ru-RU"/>
        </w:rPr>
        <w:t>.</w:t>
      </w:r>
    </w:p>
    <w:p w:rsidR="00712676" w:rsidRPr="002411C4" w:rsidRDefault="0040290B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В системе ePCT был значительно расширен географический охват электронными услугами.  На начало 2010 г. полностью электронная подача была доступна только в 21 получающем ведомстве (ПВ).  К концу 2017 г. полностью электронная подача в рамках системы ePCT была доступна в 53 получающих ведомствах во всем мире, и на ее долю приходилось свыше 64 процентов всех международных заявок, поданных в получающие ведомства, в которых электронная подача не была доступна в 2010 г.  </w:t>
      </w:r>
      <w:r w:rsidR="00123383" w:rsidRPr="002411C4">
        <w:rPr>
          <w:lang w:val="ru-RU"/>
        </w:rPr>
        <w:t xml:space="preserve">Документы, представляемые после подачи заявки, </w:t>
      </w:r>
      <w:r w:rsidR="00FD5FCA" w:rsidRPr="002411C4">
        <w:rPr>
          <w:lang w:val="ru-RU"/>
        </w:rPr>
        <w:t>могут загружаться в систему ePCT для доставки в 64 ведомства в качестве получающих ведомств или международных поисковых органов и органов международной предварительной экспертизы (МПО и ОМПЭ</w:t>
      </w:r>
      <w:r w:rsidR="007535CD" w:rsidRPr="002411C4">
        <w:rPr>
          <w:lang w:val="ru-RU"/>
        </w:rPr>
        <w:t>).</w:t>
      </w:r>
    </w:p>
    <w:p w:rsidR="00712676" w:rsidRPr="002411C4" w:rsidRDefault="00FD5FCA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В настоящее время доступом к </w:t>
      </w:r>
      <w:r w:rsidR="00E20DCA" w:rsidRPr="002411C4">
        <w:rPr>
          <w:lang w:val="ru-RU"/>
        </w:rPr>
        <w:t>сервис</w:t>
      </w:r>
      <w:r w:rsidR="00E20DCA">
        <w:rPr>
          <w:lang w:val="ru-RU"/>
        </w:rPr>
        <w:t xml:space="preserve">ам </w:t>
      </w:r>
      <w:r w:rsidRPr="002411C4">
        <w:rPr>
          <w:lang w:val="ru-RU"/>
        </w:rPr>
        <w:t>ePCT</w:t>
      </w:r>
      <w:r w:rsidR="00E20DCA">
        <w:rPr>
          <w:lang w:val="ru-RU"/>
        </w:rPr>
        <w:t xml:space="preserve"> для ведомств, действующих </w:t>
      </w:r>
      <w:r w:rsidRPr="002411C4">
        <w:rPr>
          <w:lang w:val="ru-RU"/>
        </w:rPr>
        <w:t>в качестве ПВ, МПО или указанных или назначенных ве</w:t>
      </w:r>
      <w:r w:rsidR="00E20DCA">
        <w:rPr>
          <w:lang w:val="ru-RU"/>
        </w:rPr>
        <w:t xml:space="preserve">домств, </w:t>
      </w:r>
      <w:r w:rsidRPr="002411C4">
        <w:rPr>
          <w:lang w:val="ru-RU"/>
        </w:rPr>
        <w:t xml:space="preserve">пользуются 76 ведомств.  Более 50 из </w:t>
      </w:r>
      <w:r w:rsidR="00E20DCA">
        <w:rPr>
          <w:lang w:val="ru-RU"/>
        </w:rPr>
        <w:t xml:space="preserve">них </w:t>
      </w:r>
      <w:r w:rsidRPr="002411C4">
        <w:rPr>
          <w:lang w:val="ru-RU"/>
        </w:rPr>
        <w:t>используют в качестве основного инструмента обработки международных заявок при выполнении функции получающ</w:t>
      </w:r>
      <w:r w:rsidR="00E20DCA">
        <w:rPr>
          <w:lang w:val="ru-RU"/>
        </w:rPr>
        <w:t xml:space="preserve">его ведомства </w:t>
      </w:r>
      <w:r w:rsidRPr="002411C4">
        <w:rPr>
          <w:lang w:val="ru-RU"/>
        </w:rPr>
        <w:t xml:space="preserve">сервисы для ведомств на базе браузера.  В пяти ведомствах назначены пользователи с правами администраторов, которые могут </w:t>
      </w:r>
      <w:r w:rsidR="00D960B2" w:rsidRPr="002411C4">
        <w:rPr>
          <w:lang w:val="ru-RU"/>
        </w:rPr>
        <w:t>управлять правами доступа своих сотрудников напрямую, без участия Международного бюро</w:t>
      </w:r>
      <w:r w:rsidR="007535CD" w:rsidRPr="002411C4">
        <w:rPr>
          <w:lang w:val="ru-RU"/>
        </w:rPr>
        <w:t>.</w:t>
      </w:r>
      <w:r w:rsidR="00D960B2" w:rsidRPr="002411C4">
        <w:rPr>
          <w:lang w:val="ru-RU"/>
        </w:rPr>
        <w:t xml:space="preserve"> </w:t>
      </w:r>
    </w:p>
    <w:p w:rsidR="00712676" w:rsidRPr="00603A00" w:rsidRDefault="00055613" w:rsidP="002411C4">
      <w:pPr>
        <w:pStyle w:val="ONUME"/>
        <w:rPr>
          <w:lang w:val="ru-RU"/>
        </w:rPr>
      </w:pPr>
      <w:r w:rsidRPr="00603A00">
        <w:rPr>
          <w:lang w:val="ru-RU"/>
        </w:rPr>
        <w:t xml:space="preserve">В настоящее время </w:t>
      </w:r>
      <w:r w:rsidR="00E20DCA" w:rsidRPr="00603A00">
        <w:rPr>
          <w:lang w:val="ru-RU"/>
        </w:rPr>
        <w:t>с участием ведомств и заявителей проводятся мелкомасштабные испытания в реальных условиях</w:t>
      </w:r>
      <w:r w:rsidR="00D56793" w:rsidRPr="00603A00">
        <w:rPr>
          <w:lang w:val="ru-RU"/>
        </w:rPr>
        <w:t xml:space="preserve"> с использованием нескольких надежных интернет-сервисов</w:t>
      </w:r>
      <w:r w:rsidR="00603A00" w:rsidRPr="00603A00">
        <w:rPr>
          <w:lang w:val="ru-RU"/>
        </w:rPr>
        <w:t xml:space="preserve">, </w:t>
      </w:r>
      <w:r w:rsidR="00412510" w:rsidRPr="00603A00">
        <w:rPr>
          <w:lang w:val="ru-RU"/>
        </w:rPr>
        <w:t>целью которых является межмашинная автоматизация в режиме почти реального времени ряда сервисов, эквивалентных тем, которые доступны на базе браузера.  С участием нескольких получающих ведомств также осуществляются пилотные проекты для изучения возможности встраивания сервисов ePCT в онлайновые порталы национальных ведомств, что позволит этим ведомствам сократить затраты на развитие и обслуживание систем и будет гарантировать полное соответствие существующим правилам и стандартам PCT при сохранении полного контроля над данными в рамках портала, интегрированного с национальным порталом, предназначенным для национальных сервисов</w:t>
      </w:r>
      <w:r w:rsidR="007535CD" w:rsidRPr="00603A00">
        <w:rPr>
          <w:lang w:val="ru-RU"/>
        </w:rPr>
        <w:t>.</w:t>
      </w:r>
      <w:r w:rsidR="00412510" w:rsidRPr="00603A00">
        <w:rPr>
          <w:lang w:val="ru-RU"/>
        </w:rPr>
        <w:t xml:space="preserve"> </w:t>
      </w:r>
    </w:p>
    <w:p w:rsidR="00712676" w:rsidRPr="002411C4" w:rsidRDefault="007535CD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>eSearchCopy</w:t>
      </w:r>
    </w:p>
    <w:p w:rsidR="00712676" w:rsidRPr="002411C4" w:rsidRDefault="007B5B01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Сервис eSearchCopy в настоящее время используется в 161 из 370 возможных пар ПВ и МПО, когда данные роли не выполняются одним и тем же ведомством.  На </w:t>
      </w:r>
      <w:r w:rsidR="00C340E2" w:rsidRPr="002411C4">
        <w:rPr>
          <w:lang w:val="ru-RU"/>
        </w:rPr>
        <w:t xml:space="preserve">этот сервис </w:t>
      </w:r>
      <w:r w:rsidRPr="002411C4">
        <w:rPr>
          <w:lang w:val="ru-RU"/>
        </w:rPr>
        <w:t xml:space="preserve">приходится почти 50 процентов всех копий для поиска, пересылаемых между ведомствами.  Еще 40 процентов копий для поиска пересылается между ведомствами с использованием ранее созданных двусторонних онлайновых сервисов (которые </w:t>
      </w:r>
      <w:r w:rsidR="00C340E2" w:rsidRPr="002411C4">
        <w:rPr>
          <w:lang w:val="ru-RU"/>
        </w:rPr>
        <w:t xml:space="preserve">в течение 2018 г. </w:t>
      </w:r>
      <w:r w:rsidRPr="002411C4">
        <w:rPr>
          <w:lang w:val="ru-RU"/>
        </w:rPr>
        <w:t xml:space="preserve">предполагается перевести </w:t>
      </w:r>
      <w:r w:rsidR="00C340E2" w:rsidRPr="002411C4">
        <w:rPr>
          <w:lang w:val="ru-RU"/>
        </w:rPr>
        <w:t>в систему eSearchCopy).  Таким образом, только около 10 процентов копий для поиска по-прежнему пересылается между ведомствами по почте (причем часть этих документов пересылается на дисках, что, по крайней мере, устраняет необходимость в их сканировании</w:t>
      </w:r>
      <w:r w:rsidR="007535CD" w:rsidRPr="002411C4">
        <w:rPr>
          <w:lang w:val="ru-RU"/>
        </w:rPr>
        <w:t>).</w:t>
      </w:r>
      <w:r w:rsidR="00C340E2" w:rsidRPr="002411C4">
        <w:rPr>
          <w:lang w:val="ru-RU"/>
        </w:rPr>
        <w:t xml:space="preserve"> </w:t>
      </w:r>
    </w:p>
    <w:p w:rsidR="00712676" w:rsidRPr="002411C4" w:rsidRDefault="009E4020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Сервис </w:t>
      </w:r>
      <w:r w:rsidR="00640B53" w:rsidRPr="002411C4">
        <w:rPr>
          <w:lang w:val="ru-RU"/>
        </w:rPr>
        <w:t xml:space="preserve">eSearchCopy </w:t>
      </w:r>
      <w:r w:rsidRPr="002411C4">
        <w:rPr>
          <w:lang w:val="ru-RU"/>
        </w:rPr>
        <w:t xml:space="preserve">в настоящее время предоставляет возможность пересылки документов из получающего ведомства Международного бюро во все МПО, кроме двух, которые тестируют новую систему параллельно с применением старой системы.  Как </w:t>
      </w:r>
      <w:r w:rsidRPr="002411C4">
        <w:rPr>
          <w:lang w:val="ru-RU"/>
        </w:rPr>
        <w:lastRenderedPageBreak/>
        <w:t>только завершится переход на новую систему этих двух ведомств, Международное бюро сможет вывести из эксплуатации одну из своих старых систем, что облегчит оказание всего комплекса услуг.  В случае семи МПО система eSearchCopy позволяет получать копии для поиска от всех других получающих ведомств, для которых они являются компете</w:t>
      </w:r>
      <w:r w:rsidR="00774B72" w:rsidRPr="002411C4">
        <w:rPr>
          <w:lang w:val="ru-RU"/>
        </w:rPr>
        <w:t>нтными МП</w:t>
      </w:r>
      <w:r w:rsidRPr="002411C4">
        <w:rPr>
          <w:lang w:val="ru-RU"/>
        </w:rPr>
        <w:t xml:space="preserve">О.  </w:t>
      </w:r>
      <w:r w:rsidR="00774B72" w:rsidRPr="002411C4">
        <w:rPr>
          <w:lang w:val="ru-RU"/>
        </w:rPr>
        <w:t xml:space="preserve">В случае еще восьми МПО сервис работает для всех процедур подачи, фактически использованных заявителями в 2017 г., и пересылка бланков на бумаге сохраняется в принципе только для исключительно редко используемых опций.  </w:t>
      </w:r>
      <w:r w:rsidR="00350ADC" w:rsidRPr="002411C4">
        <w:rPr>
          <w:lang w:val="ru-RU"/>
        </w:rPr>
        <w:t xml:space="preserve">Из </w:t>
      </w:r>
      <w:r w:rsidR="00774B72" w:rsidRPr="002411C4">
        <w:rPr>
          <w:lang w:val="ru-RU"/>
        </w:rPr>
        <w:t xml:space="preserve">общего числа МПО </w:t>
      </w:r>
      <w:r w:rsidR="00350ADC" w:rsidRPr="002411C4">
        <w:rPr>
          <w:lang w:val="ru-RU"/>
        </w:rPr>
        <w:t xml:space="preserve">только три </w:t>
      </w:r>
      <w:r w:rsidR="00774B72" w:rsidRPr="002411C4">
        <w:rPr>
          <w:lang w:val="ru-RU"/>
        </w:rPr>
        <w:t>(</w:t>
      </w:r>
      <w:r w:rsidR="00D01123" w:rsidRPr="002411C4">
        <w:rPr>
          <w:lang w:val="ru-RU"/>
        </w:rPr>
        <w:t xml:space="preserve">ЕС, России и США) </w:t>
      </w:r>
      <w:r w:rsidR="00182876" w:rsidRPr="002411C4">
        <w:rPr>
          <w:lang w:val="ru-RU"/>
        </w:rPr>
        <w:t xml:space="preserve">являются компетентными ведомствами для </w:t>
      </w:r>
      <w:r w:rsidR="00D01123" w:rsidRPr="002411C4">
        <w:rPr>
          <w:lang w:val="ru-RU"/>
        </w:rPr>
        <w:t>ПВ, которы</w:t>
      </w:r>
      <w:r w:rsidR="00182876" w:rsidRPr="002411C4">
        <w:rPr>
          <w:lang w:val="ru-RU"/>
        </w:rPr>
        <w:t>е</w:t>
      </w:r>
      <w:r w:rsidR="00D01123" w:rsidRPr="002411C4">
        <w:rPr>
          <w:lang w:val="ru-RU"/>
        </w:rPr>
        <w:t xml:space="preserve"> не пересылают </w:t>
      </w:r>
      <w:r w:rsidR="00182876" w:rsidRPr="002411C4">
        <w:rPr>
          <w:lang w:val="ru-RU"/>
        </w:rPr>
        <w:t xml:space="preserve">им </w:t>
      </w:r>
      <w:r w:rsidR="00D01123" w:rsidRPr="002411C4">
        <w:rPr>
          <w:lang w:val="ru-RU"/>
        </w:rPr>
        <w:t>копии для поиска через eSearchCopy</w:t>
      </w:r>
      <w:r w:rsidR="00182876" w:rsidRPr="002411C4">
        <w:rPr>
          <w:lang w:val="ru-RU"/>
        </w:rPr>
        <w:t xml:space="preserve">, из чего следует, что </w:t>
      </w:r>
      <w:r w:rsidR="00350ADC" w:rsidRPr="002411C4">
        <w:rPr>
          <w:lang w:val="ru-RU"/>
        </w:rPr>
        <w:t xml:space="preserve">данные МПО </w:t>
      </w:r>
      <w:r w:rsidR="00182876" w:rsidRPr="002411C4">
        <w:rPr>
          <w:lang w:val="ru-RU"/>
        </w:rPr>
        <w:t xml:space="preserve">должны получать не менее 50 копий для поиска на бумаге в год.  </w:t>
      </w:r>
      <w:r w:rsidR="00350ADC" w:rsidRPr="002411C4">
        <w:rPr>
          <w:lang w:val="ru-RU"/>
        </w:rPr>
        <w:t>Таким образом, в настоящее время большинство МПО могут использовать функцию автоматической загрузки большей части, если не всех копий для поиска в едином согласованном формате</w:t>
      </w:r>
      <w:r w:rsidR="007535CD" w:rsidRPr="002411C4">
        <w:rPr>
          <w:lang w:val="ru-RU"/>
        </w:rPr>
        <w:t>.</w:t>
      </w:r>
      <w:r w:rsidR="00350ADC" w:rsidRPr="002411C4">
        <w:rPr>
          <w:lang w:val="ru-RU"/>
        </w:rPr>
        <w:t xml:space="preserve"> </w:t>
      </w:r>
    </w:p>
    <w:p w:rsidR="00712676" w:rsidRPr="002411C4" w:rsidRDefault="007535CD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>DAS</w:t>
      </w:r>
    </w:p>
    <w:p w:rsidR="00712676" w:rsidRPr="002411C4" w:rsidRDefault="00A777A7" w:rsidP="002411C4">
      <w:pPr>
        <w:pStyle w:val="ONUME"/>
        <w:rPr>
          <w:lang w:val="ru-RU"/>
        </w:rPr>
      </w:pPr>
      <w:r w:rsidRPr="002411C4">
        <w:rPr>
          <w:lang w:val="ru-RU"/>
        </w:rPr>
        <w:t>Служба цифрового доступа к приоритетным документам (DAS) ВОИС изначально создавалась в качестве сервиса для подачи заявок по процедуре Парижской конвенции, но в действительности она используется в основном для целей PCT, и через нее осуществляется пересылка 29 процентов всех приоритетных документов на международной фазе</w:t>
      </w:r>
      <w:r w:rsidR="007535CD" w:rsidRPr="002411C4">
        <w:rPr>
          <w:lang w:val="ru-RU"/>
        </w:rPr>
        <w:t>.</w:t>
      </w:r>
    </w:p>
    <w:p w:rsidR="00712676" w:rsidRPr="002411C4" w:rsidRDefault="001B68A5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DAS </w:t>
      </w:r>
      <w:r w:rsidR="00A777A7" w:rsidRPr="002411C4">
        <w:rPr>
          <w:lang w:val="ru-RU"/>
        </w:rPr>
        <w:t xml:space="preserve">служит эффективным каналом пересылки документов.  Средний срок </w:t>
      </w:r>
      <w:r>
        <w:rPr>
          <w:lang w:val="ru-RU"/>
        </w:rPr>
        <w:t xml:space="preserve">поступления </w:t>
      </w:r>
      <w:r w:rsidR="00A777A7" w:rsidRPr="002411C4">
        <w:rPr>
          <w:lang w:val="ru-RU"/>
        </w:rPr>
        <w:t xml:space="preserve">приоритетных документов </w:t>
      </w:r>
      <w:r>
        <w:rPr>
          <w:lang w:val="ru-RU"/>
        </w:rPr>
        <w:t xml:space="preserve">в Международное бюро </w:t>
      </w:r>
      <w:r w:rsidR="00A777A7" w:rsidRPr="002411C4">
        <w:rPr>
          <w:lang w:val="ru-RU"/>
        </w:rPr>
        <w:t xml:space="preserve">составляет менее 19 дней с момента подачи в сравнении с приблизительно 52 днями в случае представления приоритетных документов заявителями в соответствии с </w:t>
      </w:r>
      <w:r w:rsidR="00901969" w:rsidRPr="002411C4">
        <w:rPr>
          <w:lang w:val="ru-RU"/>
        </w:rPr>
        <w:t>правилом </w:t>
      </w:r>
      <w:r w:rsidR="00A777A7" w:rsidRPr="002411C4">
        <w:rPr>
          <w:lang w:val="ru-RU"/>
        </w:rPr>
        <w:t>17.1(a) и 32 днями в случае представления приоритетных документов</w:t>
      </w:r>
      <w:r w:rsidR="00901969" w:rsidRPr="002411C4">
        <w:rPr>
          <w:lang w:val="ru-RU"/>
        </w:rPr>
        <w:t xml:space="preserve"> получающими ведомствами в соответствии с правилом 17.1(b) (хотя данный срок может существенно различаться между получающими ведомствами).  Около 93 процентов приоритетных документов доставляется через систему DAS в течение 30 дней с момента подачи.  Таким образом, </w:t>
      </w:r>
      <w:r w:rsidR="007D3DB9" w:rsidRPr="002411C4">
        <w:rPr>
          <w:lang w:val="ru-RU"/>
        </w:rPr>
        <w:t xml:space="preserve">если обнаружение известного уровня техники диктует необходимость оценки обоснованности притязания на приоритет, </w:t>
      </w:r>
      <w:r w:rsidR="00901969" w:rsidRPr="002411C4">
        <w:rPr>
          <w:lang w:val="ru-RU"/>
        </w:rPr>
        <w:t>данные документы обычно являются доступными для изучения в МПО</w:t>
      </w:r>
      <w:r w:rsidR="007535CD" w:rsidRPr="002411C4">
        <w:rPr>
          <w:lang w:val="ru-RU"/>
        </w:rPr>
        <w:t>.</w:t>
      </w:r>
      <w:r w:rsidR="00901969" w:rsidRPr="002411C4">
        <w:rPr>
          <w:lang w:val="ru-RU"/>
        </w:rPr>
        <w:t xml:space="preserve"> </w:t>
      </w:r>
    </w:p>
    <w:p w:rsidR="00712676" w:rsidRPr="002411C4" w:rsidRDefault="00E13E09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Однако в настоящее время участниками сервиса являются только 18 ведомств, некоторые их которых пользуются им лишь в ограниченных масштабах.  Более того, в большинстве случаев </w:t>
      </w:r>
      <w:r w:rsidR="004F4E1C" w:rsidRPr="002411C4">
        <w:rPr>
          <w:lang w:val="ru-RU"/>
        </w:rPr>
        <w:t>(свыше трех четвертых всех случаев использования для целей PCT</w:t>
      </w:r>
      <w:r w:rsidR="001B68A5">
        <w:rPr>
          <w:lang w:val="ru-RU"/>
        </w:rPr>
        <w:t xml:space="preserve">) </w:t>
      </w:r>
      <w:r w:rsidR="001B68A5" w:rsidRPr="002411C4">
        <w:rPr>
          <w:lang w:val="ru-RU"/>
        </w:rPr>
        <w:t xml:space="preserve">данный сервис используется </w:t>
      </w:r>
      <w:r w:rsidR="004F4E1C" w:rsidRPr="002411C4">
        <w:rPr>
          <w:lang w:val="ru-RU"/>
        </w:rPr>
        <w:t>в качестве замены способа пересылки документов в соответствии с правилом 17.1(b) (когда приоритетный документ направляется ведомством, действующим в роли получающего ведомства), а не для пересылки документов, направляемых иным ведомством.  Таким образом, возможно</w:t>
      </w:r>
      <w:r w:rsidR="00EC2071">
        <w:rPr>
          <w:lang w:val="ru-RU"/>
        </w:rPr>
        <w:t>,</w:t>
      </w:r>
      <w:r w:rsidR="004F4E1C" w:rsidRPr="002411C4">
        <w:rPr>
          <w:lang w:val="ru-RU"/>
        </w:rPr>
        <w:t xml:space="preserve"> имеет смысл рассмотреть в большей степени относящиеся к PCT усовершенствования, касающиеся пересылки приоритетных документов</w:t>
      </w:r>
      <w:r w:rsidR="007535CD" w:rsidRPr="002411C4">
        <w:rPr>
          <w:lang w:val="ru-RU"/>
        </w:rPr>
        <w:t>.</w:t>
      </w:r>
      <w:r w:rsidR="004F4E1C" w:rsidRPr="002411C4">
        <w:rPr>
          <w:lang w:val="ru-RU"/>
        </w:rPr>
        <w:t xml:space="preserve"> </w:t>
      </w:r>
    </w:p>
    <w:p w:rsidR="00712676" w:rsidRPr="002411C4" w:rsidRDefault="007535CD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>PCT</w:t>
      </w:r>
      <w:r w:rsidRPr="002411C4">
        <w:rPr>
          <w:lang w:val="ru-RU"/>
        </w:rPr>
        <w:noBreakHyphen/>
        <w:t>EDI</w:t>
      </w:r>
    </w:p>
    <w:p w:rsidR="00712676" w:rsidRPr="002411C4" w:rsidRDefault="00285B4B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Система PCT-EDI остается наиболее широко используемой платформой для обмена </w:t>
      </w:r>
      <w:r w:rsidR="001E4911" w:rsidRPr="002411C4">
        <w:rPr>
          <w:lang w:val="ru-RU"/>
        </w:rPr>
        <w:t xml:space="preserve">документами между национальными ведомствами и Международное бюро (и служит инфраструктурой для многих операций в рамках eSearchCopy и DAS).  </w:t>
      </w:r>
      <w:r w:rsidR="001A36F7" w:rsidRPr="002411C4">
        <w:rPr>
          <w:lang w:val="ru-RU"/>
        </w:rPr>
        <w:t xml:space="preserve">Это надежная система, доказавшая свою эффективность, но в ней используется процедура пакетной обработки.  Данная особенность может быть охарактеризована как преимущество системы, так как надежность связи не зависит от ее постоянной доступности обоим ведомствам, но может быть </w:t>
      </w:r>
      <w:r w:rsidR="001B68A5" w:rsidRPr="002411C4">
        <w:rPr>
          <w:lang w:val="ru-RU"/>
        </w:rPr>
        <w:t xml:space="preserve">также </w:t>
      </w:r>
      <w:r w:rsidR="001A36F7" w:rsidRPr="002411C4">
        <w:rPr>
          <w:lang w:val="ru-RU"/>
        </w:rPr>
        <w:t>причиной задержек в обработке и расхождений в датировке документов двумя ведомствами, особенно если передача пакетов осуществляется только раз в неделю.  Это также означает, что Международному бюро известно только о тех документах (</w:t>
      </w:r>
      <w:r w:rsidR="00CC561A">
        <w:rPr>
          <w:lang w:val="ru-RU"/>
        </w:rPr>
        <w:t xml:space="preserve">к которым </w:t>
      </w:r>
      <w:r w:rsidR="001A36F7" w:rsidRPr="002411C4">
        <w:rPr>
          <w:lang w:val="ru-RU"/>
        </w:rPr>
        <w:t xml:space="preserve">оно может предоставлять </w:t>
      </w:r>
      <w:r w:rsidR="00CC561A" w:rsidRPr="002411C4">
        <w:rPr>
          <w:lang w:val="ru-RU"/>
        </w:rPr>
        <w:t xml:space="preserve">доступ </w:t>
      </w:r>
      <w:r w:rsidR="001A36F7" w:rsidRPr="002411C4">
        <w:rPr>
          <w:lang w:val="ru-RU"/>
        </w:rPr>
        <w:lastRenderedPageBreak/>
        <w:t xml:space="preserve">заявителям и другим ведомствам), которые передаются непосредственно национальным ведомством, т.е. заявители </w:t>
      </w:r>
      <w:r w:rsidR="005B415C" w:rsidRPr="002411C4">
        <w:rPr>
          <w:lang w:val="ru-RU"/>
        </w:rPr>
        <w:t xml:space="preserve">могут видеть </w:t>
      </w:r>
      <w:r w:rsidR="00CC561A">
        <w:rPr>
          <w:lang w:val="ru-RU"/>
        </w:rPr>
        <w:t xml:space="preserve">весь </w:t>
      </w:r>
      <w:r w:rsidR="005B415C" w:rsidRPr="002411C4">
        <w:rPr>
          <w:lang w:val="ru-RU"/>
        </w:rPr>
        <w:t>статус досье заявки только в том случае, если в дополнение к использованию ePCT национальным ведомством обеспечивается сервис проверки файлов</w:t>
      </w:r>
      <w:r w:rsidR="007535CD" w:rsidRPr="002411C4">
        <w:rPr>
          <w:lang w:val="ru-RU"/>
        </w:rPr>
        <w:t>.</w:t>
      </w:r>
    </w:p>
    <w:p w:rsidR="00712676" w:rsidRPr="002411C4" w:rsidRDefault="007535CD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>WIPO CASE</w:t>
      </w:r>
    </w:p>
    <w:p w:rsidR="00712676" w:rsidRPr="002411C4" w:rsidRDefault="005B415C" w:rsidP="002411C4">
      <w:pPr>
        <w:pStyle w:val="ONUME"/>
        <w:rPr>
          <w:lang w:val="ru-RU"/>
        </w:rPr>
      </w:pPr>
      <w:r w:rsidRPr="002411C4">
        <w:rPr>
          <w:lang w:val="ru-RU"/>
        </w:rPr>
        <w:t>Система WIPO CASE</w:t>
      </w:r>
      <w:r w:rsidR="00E153C4" w:rsidRPr="002411C4">
        <w:rPr>
          <w:lang w:val="ru-RU"/>
        </w:rPr>
        <w:t xml:space="preserve"> (централизованн</w:t>
      </w:r>
      <w:r w:rsidR="00CC561A">
        <w:rPr>
          <w:lang w:val="ru-RU"/>
        </w:rPr>
        <w:t xml:space="preserve">ый доступ </w:t>
      </w:r>
      <w:r w:rsidR="00E153C4" w:rsidRPr="002411C4">
        <w:rPr>
          <w:lang w:val="ru-RU"/>
        </w:rPr>
        <w:t xml:space="preserve">к результатам поиска и экспертизы) напрямую не используется в процессе обработки документов на международной фазе, но обеспечивает доступ указанных ведомств к отчетам о результатах поиска и экспертизы как на международной, так и национальной фазах.  В настоящее время участниками системы </w:t>
      </w:r>
      <w:r w:rsidR="00CC561A">
        <w:rPr>
          <w:lang w:val="ru-RU"/>
        </w:rPr>
        <w:t>являе</w:t>
      </w:r>
      <w:r w:rsidR="00E153C4" w:rsidRPr="002411C4">
        <w:rPr>
          <w:lang w:val="ru-RU"/>
        </w:rPr>
        <w:t xml:space="preserve">тся 31 ведомство, </w:t>
      </w:r>
      <w:r w:rsidR="00CC561A">
        <w:rPr>
          <w:lang w:val="ru-RU"/>
        </w:rPr>
        <w:t xml:space="preserve">14 </w:t>
      </w:r>
      <w:r w:rsidR="00E153C4" w:rsidRPr="002411C4">
        <w:rPr>
          <w:lang w:val="ru-RU"/>
        </w:rPr>
        <w:t>из которых загружают свои документы в систему</w:t>
      </w:r>
      <w:r w:rsidR="007535CD" w:rsidRPr="002411C4">
        <w:rPr>
          <w:lang w:val="ru-RU"/>
        </w:rPr>
        <w:t>.</w:t>
      </w:r>
      <w:r w:rsidR="00E153C4" w:rsidRPr="002411C4">
        <w:rPr>
          <w:lang w:val="ru-RU"/>
        </w:rPr>
        <w:t xml:space="preserve"> </w:t>
      </w:r>
    </w:p>
    <w:p w:rsidR="00712676" w:rsidRPr="002411C4" w:rsidRDefault="00A31A39" w:rsidP="002411C4">
      <w:pPr>
        <w:pStyle w:val="Heading1"/>
        <w:keepNext w:val="0"/>
        <w:rPr>
          <w:lang w:val="ru-RU"/>
        </w:rPr>
      </w:pPr>
      <w:r w:rsidRPr="002411C4">
        <w:rPr>
          <w:lang w:val="ru-RU"/>
        </w:rPr>
        <w:t xml:space="preserve">следующие этапы развития </w:t>
      </w:r>
      <w:r w:rsidR="007535CD" w:rsidRPr="002411C4">
        <w:rPr>
          <w:caps w:val="0"/>
          <w:lang w:val="ru-RU"/>
        </w:rPr>
        <w:t>e</w:t>
      </w:r>
      <w:r w:rsidR="007535CD" w:rsidRPr="002411C4">
        <w:rPr>
          <w:lang w:val="ru-RU"/>
        </w:rPr>
        <w:t>PCT</w:t>
      </w:r>
      <w:r w:rsidRPr="002411C4">
        <w:rPr>
          <w:lang w:val="ru-RU"/>
        </w:rPr>
        <w:t xml:space="preserve"> </w:t>
      </w:r>
    </w:p>
    <w:p w:rsidR="00712676" w:rsidRPr="002411C4" w:rsidRDefault="00FD265B" w:rsidP="002411C4">
      <w:pPr>
        <w:pStyle w:val="ONUME"/>
        <w:rPr>
          <w:lang w:val="ru-RU"/>
        </w:rPr>
      </w:pPr>
      <w:r w:rsidRPr="002411C4">
        <w:rPr>
          <w:lang w:val="ru-RU"/>
        </w:rPr>
        <w:t>Будет продолжено усовершенствование системы ePCT для удобства как заявителей, так и пользователей.  В ближайшие годы некоторые из основных направлений работы будут следующими</w:t>
      </w:r>
      <w:r w:rsidR="007535CD" w:rsidRPr="002411C4">
        <w:rPr>
          <w:lang w:val="ru-RU"/>
        </w:rPr>
        <w:t>:</w:t>
      </w:r>
    </w:p>
    <w:p w:rsidR="00712676" w:rsidRPr="002411C4" w:rsidRDefault="00FD265B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усовершенствование документооборота в ведомствах в целях повышения эффективности распределения заданий между сотрудниками и определения необходимых последующих действий</w:t>
      </w:r>
      <w:r w:rsidR="007535CD" w:rsidRPr="002411C4">
        <w:rPr>
          <w:lang w:val="ru-RU"/>
        </w:rPr>
        <w:t>;</w:t>
      </w:r>
    </w:p>
    <w:p w:rsidR="00712676" w:rsidRPr="002411C4" w:rsidRDefault="009E147D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усовершенствование инструментов на базе браузера для создания XML-версий отчетов о международном поиске, письменных сообщений и связанных с ними документов (таких как отчет</w:t>
      </w:r>
      <w:r w:rsidR="00CC561A">
        <w:rPr>
          <w:lang w:val="ru-RU"/>
        </w:rPr>
        <w:t xml:space="preserve">ы </w:t>
      </w:r>
      <w:r w:rsidRPr="002411C4">
        <w:rPr>
          <w:lang w:val="ru-RU"/>
        </w:rPr>
        <w:t>о частичном поиске для целей бланка PCT/ISA/206 в случае требования об уплате дополнительных пошлин), включая упрощение и уменьшение дублирования работы при вводе информации как для определенного набора отчетов, так и при переходе с одной стадии на другую (требование об уплате дополнительных пошлин, составление отчета о международном поиске и письменного сообщения, составление письменного сообщения ОМПЭ, составление отчета о международной предварительной экспертизе</w:t>
      </w:r>
      <w:r w:rsidR="007535CD" w:rsidRPr="002411C4">
        <w:rPr>
          <w:lang w:val="ru-RU"/>
        </w:rPr>
        <w:t>);</w:t>
      </w:r>
    </w:p>
    <w:p w:rsidR="00712676" w:rsidRPr="002411C4" w:rsidRDefault="00D45C72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расширение веб-сервисов для более широкого внедрения межмашинных сервисов для ведомств, работающих в режиме почти реального времени, и интеграции с системами управления патентами заявителей</w:t>
      </w:r>
      <w:r w:rsidR="007535CD" w:rsidRPr="002411C4">
        <w:rPr>
          <w:lang w:val="ru-RU"/>
        </w:rPr>
        <w:t>;</w:t>
      </w:r>
      <w:r w:rsidRPr="002411C4">
        <w:rPr>
          <w:lang w:val="ru-RU"/>
        </w:rPr>
        <w:t xml:space="preserve"> </w:t>
      </w:r>
    </w:p>
    <w:p w:rsidR="00712676" w:rsidRPr="002411C4" w:rsidRDefault="00D45C72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дальнейшее повышение простоты использования системы авторизации, включая поддержку для еще более простого использования двухфакторной авторизации всех пользователей и систем управления учетными записями и функциями пользователей ведомств (при условии успешного завершения проверки технических возможностей и безопасности</w:t>
      </w:r>
      <w:r w:rsidR="007535CD" w:rsidRPr="002411C4">
        <w:rPr>
          <w:lang w:val="ru-RU"/>
        </w:rPr>
        <w:t xml:space="preserve">);  </w:t>
      </w:r>
      <w:r w:rsidRPr="002411C4">
        <w:rPr>
          <w:lang w:val="ru-RU"/>
        </w:rPr>
        <w:t xml:space="preserve">и </w:t>
      </w:r>
    </w:p>
    <w:p w:rsidR="00712676" w:rsidRPr="002411C4" w:rsidRDefault="00D45C72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достижение большей согласованности с услугами, предлагаемыми другими подразделениями ВОИС, включая использование возможностей для сокращения затрат или повышения удобства пользова</w:t>
      </w:r>
      <w:r w:rsidR="00CC561A">
        <w:rPr>
          <w:lang w:val="ru-RU"/>
        </w:rPr>
        <w:t xml:space="preserve">ния </w:t>
      </w:r>
      <w:r w:rsidRPr="002411C4">
        <w:rPr>
          <w:lang w:val="ru-RU"/>
        </w:rPr>
        <w:t xml:space="preserve">путем совместного обеспечения услуг в рамках проекта Глобальной платформы ИС (см. </w:t>
      </w:r>
      <w:r w:rsidR="0006607D" w:rsidRPr="002411C4">
        <w:rPr>
          <w:lang w:val="ru-RU"/>
        </w:rPr>
        <w:t xml:space="preserve">приложение </w:t>
      </w:r>
      <w:r w:rsidR="007535CD" w:rsidRPr="002411C4">
        <w:rPr>
          <w:lang w:val="ru-RU"/>
        </w:rPr>
        <w:t xml:space="preserve">II </w:t>
      </w:r>
      <w:r w:rsidR="0006607D" w:rsidRPr="002411C4">
        <w:rPr>
          <w:lang w:val="ru-RU"/>
        </w:rPr>
        <w:t xml:space="preserve">к документу </w:t>
      </w:r>
      <w:r w:rsidR="007535CD" w:rsidRPr="002411C4">
        <w:rPr>
          <w:lang w:val="ru-RU"/>
        </w:rPr>
        <w:t>WO/PBC/27/9).</w:t>
      </w:r>
      <w:r w:rsidR="0006607D" w:rsidRPr="002411C4">
        <w:rPr>
          <w:lang w:val="ru-RU"/>
        </w:rPr>
        <w:t xml:space="preserve"> </w:t>
      </w:r>
    </w:p>
    <w:p w:rsidR="00712676" w:rsidRPr="002411C4" w:rsidRDefault="009606A4" w:rsidP="002411C4">
      <w:pPr>
        <w:pStyle w:val="ONUME"/>
        <w:rPr>
          <w:lang w:val="ru-RU"/>
        </w:rPr>
      </w:pPr>
      <w:r w:rsidRPr="002411C4">
        <w:rPr>
          <w:lang w:val="ru-RU"/>
        </w:rPr>
        <w:t>Кроме того, будет возобновлена работа по определению возможных способов использования системы ePCT для упрощения перехода на национальную фазу.  Ожидается преобразование в полномасштабный пилотный проект пилотного сервиса, внедренного в настоящее время в демоверсию системы.  Кроме того, будет вестись тщательное наблюдение за осуществлением пилотного проекта сальдирования пошлин для определения возможности обеспечения в ePCT функции централизованной оплаты услуг, предлагаемых ведомствами, помимо услуг Международного</w:t>
      </w:r>
      <w:r w:rsidR="00CC561A">
        <w:rPr>
          <w:lang w:val="ru-RU"/>
        </w:rPr>
        <w:t xml:space="preserve"> бюро</w:t>
      </w:r>
      <w:r w:rsidR="007535CD" w:rsidRPr="002411C4">
        <w:rPr>
          <w:lang w:val="ru-RU"/>
        </w:rPr>
        <w:t>.</w:t>
      </w:r>
    </w:p>
    <w:p w:rsidR="00712676" w:rsidRPr="002411C4" w:rsidRDefault="00467F43" w:rsidP="002411C4">
      <w:pPr>
        <w:pStyle w:val="Heading1"/>
        <w:keepNext w:val="0"/>
        <w:rPr>
          <w:lang w:val="ru-RU"/>
        </w:rPr>
      </w:pPr>
      <w:r w:rsidRPr="002411C4">
        <w:rPr>
          <w:lang w:val="ru-RU"/>
        </w:rPr>
        <w:lastRenderedPageBreak/>
        <w:t xml:space="preserve">Использование формата </w:t>
      </w:r>
      <w:r w:rsidR="007535CD" w:rsidRPr="002411C4">
        <w:rPr>
          <w:lang w:val="ru-RU"/>
        </w:rPr>
        <w:t>XML</w:t>
      </w:r>
      <w:r w:rsidRPr="002411C4">
        <w:rPr>
          <w:lang w:val="ru-RU"/>
        </w:rPr>
        <w:t xml:space="preserve"> </w:t>
      </w:r>
    </w:p>
    <w:p w:rsidR="00712676" w:rsidRPr="002411C4" w:rsidRDefault="00F21DF2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 xml:space="preserve">Использование формата </w:t>
      </w:r>
      <w:r w:rsidR="007535CD" w:rsidRPr="002411C4">
        <w:rPr>
          <w:lang w:val="ru-RU"/>
        </w:rPr>
        <w:t xml:space="preserve">XML </w:t>
      </w:r>
      <w:r w:rsidRPr="002411C4">
        <w:rPr>
          <w:lang w:val="ru-RU"/>
        </w:rPr>
        <w:t xml:space="preserve">в основной части содержания заявки </w:t>
      </w:r>
    </w:p>
    <w:p w:rsidR="00712676" w:rsidRPr="002411C4" w:rsidRDefault="00F21DF2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Первоначальная цель стандарта электронной подачи PCT заключалась в обеспечении возможности подачи и обработки заявок в полнотекстовом формате.  В течение многих лет заявки в формате XML поступали в большом количестве только от принимающих ведомств Китая, Японии и Республики Корея.  Другие ведомства все чаще заявляют о том, что они также хотели бы использовать эту возможность, и, по крайней мере, Ведомство США по патентам и товарным знакам и Европейское патентное ведомство разрабатывают системы преобразования документов из формата Office Open XML (DOCX) в формат XML, предусмотренный стандартами ST.36 или ST.96, в дополнение к системе преобразования, уже в течение нескольких лет </w:t>
      </w:r>
      <w:r w:rsidR="002D6321" w:rsidRPr="002411C4">
        <w:rPr>
          <w:lang w:val="ru-RU"/>
        </w:rPr>
        <w:t xml:space="preserve">используемой в </w:t>
      </w:r>
      <w:r w:rsidRPr="002411C4">
        <w:rPr>
          <w:lang w:val="ru-RU"/>
        </w:rPr>
        <w:t>ePCT</w:t>
      </w:r>
      <w:r w:rsidR="007535CD" w:rsidRPr="002411C4">
        <w:rPr>
          <w:lang w:val="ru-RU"/>
        </w:rPr>
        <w:t>.</w:t>
      </w:r>
      <w:r w:rsidR="002D6321" w:rsidRPr="002411C4">
        <w:rPr>
          <w:lang w:val="ru-RU"/>
        </w:rPr>
        <w:t xml:space="preserve"> </w:t>
      </w:r>
    </w:p>
    <w:p w:rsidR="00712676" w:rsidRPr="002411C4" w:rsidRDefault="0049617E" w:rsidP="002411C4">
      <w:pPr>
        <w:pStyle w:val="ONUME"/>
        <w:rPr>
          <w:lang w:val="ru-RU"/>
        </w:rPr>
      </w:pPr>
      <w:r w:rsidRPr="002411C4">
        <w:rPr>
          <w:lang w:val="ru-RU"/>
        </w:rPr>
        <w:t>Международное бюро совместно с Европейским патентным ведомством и другими органами работает над предложением о внесении изменений в Административную инструкцию PCT</w:t>
      </w:r>
      <w:r w:rsidR="00F568FB" w:rsidRPr="002411C4">
        <w:rPr>
          <w:lang w:val="ru-RU"/>
        </w:rPr>
        <w:t xml:space="preserve">, с тем чтобы обеспечить возможность эффективной подачи и обработки полнотекстовой основной части содержания заявок в формате DOCX в качестве официального исходного документа.  Это должно привести к принятию процедуры, при которой все ведомства, работающие с документами в формате DOCX, будут использовать единую систему преобразования (с опцией прямого вывода текста в формате ST.36 или ST.96 таким образом, чтобы позднее можно было надежно конвертировать тексты из одного из этих форматов в другой) </w:t>
      </w:r>
      <w:r w:rsidR="00AC5892" w:rsidRPr="002411C4">
        <w:rPr>
          <w:lang w:val="ru-RU"/>
        </w:rPr>
        <w:t>и все действия на международной фазе с использованием основной части содержания будут осуществляться в согласованном порядке для эффективного обмена результатами этой работы между различными ведомствами</w:t>
      </w:r>
      <w:r w:rsidR="007535CD" w:rsidRPr="002411C4">
        <w:rPr>
          <w:lang w:val="ru-RU"/>
        </w:rPr>
        <w:t>.</w:t>
      </w:r>
    </w:p>
    <w:p w:rsidR="00712676" w:rsidRPr="002411C4" w:rsidRDefault="00AC5892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 xml:space="preserve">Использование формата XML для отчетов о международном поиске и письменных сообщений </w:t>
      </w:r>
    </w:p>
    <w:p w:rsidR="00712676" w:rsidRPr="002411C4" w:rsidRDefault="00AC5892" w:rsidP="002411C4">
      <w:pPr>
        <w:pStyle w:val="ONUME"/>
        <w:rPr>
          <w:lang w:val="ru-RU"/>
        </w:rPr>
      </w:pPr>
      <w:bookmarkStart w:id="4" w:name="_Ref503261127"/>
      <w:r w:rsidRPr="002411C4">
        <w:rPr>
          <w:lang w:val="ru-RU"/>
        </w:rPr>
        <w:t xml:space="preserve">Международное бюро уже в течение некоторого времени получает отчеты о международном поиске и письменные сообщения в формате XML от трех МПО (Европейского патентного ведомства, Корейского ведомства интеллектуальной собственности и Государственного ведомства интеллектуальной собственности Китайской Народной Республики).  Хотя отчеты всех этих трех ведомств формируются в соответствии с </w:t>
      </w:r>
      <w:r w:rsidR="005A3F68" w:rsidRPr="002411C4">
        <w:rPr>
          <w:lang w:val="ru-RU"/>
        </w:rPr>
        <w:t xml:space="preserve">предоставленными для этих целей описаниями типа документа (DTD), возникшие многочисленные трудности привели к тому, что потребовалось значительно больше времени, чем ожидалось, для обеспечения возможности извлекать и эффективно использовать документы в формате XML.  Тем не менее к настоящему времени основные проблемы устранены.  Использование формата XML </w:t>
      </w:r>
      <w:r w:rsidR="00E37834" w:rsidRPr="002411C4">
        <w:rPr>
          <w:lang w:val="ru-RU"/>
        </w:rPr>
        <w:t>помогает в проведении в Международно</w:t>
      </w:r>
      <w:r w:rsidR="00CC4E17">
        <w:rPr>
          <w:lang w:val="ru-RU"/>
        </w:rPr>
        <w:t>м</w:t>
      </w:r>
      <w:r w:rsidR="00E37834" w:rsidRPr="002411C4">
        <w:rPr>
          <w:lang w:val="ru-RU"/>
        </w:rPr>
        <w:t xml:space="preserve"> бюро экспертизы по формальным признакам в отношении отчетов о международном поиске и письменных сообщений.  Экспертиза по формальным признакам автоматизирована приблизительно на 70 процентов в случае отчетов о международном поиске и 90 процентов в случае письменных сообщений</w:t>
      </w:r>
      <w:r w:rsidR="00756C1B" w:rsidRPr="002411C4">
        <w:rPr>
          <w:lang w:val="ru-RU"/>
        </w:rPr>
        <w:t xml:space="preserve"> МПО</w:t>
      </w:r>
      <w:r w:rsidR="00E37834" w:rsidRPr="002411C4">
        <w:rPr>
          <w:lang w:val="ru-RU"/>
        </w:rPr>
        <w:t xml:space="preserve">.  </w:t>
      </w:r>
      <w:r w:rsidR="00756C1B" w:rsidRPr="002411C4">
        <w:rPr>
          <w:lang w:val="ru-RU"/>
        </w:rPr>
        <w:t>Это позволило обеспечить высокую производительность труда и соблюдение сроков в МБ при обработке данных документов.  Кроме того, начато использование формата XML для упрощения перевода документов, и в скором времени указанным ведомствам и пользователям патентной информации будут доступны как оригинальные, так и переведенные документы в формате XML</w:t>
      </w:r>
      <w:r w:rsidR="007535CD" w:rsidRPr="002411C4">
        <w:rPr>
          <w:lang w:val="ru-RU"/>
        </w:rPr>
        <w:t>.</w:t>
      </w:r>
      <w:bookmarkEnd w:id="4"/>
    </w:p>
    <w:p w:rsidR="00712676" w:rsidRPr="002411C4" w:rsidRDefault="00393C22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Международное бюро планирует внедрить в рамках ePCT и PATENTSCOPE ряд новых услуг для международных заявок, благодаря которым отчеты о международном поиске и письменные сообщения станут доступными в формате XML, будет обеспечен эффективный машинный перевод (с использованием таблиц стилей на соответствующих </w:t>
      </w:r>
      <w:r w:rsidRPr="002411C4">
        <w:rPr>
          <w:lang w:val="ru-RU"/>
        </w:rPr>
        <w:lastRenderedPageBreak/>
        <w:t>языках для «идеального» перевода стандартных текстов) и будут даваться ссылки на цитируемые патентные документы</w:t>
      </w:r>
      <w:r w:rsidR="007535CD" w:rsidRPr="002411C4">
        <w:rPr>
          <w:lang w:val="ru-RU"/>
        </w:rPr>
        <w:t>.</w:t>
      </w:r>
      <w:r w:rsidRPr="002411C4">
        <w:rPr>
          <w:lang w:val="ru-RU"/>
        </w:rPr>
        <w:t xml:space="preserve"> </w:t>
      </w:r>
    </w:p>
    <w:p w:rsidR="00712676" w:rsidRPr="002411C4" w:rsidRDefault="00696E20" w:rsidP="002411C4">
      <w:pPr>
        <w:pStyle w:val="ONUME"/>
        <w:rPr>
          <w:lang w:val="ru-RU"/>
        </w:rPr>
      </w:pPr>
      <w:r w:rsidRPr="002411C4">
        <w:rPr>
          <w:lang w:val="ru-RU"/>
        </w:rPr>
        <w:t>Как было отмечено выше, ведется работа по совершенствованию используемых в рамках ePCT средств подготовки отчетов о международном поиске и письменных сообщений в формате XML.  В результате этой работы, а также отмеченных в пункте 19 выше усилий, направленных на обеспечение возможности скачивания документов в формате XML, Международное бюро обнаружило ряд различий в том, как действующие стандарты применяются в ведомствах, а также то, что структура данных для эквивалентной информации в различных бланках (таких как PCT/ISA/206, 210, 237 и PCT/IPEA/408 и 409) не всегда согласована в той степени, в какой это хотелось бы видеть.  Выражается надежда, что стандарты и их использование могут быть усовершенствованы в целях достижения следующих важных результатов</w:t>
      </w:r>
      <w:r w:rsidR="007535CD" w:rsidRPr="002411C4">
        <w:rPr>
          <w:lang w:val="ru-RU"/>
        </w:rPr>
        <w:t>:</w:t>
      </w:r>
      <w:r w:rsidRPr="002411C4">
        <w:rPr>
          <w:lang w:val="ru-RU"/>
        </w:rPr>
        <w:t xml:space="preserve"> </w:t>
      </w:r>
    </w:p>
    <w:p w:rsidR="00712676" w:rsidRPr="002411C4" w:rsidRDefault="00A9194D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на каждом этапе должна быть обеспечена возможность простого и быстрого повторного использования данных, полученных на предыдущем этапе поиска и экспертизы (отчет о национальном поиске – отчет о частичном международном поиске – отчет о международном поиске и письменное сообщение – отчет в соответствии с главой II – отчет на национальной фазе</w:t>
      </w:r>
      <w:r w:rsidR="007535CD" w:rsidRPr="002411C4">
        <w:rPr>
          <w:lang w:val="ru-RU"/>
        </w:rPr>
        <w:t>);</w:t>
      </w:r>
      <w:r w:rsidRPr="002411C4">
        <w:rPr>
          <w:lang w:val="ru-RU"/>
        </w:rPr>
        <w:t xml:space="preserve"> </w:t>
      </w:r>
    </w:p>
    <w:p w:rsidR="00712676" w:rsidRPr="002411C4" w:rsidRDefault="00E74210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данные о цитируемых материалах должны быть достаточно полными и последовательными для эффективного сопоставления и использования информации на различных этапах, с тем чтобы не возникало трудностей в определении того, являются ли два цитируемых материала одинаковыми (или принадлежат ли они к одному и тому же семейству патентов-аналогов</w:t>
      </w:r>
      <w:r w:rsidR="007535CD" w:rsidRPr="002411C4">
        <w:rPr>
          <w:lang w:val="ru-RU"/>
        </w:rPr>
        <w:t>);</w:t>
      </w:r>
    </w:p>
    <w:p w:rsidR="00712676" w:rsidRPr="002411C4" w:rsidRDefault="00E74210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 xml:space="preserve">у эксперта не должно возникать необходимости на одном и том же этапе дважды вносить эквивалентные данные (различный формат для </w:t>
      </w:r>
      <w:r w:rsidR="00CC4E17">
        <w:rPr>
          <w:lang w:val="ru-RU"/>
        </w:rPr>
        <w:t>не</w:t>
      </w:r>
      <w:r w:rsidRPr="002411C4">
        <w:rPr>
          <w:lang w:val="ru-RU"/>
        </w:rPr>
        <w:t>пригодных для поиска или не прошедших экспертизу формул изобретения в бланках 210 и 237;  необходимость в некоторых случаях вводить информацию о цитируемых материалах в бланках 210 и 237 в различных форматах</w:t>
      </w:r>
      <w:r w:rsidR="007535CD" w:rsidRPr="002411C4">
        <w:rPr>
          <w:lang w:val="ru-RU"/>
        </w:rPr>
        <w:t>).</w:t>
      </w:r>
      <w:r w:rsidRPr="002411C4">
        <w:rPr>
          <w:lang w:val="ru-RU"/>
        </w:rPr>
        <w:t xml:space="preserve"> </w:t>
      </w:r>
    </w:p>
    <w:p w:rsidR="00712676" w:rsidRPr="002411C4" w:rsidRDefault="000C3E3E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В идеале следовало бы воспользоваться текущей работой над стандартом ST.96 в отношении поиска и экспертизы в качестве возможности обеспечить, чтобы отчеты могли эффективно создаваться и повторно использоваться, а у экспертов не возникало необходимости дважды вводить эквивалентные данные из-за различий в </w:t>
      </w:r>
      <w:r w:rsidR="00CC4E17">
        <w:rPr>
          <w:lang w:val="ru-RU"/>
        </w:rPr>
        <w:t xml:space="preserve">их </w:t>
      </w:r>
      <w:r w:rsidRPr="002411C4">
        <w:rPr>
          <w:lang w:val="ru-RU"/>
        </w:rPr>
        <w:t>структуре.  Поэтому, если существует возможность добиться большей эффективности повторного использования информации между национальной и международной фазами, ведомства должны быть готовы изменить ST.36 и бланки отчетов о поиске и письменных сообщений PCT на бумаге</w:t>
      </w:r>
      <w:r w:rsidR="007535CD" w:rsidRPr="002411C4">
        <w:rPr>
          <w:lang w:val="ru-RU"/>
        </w:rPr>
        <w:t>.</w:t>
      </w:r>
      <w:r w:rsidRPr="002411C4">
        <w:rPr>
          <w:lang w:val="ru-RU"/>
        </w:rPr>
        <w:t xml:space="preserve"> </w:t>
      </w:r>
    </w:p>
    <w:p w:rsidR="00712676" w:rsidRPr="002411C4" w:rsidRDefault="00F2428B" w:rsidP="002411C4">
      <w:pPr>
        <w:pStyle w:val="Heading1"/>
        <w:keepNext w:val="0"/>
        <w:rPr>
          <w:lang w:val="ru-RU"/>
        </w:rPr>
      </w:pPr>
      <w:r w:rsidRPr="002411C4">
        <w:rPr>
          <w:lang w:val="ru-RU"/>
        </w:rPr>
        <w:t xml:space="preserve">ДРУГИЕ ВОПРОСЫ </w:t>
      </w:r>
    </w:p>
    <w:p w:rsidR="00712676" w:rsidRPr="002411C4" w:rsidRDefault="00051335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>Global IP Platform</w:t>
      </w:r>
    </w:p>
    <w:p w:rsidR="00712676" w:rsidRPr="002411C4" w:rsidRDefault="00AE2E22" w:rsidP="002411C4">
      <w:pPr>
        <w:pStyle w:val="ONUME"/>
        <w:rPr>
          <w:lang w:val="ru-RU"/>
        </w:rPr>
      </w:pPr>
      <w:r w:rsidRPr="002411C4">
        <w:rPr>
          <w:lang w:val="ru-RU"/>
        </w:rPr>
        <w:t>ВОИС приступила к реализации инициативы, направленной на внедрение единой совместной ИТ-платформы (Глобальной платформы ИС), которая связывает воедино различные ИТ-платформы, поддерживающие работу глобальных систем ИС ВОИС (систем</w:t>
      </w:r>
      <w:r w:rsidR="00CC4E17">
        <w:rPr>
          <w:lang w:val="ru-RU"/>
        </w:rPr>
        <w:t>а</w:t>
      </w:r>
      <w:r w:rsidRPr="002411C4">
        <w:rPr>
          <w:lang w:val="ru-RU"/>
        </w:rPr>
        <w:t xml:space="preserve"> PCT</w:t>
      </w:r>
      <w:r w:rsidR="00CC4E17">
        <w:rPr>
          <w:lang w:val="ru-RU"/>
        </w:rPr>
        <w:t xml:space="preserve">, Мадридская, Гаагская и Лиссабонская </w:t>
      </w:r>
      <w:r w:rsidRPr="002411C4">
        <w:rPr>
          <w:lang w:val="ru-RU"/>
        </w:rPr>
        <w:t>систем</w:t>
      </w:r>
      <w:r w:rsidR="00CC4E17">
        <w:rPr>
          <w:lang w:val="ru-RU"/>
        </w:rPr>
        <w:t>ы</w:t>
      </w:r>
      <w:r w:rsidRPr="002411C4">
        <w:rPr>
          <w:lang w:val="ru-RU"/>
        </w:rPr>
        <w:t>), а также услуги Центра ВОИС по арбитражу и посредничеству и различных других систем ВОИС.</w:t>
      </w:r>
      <w:r w:rsidR="00051335" w:rsidRPr="002411C4">
        <w:rPr>
          <w:lang w:val="ru-RU"/>
        </w:rPr>
        <w:t xml:space="preserve">  </w:t>
      </w:r>
      <w:r w:rsidRPr="002411C4">
        <w:rPr>
          <w:lang w:val="ru-RU"/>
        </w:rPr>
        <w:t>Глобальная платформа ИС будет служить единым входным порталом для пользователей всех этих сервисов посредством единой учетной записи каждого пользователя в ВОИС, и на ее основе будут реализованы меры политики в отношении ориентированной на пользователей системы навигации, общий пользовательский интерфейс и центральный платежный портал.</w:t>
      </w:r>
      <w:r w:rsidR="00051335" w:rsidRPr="002411C4">
        <w:rPr>
          <w:lang w:val="ru-RU"/>
        </w:rPr>
        <w:t xml:space="preserve">  </w:t>
      </w:r>
      <w:r w:rsidRPr="002411C4">
        <w:rPr>
          <w:lang w:val="ru-RU"/>
        </w:rPr>
        <w:t xml:space="preserve">Доступ к системе будет обеспечиваться при помощи единой учетной записи, а также будет обеспечена привязка индивидуальных пользователей глобальных </w:t>
      </w:r>
      <w:r w:rsidRPr="002411C4">
        <w:rPr>
          <w:lang w:val="ru-RU"/>
        </w:rPr>
        <w:lastRenderedPageBreak/>
        <w:t>систем ВОИС в области охраны ИС к тем организациям, которые они представляют.</w:t>
      </w:r>
      <w:r w:rsidR="00051335" w:rsidRPr="002411C4">
        <w:rPr>
          <w:lang w:val="ru-RU"/>
        </w:rPr>
        <w:t xml:space="preserve">  </w:t>
      </w:r>
      <w:r w:rsidRPr="002411C4">
        <w:rPr>
          <w:lang w:val="ru-RU"/>
        </w:rPr>
        <w:t>Эти общие сервисы позволят предоставлять заявителям и ведомствам более широкий круг услуг, оказываемых в более упрощенном и более последовательном порядке</w:t>
      </w:r>
      <w:r w:rsidR="00051335" w:rsidRPr="002411C4">
        <w:rPr>
          <w:lang w:val="ru-RU"/>
        </w:rPr>
        <w:t>.</w:t>
      </w:r>
      <w:r w:rsidRPr="002411C4">
        <w:rPr>
          <w:lang w:val="ru-RU"/>
        </w:rPr>
        <w:t xml:space="preserve"> </w:t>
      </w:r>
    </w:p>
    <w:p w:rsidR="00712676" w:rsidRPr="002411C4" w:rsidRDefault="00AA7CB7" w:rsidP="002411C4">
      <w:pPr>
        <w:pStyle w:val="ONUME"/>
        <w:rPr>
          <w:lang w:val="ru-RU"/>
        </w:rPr>
      </w:pPr>
      <w:r w:rsidRPr="002411C4">
        <w:rPr>
          <w:lang w:val="ru-RU"/>
        </w:rPr>
        <w:t>Национальным ведомствам ИС, которые являются основными пользователями Глобальной платформы ИС, предлагается изучить вопрос о принятии мер, которые могли бы способствовать обеспечению функциональной совместимости их систем управления учетными записями и авторизации с требованиями платформы, а также проанализировать то, как система могла бы обеспечить им б</w:t>
      </w:r>
      <w:r w:rsidRPr="002411C4">
        <w:rPr>
          <w:i/>
          <w:lang w:val="ru-RU"/>
        </w:rPr>
        <w:t>о</w:t>
      </w:r>
      <w:r w:rsidRPr="002411C4">
        <w:rPr>
          <w:lang w:val="ru-RU"/>
        </w:rPr>
        <w:t>льшую поддержку, в том числе посредством ново</w:t>
      </w:r>
      <w:r w:rsidR="00F14330" w:rsidRPr="002411C4">
        <w:rPr>
          <w:lang w:val="ru-RU"/>
        </w:rPr>
        <w:t xml:space="preserve">го </w:t>
      </w:r>
      <w:r w:rsidRPr="002411C4">
        <w:rPr>
          <w:lang w:val="ru-RU"/>
        </w:rPr>
        <w:t>ИПП и новых услуг для эффективного обмена данными с национальными системами, принимая во внимание общие аспекты систем в отношении образцов, знаков и патентов</w:t>
      </w:r>
      <w:r w:rsidR="00051335" w:rsidRPr="002411C4">
        <w:rPr>
          <w:lang w:val="ru-RU"/>
        </w:rPr>
        <w:t>.</w:t>
      </w:r>
    </w:p>
    <w:p w:rsidR="00712676" w:rsidRPr="002411C4" w:rsidRDefault="00AA7CB7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 xml:space="preserve">Цветные чертежи </w:t>
      </w:r>
    </w:p>
    <w:p w:rsidR="00712676" w:rsidRPr="002411C4" w:rsidRDefault="00F14330" w:rsidP="002411C4">
      <w:pPr>
        <w:pStyle w:val="ONUME"/>
        <w:rPr>
          <w:lang w:val="ru-RU"/>
        </w:rPr>
      </w:pPr>
      <w:r w:rsidRPr="002411C4">
        <w:rPr>
          <w:lang w:val="ru-RU"/>
        </w:rPr>
        <w:t>Изложенное в пунктах 11-15 документа PCT/WG/9/19 «временное решение» теперь доступно для некоторых процедур подачи и получающих ведомств.  При электронной подаче заявок в некоторые получающие ведомства с использованием PCT</w:t>
      </w:r>
      <w:r w:rsidRPr="002411C4">
        <w:rPr>
          <w:lang w:val="ru-RU"/>
        </w:rPr>
        <w:noBreakHyphen/>
        <w:t>SAFE или ePCT</w:t>
      </w:r>
      <w:r w:rsidRPr="002411C4">
        <w:rPr>
          <w:lang w:val="ru-RU"/>
        </w:rPr>
        <w:noBreakHyphen/>
        <w:t xml:space="preserve">Filing появилась возможность пометить графу, означающую, что загруженная в формате XML </w:t>
      </w:r>
      <w:r w:rsidR="00CC4E17">
        <w:rPr>
          <w:lang w:val="ru-RU"/>
        </w:rPr>
        <w:t>или</w:t>
      </w:r>
      <w:r w:rsidRPr="002411C4">
        <w:rPr>
          <w:lang w:val="ru-RU"/>
        </w:rPr>
        <w:t xml:space="preserve"> PDF заявка содержит цветные изображения.  </w:t>
      </w:r>
      <w:r w:rsidR="00CC4E17">
        <w:rPr>
          <w:lang w:val="ru-RU"/>
        </w:rPr>
        <w:t xml:space="preserve">При этом </w:t>
      </w:r>
      <w:r w:rsidRPr="002411C4">
        <w:rPr>
          <w:lang w:val="ru-RU"/>
        </w:rPr>
        <w:t xml:space="preserve">на титульном листе опубликованной заявки появляется сообщение о том, что оригинальный документ содержит цветные элементы и доступен для скачивания в системе PATENTSCOPE.  </w:t>
      </w:r>
    </w:p>
    <w:p w:rsidR="00712676" w:rsidRPr="002411C4" w:rsidRDefault="00B74035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Подробная техническая информация для получающих ведомств, желающих реализовать данную опцию в других программных приложениях, содержится в документе </w:t>
      </w:r>
      <w:r w:rsidR="007535CD" w:rsidRPr="002411C4">
        <w:rPr>
          <w:lang w:val="ru-RU"/>
        </w:rPr>
        <w:t>PCT/EF/PFC 17/003.</w:t>
      </w:r>
    </w:p>
    <w:p w:rsidR="00712676" w:rsidRPr="002411C4" w:rsidRDefault="00B74035" w:rsidP="002411C4">
      <w:pPr>
        <w:pStyle w:val="ONUME"/>
        <w:rPr>
          <w:lang w:val="ru-RU"/>
        </w:rPr>
      </w:pPr>
      <w:r w:rsidRPr="002411C4">
        <w:rPr>
          <w:lang w:val="ru-RU"/>
        </w:rPr>
        <w:t>Следует отметить, что временное решение никоим образом не затрагивает</w:t>
      </w:r>
      <w:r w:rsidR="007535CD" w:rsidRPr="002411C4">
        <w:rPr>
          <w:lang w:val="ru-RU"/>
        </w:rPr>
        <w:t>:</w:t>
      </w:r>
      <w:r w:rsidRPr="002411C4">
        <w:rPr>
          <w:lang w:val="ru-RU"/>
        </w:rPr>
        <w:t xml:space="preserve"> </w:t>
      </w:r>
    </w:p>
    <w:p w:rsidR="00712676" w:rsidRPr="002411C4" w:rsidRDefault="00B74035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требования о том, что чертежи в принципе по-прежнему должны представляться в виде черно-белых графических изображений</w:t>
      </w:r>
      <w:r w:rsidR="007535CD" w:rsidRPr="002411C4">
        <w:rPr>
          <w:lang w:val="ru-RU"/>
        </w:rPr>
        <w:t>;</w:t>
      </w:r>
    </w:p>
    <w:p w:rsidR="00712676" w:rsidRPr="002411C4" w:rsidRDefault="00B74035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того факта, что любые полученные цветные изображения (в том числе выполненные в оттенках серого) для целей формальной публикации по-прежнему преобразуются в черно-белые изображения</w:t>
      </w:r>
      <w:r w:rsidR="007535CD" w:rsidRPr="002411C4">
        <w:rPr>
          <w:lang w:val="ru-RU"/>
        </w:rPr>
        <w:t xml:space="preserve">;  </w:t>
      </w:r>
      <w:r w:rsidRPr="002411C4">
        <w:rPr>
          <w:lang w:val="ru-RU"/>
        </w:rPr>
        <w:t xml:space="preserve">или </w:t>
      </w:r>
    </w:p>
    <w:p w:rsidR="00712676" w:rsidRPr="002411C4" w:rsidRDefault="00B74035" w:rsidP="002411C4">
      <w:pPr>
        <w:pStyle w:val="ONUME"/>
        <w:numPr>
          <w:ilvl w:val="1"/>
          <w:numId w:val="5"/>
        </w:numPr>
        <w:rPr>
          <w:lang w:val="ru-RU"/>
        </w:rPr>
      </w:pPr>
      <w:r w:rsidRPr="002411C4">
        <w:rPr>
          <w:lang w:val="ru-RU"/>
        </w:rPr>
        <w:t>права указанных ведомств требовать представления на национальной фазе черно-белых графических изображений</w:t>
      </w:r>
      <w:r w:rsidR="007535CD" w:rsidRPr="002411C4">
        <w:rPr>
          <w:lang w:val="ru-RU"/>
        </w:rPr>
        <w:t>.</w:t>
      </w:r>
      <w:r w:rsidRPr="002411C4">
        <w:rPr>
          <w:lang w:val="ru-RU"/>
        </w:rPr>
        <w:t xml:space="preserve"> </w:t>
      </w:r>
    </w:p>
    <w:p w:rsidR="00712676" w:rsidRPr="002411C4" w:rsidRDefault="00FA1A9B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Цель данного временного решения заключается не в </w:t>
      </w:r>
      <w:r w:rsidR="005449E2" w:rsidRPr="002411C4">
        <w:rPr>
          <w:lang w:val="ru-RU"/>
        </w:rPr>
        <w:t xml:space="preserve">том, чтобы </w:t>
      </w:r>
      <w:r w:rsidRPr="002411C4">
        <w:rPr>
          <w:lang w:val="ru-RU"/>
        </w:rPr>
        <w:t>поощр</w:t>
      </w:r>
      <w:r w:rsidR="005449E2" w:rsidRPr="002411C4">
        <w:rPr>
          <w:lang w:val="ru-RU"/>
        </w:rPr>
        <w:t xml:space="preserve">ять представление </w:t>
      </w:r>
      <w:r w:rsidRPr="002411C4">
        <w:rPr>
          <w:lang w:val="ru-RU"/>
        </w:rPr>
        <w:t xml:space="preserve">цветных изображений, а в </w:t>
      </w:r>
      <w:r w:rsidR="005449E2" w:rsidRPr="002411C4">
        <w:rPr>
          <w:lang w:val="ru-RU"/>
        </w:rPr>
        <w:t>том, чтобы признать тот факт, что многие международные заявки содержат цветные изображения, и обеспечить указанным ведомствам, которые принимают цветные чертежи на своей национальной фазе, более простой доступ к оригинальным документам.  Заявители, представляющие цветные изображения, должны понимать, что часто может быть трудно или невозможно заменить их соответствующими черно-белыми изображениями на национальной фазе из-за возможных возражений о включении дополнительного объекта</w:t>
      </w:r>
      <w:r w:rsidR="007535CD" w:rsidRPr="002411C4">
        <w:rPr>
          <w:lang w:val="ru-RU"/>
        </w:rPr>
        <w:t>.</w:t>
      </w:r>
      <w:r w:rsidR="005449E2" w:rsidRPr="002411C4">
        <w:rPr>
          <w:lang w:val="ru-RU"/>
        </w:rPr>
        <w:t xml:space="preserve"> </w:t>
      </w:r>
    </w:p>
    <w:p w:rsidR="00712676" w:rsidRPr="002411C4" w:rsidRDefault="005819B4" w:rsidP="002411C4">
      <w:pPr>
        <w:pStyle w:val="ONUME"/>
        <w:rPr>
          <w:lang w:val="ru-RU"/>
        </w:rPr>
      </w:pPr>
      <w:r w:rsidRPr="002411C4">
        <w:rPr>
          <w:lang w:val="ru-RU"/>
        </w:rPr>
        <w:t>Цель Международного бюро по-прежнему состоит в том, чтобы предлагать полную обработку цветных изображений в международных заявках на международной фазе и создать эффективную нормативную основу для признания цветных изображений на национальной фазе.  Однако для этого необходимо будет преодолеть значительные технические трудности, и реализация соответствующего решения в отрыве от других будет слишком дорогостоящей.  Работа над этим вопросом продолжается в контексте более широкого анализа и пересмотра процедур получения, обработки, изменения и публикации содержания заявок с учетом также желания добиться более эффективной полнотекстовой обработки документов</w:t>
      </w:r>
      <w:r w:rsidR="007535CD" w:rsidRPr="002411C4">
        <w:rPr>
          <w:lang w:val="ru-RU"/>
        </w:rPr>
        <w:t>.</w:t>
      </w:r>
      <w:r w:rsidRPr="002411C4">
        <w:rPr>
          <w:lang w:val="ru-RU"/>
        </w:rPr>
        <w:t xml:space="preserve"> </w:t>
      </w:r>
    </w:p>
    <w:p w:rsidR="00712676" w:rsidRPr="002411C4" w:rsidRDefault="00347966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lastRenderedPageBreak/>
        <w:t xml:space="preserve">Переход на национальную фазу </w:t>
      </w:r>
    </w:p>
    <w:p w:rsidR="00712676" w:rsidRPr="002411C4" w:rsidRDefault="00C12B64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После того, как в правило 95 PCT была внесена поправка о необходимости регулярного предоставления информации о переходе на национальную фазу, за шесть месяцев, прошедшие после ее вступления в силу 1 июля 2017 г., только 43 ведомства представили такую информацию. Менее половины из этих ведомств обновляли данную информацию, по крайней мере, на ежемесячной основе, и многие из полученных пакетов информации не поддавались полностью автоматической обработке.  Международное бюро работает в тесном контакте со многими заинтересованными указанными ведомствами над решением этой проблемы.  Более подробный обзор содержится в документе </w:t>
      </w:r>
      <w:r w:rsidR="008A6EF9" w:rsidRPr="002411C4">
        <w:rPr>
          <w:lang w:val="ru-RU"/>
        </w:rPr>
        <w:t>PCT/WG/11/10</w:t>
      </w:r>
      <w:r w:rsidR="007535CD" w:rsidRPr="002411C4">
        <w:rPr>
          <w:lang w:val="ru-RU"/>
        </w:rPr>
        <w:t>.</w:t>
      </w:r>
    </w:p>
    <w:p w:rsidR="00712676" w:rsidRPr="002411C4" w:rsidRDefault="00C12B64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 xml:space="preserve">Перечни последовательностей </w:t>
      </w:r>
    </w:p>
    <w:p w:rsidR="00712676" w:rsidRPr="002411C4" w:rsidRDefault="00C12B64" w:rsidP="002411C4">
      <w:pPr>
        <w:pStyle w:val="ONUME"/>
        <w:rPr>
          <w:lang w:val="ru-RU"/>
        </w:rPr>
      </w:pPr>
      <w:r w:rsidRPr="002411C4">
        <w:rPr>
          <w:lang w:val="ru-RU"/>
        </w:rPr>
        <w:t xml:space="preserve">Сектор PCT принимает активное участие в разработке нового инструментария для реализации </w:t>
      </w:r>
      <w:r w:rsidR="00564BBE" w:rsidRPr="002411C4">
        <w:rPr>
          <w:lang w:val="ru-RU"/>
        </w:rPr>
        <w:t>будущего стандарта ВОИС ST.26 в отношении перечней последовательностей, основанного на использовании формата XML</w:t>
      </w:r>
      <w:r w:rsidR="007535CD" w:rsidRPr="002411C4">
        <w:rPr>
          <w:lang w:val="ru-RU"/>
        </w:rPr>
        <w:t>.</w:t>
      </w:r>
      <w:r w:rsidR="00564BBE" w:rsidRPr="002411C4">
        <w:rPr>
          <w:lang w:val="ru-RU"/>
        </w:rPr>
        <w:t xml:space="preserve"> </w:t>
      </w:r>
    </w:p>
    <w:p w:rsidR="00712676" w:rsidRPr="002411C4" w:rsidRDefault="001B7618" w:rsidP="002411C4">
      <w:pPr>
        <w:pStyle w:val="Heading3"/>
        <w:keepNext w:val="0"/>
        <w:rPr>
          <w:lang w:val="ru-RU"/>
        </w:rPr>
      </w:pPr>
      <w:r w:rsidRPr="002411C4">
        <w:rPr>
          <w:lang w:val="ru-RU"/>
        </w:rPr>
        <w:t xml:space="preserve">Факсимильные сообщения </w:t>
      </w:r>
    </w:p>
    <w:p w:rsidR="00712676" w:rsidRPr="002411C4" w:rsidRDefault="001B7618" w:rsidP="002411C4">
      <w:pPr>
        <w:pStyle w:val="ONUME"/>
        <w:rPr>
          <w:lang w:val="ru-RU"/>
        </w:rPr>
      </w:pPr>
      <w:r w:rsidRPr="002411C4">
        <w:rPr>
          <w:lang w:val="ru-RU"/>
        </w:rPr>
        <w:t>Международному бюро недавно стало известно, что факсимильные сообщения могут не доходить до получателей или искажаться, о чем может быть не</w:t>
      </w:r>
      <w:r w:rsidR="00350BCB">
        <w:rPr>
          <w:lang w:val="ru-RU"/>
        </w:rPr>
        <w:t xml:space="preserve"> </w:t>
      </w:r>
      <w:r w:rsidRPr="002411C4">
        <w:rPr>
          <w:lang w:val="ru-RU"/>
        </w:rPr>
        <w:t xml:space="preserve">известно их отправителям, если частью цепочки связи служит передача факсимильных сообщений через Интернет (FoIP).  </w:t>
      </w:r>
      <w:r w:rsidR="003D4721" w:rsidRPr="002411C4">
        <w:rPr>
          <w:lang w:val="ru-RU"/>
        </w:rPr>
        <w:t xml:space="preserve">Это становится все более частой проблемой, поскольку все большее число отдельных компаний и национальных провайдеров отходит от использования аналоговой связи.  Провайдер услуг связи Международного бюро </w:t>
      </w:r>
      <w:r w:rsidR="00B75A10" w:rsidRPr="002411C4">
        <w:rPr>
          <w:lang w:val="ru-RU"/>
        </w:rPr>
        <w:t>прекратил использование аналоговой связи с 1 января 2018 г.  Поэтому Международное бюро настоятельно рекомендует заявителям и ведомствам прекратить пересылку документов в Международное бюро по факсу.  В скором времени будут начаты консультации в отношении предложения отменить в конце года возможность пересылки сообщений PCT в Международное бюро по факсу</w:t>
      </w:r>
      <w:r w:rsidR="007535CD" w:rsidRPr="002411C4">
        <w:rPr>
          <w:lang w:val="ru-RU"/>
        </w:rPr>
        <w:t>.</w:t>
      </w:r>
    </w:p>
    <w:p w:rsidR="00712676" w:rsidRPr="002411C4" w:rsidRDefault="00712676" w:rsidP="002411C4">
      <w:pPr>
        <w:pStyle w:val="ONUME"/>
        <w:tabs>
          <w:tab w:val="left" w:pos="6096"/>
        </w:tabs>
        <w:ind w:left="5534"/>
        <w:rPr>
          <w:i/>
          <w:iCs/>
          <w:lang w:val="ru-RU"/>
        </w:rPr>
      </w:pPr>
      <w:r w:rsidRPr="002411C4">
        <w:rPr>
          <w:i/>
          <w:iCs/>
          <w:lang w:val="ru-RU"/>
        </w:rPr>
        <w:t>Рабочей группе предлагается:</w:t>
      </w:r>
    </w:p>
    <w:p w:rsidR="00712676" w:rsidRPr="002411C4" w:rsidRDefault="00712676" w:rsidP="002411C4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2411C4">
        <w:rPr>
          <w:i/>
          <w:lang w:val="ru-RU"/>
        </w:rPr>
        <w:t>(i)</w:t>
      </w:r>
      <w:r w:rsidRPr="002411C4">
        <w:rPr>
          <w:lang w:val="ru-RU"/>
        </w:rPr>
        <w:tab/>
      </w:r>
      <w:r w:rsidRPr="002411C4">
        <w:rPr>
          <w:i/>
          <w:lang w:val="ru-RU"/>
        </w:rPr>
        <w:t>принять к сведению информацию о развитии онлайн-сервисов PCT;</w:t>
      </w:r>
    </w:p>
    <w:p w:rsidR="00712676" w:rsidRPr="002411C4" w:rsidRDefault="00712676" w:rsidP="002411C4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2411C4">
        <w:rPr>
          <w:i/>
          <w:lang w:val="ru-RU"/>
        </w:rPr>
        <w:t>(ii)</w:t>
      </w:r>
      <w:r w:rsidRPr="002411C4">
        <w:rPr>
          <w:lang w:val="ru-RU"/>
        </w:rPr>
        <w:tab/>
      </w:r>
      <w:r w:rsidRPr="002411C4">
        <w:rPr>
          <w:i/>
          <w:lang w:val="ru-RU"/>
        </w:rPr>
        <w:t>высказать свои замечания в отношении предложенных приоритетных направлений будущей работы;  и</w:t>
      </w:r>
    </w:p>
    <w:p w:rsidR="00712676" w:rsidRPr="002411C4" w:rsidRDefault="007535CD" w:rsidP="002411C4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iCs/>
          <w:lang w:val="ru-RU"/>
        </w:rPr>
      </w:pPr>
      <w:r w:rsidRPr="002411C4">
        <w:rPr>
          <w:i/>
          <w:lang w:val="ru-RU"/>
        </w:rPr>
        <w:t>(iv)</w:t>
      </w:r>
      <w:r w:rsidRPr="002411C4">
        <w:rPr>
          <w:i/>
          <w:lang w:val="ru-RU"/>
        </w:rPr>
        <w:tab/>
      </w:r>
      <w:r w:rsidR="00712676" w:rsidRPr="002411C4">
        <w:rPr>
          <w:i/>
          <w:lang w:val="ru-RU"/>
        </w:rPr>
        <w:t>определить круг других вопросов, касающихся онлайн-сервисов PCT, которым необходимо уделить первоочередное внимание с целью оказать содействие работе международных органов</w:t>
      </w:r>
      <w:r w:rsidRPr="002411C4">
        <w:rPr>
          <w:i/>
          <w:lang w:val="ru-RU"/>
        </w:rPr>
        <w:t>.</w:t>
      </w:r>
    </w:p>
    <w:p w:rsidR="00712676" w:rsidRDefault="00712676" w:rsidP="002411C4">
      <w:pPr>
        <w:rPr>
          <w:lang w:val="ru-RU"/>
        </w:rPr>
      </w:pPr>
    </w:p>
    <w:p w:rsidR="00350BCB" w:rsidRPr="002411C4" w:rsidRDefault="00350BCB" w:rsidP="002411C4">
      <w:pPr>
        <w:rPr>
          <w:lang w:val="ru-RU"/>
        </w:rPr>
      </w:pPr>
    </w:p>
    <w:p w:rsidR="00712676" w:rsidRPr="002411C4" w:rsidRDefault="007535CD" w:rsidP="002411C4">
      <w:pPr>
        <w:pStyle w:val="Endofdocument-Annex"/>
        <w:rPr>
          <w:lang w:val="ru-RU"/>
        </w:rPr>
      </w:pPr>
      <w:r w:rsidRPr="002411C4">
        <w:rPr>
          <w:lang w:val="ru-RU"/>
        </w:rPr>
        <w:t>[</w:t>
      </w:r>
      <w:r w:rsidR="00712676" w:rsidRPr="002411C4">
        <w:rPr>
          <w:lang w:val="ru-RU"/>
        </w:rPr>
        <w:t>Конец документа</w:t>
      </w:r>
      <w:r w:rsidRPr="002411C4">
        <w:rPr>
          <w:lang w:val="ru-RU"/>
        </w:rPr>
        <w:t>]</w:t>
      </w:r>
    </w:p>
    <w:sectPr w:rsidR="00712676" w:rsidRPr="002411C4" w:rsidSect="003627F4">
      <w:headerReference w:type="default" r:id="rId10"/>
      <w:endnotePr>
        <w:numFmt w:val="decimal"/>
      </w:endnotePr>
      <w:pgSz w:w="11907" w:h="16840" w:code="9"/>
      <w:pgMar w:top="567" w:right="1134" w:bottom="119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32" w:rsidRDefault="00496A32">
      <w:r>
        <w:separator/>
      </w:r>
    </w:p>
  </w:endnote>
  <w:endnote w:type="continuationSeparator" w:id="0">
    <w:p w:rsidR="00496A32" w:rsidRDefault="00496A32" w:rsidP="003B38C1">
      <w:r>
        <w:separator/>
      </w:r>
    </w:p>
    <w:p w:rsidR="00496A32" w:rsidRPr="003B38C1" w:rsidRDefault="00496A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6A32" w:rsidRPr="003B38C1" w:rsidRDefault="00496A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32" w:rsidRDefault="00496A32">
      <w:r>
        <w:separator/>
      </w:r>
    </w:p>
  </w:footnote>
  <w:footnote w:type="continuationSeparator" w:id="0">
    <w:p w:rsidR="00496A32" w:rsidRDefault="00496A32" w:rsidP="008B60B2">
      <w:r>
        <w:separator/>
      </w:r>
    </w:p>
    <w:p w:rsidR="00496A32" w:rsidRPr="00ED77FB" w:rsidRDefault="00496A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6A32" w:rsidRPr="00ED77FB" w:rsidRDefault="00496A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39" w:rsidRDefault="009A4C39" w:rsidP="00477D6B">
    <w:pPr>
      <w:jc w:val="right"/>
    </w:pPr>
    <w:bookmarkStart w:id="5" w:name="Code2"/>
    <w:bookmarkEnd w:id="5"/>
    <w:r>
      <w:t>PCT/WG/11/9</w:t>
    </w:r>
  </w:p>
  <w:p w:rsidR="009A4C39" w:rsidRDefault="009A4C39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24E84">
      <w:rPr>
        <w:noProof/>
      </w:rPr>
      <w:t>4</w:t>
    </w:r>
    <w:r>
      <w:fldChar w:fldCharType="end"/>
    </w:r>
  </w:p>
  <w:p w:rsidR="009A4C39" w:rsidRDefault="009A4C39" w:rsidP="00477D6B">
    <w:pPr>
      <w:jc w:val="right"/>
    </w:pPr>
  </w:p>
  <w:p w:rsidR="009A4C39" w:rsidRDefault="009A4C3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Ad-hoc\Glossaries|TextBase TMs\WorkspaceRTS\Ad-hoc\testsk|TextBase TMs\WorkspaceRTS\Ad-hoc\WIPO Assemblies|TextBase TMs\WorkspaceRTS\UPOV\UPOV"/>
    <w:docVar w:name="TextBaseURL" w:val="empty"/>
    <w:docVar w:name="UILng" w:val="en"/>
  </w:docVars>
  <w:rsids>
    <w:rsidRoot w:val="007535CD"/>
    <w:rsid w:val="000101AC"/>
    <w:rsid w:val="00014D92"/>
    <w:rsid w:val="000205B7"/>
    <w:rsid w:val="00043CAA"/>
    <w:rsid w:val="00051335"/>
    <w:rsid w:val="00055613"/>
    <w:rsid w:val="0006607D"/>
    <w:rsid w:val="00075432"/>
    <w:rsid w:val="000968ED"/>
    <w:rsid w:val="000C3E3E"/>
    <w:rsid w:val="000E45C6"/>
    <w:rsid w:val="000F5E56"/>
    <w:rsid w:val="00123383"/>
    <w:rsid w:val="001362EE"/>
    <w:rsid w:val="001647D5"/>
    <w:rsid w:val="00182876"/>
    <w:rsid w:val="001832A6"/>
    <w:rsid w:val="001A36F7"/>
    <w:rsid w:val="001B68A5"/>
    <w:rsid w:val="001B7618"/>
    <w:rsid w:val="001C4BB4"/>
    <w:rsid w:val="001E4911"/>
    <w:rsid w:val="0021217E"/>
    <w:rsid w:val="002411C4"/>
    <w:rsid w:val="002430F9"/>
    <w:rsid w:val="002453A2"/>
    <w:rsid w:val="002634C4"/>
    <w:rsid w:val="00285B4B"/>
    <w:rsid w:val="002928D3"/>
    <w:rsid w:val="002A2CEF"/>
    <w:rsid w:val="002D6321"/>
    <w:rsid w:val="002F1FE6"/>
    <w:rsid w:val="002F4E68"/>
    <w:rsid w:val="002F5253"/>
    <w:rsid w:val="00312F7F"/>
    <w:rsid w:val="00316416"/>
    <w:rsid w:val="003470F4"/>
    <w:rsid w:val="00347966"/>
    <w:rsid w:val="00350ADC"/>
    <w:rsid w:val="00350BCB"/>
    <w:rsid w:val="00361450"/>
    <w:rsid w:val="003627F4"/>
    <w:rsid w:val="003673CF"/>
    <w:rsid w:val="003845C1"/>
    <w:rsid w:val="00393C22"/>
    <w:rsid w:val="003A6F89"/>
    <w:rsid w:val="003B38C1"/>
    <w:rsid w:val="003D4721"/>
    <w:rsid w:val="0040290B"/>
    <w:rsid w:val="00412510"/>
    <w:rsid w:val="00423E3E"/>
    <w:rsid w:val="00427AF4"/>
    <w:rsid w:val="004647DA"/>
    <w:rsid w:val="00467F43"/>
    <w:rsid w:val="00474062"/>
    <w:rsid w:val="00477D6B"/>
    <w:rsid w:val="0049617E"/>
    <w:rsid w:val="00496A32"/>
    <w:rsid w:val="004A1B9F"/>
    <w:rsid w:val="004F4E1C"/>
    <w:rsid w:val="005019FF"/>
    <w:rsid w:val="00513B37"/>
    <w:rsid w:val="0053057A"/>
    <w:rsid w:val="005449E2"/>
    <w:rsid w:val="00560A29"/>
    <w:rsid w:val="00564BBE"/>
    <w:rsid w:val="00566B16"/>
    <w:rsid w:val="005819B4"/>
    <w:rsid w:val="005A3F68"/>
    <w:rsid w:val="005B415C"/>
    <w:rsid w:val="005C6649"/>
    <w:rsid w:val="005D4512"/>
    <w:rsid w:val="00603A00"/>
    <w:rsid w:val="00603E00"/>
    <w:rsid w:val="00605827"/>
    <w:rsid w:val="00635887"/>
    <w:rsid w:val="006375A6"/>
    <w:rsid w:val="00640B53"/>
    <w:rsid w:val="00646050"/>
    <w:rsid w:val="006625C5"/>
    <w:rsid w:val="006713CA"/>
    <w:rsid w:val="00676C5C"/>
    <w:rsid w:val="00696A01"/>
    <w:rsid w:val="00696E20"/>
    <w:rsid w:val="006B20C6"/>
    <w:rsid w:val="006B2276"/>
    <w:rsid w:val="006C4C0F"/>
    <w:rsid w:val="00712676"/>
    <w:rsid w:val="00744283"/>
    <w:rsid w:val="007535CD"/>
    <w:rsid w:val="00756C1B"/>
    <w:rsid w:val="00774B72"/>
    <w:rsid w:val="007B5B01"/>
    <w:rsid w:val="007D1613"/>
    <w:rsid w:val="007D3DB9"/>
    <w:rsid w:val="007E4C0E"/>
    <w:rsid w:val="007F6C16"/>
    <w:rsid w:val="008A134B"/>
    <w:rsid w:val="008A6EF9"/>
    <w:rsid w:val="008B2CC1"/>
    <w:rsid w:val="008B60B2"/>
    <w:rsid w:val="008C7327"/>
    <w:rsid w:val="00901969"/>
    <w:rsid w:val="0090731E"/>
    <w:rsid w:val="009128F0"/>
    <w:rsid w:val="00916EE2"/>
    <w:rsid w:val="009606A4"/>
    <w:rsid w:val="00963BA7"/>
    <w:rsid w:val="00966A22"/>
    <w:rsid w:val="0096722F"/>
    <w:rsid w:val="00980843"/>
    <w:rsid w:val="0099385E"/>
    <w:rsid w:val="009A4C39"/>
    <w:rsid w:val="009E147D"/>
    <w:rsid w:val="009E2791"/>
    <w:rsid w:val="009E3F6F"/>
    <w:rsid w:val="009E4020"/>
    <w:rsid w:val="009F499F"/>
    <w:rsid w:val="00A31A39"/>
    <w:rsid w:val="00A37342"/>
    <w:rsid w:val="00A378E8"/>
    <w:rsid w:val="00A42DAF"/>
    <w:rsid w:val="00A45BD8"/>
    <w:rsid w:val="00A777A7"/>
    <w:rsid w:val="00A869B7"/>
    <w:rsid w:val="00A9194D"/>
    <w:rsid w:val="00AA7CB7"/>
    <w:rsid w:val="00AC205C"/>
    <w:rsid w:val="00AC5892"/>
    <w:rsid w:val="00AE2E22"/>
    <w:rsid w:val="00AF0A6B"/>
    <w:rsid w:val="00B05A69"/>
    <w:rsid w:val="00B74035"/>
    <w:rsid w:val="00B75A10"/>
    <w:rsid w:val="00B876AA"/>
    <w:rsid w:val="00B9734B"/>
    <w:rsid w:val="00BA30E2"/>
    <w:rsid w:val="00C11BFE"/>
    <w:rsid w:val="00C12B64"/>
    <w:rsid w:val="00C340E2"/>
    <w:rsid w:val="00C37B71"/>
    <w:rsid w:val="00C406FA"/>
    <w:rsid w:val="00C5068F"/>
    <w:rsid w:val="00C86D74"/>
    <w:rsid w:val="00CC4E17"/>
    <w:rsid w:val="00CC561A"/>
    <w:rsid w:val="00CD04F1"/>
    <w:rsid w:val="00CE15CA"/>
    <w:rsid w:val="00D01123"/>
    <w:rsid w:val="00D14E93"/>
    <w:rsid w:val="00D45252"/>
    <w:rsid w:val="00D45C72"/>
    <w:rsid w:val="00D56793"/>
    <w:rsid w:val="00D71B4D"/>
    <w:rsid w:val="00D93D55"/>
    <w:rsid w:val="00D960B2"/>
    <w:rsid w:val="00E13E09"/>
    <w:rsid w:val="00E15015"/>
    <w:rsid w:val="00E153C4"/>
    <w:rsid w:val="00E20DCA"/>
    <w:rsid w:val="00E24E84"/>
    <w:rsid w:val="00E335FE"/>
    <w:rsid w:val="00E37834"/>
    <w:rsid w:val="00E519EC"/>
    <w:rsid w:val="00E74210"/>
    <w:rsid w:val="00EA46F9"/>
    <w:rsid w:val="00EA7D6E"/>
    <w:rsid w:val="00EC2071"/>
    <w:rsid w:val="00EC4E49"/>
    <w:rsid w:val="00ED77FB"/>
    <w:rsid w:val="00EE45FA"/>
    <w:rsid w:val="00F14330"/>
    <w:rsid w:val="00F21DF2"/>
    <w:rsid w:val="00F2428B"/>
    <w:rsid w:val="00F455B7"/>
    <w:rsid w:val="00F568FB"/>
    <w:rsid w:val="00F66152"/>
    <w:rsid w:val="00F81156"/>
    <w:rsid w:val="00F960DD"/>
    <w:rsid w:val="00FA1A9B"/>
    <w:rsid w:val="00FD045D"/>
    <w:rsid w:val="00FD265B"/>
    <w:rsid w:val="00FD5FCA"/>
    <w:rsid w:val="00F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51335"/>
    <w:pPr>
      <w:keepNext/>
      <w:spacing w:before="240" w:after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2F52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F525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525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2F5253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2F5253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51335"/>
    <w:pPr>
      <w:keepNext/>
      <w:spacing w:before="240" w:after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2F52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F525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525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2F5253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2F525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F705-B80D-4D9C-A3D9-CC99F156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8</Pages>
  <Words>3095</Words>
  <Characters>20718</Characters>
  <Application>Microsoft Office Word</Application>
  <DocSecurity>0</DocSecurity>
  <Lines>172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PCT/WG/11/9</vt:lpstr>
    </vt:vector>
  </TitlesOfParts>
  <Company>WIPO</Company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PCT/WG/11/9</dc:title>
  <dc:subject>PCT Online Services</dc:subject>
  <dc:creator>RICHARDSON Michael</dc:creator>
  <cp:lastModifiedBy>Marlow</cp:lastModifiedBy>
  <cp:revision>2</cp:revision>
  <cp:lastPrinted>2018-04-17T15:18:00Z</cp:lastPrinted>
  <dcterms:created xsi:type="dcterms:W3CDTF">2018-05-03T07:19:00Z</dcterms:created>
  <dcterms:modified xsi:type="dcterms:W3CDTF">2018-05-03T07:19:00Z</dcterms:modified>
</cp:coreProperties>
</file>