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C4EF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C4EF2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C4EF2" w:rsidRDefault="00037D62" w:rsidP="00916EE2">
            <w:pPr>
              <w:rPr>
                <w:lang w:val="ru-RU"/>
              </w:rPr>
            </w:pPr>
            <w:r w:rsidRPr="00EC4EF2">
              <w:rPr>
                <w:noProof/>
                <w:lang w:eastAsia="en-US"/>
              </w:rPr>
              <w:drawing>
                <wp:inline distT="0" distB="0" distL="0" distR="0" wp14:anchorId="4629F3FA" wp14:editId="5281A898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C4EF2" w:rsidRDefault="00CF2114" w:rsidP="00CF2114">
            <w:pPr>
              <w:jc w:val="right"/>
              <w:rPr>
                <w:sz w:val="40"/>
                <w:szCs w:val="40"/>
                <w:lang w:val="ru-RU"/>
              </w:rPr>
            </w:pPr>
            <w:r w:rsidRPr="00EC4EF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EC4EF2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C4EF2" w:rsidRDefault="00CF2114" w:rsidP="00CF211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C4EF2">
              <w:rPr>
                <w:rFonts w:ascii="Arial Black" w:hAnsi="Arial Black"/>
                <w:caps/>
                <w:sz w:val="15"/>
                <w:lang w:val="ru-RU"/>
              </w:rPr>
              <w:t>PCT/WG/11/19</w:t>
            </w:r>
          </w:p>
        </w:tc>
      </w:tr>
      <w:tr w:rsidR="008B2CC1" w:rsidRPr="00EC4EF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C4EF2" w:rsidRDefault="00CF2114" w:rsidP="00CF211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C4EF2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8B2CC1" w:rsidRPr="00EC4EF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EC4EF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C4EF2" w:rsidRDefault="00CF2114" w:rsidP="00CF211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C4EF2">
              <w:rPr>
                <w:rFonts w:ascii="Arial Black" w:hAnsi="Arial Black"/>
                <w:caps/>
                <w:sz w:val="15"/>
                <w:lang w:val="ru-RU"/>
              </w:rPr>
              <w:t>дата: 15 мая 2018 г.</w:t>
            </w:r>
            <w:r w:rsidR="008B2CC1" w:rsidRPr="00EC4EF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DC4A83" w:rsidRPr="00EC4EF2" w:rsidRDefault="00DC4A83" w:rsidP="008B2CC1">
      <w:pPr>
        <w:rPr>
          <w:lang w:val="ru-RU"/>
        </w:rPr>
      </w:pPr>
    </w:p>
    <w:p w:rsidR="00DC4A83" w:rsidRPr="00EC4EF2" w:rsidRDefault="00DC4A83" w:rsidP="008B2CC1">
      <w:pPr>
        <w:rPr>
          <w:lang w:val="ru-RU"/>
        </w:rPr>
      </w:pPr>
    </w:p>
    <w:p w:rsidR="00DC4A83" w:rsidRPr="00EC4EF2" w:rsidRDefault="00DC4A83" w:rsidP="008B2CC1">
      <w:pPr>
        <w:rPr>
          <w:lang w:val="ru-RU"/>
        </w:rPr>
      </w:pPr>
    </w:p>
    <w:p w:rsidR="00DC4A83" w:rsidRPr="00EC4EF2" w:rsidRDefault="00DC4A83" w:rsidP="008B2CC1">
      <w:pPr>
        <w:rPr>
          <w:lang w:val="ru-RU"/>
        </w:rPr>
      </w:pPr>
    </w:p>
    <w:p w:rsidR="00DC4A83" w:rsidRPr="00EC4EF2" w:rsidRDefault="00DC4A83" w:rsidP="008B2CC1">
      <w:pPr>
        <w:rPr>
          <w:lang w:val="ru-RU"/>
        </w:rPr>
      </w:pPr>
    </w:p>
    <w:p w:rsidR="00DC4A83" w:rsidRPr="00EC4EF2" w:rsidRDefault="00CF2114" w:rsidP="00CF2114">
      <w:pPr>
        <w:rPr>
          <w:b/>
          <w:sz w:val="28"/>
          <w:szCs w:val="28"/>
          <w:lang w:val="ru-RU"/>
        </w:rPr>
      </w:pPr>
      <w:r w:rsidRPr="00EC4EF2">
        <w:rPr>
          <w:b/>
          <w:sz w:val="28"/>
          <w:szCs w:val="28"/>
          <w:lang w:val="ru-RU"/>
        </w:rPr>
        <w:t>Рабочая группа по</w:t>
      </w:r>
    </w:p>
    <w:p w:rsidR="00DC4A83" w:rsidRPr="00EC4EF2" w:rsidRDefault="00CF2114" w:rsidP="00CF2114">
      <w:pPr>
        <w:rPr>
          <w:b/>
          <w:sz w:val="28"/>
          <w:szCs w:val="28"/>
          <w:lang w:val="ru-RU"/>
        </w:rPr>
      </w:pPr>
      <w:r w:rsidRPr="00EC4EF2">
        <w:rPr>
          <w:b/>
          <w:sz w:val="28"/>
          <w:szCs w:val="28"/>
          <w:lang w:val="ru-RU"/>
        </w:rPr>
        <w:t>Договору о патентной кооперации (PCT)</w:t>
      </w:r>
    </w:p>
    <w:p w:rsidR="00DC4A83" w:rsidRPr="00EC4EF2" w:rsidRDefault="00DC4A83" w:rsidP="003845C1">
      <w:pPr>
        <w:rPr>
          <w:lang w:val="ru-RU"/>
        </w:rPr>
      </w:pPr>
    </w:p>
    <w:p w:rsidR="00DC4A83" w:rsidRPr="00EC4EF2" w:rsidRDefault="00DC4A83" w:rsidP="003845C1">
      <w:pPr>
        <w:rPr>
          <w:lang w:val="ru-RU"/>
        </w:rPr>
      </w:pPr>
    </w:p>
    <w:p w:rsidR="00DC4A83" w:rsidRPr="00EC4EF2" w:rsidRDefault="00CF2114" w:rsidP="00CF2114">
      <w:pPr>
        <w:rPr>
          <w:b/>
          <w:sz w:val="24"/>
          <w:szCs w:val="24"/>
          <w:lang w:val="ru-RU"/>
        </w:rPr>
      </w:pPr>
      <w:r w:rsidRPr="00EC4EF2">
        <w:rPr>
          <w:b/>
          <w:sz w:val="24"/>
          <w:szCs w:val="24"/>
          <w:lang w:val="ru-RU"/>
        </w:rPr>
        <w:t>Одиннадцатая сессия</w:t>
      </w:r>
    </w:p>
    <w:p w:rsidR="00DC4A83" w:rsidRPr="00EC4EF2" w:rsidRDefault="00CF2114" w:rsidP="00CF2114">
      <w:pPr>
        <w:rPr>
          <w:b/>
          <w:sz w:val="24"/>
          <w:szCs w:val="24"/>
          <w:lang w:val="ru-RU"/>
        </w:rPr>
      </w:pPr>
      <w:r w:rsidRPr="00EC4EF2">
        <w:rPr>
          <w:b/>
          <w:sz w:val="24"/>
          <w:szCs w:val="24"/>
          <w:lang w:val="ru-RU"/>
        </w:rPr>
        <w:t>Женева, 18–22 июня 2018 г.</w:t>
      </w:r>
    </w:p>
    <w:p w:rsidR="00DC4A83" w:rsidRPr="00EC4EF2" w:rsidRDefault="00DC4A83" w:rsidP="008B2CC1">
      <w:pPr>
        <w:rPr>
          <w:lang w:val="ru-RU"/>
        </w:rPr>
      </w:pPr>
    </w:p>
    <w:p w:rsidR="00DC4A83" w:rsidRPr="00EC4EF2" w:rsidRDefault="00DC4A83" w:rsidP="008B2CC1">
      <w:pPr>
        <w:rPr>
          <w:lang w:val="ru-RU"/>
        </w:rPr>
      </w:pPr>
    </w:p>
    <w:p w:rsidR="00DC4A83" w:rsidRPr="00EC4EF2" w:rsidRDefault="00DC4A83" w:rsidP="008B2CC1">
      <w:pPr>
        <w:rPr>
          <w:lang w:val="ru-RU"/>
        </w:rPr>
      </w:pPr>
    </w:p>
    <w:p w:rsidR="00DC4A83" w:rsidRPr="00EC4EF2" w:rsidRDefault="00CF2114" w:rsidP="00CF2114">
      <w:pPr>
        <w:rPr>
          <w:caps/>
          <w:sz w:val="24"/>
          <w:lang w:val="ru-RU"/>
        </w:rPr>
      </w:pPr>
      <w:bookmarkStart w:id="0" w:name="TitleOfDoc"/>
      <w:bookmarkEnd w:id="0"/>
      <w:r w:rsidRPr="00EC4EF2">
        <w:rPr>
          <w:caps/>
          <w:sz w:val="24"/>
          <w:lang w:val="ru-RU"/>
        </w:rPr>
        <w:t>Меры на случай сбоев в работе систем, затрагивающих ведомства</w:t>
      </w:r>
    </w:p>
    <w:p w:rsidR="00DC4A83" w:rsidRPr="00EC4EF2" w:rsidRDefault="00DC4A83" w:rsidP="008B2CC1">
      <w:pPr>
        <w:rPr>
          <w:lang w:val="ru-RU"/>
        </w:rPr>
      </w:pPr>
    </w:p>
    <w:p w:rsidR="00DC4A83" w:rsidRPr="00EC4EF2" w:rsidRDefault="00CF2114" w:rsidP="00CF2114">
      <w:pPr>
        <w:rPr>
          <w:i/>
          <w:lang w:val="ru-RU"/>
        </w:rPr>
      </w:pPr>
      <w:bookmarkStart w:id="1" w:name="Prepared"/>
      <w:bookmarkEnd w:id="1"/>
      <w:r w:rsidRPr="00EC4EF2">
        <w:rPr>
          <w:i/>
          <w:lang w:val="ru-RU"/>
        </w:rPr>
        <w:t>Документ подготовлен Европейским патентным ведомством (ЕПВ)</w:t>
      </w:r>
    </w:p>
    <w:p w:rsidR="00DC4A83" w:rsidRPr="00EC4EF2" w:rsidRDefault="00DC4A83" w:rsidP="00CD4E57">
      <w:pPr>
        <w:rPr>
          <w:lang w:val="ru-RU"/>
        </w:rPr>
      </w:pPr>
    </w:p>
    <w:p w:rsidR="00DC4A83" w:rsidRPr="00EC4EF2" w:rsidRDefault="00DC4A83">
      <w:pPr>
        <w:rPr>
          <w:lang w:val="ru-RU"/>
        </w:rPr>
      </w:pPr>
    </w:p>
    <w:p w:rsidR="00DC4A83" w:rsidRPr="00EC4EF2" w:rsidRDefault="00DC4A83">
      <w:pPr>
        <w:rPr>
          <w:lang w:val="ru-RU"/>
        </w:rPr>
      </w:pPr>
    </w:p>
    <w:p w:rsidR="00DC4A83" w:rsidRPr="00EC4EF2" w:rsidRDefault="00CF2114" w:rsidP="00CF2114">
      <w:pPr>
        <w:pStyle w:val="Heading1"/>
        <w:rPr>
          <w:lang w:val="ru-RU"/>
        </w:rPr>
      </w:pPr>
      <w:r w:rsidRPr="00EC4EF2">
        <w:rPr>
          <w:lang w:val="ru-RU"/>
        </w:rPr>
        <w:t>РЕЗЮМЕ</w:t>
      </w:r>
    </w:p>
    <w:p w:rsidR="00DC4A83" w:rsidRPr="00EC4EF2" w:rsidRDefault="00037D62" w:rsidP="006943EE">
      <w:pPr>
        <w:pStyle w:val="ONUME"/>
        <w:rPr>
          <w:lang w:val="ru-RU"/>
        </w:rPr>
      </w:pPr>
      <w:r w:rsidRPr="00EC4EF2">
        <w:rPr>
          <w:lang w:val="ru-RU"/>
        </w:rPr>
        <w:t>В настоящем документе предл</w:t>
      </w:r>
      <w:r w:rsidR="006943EE" w:rsidRPr="00EC4EF2">
        <w:rPr>
          <w:lang w:val="ru-RU"/>
        </w:rPr>
        <w:t xml:space="preserve">агается </w:t>
      </w:r>
      <w:r w:rsidRPr="00EC4EF2">
        <w:rPr>
          <w:lang w:val="ru-RU"/>
        </w:rPr>
        <w:t>внес</w:t>
      </w:r>
      <w:r w:rsidR="006943EE" w:rsidRPr="00EC4EF2">
        <w:rPr>
          <w:lang w:val="ru-RU"/>
        </w:rPr>
        <w:t xml:space="preserve">ти поправку </w:t>
      </w:r>
      <w:r w:rsidRPr="00EC4EF2">
        <w:rPr>
          <w:lang w:val="ru-RU"/>
        </w:rPr>
        <w:t>в Инструкцию к PCT, включ</w:t>
      </w:r>
      <w:r w:rsidR="006943EE" w:rsidRPr="00EC4EF2">
        <w:rPr>
          <w:lang w:val="ru-RU"/>
        </w:rPr>
        <w:t xml:space="preserve">ив в правило 80.5 </w:t>
      </w:r>
      <w:r w:rsidRPr="00EC4EF2">
        <w:rPr>
          <w:lang w:val="ru-RU"/>
        </w:rPr>
        <w:t>дополнительн</w:t>
      </w:r>
      <w:r w:rsidR="006943EE" w:rsidRPr="00EC4EF2">
        <w:rPr>
          <w:lang w:val="ru-RU"/>
        </w:rPr>
        <w:t xml:space="preserve">ый подпункт о продлении </w:t>
      </w:r>
      <w:r w:rsidRPr="00EC4EF2">
        <w:rPr>
          <w:lang w:val="ru-RU"/>
        </w:rPr>
        <w:t xml:space="preserve">срока, если истечение срока в ведомстве приходится на </w:t>
      </w:r>
      <w:r w:rsidR="00EC4EF2">
        <w:rPr>
          <w:lang w:val="ru-RU"/>
        </w:rPr>
        <w:t xml:space="preserve">день, в который, как установлено ведомством, </w:t>
      </w:r>
      <w:r w:rsidRPr="00EC4EF2">
        <w:rPr>
          <w:lang w:val="ru-RU"/>
        </w:rPr>
        <w:t>документы, поданные с использованием одного из допустимых электронных с</w:t>
      </w:r>
      <w:r w:rsidR="004E0711" w:rsidRPr="00EC4EF2">
        <w:rPr>
          <w:lang w:val="ru-RU"/>
        </w:rPr>
        <w:t xml:space="preserve">редств </w:t>
      </w:r>
      <w:r w:rsidR="006943EE" w:rsidRPr="00EC4EF2">
        <w:rPr>
          <w:lang w:val="ru-RU"/>
        </w:rPr>
        <w:t>связи, не могут быть приняты</w:t>
      </w:r>
      <w:r w:rsidR="00FA42C7" w:rsidRPr="00EC4EF2">
        <w:rPr>
          <w:lang w:val="ru-RU"/>
        </w:rPr>
        <w:t>.</w:t>
      </w:r>
      <w:r w:rsidR="006943EE" w:rsidRPr="00EC4EF2">
        <w:rPr>
          <w:lang w:val="ru-RU"/>
        </w:rPr>
        <w:t xml:space="preserve"> </w:t>
      </w:r>
    </w:p>
    <w:p w:rsidR="00DC4A83" w:rsidRPr="00EC4EF2" w:rsidRDefault="00CF2114" w:rsidP="004E0711">
      <w:pPr>
        <w:pStyle w:val="Heading1"/>
        <w:tabs>
          <w:tab w:val="center" w:pos="4677"/>
        </w:tabs>
        <w:rPr>
          <w:lang w:val="ru-RU"/>
        </w:rPr>
      </w:pPr>
      <w:r w:rsidRPr="00EC4EF2">
        <w:rPr>
          <w:lang w:val="ru-RU"/>
        </w:rPr>
        <w:t>Общая информация</w:t>
      </w:r>
    </w:p>
    <w:p w:rsidR="00DC4A83" w:rsidRPr="00EC4EF2" w:rsidRDefault="00CD4E57" w:rsidP="0033736A">
      <w:pPr>
        <w:pStyle w:val="ONUME"/>
        <w:rPr>
          <w:lang w:val="ru-RU"/>
        </w:rPr>
      </w:pPr>
      <w:r w:rsidRPr="00EC4EF2">
        <w:rPr>
          <w:lang w:val="ru-RU"/>
        </w:rPr>
        <w:t xml:space="preserve">За последнее десятилетие Европейское патентное ведомство (ЕПВ) существенно расширило перечень возможных способов подачи заявок в электронной форме в соответствии с правилом PCT 89bis, который в настоящее время включает </w:t>
      </w:r>
      <w:r w:rsidR="0033736A" w:rsidRPr="00EC4EF2">
        <w:rPr>
          <w:lang w:val="ru-RU"/>
        </w:rPr>
        <w:t>подачу с помощью веб-формы, онлайн-приложения, нового онлайн-приложения (CMS) и платформ ePCT и PCT-SAFE</w:t>
      </w:r>
      <w:r w:rsidR="00D808A4" w:rsidRPr="00EC4EF2">
        <w:rPr>
          <w:lang w:val="ru-RU"/>
        </w:rPr>
        <w:t>.</w:t>
      </w:r>
      <w:r w:rsidR="0033736A" w:rsidRPr="00EC4EF2">
        <w:rPr>
          <w:lang w:val="ru-RU"/>
        </w:rPr>
        <w:t xml:space="preserve"> </w:t>
      </w:r>
    </w:p>
    <w:p w:rsidR="00DC4A83" w:rsidRPr="00EC4EF2" w:rsidRDefault="004E0711" w:rsidP="004E0711">
      <w:pPr>
        <w:pStyle w:val="ONUME"/>
        <w:rPr>
          <w:lang w:val="ru-RU"/>
        </w:rPr>
      </w:pPr>
      <w:r w:rsidRPr="00EC4EF2">
        <w:rPr>
          <w:lang w:val="ru-RU"/>
        </w:rPr>
        <w:t>Во взаимоотношениях ведомств с пользователями все большее значение приобретают электронные средства связи.  Однако эти средства связи могут оказаться недоступными из-за сбоя на стороне ведомства</w:t>
      </w:r>
      <w:r w:rsidR="00D808A4" w:rsidRPr="00EC4EF2">
        <w:rPr>
          <w:lang w:val="ru-RU"/>
        </w:rPr>
        <w:t xml:space="preserve">. </w:t>
      </w:r>
    </w:p>
    <w:p w:rsidR="00DC4A83" w:rsidRPr="00EC4EF2" w:rsidRDefault="005E58CC" w:rsidP="00AD010D">
      <w:pPr>
        <w:pStyle w:val="ONUME"/>
        <w:rPr>
          <w:lang w:val="ru-RU"/>
        </w:rPr>
      </w:pPr>
      <w:r w:rsidRPr="00EC4EF2">
        <w:rPr>
          <w:lang w:val="ru-RU"/>
        </w:rPr>
        <w:t>В правиле 82quater.1 изложены меры</w:t>
      </w:r>
      <w:r w:rsidR="004E0711" w:rsidRPr="00EC4EF2">
        <w:rPr>
          <w:lang w:val="ru-RU"/>
        </w:rPr>
        <w:t>, которые могут быть приняты в случае недоступности при определенных обстоятельствах электронных средств связи на стороне пользователя</w:t>
      </w:r>
      <w:r w:rsidRPr="00EC4EF2">
        <w:rPr>
          <w:lang w:val="ru-RU"/>
        </w:rPr>
        <w:t xml:space="preserve">.  Однако случаи сбоев в работе электронных средств связи по причинам, связанным с патентным ведомством, напрямую не рассматриваются в PCT.  Поэтому ЕПВ предлагает внести поправку в правило 80.5 с целью предусмотреть такую ситуацию и предоставить пользователям возможность </w:t>
      </w:r>
      <w:r w:rsidR="008C5A28" w:rsidRPr="00EC4EF2">
        <w:rPr>
          <w:lang w:val="ru-RU"/>
        </w:rPr>
        <w:t xml:space="preserve">получить продление срока в случае сбоя в </w:t>
      </w:r>
      <w:r w:rsidR="008C5A28" w:rsidRPr="00EC4EF2">
        <w:rPr>
          <w:lang w:val="ru-RU"/>
        </w:rPr>
        <w:lastRenderedPageBreak/>
        <w:t xml:space="preserve">работе электронных средств связи.  </w:t>
      </w:r>
      <w:r w:rsidR="00AD010D" w:rsidRPr="00EC4EF2">
        <w:rPr>
          <w:lang w:val="ru-RU"/>
        </w:rPr>
        <w:t xml:space="preserve">Предложение </w:t>
      </w:r>
      <w:r w:rsidR="008C5A28" w:rsidRPr="00EC4EF2">
        <w:rPr>
          <w:lang w:val="ru-RU"/>
        </w:rPr>
        <w:t>было представлено для получения комментариев на двадцать пятой сессии Совещания международных органов</w:t>
      </w:r>
      <w:r w:rsidR="00FB666A" w:rsidRPr="00EC4EF2">
        <w:rPr>
          <w:lang w:val="ru-RU"/>
        </w:rPr>
        <w:t xml:space="preserve">, состоявшейся в феврале 2018 г. в Мадриде (см. документ PCT/MIA/25/12);  </w:t>
      </w:r>
      <w:r w:rsidR="00AD010D" w:rsidRPr="00EC4EF2">
        <w:rPr>
          <w:lang w:val="ru-RU"/>
        </w:rPr>
        <w:t xml:space="preserve">резюме комментариев международных органов по данному предложению приводится в пунктах 29-34 резюме председателя сессии, воспроизведенного в приложении к документу </w:t>
      </w:r>
      <w:r w:rsidR="001629EC" w:rsidRPr="00EC4EF2">
        <w:rPr>
          <w:lang w:val="ru-RU"/>
        </w:rPr>
        <w:t>PCT/WG/11/2</w:t>
      </w:r>
      <w:r w:rsidR="00D808A4" w:rsidRPr="00EC4EF2">
        <w:rPr>
          <w:lang w:val="ru-RU"/>
        </w:rPr>
        <w:t>.</w:t>
      </w:r>
      <w:r w:rsidR="00AD010D" w:rsidRPr="00EC4EF2">
        <w:rPr>
          <w:lang w:val="ru-RU"/>
        </w:rPr>
        <w:t xml:space="preserve"> </w:t>
      </w:r>
    </w:p>
    <w:p w:rsidR="00DC4A83" w:rsidRPr="00EC4EF2" w:rsidRDefault="0011289B" w:rsidP="003C6445">
      <w:pPr>
        <w:pStyle w:val="ONUME"/>
        <w:rPr>
          <w:lang w:val="ru-RU"/>
        </w:rPr>
      </w:pPr>
      <w:r w:rsidRPr="00EC4EF2">
        <w:rPr>
          <w:lang w:val="ru-RU"/>
        </w:rPr>
        <w:t xml:space="preserve">Электронные средства связи могут быть недоступны по ряду причин.  Например, в условиях усиления проблемы хакерства во всем мире системы ведомства могут подвергнуться кибератаке.  </w:t>
      </w:r>
      <w:r w:rsidR="007966C4" w:rsidRPr="00EC4EF2">
        <w:rPr>
          <w:lang w:val="ru-RU"/>
        </w:rPr>
        <w:t xml:space="preserve">Кроме того, для повышения качества услуг, оказываемых пользователям в режиме онлайн, необходимо проведение регулярного технического обслуживания электронных систем.  В некоторых </w:t>
      </w:r>
      <w:r w:rsidR="00626441" w:rsidRPr="00EC4EF2">
        <w:rPr>
          <w:lang w:val="ru-RU"/>
        </w:rPr>
        <w:t>особых</w:t>
      </w:r>
      <w:r w:rsidR="007966C4" w:rsidRPr="00EC4EF2">
        <w:rPr>
          <w:lang w:val="ru-RU"/>
        </w:rPr>
        <w:t xml:space="preserve"> случаях </w:t>
      </w:r>
      <w:r w:rsidR="00F07136" w:rsidRPr="00EC4EF2">
        <w:rPr>
          <w:lang w:val="ru-RU"/>
        </w:rPr>
        <w:t xml:space="preserve">проведение такого </w:t>
      </w:r>
      <w:r w:rsidR="007966C4" w:rsidRPr="00EC4EF2">
        <w:rPr>
          <w:lang w:val="ru-RU"/>
        </w:rPr>
        <w:t xml:space="preserve">технического обслуживания </w:t>
      </w:r>
      <w:r w:rsidR="00F07136" w:rsidRPr="00EC4EF2">
        <w:rPr>
          <w:lang w:val="ru-RU"/>
        </w:rPr>
        <w:t xml:space="preserve">может препятствовать полноценному использованию пользователями электронных систем подачи.  Для того чтобы не создавать неудобств пользователям, плановое техническое обслуживание обычно проводят по нерабочим дням.  </w:t>
      </w:r>
      <w:r w:rsidR="00774B3D" w:rsidRPr="00EC4EF2">
        <w:rPr>
          <w:lang w:val="ru-RU"/>
        </w:rPr>
        <w:t xml:space="preserve">Согласно разделу 709 Административной инструкцию к PCT, </w:t>
      </w:r>
      <w:r w:rsidR="00F07136" w:rsidRPr="00EC4EF2">
        <w:rPr>
          <w:lang w:val="ru-RU"/>
        </w:rPr>
        <w:t>ЕПВ</w:t>
      </w:r>
      <w:r w:rsidR="00774B3D" w:rsidRPr="00EC4EF2">
        <w:rPr>
          <w:lang w:val="ru-RU"/>
        </w:rPr>
        <w:t xml:space="preserve"> публикует информацию о периодах недоступности системы на специальной странице своего веб-сайта, как правило, </w:t>
      </w:r>
      <w:r w:rsidR="00F07136" w:rsidRPr="00EC4EF2">
        <w:rPr>
          <w:lang w:val="ru-RU"/>
        </w:rPr>
        <w:t xml:space="preserve">за несколько дней </w:t>
      </w:r>
      <w:r w:rsidR="00774B3D" w:rsidRPr="00EC4EF2">
        <w:rPr>
          <w:lang w:val="ru-RU"/>
        </w:rPr>
        <w:t xml:space="preserve">до проведения таких работ.  ЕПВ рекомендует заинтересованным сторонам регулярно проверять наличие такой информации на веб-сайте, с тем чтобы они заранее знали о недоступности системы ввиду проведения технического обслуживания.  Публикация информации о периодах недоступности системы также позволяет ретроактивно установить, были ли электронные средства связи доступны в определенный день </w:t>
      </w:r>
      <w:r w:rsidR="003C6445" w:rsidRPr="00EC4EF2">
        <w:rPr>
          <w:lang w:val="ru-RU"/>
        </w:rPr>
        <w:t>в ЕПВ</w:t>
      </w:r>
      <w:r w:rsidR="00D808A4" w:rsidRPr="00EC4EF2">
        <w:rPr>
          <w:lang w:val="ru-RU"/>
        </w:rPr>
        <w:t xml:space="preserve">. </w:t>
      </w:r>
    </w:p>
    <w:p w:rsidR="00DC4A83" w:rsidRPr="00EC4EF2" w:rsidRDefault="00566B4C" w:rsidP="008942F9">
      <w:pPr>
        <w:pStyle w:val="ONUME"/>
        <w:rPr>
          <w:lang w:val="ru-RU"/>
        </w:rPr>
      </w:pPr>
      <w:r w:rsidRPr="00EC4EF2">
        <w:rPr>
          <w:lang w:val="ru-RU"/>
        </w:rPr>
        <w:t>Правило 134(1) Европейской патентной конвенции (ЕПК) обеспечивает защиту интересов пользователей в случае недоступности какого-либо электронного средства связи в последний день установленного срока для завершения процедурных действий.  Данная защита обеспечивается путем продления срока до первого рабочего дня, в который все электронные средства связи являются доступными.  Условием продления срока является недоступность системы вследствие действий ЕПВ.  Ввиду того, что PCT не содержит соотве</w:t>
      </w:r>
      <w:r w:rsidR="008942F9" w:rsidRPr="00EC4EF2">
        <w:rPr>
          <w:lang w:val="ru-RU"/>
        </w:rPr>
        <w:t xml:space="preserve">тствующего положения, ЕПВ в настоящее время применяет правило 134(1) ЕПК в дополнение к процедурам PCT (статья 150(2) ЕПК).  Аналогичная ситуация может возникать </w:t>
      </w:r>
      <w:r w:rsidR="00F6003C" w:rsidRPr="00EC4EF2">
        <w:rPr>
          <w:lang w:val="ru-RU"/>
        </w:rPr>
        <w:t xml:space="preserve">и </w:t>
      </w:r>
      <w:r w:rsidR="008942F9" w:rsidRPr="00EC4EF2">
        <w:rPr>
          <w:lang w:val="ru-RU"/>
        </w:rPr>
        <w:t>в других ведомствах</w:t>
      </w:r>
      <w:r w:rsidR="00CA21F3" w:rsidRPr="00EC4EF2">
        <w:rPr>
          <w:lang w:val="ru-RU"/>
        </w:rPr>
        <w:t>.</w:t>
      </w:r>
      <w:r w:rsidR="008942F9" w:rsidRPr="00EC4EF2">
        <w:rPr>
          <w:lang w:val="ru-RU"/>
        </w:rPr>
        <w:t xml:space="preserve"> </w:t>
      </w:r>
    </w:p>
    <w:p w:rsidR="00DC4A83" w:rsidRPr="00EC4EF2" w:rsidRDefault="00CF2114" w:rsidP="00CF2114">
      <w:pPr>
        <w:pStyle w:val="Heading1"/>
        <w:rPr>
          <w:lang w:val="ru-RU"/>
        </w:rPr>
      </w:pPr>
      <w:r w:rsidRPr="00EC4EF2">
        <w:rPr>
          <w:lang w:val="ru-RU"/>
        </w:rPr>
        <w:t>ПРЕДЛОЖЕНИЕ</w:t>
      </w:r>
    </w:p>
    <w:p w:rsidR="00DC4A83" w:rsidRPr="00EC4EF2" w:rsidRDefault="008942F9" w:rsidP="007E51EA">
      <w:pPr>
        <w:pStyle w:val="ONUME"/>
        <w:rPr>
          <w:lang w:val="ru-RU"/>
        </w:rPr>
      </w:pPr>
      <w:r w:rsidRPr="00EC4EF2">
        <w:rPr>
          <w:lang w:val="ru-RU"/>
        </w:rPr>
        <w:t>В целях обеспечения в рамках системы PCT нормативной основы для продления сроков завершения действий при недоступности систем</w:t>
      </w:r>
      <w:r w:rsidR="001D330B" w:rsidRPr="00EC4EF2">
        <w:rPr>
          <w:lang w:val="ru-RU"/>
        </w:rPr>
        <w:t>ы</w:t>
      </w:r>
      <w:r w:rsidRPr="00EC4EF2">
        <w:rPr>
          <w:lang w:val="ru-RU"/>
        </w:rPr>
        <w:t xml:space="preserve"> по причинам, связанным с ведомств</w:t>
      </w:r>
      <w:r w:rsidR="001D330B" w:rsidRPr="00EC4EF2">
        <w:rPr>
          <w:lang w:val="ru-RU"/>
        </w:rPr>
        <w:t>ом</w:t>
      </w:r>
      <w:r w:rsidRPr="00EC4EF2">
        <w:rPr>
          <w:lang w:val="ru-RU"/>
        </w:rPr>
        <w:t xml:space="preserve">, предлагается ввести в правило 80.5 новый подпункт (iii) в формулировке, изложенной </w:t>
      </w:r>
      <w:r w:rsidR="001D330B" w:rsidRPr="00EC4EF2">
        <w:rPr>
          <w:lang w:val="ru-RU"/>
        </w:rPr>
        <w:t>в</w:t>
      </w:r>
      <w:r w:rsidRPr="00EC4EF2">
        <w:rPr>
          <w:lang w:val="ru-RU"/>
        </w:rPr>
        <w:t xml:space="preserve"> приложении к настоящему документу.  </w:t>
      </w:r>
      <w:r w:rsidR="007E51EA" w:rsidRPr="00EC4EF2">
        <w:rPr>
          <w:lang w:val="ru-RU"/>
        </w:rPr>
        <w:t xml:space="preserve">Если это будет сочтено необходимым Международным бюро, дополнительная </w:t>
      </w:r>
      <w:r w:rsidRPr="00EC4EF2">
        <w:rPr>
          <w:lang w:val="ru-RU"/>
        </w:rPr>
        <w:t>информация</w:t>
      </w:r>
      <w:r w:rsidR="005D6038" w:rsidRPr="00EC4EF2">
        <w:rPr>
          <w:lang w:val="ru-RU"/>
        </w:rPr>
        <w:t xml:space="preserve">, в частности </w:t>
      </w:r>
      <w:r w:rsidRPr="00EC4EF2">
        <w:rPr>
          <w:lang w:val="ru-RU"/>
        </w:rPr>
        <w:t xml:space="preserve">о том, как </w:t>
      </w:r>
      <w:r w:rsidR="005D6038" w:rsidRPr="00EC4EF2">
        <w:rPr>
          <w:lang w:val="ru-RU"/>
        </w:rPr>
        <w:t xml:space="preserve">ведомства </w:t>
      </w:r>
      <w:r w:rsidR="007E51EA" w:rsidRPr="00EC4EF2">
        <w:rPr>
          <w:lang w:val="ru-RU"/>
        </w:rPr>
        <w:t xml:space="preserve">будут принимать решения </w:t>
      </w:r>
      <w:r w:rsidR="005D6038" w:rsidRPr="00EC4EF2">
        <w:rPr>
          <w:lang w:val="ru-RU"/>
        </w:rPr>
        <w:t xml:space="preserve">в каждом конкретном случае о </w:t>
      </w:r>
      <w:r w:rsidR="007E51EA" w:rsidRPr="00EC4EF2">
        <w:rPr>
          <w:lang w:val="ru-RU"/>
        </w:rPr>
        <w:t xml:space="preserve">возможности </w:t>
      </w:r>
      <w:r w:rsidR="005D6038" w:rsidRPr="00EC4EF2">
        <w:rPr>
          <w:lang w:val="ru-RU"/>
        </w:rPr>
        <w:t xml:space="preserve">продлении срока, </w:t>
      </w:r>
      <w:r w:rsidR="007E51EA" w:rsidRPr="00EC4EF2">
        <w:rPr>
          <w:lang w:val="ru-RU"/>
        </w:rPr>
        <w:t>может быть изложена в Руководстве PCT для получающего ведомства</w:t>
      </w:r>
      <w:r w:rsidR="00D808A4" w:rsidRPr="00EC4EF2">
        <w:rPr>
          <w:lang w:val="ru-RU"/>
        </w:rPr>
        <w:t>.</w:t>
      </w:r>
      <w:r w:rsidR="007E51EA" w:rsidRPr="00EC4EF2">
        <w:rPr>
          <w:lang w:val="ru-RU"/>
        </w:rPr>
        <w:t xml:space="preserve"> </w:t>
      </w:r>
    </w:p>
    <w:p w:rsidR="00DC4A83" w:rsidRPr="00EC4EF2" w:rsidRDefault="00CF2114" w:rsidP="00D808A4">
      <w:pPr>
        <w:pStyle w:val="ONUME"/>
        <w:ind w:left="5533"/>
        <w:rPr>
          <w:i/>
          <w:lang w:val="ru-RU"/>
        </w:rPr>
      </w:pPr>
      <w:r w:rsidRPr="00EC4EF2">
        <w:rPr>
          <w:i/>
          <w:lang w:val="ru-RU"/>
        </w:rPr>
        <w:t xml:space="preserve">Рабочей группе предлагается рассмотреть предлагаемые поправки к Инструкции, содержащиеся в приложении к настоящему документу. </w:t>
      </w:r>
    </w:p>
    <w:p w:rsidR="00DC4A83" w:rsidRPr="00EC4EF2" w:rsidRDefault="00DC4A83" w:rsidP="00D808A4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D808A4" w:rsidRPr="00EC4EF2" w:rsidRDefault="00CF2114" w:rsidP="00CF2114">
      <w:pPr>
        <w:pStyle w:val="Endofdocument-Annex"/>
        <w:rPr>
          <w:lang w:val="ru-RU"/>
        </w:rPr>
        <w:sectPr w:rsidR="00D808A4" w:rsidRPr="00EC4EF2" w:rsidSect="0076400A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C4EF2">
        <w:rPr>
          <w:lang w:val="ru-RU"/>
        </w:rPr>
        <w:t>[Приложение следует]</w:t>
      </w:r>
    </w:p>
    <w:p w:rsidR="00DC4A83" w:rsidRPr="00EC4EF2" w:rsidRDefault="00DC4A83" w:rsidP="00D808A4">
      <w:pPr>
        <w:pStyle w:val="ONUME"/>
        <w:numPr>
          <w:ilvl w:val="0"/>
          <w:numId w:val="0"/>
        </w:numPr>
        <w:rPr>
          <w:lang w:val="ru-RU"/>
        </w:rPr>
      </w:pPr>
    </w:p>
    <w:p w:rsidR="00DC4A83" w:rsidRPr="00EC4EF2" w:rsidRDefault="00CF2114" w:rsidP="00CF2114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  <w:r w:rsidRPr="00EC4EF2">
        <w:rPr>
          <w:caps/>
          <w:lang w:val="ru-RU"/>
        </w:rPr>
        <w:t>ПРЕДЛАГАЕМЫЕ ПОПРАВКИ К ИНСТРУКЦИИ PCT</w:t>
      </w:r>
      <w:r w:rsidR="00904FC6" w:rsidRPr="00EC4EF2">
        <w:rPr>
          <w:rStyle w:val="FootnoteReference"/>
          <w:lang w:val="ru-RU"/>
        </w:rPr>
        <w:footnoteReference w:id="2"/>
      </w:r>
    </w:p>
    <w:p w:rsidR="00DC4A83" w:rsidRPr="00EC4EF2" w:rsidRDefault="00DC4A83" w:rsidP="00D808A4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DC4A83" w:rsidRPr="00EC4EF2" w:rsidRDefault="00DC4A83" w:rsidP="00D808A4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DC4A83" w:rsidRPr="00EC4EF2" w:rsidRDefault="00CF2114" w:rsidP="00CF2114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  <w:r w:rsidRPr="00EC4EF2">
        <w:rPr>
          <w:caps/>
          <w:lang w:val="ru-RU"/>
        </w:rPr>
        <w:t>СОДЕРЖАНИЕ</w:t>
      </w:r>
    </w:p>
    <w:p w:rsidR="00DC4A83" w:rsidRPr="0058251C" w:rsidRDefault="00DC4A83" w:rsidP="00972EB0">
      <w:pPr>
        <w:rPr>
          <w:rFonts w:ascii="Microsoft Sans Serif" w:hAnsi="Microsoft Sans Serif" w:cs="Microsoft Sans Serif"/>
          <w:caps/>
          <w:color w:val="000000" w:themeColor="text1"/>
        </w:rPr>
      </w:pPr>
      <w:bookmarkStart w:id="2" w:name="_GoBack"/>
      <w:bookmarkEnd w:id="2"/>
    </w:p>
    <w:p w:rsidR="00621226" w:rsidRDefault="00972EB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972EB0">
        <w:rPr>
          <w:caps/>
          <w:color w:val="000000" w:themeColor="text1"/>
          <w:lang w:val="ru-RU"/>
        </w:rPr>
        <w:fldChar w:fldCharType="begin"/>
      </w:r>
      <w:r w:rsidRPr="00972EB0">
        <w:rPr>
          <w:caps/>
          <w:color w:val="000000" w:themeColor="text1"/>
          <w:lang w:val="ru-RU"/>
        </w:rPr>
        <w:instrText xml:space="preserve"> TOC \h \z \t "Leg # Title,1,Leg SubRule #,2" </w:instrText>
      </w:r>
      <w:r w:rsidRPr="00972EB0">
        <w:rPr>
          <w:caps/>
          <w:color w:val="000000" w:themeColor="text1"/>
          <w:lang w:val="ru-RU"/>
        </w:rPr>
        <w:fldChar w:fldCharType="separate"/>
      </w:r>
      <w:hyperlink w:anchor="_Toc514775690" w:history="1">
        <w:r w:rsidR="00621226" w:rsidRPr="005831C0">
          <w:rPr>
            <w:rStyle w:val="Hyperlink"/>
            <w:noProof/>
            <w:lang w:val="ru-RU"/>
          </w:rPr>
          <w:t>Правило 80 Исчисление сроков</w:t>
        </w:r>
        <w:r w:rsidR="00621226">
          <w:rPr>
            <w:noProof/>
            <w:webHidden/>
          </w:rPr>
          <w:tab/>
        </w:r>
        <w:r w:rsidR="00621226">
          <w:rPr>
            <w:noProof/>
            <w:webHidden/>
          </w:rPr>
          <w:fldChar w:fldCharType="begin"/>
        </w:r>
        <w:r w:rsidR="00621226">
          <w:rPr>
            <w:noProof/>
            <w:webHidden/>
          </w:rPr>
          <w:instrText xml:space="preserve"> PAGEREF _Toc514775690 \h </w:instrText>
        </w:r>
        <w:r w:rsidR="00621226">
          <w:rPr>
            <w:noProof/>
            <w:webHidden/>
          </w:rPr>
        </w:r>
        <w:r w:rsidR="00621226">
          <w:rPr>
            <w:noProof/>
            <w:webHidden/>
          </w:rPr>
          <w:fldChar w:fldCharType="separate"/>
        </w:r>
        <w:r w:rsidR="00621226">
          <w:rPr>
            <w:noProof/>
            <w:webHidden/>
          </w:rPr>
          <w:t>2</w:t>
        </w:r>
        <w:r w:rsidR="00621226">
          <w:rPr>
            <w:noProof/>
            <w:webHidden/>
          </w:rPr>
          <w:fldChar w:fldCharType="end"/>
        </w:r>
      </w:hyperlink>
    </w:p>
    <w:p w:rsidR="00621226" w:rsidRDefault="00621226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4775691" w:history="1">
        <w:r w:rsidRPr="005831C0">
          <w:rPr>
            <w:rStyle w:val="Hyperlink"/>
            <w:noProof/>
            <w:lang w:val="ru-RU"/>
          </w:rPr>
          <w:t xml:space="preserve">80.1 - 80.4  </w:t>
        </w:r>
        <w:r w:rsidRPr="005831C0">
          <w:rPr>
            <w:rStyle w:val="Hyperlink"/>
            <w:i/>
            <w:noProof/>
            <w:lang w:val="ru-RU"/>
          </w:rPr>
          <w:t>[Без изменений]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_Toc514775691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21226" w:rsidRDefault="00621226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4775692" w:history="1">
        <w:r w:rsidRPr="005831C0">
          <w:rPr>
            <w:rStyle w:val="Hyperlink"/>
            <w:noProof/>
            <w:lang w:val="ru-RU"/>
          </w:rPr>
          <w:t>80.5   </w:t>
        </w:r>
        <w:r w:rsidRPr="005831C0">
          <w:rPr>
            <w:rStyle w:val="Hyperlink"/>
            <w:i/>
            <w:noProof/>
            <w:lang w:val="ru-RU"/>
          </w:rPr>
          <w:t>Истечение срока в нерабочий или официальный праздничный день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_Toc514775692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21226" w:rsidRDefault="00621226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4775693" w:history="1">
        <w:r w:rsidRPr="005831C0">
          <w:rPr>
            <w:rStyle w:val="Hyperlink"/>
            <w:noProof/>
            <w:lang w:val="ru-RU"/>
          </w:rPr>
          <w:t>80.6 и 80.7   </w:t>
        </w:r>
        <w:r w:rsidRPr="005831C0">
          <w:rPr>
            <w:rStyle w:val="Hyperlink"/>
            <w:i/>
            <w:noProof/>
            <w:lang w:val="ru-RU"/>
          </w:rPr>
          <w:t>[Без изменений]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_Toc514775693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C4A83" w:rsidRPr="00EC4EF2" w:rsidRDefault="00972EB0" w:rsidP="00972EB0">
      <w:pPr>
        <w:rPr>
          <w:caps/>
          <w:color w:val="000000" w:themeColor="text1"/>
          <w:lang w:val="ru-RU"/>
        </w:rPr>
      </w:pPr>
      <w:r w:rsidRPr="00972EB0">
        <w:rPr>
          <w:caps/>
          <w:color w:val="000000" w:themeColor="text1"/>
          <w:lang w:val="ru-RU"/>
        </w:rPr>
        <w:fldChar w:fldCharType="end"/>
      </w:r>
    </w:p>
    <w:p w:rsidR="00DC4A83" w:rsidRPr="00EC4EF2" w:rsidRDefault="00DC4A83" w:rsidP="00972EB0">
      <w:pPr>
        <w:rPr>
          <w:caps/>
          <w:color w:val="000000" w:themeColor="text1"/>
          <w:lang w:val="ru-RU"/>
        </w:rPr>
      </w:pPr>
    </w:p>
    <w:p w:rsidR="00DC4A83" w:rsidRPr="00EC4EF2" w:rsidRDefault="00DC4A83" w:rsidP="00D808A4">
      <w:pPr>
        <w:pStyle w:val="Endofdocument-Annex"/>
        <w:ind w:left="0"/>
        <w:rPr>
          <w:lang w:val="ru-RU"/>
        </w:rPr>
      </w:pPr>
    </w:p>
    <w:p w:rsidR="00DC4A83" w:rsidRPr="00EC4EF2" w:rsidRDefault="00DC4A83" w:rsidP="00D808A4">
      <w:pPr>
        <w:pStyle w:val="Endofdocument-Annex"/>
        <w:ind w:left="0"/>
        <w:rPr>
          <w:lang w:val="ru-RU"/>
        </w:rPr>
      </w:pPr>
    </w:p>
    <w:p w:rsidR="00DC4A83" w:rsidRPr="00EC4EF2" w:rsidRDefault="00CF2114" w:rsidP="00CF2114">
      <w:pPr>
        <w:pStyle w:val="LegTitle"/>
        <w:rPr>
          <w:rStyle w:val="LegInsertedText"/>
          <w:color w:val="auto"/>
          <w:u w:val="none"/>
          <w:lang w:val="ru-RU"/>
        </w:rPr>
      </w:pPr>
      <w:bookmarkStart w:id="3" w:name="_Toc514775686"/>
      <w:bookmarkStart w:id="4" w:name="_Toc514775690"/>
      <w:r w:rsidRPr="00EC4EF2">
        <w:rPr>
          <w:rStyle w:val="LegInsertedText"/>
          <w:color w:val="auto"/>
          <w:u w:val="none"/>
          <w:lang w:val="ru-RU"/>
        </w:rPr>
        <w:lastRenderedPageBreak/>
        <w:t>Правило 80</w:t>
      </w:r>
      <w:r w:rsidR="00AD4254" w:rsidRPr="00EC4EF2">
        <w:rPr>
          <w:rStyle w:val="LegInsertedText"/>
          <w:color w:val="auto"/>
          <w:u w:val="none"/>
          <w:lang w:val="ru-RU"/>
        </w:rPr>
        <w:br/>
      </w:r>
      <w:r w:rsidRPr="00EC4EF2">
        <w:rPr>
          <w:rStyle w:val="LegInsertedText"/>
          <w:color w:val="auto"/>
          <w:u w:val="none"/>
          <w:lang w:val="ru-RU"/>
        </w:rPr>
        <w:t>Исчисление сроков</w:t>
      </w:r>
      <w:bookmarkEnd w:id="3"/>
      <w:bookmarkEnd w:id="4"/>
    </w:p>
    <w:p w:rsidR="00DC4A83" w:rsidRPr="00EC4EF2" w:rsidRDefault="00CF2114" w:rsidP="00CF2114">
      <w:pPr>
        <w:pStyle w:val="LegSubRule"/>
        <w:tabs>
          <w:tab w:val="left" w:pos="1134"/>
        </w:tabs>
        <w:rPr>
          <w:rStyle w:val="LegInsertedText"/>
          <w:color w:val="auto"/>
          <w:u w:val="none"/>
          <w:lang w:val="ru-RU"/>
        </w:rPr>
      </w:pPr>
      <w:bookmarkStart w:id="5" w:name="_Toc514775687"/>
      <w:bookmarkStart w:id="6" w:name="_Toc514775691"/>
      <w:r w:rsidRPr="00EC4EF2">
        <w:rPr>
          <w:rStyle w:val="LegInsertedText"/>
          <w:color w:val="auto"/>
          <w:u w:val="none"/>
          <w:lang w:val="ru-RU"/>
        </w:rPr>
        <w:t xml:space="preserve">80.1 - 80.4  </w:t>
      </w:r>
      <w:r w:rsidRPr="00EC4EF2">
        <w:rPr>
          <w:rStyle w:val="LegInsertedText"/>
          <w:i/>
          <w:color w:val="auto"/>
          <w:u w:val="none"/>
          <w:lang w:val="ru-RU"/>
        </w:rPr>
        <w:t>[Без изменений]</w:t>
      </w:r>
      <w:bookmarkEnd w:id="5"/>
      <w:bookmarkEnd w:id="6"/>
    </w:p>
    <w:p w:rsidR="00DC4A83" w:rsidRPr="00EC4EF2" w:rsidRDefault="00CF2114" w:rsidP="00CF2114">
      <w:pPr>
        <w:pStyle w:val="LegSubRule"/>
        <w:rPr>
          <w:rStyle w:val="LegInsertedText"/>
          <w:color w:val="auto"/>
          <w:u w:val="none"/>
          <w:lang w:val="ru-RU"/>
        </w:rPr>
      </w:pPr>
      <w:bookmarkStart w:id="7" w:name="_Toc514775688"/>
      <w:bookmarkStart w:id="8" w:name="_Toc514775692"/>
      <w:r w:rsidRPr="00EC4EF2">
        <w:rPr>
          <w:rStyle w:val="LegInsertedText"/>
          <w:color w:val="auto"/>
          <w:u w:val="none"/>
          <w:lang w:val="ru-RU"/>
        </w:rPr>
        <w:t>80.5   </w:t>
      </w:r>
      <w:r w:rsidRPr="00EC4EF2">
        <w:rPr>
          <w:rStyle w:val="LegInsertedText"/>
          <w:i/>
          <w:color w:val="auto"/>
          <w:u w:val="none"/>
          <w:lang w:val="ru-RU"/>
        </w:rPr>
        <w:t>Истечение срока в нерабочий или официальный праздничный день</w:t>
      </w:r>
      <w:bookmarkEnd w:id="7"/>
      <w:bookmarkEnd w:id="8"/>
    </w:p>
    <w:p w:rsidR="00DC4A83" w:rsidRPr="00EC4EF2" w:rsidRDefault="00D808A4" w:rsidP="00CF2114">
      <w:pPr>
        <w:pStyle w:val="Lega"/>
        <w:rPr>
          <w:lang w:val="ru-RU"/>
        </w:rPr>
      </w:pPr>
      <w:r w:rsidRPr="00EC4EF2">
        <w:rPr>
          <w:lang w:val="ru-RU"/>
        </w:rPr>
        <w:tab/>
      </w:r>
      <w:r w:rsidR="00CF2114" w:rsidRPr="00EC4EF2">
        <w:rPr>
          <w:lang w:val="ru-RU"/>
        </w:rPr>
        <w:t>Если срок, в течение которого какой-либо документ или пошлина должны поступить в национальное ведомство или межправительственную организацию, истекает в день:</w:t>
      </w:r>
      <w:r w:rsidR="00A726D6" w:rsidRPr="00EC4EF2">
        <w:rPr>
          <w:lang w:val="ru-RU"/>
        </w:rPr>
        <w:t xml:space="preserve">  </w:t>
      </w:r>
    </w:p>
    <w:p w:rsidR="00DC4A83" w:rsidRPr="00EC4EF2" w:rsidRDefault="00A726D6" w:rsidP="004C6935">
      <w:pPr>
        <w:pStyle w:val="Legali"/>
        <w:tabs>
          <w:tab w:val="clear" w:pos="454"/>
          <w:tab w:val="left" w:pos="709"/>
        </w:tabs>
        <w:ind w:left="1276" w:hanging="1134"/>
        <w:rPr>
          <w:lang w:val="ru-RU"/>
        </w:rPr>
      </w:pPr>
      <w:r w:rsidRPr="00EC4EF2">
        <w:rPr>
          <w:lang w:val="ru-RU"/>
        </w:rPr>
        <w:tab/>
        <w:t>(i)</w:t>
      </w:r>
      <w:r w:rsidRPr="00EC4EF2">
        <w:rPr>
          <w:lang w:val="ru-RU"/>
        </w:rPr>
        <w:tab/>
      </w:r>
      <w:r w:rsidRPr="00EC4EF2">
        <w:rPr>
          <w:i/>
          <w:lang w:val="ru-RU"/>
        </w:rPr>
        <w:t>[</w:t>
      </w:r>
      <w:r w:rsidR="00AD4254" w:rsidRPr="00EC4EF2">
        <w:rPr>
          <w:i/>
          <w:lang w:val="ru-RU"/>
        </w:rPr>
        <w:t>без изменений</w:t>
      </w:r>
      <w:r w:rsidRPr="00EC4EF2">
        <w:rPr>
          <w:i/>
          <w:lang w:val="ru-RU"/>
        </w:rPr>
        <w:t>]</w:t>
      </w:r>
      <w:r w:rsidRPr="00EC4EF2">
        <w:rPr>
          <w:lang w:val="ru-RU"/>
        </w:rPr>
        <w:t xml:space="preserve"> </w:t>
      </w:r>
      <w:r w:rsidR="00F71B68" w:rsidRPr="00EC4EF2">
        <w:rPr>
          <w:lang w:val="ru-RU"/>
        </w:rPr>
        <w:t>когда это ведомство или организация не работают</w:t>
      </w:r>
      <w:r w:rsidRPr="00EC4EF2">
        <w:rPr>
          <w:lang w:val="ru-RU"/>
        </w:rPr>
        <w:t>;</w:t>
      </w:r>
      <w:r w:rsidR="00F71B68" w:rsidRPr="00EC4EF2">
        <w:rPr>
          <w:lang w:val="ru-RU"/>
        </w:rPr>
        <w:t xml:space="preserve"> </w:t>
      </w:r>
    </w:p>
    <w:p w:rsidR="00DC4A83" w:rsidRPr="00EC4EF2" w:rsidRDefault="00A726D6" w:rsidP="004C6935">
      <w:pPr>
        <w:pStyle w:val="Legali"/>
        <w:tabs>
          <w:tab w:val="clear" w:pos="454"/>
          <w:tab w:val="left" w:pos="709"/>
        </w:tabs>
        <w:ind w:left="1276" w:hanging="1134"/>
        <w:rPr>
          <w:lang w:val="ru-RU"/>
        </w:rPr>
      </w:pPr>
      <w:r w:rsidRPr="00EC4EF2">
        <w:rPr>
          <w:lang w:val="ru-RU"/>
        </w:rPr>
        <w:tab/>
        <w:t>(ii)</w:t>
      </w:r>
      <w:r w:rsidRPr="00EC4EF2">
        <w:rPr>
          <w:lang w:val="ru-RU"/>
        </w:rPr>
        <w:tab/>
      </w:r>
      <w:r w:rsidRPr="00EC4EF2">
        <w:rPr>
          <w:i/>
          <w:lang w:val="ru-RU"/>
        </w:rPr>
        <w:t>[</w:t>
      </w:r>
      <w:r w:rsidR="00AD4254" w:rsidRPr="00EC4EF2">
        <w:rPr>
          <w:i/>
          <w:lang w:val="ru-RU"/>
        </w:rPr>
        <w:t>без изменений</w:t>
      </w:r>
      <w:r w:rsidRPr="00EC4EF2">
        <w:rPr>
          <w:i/>
          <w:lang w:val="ru-RU"/>
        </w:rPr>
        <w:t>]</w:t>
      </w:r>
      <w:r w:rsidRPr="00EC4EF2">
        <w:rPr>
          <w:lang w:val="ru-RU"/>
        </w:rPr>
        <w:t xml:space="preserve"> </w:t>
      </w:r>
      <w:r w:rsidR="00F71B68" w:rsidRPr="00EC4EF2">
        <w:rPr>
          <w:lang w:val="ru-RU"/>
        </w:rPr>
        <w:t>когда обычная почта не доставляется в той местности, где находится такое ведомство или организация</w:t>
      </w:r>
      <w:r w:rsidRPr="00EC4EF2">
        <w:rPr>
          <w:lang w:val="ru-RU"/>
        </w:rPr>
        <w:t>;</w:t>
      </w:r>
    </w:p>
    <w:p w:rsidR="00DC4A83" w:rsidRPr="00EC4EF2" w:rsidRDefault="00A726D6" w:rsidP="00F71B68">
      <w:pPr>
        <w:pStyle w:val="Lega"/>
        <w:tabs>
          <w:tab w:val="clear" w:pos="454"/>
          <w:tab w:val="left" w:pos="709"/>
        </w:tabs>
        <w:ind w:left="1276" w:hanging="1134"/>
        <w:rPr>
          <w:lang w:val="ru-RU"/>
        </w:rPr>
      </w:pPr>
      <w:r w:rsidRPr="00EC4EF2">
        <w:rPr>
          <w:lang w:val="ru-RU"/>
        </w:rPr>
        <w:tab/>
        <w:t>(</w:t>
      </w:r>
      <w:r w:rsidRPr="00EC4EF2">
        <w:rPr>
          <w:rStyle w:val="RDeletedText"/>
          <w:strike w:val="0"/>
          <w:color w:val="auto"/>
          <w:lang w:val="ru-RU"/>
        </w:rPr>
        <w:t>iii</w:t>
      </w:r>
      <w:r w:rsidRPr="00EC4EF2">
        <w:rPr>
          <w:lang w:val="ru-RU"/>
        </w:rPr>
        <w:t>)</w:t>
      </w:r>
      <w:r w:rsidRPr="00EC4EF2">
        <w:rPr>
          <w:lang w:val="ru-RU"/>
        </w:rPr>
        <w:tab/>
      </w:r>
      <w:r w:rsidR="00F71B68" w:rsidRPr="00EC4EF2">
        <w:rPr>
          <w:rStyle w:val="LegInsertedText"/>
          <w:lang w:val="ru-RU"/>
        </w:rPr>
        <w:t>когда, как установлено таким ведомством или организацией, документы, поданные с использованием одного из допустимых электронных средств связи, не могут быть получены</w:t>
      </w:r>
      <w:r w:rsidR="004E60BD" w:rsidRPr="00EC4EF2">
        <w:rPr>
          <w:rStyle w:val="LegInsertedText"/>
          <w:lang w:val="ru-RU"/>
        </w:rPr>
        <w:t>;</w:t>
      </w:r>
      <w:r w:rsidR="00EC4EF2">
        <w:rPr>
          <w:rStyle w:val="LegInsertedText"/>
          <w:lang w:val="ru-RU"/>
        </w:rPr>
        <w:t xml:space="preserve"> </w:t>
      </w:r>
    </w:p>
    <w:p w:rsidR="00DC4A83" w:rsidRPr="00EC4EF2" w:rsidRDefault="00A726D6" w:rsidP="00CF2114">
      <w:pPr>
        <w:pStyle w:val="Legali"/>
        <w:tabs>
          <w:tab w:val="clear" w:pos="454"/>
          <w:tab w:val="left" w:pos="709"/>
          <w:tab w:val="left" w:pos="1276"/>
        </w:tabs>
        <w:ind w:left="1276" w:hanging="1134"/>
        <w:rPr>
          <w:lang w:val="ru-RU"/>
        </w:rPr>
      </w:pPr>
      <w:r w:rsidRPr="00EC4EF2">
        <w:rPr>
          <w:lang w:val="ru-RU"/>
        </w:rPr>
        <w:tab/>
      </w:r>
      <w:r w:rsidR="00CF2114" w:rsidRPr="00EC4EF2">
        <w:rPr>
          <w:lang w:val="ru-RU"/>
        </w:rPr>
        <w:t>(</w:t>
      </w:r>
      <w:r w:rsidR="00F71B68" w:rsidRPr="00EC4EF2">
        <w:rPr>
          <w:rStyle w:val="RDeletedText"/>
          <w:lang w:val="ru-RU"/>
        </w:rPr>
        <w:t>iii</w:t>
      </w:r>
      <w:r w:rsidR="00F71B68" w:rsidRPr="00EC4EF2">
        <w:rPr>
          <w:rStyle w:val="LegInsertedText"/>
          <w:lang w:val="ru-RU"/>
        </w:rPr>
        <w:t>iv</w:t>
      </w:r>
      <w:r w:rsidR="00CF2114" w:rsidRPr="00EC4EF2">
        <w:rPr>
          <w:lang w:val="ru-RU"/>
        </w:rPr>
        <w:t xml:space="preserve">) </w:t>
      </w:r>
      <w:r w:rsidR="00CF2114" w:rsidRPr="00EC4EF2">
        <w:rPr>
          <w:lang w:val="ru-RU"/>
        </w:rPr>
        <w:tab/>
        <w:t>который в случае, если такое ведомство или организация расположены не в одной местности, является официальным праздничным днем по меньшей мере в одной местности, в которой находится это ведомство или организация, и в случаях, когда национальное законодательство, применяемое этим ведомством или организацией, предусматривает в отношении национальных заявок, что в этом случае этот срок истекает на следующий за ним день; или</w:t>
      </w:r>
    </w:p>
    <w:p w:rsidR="00DC4A83" w:rsidRPr="00EC4EF2" w:rsidRDefault="00A726D6" w:rsidP="00CF2114">
      <w:pPr>
        <w:pStyle w:val="Legali"/>
        <w:tabs>
          <w:tab w:val="clear" w:pos="454"/>
          <w:tab w:val="left" w:pos="709"/>
        </w:tabs>
        <w:ind w:left="1276" w:hanging="1134"/>
        <w:rPr>
          <w:lang w:val="ru-RU"/>
        </w:rPr>
      </w:pPr>
      <w:r w:rsidRPr="00EC4EF2">
        <w:rPr>
          <w:lang w:val="ru-RU"/>
        </w:rPr>
        <w:tab/>
      </w:r>
      <w:r w:rsidR="00CF2114" w:rsidRPr="00EC4EF2">
        <w:rPr>
          <w:lang w:val="ru-RU"/>
        </w:rPr>
        <w:t>(</w:t>
      </w:r>
      <w:r w:rsidR="00F71B68" w:rsidRPr="00EC4EF2">
        <w:rPr>
          <w:rStyle w:val="RDeletedText"/>
          <w:lang w:val="ru-RU"/>
        </w:rPr>
        <w:t>i</w:t>
      </w:r>
      <w:r w:rsidR="00F71B68" w:rsidRPr="00EC4EF2">
        <w:rPr>
          <w:lang w:val="ru-RU"/>
        </w:rPr>
        <w:t>v</w:t>
      </w:r>
      <w:r w:rsidR="00CF2114" w:rsidRPr="00EC4EF2">
        <w:rPr>
          <w:lang w:val="ru-RU"/>
        </w:rPr>
        <w:t xml:space="preserve">) </w:t>
      </w:r>
      <w:r w:rsidR="00CF2114" w:rsidRPr="00EC4EF2">
        <w:rPr>
          <w:lang w:val="ru-RU"/>
        </w:rPr>
        <w:tab/>
        <w:t xml:space="preserve">который в случае, если такое ведомство представляет собой правительственный орган Договаривающегося государства, уполномоченный выдавать патенты, является официальным праздничным днем в части этого </w:t>
      </w:r>
      <w:r w:rsidR="00CF2114" w:rsidRPr="00EC4EF2">
        <w:rPr>
          <w:lang w:val="ru-RU"/>
        </w:rPr>
        <w:lastRenderedPageBreak/>
        <w:t>Договаривающегося государства, и в случаях, когда национальное законодательство, применяемое этим ведомством предусматривает в отношении национальных заявок, что в этом случае этот срок истекает на следующий за ним день;</w:t>
      </w:r>
    </w:p>
    <w:p w:rsidR="00DC4A83" w:rsidRPr="00EC4EF2" w:rsidRDefault="00F71B68" w:rsidP="004E60BD">
      <w:pPr>
        <w:pStyle w:val="Lega"/>
        <w:rPr>
          <w:lang w:val="ru-RU"/>
        </w:rPr>
      </w:pPr>
      <w:r w:rsidRPr="00EC4EF2">
        <w:rPr>
          <w:lang w:val="ru-RU"/>
        </w:rPr>
        <w:t xml:space="preserve">то упомянутый срок истекает на следующий за ним день, когда ни одно из </w:t>
      </w:r>
      <w:r w:rsidRPr="00EC4EF2">
        <w:rPr>
          <w:rStyle w:val="RDeletedText"/>
          <w:lang w:val="ru-RU"/>
        </w:rPr>
        <w:t>четырех</w:t>
      </w:r>
      <w:r w:rsidRPr="00EC4EF2">
        <w:rPr>
          <w:lang w:val="ru-RU"/>
        </w:rPr>
        <w:t xml:space="preserve"> </w:t>
      </w:r>
      <w:r w:rsidRPr="00EC4EF2">
        <w:rPr>
          <w:rStyle w:val="LegInsertedText"/>
          <w:lang w:val="ru-RU"/>
        </w:rPr>
        <w:t>пяти</w:t>
      </w:r>
      <w:r w:rsidRPr="00EC4EF2">
        <w:rPr>
          <w:lang w:val="ru-RU"/>
        </w:rPr>
        <w:t xml:space="preserve"> упомянутых обстоятельств больше не существует</w:t>
      </w:r>
      <w:r w:rsidR="00A726D6" w:rsidRPr="00EC4EF2">
        <w:rPr>
          <w:lang w:val="ru-RU"/>
        </w:rPr>
        <w:t>.</w:t>
      </w:r>
      <w:r w:rsidR="003B1395" w:rsidRPr="00EC4EF2">
        <w:rPr>
          <w:lang w:val="ru-RU"/>
        </w:rPr>
        <w:t xml:space="preserve"> </w:t>
      </w:r>
    </w:p>
    <w:p w:rsidR="00DC4A83" w:rsidRPr="00EC4EF2" w:rsidRDefault="00CF2114" w:rsidP="00CF2114">
      <w:pPr>
        <w:pStyle w:val="LegSubRule"/>
        <w:rPr>
          <w:rStyle w:val="LegInsertedText"/>
          <w:i/>
          <w:color w:val="auto"/>
          <w:u w:val="none"/>
          <w:lang w:val="ru-RU"/>
        </w:rPr>
      </w:pPr>
      <w:bookmarkStart w:id="9" w:name="_Toc514775689"/>
      <w:bookmarkStart w:id="10" w:name="_Toc514775693"/>
      <w:r w:rsidRPr="00EC4EF2">
        <w:rPr>
          <w:rStyle w:val="LegInsertedText"/>
          <w:color w:val="auto"/>
          <w:u w:val="none"/>
          <w:lang w:val="ru-RU"/>
        </w:rPr>
        <w:t>80.6 и 80.7   </w:t>
      </w:r>
      <w:r w:rsidRPr="00EC4EF2">
        <w:rPr>
          <w:rStyle w:val="LegInsertedText"/>
          <w:i/>
          <w:color w:val="auto"/>
          <w:u w:val="none"/>
          <w:lang w:val="ru-RU"/>
        </w:rPr>
        <w:t>[Без изменений]</w:t>
      </w:r>
      <w:bookmarkEnd w:id="9"/>
      <w:bookmarkEnd w:id="10"/>
    </w:p>
    <w:p w:rsidR="00DC4A83" w:rsidRPr="00EC4EF2" w:rsidRDefault="00DC4A83" w:rsidP="004E60BD">
      <w:pPr>
        <w:rPr>
          <w:rStyle w:val="LegInsertedText"/>
          <w:i/>
          <w:color w:val="auto"/>
          <w:u w:val="none"/>
          <w:lang w:val="ru-RU"/>
        </w:rPr>
      </w:pPr>
    </w:p>
    <w:p w:rsidR="00DC4A83" w:rsidRPr="00EC4EF2" w:rsidRDefault="00DC4A83" w:rsidP="004E60BD">
      <w:pPr>
        <w:rPr>
          <w:rStyle w:val="LegInsertedText"/>
          <w:i/>
          <w:color w:val="auto"/>
          <w:u w:val="none"/>
          <w:lang w:val="ru-RU"/>
        </w:rPr>
      </w:pPr>
    </w:p>
    <w:p w:rsidR="00DC4A83" w:rsidRPr="00EC4EF2" w:rsidRDefault="00CF2114" w:rsidP="00CF2114">
      <w:pPr>
        <w:pStyle w:val="Endofdocument-Annex"/>
        <w:rPr>
          <w:lang w:val="ru-RU"/>
        </w:rPr>
      </w:pPr>
      <w:r w:rsidRPr="00EC4EF2">
        <w:rPr>
          <w:lang w:val="ru-RU"/>
        </w:rPr>
        <w:t>[Конец приложения и документа]</w:t>
      </w:r>
    </w:p>
    <w:p w:rsidR="00DC4A83" w:rsidRPr="00EC4EF2" w:rsidRDefault="00DC4A83" w:rsidP="004E60BD">
      <w:pPr>
        <w:pStyle w:val="Endofdocument-Annex"/>
        <w:rPr>
          <w:lang w:val="ru-RU"/>
        </w:rPr>
      </w:pPr>
    </w:p>
    <w:p w:rsidR="004E60BD" w:rsidRPr="00EC4EF2" w:rsidRDefault="004E60BD" w:rsidP="004E60BD">
      <w:pPr>
        <w:pStyle w:val="Endofdocument-Annex"/>
        <w:rPr>
          <w:lang w:val="ru-RU"/>
        </w:rPr>
      </w:pPr>
    </w:p>
    <w:sectPr w:rsidR="004E60BD" w:rsidRPr="00EC4EF2" w:rsidSect="00A726D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0A" w:rsidRDefault="0076400A">
      <w:r>
        <w:separator/>
      </w:r>
    </w:p>
  </w:endnote>
  <w:endnote w:type="continuationSeparator" w:id="0">
    <w:p w:rsidR="0076400A" w:rsidRDefault="0076400A" w:rsidP="003B38C1">
      <w:r>
        <w:separator/>
      </w:r>
    </w:p>
    <w:p w:rsidR="0076400A" w:rsidRPr="003B38C1" w:rsidRDefault="007640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400A" w:rsidRPr="003B38C1" w:rsidRDefault="007640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0A" w:rsidRDefault="0076400A">
      <w:r>
        <w:separator/>
      </w:r>
    </w:p>
  </w:footnote>
  <w:footnote w:type="continuationSeparator" w:id="0">
    <w:p w:rsidR="0076400A" w:rsidRDefault="0076400A" w:rsidP="008B60B2">
      <w:r>
        <w:separator/>
      </w:r>
    </w:p>
    <w:p w:rsidR="0076400A" w:rsidRPr="00ED77FB" w:rsidRDefault="007640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400A" w:rsidRPr="00ED77FB" w:rsidRDefault="007640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04FC6" w:rsidRDefault="00904FC6" w:rsidP="00904FC6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D4254" w:rsidRPr="00AD4254">
        <w:rPr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F2114" w:rsidP="00CF2114">
    <w:pPr>
      <w:jc w:val="right"/>
    </w:pPr>
    <w:r w:rsidRPr="00CF2114">
      <w:rPr>
        <w:lang w:val="ru-RU"/>
      </w:rPr>
      <w:t>PCT/WG/11/19</w:t>
    </w:r>
  </w:p>
  <w:p w:rsidR="00EC4E49" w:rsidRDefault="00CF2114" w:rsidP="00CF2114">
    <w:pPr>
      <w:jc w:val="right"/>
    </w:pPr>
    <w:r w:rsidRPr="00CF2114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8251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D6" w:rsidRDefault="00A726D6" w:rsidP="00A726D6">
    <w:pPr>
      <w:pStyle w:val="Header"/>
      <w:tabs>
        <w:tab w:val="clear" w:pos="4536"/>
        <w:tab w:val="clear" w:pos="9072"/>
        <w:tab w:val="left" w:pos="23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D6" w:rsidRDefault="00CF2114" w:rsidP="00CF2114">
    <w:pPr>
      <w:jc w:val="right"/>
    </w:pPr>
    <w:r w:rsidRPr="00CF2114">
      <w:rPr>
        <w:lang w:val="ru-RU"/>
      </w:rPr>
      <w:t>PCT/WG/11/19</w:t>
    </w:r>
  </w:p>
  <w:p w:rsidR="00A726D6" w:rsidRDefault="00CF2114" w:rsidP="00CF2114">
    <w:pPr>
      <w:jc w:val="right"/>
    </w:pPr>
    <w:r w:rsidRPr="00CF2114">
      <w:rPr>
        <w:lang w:val="ru-RU"/>
      </w:rPr>
      <w:t xml:space="preserve">Приложение, стр. </w:t>
    </w:r>
    <w:r w:rsidR="00A726D6">
      <w:t xml:space="preserve"> </w:t>
    </w:r>
    <w:r w:rsidR="00A726D6">
      <w:fldChar w:fldCharType="begin"/>
    </w:r>
    <w:r w:rsidR="00A726D6">
      <w:instrText xml:space="preserve"> PAGE  \* MERGEFORMAT </w:instrText>
    </w:r>
    <w:r w:rsidR="00A726D6">
      <w:fldChar w:fldCharType="separate"/>
    </w:r>
    <w:r w:rsidR="0058251C">
      <w:rPr>
        <w:noProof/>
      </w:rPr>
      <w:t>2</w:t>
    </w:r>
    <w:r w:rsidR="00A726D6">
      <w:fldChar w:fldCharType="end"/>
    </w:r>
  </w:p>
  <w:p w:rsidR="00A726D6" w:rsidRDefault="00A726D6" w:rsidP="00477D6B">
    <w:pPr>
      <w:jc w:val="right"/>
    </w:pPr>
  </w:p>
  <w:p w:rsidR="00A726D6" w:rsidRDefault="00A726D6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D6" w:rsidRDefault="00A726D6" w:rsidP="00A726D6">
    <w:pPr>
      <w:pStyle w:val="Header"/>
      <w:tabs>
        <w:tab w:val="clear" w:pos="4536"/>
        <w:tab w:val="clear" w:pos="9072"/>
        <w:tab w:val="left" w:pos="2385"/>
      </w:tabs>
      <w:jc w:val="right"/>
    </w:pPr>
    <w:r>
      <w:t>PCT/WG/11/19</w:t>
    </w:r>
  </w:p>
  <w:p w:rsidR="00A726D6" w:rsidRPr="00904FC6" w:rsidRDefault="00904FC6" w:rsidP="00A726D6">
    <w:pPr>
      <w:pStyle w:val="Header"/>
      <w:tabs>
        <w:tab w:val="clear" w:pos="4536"/>
        <w:tab w:val="clear" w:pos="9072"/>
        <w:tab w:val="left" w:pos="2385"/>
      </w:tabs>
      <w:jc w:val="right"/>
      <w:rPr>
        <w:lang w:val="ru-RU"/>
      </w:rPr>
    </w:pPr>
    <w:r>
      <w:rPr>
        <w:lang w:val="ru-RU"/>
      </w:rPr>
      <w:t>ПРИЛОЖЕНИЕ</w:t>
    </w:r>
  </w:p>
  <w:p w:rsidR="00A726D6" w:rsidRDefault="00A726D6" w:rsidP="00A726D6">
    <w:pPr>
      <w:pStyle w:val="Header"/>
      <w:tabs>
        <w:tab w:val="clear" w:pos="4536"/>
        <w:tab w:val="clear" w:pos="9072"/>
        <w:tab w:val="left" w:pos="2385"/>
      </w:tabs>
      <w:jc w:val="right"/>
    </w:pPr>
  </w:p>
  <w:p w:rsidR="00A726D6" w:rsidRDefault="00A726D6" w:rsidP="00A726D6">
    <w:pPr>
      <w:pStyle w:val="Header"/>
      <w:tabs>
        <w:tab w:val="clear" w:pos="4536"/>
        <w:tab w:val="clear" w:pos="9072"/>
        <w:tab w:val="left" w:pos="23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Ad-hoc\Glossaries|TextBase TMs\WorkspaceRTS\Ad-hoc\testsk|TextBase TMs\WorkspaceRTS\Ad-hoc\WIPO Assemblies|TextBase TMs\WorkspaceRTS\UPOV\UPOV"/>
    <w:docVar w:name="TextBaseURL" w:val="empty"/>
    <w:docVar w:name="UILng" w:val="en"/>
  </w:docVars>
  <w:rsids>
    <w:rsidRoot w:val="0076400A"/>
    <w:rsid w:val="00014D92"/>
    <w:rsid w:val="00037D62"/>
    <w:rsid w:val="00043CAA"/>
    <w:rsid w:val="00075432"/>
    <w:rsid w:val="000968ED"/>
    <w:rsid w:val="000F5E56"/>
    <w:rsid w:val="0011289B"/>
    <w:rsid w:val="001362EE"/>
    <w:rsid w:val="00151275"/>
    <w:rsid w:val="001629EC"/>
    <w:rsid w:val="001647D5"/>
    <w:rsid w:val="001832A6"/>
    <w:rsid w:val="001D330B"/>
    <w:rsid w:val="001F5AB6"/>
    <w:rsid w:val="0021217E"/>
    <w:rsid w:val="002634C4"/>
    <w:rsid w:val="002928D3"/>
    <w:rsid w:val="002E3C1E"/>
    <w:rsid w:val="002F1FE6"/>
    <w:rsid w:val="002F4E68"/>
    <w:rsid w:val="00312F7F"/>
    <w:rsid w:val="0033736A"/>
    <w:rsid w:val="00340FEE"/>
    <w:rsid w:val="00361450"/>
    <w:rsid w:val="003673CF"/>
    <w:rsid w:val="003845C1"/>
    <w:rsid w:val="003A6F89"/>
    <w:rsid w:val="003B1395"/>
    <w:rsid w:val="003B38C1"/>
    <w:rsid w:val="003C6445"/>
    <w:rsid w:val="00423E3E"/>
    <w:rsid w:val="00427AF4"/>
    <w:rsid w:val="004647DA"/>
    <w:rsid w:val="00474062"/>
    <w:rsid w:val="00477D6B"/>
    <w:rsid w:val="004C6935"/>
    <w:rsid w:val="004E0711"/>
    <w:rsid w:val="004E60BD"/>
    <w:rsid w:val="005019FF"/>
    <w:rsid w:val="00526970"/>
    <w:rsid w:val="0053057A"/>
    <w:rsid w:val="00556764"/>
    <w:rsid w:val="00560A29"/>
    <w:rsid w:val="00566B4C"/>
    <w:rsid w:val="00581AF4"/>
    <w:rsid w:val="0058251C"/>
    <w:rsid w:val="005C6649"/>
    <w:rsid w:val="005D6038"/>
    <w:rsid w:val="005E58CC"/>
    <w:rsid w:val="00605827"/>
    <w:rsid w:val="00621226"/>
    <w:rsid w:val="00626441"/>
    <w:rsid w:val="00646050"/>
    <w:rsid w:val="006713CA"/>
    <w:rsid w:val="00676C5C"/>
    <w:rsid w:val="006943EE"/>
    <w:rsid w:val="0076400A"/>
    <w:rsid w:val="00774B3D"/>
    <w:rsid w:val="00774D3B"/>
    <w:rsid w:val="007966C4"/>
    <w:rsid w:val="007C5A57"/>
    <w:rsid w:val="007D1613"/>
    <w:rsid w:val="007E4C0E"/>
    <w:rsid w:val="007E51EA"/>
    <w:rsid w:val="008942F9"/>
    <w:rsid w:val="008A134B"/>
    <w:rsid w:val="008B2CC1"/>
    <w:rsid w:val="008B60B2"/>
    <w:rsid w:val="008C2F5B"/>
    <w:rsid w:val="008C5A28"/>
    <w:rsid w:val="00904FC6"/>
    <w:rsid w:val="0090731E"/>
    <w:rsid w:val="00916EE2"/>
    <w:rsid w:val="00945222"/>
    <w:rsid w:val="00966A22"/>
    <w:rsid w:val="0096722F"/>
    <w:rsid w:val="00972EB0"/>
    <w:rsid w:val="00980843"/>
    <w:rsid w:val="009A53B7"/>
    <w:rsid w:val="009E2791"/>
    <w:rsid w:val="009E3F6F"/>
    <w:rsid w:val="009F499F"/>
    <w:rsid w:val="00A37342"/>
    <w:rsid w:val="00A42DAF"/>
    <w:rsid w:val="00A45BD8"/>
    <w:rsid w:val="00A726D6"/>
    <w:rsid w:val="00A817E7"/>
    <w:rsid w:val="00A869B7"/>
    <w:rsid w:val="00AC205C"/>
    <w:rsid w:val="00AD010D"/>
    <w:rsid w:val="00AD4254"/>
    <w:rsid w:val="00AF0A6B"/>
    <w:rsid w:val="00B05A69"/>
    <w:rsid w:val="00B94C11"/>
    <w:rsid w:val="00B9734B"/>
    <w:rsid w:val="00BA30E2"/>
    <w:rsid w:val="00BB4865"/>
    <w:rsid w:val="00C11BFE"/>
    <w:rsid w:val="00C5068F"/>
    <w:rsid w:val="00C86D74"/>
    <w:rsid w:val="00C87367"/>
    <w:rsid w:val="00CA21F3"/>
    <w:rsid w:val="00CD04F1"/>
    <w:rsid w:val="00CD4E57"/>
    <w:rsid w:val="00CF2114"/>
    <w:rsid w:val="00CF484B"/>
    <w:rsid w:val="00D45252"/>
    <w:rsid w:val="00D71B4D"/>
    <w:rsid w:val="00D808A4"/>
    <w:rsid w:val="00D93D55"/>
    <w:rsid w:val="00DC4A83"/>
    <w:rsid w:val="00DF750E"/>
    <w:rsid w:val="00E04F3C"/>
    <w:rsid w:val="00E15015"/>
    <w:rsid w:val="00E335FE"/>
    <w:rsid w:val="00E44337"/>
    <w:rsid w:val="00EA7D6E"/>
    <w:rsid w:val="00EC4E49"/>
    <w:rsid w:val="00EC4EF2"/>
    <w:rsid w:val="00ED77FB"/>
    <w:rsid w:val="00EE3FCA"/>
    <w:rsid w:val="00EE45FA"/>
    <w:rsid w:val="00F07136"/>
    <w:rsid w:val="00F40AA4"/>
    <w:rsid w:val="00F43E27"/>
    <w:rsid w:val="00F6003C"/>
    <w:rsid w:val="00F66152"/>
    <w:rsid w:val="00F71B68"/>
    <w:rsid w:val="00F960DD"/>
    <w:rsid w:val="00FA42C7"/>
    <w:rsid w:val="00FB666A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D808A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D808A4"/>
    <w:rPr>
      <w:vertAlign w:val="superscript"/>
    </w:rPr>
  </w:style>
  <w:style w:type="paragraph" w:customStyle="1" w:styleId="LegTitle">
    <w:name w:val="Leg # Title"/>
    <w:basedOn w:val="Normal"/>
    <w:next w:val="Normal"/>
    <w:rsid w:val="00D808A4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D808A4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D808A4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character" w:customStyle="1" w:styleId="LegaChar">
    <w:name w:val="Leg (a) Char"/>
    <w:basedOn w:val="DefaultParagraphFont"/>
    <w:link w:val="Lega"/>
    <w:rsid w:val="00D808A4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D808A4"/>
    <w:rPr>
      <w:color w:val="0000FF"/>
      <w:u w:val="single"/>
    </w:rPr>
  </w:style>
  <w:style w:type="character" w:customStyle="1" w:styleId="RDeletedText">
    <w:name w:val="RDeletedText"/>
    <w:basedOn w:val="DefaultParagraphFont"/>
    <w:rsid w:val="00A726D6"/>
    <w:rPr>
      <w:strike/>
      <w:color w:val="FF0000"/>
    </w:rPr>
  </w:style>
  <w:style w:type="paragraph" w:styleId="TOC1">
    <w:name w:val="toc 1"/>
    <w:basedOn w:val="Normal"/>
    <w:next w:val="Normal"/>
    <w:autoRedefine/>
    <w:uiPriority w:val="39"/>
    <w:qFormat/>
    <w:rsid w:val="00F43E27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F43E27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F43E27"/>
    <w:rPr>
      <w:color w:val="0000FF" w:themeColor="hyperlink"/>
      <w:u w:val="single"/>
    </w:rPr>
  </w:style>
  <w:style w:type="paragraph" w:customStyle="1" w:styleId="Legali">
    <w:name w:val="Legal (i)"/>
    <w:basedOn w:val="Lega"/>
    <w:qFormat/>
    <w:rsid w:val="004C6935"/>
    <w:pPr>
      <w:ind w:lef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D808A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D808A4"/>
    <w:rPr>
      <w:vertAlign w:val="superscript"/>
    </w:rPr>
  </w:style>
  <w:style w:type="paragraph" w:customStyle="1" w:styleId="LegTitle">
    <w:name w:val="Leg # Title"/>
    <w:basedOn w:val="Normal"/>
    <w:next w:val="Normal"/>
    <w:rsid w:val="00D808A4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D808A4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D808A4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character" w:customStyle="1" w:styleId="LegaChar">
    <w:name w:val="Leg (a) Char"/>
    <w:basedOn w:val="DefaultParagraphFont"/>
    <w:link w:val="Lega"/>
    <w:rsid w:val="00D808A4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D808A4"/>
    <w:rPr>
      <w:color w:val="0000FF"/>
      <w:u w:val="single"/>
    </w:rPr>
  </w:style>
  <w:style w:type="character" w:customStyle="1" w:styleId="RDeletedText">
    <w:name w:val="RDeletedText"/>
    <w:basedOn w:val="DefaultParagraphFont"/>
    <w:rsid w:val="00A726D6"/>
    <w:rPr>
      <w:strike/>
      <w:color w:val="FF0000"/>
    </w:rPr>
  </w:style>
  <w:style w:type="paragraph" w:styleId="TOC1">
    <w:name w:val="toc 1"/>
    <w:basedOn w:val="Normal"/>
    <w:next w:val="Normal"/>
    <w:autoRedefine/>
    <w:uiPriority w:val="39"/>
    <w:qFormat/>
    <w:rsid w:val="00F43E27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F43E27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F43E27"/>
    <w:rPr>
      <w:color w:val="0000FF" w:themeColor="hyperlink"/>
      <w:u w:val="single"/>
    </w:rPr>
  </w:style>
  <w:style w:type="paragraph" w:customStyle="1" w:styleId="Legali">
    <w:name w:val="Legal (i)"/>
    <w:basedOn w:val="Lega"/>
    <w:qFormat/>
    <w:rsid w:val="004C6935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5</Pages>
  <Words>853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PCT/WG/11/19</vt:lpstr>
    </vt:vector>
  </TitlesOfParts>
  <Company>WIPO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PCT/WG/11/19</dc:title>
  <dc:subject>Safeguards in Case of Outages Affecting Offices</dc:subject>
  <dc:creator>Marlow</dc:creator>
  <cp:lastModifiedBy>Marlow</cp:lastModifiedBy>
  <cp:revision>2</cp:revision>
  <cp:lastPrinted>2018-05-15T15:28:00Z</cp:lastPrinted>
  <dcterms:created xsi:type="dcterms:W3CDTF">2018-05-22T16:07:00Z</dcterms:created>
  <dcterms:modified xsi:type="dcterms:W3CDTF">2018-05-22T16:07:00Z</dcterms:modified>
</cp:coreProperties>
</file>