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4202A" w:rsidTr="00BF006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4202A" w:rsidRDefault="00EC4E49" w:rsidP="00177EAA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202A" w:rsidRDefault="00BF0061" w:rsidP="00177EAA">
            <w:pPr>
              <w:rPr>
                <w:lang w:val="ru-RU"/>
              </w:rPr>
            </w:pPr>
            <w:r w:rsidRPr="0094202A">
              <w:rPr>
                <w:noProof/>
                <w:lang w:eastAsia="en-US"/>
              </w:rPr>
              <w:drawing>
                <wp:inline distT="0" distB="0" distL="0" distR="0" wp14:anchorId="5BCC3F34" wp14:editId="45A1887B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202A" w:rsidRDefault="00BF0061" w:rsidP="00177EAA">
            <w:pPr>
              <w:jc w:val="right"/>
              <w:rPr>
                <w:lang w:val="ru-RU"/>
              </w:rPr>
            </w:pPr>
            <w:r w:rsidRPr="0094202A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4202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202A" w:rsidRDefault="002154B1" w:rsidP="00177EA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202A">
              <w:rPr>
                <w:rFonts w:ascii="Arial Black" w:hAnsi="Arial Black"/>
                <w:caps/>
                <w:sz w:val="15"/>
                <w:lang w:val="ru-RU"/>
              </w:rPr>
              <w:t>PCT/WG/10</w:t>
            </w:r>
            <w:r w:rsidR="00505EE8" w:rsidRPr="0094202A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94202A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 w:rsidRPr="0094202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4202A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BF0061" w:rsidRPr="0094202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F0061" w:rsidRPr="0094202A" w:rsidRDefault="00BF0061" w:rsidP="00177EA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202A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94202A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BF0061" w:rsidRPr="0094202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F0061" w:rsidRPr="0094202A" w:rsidRDefault="00BF0061" w:rsidP="00A87BA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4202A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94202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A87BAD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Pr="0094202A">
              <w:rPr>
                <w:rFonts w:ascii="Arial Black" w:hAnsi="Arial Black"/>
                <w:caps/>
                <w:sz w:val="15"/>
                <w:lang w:val="ru-RU"/>
              </w:rPr>
              <w:t xml:space="preserve"> января 2017 г.</w:t>
            </w:r>
          </w:p>
        </w:tc>
      </w:tr>
    </w:tbl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855DC9" w:rsidP="00177EAA">
      <w:pPr>
        <w:rPr>
          <w:b/>
          <w:sz w:val="28"/>
          <w:szCs w:val="28"/>
          <w:lang w:val="ru-RU"/>
        </w:rPr>
      </w:pPr>
      <w:r w:rsidRPr="0094202A">
        <w:rPr>
          <w:b/>
          <w:sz w:val="28"/>
          <w:szCs w:val="28"/>
          <w:lang w:val="ru-RU"/>
        </w:rPr>
        <w:t xml:space="preserve">Рабочая группа по </w:t>
      </w:r>
    </w:p>
    <w:p w:rsidR="006732D2" w:rsidRPr="0094202A" w:rsidRDefault="00855DC9" w:rsidP="00177EAA">
      <w:pPr>
        <w:rPr>
          <w:b/>
          <w:sz w:val="28"/>
          <w:szCs w:val="28"/>
          <w:lang w:val="ru-RU"/>
        </w:rPr>
      </w:pPr>
      <w:r w:rsidRPr="0094202A">
        <w:rPr>
          <w:b/>
          <w:sz w:val="28"/>
          <w:szCs w:val="28"/>
          <w:lang w:val="ru-RU"/>
        </w:rPr>
        <w:t>Договору о патентной кооперации (PCT)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3317F9" w:rsidP="00177EAA">
      <w:pPr>
        <w:rPr>
          <w:b/>
          <w:sz w:val="24"/>
          <w:szCs w:val="24"/>
          <w:lang w:val="ru-RU"/>
        </w:rPr>
      </w:pPr>
      <w:r w:rsidRPr="0094202A">
        <w:rPr>
          <w:b/>
          <w:sz w:val="24"/>
          <w:szCs w:val="24"/>
          <w:lang w:val="ru-RU"/>
        </w:rPr>
        <w:t>Десятая сессия</w:t>
      </w:r>
    </w:p>
    <w:p w:rsidR="006732D2" w:rsidRPr="0094202A" w:rsidRDefault="003317F9" w:rsidP="00177EAA">
      <w:pPr>
        <w:rPr>
          <w:b/>
          <w:sz w:val="24"/>
          <w:szCs w:val="24"/>
          <w:lang w:val="ru-RU"/>
        </w:rPr>
      </w:pPr>
      <w:r w:rsidRPr="0094202A">
        <w:rPr>
          <w:b/>
          <w:sz w:val="24"/>
          <w:szCs w:val="24"/>
          <w:lang w:val="ru-RU"/>
        </w:rPr>
        <w:t>Женева, 8 - 12 мая 2017 г.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3317F9" w:rsidP="00177EAA">
      <w:pPr>
        <w:rPr>
          <w:caps/>
          <w:sz w:val="24"/>
          <w:lang w:val="ru-RU"/>
        </w:rPr>
      </w:pPr>
      <w:bookmarkStart w:id="4" w:name="TitleOfDoc"/>
      <w:bookmarkEnd w:id="4"/>
      <w:r w:rsidRPr="0094202A">
        <w:rPr>
          <w:caps/>
          <w:sz w:val="24"/>
          <w:lang w:val="ru-RU"/>
        </w:rPr>
        <w:t xml:space="preserve">ВТОРОЕ ДОПОЛНЕНИЕ К ИССЛЕДОВАНИЮ «ОЦЕНКА ЭЛАСТИЧНОСТИ </w:t>
      </w:r>
      <w:r w:rsidR="00AE294B" w:rsidRPr="0094202A">
        <w:rPr>
          <w:caps/>
          <w:sz w:val="24"/>
          <w:lang w:val="ru-RU"/>
        </w:rPr>
        <w:t xml:space="preserve">по </w:t>
      </w:r>
      <w:r w:rsidRPr="0094202A">
        <w:rPr>
          <w:caps/>
          <w:sz w:val="24"/>
          <w:lang w:val="ru-RU"/>
        </w:rPr>
        <w:t>ПОШЛИН</w:t>
      </w:r>
      <w:r w:rsidR="00AE294B" w:rsidRPr="0094202A">
        <w:rPr>
          <w:caps/>
          <w:sz w:val="24"/>
          <w:lang w:val="ru-RU"/>
        </w:rPr>
        <w:t>ам</w:t>
      </w:r>
      <w:r w:rsidRPr="0094202A">
        <w:rPr>
          <w:caps/>
          <w:sz w:val="24"/>
          <w:lang w:val="ru-RU"/>
        </w:rPr>
        <w:t xml:space="preserve"> PCT»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3317F9" w:rsidP="00177EAA">
      <w:pPr>
        <w:rPr>
          <w:i/>
          <w:lang w:val="ru-RU"/>
        </w:rPr>
      </w:pPr>
      <w:bookmarkStart w:id="5" w:name="Prepared"/>
      <w:bookmarkEnd w:id="5"/>
      <w:r w:rsidRPr="0094202A">
        <w:rPr>
          <w:i/>
          <w:lang w:val="ru-RU"/>
        </w:rPr>
        <w:t>Документ подготовлен Международным бюро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3317F9" w:rsidP="00177EAA">
      <w:pPr>
        <w:pStyle w:val="Heading1"/>
        <w:keepNext w:val="0"/>
        <w:spacing w:after="240"/>
        <w:rPr>
          <w:lang w:val="ru-RU"/>
        </w:rPr>
      </w:pPr>
      <w:r w:rsidRPr="0094202A">
        <w:rPr>
          <w:lang w:val="ru-RU"/>
        </w:rPr>
        <w:t>Введение</w:t>
      </w:r>
    </w:p>
    <w:p w:rsidR="006732D2" w:rsidRPr="0094202A" w:rsidRDefault="003317F9" w:rsidP="00177EAA">
      <w:pPr>
        <w:pStyle w:val="ONUME"/>
        <w:rPr>
          <w:lang w:val="ru-RU"/>
        </w:rPr>
      </w:pPr>
      <w:r w:rsidRPr="0094202A">
        <w:rPr>
          <w:lang w:val="ru-RU"/>
        </w:rPr>
        <w:t xml:space="preserve">На седьмой сессии Рабочей группы, состоявшейся в 2013 г., Международное бюро представило исследование «Оценка эластичности </w:t>
      </w:r>
      <w:r w:rsidR="001D784D" w:rsidRPr="0094202A">
        <w:rPr>
          <w:lang w:val="ru-RU"/>
        </w:rPr>
        <w:t xml:space="preserve">по </w:t>
      </w:r>
      <w:r w:rsidRPr="0094202A">
        <w:rPr>
          <w:lang w:val="ru-RU"/>
        </w:rPr>
        <w:t>пошлин</w:t>
      </w:r>
      <w:r w:rsidR="001D784D" w:rsidRPr="0094202A">
        <w:rPr>
          <w:lang w:val="ru-RU"/>
        </w:rPr>
        <w:t>ам</w:t>
      </w:r>
      <w:r w:rsidRPr="0094202A">
        <w:rPr>
          <w:lang w:val="ru-RU"/>
        </w:rPr>
        <w:t xml:space="preserve"> PCT» (документ PCT/WG/7/6), в котором впервые была проведена оценка общей эластичности числа заявок по пошлин</w:t>
      </w:r>
      <w:r w:rsidR="001D784D" w:rsidRPr="0094202A">
        <w:rPr>
          <w:lang w:val="ru-RU"/>
        </w:rPr>
        <w:t>е</w:t>
      </w:r>
      <w:r w:rsidR="005D1E37" w:rsidRPr="0094202A">
        <w:rPr>
          <w:lang w:val="ru-RU"/>
        </w:rPr>
        <w:t xml:space="preserve"> </w:t>
      </w:r>
      <w:r w:rsidRPr="0094202A">
        <w:rPr>
          <w:lang w:val="ru-RU"/>
        </w:rPr>
        <w:t>PCT, то есть того,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границей.</w:t>
      </w:r>
      <w:r w:rsidR="002924F1" w:rsidRPr="0094202A">
        <w:rPr>
          <w:lang w:val="ru-RU"/>
        </w:rPr>
        <w:t xml:space="preserve">  </w:t>
      </w:r>
      <w:r w:rsidRPr="0094202A">
        <w:rPr>
          <w:lang w:val="ru-RU"/>
        </w:rPr>
        <w:t>Оно показало, что университеты и государственные научно-исследовательские учреждения (ГНИУ) более чувствительны к ценам, чем другие заявители, даже если все оценки эластичности свидетельствуют о крайне низкой эластичности по размеру пошлины.</w:t>
      </w:r>
    </w:p>
    <w:p w:rsidR="006732D2" w:rsidRPr="0094202A" w:rsidRDefault="00AE294B" w:rsidP="00177EAA">
      <w:pPr>
        <w:pStyle w:val="ONUME"/>
        <w:rPr>
          <w:lang w:val="ru-RU"/>
        </w:rPr>
      </w:pPr>
      <w:r w:rsidRPr="0094202A">
        <w:rPr>
          <w:lang w:val="ru-RU"/>
        </w:rPr>
        <w:t>В порядке продолжения этой работы Рабочая группа поручила Секретариату подготовить совместно с Главным экономистом дополнительное исследование последствий возможного снижения пошлины для университетов и государственных научно-исследовательских учреждений в различных группах стран.</w:t>
      </w:r>
      <w:r w:rsidR="002924F1" w:rsidRPr="0094202A">
        <w:rPr>
          <w:lang w:val="ru-RU"/>
        </w:rPr>
        <w:t xml:space="preserve">  </w:t>
      </w:r>
      <w:r w:rsidRPr="0094202A">
        <w:rPr>
          <w:lang w:val="ru-RU"/>
        </w:rPr>
        <w:t xml:space="preserve">Данное дополнительное исследование </w:t>
      </w:r>
      <w:r w:rsidR="002924F1" w:rsidRPr="0094202A">
        <w:rPr>
          <w:lang w:val="ru-RU"/>
        </w:rPr>
        <w:t>(</w:t>
      </w:r>
      <w:r w:rsidRPr="0094202A">
        <w:rPr>
          <w:lang w:val="ru-RU"/>
        </w:rPr>
        <w:t xml:space="preserve">документ </w:t>
      </w:r>
      <w:r w:rsidR="002924F1" w:rsidRPr="0094202A">
        <w:rPr>
          <w:lang w:val="ru-RU"/>
        </w:rPr>
        <w:t xml:space="preserve">PCT/WG/8/11) </w:t>
      </w:r>
      <w:r w:rsidRPr="0094202A">
        <w:rPr>
          <w:lang w:val="ru-RU"/>
        </w:rPr>
        <w:t xml:space="preserve">было представлено на восьмой сессии Рабочей группы в </w:t>
      </w:r>
      <w:r w:rsidR="00404407" w:rsidRPr="0094202A">
        <w:rPr>
          <w:lang w:val="ru-RU"/>
        </w:rPr>
        <w:t>2015</w:t>
      </w:r>
      <w:r w:rsidRPr="0094202A">
        <w:rPr>
          <w:lang w:val="ru-RU"/>
        </w:rPr>
        <w:t xml:space="preserve"> г. </w:t>
      </w:r>
    </w:p>
    <w:p w:rsidR="006732D2" w:rsidRPr="0094202A" w:rsidRDefault="00F718C6" w:rsidP="00177EAA">
      <w:pPr>
        <w:pStyle w:val="ONUME"/>
        <w:rPr>
          <w:lang w:val="ru-RU"/>
        </w:rPr>
      </w:pPr>
      <w:r w:rsidRPr="0094202A">
        <w:rPr>
          <w:lang w:val="ru-RU"/>
        </w:rPr>
        <w:lastRenderedPageBreak/>
        <w:t xml:space="preserve">На своей девятой сессии, состоявшейся в 2016 г., Рабочая группа обсудила предложение Бразилии по политике в отношении пошлин PCT, имеющее своей целью стимулировать подачу заявок университетами и финансируемыми за счет государственных средств научно-исследовательскими учреждениями в некоторых странах, в частности </w:t>
      </w:r>
      <w:r w:rsidR="00A87BAD">
        <w:rPr>
          <w:lang w:val="ru-RU"/>
        </w:rPr>
        <w:t xml:space="preserve">в </w:t>
      </w:r>
      <w:r w:rsidRPr="0094202A">
        <w:rPr>
          <w:lang w:val="ru-RU"/>
        </w:rPr>
        <w:t>развивающихся и наименее развитых странах (документ PCT/WG/9/25).</w:t>
      </w:r>
      <w:r w:rsidR="00B61B41" w:rsidRPr="0094202A">
        <w:rPr>
          <w:lang w:val="ru-RU"/>
        </w:rPr>
        <w:t xml:space="preserve">  </w:t>
      </w:r>
      <w:r w:rsidRPr="0094202A">
        <w:rPr>
          <w:lang w:val="ru-RU"/>
        </w:rPr>
        <w:t>Резюме этого обсуждения приводится в пунктах 85 – 122 отчета о работе сессии (документ PCT/WG/9/28);  в пунктах 119 – 120 приводится следующее изложение дальнейшего порядка работы, согласованного Рабочей группой:</w:t>
      </w:r>
      <w:r w:rsidR="002B6FEC" w:rsidRPr="0094202A">
        <w:rPr>
          <w:lang w:val="ru-RU"/>
        </w:rPr>
        <w:t xml:space="preserve"> </w:t>
      </w:r>
    </w:p>
    <w:p w:rsidR="006732D2" w:rsidRPr="0094202A" w:rsidRDefault="00F718C6" w:rsidP="00177EA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4202A">
        <w:rPr>
          <w:lang w:val="ru-RU"/>
        </w:rPr>
        <w:t>«</w:t>
      </w:r>
      <w:r w:rsidR="002B6FEC" w:rsidRPr="0094202A">
        <w:rPr>
          <w:lang w:val="ru-RU"/>
        </w:rPr>
        <w:t>119.</w:t>
      </w:r>
      <w:r w:rsidR="002B6FEC" w:rsidRPr="0094202A">
        <w:rPr>
          <w:lang w:val="ru-RU"/>
        </w:rPr>
        <w:tab/>
      </w:r>
      <w:r w:rsidRPr="0094202A">
        <w:rPr>
          <w:lang w:val="ru-RU"/>
        </w:rPr>
        <w:t xml:space="preserve"> </w:t>
      </w:r>
      <w:r w:rsidR="007F0410" w:rsidRPr="0094202A">
        <w:rPr>
          <w:lang w:val="ru-RU"/>
        </w:rPr>
        <w:t>После проведения неофициального обсуждения Рабочая группа поручила Секретариату подготовить совместно с Главным экономистом дополнение к исследованию, представленному на восьмой сессии (документ PCT/WG/8/11) с целью его обсуждения на следующей сессии Рабочей группы.</w:t>
      </w:r>
      <w:r w:rsidR="002B6FEC" w:rsidRPr="0094202A">
        <w:rPr>
          <w:lang w:val="ru-RU"/>
        </w:rPr>
        <w:t xml:space="preserve">  </w:t>
      </w:r>
      <w:r w:rsidR="007F0410" w:rsidRPr="0094202A">
        <w:rPr>
          <w:lang w:val="ru-RU"/>
        </w:rPr>
        <w:t>Данное дополнение должно содержать:</w:t>
      </w:r>
    </w:p>
    <w:p w:rsidR="006732D2" w:rsidRPr="0094202A" w:rsidRDefault="007F0410" w:rsidP="00177EAA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94202A">
        <w:rPr>
          <w:lang w:val="ru-RU"/>
        </w:rPr>
        <w:t>дополнительную информацию, аналогичную информации, представленной в таблицах 4 и 5 документа PCT/WG/8/11, с использованием оценок эластичности, представленных в таблице 3 документа PCT/WG/8/11, и последующего расчета числа дополнительных подач, среднего размера уплачиваемой пошлины и последствий как для дохода в абсолютном выражении, так и по отношению к совокупному доходу РСТ, отдельно для университетов и государственных научно-исследовательских институтов, которые получат выгоды от гипотетического сокращения пошлин, при гипотетическом определенном сокращении пошлин для развитых стран и стран, отвечающих критериям, изложенным в пункте 5 Перечня пошлин РСТ;</w:t>
      </w:r>
    </w:p>
    <w:p w:rsidR="006732D2" w:rsidRPr="0094202A" w:rsidRDefault="007F0410" w:rsidP="00177EAA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94202A">
        <w:rPr>
          <w:lang w:val="ru-RU"/>
        </w:rPr>
        <w:t>информацию о последствиях для дохода в случае гипотетического ограничения числа заявок, которые могут быть поданы любым университетом или государственным научно-исследовательским институтом, которые могут получить выгоду от гипотетического сокращения пошлин за подачу определенного числа международных заявок в год, например 5, 10 и 20-ю международными заявками в год;  и</w:t>
      </w:r>
    </w:p>
    <w:p w:rsidR="006732D2" w:rsidRPr="0094202A" w:rsidRDefault="007F0410" w:rsidP="00177EAA">
      <w:pPr>
        <w:pStyle w:val="ONUME"/>
        <w:numPr>
          <w:ilvl w:val="1"/>
          <w:numId w:val="5"/>
        </w:numPr>
        <w:ind w:left="1134"/>
        <w:rPr>
          <w:lang w:val="ru-RU"/>
        </w:rPr>
      </w:pPr>
      <w:r w:rsidRPr="0094202A">
        <w:rPr>
          <w:lang w:val="ru-RU"/>
        </w:rPr>
        <w:t>более подробную информацию об упомянутом в пункте</w:t>
      </w:r>
      <w:r w:rsidR="00A87BAD">
        <w:rPr>
          <w:lang w:val="ru-RU"/>
        </w:rPr>
        <w:t xml:space="preserve"> 118</w:t>
      </w:r>
      <w:r w:rsidRPr="0094202A">
        <w:rPr>
          <w:lang w:val="ru-RU"/>
        </w:rPr>
        <w:t xml:space="preserve"> выше методе выявления университетов и государственных научно-исследовательских институтов в числе всех заявителей</w:t>
      </w:r>
      <w:r w:rsidR="00855ECD" w:rsidRPr="0094202A">
        <w:rPr>
          <w:lang w:val="ru-RU"/>
        </w:rPr>
        <w:t xml:space="preserve">, использующих </w:t>
      </w:r>
      <w:r w:rsidRPr="0094202A">
        <w:rPr>
          <w:lang w:val="ru-RU"/>
        </w:rPr>
        <w:t>п</w:t>
      </w:r>
      <w:r w:rsidR="00855ECD" w:rsidRPr="0094202A">
        <w:rPr>
          <w:lang w:val="ru-RU"/>
        </w:rPr>
        <w:t xml:space="preserve">роцедуру </w:t>
      </w:r>
      <w:r w:rsidRPr="0094202A">
        <w:rPr>
          <w:lang w:val="ru-RU"/>
        </w:rPr>
        <w:t>РСТ</w:t>
      </w:r>
      <w:r w:rsidR="002B6FEC" w:rsidRPr="0094202A">
        <w:rPr>
          <w:lang w:val="ru-RU"/>
        </w:rPr>
        <w:t>.</w:t>
      </w:r>
      <w:r w:rsidRPr="0094202A">
        <w:rPr>
          <w:lang w:val="ru-RU"/>
        </w:rPr>
        <w:t xml:space="preserve"> </w:t>
      </w:r>
    </w:p>
    <w:p w:rsidR="006732D2" w:rsidRPr="0094202A" w:rsidRDefault="002B6FEC" w:rsidP="00177EAA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4202A">
        <w:rPr>
          <w:lang w:val="ru-RU"/>
        </w:rPr>
        <w:t>120.</w:t>
      </w:r>
      <w:r w:rsidRPr="0094202A">
        <w:rPr>
          <w:lang w:val="ru-RU"/>
        </w:rPr>
        <w:tab/>
      </w:r>
      <w:r w:rsidR="007F0410" w:rsidRPr="0094202A">
        <w:rPr>
          <w:lang w:val="ru-RU"/>
        </w:rPr>
        <w:t>Рабочая группа также просила Секретариат предоставить данное дополнение заблаговременно (не менее чем за четыре месяца) до начала следующей сессии Рабочей группы</w:t>
      </w:r>
      <w:r w:rsidR="00F718C6" w:rsidRPr="0094202A">
        <w:rPr>
          <w:lang w:val="ru-RU"/>
        </w:rPr>
        <w:t>»</w:t>
      </w:r>
      <w:r w:rsidRPr="0094202A">
        <w:rPr>
          <w:lang w:val="ru-RU"/>
        </w:rPr>
        <w:t>.</w:t>
      </w:r>
      <w:r w:rsidR="00F718C6" w:rsidRPr="0094202A">
        <w:rPr>
          <w:lang w:val="ru-RU"/>
        </w:rPr>
        <w:t xml:space="preserve"> </w:t>
      </w:r>
    </w:p>
    <w:p w:rsidR="006732D2" w:rsidRPr="0094202A" w:rsidRDefault="00520B18" w:rsidP="00177EAA">
      <w:pPr>
        <w:pStyle w:val="ONUME"/>
        <w:rPr>
          <w:lang w:val="ru-RU"/>
        </w:rPr>
      </w:pPr>
      <w:r w:rsidRPr="0094202A">
        <w:rPr>
          <w:lang w:val="ru-RU"/>
        </w:rPr>
        <w:t>Запрошенное Рабочей группой на ее девятой сессии дополнительное исследование представлено в настоящем документе</w:t>
      </w:r>
      <w:r w:rsidR="002B6FEC" w:rsidRPr="0094202A">
        <w:rPr>
          <w:lang w:val="ru-RU"/>
        </w:rPr>
        <w:t>.</w:t>
      </w:r>
      <w:r w:rsidRPr="0094202A">
        <w:rPr>
          <w:lang w:val="ru-RU"/>
        </w:rPr>
        <w:t xml:space="preserve"> </w:t>
      </w:r>
    </w:p>
    <w:p w:rsidR="006732D2" w:rsidRPr="0094202A" w:rsidRDefault="00520B18" w:rsidP="00177EAA">
      <w:pPr>
        <w:pStyle w:val="ONUME"/>
        <w:rPr>
          <w:lang w:val="ru-RU"/>
        </w:rPr>
      </w:pPr>
      <w:r w:rsidRPr="0094202A">
        <w:rPr>
          <w:lang w:val="ru-RU"/>
        </w:rPr>
        <w:t>Как было отмечено в первом дополнительном исследовании, к сожалению</w:t>
      </w:r>
      <w:r w:rsidR="00A87BAD">
        <w:rPr>
          <w:lang w:val="ru-RU"/>
        </w:rPr>
        <w:t>,</w:t>
      </w:r>
      <w:r w:rsidRPr="0094202A">
        <w:rPr>
          <w:lang w:val="ru-RU"/>
        </w:rPr>
        <w:t xml:space="preserve"> не представляется возможным произвести моделирование </w:t>
      </w:r>
      <w:r w:rsidR="005D1E37" w:rsidRPr="0094202A">
        <w:rPr>
          <w:lang w:val="ru-RU"/>
        </w:rPr>
        <w:t xml:space="preserve">для </w:t>
      </w:r>
      <w:r w:rsidRPr="0094202A">
        <w:rPr>
          <w:lang w:val="ru-RU"/>
        </w:rPr>
        <w:t>гипотетического снижения пошлин</w:t>
      </w:r>
      <w:r w:rsidR="005D1E37" w:rsidRPr="0094202A">
        <w:rPr>
          <w:lang w:val="ru-RU"/>
        </w:rPr>
        <w:t>ы</w:t>
      </w:r>
      <w:r w:rsidR="004D4F3D" w:rsidRPr="0094202A">
        <w:rPr>
          <w:lang w:val="ru-RU"/>
        </w:rPr>
        <w:t xml:space="preserve"> </w:t>
      </w:r>
      <w:r w:rsidR="005D1E37" w:rsidRPr="0094202A">
        <w:rPr>
          <w:lang w:val="ru-RU"/>
        </w:rPr>
        <w:t xml:space="preserve">в случае </w:t>
      </w:r>
      <w:r w:rsidR="004D4F3D" w:rsidRPr="0094202A">
        <w:rPr>
          <w:lang w:val="ru-RU"/>
        </w:rPr>
        <w:t xml:space="preserve">государственных научно-исследовательских учреждений (ГНИУ) в развивающихся странах.  Это связано с тем, что </w:t>
      </w:r>
      <w:r w:rsidR="00140E80" w:rsidRPr="0094202A">
        <w:rPr>
          <w:lang w:val="ru-RU"/>
        </w:rPr>
        <w:t xml:space="preserve">коэффициентная оценка по переменной пошлины в базовом эконометрическом исследовании не является статистически значимой (см. пункт 5 документа </w:t>
      </w:r>
      <w:r w:rsidR="00765B9A" w:rsidRPr="0094202A">
        <w:rPr>
          <w:lang w:val="ru-RU"/>
        </w:rPr>
        <w:t xml:space="preserve">PCT/WG/8/11).  </w:t>
      </w:r>
      <w:r w:rsidR="00140E80" w:rsidRPr="0094202A">
        <w:rPr>
          <w:lang w:val="ru-RU"/>
        </w:rPr>
        <w:t>Как объяснялось в исследовании</w:t>
      </w:r>
      <w:r w:rsidR="00765B9A" w:rsidRPr="0094202A">
        <w:rPr>
          <w:lang w:val="ru-RU"/>
        </w:rPr>
        <w:t xml:space="preserve">, </w:t>
      </w:r>
      <w:r w:rsidR="00AA19A9" w:rsidRPr="0094202A">
        <w:rPr>
          <w:lang w:val="ru-RU"/>
        </w:rPr>
        <w:t xml:space="preserve">данный результат, </w:t>
      </w:r>
      <w:r w:rsidR="00140E80" w:rsidRPr="0094202A">
        <w:rPr>
          <w:lang w:val="ru-RU"/>
        </w:rPr>
        <w:t xml:space="preserve">вполне вероятно, </w:t>
      </w:r>
      <w:r w:rsidR="00AA19A9" w:rsidRPr="0094202A">
        <w:rPr>
          <w:lang w:val="ru-RU"/>
        </w:rPr>
        <w:t xml:space="preserve">не свидетельствует о том, что </w:t>
      </w:r>
      <w:r w:rsidR="00140E80" w:rsidRPr="0094202A">
        <w:rPr>
          <w:lang w:val="ru-RU"/>
        </w:rPr>
        <w:t xml:space="preserve">заявители из числа ГНИУ </w:t>
      </w:r>
      <w:r w:rsidR="00AA19A9" w:rsidRPr="0094202A">
        <w:rPr>
          <w:lang w:val="ru-RU"/>
        </w:rPr>
        <w:t xml:space="preserve">не чувствительны к размеру пошлины, и обусловлен просто небольшим размером оценочной выборки, что затрудняет проведение статистического </w:t>
      </w:r>
      <w:r w:rsidR="00AA19A9" w:rsidRPr="0094202A">
        <w:rPr>
          <w:lang w:val="ru-RU"/>
        </w:rPr>
        <w:lastRenderedPageBreak/>
        <w:t>исследования</w:t>
      </w:r>
      <w:r w:rsidR="00227C2A" w:rsidRPr="0094202A">
        <w:rPr>
          <w:rStyle w:val="FootnoteReference"/>
          <w:lang w:val="ru-RU"/>
        </w:rPr>
        <w:footnoteReference w:id="2"/>
      </w:r>
      <w:r w:rsidR="00765B9A" w:rsidRPr="0094202A">
        <w:rPr>
          <w:lang w:val="ru-RU"/>
        </w:rPr>
        <w:t xml:space="preserve">.   </w:t>
      </w:r>
      <w:r w:rsidR="008813A4" w:rsidRPr="0094202A">
        <w:rPr>
          <w:lang w:val="ru-RU"/>
        </w:rPr>
        <w:t>По этой причине представленное в настоящем документе новое моделирование полностью сосредоточено на заявителях из числа университетов</w:t>
      </w:r>
      <w:r w:rsidR="00765B9A" w:rsidRPr="0094202A">
        <w:rPr>
          <w:lang w:val="ru-RU"/>
        </w:rPr>
        <w:t>.</w:t>
      </w:r>
    </w:p>
    <w:p w:rsidR="006732D2" w:rsidRPr="0094202A" w:rsidRDefault="00452567" w:rsidP="00177EAA">
      <w:pPr>
        <w:pStyle w:val="ONUME"/>
        <w:rPr>
          <w:lang w:val="ru-RU"/>
        </w:rPr>
      </w:pPr>
      <w:r w:rsidRPr="0094202A">
        <w:rPr>
          <w:lang w:val="ru-RU"/>
        </w:rPr>
        <w:t xml:space="preserve">Данное </w:t>
      </w:r>
      <w:r w:rsidR="00227C2A" w:rsidRPr="0094202A">
        <w:rPr>
          <w:lang w:val="ru-RU"/>
        </w:rPr>
        <w:t>(</w:t>
      </w:r>
      <w:r w:rsidRPr="0094202A">
        <w:rPr>
          <w:lang w:val="ru-RU"/>
        </w:rPr>
        <w:t>второе</w:t>
      </w:r>
      <w:r w:rsidR="00227C2A" w:rsidRPr="0094202A">
        <w:rPr>
          <w:lang w:val="ru-RU"/>
        </w:rPr>
        <w:t xml:space="preserve">) </w:t>
      </w:r>
      <w:r w:rsidRPr="0094202A">
        <w:rPr>
          <w:lang w:val="ru-RU"/>
        </w:rPr>
        <w:t>дополнительное исследование поделено на две части</w:t>
      </w:r>
      <w:r w:rsidR="00227C2A" w:rsidRPr="0094202A">
        <w:rPr>
          <w:lang w:val="ru-RU"/>
        </w:rPr>
        <w:t xml:space="preserve">.  </w:t>
      </w:r>
      <w:r w:rsidRPr="0094202A">
        <w:rPr>
          <w:lang w:val="ru-RU"/>
        </w:rPr>
        <w:t>В первой части описывается подход, принятый для выявления университетов и ГНИУ в базе данных по заявителям</w:t>
      </w:r>
      <w:r w:rsidR="00855ECD" w:rsidRPr="0094202A">
        <w:rPr>
          <w:lang w:val="ru-RU"/>
        </w:rPr>
        <w:t>, использующим процедуру</w:t>
      </w:r>
      <w:r w:rsidRPr="0094202A">
        <w:rPr>
          <w:lang w:val="ru-RU"/>
        </w:rPr>
        <w:t xml:space="preserve"> </w:t>
      </w:r>
      <w:r w:rsidR="00227C2A" w:rsidRPr="0094202A">
        <w:rPr>
          <w:lang w:val="ru-RU"/>
        </w:rPr>
        <w:t xml:space="preserve">PCT.  </w:t>
      </w:r>
      <w:r w:rsidRPr="0094202A">
        <w:rPr>
          <w:lang w:val="ru-RU"/>
        </w:rPr>
        <w:t xml:space="preserve">Во второй части представлены дополнительные результаты моделирования для гипотетического снижения пошлины, в частности при </w:t>
      </w:r>
      <w:r w:rsidR="00A87BAD">
        <w:rPr>
          <w:lang w:val="ru-RU"/>
        </w:rPr>
        <w:t>введении</w:t>
      </w:r>
      <w:r w:rsidRPr="0094202A">
        <w:rPr>
          <w:lang w:val="ru-RU"/>
        </w:rPr>
        <w:t xml:space="preserve"> такого снижения </w:t>
      </w:r>
      <w:r w:rsidR="00A87BAD">
        <w:rPr>
          <w:lang w:val="ru-RU"/>
        </w:rPr>
        <w:t xml:space="preserve">только при </w:t>
      </w:r>
      <w:r w:rsidRPr="0094202A">
        <w:rPr>
          <w:lang w:val="ru-RU"/>
        </w:rPr>
        <w:t>определенн</w:t>
      </w:r>
      <w:r w:rsidR="00A87BAD">
        <w:rPr>
          <w:lang w:val="ru-RU"/>
        </w:rPr>
        <w:t>о</w:t>
      </w:r>
      <w:r w:rsidRPr="0094202A">
        <w:rPr>
          <w:lang w:val="ru-RU"/>
        </w:rPr>
        <w:t>м числ</w:t>
      </w:r>
      <w:r w:rsidR="00A87BAD">
        <w:rPr>
          <w:lang w:val="ru-RU"/>
        </w:rPr>
        <w:t>е</w:t>
      </w:r>
      <w:r w:rsidRPr="0094202A">
        <w:rPr>
          <w:lang w:val="ru-RU"/>
        </w:rPr>
        <w:t xml:space="preserve"> международных заявок на одного заявителя в год</w:t>
      </w:r>
      <w:r w:rsidR="00227C2A" w:rsidRPr="0094202A">
        <w:rPr>
          <w:lang w:val="ru-RU"/>
        </w:rPr>
        <w:t>.</w:t>
      </w:r>
      <w:r w:rsidR="005D1E37" w:rsidRPr="0094202A">
        <w:rPr>
          <w:lang w:val="ru-RU"/>
        </w:rPr>
        <w:t xml:space="preserve"> </w:t>
      </w:r>
    </w:p>
    <w:p w:rsidR="006732D2" w:rsidRPr="0094202A" w:rsidRDefault="00452567" w:rsidP="00177EAA">
      <w:pPr>
        <w:pStyle w:val="Heading1"/>
        <w:keepNext w:val="0"/>
        <w:spacing w:after="240"/>
        <w:rPr>
          <w:lang w:val="ru-RU"/>
        </w:rPr>
      </w:pPr>
      <w:r w:rsidRPr="0094202A">
        <w:rPr>
          <w:lang w:val="ru-RU"/>
        </w:rPr>
        <w:t>выявление университетов и государственных научно-исследовательских учреждений в базе данных по заявителям</w:t>
      </w:r>
      <w:r w:rsidR="00855ECD" w:rsidRPr="0094202A">
        <w:rPr>
          <w:lang w:val="ru-RU"/>
        </w:rPr>
        <w:t>, использующим процедуру PCT</w:t>
      </w:r>
      <w:r w:rsidRPr="0094202A">
        <w:rPr>
          <w:lang w:val="ru-RU"/>
        </w:rPr>
        <w:t xml:space="preserve"> </w:t>
      </w:r>
    </w:p>
    <w:p w:rsidR="006732D2" w:rsidRPr="0094202A" w:rsidRDefault="00452567" w:rsidP="00177EAA">
      <w:pPr>
        <w:pStyle w:val="ONUME"/>
        <w:rPr>
          <w:lang w:val="ru-RU"/>
        </w:rPr>
      </w:pPr>
      <w:r w:rsidRPr="0094202A">
        <w:rPr>
          <w:lang w:val="ru-RU"/>
        </w:rPr>
        <w:t xml:space="preserve">В учетных данных </w:t>
      </w:r>
      <w:r w:rsidR="00227C2A" w:rsidRPr="0094202A">
        <w:rPr>
          <w:lang w:val="ru-RU"/>
        </w:rPr>
        <w:t xml:space="preserve">PCT </w:t>
      </w:r>
      <w:r w:rsidRPr="0094202A">
        <w:rPr>
          <w:lang w:val="ru-RU"/>
        </w:rPr>
        <w:t>заявители не классифицируются по категориям учреждений</w:t>
      </w:r>
      <w:r w:rsidR="00227C2A" w:rsidRPr="0094202A">
        <w:rPr>
          <w:lang w:val="ru-RU"/>
        </w:rPr>
        <w:t xml:space="preserve">.  </w:t>
      </w:r>
      <w:r w:rsidRPr="0094202A">
        <w:rPr>
          <w:lang w:val="ru-RU"/>
        </w:rPr>
        <w:t xml:space="preserve">Единственный способ </w:t>
      </w:r>
      <w:r w:rsidR="0097433F" w:rsidRPr="0094202A">
        <w:rPr>
          <w:lang w:val="ru-RU"/>
        </w:rPr>
        <w:t>классифицировать заявителей – это провести поиск по наименованиям/именам заявителей, указанных в документах PCT, и попытаться таким образом определить, является ли заявитель университетом, ГНИУ, компанией или физическим лицом</w:t>
      </w:r>
      <w:r w:rsidR="00227C2A" w:rsidRPr="0094202A">
        <w:rPr>
          <w:lang w:val="ru-RU"/>
        </w:rPr>
        <w:t>.</w:t>
      </w:r>
    </w:p>
    <w:p w:rsidR="006732D2" w:rsidRPr="0094202A" w:rsidRDefault="004E7E9B" w:rsidP="00855ECD">
      <w:pPr>
        <w:pStyle w:val="ONUME"/>
        <w:rPr>
          <w:lang w:val="ru-RU"/>
        </w:rPr>
      </w:pPr>
      <w:r w:rsidRPr="0094202A">
        <w:rPr>
          <w:lang w:val="ru-RU"/>
        </w:rPr>
        <w:t>Отдел экономики и статистики (</w:t>
      </w:r>
      <w:r w:rsidR="00557D26" w:rsidRPr="0094202A">
        <w:rPr>
          <w:lang w:val="ru-RU"/>
        </w:rPr>
        <w:t xml:space="preserve">ОЭС) ВОИС </w:t>
      </w:r>
      <w:r w:rsidR="00855ECD" w:rsidRPr="0094202A">
        <w:rPr>
          <w:lang w:val="ru-RU"/>
        </w:rPr>
        <w:t>применяет</w:t>
      </w:r>
      <w:r w:rsidR="00557D26" w:rsidRPr="0094202A">
        <w:rPr>
          <w:lang w:val="ru-RU"/>
        </w:rPr>
        <w:t xml:space="preserve"> следующую процедуру для выявления университетов и ГНИУ</w:t>
      </w:r>
      <w:r w:rsidR="00C74E34" w:rsidRPr="0094202A">
        <w:rPr>
          <w:lang w:val="ru-RU"/>
        </w:rPr>
        <w:t xml:space="preserve"> </w:t>
      </w:r>
      <w:r w:rsidR="00855ECD" w:rsidRPr="0094202A">
        <w:rPr>
          <w:lang w:val="ru-RU"/>
        </w:rPr>
        <w:t>среди заявителей, использующих процедуру PCT</w:t>
      </w:r>
      <w:r w:rsidR="00227C2A" w:rsidRPr="0094202A">
        <w:rPr>
          <w:lang w:val="ru-RU"/>
        </w:rPr>
        <w:t>:</w:t>
      </w:r>
      <w:r w:rsidR="00557D26" w:rsidRPr="0094202A">
        <w:rPr>
          <w:lang w:val="ru-RU"/>
        </w:rPr>
        <w:t xml:space="preserve"> </w:t>
      </w:r>
      <w:r w:rsidR="00C74E34" w:rsidRPr="0094202A">
        <w:rPr>
          <w:lang w:val="ru-RU"/>
        </w:rPr>
        <w:t xml:space="preserve"> </w:t>
      </w:r>
    </w:p>
    <w:p w:rsidR="006732D2" w:rsidRPr="0094202A" w:rsidRDefault="001345DA" w:rsidP="00177EAA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94202A">
        <w:rPr>
          <w:lang w:val="ru-RU"/>
        </w:rPr>
        <w:t xml:space="preserve">В качестве первого шага ОЭС проводит гармонизацию и консолидацию наименований/имен всех заявителей с использованием алгоритмов «очистки» </w:t>
      </w:r>
      <w:r w:rsidR="00A87BAD">
        <w:rPr>
          <w:lang w:val="ru-RU"/>
        </w:rPr>
        <w:t>наименований</w:t>
      </w:r>
      <w:r w:rsidRPr="0094202A">
        <w:rPr>
          <w:lang w:val="ru-RU"/>
        </w:rPr>
        <w:t xml:space="preserve"> на предмет опечаток, </w:t>
      </w:r>
      <w:r w:rsidR="004A3A46" w:rsidRPr="0094202A">
        <w:rPr>
          <w:lang w:val="ru-RU"/>
        </w:rPr>
        <w:t>сокращений и других расхождений</w:t>
      </w:r>
      <w:r w:rsidR="004B08C2" w:rsidRPr="0094202A">
        <w:rPr>
          <w:lang w:val="ru-RU"/>
        </w:rPr>
        <w:t>.</w:t>
      </w:r>
      <w:r w:rsidR="004A3A46" w:rsidRPr="0094202A">
        <w:rPr>
          <w:lang w:val="ru-RU"/>
        </w:rPr>
        <w:t xml:space="preserve"> </w:t>
      </w:r>
    </w:p>
    <w:p w:rsidR="006732D2" w:rsidRPr="0094202A" w:rsidRDefault="004A3A46" w:rsidP="00177EAA">
      <w:pPr>
        <w:pStyle w:val="ONUME"/>
        <w:numPr>
          <w:ilvl w:val="0"/>
          <w:numId w:val="7"/>
        </w:numPr>
        <w:ind w:left="1134" w:hanging="567"/>
        <w:rPr>
          <w:lang w:val="ru-RU"/>
        </w:rPr>
      </w:pPr>
      <w:r w:rsidRPr="0094202A">
        <w:rPr>
          <w:lang w:val="ru-RU"/>
        </w:rPr>
        <w:t xml:space="preserve">Далее проводится операция выявления </w:t>
      </w:r>
      <w:r w:rsidR="0089335A" w:rsidRPr="0094202A">
        <w:rPr>
          <w:lang w:val="ru-RU"/>
        </w:rPr>
        <w:t>университетов и ГНИУ с помощью списка ключевых слов для университетов, университетских клинических больниц и ГНИУ.  В случае университетов такие ключевые слова охватывают все виды учебных заведений, включая университеты, колледжи, политехникумы и т.д.  Они также учитывают наименования заявителей по процедуре PCT на различных языках</w:t>
      </w:r>
      <w:r w:rsidR="004B08C2" w:rsidRPr="0094202A">
        <w:rPr>
          <w:lang w:val="ru-RU"/>
        </w:rPr>
        <w:t>.</w:t>
      </w:r>
    </w:p>
    <w:p w:rsidR="006732D2" w:rsidRPr="0094202A" w:rsidRDefault="0089335A" w:rsidP="00177EAA">
      <w:pPr>
        <w:pStyle w:val="ListParagraph"/>
        <w:numPr>
          <w:ilvl w:val="0"/>
          <w:numId w:val="7"/>
        </w:numPr>
        <w:ind w:left="1134" w:hanging="567"/>
        <w:rPr>
          <w:lang w:val="ru-RU"/>
        </w:rPr>
      </w:pPr>
      <w:r w:rsidRPr="0094202A">
        <w:rPr>
          <w:lang w:val="ru-RU"/>
        </w:rPr>
        <w:t>Список ключевых слов постоянно уточняется в процессе проверок в ручном режиме, в том числе при осуществлении поиска в интернете наименований заявителей, допускающих двоякое толкование, а также по мере появления новых учетных записей в системе PCT</w:t>
      </w:r>
      <w:r w:rsidR="004B08C2" w:rsidRPr="0094202A">
        <w:rPr>
          <w:lang w:val="ru-RU"/>
        </w:rPr>
        <w:t>.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177EAA" w:rsidP="00177EAA">
      <w:pPr>
        <w:pStyle w:val="ONUME"/>
        <w:rPr>
          <w:lang w:val="ru-RU"/>
        </w:rPr>
      </w:pPr>
      <w:r w:rsidRPr="0094202A">
        <w:rPr>
          <w:lang w:val="ru-RU"/>
        </w:rPr>
        <w:t>Поиск по наименованиям/именам в силу своего характера неизменно дает определенное число ложно-положительных (заявители ошибочно идентифицируются как университеты и ГНИУ) и ложно-отрицательных результатов (университеты и ГНИУ ошибочно не идентифицируются в качестве таковых).  Однако, поскольку в большинстве случаев институциональная принадлежность университетов и ГНИУ отражается в их наименовании, их выявление на основе ключевых слов, вероятно, является значимым и вполне надежным</w:t>
      </w:r>
      <w:r w:rsidR="004B08C2" w:rsidRPr="0094202A">
        <w:rPr>
          <w:lang w:val="ru-RU"/>
        </w:rPr>
        <w:t>.</w:t>
      </w:r>
    </w:p>
    <w:p w:rsidR="006732D2" w:rsidRPr="0094202A" w:rsidRDefault="00177EAA" w:rsidP="00474915">
      <w:pPr>
        <w:pStyle w:val="Heading1"/>
        <w:spacing w:after="240"/>
        <w:rPr>
          <w:lang w:val="ru-RU"/>
        </w:rPr>
      </w:pPr>
      <w:r w:rsidRPr="0094202A">
        <w:rPr>
          <w:lang w:val="ru-RU"/>
        </w:rPr>
        <w:lastRenderedPageBreak/>
        <w:t xml:space="preserve">Дополнительное моделирование последствий для числа заявок и дохода при использовании </w:t>
      </w:r>
      <w:r w:rsidR="003C7413" w:rsidRPr="0094202A">
        <w:rPr>
          <w:lang w:val="ru-RU"/>
        </w:rPr>
        <w:t xml:space="preserve">лимитов допустимых заявок </w:t>
      </w:r>
    </w:p>
    <w:p w:rsidR="006732D2" w:rsidRPr="0094202A" w:rsidRDefault="00A93633" w:rsidP="00474915">
      <w:pPr>
        <w:pStyle w:val="ONUME"/>
        <w:keepNext/>
        <w:rPr>
          <w:lang w:val="ru-RU"/>
        </w:rPr>
      </w:pPr>
      <w:r w:rsidRPr="0094202A">
        <w:rPr>
          <w:lang w:val="ru-RU"/>
        </w:rPr>
        <w:t xml:space="preserve">Для того чтобы лучше понять, как различные лимиты числа заявок на одного заявителя в год могут повлиять на общее число заявок и размер дохода в случае гипотетического снижения пошлины, имеет смысл прежде всего проанализировать распределение заявок </w:t>
      </w:r>
      <w:r w:rsidR="004F1CCF" w:rsidRPr="0094202A">
        <w:rPr>
          <w:lang w:val="ru-RU"/>
        </w:rPr>
        <w:t>в базе данных по заявителям, использующим процедуру PCT.  В таблице 1</w:t>
      </w:r>
      <w:r w:rsidR="00474915" w:rsidRPr="0094202A">
        <w:rPr>
          <w:lang w:val="ru-RU"/>
        </w:rPr>
        <w:t>a</w:t>
      </w:r>
      <w:r w:rsidR="004F1CCF" w:rsidRPr="0094202A">
        <w:rPr>
          <w:lang w:val="ru-RU"/>
        </w:rPr>
        <w:t xml:space="preserve"> представлено такое распределение для заявителей из числа университетов в развитых странах, а в таблиц</w:t>
      </w:r>
      <w:r w:rsidR="00474915" w:rsidRPr="0094202A">
        <w:rPr>
          <w:lang w:val="ru-RU"/>
        </w:rPr>
        <w:t>е</w:t>
      </w:r>
      <w:r w:rsidR="004F1CCF" w:rsidRPr="0094202A">
        <w:rPr>
          <w:lang w:val="ru-RU"/>
        </w:rPr>
        <w:t> 1b – для заявителей из числа университетов в развивающихся странах</w:t>
      </w:r>
      <w:r w:rsidR="004B08C2" w:rsidRPr="0094202A">
        <w:rPr>
          <w:rStyle w:val="FootnoteReference"/>
          <w:lang w:val="ru-RU"/>
        </w:rPr>
        <w:footnoteReference w:id="3"/>
      </w:r>
      <w:r w:rsidR="004B08C2" w:rsidRPr="0094202A">
        <w:rPr>
          <w:lang w:val="ru-RU"/>
        </w:rPr>
        <w:t>.</w:t>
      </w:r>
      <w:r w:rsidR="00474915" w:rsidRPr="0094202A">
        <w:rPr>
          <w:lang w:val="ru-RU"/>
        </w:rPr>
        <w:t xml:space="preserve"> </w:t>
      </w:r>
    </w:p>
    <w:p w:rsidR="006732D2" w:rsidRPr="0094202A" w:rsidRDefault="00C56FDC" w:rsidP="0052162A">
      <w:pPr>
        <w:pStyle w:val="ONUME"/>
        <w:rPr>
          <w:lang w:val="ru-RU"/>
        </w:rPr>
      </w:pPr>
      <w:r w:rsidRPr="0094202A">
        <w:rPr>
          <w:lang w:val="ru-RU"/>
        </w:rPr>
        <w:t>В развитых стран</w:t>
      </w:r>
      <w:r w:rsidR="00737483" w:rsidRPr="0094202A">
        <w:rPr>
          <w:lang w:val="ru-RU"/>
        </w:rPr>
        <w:t xml:space="preserve">ах </w:t>
      </w:r>
      <w:r w:rsidRPr="0094202A">
        <w:rPr>
          <w:lang w:val="ru-RU"/>
        </w:rPr>
        <w:t xml:space="preserve">приблизительно 64 процента всех университетов, использующих процедуру PCT, подают от одной до пяти заявок в год, и в период с 2011 по 2015 гг. их доля оставалась относительно стабильной.  Доля университетов, подающих большое число заявок </w:t>
      </w:r>
      <w:r w:rsidR="0052162A" w:rsidRPr="0094202A">
        <w:rPr>
          <w:lang w:val="ru-RU"/>
        </w:rPr>
        <w:t>–</w:t>
      </w:r>
      <w:r w:rsidR="00A87BAD">
        <w:rPr>
          <w:lang w:val="ru-RU"/>
        </w:rPr>
        <w:t xml:space="preserve"> </w:t>
      </w:r>
      <w:r w:rsidR="0052162A" w:rsidRPr="0094202A">
        <w:rPr>
          <w:lang w:val="ru-RU"/>
        </w:rPr>
        <w:t>26 и более заявок в год, – составляет приблизительно 8 процентов и также оставалась относительно стабильной</w:t>
      </w:r>
      <w:r w:rsidR="004B08C2" w:rsidRPr="0094202A">
        <w:rPr>
          <w:lang w:val="ru-RU"/>
        </w:rPr>
        <w:t>.</w:t>
      </w:r>
      <w:r w:rsidR="0052162A" w:rsidRPr="0094202A">
        <w:rPr>
          <w:lang w:val="ru-RU"/>
        </w:rPr>
        <w:t xml:space="preserve"> </w:t>
      </w:r>
    </w:p>
    <w:p w:rsidR="006732D2" w:rsidRPr="0094202A" w:rsidRDefault="00737483" w:rsidP="0031541F">
      <w:pPr>
        <w:pStyle w:val="ONUME"/>
        <w:rPr>
          <w:lang w:val="ru-RU"/>
        </w:rPr>
      </w:pPr>
      <w:r w:rsidRPr="0094202A">
        <w:rPr>
          <w:lang w:val="ru-RU"/>
        </w:rPr>
        <w:t xml:space="preserve">Для сравнения в развивающихся странах от одной до пяти заявок в год по процедуре PCT подают около 80 процентов университетов, причем их доля сократилась с 84 процентов в 2011 г. </w:t>
      </w:r>
      <w:r w:rsidR="00ED3BB7" w:rsidRPr="0094202A">
        <w:rPr>
          <w:lang w:val="ru-RU"/>
        </w:rPr>
        <w:t xml:space="preserve">до 71 процента в 2015 г.  Доля университетов, подающих большое число заявок, составляет лишь 3 процента от учтенных в базе данных </w:t>
      </w:r>
      <w:r w:rsidR="0031541F" w:rsidRPr="0094202A">
        <w:rPr>
          <w:lang w:val="ru-RU"/>
        </w:rPr>
        <w:t>университетов-</w:t>
      </w:r>
      <w:r w:rsidR="00ED3BB7" w:rsidRPr="0094202A">
        <w:rPr>
          <w:lang w:val="ru-RU"/>
        </w:rPr>
        <w:t>заявителей в развивающихся странах, но их доля увеличилась с 2 процентов в 2011 г. до 5 процентов в 2015 г</w:t>
      </w:r>
      <w:r w:rsidR="004B08C2" w:rsidRPr="0094202A">
        <w:rPr>
          <w:lang w:val="ru-RU"/>
        </w:rPr>
        <w:t>.</w:t>
      </w:r>
      <w:r w:rsidR="00ED3BB7" w:rsidRPr="0094202A">
        <w:rPr>
          <w:lang w:val="ru-RU"/>
        </w:rPr>
        <w:t xml:space="preserve"> </w:t>
      </w:r>
    </w:p>
    <w:p w:rsidR="006732D2" w:rsidRPr="0094202A" w:rsidRDefault="00C56A6C" w:rsidP="0031541F">
      <w:pPr>
        <w:pStyle w:val="ONUME"/>
        <w:rPr>
          <w:lang w:val="ru-RU"/>
        </w:rPr>
      </w:pPr>
      <w:r w:rsidRPr="0094202A">
        <w:rPr>
          <w:lang w:val="ru-RU"/>
        </w:rPr>
        <w:t xml:space="preserve">Моделирование последствий гипотетического снижения пошлины с использованием лимита допустимого числа заявок в год является непростой процедурой.  </w:t>
      </w:r>
      <w:r w:rsidR="00F24840" w:rsidRPr="0094202A">
        <w:rPr>
          <w:lang w:val="ru-RU"/>
        </w:rPr>
        <w:t xml:space="preserve">В </w:t>
      </w:r>
      <w:r w:rsidRPr="0094202A">
        <w:rPr>
          <w:lang w:val="ru-RU"/>
        </w:rPr>
        <w:t xml:space="preserve">первом дополнительном исследовании </w:t>
      </w:r>
      <w:r w:rsidR="001D784D" w:rsidRPr="0094202A">
        <w:rPr>
          <w:lang w:val="ru-RU"/>
        </w:rPr>
        <w:t xml:space="preserve">коэффициент </w:t>
      </w:r>
      <w:r w:rsidRPr="0094202A">
        <w:rPr>
          <w:lang w:val="ru-RU"/>
        </w:rPr>
        <w:t>эластичност</w:t>
      </w:r>
      <w:r w:rsidR="001D784D" w:rsidRPr="0094202A">
        <w:rPr>
          <w:lang w:val="ru-RU"/>
        </w:rPr>
        <w:t xml:space="preserve">и </w:t>
      </w:r>
      <w:r w:rsidRPr="0094202A">
        <w:rPr>
          <w:lang w:val="ru-RU"/>
        </w:rPr>
        <w:t xml:space="preserve">по пошлине </w:t>
      </w:r>
      <w:r w:rsidR="00F24840" w:rsidRPr="0094202A">
        <w:rPr>
          <w:lang w:val="ru-RU"/>
        </w:rPr>
        <w:t>был</w:t>
      </w:r>
      <w:r w:rsidR="001D784D" w:rsidRPr="0094202A">
        <w:rPr>
          <w:lang w:val="ru-RU"/>
        </w:rPr>
        <w:t xml:space="preserve"> рассчитан </w:t>
      </w:r>
      <w:r w:rsidR="00F24840" w:rsidRPr="0094202A">
        <w:rPr>
          <w:lang w:val="ru-RU"/>
        </w:rPr>
        <w:t xml:space="preserve">для всех </w:t>
      </w:r>
      <w:r w:rsidR="0031541F" w:rsidRPr="0094202A">
        <w:rPr>
          <w:lang w:val="ru-RU"/>
        </w:rPr>
        <w:t xml:space="preserve">университетов-заявителей </w:t>
      </w:r>
      <w:r w:rsidR="00F24840" w:rsidRPr="0094202A">
        <w:rPr>
          <w:lang w:val="ru-RU"/>
        </w:rPr>
        <w:t>в обеих гр</w:t>
      </w:r>
      <w:r w:rsidR="001D784D" w:rsidRPr="0094202A">
        <w:rPr>
          <w:lang w:val="ru-RU"/>
        </w:rPr>
        <w:t>уппах стран без учета числа пода</w:t>
      </w:r>
      <w:r w:rsidR="00F24840" w:rsidRPr="0094202A">
        <w:rPr>
          <w:lang w:val="ru-RU"/>
        </w:rPr>
        <w:t xml:space="preserve">нных заявок.  На практике малые и крупные заявители, а также университеты, которые в настоящее время не используют процедуру PCT, могут характеризоваться различной эластичностью по пошлине.  Поскольку введение лимита будет означать более </w:t>
      </w:r>
      <w:r w:rsidR="001A5F5B" w:rsidRPr="0094202A">
        <w:rPr>
          <w:lang w:val="ru-RU"/>
        </w:rPr>
        <w:t xml:space="preserve">сильное </w:t>
      </w:r>
      <w:r w:rsidR="00F24840" w:rsidRPr="0094202A">
        <w:rPr>
          <w:lang w:val="ru-RU"/>
        </w:rPr>
        <w:t xml:space="preserve">снижение уплачиваемых пошлин для одних университетов, чем для других, это может </w:t>
      </w:r>
      <w:r w:rsidR="00E31013" w:rsidRPr="0094202A">
        <w:rPr>
          <w:lang w:val="ru-RU"/>
        </w:rPr>
        <w:t xml:space="preserve">привести к искажению </w:t>
      </w:r>
      <w:r w:rsidR="00F24840" w:rsidRPr="0094202A">
        <w:rPr>
          <w:lang w:val="ru-RU"/>
        </w:rPr>
        <w:t>результат</w:t>
      </w:r>
      <w:r w:rsidR="00E31013" w:rsidRPr="0094202A">
        <w:rPr>
          <w:lang w:val="ru-RU"/>
        </w:rPr>
        <w:t xml:space="preserve">ов </w:t>
      </w:r>
      <w:r w:rsidR="00F24840" w:rsidRPr="0094202A">
        <w:rPr>
          <w:lang w:val="ru-RU"/>
        </w:rPr>
        <w:t>имитационного анализа</w:t>
      </w:r>
      <w:r w:rsidR="004B08C2" w:rsidRPr="0094202A">
        <w:rPr>
          <w:rStyle w:val="FootnoteReference"/>
          <w:lang w:val="ru-RU"/>
        </w:rPr>
        <w:footnoteReference w:id="4"/>
      </w:r>
      <w:r w:rsidR="004B08C2" w:rsidRPr="0094202A">
        <w:rPr>
          <w:lang w:val="ru-RU"/>
        </w:rPr>
        <w:t>.</w:t>
      </w:r>
      <w:r w:rsidR="00F24840" w:rsidRPr="0094202A">
        <w:rPr>
          <w:lang w:val="ru-RU"/>
        </w:rPr>
        <w:t xml:space="preserve"> </w:t>
      </w:r>
    </w:p>
    <w:p w:rsidR="006732D2" w:rsidRPr="0094202A" w:rsidRDefault="007B23DA" w:rsidP="00466EC2">
      <w:pPr>
        <w:pStyle w:val="ONUME"/>
        <w:rPr>
          <w:lang w:val="ru-RU"/>
        </w:rPr>
      </w:pPr>
      <w:r w:rsidRPr="0094202A">
        <w:rPr>
          <w:lang w:val="ru-RU"/>
        </w:rPr>
        <w:t xml:space="preserve">В отсутствие </w:t>
      </w:r>
      <w:r w:rsidR="00FA61F8" w:rsidRPr="0094202A">
        <w:rPr>
          <w:lang w:val="ru-RU"/>
        </w:rPr>
        <w:t xml:space="preserve">иной альтернативы в настоящем документе моделируется гипотетическое снижение пошлины с применением лимита только в отношении числа допустимых заявок.  Данный подход можно проиллюстрировать следующим примером:  в 2015 г. </w:t>
      </w:r>
      <w:r w:rsidR="00A87BAD" w:rsidRPr="0094202A">
        <w:rPr>
          <w:lang w:val="ru-RU"/>
        </w:rPr>
        <w:t xml:space="preserve">по процедуре PCT </w:t>
      </w:r>
      <w:r w:rsidR="00FA61F8" w:rsidRPr="0094202A">
        <w:rPr>
          <w:lang w:val="ru-RU"/>
        </w:rPr>
        <w:t xml:space="preserve">университетами в развивающихся странах было подано 1 693 заявки.  Если бы снижение пошлины распространялось не более чем на пять заявок от каждого университета, то </w:t>
      </w:r>
      <w:r w:rsidR="00466EC2" w:rsidRPr="0094202A">
        <w:rPr>
          <w:lang w:val="ru-RU"/>
        </w:rPr>
        <w:t>уменьшенная пошлина оплачивалась бы в случае 698 заявок или 41,2 процента от всех заявок.  Используя полученное в первом дополнительном исследовании значение коэффициента эластичности в –0,164 (см. таблицу 3 в документе PCT/WG/8/11), скидка с пошлины в 25 процентов дала бы 29 дополнительных заявок.  Таким образом, при средней пошлине за подачу в 2015 г. в размере 1 150 шв. франков доход PCT уменьшился бы на 200 579 шв. франков</w:t>
      </w:r>
      <w:r w:rsidR="003F0F8D" w:rsidRPr="0094202A">
        <w:rPr>
          <w:lang w:val="ru-RU"/>
        </w:rPr>
        <w:t>.</w:t>
      </w:r>
    </w:p>
    <w:p w:rsidR="006732D2" w:rsidRPr="0094202A" w:rsidRDefault="00466EC2" w:rsidP="00B06565">
      <w:pPr>
        <w:pStyle w:val="ONUME"/>
        <w:rPr>
          <w:lang w:val="ru-RU"/>
        </w:rPr>
      </w:pPr>
      <w:r w:rsidRPr="0094202A">
        <w:rPr>
          <w:lang w:val="ru-RU"/>
        </w:rPr>
        <w:lastRenderedPageBreak/>
        <w:t xml:space="preserve">В </w:t>
      </w:r>
      <w:r w:rsidR="00617A66" w:rsidRPr="0094202A">
        <w:rPr>
          <w:lang w:val="ru-RU"/>
        </w:rPr>
        <w:t>таблицах 2a и 2b представлены исходные данные, которые были использованы для имитационного анализа:  фактическое число заявок, поданных за период с 2011 по 2015 гг.;  доход, полученный от этих заявок;  соответствующий средний размер пошлины;  а также абсолютное число и доля заявок, для которых применялась бы уменьшенная пошлин</w:t>
      </w:r>
      <w:r w:rsidR="00A87BAD">
        <w:rPr>
          <w:lang w:val="ru-RU"/>
        </w:rPr>
        <w:t>а</w:t>
      </w:r>
      <w:r w:rsidR="00617A66" w:rsidRPr="0094202A">
        <w:rPr>
          <w:lang w:val="ru-RU"/>
        </w:rPr>
        <w:t xml:space="preserve"> при различных лимитах</w:t>
      </w:r>
      <w:r w:rsidR="003F0F8D" w:rsidRPr="0094202A">
        <w:rPr>
          <w:rStyle w:val="FootnoteReference"/>
          <w:lang w:val="ru-RU"/>
        </w:rPr>
        <w:footnoteReference w:id="5"/>
      </w:r>
      <w:r w:rsidR="003F0F8D" w:rsidRPr="0094202A">
        <w:rPr>
          <w:lang w:val="ru-RU"/>
        </w:rPr>
        <w:t xml:space="preserve">.  </w:t>
      </w:r>
      <w:r w:rsidR="00B06565" w:rsidRPr="0094202A">
        <w:rPr>
          <w:lang w:val="ru-RU"/>
        </w:rPr>
        <w:t>При показанном в таблицах 1a и 1b распределении заявок, вне зависимости от лимита, право на скидку с пошлины получает большая процентная доля заявок от университетов в развивающихся странах</w:t>
      </w:r>
      <w:r w:rsidR="003F0F8D" w:rsidRPr="0094202A">
        <w:rPr>
          <w:lang w:val="ru-RU"/>
        </w:rPr>
        <w:t>.</w:t>
      </w:r>
    </w:p>
    <w:p w:rsidR="006732D2" w:rsidRPr="0094202A" w:rsidRDefault="00474915" w:rsidP="001B214A">
      <w:pPr>
        <w:pStyle w:val="ONUME"/>
        <w:rPr>
          <w:lang w:val="ru-RU"/>
        </w:rPr>
      </w:pPr>
      <w:r w:rsidRPr="0094202A">
        <w:rPr>
          <w:lang w:val="ru-RU"/>
        </w:rPr>
        <w:t>На рисунках 1a и 1b далее показ</w:t>
      </w:r>
      <w:r w:rsidR="00FF7BF2" w:rsidRPr="0094202A">
        <w:rPr>
          <w:lang w:val="ru-RU"/>
        </w:rPr>
        <w:t>ано число дополнительных заявок, которое могло бы быть получено при определенном размере скидки с пошлины и лимите, соответственно, в 5, 10, 20 и 30 заявок.  Для сравнения на этих рисунках также показано изменения числа заявок в отсутствие лимитов.  В целях большей наглядности приводятся только результаты, полученные для исходных данных за</w:t>
      </w:r>
      <w:r w:rsidR="004040A4">
        <w:rPr>
          <w:lang w:val="ru-RU"/>
        </w:rPr>
        <w:t> </w:t>
      </w:r>
      <w:r w:rsidR="00FF7BF2" w:rsidRPr="0094202A">
        <w:rPr>
          <w:lang w:val="ru-RU"/>
        </w:rPr>
        <w:t xml:space="preserve">2015 г.  Кроме того, хотя математически коэффициент эластичности можно рассчитать для любой скидки с пошлины, значения скидки свыше 75 процентов не использовались.  Как было указано в первом дополнительном исследовании, </w:t>
      </w:r>
      <w:r w:rsidR="00182C14" w:rsidRPr="0094202A">
        <w:rPr>
          <w:lang w:val="ru-RU"/>
        </w:rPr>
        <w:t>в эконометрической модели</w:t>
      </w:r>
      <w:r w:rsidR="001B214A" w:rsidRPr="0094202A">
        <w:rPr>
          <w:lang w:val="ru-RU"/>
        </w:rPr>
        <w:t xml:space="preserve">, использованной для оценки эластичности по пошлине, </w:t>
      </w:r>
      <w:r w:rsidR="00182C14" w:rsidRPr="0094202A">
        <w:rPr>
          <w:lang w:val="ru-RU"/>
        </w:rPr>
        <w:t xml:space="preserve">воздействие изменения </w:t>
      </w:r>
      <w:r w:rsidR="001B214A" w:rsidRPr="0094202A">
        <w:rPr>
          <w:lang w:val="ru-RU"/>
        </w:rPr>
        <w:t xml:space="preserve">международной </w:t>
      </w:r>
      <w:r w:rsidR="00182C14" w:rsidRPr="0094202A">
        <w:rPr>
          <w:lang w:val="ru-RU"/>
        </w:rPr>
        <w:t xml:space="preserve">пошлины </w:t>
      </w:r>
      <w:r w:rsidR="001B214A" w:rsidRPr="0094202A">
        <w:rPr>
          <w:lang w:val="ru-RU"/>
        </w:rPr>
        <w:t xml:space="preserve">за подачу </w:t>
      </w:r>
      <w:r w:rsidR="00182C14" w:rsidRPr="0094202A">
        <w:rPr>
          <w:lang w:val="ru-RU"/>
        </w:rPr>
        <w:t>принимает форму логарифмической линейной функции</w:t>
      </w:r>
      <w:r w:rsidR="001B214A" w:rsidRPr="0094202A">
        <w:rPr>
          <w:lang w:val="ru-RU"/>
        </w:rPr>
        <w:t>.  Данное допущение, объясняющее линейное воздействие снижения пошлины, показанное на рисунках 1a и 1b, может быть особенно сомнительным в случае беспрецедентно крупных изменений пошлины.  По этой причине следует с осторожностью подходить к моделированию дополнительного числа заявок при крупном снижении пошлины – особенно на 50 процентов и более</w:t>
      </w:r>
      <w:r w:rsidR="003F0F8D" w:rsidRPr="0094202A">
        <w:rPr>
          <w:lang w:val="ru-RU"/>
        </w:rPr>
        <w:t>.</w:t>
      </w:r>
      <w:r w:rsidR="001B214A" w:rsidRPr="0094202A">
        <w:rPr>
          <w:lang w:val="ru-RU"/>
        </w:rPr>
        <w:t xml:space="preserve"> </w:t>
      </w:r>
    </w:p>
    <w:p w:rsidR="006732D2" w:rsidRPr="0094202A" w:rsidRDefault="00B06565" w:rsidP="00B06565">
      <w:pPr>
        <w:pStyle w:val="ONUME"/>
        <w:rPr>
          <w:lang w:val="ru-RU"/>
        </w:rPr>
      </w:pPr>
      <w:r w:rsidRPr="0094202A">
        <w:rPr>
          <w:lang w:val="ru-RU"/>
        </w:rPr>
        <w:t xml:space="preserve">При </w:t>
      </w:r>
      <w:r w:rsidR="00145D04" w:rsidRPr="0094202A">
        <w:rPr>
          <w:lang w:val="ru-RU"/>
        </w:rPr>
        <w:t>более низко</w:t>
      </w:r>
      <w:r w:rsidRPr="0094202A">
        <w:rPr>
          <w:lang w:val="ru-RU"/>
        </w:rPr>
        <w:t xml:space="preserve">м </w:t>
      </w:r>
      <w:r w:rsidR="00145D04" w:rsidRPr="0094202A">
        <w:rPr>
          <w:lang w:val="ru-RU"/>
        </w:rPr>
        <w:t>обще</w:t>
      </w:r>
      <w:r w:rsidRPr="0094202A">
        <w:rPr>
          <w:lang w:val="ru-RU"/>
        </w:rPr>
        <w:t>м числе заявок от университетов, но более высокой эластичности по пошлине одна и та же скидка с пошлины ведет к меньшему изменению абсолютного числа заявок, но большему изменению относительного числа заявок от развивающихся, нежели от развиты стран.  Кроме того, чем ниже лимит допустимых заявок, тем в меньшей степени меняется число заявок</w:t>
      </w:r>
      <w:r w:rsidR="003F0F8D" w:rsidRPr="0094202A">
        <w:rPr>
          <w:lang w:val="ru-RU"/>
        </w:rPr>
        <w:t xml:space="preserve">. </w:t>
      </w:r>
    </w:p>
    <w:p w:rsidR="006732D2" w:rsidRPr="0094202A" w:rsidRDefault="006732D2" w:rsidP="00177EAA">
      <w:pPr>
        <w:pStyle w:val="ONUME"/>
        <w:numPr>
          <w:ilvl w:val="0"/>
          <w:numId w:val="0"/>
        </w:numPr>
        <w:rPr>
          <w:lang w:val="ru-RU"/>
        </w:rPr>
      </w:pPr>
    </w:p>
    <w:p w:rsidR="006732D2" w:rsidRPr="0094202A" w:rsidRDefault="008A1469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 wp14:anchorId="773059D1" wp14:editId="6014A1A3">
            <wp:extent cx="5943600" cy="3979545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F517C">
        <w:rPr>
          <w:noProof/>
          <w:lang w:val="ru-RU" w:eastAsia="en-US"/>
        </w:rPr>
        <w:t xml:space="preserve"> </w:t>
      </w:r>
      <w:r w:rsidR="00040ADC" w:rsidRPr="0094202A">
        <w:rPr>
          <w:lang w:val="ru-RU" w:eastAsia="en-US"/>
        </w:rPr>
        <w:t xml:space="preserve"> </w:t>
      </w:r>
    </w:p>
    <w:p w:rsidR="006732D2" w:rsidRPr="0094202A" w:rsidRDefault="008A1469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63807939" wp14:editId="52B76CA7">
            <wp:extent cx="5867400" cy="3586163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F517C">
        <w:rPr>
          <w:noProof/>
          <w:lang w:val="ru-RU" w:eastAsia="en-US"/>
        </w:rPr>
        <w:t xml:space="preserve"> </w:t>
      </w:r>
    </w:p>
    <w:p w:rsidR="006732D2" w:rsidRPr="0094202A" w:rsidRDefault="001759BB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94202A">
        <w:rPr>
          <w:lang w:val="ru-RU"/>
        </w:rPr>
        <w:t>Таблица</w:t>
      </w:r>
      <w:r w:rsidR="00040ADC" w:rsidRPr="0094202A">
        <w:rPr>
          <w:lang w:val="ru-RU"/>
        </w:rPr>
        <w:t xml:space="preserve"> 1a</w:t>
      </w:r>
      <w:r w:rsidR="001053BC" w:rsidRPr="0094202A">
        <w:rPr>
          <w:lang w:val="ru-RU"/>
        </w:rPr>
        <w:t>.</w:t>
      </w:r>
      <w:r w:rsidR="00040ADC" w:rsidRPr="0094202A">
        <w:rPr>
          <w:lang w:val="ru-RU"/>
        </w:rPr>
        <w:t xml:space="preserve">  </w:t>
      </w:r>
      <w:r w:rsidRPr="0094202A">
        <w:rPr>
          <w:lang w:val="ru-RU"/>
        </w:rPr>
        <w:t>Распределение заявок по процедуре PCT от университетов-заявителей</w:t>
      </w:r>
      <w:r w:rsidR="00040ADC" w:rsidRPr="0094202A">
        <w:rPr>
          <w:lang w:val="ru-RU"/>
        </w:rPr>
        <w:t xml:space="preserve">, </w:t>
      </w:r>
      <w:r w:rsidRPr="0094202A">
        <w:rPr>
          <w:lang w:val="ru-RU"/>
        </w:rPr>
        <w:t>развитые страны</w:t>
      </w:r>
    </w:p>
    <w:p w:rsidR="006732D2" w:rsidRPr="0094202A" w:rsidRDefault="008A1469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 wp14:anchorId="25BA63AD" wp14:editId="006B5D15">
            <wp:extent cx="5943600" cy="3979545"/>
            <wp:effectExtent l="0" t="0" r="0" b="190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F517C">
        <w:rPr>
          <w:noProof/>
          <w:lang w:val="ru-RU" w:eastAsia="en-US"/>
        </w:rPr>
        <w:t xml:space="preserve"> </w:t>
      </w:r>
    </w:p>
    <w:p w:rsidR="006732D2" w:rsidRPr="0094202A" w:rsidRDefault="008A1469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7CDE9DD8" wp14:editId="035A5A1D">
            <wp:extent cx="5867400" cy="3586163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F517C">
        <w:rPr>
          <w:noProof/>
          <w:lang w:val="ru-RU" w:eastAsia="en-US"/>
        </w:rPr>
        <w:t xml:space="preserve"> </w:t>
      </w:r>
    </w:p>
    <w:p w:rsidR="006732D2" w:rsidRPr="0094202A" w:rsidRDefault="001759BB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94202A">
        <w:rPr>
          <w:lang w:val="ru-RU"/>
        </w:rPr>
        <w:t>Таблица</w:t>
      </w:r>
      <w:r w:rsidR="00040ADC" w:rsidRPr="0094202A">
        <w:rPr>
          <w:lang w:val="ru-RU"/>
        </w:rPr>
        <w:t xml:space="preserve"> 1b</w:t>
      </w:r>
      <w:r w:rsidR="001053BC" w:rsidRPr="0094202A">
        <w:rPr>
          <w:lang w:val="ru-RU"/>
        </w:rPr>
        <w:t>.</w:t>
      </w:r>
      <w:r w:rsidR="00040ADC" w:rsidRPr="0094202A">
        <w:rPr>
          <w:lang w:val="ru-RU"/>
        </w:rPr>
        <w:t xml:space="preserve"> </w:t>
      </w:r>
      <w:r w:rsidR="00854327" w:rsidRPr="0094202A">
        <w:rPr>
          <w:lang w:val="ru-RU"/>
        </w:rPr>
        <w:t xml:space="preserve"> </w:t>
      </w:r>
      <w:r w:rsidRPr="0094202A">
        <w:rPr>
          <w:lang w:val="ru-RU"/>
        </w:rPr>
        <w:t>Распределение заявок по процедуре PCT от университетов-заявителей, развивающиеся страны</w:t>
      </w:r>
    </w:p>
    <w:p w:rsidR="003F0F8D" w:rsidRPr="0094202A" w:rsidRDefault="003F0F8D" w:rsidP="00177EAA">
      <w:pPr>
        <w:rPr>
          <w:lang w:val="ru-RU"/>
        </w:rPr>
        <w:sectPr w:rsidR="003F0F8D" w:rsidRPr="0094202A" w:rsidSect="00E74A2A">
          <w:headerReference w:type="default" r:id="rId14"/>
          <w:footerReference w:type="default" r:id="rId15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732D2" w:rsidRPr="0094202A" w:rsidRDefault="001759BB" w:rsidP="00177EAA">
      <w:pPr>
        <w:jc w:val="center"/>
        <w:rPr>
          <w:lang w:val="ru-RU"/>
        </w:rPr>
      </w:pPr>
      <w:r w:rsidRPr="0094202A">
        <w:rPr>
          <w:lang w:val="ru-RU"/>
        </w:rPr>
        <w:lastRenderedPageBreak/>
        <w:t>Таблица</w:t>
      </w:r>
      <w:r w:rsidR="003F0F8D" w:rsidRPr="0094202A">
        <w:rPr>
          <w:lang w:val="ru-RU"/>
        </w:rPr>
        <w:t xml:space="preserve"> 2a</w:t>
      </w:r>
      <w:r w:rsidR="001053BC" w:rsidRPr="0094202A">
        <w:rPr>
          <w:lang w:val="ru-RU"/>
        </w:rPr>
        <w:t>.</w:t>
      </w:r>
      <w:r w:rsidR="003F0F8D" w:rsidRPr="0094202A">
        <w:rPr>
          <w:lang w:val="ru-RU"/>
        </w:rPr>
        <w:t xml:space="preserve"> </w:t>
      </w:r>
      <w:r w:rsidR="00854327" w:rsidRPr="0094202A">
        <w:rPr>
          <w:lang w:val="ru-RU"/>
        </w:rPr>
        <w:t xml:space="preserve"> </w:t>
      </w:r>
      <w:r w:rsidR="001053BC" w:rsidRPr="0094202A">
        <w:rPr>
          <w:lang w:val="ru-RU"/>
        </w:rPr>
        <w:t>Исходные данные для моделирования, развитые страны</w:t>
      </w:r>
    </w:p>
    <w:p w:rsidR="003F0F8D" w:rsidRPr="0094202A" w:rsidRDefault="003F0F8D" w:rsidP="00177EAA">
      <w:pPr>
        <w:jc w:val="center"/>
        <w:rPr>
          <w:lang w:val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50"/>
        <w:gridCol w:w="1260"/>
        <w:gridCol w:w="1440"/>
        <w:gridCol w:w="1350"/>
        <w:gridCol w:w="1260"/>
        <w:gridCol w:w="900"/>
        <w:gridCol w:w="1260"/>
        <w:gridCol w:w="900"/>
        <w:gridCol w:w="1260"/>
        <w:gridCol w:w="900"/>
        <w:gridCol w:w="1170"/>
        <w:gridCol w:w="990"/>
      </w:tblGrid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5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10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20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30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D" w:rsidRPr="0094202A" w:rsidRDefault="0055420A" w:rsidP="0055420A">
            <w:pPr>
              <w:autoSpaceDE w:val="0"/>
              <w:autoSpaceDN w:val="0"/>
              <w:adjustRightInd w:val="0"/>
              <w:spacing w:after="40"/>
              <w:ind w:left="-108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 по процедуре PCT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D" w:rsidRPr="0094202A" w:rsidRDefault="0055420A" w:rsidP="00292CC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Доход от заявок</w:t>
            </w:r>
            <w:r w:rsidR="00292CCA" w:rsidRPr="0094202A">
              <w:rPr>
                <w:color w:val="000000"/>
                <w:sz w:val="20"/>
                <w:lang w:val="ru-RU"/>
              </w:rPr>
              <w:t xml:space="preserve"> </w:t>
            </w:r>
            <w:r w:rsidR="003F0F8D" w:rsidRPr="0094202A">
              <w:rPr>
                <w:color w:val="000000"/>
                <w:sz w:val="20"/>
                <w:lang w:val="ru-RU"/>
              </w:rPr>
              <w:t>(</w:t>
            </w:r>
            <w:r w:rsidRPr="0094202A">
              <w:rPr>
                <w:color w:val="000000"/>
                <w:sz w:val="20"/>
                <w:lang w:val="ru-RU"/>
              </w:rPr>
              <w:t>в</w:t>
            </w:r>
            <w:r w:rsidR="00292CCA" w:rsidRPr="0094202A">
              <w:rPr>
                <w:color w:val="000000"/>
                <w:sz w:val="20"/>
                <w:lang w:val="ru-RU"/>
              </w:rPr>
              <w:t> </w:t>
            </w:r>
            <w:r w:rsidRPr="0094202A">
              <w:rPr>
                <w:color w:val="000000"/>
                <w:sz w:val="20"/>
                <w:lang w:val="ru-RU"/>
              </w:rPr>
              <w:t xml:space="preserve">млн </w:t>
            </w:r>
            <w:r w:rsidR="00292CCA" w:rsidRPr="0094202A">
              <w:rPr>
                <w:color w:val="000000"/>
                <w:sz w:val="20"/>
                <w:lang w:val="ru-RU"/>
              </w:rPr>
              <w:t>шв. фр.</w:t>
            </w:r>
            <w:r w:rsidR="003F0F8D" w:rsidRPr="0094202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Соответ. средняя пошлина</w:t>
            </w:r>
            <w:r w:rsidR="003F0F8D" w:rsidRPr="0094202A">
              <w:rPr>
                <w:color w:val="000000"/>
                <w:sz w:val="20"/>
                <w:lang w:val="ru-RU"/>
              </w:rPr>
              <w:t xml:space="preserve"> (</w:t>
            </w:r>
            <w:r w:rsidR="00292CCA" w:rsidRPr="0094202A">
              <w:rPr>
                <w:color w:val="000000"/>
                <w:sz w:val="20"/>
                <w:lang w:val="ru-RU"/>
              </w:rPr>
              <w:t>в шв. фр.</w:t>
            </w:r>
            <w:r w:rsidR="003F0F8D" w:rsidRPr="0094202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EB5CA8">
            <w:pPr>
              <w:autoSpaceDE w:val="0"/>
              <w:autoSpaceDN w:val="0"/>
              <w:adjustRightInd w:val="0"/>
              <w:spacing w:after="40"/>
              <w:ind w:right="-108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742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788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36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52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94202A">
            <w:pPr>
              <w:spacing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436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70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35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94202A">
            <w:pPr>
              <w:spacing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654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886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36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52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94202A">
            <w:pPr>
              <w:spacing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842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34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94202A">
            <w:pPr>
              <w:spacing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75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841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34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50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94202A">
            <w:pPr>
              <w:spacing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76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9%</w:t>
            </w:r>
          </w:p>
        </w:tc>
      </w:tr>
    </w:tbl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jc w:val="center"/>
        <w:rPr>
          <w:lang w:val="ru-RU"/>
        </w:rPr>
      </w:pPr>
    </w:p>
    <w:p w:rsidR="006732D2" w:rsidRPr="0094202A" w:rsidRDefault="001759BB" w:rsidP="00177EAA">
      <w:pPr>
        <w:jc w:val="center"/>
        <w:rPr>
          <w:lang w:val="ru-RU"/>
        </w:rPr>
      </w:pPr>
      <w:r w:rsidRPr="0094202A">
        <w:rPr>
          <w:lang w:val="ru-RU"/>
        </w:rPr>
        <w:t>Таблица</w:t>
      </w:r>
      <w:r w:rsidR="003F0F8D" w:rsidRPr="0094202A">
        <w:rPr>
          <w:lang w:val="ru-RU"/>
        </w:rPr>
        <w:t xml:space="preserve"> 2b</w:t>
      </w:r>
      <w:r w:rsidR="001053BC" w:rsidRPr="0094202A">
        <w:rPr>
          <w:lang w:val="ru-RU"/>
        </w:rPr>
        <w:t>.  Исходные данные для моделирования, развивающиеся страны</w:t>
      </w:r>
    </w:p>
    <w:p w:rsidR="003F0F8D" w:rsidRPr="0094202A" w:rsidRDefault="003F0F8D" w:rsidP="00177EAA">
      <w:pPr>
        <w:jc w:val="center"/>
        <w:rPr>
          <w:lang w:val="ru-RU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50"/>
        <w:gridCol w:w="1260"/>
        <w:gridCol w:w="1440"/>
        <w:gridCol w:w="1350"/>
        <w:gridCol w:w="1260"/>
        <w:gridCol w:w="900"/>
        <w:gridCol w:w="1260"/>
        <w:gridCol w:w="900"/>
        <w:gridCol w:w="1260"/>
        <w:gridCol w:w="900"/>
        <w:gridCol w:w="1170"/>
        <w:gridCol w:w="990"/>
      </w:tblGrid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3F0F8D" w:rsidRPr="0094202A" w:rsidRDefault="0055420A" w:rsidP="0055420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5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10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20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  <w:tc>
          <w:tcPr>
            <w:tcW w:w="2160" w:type="dxa"/>
            <w:gridSpan w:val="2"/>
          </w:tcPr>
          <w:p w:rsidR="003F0F8D" w:rsidRPr="0094202A" w:rsidRDefault="0055420A" w:rsidP="00177EAA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000000"/>
                <w:sz w:val="20"/>
                <w:u w:val="single"/>
                <w:lang w:val="ru-RU"/>
              </w:rPr>
            </w:pPr>
            <w:r w:rsidRPr="0094202A">
              <w:rPr>
                <w:color w:val="000000"/>
                <w:sz w:val="20"/>
                <w:u w:val="single"/>
                <w:lang w:val="ru-RU"/>
              </w:rPr>
              <w:t>Лимит</w:t>
            </w:r>
            <w:r w:rsidR="003F0F8D" w:rsidRPr="0094202A">
              <w:rPr>
                <w:color w:val="000000"/>
                <w:sz w:val="20"/>
                <w:u w:val="single"/>
                <w:lang w:val="ru-RU"/>
              </w:rPr>
              <w:t xml:space="preserve"> 30</w:t>
            </w:r>
            <w:r w:rsidRPr="0094202A">
              <w:rPr>
                <w:color w:val="000000"/>
                <w:sz w:val="20"/>
                <w:u w:val="single"/>
                <w:lang w:val="ru-RU"/>
              </w:rPr>
              <w:t xml:space="preserve"> заявок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D" w:rsidRPr="0094202A" w:rsidRDefault="0055420A" w:rsidP="0055420A">
            <w:pPr>
              <w:autoSpaceDE w:val="0"/>
              <w:autoSpaceDN w:val="0"/>
              <w:adjustRightInd w:val="0"/>
              <w:spacing w:after="40"/>
              <w:ind w:left="-108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 по процедуре PCT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F8D" w:rsidRPr="0094202A" w:rsidRDefault="0055420A" w:rsidP="00292CC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Доход от заявок</w:t>
            </w:r>
            <w:r w:rsidR="003F0F8D" w:rsidRPr="0094202A">
              <w:rPr>
                <w:color w:val="000000"/>
                <w:sz w:val="20"/>
                <w:lang w:val="ru-RU"/>
              </w:rPr>
              <w:t xml:space="preserve"> (</w:t>
            </w:r>
            <w:r w:rsidRPr="0094202A">
              <w:rPr>
                <w:color w:val="000000"/>
                <w:sz w:val="20"/>
                <w:lang w:val="ru-RU"/>
              </w:rPr>
              <w:t>в</w:t>
            </w:r>
            <w:r w:rsidR="00292CCA" w:rsidRPr="0094202A">
              <w:rPr>
                <w:color w:val="000000"/>
                <w:sz w:val="20"/>
                <w:lang w:val="ru-RU"/>
              </w:rPr>
              <w:t> </w:t>
            </w:r>
            <w:r w:rsidRPr="0094202A">
              <w:rPr>
                <w:color w:val="000000"/>
                <w:sz w:val="20"/>
                <w:lang w:val="ru-RU"/>
              </w:rPr>
              <w:t xml:space="preserve">млн </w:t>
            </w:r>
            <w:r w:rsidR="00292CCA" w:rsidRPr="0094202A">
              <w:rPr>
                <w:color w:val="000000"/>
                <w:sz w:val="20"/>
                <w:lang w:val="ru-RU"/>
              </w:rPr>
              <w:t>шв. фр.</w:t>
            </w:r>
            <w:r w:rsidR="003F0F8D" w:rsidRPr="0094202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Соответ. средняя пошлина</w:t>
            </w:r>
            <w:r w:rsidR="003F0F8D" w:rsidRPr="0094202A">
              <w:rPr>
                <w:color w:val="000000"/>
                <w:sz w:val="20"/>
                <w:lang w:val="ru-RU"/>
              </w:rPr>
              <w:t xml:space="preserve"> (</w:t>
            </w:r>
            <w:r w:rsidR="00292CCA" w:rsidRPr="0094202A">
              <w:rPr>
                <w:color w:val="000000"/>
                <w:sz w:val="20"/>
                <w:lang w:val="ru-RU"/>
              </w:rPr>
              <w:t>в шв. фр.</w:t>
            </w:r>
            <w:r w:rsidR="003F0F8D" w:rsidRPr="0094202A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EB5CA8">
            <w:pPr>
              <w:autoSpaceDE w:val="0"/>
              <w:autoSpaceDN w:val="0"/>
              <w:adjustRightInd w:val="0"/>
              <w:spacing w:after="40"/>
              <w:ind w:right="-108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Число заявок, отвечающ. критериям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3F0F8D" w:rsidRPr="0094202A" w:rsidRDefault="00EB5CA8" w:rsidP="00177EAA">
            <w:pPr>
              <w:autoSpaceDE w:val="0"/>
              <w:autoSpaceDN w:val="0"/>
              <w:adjustRightInd w:val="0"/>
              <w:spacing w:after="40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Доля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73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92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63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80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93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74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94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48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029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66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82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401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90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</w:tr>
      <w:tr w:rsidR="003F0F8D" w:rsidRPr="0094202A" w:rsidTr="008B05FB">
        <w:trPr>
          <w:trHeight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0"/>
                <w:lang w:val="ru-RU"/>
              </w:rPr>
            </w:pPr>
            <w:r w:rsidRPr="0094202A">
              <w:rPr>
                <w:color w:val="000000"/>
                <w:sz w:val="20"/>
                <w:lang w:val="ru-RU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55420A">
            <w:pPr>
              <w:spacing w:after="40"/>
              <w:ind w:left="-108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980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57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jc w:val="right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253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74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292CCA">
            <w:pPr>
              <w:spacing w:after="40"/>
              <w:ind w:right="-108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EB5CA8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382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F0F8D" w:rsidRPr="0094202A" w:rsidRDefault="003F0F8D" w:rsidP="00177EAA">
            <w:pPr>
              <w:spacing w:after="40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81</w:t>
            </w:r>
            <w:r w:rsidR="00EB5CA8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6%</w:t>
            </w:r>
          </w:p>
        </w:tc>
      </w:tr>
    </w:tbl>
    <w:p w:rsidR="003F0F8D" w:rsidRPr="0094202A" w:rsidRDefault="003F0F8D" w:rsidP="00177EAA">
      <w:pPr>
        <w:rPr>
          <w:lang w:val="ru-RU"/>
        </w:rPr>
        <w:sectPr w:rsidR="003F0F8D" w:rsidRPr="0094202A" w:rsidSect="008B05FB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6732D2" w:rsidRPr="0094202A" w:rsidRDefault="006732D2" w:rsidP="00177EAA">
      <w:pPr>
        <w:tabs>
          <w:tab w:val="left" w:pos="2760"/>
        </w:tabs>
        <w:rPr>
          <w:lang w:val="ru-RU"/>
        </w:rPr>
      </w:pPr>
    </w:p>
    <w:p w:rsidR="006732D2" w:rsidRPr="0094202A" w:rsidRDefault="00AE7A9D" w:rsidP="00177EAA">
      <w:p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30264997" wp14:editId="4423CC73">
            <wp:extent cx="5838825" cy="394335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8A1469" w:rsidRPr="002F517C">
        <w:rPr>
          <w:noProof/>
          <w:lang w:val="ru-RU" w:eastAsia="en-US"/>
        </w:rPr>
        <w:t xml:space="preserve"> </w:t>
      </w:r>
      <w:r w:rsidR="00EB5CA8" w:rsidRPr="0094202A">
        <w:rPr>
          <w:lang w:val="ru-RU"/>
        </w:rPr>
        <w:t>Рисунок</w:t>
      </w:r>
      <w:r w:rsidR="003F0F8D" w:rsidRPr="0094202A">
        <w:rPr>
          <w:lang w:val="ru-RU"/>
        </w:rPr>
        <w:t xml:space="preserve"> 1a</w:t>
      </w:r>
      <w:r w:rsidR="00EB5CA8" w:rsidRPr="0094202A">
        <w:rPr>
          <w:lang w:val="ru-RU"/>
        </w:rPr>
        <w:t>.</w:t>
      </w:r>
      <w:r w:rsidR="003F0F8D" w:rsidRPr="0094202A">
        <w:rPr>
          <w:lang w:val="ru-RU"/>
        </w:rPr>
        <w:t xml:space="preserve"> </w:t>
      </w:r>
      <w:r w:rsidR="00EB5CA8" w:rsidRPr="0094202A">
        <w:rPr>
          <w:lang w:val="ru-RU"/>
        </w:rPr>
        <w:t>Дополнительное число заявок при гипотетическом снижении пошлины</w:t>
      </w:r>
      <w:r w:rsidR="001053BC" w:rsidRPr="0094202A">
        <w:rPr>
          <w:lang w:val="ru-RU"/>
        </w:rPr>
        <w:t>, развитые страны</w:t>
      </w:r>
      <w:r w:rsidR="003F0F8D" w:rsidRPr="0094202A">
        <w:rPr>
          <w:lang w:val="ru-RU"/>
        </w:rPr>
        <w:t>, 2015</w:t>
      </w:r>
      <w:r w:rsidR="00EB5CA8" w:rsidRPr="0094202A">
        <w:rPr>
          <w:lang w:val="ru-RU"/>
        </w:rPr>
        <w:t> г.</w:t>
      </w: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6732D2" w:rsidP="00177EAA">
      <w:pPr>
        <w:rPr>
          <w:lang w:val="ru-RU"/>
        </w:rPr>
      </w:pPr>
    </w:p>
    <w:p w:rsidR="006732D2" w:rsidRPr="0094202A" w:rsidRDefault="000053D6" w:rsidP="00177EAA">
      <w:p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0447D06C" wp14:editId="4F77DE0A">
            <wp:extent cx="5762625" cy="3743325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8A1469" w:rsidRPr="002F517C">
        <w:rPr>
          <w:noProof/>
          <w:lang w:val="ru-RU" w:eastAsia="en-US"/>
        </w:rPr>
        <w:t xml:space="preserve"> </w:t>
      </w:r>
    </w:p>
    <w:p w:rsidR="006732D2" w:rsidRPr="0094202A" w:rsidRDefault="00EB5CA8" w:rsidP="00177EAA">
      <w:pPr>
        <w:jc w:val="center"/>
        <w:rPr>
          <w:lang w:val="ru-RU"/>
        </w:rPr>
      </w:pPr>
      <w:r w:rsidRPr="0094202A">
        <w:rPr>
          <w:lang w:val="ru-RU"/>
        </w:rPr>
        <w:t>Рисунок</w:t>
      </w:r>
      <w:r w:rsidR="003F0F8D" w:rsidRPr="0094202A">
        <w:rPr>
          <w:lang w:val="ru-RU"/>
        </w:rPr>
        <w:t xml:space="preserve"> 1b</w:t>
      </w:r>
      <w:r w:rsidRPr="0094202A">
        <w:rPr>
          <w:lang w:val="ru-RU"/>
        </w:rPr>
        <w:t>.</w:t>
      </w:r>
      <w:r w:rsidR="003F0F8D" w:rsidRPr="0094202A">
        <w:rPr>
          <w:lang w:val="ru-RU"/>
        </w:rPr>
        <w:t xml:space="preserve"> </w:t>
      </w:r>
      <w:r w:rsidR="00854327" w:rsidRPr="0094202A">
        <w:rPr>
          <w:lang w:val="ru-RU"/>
        </w:rPr>
        <w:t xml:space="preserve"> </w:t>
      </w:r>
      <w:r w:rsidRPr="0094202A">
        <w:rPr>
          <w:lang w:val="ru-RU"/>
        </w:rPr>
        <w:t>Дополнительное число заявок при гипотетическом снижении пошлины</w:t>
      </w:r>
      <w:r w:rsidR="001053BC" w:rsidRPr="0094202A">
        <w:rPr>
          <w:lang w:val="ru-RU"/>
        </w:rPr>
        <w:t>, развивающиеся страны</w:t>
      </w:r>
      <w:r w:rsidR="003F0F8D" w:rsidRPr="0094202A">
        <w:rPr>
          <w:lang w:val="ru-RU"/>
        </w:rPr>
        <w:t>, 2015</w:t>
      </w:r>
      <w:r w:rsidRPr="0094202A">
        <w:rPr>
          <w:lang w:val="ru-RU"/>
        </w:rPr>
        <w:t> г.</w:t>
      </w:r>
    </w:p>
    <w:p w:rsidR="006732D2" w:rsidRPr="0094202A" w:rsidRDefault="006732D2" w:rsidP="00177EAA">
      <w:pPr>
        <w:pStyle w:val="ONUME"/>
        <w:numPr>
          <w:ilvl w:val="0"/>
          <w:numId w:val="0"/>
        </w:numPr>
        <w:rPr>
          <w:lang w:val="ru-RU"/>
        </w:rPr>
      </w:pPr>
    </w:p>
    <w:p w:rsidR="006732D2" w:rsidRPr="0094202A" w:rsidRDefault="001C0201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lastRenderedPageBreak/>
        <w:drawing>
          <wp:inline distT="0" distB="0" distL="0" distR="0" wp14:anchorId="0658BC69" wp14:editId="70F74295">
            <wp:extent cx="5940425" cy="3869527"/>
            <wp:effectExtent l="0" t="0" r="222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A1469" w:rsidRPr="000053D6">
        <w:rPr>
          <w:noProof/>
          <w:lang w:val="ru-RU" w:eastAsia="en-US"/>
        </w:rPr>
        <w:t xml:space="preserve"> </w:t>
      </w:r>
      <w:r w:rsidR="00EB5CA8" w:rsidRPr="0094202A">
        <w:rPr>
          <w:lang w:val="ru-RU"/>
        </w:rPr>
        <w:t>Рисунок</w:t>
      </w:r>
      <w:r w:rsidR="00854327" w:rsidRPr="0094202A">
        <w:rPr>
          <w:lang w:val="ru-RU"/>
        </w:rPr>
        <w:t xml:space="preserve"> 2a:  </w:t>
      </w:r>
      <w:r w:rsidR="00EB5CA8" w:rsidRPr="0094202A">
        <w:rPr>
          <w:lang w:val="ru-RU"/>
        </w:rPr>
        <w:t>Потеря дохода при гипотетическом снижении пошлины</w:t>
      </w:r>
      <w:r w:rsidR="001053BC" w:rsidRPr="0094202A">
        <w:rPr>
          <w:lang w:val="ru-RU"/>
        </w:rPr>
        <w:t>, развитые страны</w:t>
      </w:r>
      <w:r w:rsidR="00854327" w:rsidRPr="0094202A">
        <w:rPr>
          <w:lang w:val="ru-RU"/>
        </w:rPr>
        <w:t>, 2015</w:t>
      </w:r>
      <w:r w:rsidR="00EB5CA8" w:rsidRPr="0094202A">
        <w:rPr>
          <w:lang w:val="ru-RU"/>
        </w:rPr>
        <w:t> г.</w:t>
      </w:r>
    </w:p>
    <w:p w:rsidR="006732D2" w:rsidRPr="0094202A" w:rsidRDefault="000053D6" w:rsidP="008A1469">
      <w:pPr>
        <w:pStyle w:val="ONUME"/>
        <w:numPr>
          <w:ilvl w:val="0"/>
          <w:numId w:val="0"/>
        </w:numPr>
        <w:jc w:val="center"/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5F77B2C0" wp14:editId="0E115881">
            <wp:extent cx="5876925" cy="3829050"/>
            <wp:effectExtent l="0" t="0" r="28575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B5CA8" w:rsidRPr="0094202A">
        <w:rPr>
          <w:lang w:val="ru-RU"/>
        </w:rPr>
        <w:t>Рисунок</w:t>
      </w:r>
      <w:r w:rsidR="00854327" w:rsidRPr="0094202A">
        <w:rPr>
          <w:lang w:val="ru-RU"/>
        </w:rPr>
        <w:t xml:space="preserve"> 2b:  </w:t>
      </w:r>
      <w:r w:rsidR="00EB5CA8" w:rsidRPr="0094202A">
        <w:rPr>
          <w:lang w:val="ru-RU"/>
        </w:rPr>
        <w:t>Потеря дохода при гипотетическом снижении пошлины</w:t>
      </w:r>
      <w:r w:rsidR="001053BC" w:rsidRPr="0094202A">
        <w:rPr>
          <w:lang w:val="ru-RU"/>
        </w:rPr>
        <w:t>, развивающиеся страны</w:t>
      </w:r>
      <w:r w:rsidR="00854327" w:rsidRPr="0094202A">
        <w:rPr>
          <w:lang w:val="ru-RU"/>
        </w:rPr>
        <w:t>, 2015</w:t>
      </w:r>
      <w:r w:rsidR="00EB5CA8" w:rsidRPr="0094202A">
        <w:rPr>
          <w:lang w:val="ru-RU"/>
        </w:rPr>
        <w:t xml:space="preserve"> г. </w:t>
      </w:r>
      <w:r w:rsidR="00EB5CA8" w:rsidRPr="0094202A">
        <w:rPr>
          <w:lang w:val="ru-RU"/>
        </w:rPr>
        <w:br w:type="page"/>
      </w:r>
    </w:p>
    <w:p w:rsidR="006732D2" w:rsidRPr="0094202A" w:rsidRDefault="009B43E4" w:rsidP="007D4DB8">
      <w:pPr>
        <w:pStyle w:val="ONUME"/>
        <w:rPr>
          <w:lang w:val="ru-RU"/>
        </w:rPr>
      </w:pPr>
      <w:r w:rsidRPr="0094202A">
        <w:rPr>
          <w:lang w:val="ru-RU"/>
        </w:rPr>
        <w:lastRenderedPageBreak/>
        <w:t xml:space="preserve">На рисунках </w:t>
      </w:r>
      <w:r w:rsidR="006F17FC" w:rsidRPr="0094202A">
        <w:rPr>
          <w:lang w:val="ru-RU"/>
        </w:rPr>
        <w:t xml:space="preserve">2a </w:t>
      </w:r>
      <w:r w:rsidRPr="0094202A">
        <w:rPr>
          <w:lang w:val="ru-RU"/>
        </w:rPr>
        <w:t xml:space="preserve">и </w:t>
      </w:r>
      <w:r w:rsidR="006F17FC" w:rsidRPr="0094202A">
        <w:rPr>
          <w:lang w:val="ru-RU"/>
        </w:rPr>
        <w:t xml:space="preserve">2b </w:t>
      </w:r>
      <w:r w:rsidRPr="0094202A">
        <w:rPr>
          <w:lang w:val="ru-RU"/>
        </w:rPr>
        <w:t xml:space="preserve">показана потеря дохода при одинаковом гипотетическом снижении пошлины как в абсолютном выражении (левая ось ординат), так и относительно общего дохода PCT </w:t>
      </w:r>
      <w:r w:rsidR="006F17FC" w:rsidRPr="0094202A">
        <w:rPr>
          <w:lang w:val="ru-RU"/>
        </w:rPr>
        <w:t>(</w:t>
      </w:r>
      <w:r w:rsidRPr="0094202A">
        <w:rPr>
          <w:lang w:val="ru-RU"/>
        </w:rPr>
        <w:t>правая ось ординат</w:t>
      </w:r>
      <w:r w:rsidR="006F17FC" w:rsidRPr="0094202A">
        <w:rPr>
          <w:lang w:val="ru-RU"/>
        </w:rPr>
        <w:t>)</w:t>
      </w:r>
      <w:r w:rsidR="006F17FC" w:rsidRPr="0094202A">
        <w:rPr>
          <w:rStyle w:val="FootnoteReference"/>
          <w:lang w:val="ru-RU"/>
        </w:rPr>
        <w:footnoteReference w:id="6"/>
      </w:r>
      <w:r w:rsidR="006F17FC" w:rsidRPr="0094202A">
        <w:rPr>
          <w:lang w:val="ru-RU"/>
        </w:rPr>
        <w:t xml:space="preserve">.  </w:t>
      </w:r>
      <w:r w:rsidR="007D4DB8" w:rsidRPr="0094202A">
        <w:rPr>
          <w:lang w:val="ru-RU"/>
        </w:rPr>
        <w:t>Чем меньше число поданных заявок, тем меньше значение потерянного дохода от заявок, поданных развивающимися, нежели развитыми странами, при одинаковой скидке с пошлины</w:t>
      </w:r>
      <w:r w:rsidR="006F17FC" w:rsidRPr="0094202A">
        <w:rPr>
          <w:lang w:val="ru-RU"/>
        </w:rPr>
        <w:t>.</w:t>
      </w:r>
      <w:r w:rsidR="007D4DB8" w:rsidRPr="0094202A">
        <w:rPr>
          <w:lang w:val="ru-RU"/>
        </w:rPr>
        <w:t xml:space="preserve"> </w:t>
      </w:r>
    </w:p>
    <w:p w:rsidR="006732D2" w:rsidRPr="0094202A" w:rsidRDefault="00BC454E" w:rsidP="00E31013">
      <w:pPr>
        <w:pStyle w:val="ONUME"/>
        <w:rPr>
          <w:lang w:val="ru-RU"/>
        </w:rPr>
      </w:pPr>
      <w:r w:rsidRPr="0094202A">
        <w:rPr>
          <w:lang w:val="ru-RU"/>
        </w:rPr>
        <w:t xml:space="preserve">Наконец, представляется целесообразным рассчитать </w:t>
      </w:r>
      <w:r w:rsidR="00CC6438" w:rsidRPr="0094202A">
        <w:rPr>
          <w:lang w:val="ru-RU"/>
        </w:rPr>
        <w:t xml:space="preserve">издержки от дополнительной подачи заявок, выраженные в соответствующей потере дохода в расчете на одну прогнозируемую дополнительную заявку.  В случае развитых стран эти издержки составляют от 27 340 шв. франков на одну заявку при скидке близкой к нулю до 28 480 шв. франков на одну заявку при скидке </w:t>
      </w:r>
      <w:r w:rsidR="00AE5E86" w:rsidRPr="0094202A">
        <w:rPr>
          <w:lang w:val="ru-RU"/>
        </w:rPr>
        <w:t xml:space="preserve">в 100 процентов.  В случае развивающихся стран они составляют от 5 860 шв. франков на одну заявку при скидке близкой к нулю до 7 010 шв. франков на одну заявку при скидке в 100 процентов.  Выясняется, что </w:t>
      </w:r>
      <w:r w:rsidR="008473DF" w:rsidRPr="0094202A">
        <w:rPr>
          <w:lang w:val="ru-RU"/>
        </w:rPr>
        <w:t xml:space="preserve">издержки в расчете на одну заявку не зависят от размера лимита или его применения.  </w:t>
      </w:r>
      <w:r w:rsidR="009150FA" w:rsidRPr="0094202A">
        <w:rPr>
          <w:lang w:val="ru-RU"/>
        </w:rPr>
        <w:t xml:space="preserve">Можно предположить, что применение лимита </w:t>
      </w:r>
      <w:bookmarkStart w:id="6" w:name="OLE_LINK1"/>
      <w:r w:rsidR="009150FA" w:rsidRPr="0094202A">
        <w:rPr>
          <w:lang w:val="ru-RU"/>
        </w:rPr>
        <w:t xml:space="preserve">приведет к уменьшению </w:t>
      </w:r>
      <w:bookmarkEnd w:id="6"/>
      <w:r w:rsidR="009150FA" w:rsidRPr="0094202A">
        <w:rPr>
          <w:lang w:val="ru-RU"/>
        </w:rPr>
        <w:t>потерь дохода, связанных с предоставлением скидки с пошлины, но оно также приведет к уменьшению числа дополнительных заявок;  эти два эффекта полностью нивелируют друг друга</w:t>
      </w:r>
      <w:r w:rsidR="00854327" w:rsidRPr="0094202A">
        <w:rPr>
          <w:rStyle w:val="FootnoteReference"/>
          <w:lang w:val="ru-RU"/>
        </w:rPr>
        <w:footnoteReference w:id="7"/>
      </w:r>
      <w:r w:rsidR="00854327" w:rsidRPr="0094202A">
        <w:rPr>
          <w:lang w:val="ru-RU"/>
        </w:rPr>
        <w:t xml:space="preserve">.  </w:t>
      </w:r>
      <w:r w:rsidR="009150FA" w:rsidRPr="0094202A">
        <w:rPr>
          <w:lang w:val="ru-RU"/>
        </w:rPr>
        <w:t xml:space="preserve">Кроме того, важно отметить, что различия в потере дохода в расчете на одну заявку между развитыми и развивающимися странами </w:t>
      </w:r>
      <w:r w:rsidR="001A5F5B" w:rsidRPr="0094202A">
        <w:rPr>
          <w:lang w:val="ru-RU"/>
        </w:rPr>
        <w:t xml:space="preserve">в основном связаны с разными значениями </w:t>
      </w:r>
      <w:r w:rsidR="001D784D" w:rsidRPr="0094202A">
        <w:rPr>
          <w:lang w:val="ru-RU"/>
        </w:rPr>
        <w:t xml:space="preserve">коэффициента </w:t>
      </w:r>
      <w:r w:rsidR="001A5F5B" w:rsidRPr="0094202A">
        <w:rPr>
          <w:lang w:val="ru-RU"/>
        </w:rPr>
        <w:t>эластичности по пошлине для этих двух групп стран</w:t>
      </w:r>
      <w:r w:rsidR="008B05FB" w:rsidRPr="0094202A">
        <w:rPr>
          <w:rStyle w:val="FootnoteReference"/>
          <w:lang w:val="ru-RU"/>
        </w:rPr>
        <w:footnoteReference w:id="8"/>
      </w:r>
      <w:r w:rsidR="008B05FB" w:rsidRPr="0094202A">
        <w:rPr>
          <w:lang w:val="ru-RU"/>
        </w:rPr>
        <w:t xml:space="preserve">.  </w:t>
      </w:r>
      <w:r w:rsidR="001A5F5B" w:rsidRPr="0094202A">
        <w:rPr>
          <w:lang w:val="ru-RU"/>
        </w:rPr>
        <w:t xml:space="preserve">Таким образом, как было отмечено выше, </w:t>
      </w:r>
      <w:r w:rsidR="00E31013" w:rsidRPr="0094202A">
        <w:rPr>
          <w:lang w:val="ru-RU"/>
        </w:rPr>
        <w:t xml:space="preserve">возможные искажения результатов расчета эластичности по пошлине могут серьезно повлиять на </w:t>
      </w:r>
      <w:r w:rsidR="001A5F5B" w:rsidRPr="0094202A">
        <w:rPr>
          <w:lang w:val="ru-RU"/>
        </w:rPr>
        <w:t>оцен</w:t>
      </w:r>
      <w:r w:rsidR="00E31013" w:rsidRPr="0094202A">
        <w:rPr>
          <w:lang w:val="ru-RU"/>
        </w:rPr>
        <w:t xml:space="preserve">ки </w:t>
      </w:r>
      <w:r w:rsidR="001A5F5B" w:rsidRPr="0094202A">
        <w:rPr>
          <w:lang w:val="ru-RU"/>
        </w:rPr>
        <w:t>потерь дохода</w:t>
      </w:r>
      <w:r w:rsidR="00854327" w:rsidRPr="0094202A">
        <w:rPr>
          <w:lang w:val="ru-RU"/>
        </w:rPr>
        <w:t>.</w:t>
      </w:r>
      <w:r w:rsidR="000A0C5D" w:rsidRPr="0094202A">
        <w:rPr>
          <w:lang w:val="ru-RU"/>
        </w:rPr>
        <w:t xml:space="preserve"> </w:t>
      </w:r>
    </w:p>
    <w:p w:rsidR="006732D2" w:rsidRPr="0094202A" w:rsidRDefault="005161DD" w:rsidP="005161DD">
      <w:pPr>
        <w:pStyle w:val="ONUME"/>
        <w:rPr>
          <w:lang w:val="ru-RU"/>
        </w:rPr>
      </w:pPr>
      <w:r w:rsidRPr="0094202A">
        <w:rPr>
          <w:lang w:val="ru-RU"/>
        </w:rPr>
        <w:t xml:space="preserve">Вышеизложенное отражено в таблицах 3a и 3b, в которых приводятся рассчитанные в модели значения потерь дохода – в расчете на одну заявку и в совокупности – при скидке с пошлины в </w:t>
      </w:r>
      <w:r w:rsidR="00854327" w:rsidRPr="0094202A">
        <w:rPr>
          <w:lang w:val="ru-RU"/>
        </w:rPr>
        <w:t>25, 50</w:t>
      </w:r>
      <w:r w:rsidRPr="0094202A">
        <w:rPr>
          <w:lang w:val="ru-RU"/>
        </w:rPr>
        <w:t xml:space="preserve"> и </w:t>
      </w:r>
      <w:r w:rsidR="00854327" w:rsidRPr="0094202A">
        <w:rPr>
          <w:lang w:val="ru-RU"/>
        </w:rPr>
        <w:t>75</w:t>
      </w:r>
      <w:r w:rsidR="008B05FB" w:rsidRPr="0094202A">
        <w:rPr>
          <w:lang w:val="ru-RU"/>
        </w:rPr>
        <w:t> </w:t>
      </w:r>
      <w:r w:rsidRPr="0094202A">
        <w:rPr>
          <w:lang w:val="ru-RU"/>
        </w:rPr>
        <w:t>процентов</w:t>
      </w:r>
      <w:r w:rsidR="00854327" w:rsidRPr="0094202A">
        <w:rPr>
          <w:lang w:val="ru-RU"/>
        </w:rPr>
        <w:t>.</w:t>
      </w:r>
    </w:p>
    <w:p w:rsidR="005161DD" w:rsidRPr="0094202A" w:rsidRDefault="005161DD" w:rsidP="005161DD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440"/>
        <w:gridCol w:w="1285"/>
        <w:gridCol w:w="1285"/>
        <w:gridCol w:w="1286"/>
        <w:gridCol w:w="1285"/>
        <w:gridCol w:w="1286"/>
      </w:tblGrid>
      <w:tr w:rsidR="008B05FB" w:rsidRPr="005F0609" w:rsidTr="008B05FB">
        <w:tc>
          <w:tcPr>
            <w:tcW w:w="12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2C533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Скидка с пошлины</w:t>
            </w:r>
            <w:r w:rsidR="008B05FB" w:rsidRPr="0094202A">
              <w:rPr>
                <w:sz w:val="20"/>
                <w:lang w:val="ru-RU"/>
              </w:rPr>
              <w:t xml:space="preserve"> (</w:t>
            </w:r>
            <w:r w:rsidRPr="0094202A">
              <w:rPr>
                <w:sz w:val="20"/>
                <w:lang w:val="ru-RU"/>
              </w:rPr>
              <w:t>в процентах</w:t>
            </w:r>
            <w:r w:rsidR="008B05FB" w:rsidRPr="0094202A">
              <w:rPr>
                <w:sz w:val="20"/>
                <w:lang w:val="ru-RU"/>
              </w:rPr>
              <w:t>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E95543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 xml:space="preserve">Потеря </w:t>
            </w:r>
            <w:r w:rsidR="0086046C" w:rsidRPr="0094202A">
              <w:rPr>
                <w:sz w:val="20"/>
                <w:lang w:val="ru-RU"/>
              </w:rPr>
              <w:t>дохода на одну</w:t>
            </w:r>
            <w:r w:rsidRPr="0094202A">
              <w:rPr>
                <w:sz w:val="20"/>
                <w:lang w:val="ru-RU"/>
              </w:rPr>
              <w:t xml:space="preserve"> заявку</w:t>
            </w:r>
            <w:r w:rsidR="008B05FB" w:rsidRPr="0094202A">
              <w:rPr>
                <w:sz w:val="20"/>
                <w:lang w:val="ru-RU"/>
              </w:rPr>
              <w:t xml:space="preserve"> (</w:t>
            </w:r>
            <w:r w:rsidR="00292CCA" w:rsidRPr="0094202A">
              <w:rPr>
                <w:sz w:val="20"/>
                <w:lang w:val="ru-RU"/>
              </w:rPr>
              <w:t>в шв. фр.</w:t>
            </w:r>
            <w:r w:rsidR="008B05FB" w:rsidRPr="0094202A">
              <w:rPr>
                <w:sz w:val="20"/>
                <w:lang w:val="ru-RU"/>
              </w:rPr>
              <w:t>)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br/>
            </w:r>
            <w:r w:rsidR="00E95543" w:rsidRPr="0094202A">
              <w:rPr>
                <w:sz w:val="20"/>
                <w:lang w:val="ru-RU"/>
              </w:rPr>
              <w:t>Потеря дохода</w:t>
            </w:r>
            <w:r w:rsidRPr="0094202A">
              <w:rPr>
                <w:sz w:val="20"/>
                <w:lang w:val="ru-RU"/>
              </w:rPr>
              <w:t xml:space="preserve"> (</w:t>
            </w:r>
            <w:r w:rsidR="0055420A" w:rsidRPr="0094202A">
              <w:rPr>
                <w:sz w:val="20"/>
                <w:lang w:val="ru-RU"/>
              </w:rPr>
              <w:t xml:space="preserve">в млн </w:t>
            </w:r>
            <w:r w:rsidR="00292CCA" w:rsidRPr="0094202A">
              <w:rPr>
                <w:sz w:val="20"/>
                <w:lang w:val="ru-RU"/>
              </w:rPr>
              <w:t>шв. фр.</w:t>
            </w:r>
            <w:r w:rsidRPr="0094202A">
              <w:rPr>
                <w:sz w:val="20"/>
                <w:lang w:val="ru-RU"/>
              </w:rPr>
              <w:t>)</w:t>
            </w:r>
          </w:p>
        </w:tc>
      </w:tr>
      <w:tr w:rsidR="008B05FB" w:rsidRPr="0094202A" w:rsidTr="008B05FB"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5 заявок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10 заявок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20 заявок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30 заявок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05FB" w:rsidRPr="0094202A" w:rsidRDefault="002C533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Без лимита</w:t>
            </w:r>
          </w:p>
        </w:tc>
      </w:tr>
      <w:tr w:rsidR="008B05FB" w:rsidRPr="0094202A" w:rsidTr="008B05FB">
        <w:tc>
          <w:tcPr>
            <w:tcW w:w="12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CC6438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27 </w:t>
            </w:r>
            <w:r w:rsidR="008B05FB" w:rsidRPr="0094202A">
              <w:rPr>
                <w:sz w:val="20"/>
                <w:lang w:val="ru-RU"/>
              </w:rPr>
              <w:t>625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35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74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26</w:t>
            </w:r>
          </w:p>
        </w:tc>
      </w:tr>
      <w:tr w:rsidR="008B05FB" w:rsidRPr="0094202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CC6438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27 </w:t>
            </w:r>
            <w:r w:rsidR="008B05FB" w:rsidRPr="0094202A">
              <w:rPr>
                <w:sz w:val="20"/>
                <w:lang w:val="ru-RU"/>
              </w:rPr>
              <w:t>910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59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52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57</w:t>
            </w:r>
          </w:p>
        </w:tc>
      </w:tr>
      <w:tr w:rsidR="008B05FB" w:rsidRPr="0094202A" w:rsidTr="008B05FB">
        <w:tc>
          <w:tcPr>
            <w:tcW w:w="127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CC6438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28 </w:t>
            </w:r>
            <w:r w:rsidR="008B05FB" w:rsidRPr="0094202A">
              <w:rPr>
                <w:sz w:val="20"/>
                <w:lang w:val="ru-RU"/>
              </w:rPr>
              <w:t>195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3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4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70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33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93</w:t>
            </w:r>
          </w:p>
        </w:tc>
      </w:tr>
    </w:tbl>
    <w:p w:rsidR="006732D2" w:rsidRPr="0094202A" w:rsidRDefault="006732D2" w:rsidP="00177EA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732D2" w:rsidRPr="0094202A" w:rsidRDefault="001759BB" w:rsidP="005161DD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94202A">
        <w:rPr>
          <w:lang w:val="ru-RU"/>
        </w:rPr>
        <w:t>Таблица</w:t>
      </w:r>
      <w:r w:rsidR="008B05FB" w:rsidRPr="0094202A">
        <w:rPr>
          <w:lang w:val="ru-RU"/>
        </w:rPr>
        <w:t xml:space="preserve"> 3a</w:t>
      </w:r>
      <w:r w:rsidR="00F5066D" w:rsidRPr="0094202A">
        <w:rPr>
          <w:lang w:val="ru-RU"/>
        </w:rPr>
        <w:t>.</w:t>
      </w:r>
      <w:r w:rsidR="008B05FB" w:rsidRPr="0094202A">
        <w:rPr>
          <w:lang w:val="ru-RU"/>
        </w:rPr>
        <w:t xml:space="preserve">  </w:t>
      </w:r>
      <w:r w:rsidR="005161DD" w:rsidRPr="0094202A">
        <w:rPr>
          <w:lang w:val="ru-RU"/>
        </w:rPr>
        <w:t>Расчеты потерь дохода для различных значений скидки с пошлины и различных лимитов</w:t>
      </w:r>
      <w:r w:rsidR="008B05FB" w:rsidRPr="0094202A">
        <w:rPr>
          <w:lang w:val="ru-RU"/>
        </w:rPr>
        <w:t xml:space="preserve">, </w:t>
      </w:r>
      <w:r w:rsidR="00F5066D" w:rsidRPr="0094202A">
        <w:rPr>
          <w:lang w:val="ru-RU"/>
        </w:rPr>
        <w:t>развитые страны, 2015 г.</w:t>
      </w:r>
      <w:r w:rsidR="005161DD" w:rsidRPr="0094202A">
        <w:rPr>
          <w:lang w:val="ru-RU"/>
        </w:rPr>
        <w:t xml:space="preserve"> </w:t>
      </w:r>
      <w:r w:rsidR="005161DD" w:rsidRPr="0094202A">
        <w:rPr>
          <w:lang w:val="ru-RU"/>
        </w:rPr>
        <w:br w:type="page"/>
      </w:r>
    </w:p>
    <w:p w:rsidR="009150FA" w:rsidRPr="0094202A" w:rsidRDefault="009150FA" w:rsidP="005161DD">
      <w:pPr>
        <w:pStyle w:val="ONUME"/>
        <w:numPr>
          <w:ilvl w:val="0"/>
          <w:numId w:val="0"/>
        </w:numPr>
        <w:rPr>
          <w:b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440"/>
        <w:gridCol w:w="1285"/>
        <w:gridCol w:w="1285"/>
        <w:gridCol w:w="1286"/>
        <w:gridCol w:w="1285"/>
        <w:gridCol w:w="1286"/>
      </w:tblGrid>
      <w:tr w:rsidR="008B05FB" w:rsidRPr="005F0609" w:rsidTr="009150FA">
        <w:tc>
          <w:tcPr>
            <w:tcW w:w="148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2C533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Скидка с пошлины</w:t>
            </w:r>
            <w:r w:rsidR="008B05FB" w:rsidRPr="0094202A">
              <w:rPr>
                <w:sz w:val="20"/>
                <w:lang w:val="ru-RU"/>
              </w:rPr>
              <w:t xml:space="preserve"> (</w:t>
            </w:r>
            <w:r w:rsidRPr="0094202A">
              <w:rPr>
                <w:sz w:val="20"/>
                <w:lang w:val="ru-RU"/>
              </w:rPr>
              <w:t>в процентах</w:t>
            </w:r>
            <w:r w:rsidR="008B05FB" w:rsidRPr="0094202A">
              <w:rPr>
                <w:sz w:val="20"/>
                <w:lang w:val="ru-RU"/>
              </w:rPr>
              <w:t>)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E95543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 xml:space="preserve">Потеря </w:t>
            </w:r>
            <w:r w:rsidR="0086046C" w:rsidRPr="0094202A">
              <w:rPr>
                <w:sz w:val="20"/>
                <w:lang w:val="ru-RU"/>
              </w:rPr>
              <w:t>дохода на одну</w:t>
            </w:r>
            <w:r w:rsidRPr="0094202A">
              <w:rPr>
                <w:sz w:val="20"/>
                <w:lang w:val="ru-RU"/>
              </w:rPr>
              <w:t xml:space="preserve"> заявку</w:t>
            </w:r>
            <w:r w:rsidR="008B05FB" w:rsidRPr="0094202A">
              <w:rPr>
                <w:sz w:val="20"/>
                <w:lang w:val="ru-RU"/>
              </w:rPr>
              <w:t xml:space="preserve"> (</w:t>
            </w:r>
            <w:r w:rsidR="00292CCA" w:rsidRPr="0094202A">
              <w:rPr>
                <w:sz w:val="20"/>
                <w:lang w:val="ru-RU"/>
              </w:rPr>
              <w:t>в шв. фр.</w:t>
            </w:r>
            <w:r w:rsidR="008B05FB" w:rsidRPr="0094202A">
              <w:rPr>
                <w:sz w:val="20"/>
                <w:lang w:val="ru-RU"/>
              </w:rPr>
              <w:t>)</w:t>
            </w:r>
          </w:p>
        </w:tc>
        <w:tc>
          <w:tcPr>
            <w:tcW w:w="6427" w:type="dxa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br/>
            </w:r>
            <w:r w:rsidR="00E95543" w:rsidRPr="0094202A">
              <w:rPr>
                <w:sz w:val="20"/>
                <w:lang w:val="ru-RU"/>
              </w:rPr>
              <w:t>Потеря дохода</w:t>
            </w:r>
            <w:r w:rsidRPr="0094202A">
              <w:rPr>
                <w:sz w:val="20"/>
                <w:lang w:val="ru-RU"/>
              </w:rPr>
              <w:t xml:space="preserve"> (</w:t>
            </w:r>
            <w:r w:rsidR="0055420A" w:rsidRPr="0094202A">
              <w:rPr>
                <w:sz w:val="20"/>
                <w:lang w:val="ru-RU"/>
              </w:rPr>
              <w:t xml:space="preserve">в млн </w:t>
            </w:r>
            <w:r w:rsidR="00292CCA" w:rsidRPr="0094202A">
              <w:rPr>
                <w:sz w:val="20"/>
                <w:lang w:val="ru-RU"/>
              </w:rPr>
              <w:t>шв. фр.</w:t>
            </w:r>
            <w:r w:rsidRPr="0094202A">
              <w:rPr>
                <w:sz w:val="20"/>
                <w:lang w:val="ru-RU"/>
              </w:rPr>
              <w:t>)</w:t>
            </w:r>
          </w:p>
        </w:tc>
      </w:tr>
      <w:tr w:rsidR="008B05FB" w:rsidRPr="0094202A" w:rsidTr="009150FA">
        <w:tc>
          <w:tcPr>
            <w:tcW w:w="14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B05FB" w:rsidRPr="0094202A" w:rsidRDefault="008B05FB" w:rsidP="00177EAA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5 заявок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10 заявок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20 заявок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55420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Лимит 30 заявок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05FB" w:rsidRPr="0094202A" w:rsidRDefault="002C533A" w:rsidP="00177EAA">
            <w:pPr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Без лимита</w:t>
            </w:r>
          </w:p>
        </w:tc>
      </w:tr>
      <w:tr w:rsidR="008B05FB" w:rsidRPr="0094202A" w:rsidTr="009150FA">
        <w:tc>
          <w:tcPr>
            <w:tcW w:w="148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7548C2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147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18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32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43</w:t>
            </w:r>
          </w:p>
        </w:tc>
      </w:tr>
      <w:tr w:rsidR="008B05FB" w:rsidRPr="0094202A" w:rsidTr="009150FA">
        <w:tc>
          <w:tcPr>
            <w:tcW w:w="148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50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7548C2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435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37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52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66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73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89</w:t>
            </w:r>
          </w:p>
        </w:tc>
      </w:tr>
      <w:tr w:rsidR="008B05FB" w:rsidRPr="0094202A" w:rsidTr="009150FA">
        <w:tc>
          <w:tcPr>
            <w:tcW w:w="1481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75</w:t>
            </w:r>
          </w:p>
        </w:tc>
        <w:tc>
          <w:tcPr>
            <w:tcW w:w="1440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6</w:t>
            </w:r>
            <w:r w:rsidR="007548C2" w:rsidRPr="0094202A">
              <w:rPr>
                <w:sz w:val="20"/>
                <w:lang w:val="ru-RU"/>
              </w:rPr>
              <w:t> </w:t>
            </w:r>
            <w:r w:rsidRPr="0094202A">
              <w:rPr>
                <w:sz w:val="20"/>
                <w:lang w:val="ru-RU"/>
              </w:rPr>
              <w:t>722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58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0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81</w:t>
            </w:r>
          </w:p>
        </w:tc>
        <w:tc>
          <w:tcPr>
            <w:tcW w:w="128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04</w:t>
            </w:r>
          </w:p>
        </w:tc>
        <w:tc>
          <w:tcPr>
            <w:tcW w:w="1285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14</w:t>
            </w:r>
          </w:p>
        </w:tc>
        <w:tc>
          <w:tcPr>
            <w:tcW w:w="1286" w:type="dxa"/>
            <w:tcBorders>
              <w:top w:val="nil"/>
            </w:tcBorders>
          </w:tcPr>
          <w:p w:rsidR="008B05FB" w:rsidRPr="0094202A" w:rsidRDefault="008B05FB" w:rsidP="00177EAA">
            <w:pPr>
              <w:spacing w:before="40" w:after="40"/>
              <w:jc w:val="center"/>
              <w:rPr>
                <w:sz w:val="20"/>
                <w:lang w:val="ru-RU"/>
              </w:rPr>
            </w:pPr>
            <w:r w:rsidRPr="0094202A">
              <w:rPr>
                <w:sz w:val="20"/>
                <w:lang w:val="ru-RU"/>
              </w:rPr>
              <w:t>1</w:t>
            </w:r>
            <w:r w:rsidR="007548C2" w:rsidRPr="0094202A">
              <w:rPr>
                <w:sz w:val="20"/>
                <w:lang w:val="ru-RU"/>
              </w:rPr>
              <w:t>,</w:t>
            </w:r>
            <w:r w:rsidRPr="0094202A">
              <w:rPr>
                <w:sz w:val="20"/>
                <w:lang w:val="ru-RU"/>
              </w:rPr>
              <w:t>40</w:t>
            </w:r>
          </w:p>
        </w:tc>
      </w:tr>
    </w:tbl>
    <w:p w:rsidR="006732D2" w:rsidRPr="0094202A" w:rsidRDefault="006732D2" w:rsidP="00177EAA">
      <w:pPr>
        <w:rPr>
          <w:lang w:val="ru-RU"/>
        </w:rPr>
      </w:pPr>
    </w:p>
    <w:p w:rsidR="006732D2" w:rsidRPr="0094202A" w:rsidRDefault="001759BB" w:rsidP="00177EAA">
      <w:pPr>
        <w:pStyle w:val="ONUME"/>
        <w:numPr>
          <w:ilvl w:val="0"/>
          <w:numId w:val="0"/>
        </w:numPr>
        <w:jc w:val="center"/>
        <w:rPr>
          <w:lang w:val="ru-RU"/>
        </w:rPr>
      </w:pPr>
      <w:r w:rsidRPr="0094202A">
        <w:rPr>
          <w:lang w:val="ru-RU"/>
        </w:rPr>
        <w:t>Таблица</w:t>
      </w:r>
      <w:r w:rsidR="008B05FB" w:rsidRPr="0094202A">
        <w:rPr>
          <w:lang w:val="ru-RU"/>
        </w:rPr>
        <w:t xml:space="preserve"> 3b</w:t>
      </w:r>
      <w:r w:rsidR="00F5066D" w:rsidRPr="0094202A">
        <w:rPr>
          <w:lang w:val="ru-RU"/>
        </w:rPr>
        <w:t>.</w:t>
      </w:r>
      <w:r w:rsidR="008B05FB" w:rsidRPr="0094202A">
        <w:rPr>
          <w:lang w:val="ru-RU"/>
        </w:rPr>
        <w:t xml:space="preserve">  </w:t>
      </w:r>
      <w:r w:rsidR="005161DD" w:rsidRPr="0094202A">
        <w:rPr>
          <w:lang w:val="ru-RU"/>
        </w:rPr>
        <w:t>Расчеты потерь дохода для различных значений скидки с пошлины и различных лимитов</w:t>
      </w:r>
      <w:r w:rsidR="008B05FB" w:rsidRPr="0094202A">
        <w:rPr>
          <w:lang w:val="ru-RU"/>
        </w:rPr>
        <w:t xml:space="preserve">, </w:t>
      </w:r>
      <w:r w:rsidR="00F5066D" w:rsidRPr="0094202A">
        <w:rPr>
          <w:lang w:val="ru-RU"/>
        </w:rPr>
        <w:t>развивающиеся страны, 2015 г.</w:t>
      </w:r>
      <w:r w:rsidR="005161DD" w:rsidRPr="0094202A">
        <w:rPr>
          <w:lang w:val="ru-RU"/>
        </w:rPr>
        <w:t xml:space="preserve"> </w:t>
      </w:r>
    </w:p>
    <w:p w:rsidR="006732D2" w:rsidRPr="0094202A" w:rsidRDefault="006732D2" w:rsidP="005161DD">
      <w:pPr>
        <w:pStyle w:val="ONUME"/>
        <w:numPr>
          <w:ilvl w:val="0"/>
          <w:numId w:val="0"/>
        </w:numPr>
        <w:rPr>
          <w:lang w:val="ru-RU"/>
        </w:rPr>
      </w:pPr>
    </w:p>
    <w:p w:rsidR="006732D2" w:rsidRPr="0094202A" w:rsidRDefault="005161DD" w:rsidP="009B43E4">
      <w:pPr>
        <w:pStyle w:val="Heading1"/>
        <w:spacing w:after="240"/>
        <w:rPr>
          <w:lang w:val="ru-RU"/>
        </w:rPr>
      </w:pPr>
      <w:r w:rsidRPr="0094202A">
        <w:rPr>
          <w:lang w:val="ru-RU"/>
        </w:rPr>
        <w:t>ЗАКЛЮЧИТЕЛЬНЫЕ ЗАМЕЧАНИЯ</w:t>
      </w:r>
    </w:p>
    <w:p w:rsidR="006732D2" w:rsidRPr="0094202A" w:rsidRDefault="00CE5327" w:rsidP="009B43E4">
      <w:pPr>
        <w:pStyle w:val="ONUME"/>
        <w:keepNext/>
        <w:rPr>
          <w:lang w:val="ru-RU"/>
        </w:rPr>
      </w:pPr>
      <w:r w:rsidRPr="0094202A">
        <w:rPr>
          <w:lang w:val="ru-RU"/>
        </w:rPr>
        <w:t>Основная цель данного второго дополнительного исследования заключалась в моделировании последствий гипотетического снижения пошлины при использовании лимитов допустимых заявок.  Как можно было ожидать, введение лимита ограничивает число дополнительных заявок, а также потери дохода, обусловленные снижением пошлины.  Количественное выражение данных последствий отражено на рисунках 1a, 1b, 2a и 2b</w:t>
      </w:r>
      <w:r w:rsidR="008B05FB" w:rsidRPr="0094202A">
        <w:rPr>
          <w:lang w:val="ru-RU"/>
        </w:rPr>
        <w:t>.</w:t>
      </w:r>
      <w:r w:rsidRPr="0094202A">
        <w:rPr>
          <w:lang w:val="ru-RU"/>
        </w:rPr>
        <w:t xml:space="preserve"> </w:t>
      </w:r>
    </w:p>
    <w:p w:rsidR="006732D2" w:rsidRPr="0094202A" w:rsidRDefault="006732D2" w:rsidP="00177EAA">
      <w:pPr>
        <w:pStyle w:val="ONUME"/>
        <w:rPr>
          <w:lang w:val="ru-RU"/>
        </w:rPr>
      </w:pPr>
      <w:r w:rsidRPr="0094202A">
        <w:rPr>
          <w:lang w:val="ru-RU"/>
        </w:rPr>
        <w:t>В то же время необходимо сделать р</w:t>
      </w:r>
      <w:r w:rsidR="00A87BAD">
        <w:rPr>
          <w:lang w:val="ru-RU"/>
        </w:rPr>
        <w:t>я</w:t>
      </w:r>
      <w:r w:rsidRPr="0094202A">
        <w:rPr>
          <w:lang w:val="ru-RU"/>
        </w:rPr>
        <w:t xml:space="preserve">д важных оговорок в отношении </w:t>
      </w:r>
      <w:r w:rsidR="00404F37" w:rsidRPr="0094202A">
        <w:rPr>
          <w:lang w:val="ru-RU"/>
        </w:rPr>
        <w:t xml:space="preserve">произведенных расчетов.  Во-первых, введение лимита ведет к более сильному снижению пошлины для одних университетов, чем для других.  Применение средних коэффициентов эластичности ко всем заявителям из числа университетов в обеих группах стран может </w:t>
      </w:r>
      <w:r w:rsidR="00E31013" w:rsidRPr="0094202A">
        <w:rPr>
          <w:lang w:val="ru-RU"/>
        </w:rPr>
        <w:t xml:space="preserve">привести к искажению результатов оценки чувствительности к размеру пошлины.  Во-вторых, </w:t>
      </w:r>
      <w:r w:rsidR="00A87BAD">
        <w:rPr>
          <w:lang w:val="ru-RU"/>
        </w:rPr>
        <w:t xml:space="preserve">так как в основе расчетов эластичности по пошлине лежит логарифмическая линейная </w:t>
      </w:r>
      <w:r w:rsidR="00B629D9">
        <w:rPr>
          <w:lang w:val="ru-RU"/>
        </w:rPr>
        <w:t>функция</w:t>
      </w:r>
      <w:r w:rsidR="00E31013" w:rsidRPr="0094202A">
        <w:rPr>
          <w:lang w:val="ru-RU"/>
        </w:rPr>
        <w:t xml:space="preserve">, </w:t>
      </w:r>
      <w:r w:rsidR="00982E9E" w:rsidRPr="0094202A">
        <w:rPr>
          <w:lang w:val="ru-RU"/>
        </w:rPr>
        <w:t>моделирование резкого снижения пошлины сверх исторических вариаций данных может быть ненадежным</w:t>
      </w:r>
      <w:r w:rsidR="000C519D" w:rsidRPr="0094202A">
        <w:rPr>
          <w:rStyle w:val="FootnoteReference"/>
          <w:lang w:val="ru-RU"/>
        </w:rPr>
        <w:footnoteReference w:id="9"/>
      </w:r>
      <w:r w:rsidR="000C519D" w:rsidRPr="0094202A">
        <w:rPr>
          <w:lang w:val="ru-RU"/>
        </w:rPr>
        <w:t>.</w:t>
      </w:r>
    </w:p>
    <w:p w:rsidR="006732D2" w:rsidRPr="0094202A" w:rsidRDefault="006732D2" w:rsidP="006732D2">
      <w:pPr>
        <w:pStyle w:val="ONUME"/>
        <w:ind w:left="5533"/>
        <w:rPr>
          <w:i/>
          <w:lang w:val="ru-RU"/>
        </w:rPr>
      </w:pPr>
      <w:r w:rsidRPr="0094202A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6732D2" w:rsidRPr="0094202A" w:rsidRDefault="006732D2" w:rsidP="00177EAA">
      <w:pPr>
        <w:pStyle w:val="ONUME"/>
        <w:numPr>
          <w:ilvl w:val="0"/>
          <w:numId w:val="0"/>
        </w:numPr>
        <w:ind w:left="5533"/>
        <w:rPr>
          <w:i/>
          <w:lang w:val="ru-RU"/>
        </w:rPr>
      </w:pPr>
    </w:p>
    <w:p w:rsidR="006732D2" w:rsidRPr="0094202A" w:rsidRDefault="006732D2" w:rsidP="006732D2">
      <w:pPr>
        <w:pStyle w:val="ONUME"/>
        <w:numPr>
          <w:ilvl w:val="0"/>
          <w:numId w:val="0"/>
        </w:numPr>
        <w:ind w:left="5533"/>
        <w:rPr>
          <w:lang w:val="ru-RU"/>
        </w:rPr>
      </w:pPr>
      <w:r w:rsidRPr="0094202A">
        <w:rPr>
          <w:lang w:val="ru-RU"/>
        </w:rPr>
        <w:t>[Конец документа]</w:t>
      </w:r>
    </w:p>
    <w:p w:rsidR="006732D2" w:rsidRPr="0094202A" w:rsidRDefault="006732D2" w:rsidP="00177EAA">
      <w:pPr>
        <w:pStyle w:val="ONUME"/>
        <w:numPr>
          <w:ilvl w:val="0"/>
          <w:numId w:val="0"/>
        </w:numPr>
        <w:rPr>
          <w:lang w:val="ru-RU"/>
        </w:rPr>
      </w:pPr>
    </w:p>
    <w:sectPr w:rsidR="006732D2" w:rsidRPr="0094202A" w:rsidSect="002154B1">
      <w:head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AC" w:rsidRDefault="00F462AC">
      <w:r>
        <w:separator/>
      </w:r>
    </w:p>
  </w:endnote>
  <w:endnote w:type="continuationSeparator" w:id="0">
    <w:p w:rsidR="00F462AC" w:rsidRDefault="00F462AC" w:rsidP="003B38C1">
      <w:r>
        <w:separator/>
      </w:r>
    </w:p>
    <w:p w:rsidR="00F462AC" w:rsidRPr="003B38C1" w:rsidRDefault="00F462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62AC" w:rsidRPr="003B38C1" w:rsidRDefault="00F462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4" w:rsidRDefault="009B43E4">
    <w:pPr>
      <w:pStyle w:val="Footer"/>
      <w:jc w:val="right"/>
    </w:pPr>
  </w:p>
  <w:p w:rsidR="009B43E4" w:rsidRDefault="009B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AC" w:rsidRDefault="00F462AC">
      <w:r>
        <w:separator/>
      </w:r>
    </w:p>
  </w:footnote>
  <w:footnote w:type="continuationSeparator" w:id="0">
    <w:p w:rsidR="00F462AC" w:rsidRDefault="00F462AC" w:rsidP="008B60B2">
      <w:r>
        <w:separator/>
      </w:r>
    </w:p>
    <w:p w:rsidR="00F462AC" w:rsidRPr="00ED77FB" w:rsidRDefault="00F462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62AC" w:rsidRPr="00ED77FB" w:rsidRDefault="00F462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B43E4" w:rsidRPr="008813A4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813A4">
        <w:rPr>
          <w:lang w:val="ru-RU"/>
        </w:rPr>
        <w:t xml:space="preserve"> </w:t>
      </w:r>
      <w:r w:rsidRPr="008813A4">
        <w:rPr>
          <w:lang w:val="ru-RU"/>
        </w:rPr>
        <w:tab/>
      </w:r>
      <w:r>
        <w:rPr>
          <w:lang w:val="ru-RU"/>
        </w:rPr>
        <w:t xml:space="preserve">В частности, в эконометрической оценке были использованы патентные семейства только 78 ГНИУ в развивающихся странах, 90 процентов которых имели эквивалентные заявки по процедуре </w:t>
      </w:r>
      <w:r>
        <w:t>PCT</w:t>
      </w:r>
      <w:r>
        <w:rPr>
          <w:lang w:val="ru-RU"/>
        </w:rPr>
        <w:t xml:space="preserve">. </w:t>
      </w:r>
    </w:p>
  </w:footnote>
  <w:footnote w:id="3">
    <w:p w:rsidR="009B43E4" w:rsidRPr="00737483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37483">
        <w:rPr>
          <w:lang w:val="ru-RU"/>
        </w:rPr>
        <w:t xml:space="preserve"> </w:t>
      </w:r>
      <w:r w:rsidRPr="00737483">
        <w:rPr>
          <w:lang w:val="ru-RU"/>
        </w:rPr>
        <w:tab/>
      </w:r>
      <w:r>
        <w:rPr>
          <w:lang w:val="ru-RU"/>
        </w:rPr>
        <w:t xml:space="preserve">В настоящем документе, как и в документе </w:t>
      </w:r>
      <w:r w:rsidRPr="004B08C2">
        <w:t>PCT</w:t>
      </w:r>
      <w:r w:rsidRPr="00737483">
        <w:rPr>
          <w:lang w:val="ru-RU"/>
        </w:rPr>
        <w:t>/</w:t>
      </w:r>
      <w:r w:rsidRPr="004B08C2">
        <w:t>WG</w:t>
      </w:r>
      <w:r w:rsidRPr="00737483">
        <w:rPr>
          <w:lang w:val="ru-RU"/>
        </w:rPr>
        <w:t>/8/11,</w:t>
      </w:r>
      <w:r>
        <w:rPr>
          <w:lang w:val="ru-RU"/>
        </w:rPr>
        <w:t xml:space="preserve"> развивающиеся страны </w:t>
      </w:r>
      <w:r w:rsidRPr="00A83E06">
        <w:rPr>
          <w:lang w:val="ru-RU"/>
        </w:rPr>
        <w:t>определяются как страны, перечисленные в Официальных сведениях (Бюллетень PCT) от 12 февраля 2015 г.; все остальные страны определяются как развитые страны</w:t>
      </w:r>
      <w:r>
        <w:rPr>
          <w:lang w:val="ru-RU"/>
        </w:rPr>
        <w:t xml:space="preserve">.  В нем использованы данные о заявках, поданных по процедуре </w:t>
      </w:r>
      <w:r>
        <w:t>PCT</w:t>
      </w:r>
      <w:r>
        <w:rPr>
          <w:lang w:val="ru-RU"/>
        </w:rPr>
        <w:t xml:space="preserve"> за период с </w:t>
      </w:r>
      <w:r w:rsidRPr="00737483">
        <w:rPr>
          <w:lang w:val="ru-RU"/>
        </w:rPr>
        <w:t xml:space="preserve">2011 </w:t>
      </w:r>
      <w:r>
        <w:rPr>
          <w:lang w:val="ru-RU"/>
        </w:rPr>
        <w:t xml:space="preserve">по </w:t>
      </w:r>
      <w:r w:rsidRPr="00737483">
        <w:rPr>
          <w:lang w:val="ru-RU"/>
        </w:rPr>
        <w:t>2015</w:t>
      </w:r>
      <w:r>
        <w:rPr>
          <w:lang w:val="ru-RU"/>
        </w:rPr>
        <w:t> гг</w:t>
      </w:r>
      <w:r w:rsidRPr="00737483">
        <w:rPr>
          <w:lang w:val="ru-RU"/>
        </w:rPr>
        <w:t xml:space="preserve">.  </w:t>
      </w:r>
    </w:p>
  </w:footnote>
  <w:footnote w:id="4">
    <w:p w:rsidR="009B43E4" w:rsidRPr="007B23DA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24840">
        <w:rPr>
          <w:lang w:val="ru-RU"/>
        </w:rPr>
        <w:t xml:space="preserve"> </w:t>
      </w:r>
      <w:r w:rsidRPr="00F24840">
        <w:rPr>
          <w:lang w:val="ru-RU"/>
        </w:rPr>
        <w:tab/>
      </w:r>
      <w:r>
        <w:rPr>
          <w:lang w:val="ru-RU"/>
        </w:rPr>
        <w:t xml:space="preserve">Оценка </w:t>
      </w:r>
      <w:r w:rsidR="001D784D">
        <w:rPr>
          <w:lang w:val="ru-RU"/>
        </w:rPr>
        <w:t>коэффициента</w:t>
      </w:r>
      <w:r>
        <w:rPr>
          <w:lang w:val="ru-RU"/>
        </w:rPr>
        <w:t xml:space="preserve"> эластичности по пошлине для различных подгрупп заявителей (например, подразделяемых по числу заявок в год) является непростой процедурой, что частично связано с тем, что некоторые заявители могут в разные годы относиться к разным подгруппам, </w:t>
      </w:r>
      <w:r w:rsidR="001D784D">
        <w:rPr>
          <w:lang w:val="ru-RU"/>
        </w:rPr>
        <w:t>а</w:t>
      </w:r>
      <w:r>
        <w:rPr>
          <w:lang w:val="ru-RU"/>
        </w:rPr>
        <w:t xml:space="preserve"> частично с тем, что дальнейшее подразделение группы </w:t>
      </w:r>
      <w:r w:rsidRPr="0031541F">
        <w:rPr>
          <w:lang w:val="ru-RU"/>
        </w:rPr>
        <w:t xml:space="preserve">университетов-заявителей </w:t>
      </w:r>
      <w:r>
        <w:rPr>
          <w:lang w:val="ru-RU"/>
        </w:rPr>
        <w:t xml:space="preserve">в развивающихся странах дополнительно </w:t>
      </w:r>
      <w:r w:rsidRPr="007B23DA">
        <w:rPr>
          <w:lang w:val="ru-RU"/>
        </w:rPr>
        <w:t>затрудняет проведение статистического исследования.</w:t>
      </w:r>
    </w:p>
  </w:footnote>
  <w:footnote w:id="5">
    <w:p w:rsidR="009B43E4" w:rsidRPr="006B4AAB" w:rsidRDefault="009B43E4" w:rsidP="003F0F8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17A66">
        <w:rPr>
          <w:lang w:val="ru-RU"/>
        </w:rPr>
        <w:t xml:space="preserve"> </w:t>
      </w:r>
      <w:r w:rsidRPr="00617A66">
        <w:rPr>
          <w:lang w:val="ru-RU"/>
        </w:rPr>
        <w:tab/>
      </w:r>
      <w:r>
        <w:rPr>
          <w:lang w:val="ru-RU"/>
        </w:rPr>
        <w:t>Следует отметить, что данные о числе поданных заявок в настоящем документе отличаются от данных в документе</w:t>
      </w:r>
      <w:r w:rsidRPr="00617A66">
        <w:rPr>
          <w:lang w:val="ru-RU"/>
        </w:rPr>
        <w:t xml:space="preserve"> </w:t>
      </w:r>
      <w:r w:rsidRPr="00DC009E">
        <w:t>PCT</w:t>
      </w:r>
      <w:r w:rsidRPr="00617A66">
        <w:rPr>
          <w:lang w:val="ru-RU"/>
        </w:rPr>
        <w:t>/</w:t>
      </w:r>
      <w:r w:rsidRPr="00DC009E">
        <w:t>WG</w:t>
      </w:r>
      <w:r w:rsidRPr="00617A66">
        <w:rPr>
          <w:lang w:val="ru-RU"/>
        </w:rPr>
        <w:t>/8/11</w:t>
      </w:r>
      <w:r>
        <w:rPr>
          <w:lang w:val="ru-RU"/>
        </w:rPr>
        <w:t xml:space="preserve"> по следующим двум причинам.  </w:t>
      </w:r>
      <w:r>
        <w:rPr>
          <w:lang w:val="ru-RU"/>
        </w:rPr>
        <w:t>Во</w:t>
      </w:r>
      <w:r w:rsidRPr="00617A66">
        <w:rPr>
          <w:lang w:val="ru-RU"/>
        </w:rPr>
        <w:t>-</w:t>
      </w:r>
      <w:r>
        <w:rPr>
          <w:lang w:val="ru-RU"/>
        </w:rPr>
        <w:t>первых</w:t>
      </w:r>
      <w:r w:rsidRPr="00617A66">
        <w:rPr>
          <w:lang w:val="ru-RU"/>
        </w:rPr>
        <w:t xml:space="preserve">, </w:t>
      </w:r>
      <w:r>
        <w:rPr>
          <w:lang w:val="ru-RU"/>
        </w:rPr>
        <w:t xml:space="preserve">эти данные являются более поздними и при их составлении была учтена дополнительная информация, полученная Международным бюро, в том числе информация об изменении владельцев. Во-вторых, имеются различия в определениях </w:t>
      </w:r>
      <w:r w:rsidRPr="0031541F">
        <w:rPr>
          <w:lang w:val="ru-RU"/>
        </w:rPr>
        <w:t>университетов-заявителей</w:t>
      </w:r>
      <w:r>
        <w:rPr>
          <w:lang w:val="ru-RU"/>
        </w:rPr>
        <w:t xml:space="preserve">.  В частности, в предыдущем дополнительном исследовании заявка, поданная по процедуре </w:t>
      </w:r>
      <w:r>
        <w:t>PCT</w:t>
      </w:r>
      <w:r>
        <w:rPr>
          <w:lang w:val="ru-RU"/>
        </w:rPr>
        <w:t>, считалась заявкой, полученной от университета, если</w:t>
      </w:r>
      <w:r w:rsidR="00A87BAD">
        <w:rPr>
          <w:lang w:val="ru-RU"/>
        </w:rPr>
        <w:t xml:space="preserve"> по крайней мере</w:t>
      </w:r>
      <w:r>
        <w:rPr>
          <w:lang w:val="ru-RU"/>
        </w:rPr>
        <w:t xml:space="preserve"> один из заявителей являлся университетом;  в настоящем документе заявка, поданная по процедуре </w:t>
      </w:r>
      <w:r>
        <w:t>PCT</w:t>
      </w:r>
      <w:r>
        <w:rPr>
          <w:lang w:val="ru-RU"/>
        </w:rPr>
        <w:t xml:space="preserve">, считается заявкой, полученной от университета, если, по крайней мере, один из заявителей является университетом и </w:t>
      </w:r>
      <w:r>
        <w:rPr>
          <w:lang w:val="ru-RU"/>
        </w:rPr>
        <w:t xml:space="preserve">ни один из </w:t>
      </w:r>
      <w:r w:rsidRPr="0031541F">
        <w:rPr>
          <w:lang w:val="ru-RU"/>
        </w:rPr>
        <w:t>созаявителей</w:t>
      </w:r>
      <w:r>
        <w:rPr>
          <w:lang w:val="ru-RU"/>
        </w:rPr>
        <w:t xml:space="preserve"> (если такие имеются) не является корпорацией.  Данный подход отражает текущую практику предоставления скидки с пошлины только в случае</w:t>
      </w:r>
      <w:r w:rsidR="00A87BAD">
        <w:rPr>
          <w:lang w:val="ru-RU"/>
        </w:rPr>
        <w:t xml:space="preserve"> заявок</w:t>
      </w:r>
      <w:r>
        <w:rPr>
          <w:lang w:val="ru-RU"/>
        </w:rPr>
        <w:t>, все заявители по которым отвечают определенным критериям.  Безусловно, это не должно наносить ущерба любым критериям снижения пошлин, которые могут быть приняты в будущем</w:t>
      </w:r>
      <w:r w:rsidRPr="006B4AAB">
        <w:rPr>
          <w:lang w:val="ru-RU"/>
        </w:rPr>
        <w:t>.</w:t>
      </w:r>
      <w:r>
        <w:rPr>
          <w:lang w:val="ru-RU"/>
        </w:rPr>
        <w:t xml:space="preserve"> </w:t>
      </w:r>
    </w:p>
  </w:footnote>
  <w:footnote w:id="6">
    <w:p w:rsidR="009B43E4" w:rsidRPr="00E95543" w:rsidRDefault="009B43E4" w:rsidP="006F17F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5543">
        <w:rPr>
          <w:lang w:val="ru-RU"/>
        </w:rPr>
        <w:t xml:space="preserve"> </w:t>
      </w:r>
      <w:r w:rsidRPr="00E95543">
        <w:rPr>
          <w:lang w:val="ru-RU"/>
        </w:rPr>
        <w:tab/>
      </w:r>
      <w:r w:rsidR="00E95543">
        <w:rPr>
          <w:lang w:val="ru-RU"/>
        </w:rPr>
        <w:t xml:space="preserve">Следует отметить, что использованные в настоящем документе данные о доходах от пошлин учитывают скидку с пошлины при электронной подаче.  Этим объясняется то обстоятельство, что средние за год пошлины, приведенные в таблицах </w:t>
      </w:r>
      <w:r w:rsidR="00E95543" w:rsidRPr="00E95543">
        <w:rPr>
          <w:lang w:val="ru-RU"/>
        </w:rPr>
        <w:t>2</w:t>
      </w:r>
      <w:r w:rsidR="00E95543">
        <w:t>a</w:t>
      </w:r>
      <w:r w:rsidR="00E95543" w:rsidRPr="00E95543">
        <w:rPr>
          <w:lang w:val="ru-RU"/>
        </w:rPr>
        <w:t xml:space="preserve"> </w:t>
      </w:r>
      <w:r w:rsidR="00E95543">
        <w:rPr>
          <w:lang w:val="ru-RU"/>
        </w:rPr>
        <w:t>и</w:t>
      </w:r>
      <w:r w:rsidR="00E95543" w:rsidRPr="00E95543">
        <w:rPr>
          <w:lang w:val="ru-RU"/>
        </w:rPr>
        <w:t xml:space="preserve"> 2</w:t>
      </w:r>
      <w:r w:rsidR="00E95543">
        <w:t>b</w:t>
      </w:r>
      <w:r w:rsidR="00E95543">
        <w:rPr>
          <w:lang w:val="ru-RU"/>
        </w:rPr>
        <w:t xml:space="preserve">, и потери дохода, показанные на рисунках </w:t>
      </w:r>
      <w:r w:rsidR="00E95543" w:rsidRPr="00E95543">
        <w:rPr>
          <w:lang w:val="ru-RU"/>
        </w:rPr>
        <w:t>2</w:t>
      </w:r>
      <w:r w:rsidR="00E95543">
        <w:t>a</w:t>
      </w:r>
      <w:r w:rsidR="00E95543" w:rsidRPr="00E95543">
        <w:rPr>
          <w:lang w:val="ru-RU"/>
        </w:rPr>
        <w:t xml:space="preserve"> </w:t>
      </w:r>
      <w:r w:rsidR="00E95543">
        <w:rPr>
          <w:lang w:val="ru-RU"/>
        </w:rPr>
        <w:t>и</w:t>
      </w:r>
      <w:r w:rsidR="00E95543" w:rsidRPr="00E95543">
        <w:rPr>
          <w:lang w:val="ru-RU"/>
        </w:rPr>
        <w:t xml:space="preserve"> 2</w:t>
      </w:r>
      <w:r w:rsidR="00E95543">
        <w:t>b</w:t>
      </w:r>
      <w:r w:rsidR="00E95543">
        <w:rPr>
          <w:lang w:val="ru-RU"/>
        </w:rPr>
        <w:t xml:space="preserve">, несколько ниже, чем соответствующие данные в таблице 4 в документе </w:t>
      </w:r>
      <w:r w:rsidR="00E95543">
        <w:t>PCT</w:t>
      </w:r>
      <w:r w:rsidR="00E95543" w:rsidRPr="00E95543">
        <w:rPr>
          <w:lang w:val="ru-RU"/>
        </w:rPr>
        <w:t>/</w:t>
      </w:r>
      <w:r w:rsidR="00E95543">
        <w:t>WG</w:t>
      </w:r>
      <w:r w:rsidR="00E95543" w:rsidRPr="00E95543">
        <w:rPr>
          <w:lang w:val="ru-RU"/>
        </w:rPr>
        <w:t>/8/11</w:t>
      </w:r>
      <w:r w:rsidR="00E95543">
        <w:rPr>
          <w:lang w:val="ru-RU"/>
        </w:rPr>
        <w:t>, в которых эти скидки не были учтены</w:t>
      </w:r>
      <w:r w:rsidRPr="00E95543">
        <w:rPr>
          <w:lang w:val="ru-RU"/>
        </w:rPr>
        <w:t>.</w:t>
      </w:r>
    </w:p>
  </w:footnote>
  <w:footnote w:id="7">
    <w:p w:rsidR="009B43E4" w:rsidRPr="0062793A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A0C5D">
        <w:rPr>
          <w:lang w:val="ru-RU"/>
        </w:rPr>
        <w:t xml:space="preserve"> </w:t>
      </w:r>
      <w:r w:rsidRPr="000A0C5D">
        <w:rPr>
          <w:lang w:val="ru-RU"/>
        </w:rPr>
        <w:tab/>
      </w:r>
      <w:r w:rsidR="001D784D">
        <w:rPr>
          <w:lang w:val="ru-RU"/>
        </w:rPr>
        <w:t xml:space="preserve">Математически число дополнительных заявок </w:t>
      </w:r>
      <w:r w:rsidR="001D784D">
        <w:rPr>
          <w:i/>
        </w:rPr>
        <w:t>X</w:t>
      </w:r>
      <w:r w:rsidR="001D784D" w:rsidRPr="001D784D">
        <w:rPr>
          <w:lang w:val="ru-RU"/>
        </w:rPr>
        <w:t xml:space="preserve">, </w:t>
      </w:r>
      <w:r w:rsidR="001D784D">
        <w:rPr>
          <w:lang w:val="ru-RU"/>
        </w:rPr>
        <w:t>обусловленных скидкой с пошлины</w:t>
      </w:r>
      <w:r w:rsidR="0062793A">
        <w:rPr>
          <w:lang w:val="ru-RU"/>
        </w:rPr>
        <w:t xml:space="preserve">, рассчитывается по формуле </w:t>
      </w:r>
      <w:r w:rsidR="0062793A">
        <w:rPr>
          <w:i/>
        </w:rPr>
        <w:t>X</w:t>
      </w:r>
      <w:r w:rsidR="0062793A" w:rsidRPr="0062793A">
        <w:rPr>
          <w:lang w:val="ru-RU"/>
        </w:rPr>
        <w:t>=</w:t>
      </w:r>
      <w:r w:rsidR="0062793A">
        <w:rPr>
          <w:i/>
        </w:rPr>
        <w:t>f</w:t>
      </w:r>
      <w:r w:rsidR="0062793A" w:rsidRPr="0062793A">
        <w:rPr>
          <w:i/>
          <w:lang w:val="ru-RU"/>
        </w:rPr>
        <w:t>*</w:t>
      </w:r>
      <w:r w:rsidR="0062793A">
        <w:rPr>
          <w:i/>
        </w:rPr>
        <w:t>E</w:t>
      </w:r>
      <w:r w:rsidR="0062793A" w:rsidRPr="0062793A">
        <w:rPr>
          <w:i/>
          <w:lang w:val="ru-RU"/>
        </w:rPr>
        <w:t xml:space="preserve">* </w:t>
      </w:r>
      <w:r w:rsidR="0062793A">
        <w:rPr>
          <w:i/>
        </w:rPr>
        <w:t>ε</w:t>
      </w:r>
      <w:r w:rsidR="0062793A">
        <w:rPr>
          <w:lang w:val="ru-RU"/>
        </w:rPr>
        <w:t xml:space="preserve">, а (чистая) потеря дохода </w:t>
      </w:r>
      <w:r w:rsidR="0062793A">
        <w:rPr>
          <w:i/>
        </w:rPr>
        <w:t>I</w:t>
      </w:r>
      <w:r w:rsidR="0062793A">
        <w:rPr>
          <w:lang w:val="ru-RU"/>
        </w:rPr>
        <w:t xml:space="preserve"> – по формуле </w:t>
      </w:r>
      <w:r w:rsidR="0062793A">
        <w:t>I</w:t>
      </w:r>
      <w:r w:rsidR="0062793A" w:rsidRPr="0062793A">
        <w:rPr>
          <w:lang w:val="ru-RU"/>
        </w:rPr>
        <w:t>=</w:t>
      </w:r>
      <w:r w:rsidR="0062793A">
        <w:rPr>
          <w:i/>
        </w:rPr>
        <w:t>f</w:t>
      </w:r>
      <w:r w:rsidR="0062793A" w:rsidRPr="0062793A">
        <w:rPr>
          <w:lang w:val="ru-RU"/>
        </w:rPr>
        <w:t>*</w:t>
      </w:r>
      <w:r w:rsidR="0062793A">
        <w:rPr>
          <w:i/>
        </w:rPr>
        <w:t>a</w:t>
      </w:r>
      <w:r w:rsidR="0062793A" w:rsidRPr="0062793A">
        <w:rPr>
          <w:lang w:val="ru-RU"/>
        </w:rPr>
        <w:t>*</w:t>
      </w:r>
      <w:r w:rsidR="0062793A">
        <w:rPr>
          <w:i/>
        </w:rPr>
        <w:t>E</w:t>
      </w:r>
      <w:r w:rsidR="0062793A" w:rsidRPr="0062793A">
        <w:rPr>
          <w:lang w:val="ru-RU"/>
        </w:rPr>
        <w:t xml:space="preserve"> – (1-</w:t>
      </w:r>
      <w:r w:rsidR="0062793A">
        <w:rPr>
          <w:i/>
        </w:rPr>
        <w:t>f</w:t>
      </w:r>
      <w:r w:rsidR="0062793A" w:rsidRPr="0062793A">
        <w:rPr>
          <w:lang w:val="ru-RU"/>
        </w:rPr>
        <w:t>)*</w:t>
      </w:r>
      <w:r w:rsidR="0062793A">
        <w:rPr>
          <w:i/>
        </w:rPr>
        <w:t>a</w:t>
      </w:r>
      <w:r w:rsidR="0062793A" w:rsidRPr="0062793A">
        <w:rPr>
          <w:lang w:val="ru-RU"/>
        </w:rPr>
        <w:t>*</w:t>
      </w:r>
      <w:r w:rsidR="0062793A">
        <w:rPr>
          <w:i/>
        </w:rPr>
        <w:t>X</w:t>
      </w:r>
      <w:r w:rsidR="0062793A">
        <w:rPr>
          <w:lang w:val="ru-RU"/>
        </w:rPr>
        <w:t xml:space="preserve">, где </w:t>
      </w:r>
      <w:r w:rsidR="000A0C5D">
        <w:rPr>
          <w:i/>
        </w:rPr>
        <w:t>E</w:t>
      </w:r>
      <w:r w:rsidR="000A0C5D" w:rsidRPr="000A0C5D">
        <w:rPr>
          <w:lang w:val="ru-RU"/>
        </w:rPr>
        <w:t xml:space="preserve"> </w:t>
      </w:r>
      <w:r w:rsidR="000A0C5D">
        <w:rPr>
          <w:lang w:val="ru-RU"/>
        </w:rPr>
        <w:t xml:space="preserve">обозначает число заявок, отвечающих критериям для получения скидки с пошлины, </w:t>
      </w:r>
      <w:r w:rsidR="000A0C5D">
        <w:rPr>
          <w:i/>
        </w:rPr>
        <w:t>f</w:t>
      </w:r>
      <w:r w:rsidR="000A0C5D" w:rsidRPr="000A0C5D">
        <w:rPr>
          <w:lang w:val="ru-RU"/>
        </w:rPr>
        <w:t xml:space="preserve"> </w:t>
      </w:r>
      <w:r w:rsidR="000A0C5D">
        <w:rPr>
          <w:lang w:val="ru-RU"/>
        </w:rPr>
        <w:t>–</w:t>
      </w:r>
      <w:r w:rsidR="000A0C5D" w:rsidRPr="000A0C5D">
        <w:rPr>
          <w:lang w:val="ru-RU"/>
        </w:rPr>
        <w:t xml:space="preserve"> </w:t>
      </w:r>
      <w:r w:rsidR="000A0C5D">
        <w:rPr>
          <w:lang w:val="ru-RU"/>
        </w:rPr>
        <w:t xml:space="preserve">снижение пошлины в процентах, </w:t>
      </w:r>
      <w:r w:rsidR="000A0C5D">
        <w:rPr>
          <w:i/>
        </w:rPr>
        <w:t>ε</w:t>
      </w:r>
      <w:r w:rsidR="000A0C5D" w:rsidRPr="000A0C5D">
        <w:rPr>
          <w:lang w:val="ru-RU"/>
        </w:rPr>
        <w:t xml:space="preserve"> </w:t>
      </w:r>
      <w:r w:rsidR="000A0C5D">
        <w:rPr>
          <w:lang w:val="ru-RU"/>
        </w:rPr>
        <w:t>–</w:t>
      </w:r>
      <w:r w:rsidR="000A0C5D" w:rsidRPr="000A0C5D">
        <w:rPr>
          <w:lang w:val="ru-RU"/>
        </w:rPr>
        <w:t xml:space="preserve"> </w:t>
      </w:r>
      <w:r w:rsidR="000A0C5D">
        <w:rPr>
          <w:lang w:val="ru-RU"/>
        </w:rPr>
        <w:t>расчетный коэффициент эластичности</w:t>
      </w:r>
      <w:r w:rsidR="001D784D">
        <w:rPr>
          <w:lang w:val="ru-RU"/>
        </w:rPr>
        <w:t xml:space="preserve"> по пошлине и </w:t>
      </w:r>
      <w:r w:rsidR="001D784D">
        <w:rPr>
          <w:i/>
        </w:rPr>
        <w:t>a</w:t>
      </w:r>
      <w:r w:rsidR="001D784D" w:rsidRPr="001D784D">
        <w:rPr>
          <w:lang w:val="ru-RU"/>
        </w:rPr>
        <w:t xml:space="preserve"> </w:t>
      </w:r>
      <w:r w:rsidR="001D784D">
        <w:rPr>
          <w:lang w:val="ru-RU"/>
        </w:rPr>
        <w:t>–</w:t>
      </w:r>
      <w:r w:rsidR="001D784D" w:rsidRPr="001D784D">
        <w:rPr>
          <w:lang w:val="ru-RU"/>
        </w:rPr>
        <w:t xml:space="preserve"> </w:t>
      </w:r>
      <w:r w:rsidR="001D784D">
        <w:rPr>
          <w:lang w:val="ru-RU"/>
        </w:rPr>
        <w:t>средний размер пошлины</w:t>
      </w:r>
      <w:r w:rsidR="0062793A">
        <w:rPr>
          <w:lang w:val="ru-RU"/>
        </w:rPr>
        <w:t xml:space="preserve">.  Таким образом, потерю дохода </w:t>
      </w:r>
      <w:r w:rsidR="0062793A" w:rsidRPr="0062793A">
        <w:rPr>
          <w:lang w:val="ru-RU"/>
        </w:rPr>
        <w:t>в расчете на одну заявку</w:t>
      </w:r>
      <w:r w:rsidR="0062793A">
        <w:rPr>
          <w:lang w:val="ru-RU"/>
        </w:rPr>
        <w:t xml:space="preserve"> можно рассчитать по формуле </w:t>
      </w:r>
      <w:r w:rsidR="0062793A">
        <w:rPr>
          <w:i/>
        </w:rPr>
        <w:t>I</w:t>
      </w:r>
      <w:r w:rsidR="0062793A" w:rsidRPr="0062793A">
        <w:rPr>
          <w:lang w:val="ru-RU"/>
        </w:rPr>
        <w:t>/</w:t>
      </w:r>
      <w:r w:rsidR="0062793A">
        <w:rPr>
          <w:i/>
        </w:rPr>
        <w:t>X</w:t>
      </w:r>
      <w:r w:rsidR="0062793A" w:rsidRPr="0062793A">
        <w:rPr>
          <w:lang w:val="ru-RU"/>
        </w:rPr>
        <w:t>=</w:t>
      </w:r>
      <w:r w:rsidR="0062793A">
        <w:rPr>
          <w:i/>
        </w:rPr>
        <w:t>a</w:t>
      </w:r>
      <w:r w:rsidR="0062793A" w:rsidRPr="0062793A">
        <w:rPr>
          <w:lang w:val="ru-RU"/>
        </w:rPr>
        <w:t>*(1-(1-</w:t>
      </w:r>
      <w:r w:rsidR="0062793A">
        <w:rPr>
          <w:i/>
        </w:rPr>
        <w:t>f</w:t>
      </w:r>
      <w:r w:rsidR="0062793A" w:rsidRPr="0062793A">
        <w:rPr>
          <w:lang w:val="ru-RU"/>
        </w:rPr>
        <w:t>)*</w:t>
      </w:r>
      <w:r w:rsidR="0062793A" w:rsidRPr="0062793A">
        <w:rPr>
          <w:i/>
          <w:lang w:val="ru-RU"/>
        </w:rPr>
        <w:t xml:space="preserve"> </w:t>
      </w:r>
      <w:r w:rsidR="0062793A">
        <w:rPr>
          <w:i/>
        </w:rPr>
        <w:t>ε</w:t>
      </w:r>
      <w:r w:rsidR="0062793A" w:rsidRPr="0062793A">
        <w:rPr>
          <w:lang w:val="ru-RU"/>
        </w:rPr>
        <w:t>)/</w:t>
      </w:r>
      <w:r w:rsidR="0062793A" w:rsidRPr="0062793A">
        <w:rPr>
          <w:i/>
          <w:lang w:val="ru-RU"/>
        </w:rPr>
        <w:t xml:space="preserve"> </w:t>
      </w:r>
      <w:r w:rsidR="0062793A">
        <w:rPr>
          <w:i/>
        </w:rPr>
        <w:t>ε</w:t>
      </w:r>
      <w:r w:rsidR="0062793A" w:rsidRPr="0062793A">
        <w:rPr>
          <w:lang w:val="ru-RU"/>
        </w:rPr>
        <w:t xml:space="preserve">, </w:t>
      </w:r>
      <w:r w:rsidR="0062793A">
        <w:rPr>
          <w:lang w:val="ru-RU"/>
        </w:rPr>
        <w:t xml:space="preserve">из которой видно, что данная потеря дохода не зависит от </w:t>
      </w:r>
      <w:r w:rsidR="0062793A">
        <w:rPr>
          <w:i/>
        </w:rPr>
        <w:t>E</w:t>
      </w:r>
      <w:r w:rsidR="0062793A">
        <w:rPr>
          <w:lang w:val="ru-RU"/>
        </w:rPr>
        <w:t>, т.е. числа заявок, отвечающих критериям для получения скидки</w:t>
      </w:r>
      <w:r w:rsidRPr="0062793A">
        <w:rPr>
          <w:lang w:val="ru-RU"/>
        </w:rPr>
        <w:t>.</w:t>
      </w:r>
    </w:p>
  </w:footnote>
  <w:footnote w:id="8">
    <w:p w:rsidR="009B43E4" w:rsidRPr="0062793A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793A">
        <w:rPr>
          <w:lang w:val="ru-RU"/>
        </w:rPr>
        <w:t xml:space="preserve"> </w:t>
      </w:r>
      <w:r w:rsidRPr="0062793A">
        <w:rPr>
          <w:lang w:val="ru-RU"/>
        </w:rPr>
        <w:tab/>
      </w:r>
      <w:r w:rsidR="0062793A">
        <w:rPr>
          <w:lang w:val="ru-RU"/>
        </w:rPr>
        <w:t xml:space="preserve">Как было показано в предыдущей сноске, потеря дохода </w:t>
      </w:r>
      <w:r w:rsidR="0062793A" w:rsidRPr="0062793A">
        <w:rPr>
          <w:lang w:val="ru-RU"/>
        </w:rPr>
        <w:t>в расчете на одну заявку</w:t>
      </w:r>
      <w:r w:rsidR="0062793A">
        <w:rPr>
          <w:lang w:val="ru-RU"/>
        </w:rPr>
        <w:t xml:space="preserve"> зависит от средней пошлины, принятой в базовом сценарии, и значения коэффициента эластичности.  </w:t>
      </w:r>
      <w:r w:rsidR="0062793A">
        <w:rPr>
          <w:lang w:val="ru-RU"/>
        </w:rPr>
        <w:t>Поскольку средний размер пошлины для двух групп стран является схожим, главное различие в суммах потери дохода обусловлено значениями коэффициента эластичности</w:t>
      </w:r>
      <w:r w:rsidRPr="0062793A">
        <w:rPr>
          <w:lang w:val="ru-RU"/>
        </w:rPr>
        <w:t>.</w:t>
      </w:r>
    </w:p>
  </w:footnote>
  <w:footnote w:id="9">
    <w:p w:rsidR="009B43E4" w:rsidRPr="00982E9E" w:rsidRDefault="009B43E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2E9E">
        <w:rPr>
          <w:lang w:val="ru-RU"/>
        </w:rPr>
        <w:t xml:space="preserve"> </w:t>
      </w:r>
      <w:r w:rsidRPr="00982E9E">
        <w:rPr>
          <w:lang w:val="ru-RU"/>
        </w:rPr>
        <w:tab/>
      </w:r>
      <w:r w:rsidR="00982E9E">
        <w:rPr>
          <w:lang w:val="ru-RU"/>
        </w:rPr>
        <w:t>Как</w:t>
      </w:r>
      <w:r w:rsidR="00982E9E" w:rsidRPr="00982E9E">
        <w:rPr>
          <w:lang w:val="ru-RU"/>
        </w:rPr>
        <w:t xml:space="preserve"> </w:t>
      </w:r>
      <w:r w:rsidR="00982E9E">
        <w:rPr>
          <w:lang w:val="ru-RU"/>
        </w:rPr>
        <w:t>было</w:t>
      </w:r>
      <w:r w:rsidR="00982E9E" w:rsidRPr="00982E9E">
        <w:rPr>
          <w:lang w:val="ru-RU"/>
        </w:rPr>
        <w:t xml:space="preserve"> </w:t>
      </w:r>
      <w:r w:rsidR="00982E9E">
        <w:rPr>
          <w:lang w:val="ru-RU"/>
        </w:rPr>
        <w:t>указано</w:t>
      </w:r>
      <w:r w:rsidR="00982E9E" w:rsidRPr="00982E9E">
        <w:rPr>
          <w:lang w:val="ru-RU"/>
        </w:rPr>
        <w:t xml:space="preserve"> </w:t>
      </w:r>
      <w:r w:rsidR="00982E9E">
        <w:rPr>
          <w:lang w:val="ru-RU"/>
        </w:rPr>
        <w:t>в</w:t>
      </w:r>
      <w:r w:rsidR="00982E9E" w:rsidRPr="00982E9E">
        <w:rPr>
          <w:lang w:val="ru-RU"/>
        </w:rPr>
        <w:t xml:space="preserve"> </w:t>
      </w:r>
      <w:r w:rsidR="00982E9E">
        <w:rPr>
          <w:lang w:val="ru-RU"/>
        </w:rPr>
        <w:t>документе</w:t>
      </w:r>
      <w:r w:rsidR="00982E9E" w:rsidRPr="00982E9E">
        <w:rPr>
          <w:lang w:val="ru-RU"/>
        </w:rPr>
        <w:t xml:space="preserve"> </w:t>
      </w:r>
      <w:r>
        <w:t>PCT</w:t>
      </w:r>
      <w:r w:rsidRPr="00982E9E">
        <w:rPr>
          <w:lang w:val="ru-RU"/>
        </w:rPr>
        <w:t>/</w:t>
      </w:r>
      <w:r>
        <w:t>WG</w:t>
      </w:r>
      <w:r w:rsidRPr="00982E9E">
        <w:rPr>
          <w:lang w:val="ru-RU"/>
        </w:rPr>
        <w:t xml:space="preserve">/8/11, </w:t>
      </w:r>
      <w:r w:rsidR="00982E9E">
        <w:rPr>
          <w:lang w:val="ru-RU"/>
        </w:rPr>
        <w:t xml:space="preserve">еще одно ограничение связано с тем, что </w:t>
      </w:r>
      <w:r w:rsidR="00982E9E" w:rsidRPr="00982E9E">
        <w:rPr>
          <w:lang w:val="ru-RU"/>
        </w:rPr>
        <w:t>эконометрическая модель</w:t>
      </w:r>
      <w:r w:rsidR="00982E9E">
        <w:rPr>
          <w:lang w:val="ru-RU"/>
        </w:rPr>
        <w:t>,</w:t>
      </w:r>
      <w:r w:rsidR="00982E9E" w:rsidRPr="00982E9E">
        <w:rPr>
          <w:lang w:val="ru-RU"/>
        </w:rPr>
        <w:t xml:space="preserve"> </w:t>
      </w:r>
      <w:r w:rsidR="00982E9E">
        <w:rPr>
          <w:lang w:val="ru-RU"/>
        </w:rPr>
        <w:t xml:space="preserve">лежащая в основе расчетов эластичности по пошлине, </w:t>
      </w:r>
      <w:r w:rsidR="00982E9E" w:rsidRPr="00982E9E">
        <w:rPr>
          <w:lang w:val="ru-RU"/>
        </w:rPr>
        <w:t>основана на выборе заявителей между процедурой Парижской конвенции и процедурой PCT для подачи международных патентных заявок</w:t>
      </w:r>
      <w:r w:rsidR="00982E9E">
        <w:rPr>
          <w:lang w:val="ru-RU"/>
        </w:rPr>
        <w:t xml:space="preserve">;  при этом игнорируется то обстоятельство, что размер пошлины </w:t>
      </w:r>
      <w:r w:rsidR="00982E9E">
        <w:t>PCT</w:t>
      </w:r>
      <w:r w:rsidR="00982E9E">
        <w:rPr>
          <w:lang w:val="ru-RU"/>
        </w:rPr>
        <w:t xml:space="preserve"> может изначально влиять на решение заявителя, </w:t>
      </w:r>
      <w:r w:rsidR="00982E9E" w:rsidRPr="00982E9E">
        <w:rPr>
          <w:lang w:val="ru-RU"/>
        </w:rPr>
        <w:t>подавать ли вообще международную патентную заявку</w:t>
      </w:r>
      <w:r w:rsidRPr="00982E9E">
        <w:rPr>
          <w:lang w:val="ru-RU"/>
        </w:rPr>
        <w:t>.</w:t>
      </w:r>
      <w:r w:rsidR="00982E9E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4" w:rsidRDefault="009B43E4" w:rsidP="00E74A2A">
    <w:pPr>
      <w:pStyle w:val="Header"/>
      <w:jc w:val="right"/>
    </w:pPr>
    <w:r>
      <w:t>PCT/WG/10/2</w:t>
    </w:r>
  </w:p>
  <w:p w:rsidR="009B43E4" w:rsidRDefault="009B43E4" w:rsidP="00E74A2A">
    <w:pPr>
      <w:pStyle w:val="Header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F06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4" w:rsidRDefault="009B43E4" w:rsidP="00477D6B">
    <w:pPr>
      <w:jc w:val="right"/>
    </w:pPr>
    <w:bookmarkStart w:id="7" w:name="Code2"/>
    <w:bookmarkEnd w:id="7"/>
    <w:r>
      <w:t>PCT/WG/10/2</w:t>
    </w:r>
  </w:p>
  <w:p w:rsidR="009B43E4" w:rsidRDefault="005161DD" w:rsidP="00477D6B">
    <w:pPr>
      <w:jc w:val="right"/>
    </w:pPr>
    <w:r>
      <w:rPr>
        <w:lang w:val="ru-RU"/>
      </w:rPr>
      <w:t>стр.</w:t>
    </w:r>
    <w:r w:rsidR="009B43E4">
      <w:t xml:space="preserve"> </w:t>
    </w:r>
    <w:r w:rsidR="009B43E4">
      <w:fldChar w:fldCharType="begin"/>
    </w:r>
    <w:r w:rsidR="009B43E4">
      <w:instrText xml:space="preserve"> PAGE  \* MERGEFORMAT </w:instrText>
    </w:r>
    <w:r w:rsidR="009B43E4">
      <w:fldChar w:fldCharType="separate"/>
    </w:r>
    <w:r w:rsidR="005F0609">
      <w:rPr>
        <w:noProof/>
      </w:rPr>
      <w:t>10</w:t>
    </w:r>
    <w:r w:rsidR="009B43E4">
      <w:fldChar w:fldCharType="end"/>
    </w:r>
  </w:p>
  <w:p w:rsidR="009B43E4" w:rsidRDefault="009B43E4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E4" w:rsidRDefault="009B43E4" w:rsidP="00E74A2A">
    <w:pPr>
      <w:pStyle w:val="Header"/>
      <w:jc w:val="right"/>
    </w:pPr>
    <w:r>
      <w:t>PCT/WG/10/2</w:t>
    </w:r>
  </w:p>
  <w:p w:rsidR="009B43E4" w:rsidRDefault="00A87BAD" w:rsidP="00E74A2A">
    <w:pPr>
      <w:pStyle w:val="Header"/>
      <w:jc w:val="right"/>
    </w:pPr>
    <w:r>
      <w:rPr>
        <w:lang w:val="ru-RU"/>
      </w:rPr>
      <w:t>стр.</w:t>
    </w:r>
    <w:r w:rsidR="009B43E4">
      <w:t xml:space="preserve"> </w:t>
    </w:r>
    <w:r w:rsidR="009B43E4">
      <w:fldChar w:fldCharType="begin"/>
    </w:r>
    <w:r w:rsidR="009B43E4">
      <w:instrText xml:space="preserve"> PAGE   \* MERGEFORMAT </w:instrText>
    </w:r>
    <w:r w:rsidR="009B43E4">
      <w:fldChar w:fldCharType="separate"/>
    </w:r>
    <w:r w:rsidR="005F0609">
      <w:rPr>
        <w:noProof/>
      </w:rPr>
      <w:t>9</w:t>
    </w:r>
    <w:r w:rsidR="009B43E4">
      <w:rPr>
        <w:noProof/>
      </w:rPr>
      <w:fldChar w:fldCharType="end"/>
    </w:r>
  </w:p>
  <w:p w:rsidR="009B43E4" w:rsidRDefault="009B4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7A60D81"/>
    <w:multiLevelType w:val="hybridMultilevel"/>
    <w:tmpl w:val="6ED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Hague|TextBase TMs\WorkspaceRTS\Brands, Designs &amp; DN\Hague_Inst|TextBase TMs\WorkspaceRTS\Brands, Designs &amp; DN\Legacy_Brands|TextBase TMs\WorkspaceRTS\Brands, Designs &amp; DN\Lisbon|TextBase TMs\WorkspaceRTS\Brands, Designs &amp; DN\Lisbon_Inst|TextBase TMs\WorkspaceRTS\Brands, Designs &amp; DN\SCT|TextBase TMs\WorkspaceRTS\Brands, Designs &amp; DN\Trademarks|TextBase TMs\WorkspaceRTS\Brands, Designs &amp; DN\Trademarks_Inst|TextBase TMs\WorkspaceRTS\Copyright\Copyright Instruments|TextBase TMs\WorkspaceRTS\Copyright\Copyright_General|TextBase TMs\WorkspaceRTS\Copyright\Copyright_Main|TextBase TMs\WorkspaceRTS\Copyright\Legacy_Copyright|TextBase TMs\WorkspaceRTS\Development\Development|TextBase TMs\WorkspaceRTS\GRTKF\GRTKF|TextBase TMs\WorkspaceRTS\Patents &amp; Innovation\Legacy_Patents|TextBase TMs\WorkspaceRTS\Patents &amp; Innovation\Patents_Inst|TextBase TMs\WorkspaceRTS\Patents &amp; Innovation\Patents_Main|TextBase TMs\WorkspaceRTS\Administration &amp; Finance\Admin Main|TextBase TMs\WorkspaceRTS\Administration &amp; Finance\Budget|TextBase TMs\WorkspaceRTS\Administration &amp; Finance\FRR|TextBase TMs\WorkspaceRTS\Administration &amp; Finance\Legacy_Admin|TextBase TMs\WorkspaceRTS\Administration &amp; Finance\Legacy_Budget|TextBase TMs\WorkspaceRTS\Administration &amp; Finance\PBC|TextBase TMs\WorkspaceRTS\Administration &amp; Finance\SRR"/>
    <w:docVar w:name="TextBaseURL" w:val="empty"/>
    <w:docVar w:name="UILng" w:val="en"/>
  </w:docVars>
  <w:rsids>
    <w:rsidRoot w:val="002154B1"/>
    <w:rsid w:val="000053D6"/>
    <w:rsid w:val="000276D2"/>
    <w:rsid w:val="00040ADC"/>
    <w:rsid w:val="00043CAA"/>
    <w:rsid w:val="00047921"/>
    <w:rsid w:val="00075432"/>
    <w:rsid w:val="000968ED"/>
    <w:rsid w:val="000A0C5D"/>
    <w:rsid w:val="000C519D"/>
    <w:rsid w:val="000F5E56"/>
    <w:rsid w:val="001053BC"/>
    <w:rsid w:val="001345DA"/>
    <w:rsid w:val="0013531F"/>
    <w:rsid w:val="001362EE"/>
    <w:rsid w:val="00140E80"/>
    <w:rsid w:val="00145D04"/>
    <w:rsid w:val="001759BB"/>
    <w:rsid w:val="00177EAA"/>
    <w:rsid w:val="00182C14"/>
    <w:rsid w:val="001832A6"/>
    <w:rsid w:val="001A5F5B"/>
    <w:rsid w:val="001B214A"/>
    <w:rsid w:val="001C0201"/>
    <w:rsid w:val="001D784D"/>
    <w:rsid w:val="002154B1"/>
    <w:rsid w:val="00227C2A"/>
    <w:rsid w:val="002634C4"/>
    <w:rsid w:val="002924F1"/>
    <w:rsid w:val="002928D3"/>
    <w:rsid w:val="00292CCA"/>
    <w:rsid w:val="002B39EA"/>
    <w:rsid w:val="002B6FEC"/>
    <w:rsid w:val="002C533A"/>
    <w:rsid w:val="002F1FE6"/>
    <w:rsid w:val="002F4E68"/>
    <w:rsid w:val="002F517C"/>
    <w:rsid w:val="00312F7F"/>
    <w:rsid w:val="0031541F"/>
    <w:rsid w:val="003317F9"/>
    <w:rsid w:val="00361450"/>
    <w:rsid w:val="003673CF"/>
    <w:rsid w:val="003845C1"/>
    <w:rsid w:val="003A6F89"/>
    <w:rsid w:val="003B38C1"/>
    <w:rsid w:val="003C3AD7"/>
    <w:rsid w:val="003C7413"/>
    <w:rsid w:val="003F0F8D"/>
    <w:rsid w:val="004040A4"/>
    <w:rsid w:val="00404407"/>
    <w:rsid w:val="00404F37"/>
    <w:rsid w:val="00423E3E"/>
    <w:rsid w:val="00427AF4"/>
    <w:rsid w:val="00434E46"/>
    <w:rsid w:val="00452567"/>
    <w:rsid w:val="004647DA"/>
    <w:rsid w:val="00466EC2"/>
    <w:rsid w:val="00474062"/>
    <w:rsid w:val="00474915"/>
    <w:rsid w:val="00477D6B"/>
    <w:rsid w:val="004A3A46"/>
    <w:rsid w:val="004B08C2"/>
    <w:rsid w:val="004D4F3D"/>
    <w:rsid w:val="004E7E9B"/>
    <w:rsid w:val="004F1CCF"/>
    <w:rsid w:val="005019FF"/>
    <w:rsid w:val="00505EE8"/>
    <w:rsid w:val="005161DD"/>
    <w:rsid w:val="00520B18"/>
    <w:rsid w:val="0052162A"/>
    <w:rsid w:val="0053057A"/>
    <w:rsid w:val="0055420A"/>
    <w:rsid w:val="00557D26"/>
    <w:rsid w:val="00560A29"/>
    <w:rsid w:val="00563AD8"/>
    <w:rsid w:val="00584187"/>
    <w:rsid w:val="005C6649"/>
    <w:rsid w:val="005D1E37"/>
    <w:rsid w:val="005F0609"/>
    <w:rsid w:val="00605827"/>
    <w:rsid w:val="00617A66"/>
    <w:rsid w:val="0062793A"/>
    <w:rsid w:val="00646050"/>
    <w:rsid w:val="006713CA"/>
    <w:rsid w:val="006732D2"/>
    <w:rsid w:val="00676C5C"/>
    <w:rsid w:val="006A7D5D"/>
    <w:rsid w:val="006B4AAB"/>
    <w:rsid w:val="006D741A"/>
    <w:rsid w:val="006F17FC"/>
    <w:rsid w:val="00733887"/>
    <w:rsid w:val="00737483"/>
    <w:rsid w:val="007548C2"/>
    <w:rsid w:val="00765B9A"/>
    <w:rsid w:val="007B23DA"/>
    <w:rsid w:val="007D1613"/>
    <w:rsid w:val="007D4DB8"/>
    <w:rsid w:val="007F0410"/>
    <w:rsid w:val="008473DF"/>
    <w:rsid w:val="00854327"/>
    <w:rsid w:val="00855DC9"/>
    <w:rsid w:val="00855ECD"/>
    <w:rsid w:val="0086046C"/>
    <w:rsid w:val="008813A4"/>
    <w:rsid w:val="0089335A"/>
    <w:rsid w:val="008A1469"/>
    <w:rsid w:val="008B05FB"/>
    <w:rsid w:val="008B2CC1"/>
    <w:rsid w:val="008B60B2"/>
    <w:rsid w:val="0090731E"/>
    <w:rsid w:val="009150FA"/>
    <w:rsid w:val="00916EE2"/>
    <w:rsid w:val="0094202A"/>
    <w:rsid w:val="00966A22"/>
    <w:rsid w:val="0096722F"/>
    <w:rsid w:val="0097433F"/>
    <w:rsid w:val="00980843"/>
    <w:rsid w:val="00982E9E"/>
    <w:rsid w:val="009B43E4"/>
    <w:rsid w:val="009E2791"/>
    <w:rsid w:val="009E3F6F"/>
    <w:rsid w:val="009F499F"/>
    <w:rsid w:val="00A42DAF"/>
    <w:rsid w:val="00A45BD8"/>
    <w:rsid w:val="00A65C60"/>
    <w:rsid w:val="00A83B23"/>
    <w:rsid w:val="00A869B7"/>
    <w:rsid w:val="00A87BAD"/>
    <w:rsid w:val="00A93633"/>
    <w:rsid w:val="00AA19A9"/>
    <w:rsid w:val="00AC205C"/>
    <w:rsid w:val="00AE294B"/>
    <w:rsid w:val="00AE5E86"/>
    <w:rsid w:val="00AE7A9D"/>
    <w:rsid w:val="00AF0A6B"/>
    <w:rsid w:val="00B05A69"/>
    <w:rsid w:val="00B06565"/>
    <w:rsid w:val="00B61B41"/>
    <w:rsid w:val="00B629D9"/>
    <w:rsid w:val="00B9734B"/>
    <w:rsid w:val="00BC454E"/>
    <w:rsid w:val="00BD3406"/>
    <w:rsid w:val="00BE177C"/>
    <w:rsid w:val="00BF0061"/>
    <w:rsid w:val="00C11BFE"/>
    <w:rsid w:val="00C539EF"/>
    <w:rsid w:val="00C56A6C"/>
    <w:rsid w:val="00C56FDC"/>
    <w:rsid w:val="00C74E34"/>
    <w:rsid w:val="00CC6438"/>
    <w:rsid w:val="00CC7C85"/>
    <w:rsid w:val="00CE5327"/>
    <w:rsid w:val="00D07D8C"/>
    <w:rsid w:val="00D45252"/>
    <w:rsid w:val="00D71B4D"/>
    <w:rsid w:val="00D93D55"/>
    <w:rsid w:val="00DC009E"/>
    <w:rsid w:val="00DE12C2"/>
    <w:rsid w:val="00E141C5"/>
    <w:rsid w:val="00E31013"/>
    <w:rsid w:val="00E335FE"/>
    <w:rsid w:val="00E450B4"/>
    <w:rsid w:val="00E74A2A"/>
    <w:rsid w:val="00E95543"/>
    <w:rsid w:val="00E960EC"/>
    <w:rsid w:val="00EB5CA8"/>
    <w:rsid w:val="00EC4E49"/>
    <w:rsid w:val="00ED3BB7"/>
    <w:rsid w:val="00ED77FB"/>
    <w:rsid w:val="00EE45FA"/>
    <w:rsid w:val="00F24840"/>
    <w:rsid w:val="00F462AC"/>
    <w:rsid w:val="00F5066D"/>
    <w:rsid w:val="00F66152"/>
    <w:rsid w:val="00F718C6"/>
    <w:rsid w:val="00F80FD6"/>
    <w:rsid w:val="00FA61F8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2B6FE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227C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8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F8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93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2B6FE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227C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08C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0F8D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893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Wipogvafs01\DAT2\ORGLAN\SHARED\LANR\Pivovarov\pct_wg_10_2_41198_tables_R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103086008930431E-2"/>
          <c:y val="0.10593008804845902"/>
          <c:w val="0.81813269196721183"/>
          <c:h val="0.7697256093124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1a'!$A$4</c:f>
              <c:strCache>
                <c:ptCount val="1"/>
                <c:pt idx="0">
                  <c:v>2011 г.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cat>
            <c:strRef>
              <c:f>'Table 1a'!$B$3:$G$3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1a'!$B$4:$G$4</c:f>
              <c:numCache>
                <c:formatCode>General</c:formatCode>
                <c:ptCount val="6"/>
                <c:pt idx="0">
                  <c:v>292</c:v>
                </c:pt>
                <c:pt idx="1">
                  <c:v>132</c:v>
                </c:pt>
                <c:pt idx="2">
                  <c:v>86</c:v>
                </c:pt>
                <c:pt idx="3">
                  <c:v>59</c:v>
                </c:pt>
                <c:pt idx="4">
                  <c:v>51</c:v>
                </c:pt>
                <c:pt idx="5">
                  <c:v>326</c:v>
                </c:pt>
              </c:numCache>
            </c:numRef>
          </c:val>
        </c:ser>
        <c:ser>
          <c:idx val="1"/>
          <c:order val="1"/>
          <c:tx>
            <c:strRef>
              <c:f>'Table 1a'!$A$5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'Table 1a'!$B$3:$G$3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1a'!$B$5:$G$5</c:f>
              <c:numCache>
                <c:formatCode>General</c:formatCode>
                <c:ptCount val="6"/>
                <c:pt idx="0">
                  <c:v>315</c:v>
                </c:pt>
                <c:pt idx="1">
                  <c:v>115</c:v>
                </c:pt>
                <c:pt idx="2">
                  <c:v>83</c:v>
                </c:pt>
                <c:pt idx="3">
                  <c:v>58</c:v>
                </c:pt>
                <c:pt idx="4">
                  <c:v>50</c:v>
                </c:pt>
                <c:pt idx="5">
                  <c:v>358</c:v>
                </c:pt>
              </c:numCache>
            </c:numRef>
          </c:val>
        </c:ser>
        <c:ser>
          <c:idx val="2"/>
          <c:order val="2"/>
          <c:tx>
            <c:strRef>
              <c:f>'Table 1a'!$A$6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'Table 1a'!$B$3:$G$3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1a'!$B$6:$G$6</c:f>
              <c:numCache>
                <c:formatCode>General</c:formatCode>
                <c:ptCount val="6"/>
                <c:pt idx="0">
                  <c:v>295</c:v>
                </c:pt>
                <c:pt idx="1">
                  <c:v>136</c:v>
                </c:pt>
                <c:pt idx="2">
                  <c:v>84</c:v>
                </c:pt>
                <c:pt idx="3">
                  <c:v>57</c:v>
                </c:pt>
                <c:pt idx="4">
                  <c:v>51</c:v>
                </c:pt>
                <c:pt idx="5">
                  <c:v>344</c:v>
                </c:pt>
              </c:numCache>
            </c:numRef>
          </c:val>
        </c:ser>
        <c:ser>
          <c:idx val="3"/>
          <c:order val="3"/>
          <c:tx>
            <c:strRef>
              <c:f>'Table 1a'!$A$7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'Table 1a'!$B$3:$G$3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1a'!$B$7:$G$7</c:f>
              <c:numCache>
                <c:formatCode>General</c:formatCode>
                <c:ptCount val="6"/>
                <c:pt idx="0">
                  <c:v>290</c:v>
                </c:pt>
                <c:pt idx="1">
                  <c:v>115</c:v>
                </c:pt>
                <c:pt idx="2">
                  <c:v>101</c:v>
                </c:pt>
                <c:pt idx="3">
                  <c:v>68</c:v>
                </c:pt>
                <c:pt idx="4">
                  <c:v>50</c:v>
                </c:pt>
                <c:pt idx="5">
                  <c:v>334</c:v>
                </c:pt>
              </c:numCache>
            </c:numRef>
          </c:val>
        </c:ser>
        <c:ser>
          <c:idx val="4"/>
          <c:order val="4"/>
          <c:tx>
            <c:strRef>
              <c:f>'Table 1a'!$A$8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'Table 1a'!$B$3:$G$3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1a'!$B$8:$G$8</c:f>
              <c:numCache>
                <c:formatCode>General</c:formatCode>
                <c:ptCount val="6"/>
                <c:pt idx="0">
                  <c:v>257</c:v>
                </c:pt>
                <c:pt idx="1">
                  <c:v>132</c:v>
                </c:pt>
                <c:pt idx="2">
                  <c:v>90</c:v>
                </c:pt>
                <c:pt idx="3">
                  <c:v>60</c:v>
                </c:pt>
                <c:pt idx="4">
                  <c:v>46</c:v>
                </c:pt>
                <c:pt idx="5">
                  <c:v>345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539136"/>
        <c:axId val="158545792"/>
      </c:barChart>
      <c:catAx>
        <c:axId val="158539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545792"/>
        <c:crosses val="autoZero"/>
        <c:auto val="1"/>
        <c:lblAlgn val="ctr"/>
        <c:lblOffset val="100"/>
        <c:noMultiLvlLbl val="0"/>
      </c:catAx>
      <c:valAx>
        <c:axId val="15854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539136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68889116133207E-2"/>
          <c:y val="0.10660474719079975"/>
          <c:w val="0.81547550874322527"/>
          <c:h val="0.76145479165336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1a'!$A$13</c:f>
              <c:strCache>
                <c:ptCount val="1"/>
                <c:pt idx="0">
                  <c:v>2011 г.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'Table 1a'!$B$12:$G$12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1a'!$B$13:$G$13</c:f>
              <c:numCache>
                <c:formatCode>General</c:formatCode>
                <c:ptCount val="6"/>
                <c:pt idx="0">
                  <c:v>620</c:v>
                </c:pt>
                <c:pt idx="1">
                  <c:v>130</c:v>
                </c:pt>
                <c:pt idx="2">
                  <c:v>53</c:v>
                </c:pt>
                <c:pt idx="3">
                  <c:v>40</c:v>
                </c:pt>
                <c:pt idx="4">
                  <c:v>30</c:v>
                </c:pt>
                <c:pt idx="5">
                  <c:v>73</c:v>
                </c:pt>
              </c:numCache>
            </c:numRef>
          </c:val>
        </c:ser>
        <c:ser>
          <c:idx val="1"/>
          <c:order val="1"/>
          <c:tx>
            <c:strRef>
              <c:f>'Table 1a'!$A$14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'Table 1a'!$B$12:$G$12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1a'!$B$14:$G$14</c:f>
              <c:numCache>
                <c:formatCode>General</c:formatCode>
                <c:ptCount val="6"/>
                <c:pt idx="0">
                  <c:v>621</c:v>
                </c:pt>
                <c:pt idx="1">
                  <c:v>150</c:v>
                </c:pt>
                <c:pt idx="2">
                  <c:v>67</c:v>
                </c:pt>
                <c:pt idx="3">
                  <c:v>32</c:v>
                </c:pt>
                <c:pt idx="4">
                  <c:v>34</c:v>
                </c:pt>
                <c:pt idx="5">
                  <c:v>75</c:v>
                </c:pt>
              </c:numCache>
            </c:numRef>
          </c:val>
        </c:ser>
        <c:ser>
          <c:idx val="2"/>
          <c:order val="2"/>
          <c:tx>
            <c:strRef>
              <c:f>'Table 1a'!$A$15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'Table 1a'!$B$12:$G$12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1a'!$B$15:$G$15</c:f>
              <c:numCache>
                <c:formatCode>General</c:formatCode>
                <c:ptCount val="6"/>
                <c:pt idx="0">
                  <c:v>623</c:v>
                </c:pt>
                <c:pt idx="1">
                  <c:v>153</c:v>
                </c:pt>
                <c:pt idx="2">
                  <c:v>54</c:v>
                </c:pt>
                <c:pt idx="3">
                  <c:v>39</c:v>
                </c:pt>
                <c:pt idx="4">
                  <c:v>25</c:v>
                </c:pt>
                <c:pt idx="5">
                  <c:v>73</c:v>
                </c:pt>
              </c:numCache>
            </c:numRef>
          </c:val>
        </c:ser>
        <c:ser>
          <c:idx val="3"/>
          <c:order val="3"/>
          <c:tx>
            <c:strRef>
              <c:f>'Table 1a'!$A$16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'Table 1a'!$B$12:$G$12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1a'!$B$16:$G$16</c:f>
              <c:numCache>
                <c:formatCode>General</c:formatCode>
                <c:ptCount val="6"/>
                <c:pt idx="0">
                  <c:v>624</c:v>
                </c:pt>
                <c:pt idx="1">
                  <c:v>128</c:v>
                </c:pt>
                <c:pt idx="2">
                  <c:v>60</c:v>
                </c:pt>
                <c:pt idx="3">
                  <c:v>43</c:v>
                </c:pt>
                <c:pt idx="4">
                  <c:v>31</c:v>
                </c:pt>
                <c:pt idx="5">
                  <c:v>72</c:v>
                </c:pt>
              </c:numCache>
            </c:numRef>
          </c:val>
        </c:ser>
        <c:ser>
          <c:idx val="4"/>
          <c:order val="4"/>
          <c:tx>
            <c:strRef>
              <c:f>'Table 1a'!$A$17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'Table 1a'!$B$12:$G$12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1a'!$B$17:$G$17</c:f>
              <c:numCache>
                <c:formatCode>General</c:formatCode>
                <c:ptCount val="6"/>
                <c:pt idx="0">
                  <c:v>585</c:v>
                </c:pt>
                <c:pt idx="1">
                  <c:v>137</c:v>
                </c:pt>
                <c:pt idx="2">
                  <c:v>66</c:v>
                </c:pt>
                <c:pt idx="3">
                  <c:v>33</c:v>
                </c:pt>
                <c:pt idx="4">
                  <c:v>25</c:v>
                </c:pt>
                <c:pt idx="5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938816"/>
        <c:axId val="166443264"/>
      </c:barChart>
      <c:catAx>
        <c:axId val="1619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443264"/>
        <c:crosses val="autoZero"/>
        <c:auto val="1"/>
        <c:lblAlgn val="ctr"/>
        <c:lblOffset val="100"/>
        <c:noMultiLvlLbl val="0"/>
      </c:catAx>
      <c:valAx>
        <c:axId val="16644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938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103086008930431E-2"/>
          <c:y val="0.10593008804845902"/>
          <c:w val="0.81813269196721183"/>
          <c:h val="0.769725609312495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1b'!$A$4</c:f>
              <c:strCache>
                <c:ptCount val="1"/>
                <c:pt idx="0">
                  <c:v>2011 г.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cat>
            <c:strRef>
              <c:f>'Table 1b'!$B$3:$G$3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1b'!$B$4:$G$4</c:f>
              <c:numCache>
                <c:formatCode>General</c:formatCode>
                <c:ptCount val="6"/>
                <c:pt idx="0">
                  <c:v>145</c:v>
                </c:pt>
                <c:pt idx="1">
                  <c:v>38</c:v>
                </c:pt>
                <c:pt idx="2">
                  <c:v>26</c:v>
                </c:pt>
                <c:pt idx="3">
                  <c:v>18</c:v>
                </c:pt>
                <c:pt idx="4">
                  <c:v>12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'Table 1b'!$A$5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'Table 1b'!$B$3:$G$3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1b'!$B$5:$G$5</c:f>
              <c:numCache>
                <c:formatCode>General</c:formatCode>
                <c:ptCount val="6"/>
                <c:pt idx="0">
                  <c:v>147</c:v>
                </c:pt>
                <c:pt idx="1">
                  <c:v>55</c:v>
                </c:pt>
                <c:pt idx="2">
                  <c:v>18</c:v>
                </c:pt>
                <c:pt idx="3">
                  <c:v>19</c:v>
                </c:pt>
                <c:pt idx="4">
                  <c:v>9</c:v>
                </c:pt>
                <c:pt idx="5">
                  <c:v>51</c:v>
                </c:pt>
              </c:numCache>
            </c:numRef>
          </c:val>
        </c:ser>
        <c:ser>
          <c:idx val="2"/>
          <c:order val="2"/>
          <c:tx>
            <c:strRef>
              <c:f>'Table 1b'!$A$6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'Table 1b'!$B$3:$G$3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1b'!$B$6:$G$6</c:f>
              <c:numCache>
                <c:formatCode>General</c:formatCode>
                <c:ptCount val="6"/>
                <c:pt idx="0">
                  <c:v>133</c:v>
                </c:pt>
                <c:pt idx="1">
                  <c:v>50</c:v>
                </c:pt>
                <c:pt idx="2">
                  <c:v>24</c:v>
                </c:pt>
                <c:pt idx="3">
                  <c:v>17</c:v>
                </c:pt>
                <c:pt idx="4">
                  <c:v>17</c:v>
                </c:pt>
                <c:pt idx="5">
                  <c:v>55</c:v>
                </c:pt>
              </c:numCache>
            </c:numRef>
          </c:val>
        </c:ser>
        <c:ser>
          <c:idx val="3"/>
          <c:order val="3"/>
          <c:tx>
            <c:strRef>
              <c:f>'Table 1b'!$A$7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'Table 1b'!$B$3:$G$3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1b'!$B$7:$G$7</c:f>
              <c:numCache>
                <c:formatCode>General</c:formatCode>
                <c:ptCount val="6"/>
                <c:pt idx="0">
                  <c:v>133</c:v>
                </c:pt>
                <c:pt idx="1">
                  <c:v>46</c:v>
                </c:pt>
                <c:pt idx="2">
                  <c:v>31</c:v>
                </c:pt>
                <c:pt idx="3">
                  <c:v>21</c:v>
                </c:pt>
                <c:pt idx="4">
                  <c:v>5</c:v>
                </c:pt>
                <c:pt idx="5">
                  <c:v>72</c:v>
                </c:pt>
              </c:numCache>
            </c:numRef>
          </c:val>
        </c:ser>
        <c:ser>
          <c:idx val="4"/>
          <c:order val="4"/>
          <c:tx>
            <c:strRef>
              <c:f>'Table 1b'!$A$8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'Table 1b'!$B$3:$G$3</c:f>
              <c:strCache>
                <c:ptCount val="6"/>
                <c:pt idx="0">
                  <c:v>1 заявка</c:v>
                </c:pt>
                <c:pt idx="1">
                  <c:v>2 заявки</c:v>
                </c:pt>
                <c:pt idx="2">
                  <c:v>3 заявки</c:v>
                </c:pt>
                <c:pt idx="3">
                  <c:v>4 заявки</c:v>
                </c:pt>
                <c:pt idx="4">
                  <c:v>5 заявок</c:v>
                </c:pt>
                <c:pt idx="5">
                  <c:v>6 и более заявок</c:v>
                </c:pt>
              </c:strCache>
            </c:strRef>
          </c:cat>
          <c:val>
            <c:numRef>
              <c:f>'Table 1b'!$B$8:$G$8</c:f>
              <c:numCache>
                <c:formatCode>General</c:formatCode>
                <c:ptCount val="6"/>
                <c:pt idx="0">
                  <c:v>91</c:v>
                </c:pt>
                <c:pt idx="1">
                  <c:v>44</c:v>
                </c:pt>
                <c:pt idx="2">
                  <c:v>31</c:v>
                </c:pt>
                <c:pt idx="3">
                  <c:v>13</c:v>
                </c:pt>
                <c:pt idx="4">
                  <c:v>8</c:v>
                </c:pt>
                <c:pt idx="5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14016"/>
        <c:axId val="158215552"/>
      </c:barChart>
      <c:catAx>
        <c:axId val="15821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15552"/>
        <c:crosses val="autoZero"/>
        <c:auto val="1"/>
        <c:lblAlgn val="ctr"/>
        <c:lblOffset val="100"/>
        <c:noMultiLvlLbl val="0"/>
      </c:catAx>
      <c:valAx>
        <c:axId val="15821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14016"/>
        <c:crosses val="autoZero"/>
        <c:crossBetween val="between"/>
      </c:valAx>
      <c:spPr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068889116133207E-2"/>
          <c:y val="0.10660474719079975"/>
          <c:w val="0.81547550874322527"/>
          <c:h val="0.76145479165336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'Table 1b'!$A$13</c:f>
              <c:strCache>
                <c:ptCount val="1"/>
                <c:pt idx="0">
                  <c:v>2011 г.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solidFill>
                <a:schemeClr val="accent1"/>
              </a:solidFill>
            </a:ln>
          </c:spPr>
          <c:invertIfNegative val="0"/>
          <c:cat>
            <c:strRef>
              <c:f>'Table 1b'!$B$12:$G$12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1b'!$B$13:$G$13</c:f>
              <c:numCache>
                <c:formatCode>General</c:formatCode>
                <c:ptCount val="6"/>
                <c:pt idx="0">
                  <c:v>239</c:v>
                </c:pt>
                <c:pt idx="1">
                  <c:v>23</c:v>
                </c:pt>
                <c:pt idx="2">
                  <c:v>11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'Table 1b'!$A$14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</c:spPr>
          <c:invertIfNegative val="0"/>
          <c:cat>
            <c:strRef>
              <c:f>'Table 1b'!$B$12:$G$12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1b'!$B$14:$G$14</c:f>
              <c:numCache>
                <c:formatCode>General</c:formatCode>
                <c:ptCount val="6"/>
                <c:pt idx="0">
                  <c:v>248</c:v>
                </c:pt>
                <c:pt idx="1">
                  <c:v>28</c:v>
                </c:pt>
                <c:pt idx="2">
                  <c:v>11</c:v>
                </c:pt>
                <c:pt idx="3">
                  <c:v>3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'Table 1b'!$A$15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'Table 1b'!$B$12:$G$12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1b'!$B$15:$G$15</c:f>
              <c:numCache>
                <c:formatCode>General</c:formatCode>
                <c:ptCount val="6"/>
                <c:pt idx="0">
                  <c:v>241</c:v>
                </c:pt>
                <c:pt idx="1">
                  <c:v>27</c:v>
                </c:pt>
                <c:pt idx="2">
                  <c:v>10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</c:numCache>
            </c:numRef>
          </c:val>
        </c:ser>
        <c:ser>
          <c:idx val="3"/>
          <c:order val="3"/>
          <c:tx>
            <c:strRef>
              <c:f>'Table 1b'!$A$16</c:f>
              <c:strCache>
                <c:ptCount val="1"/>
                <c:pt idx="0">
                  <c:v>2014 г.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'Table 1b'!$B$12:$G$12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1b'!$B$16:$G$16</c:f>
              <c:numCache>
                <c:formatCode>General</c:formatCode>
                <c:ptCount val="6"/>
                <c:pt idx="0">
                  <c:v>236</c:v>
                </c:pt>
                <c:pt idx="1">
                  <c:v>35</c:v>
                </c:pt>
                <c:pt idx="2">
                  <c:v>14</c:v>
                </c:pt>
                <c:pt idx="3">
                  <c:v>5</c:v>
                </c:pt>
                <c:pt idx="4">
                  <c:v>5</c:v>
                </c:pt>
                <c:pt idx="5">
                  <c:v>13</c:v>
                </c:pt>
              </c:numCache>
            </c:numRef>
          </c:val>
        </c:ser>
        <c:ser>
          <c:idx val="4"/>
          <c:order val="4"/>
          <c:tx>
            <c:strRef>
              <c:f>'Table 1b'!$A$17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cat>
            <c:strRef>
              <c:f>'Table 1b'!$B$12:$G$12</c:f>
              <c:strCache>
                <c:ptCount val="6"/>
                <c:pt idx="0">
                  <c:v>1-5 заявок</c:v>
                </c:pt>
                <c:pt idx="1">
                  <c:v>6-10 заявок</c:v>
                </c:pt>
                <c:pt idx="2">
                  <c:v>11-15 заявок</c:v>
                </c:pt>
                <c:pt idx="3">
                  <c:v>16-20 заявок</c:v>
                </c:pt>
                <c:pt idx="4">
                  <c:v>21-25 заявок</c:v>
                </c:pt>
                <c:pt idx="5">
                  <c:v>26 и более заявок</c:v>
                </c:pt>
              </c:strCache>
            </c:strRef>
          </c:cat>
          <c:val>
            <c:numRef>
              <c:f>'Table 1b'!$B$17:$G$17</c:f>
              <c:numCache>
                <c:formatCode>General</c:formatCode>
                <c:ptCount val="6"/>
                <c:pt idx="0">
                  <c:v>187</c:v>
                </c:pt>
                <c:pt idx="1">
                  <c:v>33</c:v>
                </c:pt>
                <c:pt idx="2">
                  <c:v>18</c:v>
                </c:pt>
                <c:pt idx="3">
                  <c:v>5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34496"/>
        <c:axId val="158236032"/>
      </c:barChart>
      <c:catAx>
        <c:axId val="15823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236032"/>
        <c:crosses val="autoZero"/>
        <c:auto val="1"/>
        <c:lblAlgn val="ctr"/>
        <c:lblOffset val="100"/>
        <c:noMultiLvlLbl val="0"/>
      </c:catAx>
      <c:valAx>
        <c:axId val="15823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344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36466180172657E-2"/>
          <c:y val="9.0536796227278143E-2"/>
          <c:w val="0.7818077561482214"/>
          <c:h val="0.683552103978515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'Figure 1a'!$B$3</c:f>
              <c:strCache>
                <c:ptCount val="1"/>
                <c:pt idx="0">
                  <c:v>Без лимита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1a'!$A$4:$A$8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1a'!$B$4:$B$8</c:f>
              <c:numCache>
                <c:formatCode>General</c:formatCode>
                <c:ptCount val="5"/>
                <c:pt idx="0">
                  <c:v>0</c:v>
                </c:pt>
                <c:pt idx="1">
                  <c:v>81.88</c:v>
                </c:pt>
                <c:pt idx="2">
                  <c:v>163.76</c:v>
                </c:pt>
                <c:pt idx="3">
                  <c:v>245.64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'Figure 1a'!$C$3</c:f>
              <c:strCache>
                <c:ptCount val="1"/>
                <c:pt idx="0">
                  <c:v>Лимит 30 заявок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xVal>
            <c:numRef>
              <c:f>'Figure 1a'!$A$4:$A$8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1a'!$C$4:$C$8</c:f>
              <c:numCache>
                <c:formatCode>General</c:formatCode>
                <c:ptCount val="5"/>
                <c:pt idx="0">
                  <c:v>0</c:v>
                </c:pt>
                <c:pt idx="1">
                  <c:v>63</c:v>
                </c:pt>
                <c:pt idx="2">
                  <c:v>126</c:v>
                </c:pt>
                <c:pt idx="3">
                  <c:v>189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'Figure 1a'!$D$3</c:f>
              <c:strCache>
                <c:ptCount val="1"/>
                <c:pt idx="0">
                  <c:v>Лимит 20 заявок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xVal>
            <c:numRef>
              <c:f>'Figure 1a'!$A$4:$A$8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1a'!$D$4:$D$8</c:f>
              <c:numCache>
                <c:formatCode>General</c:formatCode>
                <c:ptCount val="5"/>
                <c:pt idx="0">
                  <c:v>0</c:v>
                </c:pt>
                <c:pt idx="1">
                  <c:v>55.53</c:v>
                </c:pt>
                <c:pt idx="2">
                  <c:v>111.06</c:v>
                </c:pt>
                <c:pt idx="3">
                  <c:v>166.59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'Figure 1a'!$E$3</c:f>
              <c:strCache>
                <c:ptCount val="1"/>
                <c:pt idx="0">
                  <c:v>Лимит 10 заявок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xVal>
            <c:numRef>
              <c:f>'Figure 1a'!$A$4:$A$8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1a'!$E$4:$E$8</c:f>
              <c:numCache>
                <c:formatCode>General</c:formatCode>
                <c:ptCount val="5"/>
                <c:pt idx="0">
                  <c:v>0</c:v>
                </c:pt>
                <c:pt idx="1">
                  <c:v>41.47</c:v>
                </c:pt>
                <c:pt idx="2">
                  <c:v>82.94</c:v>
                </c:pt>
                <c:pt idx="3">
                  <c:v>124.41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'Figure 1a'!$F$3</c:f>
              <c:strCache>
                <c:ptCount val="1"/>
                <c:pt idx="0">
                  <c:v>Лимит 5 заявок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1a'!$A$4:$A$8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1a'!$F$4:$F$8</c:f>
              <c:numCache>
                <c:formatCode>General</c:formatCode>
                <c:ptCount val="5"/>
                <c:pt idx="0">
                  <c:v>0</c:v>
                </c:pt>
                <c:pt idx="1">
                  <c:v>28.41</c:v>
                </c:pt>
                <c:pt idx="2">
                  <c:v>56.82</c:v>
                </c:pt>
                <c:pt idx="3">
                  <c:v>85.22999999999999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263936"/>
        <c:axId val="158565504"/>
      </c:scatterChart>
      <c:valAx>
        <c:axId val="158263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ru-RU" sz="1100" b="0"/>
                  <a:t>Скидка</a:t>
                </a:r>
                <a:r>
                  <a:rPr lang="ru-RU" sz="1100" b="0" baseline="0"/>
                  <a:t> с пошлины </a:t>
                </a:r>
                <a:r>
                  <a:rPr lang="en-US" sz="1100" b="0" baseline="0"/>
                  <a:t>(</a:t>
                </a:r>
                <a:r>
                  <a:rPr lang="ru-RU" sz="1100" b="0" baseline="0"/>
                  <a:t>в процентах</a:t>
                </a:r>
                <a:r>
                  <a:rPr lang="en-US" sz="1100" b="0" baseline="0"/>
                  <a:t>)</a:t>
                </a:r>
                <a:endParaRPr lang="en-US" sz="1100" b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8565504"/>
        <c:crosses val="autoZero"/>
        <c:crossBetween val="midCat"/>
      </c:valAx>
      <c:valAx>
        <c:axId val="15856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63936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5174899936190366E-2"/>
          <c:y val="0.8677409826015805"/>
          <c:w val="0.72147162454570068"/>
          <c:h val="0.11220234487557133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36466180172657E-2"/>
          <c:y val="9.0536796227278143E-2"/>
          <c:w val="0.77378380883970488"/>
          <c:h val="0.71621837914829478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'Figure 1b'!$B$3</c:f>
              <c:strCache>
                <c:ptCount val="1"/>
                <c:pt idx="0">
                  <c:v>Без лимита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1b'!$A$4:$A$8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1b'!$B$4:$B$8</c:f>
              <c:numCache>
                <c:formatCode>General</c:formatCode>
                <c:ptCount val="5"/>
                <c:pt idx="0">
                  <c:v>0</c:v>
                </c:pt>
                <c:pt idx="1">
                  <c:v>69.412999999999997</c:v>
                </c:pt>
                <c:pt idx="2">
                  <c:v>138.82599999999999</c:v>
                </c:pt>
                <c:pt idx="3">
                  <c:v>208.239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'Figure 1b'!$C$3</c:f>
              <c:strCache>
                <c:ptCount val="1"/>
                <c:pt idx="0">
                  <c:v>Лимит 30 заявок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xVal>
            <c:numRef>
              <c:f>'Figure 1b'!$A$4:$A$8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1b'!$C$4:$C$8</c:f>
              <c:numCache>
                <c:formatCode>General</c:formatCode>
                <c:ptCount val="5"/>
                <c:pt idx="0">
                  <c:v>0</c:v>
                </c:pt>
                <c:pt idx="1">
                  <c:v>56.661999999999999</c:v>
                </c:pt>
                <c:pt idx="2">
                  <c:v>113.324</c:v>
                </c:pt>
                <c:pt idx="3">
                  <c:v>169.98599999999999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'Figure 1b'!$D$3</c:f>
              <c:strCache>
                <c:ptCount val="1"/>
                <c:pt idx="0">
                  <c:v>Лимит 20 заявок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xVal>
            <c:numRef>
              <c:f>'Figure 1b'!$A$4:$A$8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1b'!$D$4:$D$8</c:f>
              <c:numCache>
                <c:formatCode>General</c:formatCode>
                <c:ptCount val="5"/>
                <c:pt idx="0">
                  <c:v>0</c:v>
                </c:pt>
                <c:pt idx="1">
                  <c:v>51.373000000000005</c:v>
                </c:pt>
                <c:pt idx="2">
                  <c:v>102.74600000000001</c:v>
                </c:pt>
                <c:pt idx="3">
                  <c:v>154.119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'Figure 1b'!$E$3</c:f>
              <c:strCache>
                <c:ptCount val="1"/>
                <c:pt idx="0">
                  <c:v>Лимит 10 заявок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xVal>
            <c:numRef>
              <c:f>'Figure 1b'!$A$4:$A$8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1b'!$E$4:$E$8</c:f>
              <c:numCache>
                <c:formatCode>General</c:formatCode>
                <c:ptCount val="5"/>
                <c:pt idx="0">
                  <c:v>0</c:v>
                </c:pt>
                <c:pt idx="1">
                  <c:v>40.18</c:v>
                </c:pt>
                <c:pt idx="2">
                  <c:v>80.36</c:v>
                </c:pt>
                <c:pt idx="3">
                  <c:v>120.53999999999999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'Figure 1b'!$F$3</c:f>
              <c:strCache>
                <c:ptCount val="1"/>
                <c:pt idx="0">
                  <c:v>Лимит 5 заявок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1b'!$A$4:$A$8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1b'!$F$4:$F$8</c:f>
              <c:numCache>
                <c:formatCode>General</c:formatCode>
                <c:ptCount val="5"/>
                <c:pt idx="0">
                  <c:v>0</c:v>
                </c:pt>
                <c:pt idx="1">
                  <c:v>28.618000000000002</c:v>
                </c:pt>
                <c:pt idx="2">
                  <c:v>57.236000000000004</c:v>
                </c:pt>
                <c:pt idx="3">
                  <c:v>85.853999999999999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622080"/>
        <c:axId val="158624384"/>
      </c:scatterChart>
      <c:valAx>
        <c:axId val="15862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ru-RU" sz="1100" b="0" i="0" u="none" strike="noStrike" baseline="0">
                    <a:effectLst/>
                  </a:rPr>
                  <a:t>Скидка с пошлины </a:t>
                </a:r>
                <a:r>
                  <a:rPr lang="en-US" sz="1100" b="0" i="0" u="none" strike="noStrike" baseline="0">
                    <a:effectLst/>
                  </a:rPr>
                  <a:t>(</a:t>
                </a:r>
                <a:r>
                  <a:rPr lang="ru-RU" sz="1100" b="0" i="0" u="none" strike="noStrike" baseline="0">
                    <a:effectLst/>
                  </a:rPr>
                  <a:t>в процентах</a:t>
                </a:r>
                <a:r>
                  <a:rPr lang="en-US" sz="1100" b="0" baseline="0"/>
                  <a:t>)</a:t>
                </a:r>
                <a:endParaRPr lang="en-US" sz="1100" b="0"/>
              </a:p>
            </c:rich>
          </c:tx>
          <c:layout>
            <c:manualLayout>
              <c:xMode val="edge"/>
              <c:yMode val="edge"/>
              <c:x val="0.30461614279616722"/>
              <c:y val="0.858219228743645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8624384"/>
        <c:crosses val="autoZero"/>
        <c:crossBetween val="midCat"/>
      </c:valAx>
      <c:valAx>
        <c:axId val="15862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622080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5.0000060725048985E-2"/>
          <c:y val="0.90482410102343502"/>
          <c:w val="0.79374453727580141"/>
          <c:h val="7.9776478010960675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36466180172657E-2"/>
          <c:y val="9.0536796227278143E-2"/>
          <c:w val="0.70290009417280941"/>
          <c:h val="0.6856069965425939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'Figure 2a'!$B$3</c:f>
              <c:strCache>
                <c:ptCount val="1"/>
                <c:pt idx="0">
                  <c:v>Без лимита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2a'!$A$4:$A$8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2a'!$B$4:$B$8</c:f>
              <c:numCache>
                <c:formatCode>0.00</c:formatCode>
                <c:ptCount val="5"/>
                <c:pt idx="0">
                  <c:v>0</c:v>
                </c:pt>
                <c:pt idx="1">
                  <c:v>2.2619444162</c:v>
                </c:pt>
                <c:pt idx="2">
                  <c:v>4.5705268615999994</c:v>
                </c:pt>
                <c:pt idx="3">
                  <c:v>6.9257473361999997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'Figure 2a'!$C$3</c:f>
              <c:strCache>
                <c:ptCount val="1"/>
                <c:pt idx="0">
                  <c:v>Лимит 30 заявок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xVal>
            <c:numRef>
              <c:f>'Figure 2a'!$A$4:$A$8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2a'!$C$4:$C$8</c:f>
              <c:numCache>
                <c:formatCode>0.00</c:formatCode>
                <c:ptCount val="5"/>
                <c:pt idx="0">
                  <c:v>0</c:v>
                </c:pt>
                <c:pt idx="1">
                  <c:v>1.7403822450000002</c:v>
                </c:pt>
                <c:pt idx="2">
                  <c:v>3.51664866</c:v>
                </c:pt>
                <c:pt idx="3">
                  <c:v>5.3287992449999999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'Figure 2a'!$D$3</c:f>
              <c:strCache>
                <c:ptCount val="1"/>
                <c:pt idx="0">
                  <c:v>Лимит 20 заявок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xVal>
            <c:numRef>
              <c:f>'Figure 2a'!$A$4:$A$8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2a'!$D$4:$D$8</c:f>
              <c:numCache>
                <c:formatCode>0.00</c:formatCode>
                <c:ptCount val="5"/>
                <c:pt idx="0">
                  <c:v>0</c:v>
                </c:pt>
                <c:pt idx="1">
                  <c:v>1.53402263595</c:v>
                </c:pt>
                <c:pt idx="2">
                  <c:v>3.0996746046000001</c:v>
                </c:pt>
                <c:pt idx="3">
                  <c:v>4.6969559059500003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'Figure 2a'!$E$3</c:f>
              <c:strCache>
                <c:ptCount val="1"/>
                <c:pt idx="0">
                  <c:v>Лимит 10 заявок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xVal>
            <c:numRef>
              <c:f>'Figure 2a'!$A$4:$A$8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2a'!$E$4:$E$8</c:f>
              <c:numCache>
                <c:formatCode>0.00</c:formatCode>
                <c:ptCount val="5"/>
                <c:pt idx="0">
                  <c:v>0</c:v>
                </c:pt>
                <c:pt idx="1">
                  <c:v>1.1456135190500001</c:v>
                </c:pt>
                <c:pt idx="2">
                  <c:v>2.3148479354</c:v>
                </c:pt>
                <c:pt idx="3">
                  <c:v>3.50770324905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'Figure 2a'!$F$3</c:f>
              <c:strCache>
                <c:ptCount val="1"/>
                <c:pt idx="0">
                  <c:v>Лимит 5 заявок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2a'!$A$4:$A$8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2a'!$F$4:$F$8</c:f>
              <c:numCache>
                <c:formatCode>0.00</c:formatCode>
                <c:ptCount val="5"/>
                <c:pt idx="0">
                  <c:v>0</c:v>
                </c:pt>
                <c:pt idx="1">
                  <c:v>0.78482951715000004</c:v>
                </c:pt>
                <c:pt idx="2">
                  <c:v>1.5858410862000003</c:v>
                </c:pt>
                <c:pt idx="3">
                  <c:v>2.4030347071500002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729728"/>
        <c:axId val="158748672"/>
      </c:scatterChart>
      <c:valAx>
        <c:axId val="158729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ru-RU" sz="1100" b="0" i="0" u="none" strike="noStrike" baseline="0">
                    <a:effectLst/>
                  </a:rPr>
                  <a:t>Скидка с пошлины </a:t>
                </a:r>
                <a:r>
                  <a:rPr lang="en-US" sz="1100" b="0" i="0" u="none" strike="noStrike" baseline="0">
                    <a:effectLst/>
                  </a:rPr>
                  <a:t>(</a:t>
                </a:r>
                <a:r>
                  <a:rPr lang="ru-RU" sz="1100" b="0" i="0" u="none" strike="noStrike" baseline="0">
                    <a:effectLst/>
                  </a:rPr>
                  <a:t>в процентах</a:t>
                </a:r>
                <a:r>
                  <a:rPr lang="en-US" sz="1100" b="0" baseline="0"/>
                  <a:t>)</a:t>
                </a:r>
                <a:endParaRPr lang="en-US" sz="1100" b="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8748672"/>
        <c:crosses val="autoZero"/>
        <c:crossBetween val="midCat"/>
      </c:valAx>
      <c:valAx>
        <c:axId val="158748672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158729728"/>
        <c:crosses val="autoZero"/>
        <c:crossBetween val="midCat"/>
        <c:minorUnit val="1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6401225501542395E-2"/>
          <c:y val="0.89028044315730859"/>
          <c:w val="0.73813100019880484"/>
          <c:h val="9.4993044241929267E-2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836466180172657E-2"/>
          <c:y val="9.0536796227278143E-2"/>
          <c:w val="0.69956883387740176"/>
          <c:h val="0.6857935356274892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'Figure 2b'!$B$3</c:f>
              <c:strCache>
                <c:ptCount val="1"/>
                <c:pt idx="0">
                  <c:v>Без лимита</c:v>
                </c:pt>
              </c:strCache>
            </c:strRef>
          </c:tx>
          <c:spPr>
            <a:ln>
              <a:solidFill>
                <a:schemeClr val="tx1"/>
              </a:solidFill>
              <a:prstDash val="sysDash"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2b'!$A$4:$A$8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2b'!$B$4:$B$8</c:f>
              <c:numCache>
                <c:formatCode>0.00</c:formatCode>
                <c:ptCount val="5"/>
                <c:pt idx="0">
                  <c:v>0</c:v>
                </c:pt>
                <c:pt idx="1">
                  <c:v>0.42670917569249994</c:v>
                </c:pt>
                <c:pt idx="2">
                  <c:v>0.89331590258999982</c:v>
                </c:pt>
                <c:pt idx="3">
                  <c:v>1.3998201806924999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'Figure 2b'!$C$3</c:f>
              <c:strCache>
                <c:ptCount val="1"/>
                <c:pt idx="0">
                  <c:v>Лимит 30 заявок</c:v>
                </c:pt>
              </c:strCache>
            </c:strRef>
          </c:tx>
          <c:spPr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xVal>
            <c:numRef>
              <c:f>'Figure 2b'!$A$4:$A$8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2b'!$C$4:$C$8</c:f>
              <c:numCache>
                <c:formatCode>0.00</c:formatCode>
                <c:ptCount val="5"/>
                <c:pt idx="0">
                  <c:v>0</c:v>
                </c:pt>
                <c:pt idx="1">
                  <c:v>0.34832373349500001</c:v>
                </c:pt>
                <c:pt idx="2">
                  <c:v>0.72921593466000001</c:v>
                </c:pt>
                <c:pt idx="3">
                  <c:v>1.142676603495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'Figure 2b'!$D$3</c:f>
              <c:strCache>
                <c:ptCount val="1"/>
                <c:pt idx="0">
                  <c:v>Лимит 20 заявок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xVal>
            <c:numRef>
              <c:f>'Figure 2b'!$A$4:$A$8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2b'!$D$4:$D$8</c:f>
              <c:numCache>
                <c:formatCode>0.00</c:formatCode>
                <c:ptCount val="5"/>
                <c:pt idx="0">
                  <c:v>0</c:v>
                </c:pt>
                <c:pt idx="1">
                  <c:v>0.31581015779249999</c:v>
                </c:pt>
                <c:pt idx="2">
                  <c:v>0.6611487453899999</c:v>
                </c:pt>
                <c:pt idx="3">
                  <c:v>1.0360157627925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'Figure 2b'!$E$3</c:f>
              <c:strCache>
                <c:ptCount val="1"/>
                <c:pt idx="0">
                  <c:v>Лимит 10 заявок</c:v>
                </c:pt>
              </c:strCache>
            </c:strRef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</c:spPr>
          </c:marker>
          <c:xVal>
            <c:numRef>
              <c:f>'Figure 2b'!$A$4:$A$8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2b'!$E$4:$E$8</c:f>
              <c:numCache>
                <c:formatCode>0.00</c:formatCode>
                <c:ptCount val="5"/>
                <c:pt idx="0">
                  <c:v>0</c:v>
                </c:pt>
                <c:pt idx="1">
                  <c:v>0.24700235804999998</c:v>
                </c:pt>
                <c:pt idx="2">
                  <c:v>0.5170995773999999</c:v>
                </c:pt>
                <c:pt idx="3">
                  <c:v>0.81029165804999992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'Figure 2b'!$F$3</c:f>
              <c:strCache>
                <c:ptCount val="1"/>
                <c:pt idx="0">
                  <c:v>Лимит 5 заявок</c:v>
                </c:pt>
              </c:strCache>
            </c:strRef>
          </c:tx>
          <c:spPr>
            <a:ln>
              <a:solidFill>
                <a:schemeClr val="tx1"/>
              </a:solidFill>
              <a:prstDash val="solid"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'Figure 2b'!$A$4:$A$8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75</c:v>
                </c:pt>
              </c:numCache>
            </c:numRef>
          </c:xVal>
          <c:yVal>
            <c:numRef>
              <c:f>'Figure 2b'!$F$4:$F$8</c:f>
              <c:numCache>
                <c:formatCode>0.00</c:formatCode>
                <c:ptCount val="5"/>
                <c:pt idx="0">
                  <c:v>0</c:v>
                </c:pt>
                <c:pt idx="1">
                  <c:v>0.17592616930499999</c:v>
                </c:pt>
                <c:pt idx="2">
                  <c:v>0.36830153573999996</c:v>
                </c:pt>
                <c:pt idx="3">
                  <c:v>0.57712609930500003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8783744"/>
        <c:axId val="158802688"/>
      </c:scatterChart>
      <c:valAx>
        <c:axId val="158783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0"/>
                </a:pPr>
                <a:r>
                  <a:rPr lang="ru-RU" sz="1100" b="0" i="0" u="none" strike="noStrike" baseline="0">
                    <a:effectLst/>
                  </a:rPr>
                  <a:t>Скидка с пошлины </a:t>
                </a:r>
                <a:r>
                  <a:rPr lang="en-US" sz="1100" b="0" i="0" u="none" strike="noStrike" baseline="0">
                    <a:effectLst/>
                  </a:rPr>
                  <a:t>(</a:t>
                </a:r>
                <a:r>
                  <a:rPr lang="ru-RU" sz="1100" b="0" i="0" u="none" strike="noStrike" baseline="0">
                    <a:effectLst/>
                  </a:rPr>
                  <a:t>в процентах</a:t>
                </a:r>
                <a:r>
                  <a:rPr lang="en-US" sz="1100" b="0" baseline="0"/>
                  <a:t>)</a:t>
                </a:r>
                <a:endParaRPr lang="en-US" sz="1100" b="0"/>
              </a:p>
            </c:rich>
          </c:tx>
          <c:layout>
            <c:manualLayout>
              <c:xMode val="edge"/>
              <c:yMode val="edge"/>
              <c:x val="0.22845178388357856"/>
              <c:y val="0.8262529870333372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58802688"/>
        <c:crosses val="autoZero"/>
        <c:crossBetween val="midCat"/>
      </c:valAx>
      <c:valAx>
        <c:axId val="158802688"/>
        <c:scaling>
          <c:orientation val="minMax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158783744"/>
        <c:crosses val="autoZero"/>
        <c:crossBetween val="midCat"/>
      </c:valAx>
      <c:spPr>
        <a:ln>
          <a:solidFill>
            <a:schemeClr val="bg1">
              <a:lumMod val="50000"/>
            </a:schemeClr>
          </a:solidFill>
        </a:ln>
      </c:spPr>
    </c:plotArea>
    <c:legend>
      <c:legendPos val="b"/>
      <c:layout>
        <c:manualLayout>
          <c:xMode val="edge"/>
          <c:yMode val="edge"/>
          <c:x val="4.3350018215613434E-2"/>
          <c:y val="0.87230718251085904"/>
          <c:w val="0.79586830908562944"/>
          <c:h val="0.10804344713827768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1.67979E-7</cdr:x>
      <cdr:y>0.01314</cdr:y>
    </cdr:from>
    <cdr:to>
      <cdr:x>0.3888</cdr:x>
      <cdr:y>0.12067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52389"/>
          <a:ext cx="231457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Количество</a:t>
          </a:r>
          <a:r>
            <a:rPr lang="ru-RU" sz="1100" baseline="0"/>
            <a:t> университетов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0.00089</cdr:y>
    </cdr:from>
    <cdr:to>
      <cdr:x>0.39448</cdr:x>
      <cdr:y>0.12041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75"/>
          <a:ext cx="231457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Количество</a:t>
          </a:r>
          <a:r>
            <a:rPr lang="ru-RU" sz="1100" baseline="0">
              <a:effectLst/>
              <a:latin typeface="+mn-lt"/>
              <a:ea typeface="+mn-ea"/>
              <a:cs typeface="+mn-cs"/>
            </a:rPr>
            <a:t> университетов</a:t>
          </a:r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1.67979E-7</cdr:x>
      <cdr:y>0.01314</cdr:y>
    </cdr:from>
    <cdr:to>
      <cdr:x>0.3888</cdr:x>
      <cdr:y>0.12067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" y="52389"/>
          <a:ext cx="231457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Количество</a:t>
          </a:r>
          <a:r>
            <a:rPr lang="ru-RU" sz="1100" baseline="0">
              <a:effectLst/>
              <a:latin typeface="+mn-lt"/>
              <a:ea typeface="+mn-ea"/>
              <a:cs typeface="+mn-cs"/>
            </a:rPr>
            <a:t> университетов</a:t>
          </a:r>
          <a:endParaRPr lang="en-US">
            <a:effectLst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0.00089</cdr:y>
    </cdr:from>
    <cdr:to>
      <cdr:x>0.39448</cdr:x>
      <cdr:y>0.12041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75"/>
          <a:ext cx="2314576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Количество</a:t>
          </a:r>
          <a:r>
            <a:rPr lang="ru-RU" sz="1100" baseline="0">
              <a:effectLst/>
              <a:latin typeface="+mn-lt"/>
              <a:ea typeface="+mn-ea"/>
              <a:cs typeface="+mn-cs"/>
            </a:rPr>
            <a:t> университетов</a:t>
          </a:r>
          <a:endParaRPr lang="en-US">
            <a:effectLst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0.00923</cdr:y>
    </cdr:from>
    <cdr:to>
      <cdr:x>0.269</cdr:x>
      <cdr:y>0.10154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3"/>
          <a:ext cx="21240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Число</a:t>
          </a:r>
          <a:r>
            <a:rPr lang="ru-RU" sz="1100" baseline="0"/>
            <a:t> дополнительных заявок</a:t>
          </a:r>
          <a:endParaRPr lang="en-US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0.00923</cdr:y>
    </cdr:from>
    <cdr:to>
      <cdr:x>0.269</cdr:x>
      <cdr:y>0.10154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3"/>
          <a:ext cx="21240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Число</a:t>
          </a:r>
          <a:r>
            <a:rPr lang="ru-RU" sz="1100" baseline="0">
              <a:effectLst/>
              <a:latin typeface="+mn-lt"/>
              <a:ea typeface="+mn-ea"/>
              <a:cs typeface="+mn-cs"/>
            </a:rPr>
            <a:t> дополнительных заявок</a:t>
          </a:r>
          <a:endParaRPr lang="en-US">
            <a:effectLst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</cdr:x>
      <cdr:y>0.00923</cdr:y>
    </cdr:from>
    <cdr:to>
      <cdr:x>0.269</cdr:x>
      <cdr:y>0.10154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3"/>
          <a:ext cx="21240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Потеря дохода </a:t>
          </a:r>
          <a:r>
            <a:rPr lang="en-US" sz="1100"/>
            <a:t>(</a:t>
          </a:r>
          <a:r>
            <a:rPr lang="ru-RU" sz="1100"/>
            <a:t>в млн шв. франков</a:t>
          </a:r>
          <a:r>
            <a:rPr lang="en-US" sz="1100"/>
            <a:t>)</a:t>
          </a:r>
        </a:p>
      </cdr:txBody>
    </cdr:sp>
  </cdr:relSizeAnchor>
  <cdr:relSizeAnchor xmlns:cdr="http://schemas.openxmlformats.org/drawingml/2006/chartDrawing">
    <cdr:from>
      <cdr:x>0.43356</cdr:x>
      <cdr:y>0</cdr:y>
    </cdr:from>
    <cdr:to>
      <cdr:x>0.87497</cdr:x>
      <cdr:y>0.09231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75560" y="0"/>
          <a:ext cx="2622104" cy="3571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Потеря дохода </a:t>
          </a:r>
          <a:r>
            <a:rPr lang="en-US" sz="1100"/>
            <a:t>(</a:t>
          </a:r>
          <a:r>
            <a:rPr lang="ru-RU" sz="1100"/>
            <a:t>в процентах совокупного дохода </a:t>
          </a:r>
          <a:r>
            <a:rPr lang="en-US" sz="1100" baseline="0"/>
            <a:t>PCT</a:t>
          </a:r>
          <a:r>
            <a:rPr lang="en-US" sz="1100"/>
            <a:t>)</a:t>
          </a:r>
        </a:p>
      </cdr:txBody>
    </cdr:sp>
  </cdr:relSizeAnchor>
  <cdr:relSizeAnchor xmlns:cdr="http://schemas.openxmlformats.org/drawingml/2006/chartDrawing">
    <cdr:from>
      <cdr:x>0.75256</cdr:x>
      <cdr:y>0.65652</cdr:y>
    </cdr:from>
    <cdr:to>
      <cdr:x>0.85982</cdr:x>
      <cdr:y>0.74883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727317" y="3254882"/>
          <a:ext cx="816300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0,35%</a:t>
          </a:r>
        </a:p>
      </cdr:txBody>
    </cdr:sp>
  </cdr:relSizeAnchor>
  <cdr:relSizeAnchor xmlns:cdr="http://schemas.openxmlformats.org/drawingml/2006/chartDrawing">
    <cdr:from>
      <cdr:x>0.7551</cdr:x>
      <cdr:y>0.57457</cdr:y>
    </cdr:from>
    <cdr:to>
      <cdr:x>0.86235</cdr:x>
      <cdr:y>0.66688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746659" y="2848592"/>
          <a:ext cx="816224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0,70%</a:t>
          </a:r>
        </a:p>
      </cdr:txBody>
    </cdr:sp>
  </cdr:relSizeAnchor>
  <cdr:relSizeAnchor xmlns:cdr="http://schemas.openxmlformats.org/drawingml/2006/chartDrawing">
    <cdr:from>
      <cdr:x>0.75509</cdr:x>
      <cdr:y>0.48289</cdr:y>
    </cdr:from>
    <cdr:to>
      <cdr:x>0.86235</cdr:x>
      <cdr:y>0.5752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5746571" y="2394045"/>
          <a:ext cx="816300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1,11%</a:t>
          </a:r>
        </a:p>
      </cdr:txBody>
    </cdr:sp>
  </cdr:relSizeAnchor>
  <cdr:relSizeAnchor xmlns:cdr="http://schemas.openxmlformats.org/drawingml/2006/chartDrawing">
    <cdr:from>
      <cdr:x>0.75258</cdr:x>
      <cdr:y>0.39697</cdr:y>
    </cdr:from>
    <cdr:to>
      <cdr:x>0.85984</cdr:x>
      <cdr:y>0.48928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5727521" y="1968073"/>
          <a:ext cx="816300" cy="457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1,41%</a:t>
          </a:r>
        </a:p>
      </cdr:txBody>
    </cdr:sp>
  </cdr:relSizeAnchor>
  <cdr:relSizeAnchor xmlns:cdr="http://schemas.openxmlformats.org/drawingml/2006/chartDrawing">
    <cdr:from>
      <cdr:x>0.7526</cdr:x>
      <cdr:y>0.31137</cdr:y>
    </cdr:from>
    <cdr:to>
      <cdr:x>0.85985</cdr:x>
      <cdr:y>0.40368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5727609" y="1543707"/>
          <a:ext cx="816224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1,76%</a:t>
          </a:r>
        </a:p>
      </cdr:txBody>
    </cdr:sp>
  </cdr:relSizeAnchor>
  <cdr:relSizeAnchor xmlns:cdr="http://schemas.openxmlformats.org/drawingml/2006/chartDrawing">
    <cdr:from>
      <cdr:x>0.7526</cdr:x>
      <cdr:y>0.22167</cdr:y>
    </cdr:from>
    <cdr:to>
      <cdr:x>0.85985</cdr:x>
      <cdr:y>0.31398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5727621" y="1098977"/>
          <a:ext cx="816224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2,11%</a:t>
          </a:r>
        </a:p>
      </cdr:txBody>
    </cdr:sp>
  </cdr:relSizeAnchor>
  <cdr:relSizeAnchor xmlns:cdr="http://schemas.openxmlformats.org/drawingml/2006/chartDrawing">
    <cdr:from>
      <cdr:x>0.7551</cdr:x>
      <cdr:y>0.13582</cdr:y>
    </cdr:from>
    <cdr:to>
      <cdr:x>0.86235</cdr:x>
      <cdr:y>0.22813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5746671" y="673346"/>
          <a:ext cx="816224" cy="4576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2,46%</a:t>
          </a:r>
        </a:p>
      </cdr:txBody>
    </cdr:sp>
  </cdr:relSizeAnchor>
  <cdr:relSizeAnchor xmlns:cdr="http://schemas.openxmlformats.org/drawingml/2006/chartDrawing">
    <cdr:from>
      <cdr:x>0.75385</cdr:x>
      <cdr:y>0.06161</cdr:y>
    </cdr:from>
    <cdr:to>
      <cdr:x>0.86111</cdr:x>
      <cdr:y>0.15392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5758727" y="295485"/>
          <a:ext cx="819320" cy="4427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2,82%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</cdr:x>
      <cdr:y>0.00923</cdr:y>
    </cdr:from>
    <cdr:to>
      <cdr:x>0.269</cdr:x>
      <cdr:y>0.10154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863"/>
          <a:ext cx="21240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Потеря дохода </a:t>
          </a:r>
          <a:r>
            <a:rPr lang="en-US" sz="1100">
              <a:effectLst/>
              <a:latin typeface="+mn-lt"/>
              <a:ea typeface="+mn-ea"/>
              <a:cs typeface="+mn-cs"/>
            </a:rPr>
            <a:t>(</a:t>
          </a:r>
          <a:r>
            <a:rPr lang="ru-RU" sz="1100">
              <a:effectLst/>
              <a:latin typeface="+mn-lt"/>
              <a:ea typeface="+mn-ea"/>
              <a:cs typeface="+mn-cs"/>
            </a:rPr>
            <a:t>в млн шв. франков</a:t>
          </a:r>
          <a:r>
            <a:rPr lang="en-US" sz="1100"/>
            <a:t>)</a:t>
          </a:r>
        </a:p>
      </cdr:txBody>
    </cdr:sp>
  </cdr:relSizeAnchor>
  <cdr:relSizeAnchor xmlns:cdr="http://schemas.openxmlformats.org/drawingml/2006/chartDrawing">
    <cdr:from>
      <cdr:x>0.43436</cdr:x>
      <cdr:y>0.01244</cdr:y>
    </cdr:from>
    <cdr:to>
      <cdr:x>0.99749</cdr:x>
      <cdr:y>0.10807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52700" y="47626"/>
          <a:ext cx="3309474" cy="3661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effectLst/>
              <a:latin typeface="+mn-lt"/>
              <a:ea typeface="+mn-ea"/>
              <a:cs typeface="+mn-cs"/>
            </a:rPr>
            <a:t>Потеря дохода </a:t>
          </a:r>
          <a:r>
            <a:rPr lang="en-US" sz="1100">
              <a:effectLst/>
              <a:latin typeface="+mn-lt"/>
              <a:ea typeface="+mn-ea"/>
              <a:cs typeface="+mn-cs"/>
            </a:rPr>
            <a:t>(</a:t>
          </a:r>
          <a:r>
            <a:rPr lang="ru-RU" sz="1100">
              <a:effectLst/>
              <a:latin typeface="+mn-lt"/>
              <a:ea typeface="+mn-ea"/>
              <a:cs typeface="+mn-cs"/>
            </a:rPr>
            <a:t>в процентах совокупного дохода </a:t>
          </a:r>
          <a:r>
            <a:rPr lang="en-US" sz="1100" baseline="0">
              <a:effectLst/>
              <a:latin typeface="+mn-lt"/>
              <a:ea typeface="+mn-ea"/>
              <a:cs typeface="+mn-cs"/>
            </a:rPr>
            <a:t>PCT</a:t>
          </a:r>
          <a:r>
            <a:rPr lang="en-US" sz="1100"/>
            <a:t>)</a:t>
          </a:r>
        </a:p>
      </cdr:txBody>
    </cdr:sp>
  </cdr:relSizeAnchor>
  <cdr:relSizeAnchor xmlns:cdr="http://schemas.openxmlformats.org/drawingml/2006/chartDrawing">
    <cdr:from>
      <cdr:x>0.74781</cdr:x>
      <cdr:y>0.67231</cdr:y>
    </cdr:from>
    <cdr:to>
      <cdr:x>0.85507</cdr:x>
      <cdr:y>0.76462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394835" y="2574290"/>
          <a:ext cx="630359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07%</a:t>
          </a:r>
        </a:p>
      </cdr:txBody>
    </cdr:sp>
  </cdr:relSizeAnchor>
  <cdr:relSizeAnchor xmlns:cdr="http://schemas.openxmlformats.org/drawingml/2006/chartDrawing">
    <cdr:from>
      <cdr:x>0.74781</cdr:x>
      <cdr:y>0.58275</cdr:y>
    </cdr:from>
    <cdr:to>
      <cdr:x>0.85506</cdr:x>
      <cdr:y>0.67506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4394835" y="2231390"/>
          <a:ext cx="630300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14%</a:t>
          </a:r>
        </a:p>
      </cdr:txBody>
    </cdr:sp>
  </cdr:relSizeAnchor>
  <cdr:relSizeAnchor xmlns:cdr="http://schemas.openxmlformats.org/drawingml/2006/chartDrawing">
    <cdr:from>
      <cdr:x>0.74781</cdr:x>
      <cdr:y>0.4932</cdr:y>
    </cdr:from>
    <cdr:to>
      <cdr:x>0.85507</cdr:x>
      <cdr:y>0.58551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4394835" y="1888490"/>
          <a:ext cx="630359" cy="353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21%</a:t>
          </a:r>
        </a:p>
      </cdr:txBody>
    </cdr:sp>
  </cdr:relSizeAnchor>
  <cdr:relSizeAnchor xmlns:cdr="http://schemas.openxmlformats.org/drawingml/2006/chartDrawing">
    <cdr:from>
      <cdr:x>0.74781</cdr:x>
      <cdr:y>0.40365</cdr:y>
    </cdr:from>
    <cdr:to>
      <cdr:x>0.85507</cdr:x>
      <cdr:y>0.49596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94835" y="1545590"/>
          <a:ext cx="630359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28%</a:t>
          </a:r>
        </a:p>
      </cdr:txBody>
    </cdr:sp>
  </cdr:relSizeAnchor>
  <cdr:relSizeAnchor xmlns:cdr="http://schemas.openxmlformats.org/drawingml/2006/chartDrawing">
    <cdr:from>
      <cdr:x>0.74781</cdr:x>
      <cdr:y>0.3141</cdr:y>
    </cdr:from>
    <cdr:to>
      <cdr:x>0.85506</cdr:x>
      <cdr:y>0.40641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394835" y="1202690"/>
          <a:ext cx="630300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35%</a:t>
          </a:r>
        </a:p>
      </cdr:txBody>
    </cdr:sp>
  </cdr:relSizeAnchor>
  <cdr:relSizeAnchor xmlns:cdr="http://schemas.openxmlformats.org/drawingml/2006/chartDrawing">
    <cdr:from>
      <cdr:x>0.74781</cdr:x>
      <cdr:y>0.22454</cdr:y>
    </cdr:from>
    <cdr:to>
      <cdr:x>0.85506</cdr:x>
      <cdr:y>0.31685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394835" y="859790"/>
          <a:ext cx="630300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42%</a:t>
          </a:r>
        </a:p>
      </cdr:txBody>
    </cdr:sp>
  </cdr:relSizeAnchor>
  <cdr:relSizeAnchor xmlns:cdr="http://schemas.openxmlformats.org/drawingml/2006/chartDrawing">
    <cdr:from>
      <cdr:x>0.74781</cdr:x>
      <cdr:y>0.13499</cdr:y>
    </cdr:from>
    <cdr:to>
      <cdr:x>0.85506</cdr:x>
      <cdr:y>0.2273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394835" y="516890"/>
          <a:ext cx="630300" cy="3534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49%</a:t>
          </a:r>
        </a:p>
      </cdr:txBody>
    </cdr:sp>
  </cdr:relSizeAnchor>
  <cdr:relSizeAnchor xmlns:cdr="http://schemas.openxmlformats.org/drawingml/2006/chartDrawing">
    <cdr:from>
      <cdr:x>0.74781</cdr:x>
      <cdr:y>0.06161</cdr:y>
    </cdr:from>
    <cdr:to>
      <cdr:x>0.86111</cdr:x>
      <cdr:y>0.15392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394836" y="235908"/>
          <a:ext cx="665844" cy="353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0</a:t>
          </a:r>
          <a:r>
            <a:rPr lang="ru-RU" sz="1100"/>
            <a:t>,</a:t>
          </a:r>
          <a:r>
            <a:rPr lang="en-US" sz="1100"/>
            <a:t>56%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A3C6-D260-403D-A316-5236D80F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1</TotalTime>
  <Pages>12</Pages>
  <Words>2670</Words>
  <Characters>15224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</vt:lpstr>
    </vt:vector>
  </TitlesOfParts>
  <Company>WIPO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</dc:title>
  <dc:subject>Second Supplement to "Estimating a PCT Fee Elasticity" Study</dc:subject>
  <dc:creator>MARLOW Thomas</dc:creator>
  <cp:lastModifiedBy>MARLOW Thomas</cp:lastModifiedBy>
  <cp:revision>2</cp:revision>
  <cp:lastPrinted>2017-01-13T09:03:00Z</cp:lastPrinted>
  <dcterms:created xsi:type="dcterms:W3CDTF">2017-01-13T14:42:00Z</dcterms:created>
  <dcterms:modified xsi:type="dcterms:W3CDTF">2017-01-13T14:42:00Z</dcterms:modified>
</cp:coreProperties>
</file>