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C30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710E1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r w:rsidRPr="009263C2">
              <w:rPr>
                <w:noProof/>
                <w:lang w:eastAsia="en-US"/>
              </w:rPr>
              <w:drawing>
                <wp:inline distT="0" distB="0" distL="0" distR="0" wp14:anchorId="558177D6" wp14:editId="62DF418E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A317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A31735">
              <w:rPr>
                <w:rFonts w:ascii="Arial Black" w:hAnsi="Arial Black"/>
                <w:caps/>
                <w:sz w:val="15"/>
              </w:rPr>
              <w:t>1</w:t>
            </w:r>
            <w:r w:rsidR="002E2EFF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9C304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506A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9C304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9C304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9263C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 марта 2017 г.</w:t>
            </w:r>
          </w:p>
        </w:tc>
      </w:tr>
    </w:tbl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Договор о патентной кооперации (РСТ)</w:t>
      </w: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Тридцатая сессия</w:t>
      </w:r>
    </w:p>
    <w:p w:rsidR="009B467E" w:rsidRDefault="005B7F8D" w:rsidP="005B7F8D">
      <w:pPr>
        <w:rPr>
          <w:lang w:val="ru-RU"/>
        </w:rPr>
      </w:pPr>
      <w:r w:rsidRPr="00916892">
        <w:rPr>
          <w:b/>
          <w:sz w:val="28"/>
          <w:szCs w:val="28"/>
          <w:lang w:val="ru-RU"/>
        </w:rPr>
        <w:t>Женева, 8 – 12 мая 2017 г.</w:t>
      </w:r>
    </w:p>
    <w:p w:rsidR="009B467E" w:rsidRDefault="009B467E" w:rsidP="008B2CC1">
      <w:pPr>
        <w:rPr>
          <w:lang w:val="ru-RU"/>
        </w:rPr>
      </w:pPr>
    </w:p>
    <w:p w:rsidR="009B467E" w:rsidRDefault="009B467E" w:rsidP="008B2CC1">
      <w:pPr>
        <w:rPr>
          <w:lang w:val="ru-RU"/>
        </w:rPr>
      </w:pPr>
    </w:p>
    <w:p w:rsidR="009B467E" w:rsidRPr="0033011C" w:rsidRDefault="005B7F8D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33011C">
        <w:rPr>
          <w:caps/>
          <w:sz w:val="24"/>
          <w:szCs w:val="24"/>
          <w:lang w:val="ru-RU"/>
        </w:rPr>
        <w:t xml:space="preserve">ПРОДЛЕНИЕ НАЗНАЧЕНИЯ </w:t>
      </w:r>
      <w:r w:rsidR="002E2EFF">
        <w:rPr>
          <w:caps/>
          <w:sz w:val="24"/>
          <w:szCs w:val="24"/>
          <w:lang w:val="ru-RU"/>
        </w:rPr>
        <w:t xml:space="preserve">Индийского патентного ведомства </w:t>
      </w:r>
      <w:r w:rsidRPr="0033011C">
        <w:rPr>
          <w:caps/>
          <w:sz w:val="24"/>
          <w:szCs w:val="24"/>
          <w:lang w:val="ru-RU"/>
        </w:rPr>
        <w:t xml:space="preserve">в качестве </w:t>
      </w:r>
      <w:r w:rsidRPr="0033011C">
        <w:rPr>
          <w:sz w:val="24"/>
          <w:szCs w:val="24"/>
          <w:lang w:val="ru-RU"/>
        </w:rPr>
        <w:t xml:space="preserve">МЕЖДУНАРОДНОГО ПОИСКОВОГО ОРГАНА И ОРГАНА МЕЖДУНАРОДНОЙ ПРЕДВАРИТЕЛЬНОЙ ЭКСПЕРТИЗЫ В РАМКАХ </w:t>
      </w:r>
      <w:r w:rsidR="00C650A4" w:rsidRPr="0033011C">
        <w:rPr>
          <w:caps/>
          <w:sz w:val="24"/>
          <w:szCs w:val="24"/>
        </w:rPr>
        <w:t>PCT</w:t>
      </w:r>
    </w:p>
    <w:p w:rsidR="009B467E" w:rsidRDefault="009B467E" w:rsidP="008B2CC1">
      <w:pPr>
        <w:rPr>
          <w:lang w:val="ru-RU"/>
        </w:rPr>
      </w:pPr>
    </w:p>
    <w:p w:rsidR="009B467E" w:rsidRDefault="00916892" w:rsidP="00916892">
      <w:pPr>
        <w:rPr>
          <w:i/>
        </w:rPr>
      </w:pPr>
      <w:bookmarkStart w:id="4" w:name="Prepared"/>
      <w:bookmarkEnd w:id="4"/>
      <w:r w:rsidRPr="00916892">
        <w:rPr>
          <w:i/>
          <w:lang w:val="ru-RU"/>
        </w:rPr>
        <w:t>Документ подготовлен Международным бюро</w:t>
      </w:r>
    </w:p>
    <w:p w:rsidR="009B467E" w:rsidRDefault="009B467E"/>
    <w:p w:rsidR="009B467E" w:rsidRDefault="009B467E"/>
    <w:p w:rsidR="009B467E" w:rsidRDefault="009B467E"/>
    <w:p w:rsidR="009B467E" w:rsidRDefault="009B467E" w:rsidP="0053057A"/>
    <w:p w:rsidR="009B467E" w:rsidRDefault="00750A25" w:rsidP="00750A25">
      <w:pPr>
        <w:pStyle w:val="ONUME"/>
        <w:rPr>
          <w:lang w:val="ru-RU"/>
        </w:rPr>
      </w:pPr>
      <w:bookmarkStart w:id="5" w:name="_Ref447032909"/>
      <w:r w:rsidRPr="00750A25">
        <w:rPr>
          <w:lang w:val="ru-RU"/>
        </w:rPr>
        <w:t>Все действующие международные органы были назначены Ассамблеей</w:t>
      </w:r>
      <w:r w:rsidR="002E2EFF">
        <w:rPr>
          <w:lang w:val="ru-RU"/>
        </w:rPr>
        <w:t xml:space="preserve"> РСТ</w:t>
      </w:r>
      <w:r w:rsidRPr="00750A25">
        <w:rPr>
          <w:lang w:val="ru-RU"/>
        </w:rPr>
        <w:t xml:space="preserve"> на срок, заканчивающийся 31 декабря 2017 г.</w:t>
      </w:r>
      <w:r w:rsidR="005C40A3" w:rsidRPr="00F0401D">
        <w:rPr>
          <w:lang w:val="ru-RU"/>
        </w:rPr>
        <w:t xml:space="preserve">  </w:t>
      </w:r>
      <w:bookmarkEnd w:id="5"/>
      <w:r w:rsidR="00521C05">
        <w:rPr>
          <w:lang w:val="ru-RU"/>
        </w:rPr>
        <w:t>Как следствие</w:t>
      </w:r>
      <w:r w:rsidRPr="00750A25">
        <w:rPr>
          <w:lang w:val="ru-RU"/>
        </w:rPr>
        <w:t>, в 2017 г. Ассамблея должна будет принять решение о продлении назначения каждого из действующих международных органов, которы</w:t>
      </w:r>
      <w:r w:rsidR="00521C05">
        <w:rPr>
          <w:lang w:val="ru-RU"/>
        </w:rPr>
        <w:t>й</w:t>
      </w:r>
      <w:r w:rsidRPr="00750A25">
        <w:rPr>
          <w:lang w:val="ru-RU"/>
        </w:rPr>
        <w:t xml:space="preserve"> пожела</w:t>
      </w:r>
      <w:r w:rsidR="00521C05">
        <w:rPr>
          <w:lang w:val="ru-RU"/>
        </w:rPr>
        <w:t>е</w:t>
      </w:r>
      <w:r w:rsidRPr="00750A25">
        <w:rPr>
          <w:lang w:val="ru-RU"/>
        </w:rPr>
        <w:t>т получить продление срока своего назначения, и для этого предварительно запросить мнение Комитета (см. статьи PCT 16(3)(e) и 32(3)).</w:t>
      </w:r>
      <w:r w:rsidR="0035027E" w:rsidRPr="0033011C">
        <w:rPr>
          <w:lang w:val="ru-RU"/>
        </w:rPr>
        <w:t xml:space="preserve">  </w:t>
      </w:r>
      <w:r w:rsidR="00521C05">
        <w:rPr>
          <w:lang w:val="ru-RU"/>
        </w:rPr>
        <w:t xml:space="preserve">Информация </w:t>
      </w:r>
      <w:r w:rsidRPr="00750A25">
        <w:rPr>
          <w:lang w:val="ru-RU"/>
        </w:rPr>
        <w:t>о данной процедуре и роли Комитета приводится в документе PCT/CTC/30/INF/1.</w:t>
      </w:r>
    </w:p>
    <w:p w:rsidR="009B467E" w:rsidRDefault="002E2EFF" w:rsidP="001F143E">
      <w:pPr>
        <w:pStyle w:val="ONUME"/>
        <w:rPr>
          <w:lang w:val="ru-RU"/>
        </w:rPr>
      </w:pPr>
      <w:r>
        <w:rPr>
          <w:szCs w:val="22"/>
          <w:lang w:val="ru-RU"/>
        </w:rPr>
        <w:t xml:space="preserve">8 </w:t>
      </w:r>
      <w:r w:rsidRPr="0033011C">
        <w:rPr>
          <w:szCs w:val="22"/>
          <w:lang w:val="ru-RU"/>
        </w:rPr>
        <w:t>марта 2017 г</w:t>
      </w:r>
      <w:r>
        <w:rPr>
          <w:szCs w:val="22"/>
          <w:lang w:val="ru-RU"/>
        </w:rPr>
        <w:t xml:space="preserve">. Индийское патентное ведомство </w:t>
      </w:r>
      <w:r w:rsidR="00750A25" w:rsidRPr="0033011C">
        <w:rPr>
          <w:szCs w:val="22"/>
          <w:lang w:val="ru-RU"/>
        </w:rPr>
        <w:t>подал</w:t>
      </w:r>
      <w:r>
        <w:rPr>
          <w:szCs w:val="22"/>
          <w:lang w:val="ru-RU"/>
        </w:rPr>
        <w:t>о</w:t>
      </w:r>
      <w:r w:rsidR="00750A25" w:rsidRPr="0033011C">
        <w:rPr>
          <w:szCs w:val="22"/>
          <w:lang w:val="ru-RU"/>
        </w:rPr>
        <w:t xml:space="preserve"> заяв</w:t>
      </w:r>
      <w:r w:rsidR="000C785F" w:rsidRPr="0033011C">
        <w:rPr>
          <w:szCs w:val="22"/>
          <w:lang w:val="ru-RU"/>
        </w:rPr>
        <w:t xml:space="preserve">ление о продлении </w:t>
      </w:r>
      <w:r w:rsidR="00750A25" w:rsidRPr="0033011C">
        <w:rPr>
          <w:szCs w:val="22"/>
          <w:lang w:val="ru-RU"/>
        </w:rPr>
        <w:t xml:space="preserve">своего назначения в качестве </w:t>
      </w:r>
      <w:r w:rsidR="0053263B" w:rsidRPr="0033011C">
        <w:rPr>
          <w:szCs w:val="22"/>
          <w:lang w:val="ru-RU"/>
        </w:rPr>
        <w:t xml:space="preserve">Международного </w:t>
      </w:r>
      <w:r w:rsidR="00750A25" w:rsidRPr="0033011C">
        <w:rPr>
          <w:szCs w:val="22"/>
          <w:lang w:val="ru-RU"/>
        </w:rPr>
        <w:t xml:space="preserve">поискового органа и </w:t>
      </w:r>
      <w:r w:rsidR="0053263B" w:rsidRPr="0033011C">
        <w:rPr>
          <w:szCs w:val="22"/>
          <w:lang w:val="ru-RU"/>
        </w:rPr>
        <w:t xml:space="preserve">Органа </w:t>
      </w:r>
      <w:r w:rsidR="00750A25" w:rsidRPr="0033011C">
        <w:rPr>
          <w:szCs w:val="22"/>
          <w:lang w:val="ru-RU"/>
        </w:rPr>
        <w:t>международной предвари</w:t>
      </w:r>
      <w:r>
        <w:rPr>
          <w:szCs w:val="22"/>
          <w:lang w:val="ru-RU"/>
        </w:rPr>
        <w:t>тельной экспертизы в рамках PCT</w:t>
      </w:r>
      <w:r w:rsidR="001F143E" w:rsidRPr="0033011C">
        <w:rPr>
          <w:szCs w:val="22"/>
          <w:lang w:val="ru-RU"/>
        </w:rPr>
        <w:t>.  Данн</w:t>
      </w:r>
      <w:r w:rsidR="000C785F" w:rsidRPr="0033011C">
        <w:rPr>
          <w:szCs w:val="22"/>
          <w:lang w:val="ru-RU"/>
        </w:rPr>
        <w:t xml:space="preserve">ое заявление </w:t>
      </w:r>
      <w:r w:rsidR="001F143E" w:rsidRPr="0033011C">
        <w:rPr>
          <w:szCs w:val="22"/>
          <w:lang w:val="ru-RU"/>
        </w:rPr>
        <w:t>воспроизводится в приложении к настоящему документу</w:t>
      </w:r>
      <w:r w:rsidR="00AA5F79" w:rsidRPr="00F0401D">
        <w:rPr>
          <w:lang w:val="ru-RU"/>
        </w:rPr>
        <w:t>.</w:t>
      </w:r>
    </w:p>
    <w:p w:rsidR="009B467E" w:rsidRDefault="00750A25" w:rsidP="00750A25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750A25">
        <w:rPr>
          <w:i/>
          <w:lang w:val="ru-RU"/>
        </w:rPr>
        <w:t>Комитету предлагается высказать свое мнение по данному вопросу.</w:t>
      </w:r>
    </w:p>
    <w:p w:rsidR="009B467E" w:rsidRDefault="009B467E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0C785F" w:rsidRDefault="00750A25" w:rsidP="00750A25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0C785F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50A25">
        <w:rPr>
          <w:lang w:val="ru-RU"/>
        </w:rPr>
        <w:t>[Приложение следует]</w:t>
      </w:r>
    </w:p>
    <w:p w:rsidR="009B467E" w:rsidRDefault="000C785F" w:rsidP="00D202A4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521C05">
        <w:rPr>
          <w:lang w:val="ru-RU"/>
        </w:rPr>
        <w:lastRenderedPageBreak/>
        <w:t>ЗАЯВ</w:t>
      </w:r>
      <w:r>
        <w:rPr>
          <w:lang w:val="ru-RU"/>
        </w:rPr>
        <w:t xml:space="preserve">ЛЕНИЕ </w:t>
      </w:r>
      <w:r w:rsidR="002E2EFF">
        <w:rPr>
          <w:caps/>
          <w:sz w:val="24"/>
          <w:szCs w:val="24"/>
          <w:lang w:val="ru-RU"/>
        </w:rPr>
        <w:t>Индийского патентного ведомства</w:t>
      </w:r>
      <w:r w:rsidR="001F143E" w:rsidRPr="001F143E">
        <w:rPr>
          <w:caps/>
          <w:lang w:val="ru-RU"/>
        </w:rPr>
        <w:t xml:space="preserve"> </w:t>
      </w:r>
      <w:r>
        <w:rPr>
          <w:caps/>
          <w:lang w:val="ru-RU"/>
        </w:rPr>
        <w:t xml:space="preserve">о </w:t>
      </w:r>
      <w:r>
        <w:rPr>
          <w:sz w:val="24"/>
          <w:lang w:val="ru-RU"/>
        </w:rPr>
        <w:t xml:space="preserve">ПРОДЛЕНИИ </w:t>
      </w:r>
      <w:r w:rsidR="002E2EFF">
        <w:rPr>
          <w:sz w:val="24"/>
          <w:lang w:val="ru-RU"/>
        </w:rPr>
        <w:t>ЕГО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НАЗНАЧЕНИЯ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В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КАЧЕСТВЕ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Cs w:val="22"/>
          <w:lang w:val="ru-RU"/>
        </w:rPr>
        <w:t>М</w:t>
      </w:r>
      <w:r w:rsidR="001F143E" w:rsidRPr="00C41DD8">
        <w:rPr>
          <w:szCs w:val="22"/>
          <w:lang w:val="ru-RU"/>
        </w:rPr>
        <w:t>ЕЖДУНАРОДН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ПОИСКОВ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ОРГАН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И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О</w:t>
      </w:r>
      <w:r w:rsidR="001F143E" w:rsidRPr="00C41DD8">
        <w:rPr>
          <w:szCs w:val="22"/>
          <w:lang w:val="ru-RU"/>
        </w:rPr>
        <w:t>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МЕЖДУНАРОДНОЙ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ПРЕДВАРИТЕЛЬНОЙ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ЭКСПЕРТИЗЫ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В РАМКАХ</w:t>
      </w:r>
      <w:r w:rsidR="001F143E" w:rsidRPr="001F143E">
        <w:rPr>
          <w:lang w:val="ru-RU"/>
        </w:rPr>
        <w:t xml:space="preserve"> </w:t>
      </w:r>
      <w:r w:rsidR="00AA5F79" w:rsidRPr="00AA5F79">
        <w:rPr>
          <w:caps/>
        </w:rPr>
        <w:t>PCT</w:t>
      </w:r>
    </w:p>
    <w:p w:rsidR="009B467E" w:rsidRDefault="00D202A4" w:rsidP="00D202A4">
      <w:pPr>
        <w:pStyle w:val="SectionHeading"/>
        <w:rPr>
          <w:lang w:val="ru-RU"/>
        </w:rPr>
      </w:pPr>
      <w:r w:rsidRPr="00F0401D">
        <w:rPr>
          <w:lang w:val="ru-RU"/>
        </w:rPr>
        <w:t>1</w:t>
      </w:r>
      <w:r>
        <w:t> </w:t>
      </w:r>
      <w:r w:rsidRPr="00F0401D">
        <w:rPr>
          <w:lang w:val="ru-RU"/>
        </w:rPr>
        <w:t xml:space="preserve">– </w:t>
      </w:r>
      <w:r w:rsidR="001F143E">
        <w:rPr>
          <w:lang w:val="ru-RU"/>
        </w:rPr>
        <w:t>ОБЩИЕ СВЕДЕНИЯ</w:t>
      </w:r>
    </w:p>
    <w:p w:rsidR="009B467E" w:rsidRDefault="00F0401D" w:rsidP="00D202A4">
      <w:pPr>
        <w:rPr>
          <w:rFonts w:eastAsia="Calibri"/>
          <w:b/>
          <w:bCs/>
          <w:lang w:val="ru-RU"/>
        </w:rPr>
      </w:pPr>
      <w:r>
        <w:rPr>
          <w:b/>
          <w:bCs/>
          <w:lang w:val="ru-RU"/>
        </w:rPr>
        <w:t>Название национального ведомства или межправительственной организации</w:t>
      </w:r>
      <w:r w:rsidR="00D202A4" w:rsidRPr="00F0401D">
        <w:rPr>
          <w:b/>
          <w:bCs/>
          <w:lang w:val="ru-RU"/>
        </w:rPr>
        <w:t xml:space="preserve">: </w:t>
      </w:r>
    </w:p>
    <w:p w:rsidR="009B467E" w:rsidRDefault="002E2EFF" w:rsidP="00F0401D">
      <w:pPr>
        <w:autoSpaceDE w:val="0"/>
        <w:autoSpaceDN w:val="0"/>
        <w:adjustRightInd w:val="0"/>
        <w:spacing w:line="288" w:lineRule="auto"/>
        <w:jc w:val="both"/>
        <w:rPr>
          <w:szCs w:val="22"/>
          <w:lang w:val="ru-RU" w:eastAsia="ru-RU"/>
        </w:rPr>
      </w:pPr>
      <w:r>
        <w:rPr>
          <w:szCs w:val="22"/>
          <w:lang w:val="ru-RU" w:eastAsia="ru-RU"/>
        </w:rPr>
        <w:t>Индийское патентное ведомство (ИПВ</w:t>
      </w:r>
      <w:r w:rsidR="00F0401D" w:rsidRPr="00F0401D">
        <w:rPr>
          <w:szCs w:val="22"/>
          <w:lang w:val="ru-RU" w:eastAsia="ru-RU"/>
        </w:rPr>
        <w:t>)</w:t>
      </w:r>
    </w:p>
    <w:p w:rsidR="002E2EFF" w:rsidRDefault="002E2EFF" w:rsidP="00F0401D">
      <w:pPr>
        <w:autoSpaceDE w:val="0"/>
        <w:autoSpaceDN w:val="0"/>
        <w:adjustRightInd w:val="0"/>
        <w:spacing w:line="288" w:lineRule="auto"/>
        <w:jc w:val="both"/>
        <w:rPr>
          <w:szCs w:val="22"/>
          <w:lang w:val="ru-RU" w:eastAsia="ru-RU"/>
        </w:rPr>
      </w:pPr>
    </w:p>
    <w:p w:rsidR="002E2EFF" w:rsidRPr="002E2EFF" w:rsidRDefault="002E2EFF" w:rsidP="00F0401D">
      <w:pPr>
        <w:autoSpaceDE w:val="0"/>
        <w:autoSpaceDN w:val="0"/>
        <w:adjustRightInd w:val="0"/>
        <w:spacing w:line="288" w:lineRule="auto"/>
        <w:jc w:val="both"/>
        <w:rPr>
          <w:szCs w:val="22"/>
          <w:lang w:val="ru-RU" w:eastAsia="ru-RU"/>
        </w:rPr>
      </w:pPr>
      <w:r>
        <w:rPr>
          <w:b/>
          <w:szCs w:val="22"/>
          <w:lang w:val="ru-RU" w:eastAsia="ru-RU"/>
        </w:rPr>
        <w:t xml:space="preserve">Дата получения Генеральным директором заявления о назначении: </w:t>
      </w:r>
      <w:r w:rsidR="00AC2A0E">
        <w:rPr>
          <w:szCs w:val="22"/>
          <w:lang w:val="ru-RU" w:eastAsia="ru-RU"/>
        </w:rPr>
        <w:t>8 марта 2017 года</w:t>
      </w:r>
    </w:p>
    <w:p w:rsidR="009B467E" w:rsidRDefault="009B467E" w:rsidP="00D202A4">
      <w:pPr>
        <w:rPr>
          <w:szCs w:val="22"/>
          <w:lang w:val="ru-RU" w:eastAsia="en-US"/>
        </w:rPr>
      </w:pPr>
    </w:p>
    <w:p w:rsidR="009B467E" w:rsidRDefault="00F0401D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Сессия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Ассамблеи</w:t>
      </w:r>
      <w:r w:rsidRPr="00F0401D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на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которой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будет рассмотрен вопрос о назначении</w:t>
      </w:r>
      <w:r w:rsidR="00D202A4" w:rsidRPr="00F0401D">
        <w:rPr>
          <w:b/>
          <w:bCs/>
          <w:szCs w:val="22"/>
          <w:lang w:val="ru-RU"/>
        </w:rPr>
        <w:t>:</w:t>
      </w:r>
    </w:p>
    <w:p w:rsidR="009B467E" w:rsidRDefault="002E2EFF" w:rsidP="00D202A4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 xml:space="preserve">сентябрь/октябрь 2017 года, сорок девятая сессия Ассамблеи </w:t>
      </w:r>
      <w:r w:rsidR="00D202A4" w:rsidRPr="00D202A4">
        <w:rPr>
          <w:rFonts w:eastAsia="Calibri"/>
          <w:szCs w:val="22"/>
        </w:rPr>
        <w:t>PCT</w:t>
      </w:r>
      <w:r>
        <w:rPr>
          <w:rFonts w:eastAsia="Calibri"/>
          <w:szCs w:val="22"/>
          <w:lang w:val="ru-RU"/>
        </w:rPr>
        <w:t xml:space="preserve"> (Женева, Швейцария)</w:t>
      </w:r>
    </w:p>
    <w:p w:rsidR="00E3514E" w:rsidRDefault="00E3514E" w:rsidP="00D202A4">
      <w:pPr>
        <w:rPr>
          <w:rFonts w:eastAsia="Calibri"/>
          <w:szCs w:val="22"/>
          <w:lang w:val="ru-RU"/>
        </w:rPr>
      </w:pPr>
    </w:p>
    <w:p w:rsidR="00E3514E" w:rsidRDefault="00E3514E" w:rsidP="00D202A4">
      <w:pPr>
        <w:rPr>
          <w:rFonts w:eastAsia="Calibri"/>
          <w:szCs w:val="22"/>
          <w:lang w:val="ru-RU"/>
        </w:rPr>
      </w:pPr>
      <w:r>
        <w:rPr>
          <w:rFonts w:eastAsia="Calibri"/>
          <w:b/>
          <w:szCs w:val="22"/>
          <w:lang w:val="ru-RU"/>
        </w:rPr>
        <w:t xml:space="preserve">Предполагаемая </w:t>
      </w:r>
      <w:r w:rsidR="00293E49">
        <w:rPr>
          <w:b/>
          <w:bCs/>
          <w:szCs w:val="22"/>
          <w:lang w:val="ru-RU"/>
        </w:rPr>
        <w:t xml:space="preserve">дата возможного начала деятельности в качестве </w:t>
      </w:r>
      <w:r w:rsidR="00293E49" w:rsidRPr="00F0401D">
        <w:rPr>
          <w:b/>
          <w:bCs/>
          <w:szCs w:val="22"/>
          <w:lang w:val="ru-RU"/>
        </w:rPr>
        <w:t>МПО/ОМПЭ</w:t>
      </w:r>
      <w:r>
        <w:rPr>
          <w:rFonts w:eastAsia="Calibri"/>
          <w:b/>
          <w:szCs w:val="22"/>
          <w:lang w:val="ru-RU"/>
        </w:rPr>
        <w:t xml:space="preserve">: </w:t>
      </w:r>
      <w:r>
        <w:rPr>
          <w:rFonts w:eastAsia="Calibri"/>
          <w:szCs w:val="22"/>
          <w:lang w:val="ru-RU"/>
        </w:rPr>
        <w:t>продолжение функционирования без перерыва</w:t>
      </w:r>
    </w:p>
    <w:p w:rsidR="00293E49" w:rsidRDefault="00293E49" w:rsidP="00D202A4">
      <w:pPr>
        <w:rPr>
          <w:rFonts w:eastAsia="Calibri"/>
          <w:szCs w:val="22"/>
          <w:lang w:val="ru-RU"/>
        </w:rPr>
      </w:pPr>
    </w:p>
    <w:p w:rsidR="00293E49" w:rsidRPr="00293E49" w:rsidRDefault="00293E49" w:rsidP="00293E49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Существующий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 xml:space="preserve">(существующие) </w:t>
      </w:r>
      <w:r w:rsidRPr="00F0401D">
        <w:rPr>
          <w:b/>
          <w:bCs/>
          <w:szCs w:val="22"/>
          <w:lang w:val="ru-RU"/>
        </w:rPr>
        <w:t>МПО/ОМПЭ</w:t>
      </w:r>
      <w:r>
        <w:rPr>
          <w:b/>
          <w:bCs/>
          <w:szCs w:val="22"/>
          <w:lang w:val="ru-RU"/>
        </w:rPr>
        <w:t>, помогающий (помогающие) оценить степень соответствия требованиям</w:t>
      </w:r>
      <w:r w:rsidRPr="00F0401D">
        <w:rPr>
          <w:b/>
          <w:bCs/>
          <w:szCs w:val="22"/>
          <w:lang w:val="ru-RU"/>
        </w:rPr>
        <w:t>:</w:t>
      </w:r>
      <w:r>
        <w:rPr>
          <w:b/>
          <w:bCs/>
          <w:szCs w:val="22"/>
          <w:lang w:val="ru-RU"/>
        </w:rPr>
        <w:t xml:space="preserve"> </w:t>
      </w:r>
      <w:r w:rsidRPr="00293E49">
        <w:rPr>
          <w:bCs/>
          <w:szCs w:val="22"/>
          <w:lang w:val="ru-RU"/>
        </w:rPr>
        <w:t xml:space="preserve">неприменимо </w:t>
      </w:r>
      <w:r w:rsidRPr="00293E49">
        <w:rPr>
          <w:b/>
          <w:bCs/>
          <w:szCs w:val="22"/>
          <w:lang w:val="ru-RU"/>
        </w:rPr>
        <w:t xml:space="preserve"> </w:t>
      </w:r>
    </w:p>
    <w:p w:rsidR="00293E49" w:rsidRPr="00E3514E" w:rsidRDefault="00293E49" w:rsidP="00D202A4">
      <w:pPr>
        <w:rPr>
          <w:bCs/>
          <w:szCs w:val="22"/>
          <w:lang w:val="ru-RU"/>
        </w:rPr>
      </w:pPr>
    </w:p>
    <w:p w:rsidR="009B467E" w:rsidRDefault="009B467E" w:rsidP="00D202A4">
      <w:pPr>
        <w:rPr>
          <w:rFonts w:eastAsia="Calibri"/>
          <w:szCs w:val="22"/>
          <w:lang w:val="ru-RU"/>
        </w:rPr>
      </w:pPr>
    </w:p>
    <w:p w:rsidR="009B467E" w:rsidRDefault="00D202A4" w:rsidP="00D202A4">
      <w:pPr>
        <w:pStyle w:val="SectionHeading"/>
        <w:rPr>
          <w:lang w:val="ru-RU"/>
        </w:rPr>
      </w:pPr>
      <w:r w:rsidRPr="00C721A8">
        <w:rPr>
          <w:lang w:val="ru-RU"/>
        </w:rPr>
        <w:t>2</w:t>
      </w:r>
      <w:r>
        <w:t> </w:t>
      </w:r>
      <w:r w:rsidRPr="00C721A8">
        <w:rPr>
          <w:lang w:val="ru-RU"/>
        </w:rPr>
        <w:t xml:space="preserve">– </w:t>
      </w:r>
      <w:r w:rsidR="00F0401D">
        <w:rPr>
          <w:lang w:val="ru-RU"/>
        </w:rPr>
        <w:t>ОСНОВНЫЕ</w:t>
      </w:r>
      <w:r w:rsidR="00F0401D" w:rsidRPr="00C721A8">
        <w:rPr>
          <w:lang w:val="ru-RU"/>
        </w:rPr>
        <w:t xml:space="preserve"> </w:t>
      </w:r>
      <w:r w:rsidR="00F0401D">
        <w:rPr>
          <w:lang w:val="ru-RU"/>
        </w:rPr>
        <w:t>КРИТЕРИИ</w:t>
      </w:r>
      <w:r w:rsidRPr="00C721A8">
        <w:rPr>
          <w:lang w:val="ru-RU"/>
        </w:rPr>
        <w:t xml:space="preserve">:  </w:t>
      </w:r>
      <w:r w:rsidR="00C721A8" w:rsidRPr="00C721A8">
        <w:rPr>
          <w:lang w:val="ru-RU"/>
        </w:rPr>
        <w:t>миним</w:t>
      </w:r>
      <w:r w:rsidR="002D7CC3">
        <w:rPr>
          <w:lang w:val="ru-RU"/>
        </w:rPr>
        <w:t xml:space="preserve">ум </w:t>
      </w:r>
      <w:r w:rsidR="00C721A8" w:rsidRPr="00C721A8">
        <w:rPr>
          <w:lang w:val="ru-RU"/>
        </w:rPr>
        <w:t>требовани</w:t>
      </w:r>
      <w:r w:rsidR="002D7CC3">
        <w:rPr>
          <w:lang w:val="ru-RU"/>
        </w:rPr>
        <w:t xml:space="preserve">й </w:t>
      </w:r>
      <w:r w:rsidR="00C721A8">
        <w:rPr>
          <w:lang w:val="ru-RU"/>
        </w:rPr>
        <w:t xml:space="preserve">ДЛЯ НАЗНАЧЕНИЯ </w:t>
      </w:r>
    </w:p>
    <w:p w:rsidR="009B467E" w:rsidRDefault="00293E49" w:rsidP="00D202A4">
      <w:pPr>
        <w:rPr>
          <w:lang w:val="ru-RU"/>
        </w:rPr>
      </w:pPr>
      <w:r>
        <w:rPr>
          <w:lang w:val="ru-RU"/>
        </w:rPr>
        <w:t xml:space="preserve">ИПВ по-прежнему полностью отвечает минимальным требованиям, о чем говорится ниже. </w:t>
      </w:r>
    </w:p>
    <w:p w:rsidR="009B467E" w:rsidRDefault="00D202A4" w:rsidP="00D202A4">
      <w:pPr>
        <w:pStyle w:val="SectionHeading"/>
        <w:rPr>
          <w:lang w:val="ru-RU"/>
        </w:rPr>
      </w:pPr>
      <w:r w:rsidRPr="00C721A8">
        <w:rPr>
          <w:lang w:val="ru-RU"/>
        </w:rPr>
        <w:t xml:space="preserve">2.1 – </w:t>
      </w:r>
      <w:r w:rsidR="00C721A8" w:rsidRPr="00C721A8">
        <w:rPr>
          <w:lang w:val="ru-RU"/>
        </w:rPr>
        <w:t xml:space="preserve">ВОЗМОЖНОСТИ ДЛЯ ПРОВЕДЕНИЯ ПОИСКА И ЭКСПЕРТИЗЫ </w:t>
      </w:r>
    </w:p>
    <w:p w:rsidR="009B467E" w:rsidRDefault="00401549" w:rsidP="00D202A4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Правила</w:t>
      </w:r>
      <w:r w:rsidRPr="00401549">
        <w:rPr>
          <w:b/>
          <w:bCs/>
          <w:i/>
          <w:iCs/>
          <w:lang w:val="ru-RU"/>
        </w:rPr>
        <w:t xml:space="preserve"> </w:t>
      </w:r>
      <w:r w:rsidR="00D202A4" w:rsidRPr="00401549">
        <w:rPr>
          <w:b/>
          <w:bCs/>
          <w:i/>
          <w:iCs/>
          <w:lang w:val="ru-RU"/>
        </w:rPr>
        <w:t>36.1(</w:t>
      </w:r>
      <w:proofErr w:type="spellStart"/>
      <w:r w:rsidR="00D202A4">
        <w:rPr>
          <w:b/>
          <w:bCs/>
          <w:i/>
          <w:iCs/>
        </w:rPr>
        <w:t>i</w:t>
      </w:r>
      <w:proofErr w:type="spellEnd"/>
      <w:r w:rsidR="00D202A4" w:rsidRPr="00401549">
        <w:rPr>
          <w:b/>
          <w:bCs/>
          <w:i/>
          <w:iCs/>
          <w:lang w:val="ru-RU"/>
        </w:rPr>
        <w:t xml:space="preserve">) </w:t>
      </w:r>
      <w:r>
        <w:rPr>
          <w:b/>
          <w:bCs/>
          <w:i/>
          <w:iCs/>
          <w:lang w:val="ru-RU"/>
        </w:rPr>
        <w:t xml:space="preserve">и </w:t>
      </w:r>
      <w:r w:rsidR="00D202A4" w:rsidRPr="00401549">
        <w:rPr>
          <w:b/>
          <w:bCs/>
          <w:i/>
          <w:iCs/>
          <w:lang w:val="ru-RU"/>
        </w:rPr>
        <w:t>63.1(</w:t>
      </w:r>
      <w:proofErr w:type="spellStart"/>
      <w:r w:rsidR="00D202A4">
        <w:rPr>
          <w:b/>
          <w:bCs/>
          <w:i/>
          <w:iCs/>
        </w:rPr>
        <w:t>i</w:t>
      </w:r>
      <w:proofErr w:type="spellEnd"/>
      <w:r w:rsidR="003C2B58">
        <w:rPr>
          <w:b/>
          <w:bCs/>
          <w:i/>
          <w:iCs/>
          <w:lang w:val="ru-RU"/>
        </w:rPr>
        <w:t xml:space="preserve">): </w:t>
      </w:r>
      <w:r w:rsidRPr="00401549">
        <w:rPr>
          <w:b/>
          <w:bCs/>
          <w:i/>
          <w:iCs/>
          <w:lang w:val="ru-RU"/>
        </w:rPr>
        <w:t>Национальное ведомство или межправительственная 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экспертизы</w:t>
      </w:r>
      <w:r w:rsidR="00D202A4" w:rsidRPr="00401549">
        <w:rPr>
          <w:b/>
          <w:bCs/>
          <w:i/>
          <w:iCs/>
          <w:lang w:val="ru-RU"/>
        </w:rPr>
        <w:t>.</w:t>
      </w:r>
    </w:p>
    <w:p w:rsidR="009B467E" w:rsidRDefault="009B467E" w:rsidP="00D202A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9B467E" w:rsidRDefault="009B467E" w:rsidP="00D202A4">
      <w:pPr>
        <w:rPr>
          <w:lang w:val="ru-RU"/>
        </w:rPr>
      </w:pPr>
    </w:p>
    <w:p w:rsidR="00293E49" w:rsidRDefault="00293E49" w:rsidP="00293E49">
      <w:pPr>
        <w:keepNext/>
        <w:keepLines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Количество сотрудников, обладающих квалификацией для проведения </w:t>
      </w:r>
      <w:r w:rsidRPr="000B6DD9">
        <w:rPr>
          <w:b/>
          <w:lang w:val="ru-RU"/>
        </w:rPr>
        <w:t>поиска и экспертизы</w:t>
      </w:r>
      <w:r w:rsidRPr="000B6DD9">
        <w:rPr>
          <w:b/>
          <w:bCs/>
          <w:szCs w:val="22"/>
          <w:lang w:val="ru-RU"/>
        </w:rPr>
        <w:t xml:space="preserve"> </w:t>
      </w:r>
    </w:p>
    <w:tbl>
      <w:tblPr>
        <w:tblW w:w="9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2"/>
        <w:gridCol w:w="1710"/>
        <w:gridCol w:w="2610"/>
        <w:gridCol w:w="3600"/>
      </w:tblGrid>
      <w:tr w:rsidR="003062F6" w:rsidRPr="00CB2D2E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3062F6" w:rsidRDefault="003062F6" w:rsidP="001B10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Область техники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3062F6" w:rsidRDefault="003062F6" w:rsidP="001B1065">
            <w:pPr>
              <w:rPr>
                <w:b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Количеств</w:t>
            </w:r>
            <w:r w:rsidR="00DD79C4">
              <w:rPr>
                <w:b/>
                <w:bCs/>
                <w:szCs w:val="22"/>
                <w:lang w:val="ru-RU"/>
              </w:rPr>
              <w:t>о</w:t>
            </w:r>
            <w:r w:rsidRPr="002D7CC3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сотрудников</w:t>
            </w:r>
            <w:r w:rsidRPr="002D7CC3">
              <w:rPr>
                <w:b/>
                <w:bCs/>
                <w:szCs w:val="22"/>
                <w:lang w:val="ru-RU"/>
              </w:rPr>
              <w:t xml:space="preserve"> (</w:t>
            </w:r>
            <w:r>
              <w:rPr>
                <w:b/>
                <w:bCs/>
                <w:szCs w:val="22"/>
                <w:lang w:val="ru-RU"/>
              </w:rPr>
              <w:t>в пересчете на занятых полную рабочую неделю</w:t>
            </w:r>
            <w:r w:rsidRPr="002D7CC3">
              <w:rPr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DD79C4" w:rsidRDefault="00DD79C4" w:rsidP="001B10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 стаж работы экспертов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DD79C4" w:rsidRDefault="00DD79C4" w:rsidP="00DD79C4">
            <w:pPr>
              <w:ind w:righ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Профессиональная специализация</w:t>
            </w:r>
          </w:p>
        </w:tc>
      </w:tr>
      <w:tr w:rsidR="003062F6" w:rsidRPr="00A710E1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proofErr w:type="spellStart"/>
            <w:r>
              <w:t>Механика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DD79C4" w:rsidRDefault="003062F6" w:rsidP="001B1065">
            <w:pPr>
              <w:rPr>
                <w:lang w:val="ru-RU"/>
              </w:rPr>
            </w:pPr>
            <w:r w:rsidRPr="00CB2D2E">
              <w:t>165</w:t>
            </w:r>
            <w:r w:rsidR="00DD79C4">
              <w:rPr>
                <w:lang w:val="ru-RU"/>
              </w:rPr>
              <w:t xml:space="preserve">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r>
              <w:t xml:space="preserve">30 (4 </w:t>
            </w:r>
            <w:proofErr w:type="spellStart"/>
            <w:r>
              <w:t>года</w:t>
            </w:r>
            <w:proofErr w:type="spellEnd"/>
            <w:r>
              <w:t xml:space="preserve">) + 135 (1 </w:t>
            </w:r>
            <w:proofErr w:type="spellStart"/>
            <w:r>
              <w:t>год</w:t>
            </w:r>
            <w:proofErr w:type="spellEnd"/>
            <w:r w:rsidR="003062F6" w:rsidRPr="00CB2D2E">
              <w:t xml:space="preserve">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DD79C4" w:rsidRDefault="00DD79C4" w:rsidP="001B1065">
            <w:pPr>
              <w:rPr>
                <w:lang w:val="ru-RU"/>
              </w:rPr>
            </w:pPr>
            <w:r w:rsidRPr="00DD79C4">
              <w:rPr>
                <w:lang w:val="ru-RU"/>
              </w:rPr>
              <w:t xml:space="preserve"> Механика </w:t>
            </w:r>
            <w:r w:rsidR="003062F6" w:rsidRPr="00DD79C4">
              <w:rPr>
                <w:lang w:val="ru-RU"/>
              </w:rPr>
              <w:t xml:space="preserve">(133), </w:t>
            </w:r>
            <w:r>
              <w:rPr>
                <w:lang w:val="ru-RU"/>
              </w:rPr>
              <w:t>гражданское строительство</w:t>
            </w:r>
            <w:r w:rsidR="003062F6" w:rsidRPr="00DD79C4">
              <w:rPr>
                <w:lang w:val="ru-RU"/>
              </w:rPr>
              <w:t xml:space="preserve">(9), </w:t>
            </w:r>
            <w:r>
              <w:rPr>
                <w:lang w:val="ru-RU"/>
              </w:rPr>
              <w:t>текстиль</w:t>
            </w:r>
            <w:r w:rsidR="003062F6" w:rsidRPr="00DD79C4">
              <w:rPr>
                <w:lang w:val="ru-RU"/>
              </w:rPr>
              <w:t xml:space="preserve">(11), </w:t>
            </w:r>
            <w:r>
              <w:rPr>
                <w:lang w:val="ru-RU"/>
              </w:rPr>
              <w:t>металлургия</w:t>
            </w:r>
            <w:r w:rsidR="0011211E">
              <w:rPr>
                <w:lang w:val="ru-RU"/>
              </w:rPr>
              <w:t>(12)</w:t>
            </w:r>
            <w:r w:rsidR="003062F6" w:rsidRPr="00DD79C4">
              <w:rPr>
                <w:lang w:val="ru-RU"/>
              </w:rPr>
              <w:t xml:space="preserve"> </w:t>
            </w:r>
          </w:p>
        </w:tc>
      </w:tr>
      <w:tr w:rsidR="003062F6" w:rsidRPr="00A710E1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Default="00DD79C4" w:rsidP="001B1065">
            <w:pPr>
              <w:rPr>
                <w:lang w:val="ru-RU"/>
              </w:rPr>
            </w:pPr>
            <w:r>
              <w:rPr>
                <w:lang w:val="ru-RU"/>
              </w:rPr>
              <w:t>Электричество/</w:t>
            </w:r>
          </w:p>
          <w:p w:rsidR="00DD79C4" w:rsidRPr="00DD79C4" w:rsidRDefault="00DD79C4" w:rsidP="001B1065">
            <w:pPr>
              <w:rPr>
                <w:lang w:val="ru-RU"/>
              </w:rPr>
            </w:pPr>
            <w:r>
              <w:rPr>
                <w:lang w:val="ru-RU"/>
              </w:rPr>
              <w:t>электроника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3062F6" w:rsidP="001B1065">
            <w:r w:rsidRPr="00CB2D2E">
              <w:t>212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r>
              <w:t xml:space="preserve">57 (4 </w:t>
            </w:r>
            <w:proofErr w:type="spellStart"/>
            <w:r>
              <w:t>года</w:t>
            </w:r>
            <w:proofErr w:type="spellEnd"/>
            <w:r>
              <w:t xml:space="preserve">) + 155 (1 </w:t>
            </w:r>
            <w:proofErr w:type="spellStart"/>
            <w:r>
              <w:t>год</w:t>
            </w:r>
            <w:proofErr w:type="spellEnd"/>
            <w:r w:rsidR="003062F6" w:rsidRPr="00CB2D2E">
              <w:t xml:space="preserve">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DD79C4" w:rsidRDefault="00DD79C4" w:rsidP="001B1065">
            <w:pPr>
              <w:rPr>
                <w:lang w:val="ru-RU"/>
              </w:rPr>
            </w:pPr>
            <w:r w:rsidRPr="00DD79C4">
              <w:rPr>
                <w:lang w:val="ru-RU"/>
              </w:rPr>
              <w:t>Электричество</w:t>
            </w:r>
            <w:r w:rsidR="003062F6" w:rsidRPr="00DD79C4">
              <w:rPr>
                <w:lang w:val="ru-RU"/>
              </w:rPr>
              <w:t xml:space="preserve">(43), </w:t>
            </w:r>
            <w:r>
              <w:rPr>
                <w:lang w:val="ru-RU"/>
              </w:rPr>
              <w:t>электроника и связь(67), физика(49), биомедицина</w:t>
            </w:r>
            <w:r w:rsidR="003062F6" w:rsidRPr="00DD79C4">
              <w:rPr>
                <w:lang w:val="ru-RU"/>
              </w:rPr>
              <w:t xml:space="preserve">(21), </w:t>
            </w:r>
            <w:r>
              <w:rPr>
                <w:lang w:val="ru-RU"/>
              </w:rPr>
              <w:t>компьютерная техника</w:t>
            </w:r>
            <w:r w:rsidR="003062F6" w:rsidRPr="00DD79C4">
              <w:rPr>
                <w:lang w:val="ru-RU"/>
              </w:rPr>
              <w:t>(32)</w:t>
            </w:r>
          </w:p>
        </w:tc>
      </w:tr>
      <w:tr w:rsidR="003062F6" w:rsidRPr="00CB2D2E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proofErr w:type="spellStart"/>
            <w:r>
              <w:lastRenderedPageBreak/>
              <w:t>Химия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3062F6" w:rsidP="001B1065">
            <w:r w:rsidRPr="00CB2D2E">
              <w:t>111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r>
              <w:t xml:space="preserve">31 (4 </w:t>
            </w:r>
            <w:proofErr w:type="spellStart"/>
            <w:r>
              <w:t>года</w:t>
            </w:r>
            <w:proofErr w:type="spellEnd"/>
            <w:r>
              <w:t xml:space="preserve">) + 80 (1 </w:t>
            </w:r>
            <w:proofErr w:type="spellStart"/>
            <w:r>
              <w:t>год</w:t>
            </w:r>
            <w:proofErr w:type="spellEnd"/>
            <w:r w:rsidR="003062F6" w:rsidRPr="00CB2D2E">
              <w:t xml:space="preserve">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r w:rsidRPr="00CB2D2E">
              <w:t xml:space="preserve"> </w:t>
            </w:r>
            <w:proofErr w:type="spellStart"/>
            <w:r w:rsidR="00016F92">
              <w:t>Химия</w:t>
            </w:r>
            <w:proofErr w:type="spellEnd"/>
            <w:r w:rsidR="00016F92" w:rsidRPr="00CB2D2E">
              <w:t xml:space="preserve"> </w:t>
            </w:r>
            <w:r w:rsidR="00016F92">
              <w:t xml:space="preserve">(94), </w:t>
            </w:r>
            <w:proofErr w:type="spellStart"/>
            <w:r w:rsidR="00016F92">
              <w:t>полимеры</w:t>
            </w:r>
            <w:proofErr w:type="spellEnd"/>
            <w:r w:rsidR="003062F6" w:rsidRPr="00CB2D2E">
              <w:t>(17)</w:t>
            </w:r>
          </w:p>
        </w:tc>
      </w:tr>
      <w:tr w:rsidR="003062F6" w:rsidRPr="00CB2D2E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proofErr w:type="spellStart"/>
            <w:r>
              <w:t>Биотехнология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3062F6" w:rsidP="001B1065">
            <w:r w:rsidRPr="00CB2D2E"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016F92" w:rsidP="001B1065">
            <w:r>
              <w:t xml:space="preserve">11 (4 </w:t>
            </w:r>
            <w:proofErr w:type="spellStart"/>
            <w:r>
              <w:t>года</w:t>
            </w:r>
            <w:proofErr w:type="spellEnd"/>
            <w:r>
              <w:t xml:space="preserve">) + 29 (1 </w:t>
            </w:r>
            <w:proofErr w:type="spellStart"/>
            <w:r>
              <w:t>год</w:t>
            </w:r>
            <w:proofErr w:type="spellEnd"/>
            <w:r w:rsidR="003062F6" w:rsidRPr="00CB2D2E">
              <w:t xml:space="preserve">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016F92" w:rsidP="001B1065">
            <w:r w:rsidRPr="00CB2D2E">
              <w:t xml:space="preserve"> </w:t>
            </w:r>
            <w:proofErr w:type="spellStart"/>
            <w:r>
              <w:t>Биотехнология</w:t>
            </w:r>
            <w:proofErr w:type="spellEnd"/>
            <w:r w:rsidRPr="00CB2D2E">
              <w:t xml:space="preserve"> </w:t>
            </w:r>
            <w:r>
              <w:t xml:space="preserve">(29), </w:t>
            </w:r>
            <w:proofErr w:type="spellStart"/>
            <w:r>
              <w:t>биохимия</w:t>
            </w:r>
            <w:proofErr w:type="spellEnd"/>
            <w:r>
              <w:t xml:space="preserve">(6), </w:t>
            </w:r>
            <w:proofErr w:type="spellStart"/>
            <w:r>
              <w:t>продукты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 w:rsidR="003062F6" w:rsidRPr="00CB2D2E">
              <w:t>(5)</w:t>
            </w:r>
          </w:p>
        </w:tc>
      </w:tr>
      <w:tr w:rsidR="003062F6" w:rsidRPr="00CB2D2E" w:rsidTr="00DD79C4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DD79C4" w:rsidP="001B1065">
            <w:pPr>
              <w:rPr>
                <w:i/>
              </w:rPr>
            </w:pPr>
            <w:proofErr w:type="spellStart"/>
            <w:r>
              <w:rPr>
                <w:i/>
              </w:rPr>
              <w:t>Всего</w:t>
            </w:r>
            <w:proofErr w:type="spellEnd"/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2F6" w:rsidRPr="00CB2D2E" w:rsidRDefault="003062F6" w:rsidP="001B1065">
            <w:pPr>
              <w:rPr>
                <w:i/>
              </w:rPr>
            </w:pPr>
            <w:r w:rsidRPr="00CB2D2E">
              <w:rPr>
                <w:i/>
              </w:rPr>
              <w:t>528</w:t>
            </w:r>
          </w:p>
        </w:tc>
      </w:tr>
    </w:tbl>
    <w:p w:rsidR="00293E49" w:rsidRDefault="00293E49" w:rsidP="00293E49">
      <w:pPr>
        <w:keepNext/>
        <w:keepLines/>
        <w:rPr>
          <w:b/>
          <w:bCs/>
          <w:szCs w:val="22"/>
          <w:lang w:val="ru-RU"/>
        </w:rPr>
      </w:pPr>
    </w:p>
    <w:p w:rsidR="00016F92" w:rsidRDefault="00016F9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Учебные программы</w:t>
      </w:r>
    </w:p>
    <w:p w:rsidR="00016F92" w:rsidRDefault="00016F92">
      <w:pPr>
        <w:rPr>
          <w:b/>
          <w:bCs/>
          <w:szCs w:val="22"/>
          <w:lang w:val="ru-RU"/>
        </w:rPr>
      </w:pPr>
    </w:p>
    <w:p w:rsidR="009B467E" w:rsidRPr="00080AA9" w:rsidRDefault="00016F92" w:rsidP="00D202A4">
      <w:pPr>
        <w:rPr>
          <w:b/>
          <w:bCs/>
          <w:szCs w:val="22"/>
          <w:lang w:val="ru-RU"/>
        </w:rPr>
      </w:pPr>
      <w:r>
        <w:rPr>
          <w:bCs/>
          <w:szCs w:val="22"/>
          <w:lang w:val="ru-RU"/>
        </w:rPr>
        <w:t>Все нанятые на работу эксперты в течение трех месяцев проходят</w:t>
      </w:r>
      <w:r w:rsidR="00C7035A">
        <w:rPr>
          <w:bCs/>
          <w:szCs w:val="22"/>
          <w:lang w:val="ru-RU"/>
        </w:rPr>
        <w:t xml:space="preserve"> курс первоначальной подготовки в Национальном институте управления интеллектуальной собственностью им. Раджива Ганди</w:t>
      </w:r>
      <w:r w:rsidR="00F85D64">
        <w:rPr>
          <w:bCs/>
          <w:szCs w:val="22"/>
          <w:lang w:val="ru-RU"/>
        </w:rPr>
        <w:t xml:space="preserve"> (</w:t>
      </w:r>
      <w:r w:rsidR="00F23E83">
        <w:rPr>
          <w:bCs/>
          <w:szCs w:val="22"/>
          <w:lang w:val="ru-RU"/>
        </w:rPr>
        <w:t>НИУИСРГ)</w:t>
      </w:r>
      <w:r w:rsidR="00C7035A">
        <w:rPr>
          <w:bCs/>
          <w:szCs w:val="22"/>
          <w:lang w:val="ru-RU"/>
        </w:rPr>
        <w:t>, расположенном в Нагпуре. За этой п</w:t>
      </w:r>
      <w:r w:rsidR="00F23E83">
        <w:rPr>
          <w:bCs/>
          <w:szCs w:val="22"/>
          <w:lang w:val="ru-RU"/>
        </w:rPr>
        <w:t>ервоначальной подготовкой следую</w:t>
      </w:r>
      <w:r w:rsidR="00C7035A">
        <w:rPr>
          <w:bCs/>
          <w:szCs w:val="22"/>
          <w:lang w:val="ru-RU"/>
        </w:rPr>
        <w:t>т восьмимесячное обучение без отрыва от производства, а зате</w:t>
      </w:r>
      <w:r w:rsidR="00F23E83">
        <w:rPr>
          <w:bCs/>
          <w:szCs w:val="22"/>
          <w:lang w:val="ru-RU"/>
        </w:rPr>
        <w:t>м</w:t>
      </w:r>
      <w:r w:rsidR="00C7035A">
        <w:rPr>
          <w:bCs/>
          <w:szCs w:val="22"/>
          <w:lang w:val="ru-RU"/>
        </w:rPr>
        <w:t xml:space="preserve"> еще один месяц </w:t>
      </w:r>
      <w:r w:rsidR="00F85D64">
        <w:rPr>
          <w:bCs/>
          <w:szCs w:val="22"/>
          <w:lang w:val="ru-RU"/>
        </w:rPr>
        <w:t xml:space="preserve">профессионального обучения в </w:t>
      </w:r>
      <w:r w:rsidR="00F16287">
        <w:rPr>
          <w:bCs/>
          <w:szCs w:val="22"/>
          <w:lang w:val="ru-RU"/>
        </w:rPr>
        <w:t>НИУИСРГ. На втором году</w:t>
      </w:r>
      <w:r w:rsidR="00F23E83">
        <w:rPr>
          <w:bCs/>
          <w:szCs w:val="22"/>
          <w:lang w:val="ru-RU"/>
        </w:rPr>
        <w:t xml:space="preserve"> работы сотрудники на своем рабочем месте в течение месяца проходят курс повышения профессиональной подготовки. В связи с выполнением Ведомством функции </w:t>
      </w:r>
      <w:r w:rsidR="00F23E83" w:rsidRPr="00F23E83">
        <w:rPr>
          <w:bCs/>
          <w:szCs w:val="22"/>
          <w:lang w:val="ru-RU"/>
        </w:rPr>
        <w:t>МПО/</w:t>
      </w:r>
      <w:r w:rsidR="00080AA9" w:rsidRPr="00F23E83">
        <w:rPr>
          <w:bCs/>
          <w:szCs w:val="22"/>
          <w:lang w:val="ru-RU"/>
        </w:rPr>
        <w:t>ОМПЭ</w:t>
      </w:r>
      <w:r w:rsidR="00080AA9">
        <w:rPr>
          <w:bCs/>
          <w:szCs w:val="22"/>
          <w:lang w:val="ru-RU"/>
        </w:rPr>
        <w:t xml:space="preserve"> его</w:t>
      </w:r>
      <w:r w:rsidR="00F23E83">
        <w:rPr>
          <w:bCs/>
          <w:szCs w:val="22"/>
          <w:lang w:val="ru-RU"/>
        </w:rPr>
        <w:t xml:space="preserve"> сотрудники посещают специализированные занятия, посвященные вопросам обеспечения качества согласно Руководству по проведению международного поиска и международной предварительной экспертизы. К осуществлению этих учебных программ</w:t>
      </w:r>
      <w:r w:rsidR="00080AA9">
        <w:rPr>
          <w:bCs/>
          <w:szCs w:val="22"/>
          <w:lang w:val="ru-RU"/>
        </w:rPr>
        <w:t xml:space="preserve"> привлекаются как инструкторы, входящие в штат Ведомства, так и инструкторы из других патентных ведомств, что позволяет добиваться более четкого понимания международных процедур и перенимать передовой опыт, накопленный в других структурах. Непрерывный процесс обучения включает в себя осуществление учебных программ силами ВОИС и других патентных ведомств, и такие учебные мероприятия время от времени проводятся как в самой Индии, так и за ее пределами. ИПВ не только ведет деятельность по обучению, но и осуществляет программы обмена экспертами с участием других патентных ведомств. </w:t>
      </w:r>
      <w:r w:rsidR="00F23E83">
        <w:rPr>
          <w:bCs/>
          <w:szCs w:val="22"/>
          <w:lang w:val="ru-RU"/>
        </w:rPr>
        <w:t xml:space="preserve"> </w:t>
      </w:r>
    </w:p>
    <w:p w:rsidR="009B467E" w:rsidRPr="00080AA9" w:rsidRDefault="009B467E" w:rsidP="00D202A4">
      <w:pPr>
        <w:rPr>
          <w:b/>
          <w:bCs/>
          <w:i/>
          <w:color w:val="1F497D"/>
          <w:lang w:val="ru-RU"/>
        </w:rPr>
      </w:pPr>
    </w:p>
    <w:p w:rsidR="009B467E" w:rsidRDefault="00080AA9" w:rsidP="00D202A4">
      <w:pPr>
        <w:keepNext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Правила</w:t>
      </w:r>
      <w:r w:rsidR="00D202A4" w:rsidRPr="001E249A">
        <w:rPr>
          <w:b/>
          <w:bCs/>
          <w:i/>
          <w:lang w:val="ru-RU"/>
        </w:rPr>
        <w:t xml:space="preserve"> 36.1 (</w:t>
      </w:r>
      <w:r w:rsidR="00D202A4" w:rsidRPr="00D202A4">
        <w:rPr>
          <w:b/>
          <w:bCs/>
          <w:i/>
        </w:rPr>
        <w:t>ii</w:t>
      </w:r>
      <w:r w:rsidR="00D202A4" w:rsidRPr="001E249A">
        <w:rPr>
          <w:b/>
          <w:bCs/>
          <w:i/>
          <w:lang w:val="ru-RU"/>
        </w:rPr>
        <w:t>)</w:t>
      </w:r>
      <w:r>
        <w:rPr>
          <w:b/>
          <w:bCs/>
          <w:i/>
          <w:lang w:val="ru-RU"/>
        </w:rPr>
        <w:t xml:space="preserve"> и 63.1 (</w:t>
      </w:r>
      <w:r w:rsidR="00BB33BE" w:rsidRPr="00D202A4">
        <w:rPr>
          <w:b/>
          <w:bCs/>
          <w:i/>
        </w:rPr>
        <w:t>ii</w:t>
      </w:r>
      <w:r w:rsidR="00BB33BE" w:rsidRPr="001E249A">
        <w:rPr>
          <w:b/>
          <w:bCs/>
          <w:i/>
          <w:lang w:val="ru-RU"/>
        </w:rPr>
        <w:t>)</w:t>
      </w:r>
      <w:r w:rsidR="001E249A">
        <w:rPr>
          <w:b/>
          <w:bCs/>
          <w:i/>
          <w:lang w:val="ru-RU"/>
        </w:rPr>
        <w:t xml:space="preserve">: </w:t>
      </w:r>
      <w:r w:rsidR="001E249A" w:rsidRPr="001E249A">
        <w:rPr>
          <w:b/>
          <w:bCs/>
          <w:i/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</w:t>
      </w:r>
      <w:r w:rsidR="005F63B0">
        <w:rPr>
          <w:b/>
          <w:bCs/>
          <w:i/>
          <w:lang w:val="ru-RU"/>
        </w:rPr>
        <w:t>,</w:t>
      </w:r>
      <w:r w:rsidR="001E249A" w:rsidRPr="001E249A">
        <w:rPr>
          <w:b/>
          <w:bCs/>
          <w:i/>
          <w:lang w:val="ru-RU"/>
        </w:rPr>
        <w:t xml:space="preserve"> на бумаге, в микроформах или на электронных носителях</w:t>
      </w:r>
      <w:r w:rsidR="00506AA2">
        <w:rPr>
          <w:b/>
          <w:bCs/>
          <w:i/>
          <w:lang w:val="ru-RU"/>
        </w:rPr>
        <w:t xml:space="preserve">. </w:t>
      </w:r>
    </w:p>
    <w:p w:rsidR="009B467E" w:rsidRDefault="009B467E" w:rsidP="00D202A4">
      <w:pPr>
        <w:keepNext/>
        <w:rPr>
          <w:b/>
          <w:bCs/>
          <w:color w:val="1F497D"/>
          <w:lang w:val="ru-RU"/>
        </w:rPr>
      </w:pPr>
    </w:p>
    <w:p w:rsidR="009B467E" w:rsidRDefault="001E249A" w:rsidP="00D202A4">
      <w:pPr>
        <w:keepNext/>
        <w:rPr>
          <w:b/>
          <w:bCs/>
          <w:lang w:val="ru-RU"/>
        </w:rPr>
      </w:pPr>
      <w:r>
        <w:rPr>
          <w:b/>
          <w:bCs/>
          <w:lang w:val="ru-RU"/>
        </w:rPr>
        <w:t>Доступ</w:t>
      </w:r>
      <w:r w:rsidRPr="001E249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1E249A">
        <w:rPr>
          <w:b/>
          <w:bCs/>
          <w:lang w:val="ru-RU"/>
        </w:rPr>
        <w:t xml:space="preserve"> минимуму документации для целей поиска</w:t>
      </w:r>
      <w:r w:rsidR="00D202A4" w:rsidRPr="001E249A">
        <w:rPr>
          <w:b/>
          <w:bCs/>
          <w:lang w:val="ru-RU"/>
        </w:rPr>
        <w:t>:</w:t>
      </w:r>
    </w:p>
    <w:p w:rsidR="009B467E" w:rsidRDefault="009B467E" w:rsidP="00D202A4">
      <w:pPr>
        <w:keepNext/>
        <w:rPr>
          <w:b/>
          <w:bCs/>
          <w:lang w:val="ru-RU"/>
        </w:rPr>
      </w:pPr>
    </w:p>
    <w:p w:rsidR="009B467E" w:rsidRDefault="00D202A4" w:rsidP="00D202A4">
      <w:pPr>
        <w:rPr>
          <w:lang w:val="ru-RU"/>
        </w:rPr>
      </w:pPr>
      <w:r w:rsidRPr="001E249A">
        <w:rPr>
          <w:lang w:val="ru-RU"/>
        </w:rPr>
        <w:t>(</w:t>
      </w:r>
      <w:r w:rsidRPr="00D202A4">
        <w:t>X</w:t>
      </w:r>
      <w:r w:rsidRPr="001E249A">
        <w:rPr>
          <w:lang w:val="ru-RU"/>
        </w:rPr>
        <w:t>)</w:t>
      </w:r>
      <w:r w:rsidRPr="001E249A">
        <w:rPr>
          <w:lang w:val="ru-RU"/>
        </w:rPr>
        <w:tab/>
      </w:r>
      <w:r w:rsidR="001E249A">
        <w:rPr>
          <w:lang w:val="ru-RU"/>
        </w:rPr>
        <w:t>Полный доступ</w:t>
      </w:r>
      <w:r w:rsidRPr="001E249A">
        <w:rPr>
          <w:lang w:val="ru-RU"/>
        </w:rPr>
        <w:t xml:space="preserve"> </w:t>
      </w:r>
    </w:p>
    <w:p w:rsidR="009B467E" w:rsidRDefault="009B467E" w:rsidP="00D202A4">
      <w:pPr>
        <w:rPr>
          <w:b/>
          <w:bCs/>
          <w:lang w:val="ru-RU"/>
        </w:rPr>
      </w:pPr>
    </w:p>
    <w:p w:rsidR="009B467E" w:rsidRDefault="001E249A" w:rsidP="00D202A4">
      <w:pPr>
        <w:rPr>
          <w:b/>
          <w:bCs/>
          <w:lang w:val="ru-RU"/>
        </w:rPr>
      </w:pPr>
      <w:r w:rsidRPr="001E249A">
        <w:rPr>
          <w:b/>
          <w:bCs/>
          <w:lang w:val="ru-RU"/>
        </w:rPr>
        <w:t>Поисковые системы</w:t>
      </w:r>
      <w:r w:rsidR="00D202A4" w:rsidRPr="001E249A">
        <w:rPr>
          <w:b/>
          <w:bCs/>
          <w:lang w:val="ru-RU"/>
        </w:rPr>
        <w:t>:</w:t>
      </w:r>
      <w:r w:rsidRPr="001E249A">
        <w:rPr>
          <w:b/>
          <w:bCs/>
          <w:lang w:val="ru-RU"/>
        </w:rPr>
        <w:t xml:space="preserve"> </w:t>
      </w:r>
    </w:p>
    <w:p w:rsidR="00BB33BE" w:rsidRDefault="00BB33BE" w:rsidP="00D202A4">
      <w:pPr>
        <w:rPr>
          <w:b/>
          <w:bCs/>
          <w:lang w:val="ru-RU"/>
        </w:rPr>
      </w:pPr>
    </w:p>
    <w:p w:rsidR="00BB33BE" w:rsidRDefault="00BB33BE" w:rsidP="00D202A4">
      <w:pPr>
        <w:rPr>
          <w:bCs/>
          <w:lang w:val="ru-RU"/>
        </w:rPr>
      </w:pPr>
      <w:r w:rsidRPr="00BB33BE">
        <w:rPr>
          <w:bCs/>
          <w:lang w:val="ru-RU"/>
        </w:rPr>
        <w:t xml:space="preserve">Для проведения поиска </w:t>
      </w:r>
      <w:r>
        <w:rPr>
          <w:bCs/>
          <w:lang w:val="ru-RU"/>
        </w:rPr>
        <w:t>используются следующие ИТ-системы:</w:t>
      </w:r>
    </w:p>
    <w:p w:rsidR="00BB33BE" w:rsidRDefault="00BB33BE" w:rsidP="00D202A4">
      <w:pPr>
        <w:rPr>
          <w:bCs/>
          <w:lang w:val="ru-RU"/>
        </w:rPr>
      </w:pPr>
    </w:p>
    <w:p w:rsidR="00BB33BE" w:rsidRDefault="00BB33BE" w:rsidP="00D202A4">
      <w:pPr>
        <w:rPr>
          <w:bCs/>
          <w:lang w:val="ru-RU"/>
        </w:rPr>
      </w:pPr>
      <w:r>
        <w:rPr>
          <w:bCs/>
          <w:lang w:val="ru-RU"/>
        </w:rPr>
        <w:tab/>
      </w:r>
      <w:proofErr w:type="spellStart"/>
      <w:r>
        <w:rPr>
          <w:bCs/>
        </w:rPr>
        <w:t>Patseer</w:t>
      </w:r>
      <w:proofErr w:type="spellEnd"/>
      <w:r w:rsidRPr="007571E0">
        <w:rPr>
          <w:bCs/>
          <w:lang w:val="ru-RU"/>
        </w:rPr>
        <w:t xml:space="preserve"> </w:t>
      </w:r>
      <w:r>
        <w:rPr>
          <w:bCs/>
          <w:lang w:val="ru-RU"/>
        </w:rPr>
        <w:t>(ПЛ и НПЛ)</w:t>
      </w:r>
    </w:p>
    <w:p w:rsidR="00BB33BE" w:rsidRDefault="00BB33BE" w:rsidP="00D202A4">
      <w:pPr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</w:rPr>
        <w:t>STN</w:t>
      </w:r>
      <w:r w:rsidRPr="00CE1E73">
        <w:rPr>
          <w:bCs/>
          <w:lang w:val="ru-RU"/>
        </w:rPr>
        <w:t xml:space="preserve"> </w:t>
      </w:r>
      <w:r>
        <w:rPr>
          <w:bCs/>
          <w:lang w:val="ru-RU"/>
        </w:rPr>
        <w:t xml:space="preserve">(ПЛ, НПЛ и </w:t>
      </w:r>
      <w:r w:rsidR="00CE1E73">
        <w:rPr>
          <w:bCs/>
          <w:lang w:val="ru-RU"/>
        </w:rPr>
        <w:t>перечень последовательностей)</w:t>
      </w:r>
    </w:p>
    <w:p w:rsidR="00CE1E73" w:rsidRDefault="00CE1E73" w:rsidP="00D202A4">
      <w:pPr>
        <w:rPr>
          <w:bCs/>
          <w:lang w:val="ru-RU"/>
        </w:rPr>
      </w:pPr>
      <w:r>
        <w:rPr>
          <w:bCs/>
          <w:lang w:val="ru-RU"/>
        </w:rPr>
        <w:tab/>
      </w:r>
      <w:proofErr w:type="spellStart"/>
      <w:r>
        <w:rPr>
          <w:bCs/>
        </w:rPr>
        <w:t>InPASS</w:t>
      </w:r>
      <w:proofErr w:type="spellEnd"/>
      <w:r w:rsidRPr="007571E0">
        <w:rPr>
          <w:bCs/>
          <w:lang w:val="ru-RU"/>
        </w:rPr>
        <w:t xml:space="preserve"> (</w:t>
      </w:r>
      <w:r>
        <w:rPr>
          <w:bCs/>
          <w:lang w:val="ru-RU"/>
        </w:rPr>
        <w:t>ПЛ-Индия)</w:t>
      </w:r>
    </w:p>
    <w:p w:rsidR="00CE1E73" w:rsidRDefault="00FA1BF8" w:rsidP="00FA1BF8">
      <w:pPr>
        <w:ind w:left="567"/>
        <w:rPr>
          <w:bCs/>
          <w:lang w:val="ru-RU"/>
        </w:rPr>
      </w:pPr>
      <w:r>
        <w:rPr>
          <w:bCs/>
        </w:rPr>
        <w:t>Reprint</w:t>
      </w:r>
      <w:r w:rsidRPr="00FA1BF8">
        <w:rPr>
          <w:bCs/>
          <w:lang w:val="ru-RU"/>
        </w:rPr>
        <w:t xml:space="preserve"> </w:t>
      </w:r>
      <w:r>
        <w:rPr>
          <w:bCs/>
        </w:rPr>
        <w:t>Desk</w:t>
      </w:r>
      <w:r>
        <w:rPr>
          <w:bCs/>
          <w:lang w:val="ru-RU"/>
        </w:rPr>
        <w:t xml:space="preserve"> -</w:t>
      </w:r>
      <w:r w:rsidRPr="00FA1BF8">
        <w:rPr>
          <w:bCs/>
          <w:lang w:val="ru-RU"/>
        </w:rPr>
        <w:t xml:space="preserve"> </w:t>
      </w:r>
      <w:r>
        <w:rPr>
          <w:bCs/>
          <w:lang w:val="ru-RU"/>
        </w:rPr>
        <w:t>для поиска и отбора документов из категории непатентной литературы</w:t>
      </w:r>
    </w:p>
    <w:p w:rsidR="00FA1BF8" w:rsidRDefault="00FA1BF8" w:rsidP="00D202A4">
      <w:pPr>
        <w:rPr>
          <w:bCs/>
          <w:lang w:val="ru-RU"/>
        </w:rPr>
      </w:pPr>
      <w:r>
        <w:rPr>
          <w:bCs/>
          <w:lang w:val="ru-RU"/>
        </w:rPr>
        <w:tab/>
        <w:t>Индийская цифровая библиотека традиционных знаний – для НПЛ</w:t>
      </w:r>
    </w:p>
    <w:p w:rsidR="00FA1BF8" w:rsidRDefault="00FA1BF8" w:rsidP="00D34B8A">
      <w:pPr>
        <w:ind w:left="567"/>
        <w:rPr>
          <w:bCs/>
          <w:lang w:val="ru-RU"/>
        </w:rPr>
      </w:pPr>
      <w:r>
        <w:rPr>
          <w:bCs/>
          <w:lang w:val="ru-RU"/>
        </w:rPr>
        <w:t>Бесплатный</w:t>
      </w:r>
      <w:r w:rsidRPr="00D34B8A">
        <w:rPr>
          <w:bCs/>
          <w:lang w:val="ru-RU"/>
        </w:rPr>
        <w:t xml:space="preserve"> </w:t>
      </w:r>
      <w:r>
        <w:rPr>
          <w:bCs/>
          <w:lang w:val="ru-RU"/>
        </w:rPr>
        <w:t>поиск</w:t>
      </w:r>
      <w:r w:rsidRPr="00D34B8A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D34B8A">
        <w:rPr>
          <w:bCs/>
          <w:lang w:val="ru-RU"/>
        </w:rPr>
        <w:t xml:space="preserve"> </w:t>
      </w:r>
      <w:r>
        <w:rPr>
          <w:bCs/>
          <w:lang w:val="ru-RU"/>
        </w:rPr>
        <w:t>системах</w:t>
      </w:r>
      <w:r w:rsidRPr="00D34B8A">
        <w:rPr>
          <w:bCs/>
          <w:lang w:val="ru-RU"/>
        </w:rPr>
        <w:t xml:space="preserve"> </w:t>
      </w:r>
      <w:r w:rsidRPr="00CB2D2E">
        <w:t>Google</w:t>
      </w:r>
      <w:r w:rsidRPr="00D34B8A">
        <w:rPr>
          <w:lang w:val="ru-RU"/>
        </w:rPr>
        <w:t xml:space="preserve">, </w:t>
      </w:r>
      <w:r w:rsidRPr="00CB2D2E">
        <w:t>Goo</w:t>
      </w:r>
      <w:r>
        <w:t>gle</w:t>
      </w:r>
      <w:r w:rsidRPr="00D34B8A">
        <w:rPr>
          <w:lang w:val="ru-RU"/>
        </w:rPr>
        <w:t xml:space="preserve"> </w:t>
      </w:r>
      <w:r>
        <w:t>Patents</w:t>
      </w:r>
      <w:r w:rsidRPr="00D34B8A">
        <w:rPr>
          <w:lang w:val="ru-RU"/>
        </w:rPr>
        <w:t xml:space="preserve">, </w:t>
      </w:r>
      <w:r>
        <w:t>Google</w:t>
      </w:r>
      <w:r w:rsidRPr="00D34B8A">
        <w:rPr>
          <w:lang w:val="ru-RU"/>
        </w:rPr>
        <w:t xml:space="preserve"> </w:t>
      </w:r>
      <w:r>
        <w:t>Scholar</w:t>
      </w:r>
      <w:r w:rsidRPr="00D34B8A">
        <w:rPr>
          <w:lang w:val="ru-RU"/>
        </w:rPr>
        <w:t xml:space="preserve"> (НПЛ), </w:t>
      </w:r>
      <w:r>
        <w:t>NCBI</w:t>
      </w:r>
      <w:r w:rsidRPr="00D34B8A">
        <w:rPr>
          <w:lang w:val="ru-RU"/>
        </w:rPr>
        <w:t xml:space="preserve"> (НПЛ и </w:t>
      </w:r>
      <w:r w:rsidR="005B62EB">
        <w:rPr>
          <w:lang w:val="ru-RU"/>
        </w:rPr>
        <w:t xml:space="preserve">поиск по </w:t>
      </w:r>
      <w:r w:rsidR="005B62EB">
        <w:rPr>
          <w:bCs/>
          <w:lang w:val="ru-RU"/>
        </w:rPr>
        <w:t>перечням</w:t>
      </w:r>
      <w:r w:rsidR="00D34B8A">
        <w:rPr>
          <w:bCs/>
          <w:lang w:val="ru-RU"/>
        </w:rPr>
        <w:t xml:space="preserve"> последовательностей</w:t>
      </w:r>
      <w:r w:rsidRPr="00D34B8A">
        <w:rPr>
          <w:lang w:val="ru-RU"/>
        </w:rPr>
        <w:t xml:space="preserve">) </w:t>
      </w:r>
      <w:r w:rsidRPr="00CB2D2E">
        <w:t>and</w:t>
      </w:r>
      <w:r w:rsidRPr="00D34B8A">
        <w:rPr>
          <w:lang w:val="ru-RU"/>
        </w:rPr>
        <w:t xml:space="preserve"> </w:t>
      </w:r>
      <w:proofErr w:type="spellStart"/>
      <w:r w:rsidRPr="00CB2D2E">
        <w:t>Patentlens</w:t>
      </w:r>
      <w:proofErr w:type="spellEnd"/>
      <w:r w:rsidRPr="00D34B8A">
        <w:rPr>
          <w:lang w:val="ru-RU"/>
        </w:rPr>
        <w:t xml:space="preserve"> (</w:t>
      </w:r>
      <w:r w:rsidR="005B62EB">
        <w:rPr>
          <w:bCs/>
          <w:lang w:val="ru-RU"/>
        </w:rPr>
        <w:t>поиск по перечням</w:t>
      </w:r>
      <w:r w:rsidR="00D34B8A">
        <w:rPr>
          <w:bCs/>
          <w:lang w:val="ru-RU"/>
        </w:rPr>
        <w:t xml:space="preserve"> последовательностей).</w:t>
      </w:r>
    </w:p>
    <w:p w:rsidR="00D34B8A" w:rsidRPr="00D34B8A" w:rsidRDefault="00D34B8A" w:rsidP="00D202A4">
      <w:pPr>
        <w:rPr>
          <w:lang w:val="ru-RU"/>
        </w:rPr>
      </w:pPr>
    </w:p>
    <w:p w:rsidR="009B467E" w:rsidRDefault="009B467E" w:rsidP="00D202A4">
      <w:pPr>
        <w:rPr>
          <w:b/>
          <w:bCs/>
          <w:color w:val="1F497D"/>
          <w:lang w:val="ru-RU"/>
        </w:rPr>
      </w:pPr>
    </w:p>
    <w:p w:rsidR="009B467E" w:rsidRPr="0057559A" w:rsidRDefault="009B467E" w:rsidP="00D202A4">
      <w:pPr>
        <w:rPr>
          <w:b/>
          <w:bCs/>
          <w:color w:val="1F497D"/>
        </w:rPr>
      </w:pPr>
    </w:p>
    <w:p w:rsidR="009B467E" w:rsidRDefault="00D34B8A" w:rsidP="0057559A">
      <w:pPr>
        <w:keepNext/>
        <w:keepLines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lastRenderedPageBreak/>
        <w:t>Правила</w:t>
      </w:r>
      <w:r w:rsidR="00D202A4" w:rsidRPr="001E249A">
        <w:rPr>
          <w:b/>
          <w:bCs/>
          <w:i/>
          <w:lang w:val="ru-RU"/>
        </w:rPr>
        <w:t xml:space="preserve"> 36.1 (</w:t>
      </w:r>
      <w:r w:rsidR="00D202A4" w:rsidRPr="00D202A4">
        <w:rPr>
          <w:b/>
          <w:bCs/>
          <w:i/>
        </w:rPr>
        <w:t>iii</w:t>
      </w:r>
      <w:r w:rsidR="00D202A4" w:rsidRPr="001E249A">
        <w:rPr>
          <w:b/>
          <w:bCs/>
          <w:i/>
          <w:lang w:val="ru-RU"/>
        </w:rPr>
        <w:t>)</w:t>
      </w:r>
      <w:r w:rsidRPr="00D34B8A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ru-RU"/>
        </w:rPr>
        <w:t>и 63.1 (</w:t>
      </w:r>
      <w:r w:rsidRPr="00D202A4">
        <w:rPr>
          <w:b/>
          <w:bCs/>
          <w:i/>
        </w:rPr>
        <w:t>ii</w:t>
      </w:r>
      <w:r>
        <w:rPr>
          <w:b/>
          <w:bCs/>
          <w:i/>
          <w:lang w:val="ru-RU"/>
        </w:rPr>
        <w:t>)</w:t>
      </w:r>
      <w:r w:rsidR="008905AE">
        <w:rPr>
          <w:b/>
          <w:bCs/>
          <w:i/>
          <w:lang w:val="ru-RU"/>
        </w:rPr>
        <w:t xml:space="preserve">: </w:t>
      </w:r>
      <w:r w:rsidR="001E249A">
        <w:rPr>
          <w:b/>
          <w:bCs/>
          <w:i/>
          <w:lang w:val="ru-RU"/>
        </w:rPr>
        <w:t>Эт</w:t>
      </w:r>
      <w:r w:rsidR="001E249A" w:rsidRPr="001E249A">
        <w:rPr>
          <w:b/>
          <w:bCs/>
          <w:i/>
          <w:lang w:val="ru-RU"/>
        </w:rPr>
        <w:t>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</w:t>
      </w:r>
      <w:r w:rsidR="00506AA2">
        <w:rPr>
          <w:b/>
          <w:bCs/>
          <w:i/>
          <w:lang w:val="ru-RU"/>
        </w:rPr>
        <w:t xml:space="preserve">. </w:t>
      </w:r>
    </w:p>
    <w:p w:rsidR="009B467E" w:rsidRDefault="009B467E" w:rsidP="00D202A4">
      <w:pPr>
        <w:rPr>
          <w:b/>
          <w:bCs/>
          <w:color w:val="1F497D"/>
          <w:lang w:val="ru-RU"/>
        </w:rPr>
      </w:pPr>
    </w:p>
    <w:p w:rsidR="009B467E" w:rsidRDefault="00830E34" w:rsidP="00830E34">
      <w:pPr>
        <w:rPr>
          <w:b/>
          <w:bCs/>
          <w:lang w:val="ru-RU"/>
        </w:rPr>
      </w:pPr>
      <w:r w:rsidRPr="00830E34">
        <w:rPr>
          <w:b/>
          <w:bCs/>
          <w:lang w:val="ru-RU"/>
        </w:rPr>
        <w:t>Язык(и), на котором(ых) могут подаваться и обрабатываться национальные заявки:</w:t>
      </w:r>
    </w:p>
    <w:p w:rsidR="009B467E" w:rsidRDefault="009B467E" w:rsidP="00D202A4">
      <w:pPr>
        <w:rPr>
          <w:lang w:val="ru-RU"/>
        </w:rPr>
      </w:pPr>
    </w:p>
    <w:p w:rsidR="009B467E" w:rsidRDefault="00D34B8A" w:rsidP="00830E34">
      <w:pPr>
        <w:rPr>
          <w:szCs w:val="22"/>
          <w:lang w:val="ru-RU"/>
        </w:rPr>
      </w:pPr>
      <w:r>
        <w:rPr>
          <w:szCs w:val="22"/>
          <w:lang w:val="ru-RU"/>
        </w:rPr>
        <w:t xml:space="preserve">английский и </w:t>
      </w:r>
      <w:r w:rsidR="00E46891">
        <w:rPr>
          <w:szCs w:val="22"/>
          <w:lang w:val="ru-RU"/>
        </w:rPr>
        <w:t>хинди</w:t>
      </w:r>
    </w:p>
    <w:p w:rsidR="00E46891" w:rsidRDefault="00E46891" w:rsidP="00830E34">
      <w:pPr>
        <w:rPr>
          <w:szCs w:val="22"/>
          <w:lang w:val="ru-RU"/>
        </w:rPr>
      </w:pPr>
    </w:p>
    <w:p w:rsidR="00E46891" w:rsidRDefault="00E46891" w:rsidP="00E46891">
      <w:pPr>
        <w:rPr>
          <w:lang w:val="ru-RU"/>
        </w:rPr>
      </w:pPr>
      <w:r w:rsidRPr="00830E34">
        <w:rPr>
          <w:b/>
          <w:lang w:val="ru-RU"/>
        </w:rPr>
        <w:t>Други</w:t>
      </w:r>
      <w:r>
        <w:rPr>
          <w:b/>
          <w:lang w:val="ru-RU"/>
        </w:rPr>
        <w:t>е языки, которыми владеет большо</w:t>
      </w:r>
      <w:r w:rsidRPr="00830E34">
        <w:rPr>
          <w:b/>
          <w:lang w:val="ru-RU"/>
        </w:rPr>
        <w:t>е число экспертов</w:t>
      </w:r>
      <w:r>
        <w:rPr>
          <w:b/>
          <w:lang w:val="ru-RU"/>
        </w:rPr>
        <w:t xml:space="preserve">: </w:t>
      </w:r>
      <w:r>
        <w:rPr>
          <w:lang w:val="ru-RU"/>
        </w:rPr>
        <w:t>неприменимо</w:t>
      </w:r>
    </w:p>
    <w:p w:rsidR="00E46891" w:rsidRPr="00E46891" w:rsidRDefault="00E46891" w:rsidP="00E46891">
      <w:pPr>
        <w:rPr>
          <w:lang w:val="ru-RU"/>
        </w:rPr>
      </w:pPr>
    </w:p>
    <w:p w:rsidR="009B467E" w:rsidRPr="008905AE" w:rsidRDefault="00E46891" w:rsidP="008905AE">
      <w:pPr>
        <w:rPr>
          <w:szCs w:val="22"/>
          <w:lang w:val="ru-RU"/>
        </w:rPr>
      </w:pPr>
      <w:r>
        <w:rPr>
          <w:b/>
          <w:lang w:val="ru-RU"/>
        </w:rPr>
        <w:t xml:space="preserve">Доступные </w:t>
      </w:r>
      <w:r w:rsidRPr="00830E34">
        <w:rPr>
          <w:b/>
          <w:lang w:val="ru-RU"/>
        </w:rPr>
        <w:t>услуги для содействия в проведении поиска или понимании известного уровня техники на других языках: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базы данных, используемые для поиска, позволяют осуществлять машинный перевод; </w:t>
      </w:r>
      <w:r w:rsidR="00C767C7">
        <w:rPr>
          <w:lang w:val="ru-RU"/>
        </w:rPr>
        <w:t xml:space="preserve">база данных </w:t>
      </w:r>
      <w:proofErr w:type="spellStart"/>
      <w:r w:rsidR="00C767C7">
        <w:t>Patseer</w:t>
      </w:r>
      <w:proofErr w:type="spellEnd"/>
      <w:r w:rsidR="00C767C7" w:rsidRPr="00C767C7">
        <w:rPr>
          <w:lang w:val="ru-RU"/>
        </w:rPr>
        <w:t xml:space="preserve"> </w:t>
      </w:r>
      <w:r w:rsidR="00C767C7">
        <w:rPr>
          <w:lang w:val="ru-RU"/>
        </w:rPr>
        <w:t>позволяет осуществлять полнотекстовый машинный перевод на базе английского языка в отношении японских, южнокорейских, китайских, французских, немецких, датских, финляндских, российских,</w:t>
      </w:r>
      <w:r w:rsidR="00343891">
        <w:rPr>
          <w:lang w:val="ru-RU"/>
        </w:rPr>
        <w:t xml:space="preserve"> бельгийских, нидерландских и люксембургских патентов</w:t>
      </w:r>
      <w:r w:rsidR="00214D09">
        <w:rPr>
          <w:lang w:val="ru-RU"/>
        </w:rPr>
        <w:t xml:space="preserve">, а система </w:t>
      </w:r>
      <w:r w:rsidR="00214D09">
        <w:t>STN</w:t>
      </w:r>
      <w:r w:rsidR="00214D09">
        <w:rPr>
          <w:lang w:val="ru-RU"/>
        </w:rPr>
        <w:t xml:space="preserve"> предоставляет возможность для перевода многих материалов из категории непатентной литературы и</w:t>
      </w:r>
      <w:r w:rsidR="008905AE">
        <w:rPr>
          <w:lang w:val="ru-RU"/>
        </w:rPr>
        <w:t xml:space="preserve"> для </w:t>
      </w:r>
      <w:r w:rsidR="00214D09">
        <w:rPr>
          <w:lang w:val="ru-RU"/>
        </w:rPr>
        <w:t xml:space="preserve"> перевода на английский язык патентной литературы, существующих на других языках. </w:t>
      </w:r>
      <w:r w:rsidR="0095018B">
        <w:rPr>
          <w:szCs w:val="22"/>
          <w:lang w:val="ru-RU" w:eastAsia="ru-RU"/>
        </w:rPr>
        <w:t>Эксперты могут также использовать автономные системы общего машинного перевода, которые помогают им пон</w:t>
      </w:r>
      <w:r w:rsidR="00D7475B">
        <w:rPr>
          <w:szCs w:val="22"/>
          <w:lang w:val="ru-RU" w:eastAsia="ru-RU"/>
        </w:rPr>
        <w:t>ять содержание текстов, найденных в источниках, не имеющих встроенных инструментов машинного перевода.</w:t>
      </w:r>
      <w:r w:rsidR="0095018B">
        <w:rPr>
          <w:szCs w:val="22"/>
          <w:lang w:val="ru-RU" w:eastAsia="ru-RU"/>
        </w:rPr>
        <w:t xml:space="preserve"> </w:t>
      </w:r>
    </w:p>
    <w:p w:rsidR="009B467E" w:rsidRDefault="009B467E" w:rsidP="008F36ED">
      <w:pPr>
        <w:rPr>
          <w:szCs w:val="22"/>
          <w:lang w:val="ru-RU"/>
        </w:rPr>
      </w:pPr>
    </w:p>
    <w:p w:rsidR="009B467E" w:rsidRDefault="008F36ED" w:rsidP="008F36ED">
      <w:pPr>
        <w:pStyle w:val="SectionHeading"/>
        <w:rPr>
          <w:lang w:val="ru-RU"/>
        </w:rPr>
      </w:pPr>
      <w:r w:rsidRPr="004D6FDB">
        <w:rPr>
          <w:lang w:val="ru-RU"/>
        </w:rPr>
        <w:t xml:space="preserve">2.2 – </w:t>
      </w:r>
      <w:r w:rsidR="00506AA2">
        <w:rPr>
          <w:lang w:val="ru-RU"/>
        </w:rPr>
        <w:t>СИСТЕМА</w:t>
      </w:r>
      <w:r w:rsidR="00506AA2" w:rsidRPr="004D6FDB">
        <w:rPr>
          <w:lang w:val="ru-RU"/>
        </w:rPr>
        <w:t xml:space="preserve"> </w:t>
      </w:r>
      <w:r w:rsidR="00506AA2">
        <w:rPr>
          <w:lang w:val="ru-RU"/>
        </w:rPr>
        <w:t>управления</w:t>
      </w:r>
      <w:r w:rsidR="00506AA2" w:rsidRPr="004D6FDB">
        <w:rPr>
          <w:lang w:val="ru-RU"/>
        </w:rPr>
        <w:t xml:space="preserve"> </w:t>
      </w:r>
      <w:r w:rsidR="00506AA2">
        <w:rPr>
          <w:lang w:val="ru-RU"/>
        </w:rPr>
        <w:t>качествоМ</w:t>
      </w:r>
      <w:r w:rsidR="00506AA2" w:rsidRPr="004D6FDB">
        <w:rPr>
          <w:lang w:val="ru-RU"/>
        </w:rPr>
        <w:t xml:space="preserve"> </w:t>
      </w:r>
    </w:p>
    <w:p w:rsidR="009B467E" w:rsidRDefault="00506AA2" w:rsidP="008F36ED">
      <w:pPr>
        <w:rPr>
          <w:b/>
          <w:bCs/>
          <w:lang w:val="ru-RU"/>
        </w:rPr>
      </w:pPr>
      <w:r>
        <w:rPr>
          <w:b/>
          <w:bCs/>
          <w:lang w:val="ru-RU"/>
        </w:rPr>
        <w:t>Правила</w:t>
      </w:r>
      <w:r w:rsidRPr="00506AA2">
        <w:rPr>
          <w:b/>
          <w:bCs/>
          <w:lang w:val="ru-RU"/>
        </w:rPr>
        <w:t xml:space="preserve"> </w:t>
      </w:r>
      <w:r w:rsidR="008F36ED" w:rsidRPr="00506AA2">
        <w:rPr>
          <w:b/>
          <w:bCs/>
          <w:lang w:val="ru-RU"/>
        </w:rPr>
        <w:t>36.1(</w:t>
      </w:r>
      <w:r w:rsidR="008F36ED">
        <w:rPr>
          <w:b/>
          <w:bCs/>
        </w:rPr>
        <w:t>iv</w:t>
      </w:r>
      <w:r w:rsidR="008F36ED" w:rsidRPr="00506AA2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и</w:t>
      </w:r>
      <w:r w:rsidRPr="00506AA2">
        <w:rPr>
          <w:b/>
          <w:bCs/>
          <w:lang w:val="ru-RU"/>
        </w:rPr>
        <w:t xml:space="preserve"> </w:t>
      </w:r>
      <w:r w:rsidR="008F36ED" w:rsidRPr="00506AA2">
        <w:rPr>
          <w:b/>
          <w:bCs/>
          <w:lang w:val="ru-RU"/>
        </w:rPr>
        <w:t>63.1(</w:t>
      </w:r>
      <w:r w:rsidR="008F36ED">
        <w:rPr>
          <w:b/>
          <w:bCs/>
        </w:rPr>
        <w:t>iv</w:t>
      </w:r>
      <w:r w:rsidR="00BF29A9">
        <w:rPr>
          <w:b/>
          <w:bCs/>
          <w:lang w:val="ru-RU"/>
        </w:rPr>
        <w:t>):</w:t>
      </w:r>
      <w:r w:rsidR="008F36ED" w:rsidRPr="00506AA2">
        <w:rPr>
          <w:b/>
          <w:bCs/>
          <w:lang w:val="ru-RU"/>
        </w:rPr>
        <w:t xml:space="preserve"> </w:t>
      </w:r>
      <w:r w:rsidRPr="00506AA2">
        <w:rPr>
          <w:b/>
          <w:bCs/>
          <w:lang w:val="ru-RU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>
        <w:rPr>
          <w:b/>
          <w:bCs/>
          <w:lang w:val="ru-RU"/>
        </w:rPr>
        <w:t xml:space="preserve">. </w:t>
      </w:r>
    </w:p>
    <w:p w:rsidR="00D7475B" w:rsidRDefault="00D7475B" w:rsidP="008F36ED">
      <w:pPr>
        <w:rPr>
          <w:b/>
          <w:bCs/>
          <w:lang w:val="ru-RU"/>
        </w:rPr>
      </w:pPr>
    </w:p>
    <w:p w:rsidR="00D7475B" w:rsidRDefault="00D7475B" w:rsidP="008F36ED">
      <w:pPr>
        <w:rPr>
          <w:b/>
          <w:bCs/>
          <w:lang w:val="ru-RU"/>
        </w:rPr>
      </w:pPr>
      <w:r>
        <w:rPr>
          <w:b/>
          <w:bCs/>
          <w:lang w:val="ru-RU"/>
        </w:rPr>
        <w:t>Национальная система управления качеством</w:t>
      </w:r>
    </w:p>
    <w:p w:rsidR="007571E0" w:rsidRDefault="007571E0" w:rsidP="008F36ED">
      <w:pPr>
        <w:rPr>
          <w:b/>
          <w:bCs/>
          <w:lang w:val="ru-RU"/>
        </w:rPr>
      </w:pPr>
    </w:p>
    <w:p w:rsidR="009B467E" w:rsidRDefault="007571E0" w:rsidP="00D202A4">
      <w:pPr>
        <w:rPr>
          <w:iCs/>
          <w:szCs w:val="22"/>
          <w:lang w:val="ru-RU"/>
        </w:rPr>
      </w:pPr>
      <w:r>
        <w:rPr>
          <w:bCs/>
          <w:lang w:val="ru-RU"/>
        </w:rPr>
        <w:t xml:space="preserve">В ИПВ существует система управления качеством, которая полностью </w:t>
      </w:r>
      <w:r w:rsidR="00BF29A9">
        <w:rPr>
          <w:bCs/>
          <w:lang w:val="ru-RU"/>
        </w:rPr>
        <w:t xml:space="preserve">отвечает </w:t>
      </w:r>
      <w:r>
        <w:rPr>
          <w:bCs/>
          <w:lang w:val="ru-RU"/>
        </w:rPr>
        <w:t xml:space="preserve">требованиям, изложенным в главе 21 </w:t>
      </w:r>
      <w:r w:rsidR="0080304E">
        <w:rPr>
          <w:bCs/>
          <w:szCs w:val="22"/>
          <w:lang w:val="ru-RU"/>
        </w:rPr>
        <w:t xml:space="preserve">Руководства РСТ по проведению международного поиска и международной предварительной экспертизы. Ежегодные отчеты, которые ИПВ представило в отношении 2013 -  2016 годов, размещены на следующем веб-сайте ВОИС: </w:t>
      </w:r>
      <w:r w:rsidR="006B464E">
        <w:fldChar w:fldCharType="begin"/>
      </w:r>
      <w:r w:rsidR="006B464E" w:rsidRPr="00827FAA">
        <w:rPr>
          <w:lang w:val="ru-RU"/>
        </w:rPr>
        <w:instrText xml:space="preserve"> </w:instrText>
      </w:r>
      <w:r w:rsidR="006B464E">
        <w:instrText>HYPERLINK</w:instrText>
      </w:r>
      <w:r w:rsidR="006B464E" w:rsidRPr="00827FAA">
        <w:rPr>
          <w:lang w:val="ru-RU"/>
        </w:rPr>
        <w:instrText xml:space="preserve"> "</w:instrText>
      </w:r>
      <w:r w:rsidR="006B464E">
        <w:instrText>http</w:instrText>
      </w:r>
      <w:r w:rsidR="006B464E" w:rsidRPr="00827FAA">
        <w:rPr>
          <w:lang w:val="ru-RU"/>
        </w:rPr>
        <w:instrText>://</w:instrText>
      </w:r>
      <w:r w:rsidR="006B464E">
        <w:instrText>www</w:instrText>
      </w:r>
      <w:r w:rsidR="006B464E" w:rsidRPr="00827FAA">
        <w:rPr>
          <w:lang w:val="ru-RU"/>
        </w:rPr>
        <w:instrText>.</w:instrText>
      </w:r>
      <w:r w:rsidR="006B464E">
        <w:instrText>wipo</w:instrText>
      </w:r>
      <w:r w:rsidR="006B464E" w:rsidRPr="00827FAA">
        <w:rPr>
          <w:lang w:val="ru-RU"/>
        </w:rPr>
        <w:instrText>.</w:instrText>
      </w:r>
      <w:r w:rsidR="006B464E">
        <w:instrText>int</w:instrText>
      </w:r>
      <w:r w:rsidR="006B464E" w:rsidRPr="00827FAA">
        <w:rPr>
          <w:lang w:val="ru-RU"/>
        </w:rPr>
        <w:instrText>/</w:instrText>
      </w:r>
      <w:r w:rsidR="006B464E">
        <w:instrText>pct</w:instrText>
      </w:r>
      <w:r w:rsidR="006B464E" w:rsidRPr="00827FAA">
        <w:rPr>
          <w:lang w:val="ru-RU"/>
        </w:rPr>
        <w:instrText>/</w:instrText>
      </w:r>
      <w:r w:rsidR="006B464E">
        <w:instrText>en</w:instrText>
      </w:r>
      <w:r w:rsidR="006B464E" w:rsidRPr="00827FAA">
        <w:rPr>
          <w:lang w:val="ru-RU"/>
        </w:rPr>
        <w:instrText>/</w:instrText>
      </w:r>
      <w:r w:rsidR="006B464E">
        <w:instrText>qualit</w:instrText>
      </w:r>
      <w:r w:rsidR="006B464E">
        <w:instrText>y</w:instrText>
      </w:r>
      <w:r w:rsidR="006B464E" w:rsidRPr="00827FAA">
        <w:rPr>
          <w:lang w:val="ru-RU"/>
        </w:rPr>
        <w:instrText>/</w:instrText>
      </w:r>
      <w:r w:rsidR="006B464E">
        <w:instrText>authorities</w:instrText>
      </w:r>
      <w:r w:rsidR="006B464E" w:rsidRPr="00827FAA">
        <w:rPr>
          <w:lang w:val="ru-RU"/>
        </w:rPr>
        <w:instrText>.</w:instrText>
      </w:r>
      <w:r w:rsidR="006B464E">
        <w:instrText>html</w:instrText>
      </w:r>
      <w:r w:rsidR="006B464E" w:rsidRPr="00827FAA">
        <w:rPr>
          <w:lang w:val="ru-RU"/>
        </w:rPr>
        <w:instrText xml:space="preserve">" </w:instrText>
      </w:r>
      <w:r w:rsidR="006B464E">
        <w:fldChar w:fldCharType="separate"/>
      </w:r>
      <w:r w:rsidR="008F36ED" w:rsidRPr="008F36ED">
        <w:rPr>
          <w:rStyle w:val="Hyperlink"/>
          <w:iCs/>
          <w:color w:val="auto"/>
          <w:szCs w:val="22"/>
          <w:u w:val="none"/>
        </w:rPr>
        <w:t>http</w:t>
      </w:r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://</w:t>
      </w:r>
      <w:r w:rsidR="008F36ED" w:rsidRPr="008F36ED">
        <w:rPr>
          <w:rStyle w:val="Hyperlink"/>
          <w:iCs/>
          <w:color w:val="auto"/>
          <w:szCs w:val="22"/>
          <w:u w:val="none"/>
        </w:rPr>
        <w:t>www</w:t>
      </w:r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.</w:t>
      </w:r>
      <w:proofErr w:type="spellStart"/>
      <w:r w:rsidR="008F36ED" w:rsidRPr="008F36ED">
        <w:rPr>
          <w:rStyle w:val="Hyperlink"/>
          <w:iCs/>
          <w:color w:val="auto"/>
          <w:szCs w:val="22"/>
          <w:u w:val="none"/>
        </w:rPr>
        <w:t>wipo</w:t>
      </w:r>
      <w:proofErr w:type="spellEnd"/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.</w:t>
      </w:r>
      <w:proofErr w:type="spellStart"/>
      <w:r w:rsidR="008F36ED" w:rsidRPr="008F36ED">
        <w:rPr>
          <w:rStyle w:val="Hyperlink"/>
          <w:iCs/>
          <w:color w:val="auto"/>
          <w:szCs w:val="22"/>
          <w:u w:val="none"/>
        </w:rPr>
        <w:t>int</w:t>
      </w:r>
      <w:proofErr w:type="spellEnd"/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/</w:t>
      </w:r>
      <w:r w:rsidR="008F36ED" w:rsidRPr="008F36ED">
        <w:rPr>
          <w:rStyle w:val="Hyperlink"/>
          <w:iCs/>
          <w:color w:val="auto"/>
          <w:szCs w:val="22"/>
          <w:u w:val="none"/>
        </w:rPr>
        <w:t>pct</w:t>
      </w:r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/</w:t>
      </w:r>
      <w:proofErr w:type="spellStart"/>
      <w:r w:rsidR="008F36ED" w:rsidRPr="008F36ED">
        <w:rPr>
          <w:rStyle w:val="Hyperlink"/>
          <w:iCs/>
          <w:color w:val="auto"/>
          <w:szCs w:val="22"/>
          <w:u w:val="none"/>
        </w:rPr>
        <w:t>en</w:t>
      </w:r>
      <w:proofErr w:type="spellEnd"/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/</w:t>
      </w:r>
      <w:r w:rsidR="008F36ED" w:rsidRPr="008F36ED">
        <w:rPr>
          <w:rStyle w:val="Hyperlink"/>
          <w:iCs/>
          <w:color w:val="auto"/>
          <w:szCs w:val="22"/>
          <w:u w:val="none"/>
        </w:rPr>
        <w:t>quality</w:t>
      </w:r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/</w:t>
      </w:r>
      <w:r w:rsidR="008F36ED" w:rsidRPr="008F36ED">
        <w:rPr>
          <w:rStyle w:val="Hyperlink"/>
          <w:iCs/>
          <w:color w:val="auto"/>
          <w:szCs w:val="22"/>
          <w:u w:val="none"/>
        </w:rPr>
        <w:t>authorities</w:t>
      </w:r>
      <w:r w:rsidR="008F36ED" w:rsidRPr="00506AA2">
        <w:rPr>
          <w:rStyle w:val="Hyperlink"/>
          <w:iCs/>
          <w:color w:val="auto"/>
          <w:szCs w:val="22"/>
          <w:u w:val="none"/>
          <w:lang w:val="ru-RU"/>
        </w:rPr>
        <w:t>.</w:t>
      </w:r>
      <w:r w:rsidR="008F36ED" w:rsidRPr="008F36ED">
        <w:rPr>
          <w:rStyle w:val="Hyperlink"/>
          <w:iCs/>
          <w:color w:val="auto"/>
          <w:szCs w:val="22"/>
          <w:u w:val="none"/>
        </w:rPr>
        <w:t>html</w:t>
      </w:r>
      <w:r w:rsidR="006B464E">
        <w:rPr>
          <w:rStyle w:val="Hyperlink"/>
          <w:iCs/>
          <w:color w:val="auto"/>
          <w:szCs w:val="22"/>
          <w:u w:val="none"/>
        </w:rPr>
        <w:fldChar w:fldCharType="end"/>
      </w:r>
      <w:r w:rsidR="008F36ED" w:rsidRPr="00506AA2">
        <w:rPr>
          <w:iCs/>
          <w:szCs w:val="22"/>
          <w:lang w:val="ru-RU"/>
        </w:rPr>
        <w:t xml:space="preserve">. </w:t>
      </w:r>
    </w:p>
    <w:p w:rsidR="0080304E" w:rsidRDefault="0080304E" w:rsidP="00D202A4">
      <w:pPr>
        <w:rPr>
          <w:iCs/>
          <w:szCs w:val="22"/>
          <w:lang w:val="ru-RU"/>
        </w:rPr>
      </w:pPr>
    </w:p>
    <w:p w:rsidR="003212F6" w:rsidRDefault="00B7079E" w:rsidP="00D202A4">
      <w:pPr>
        <w:rPr>
          <w:bCs/>
          <w:lang w:val="ru-RU"/>
        </w:rPr>
      </w:pPr>
      <w:r>
        <w:rPr>
          <w:bCs/>
          <w:lang w:val="ru-RU"/>
        </w:rPr>
        <w:t xml:space="preserve">Появилась новая информация в отношении </w:t>
      </w:r>
      <w:r w:rsidR="00F40AE8">
        <w:rPr>
          <w:bCs/>
          <w:lang w:val="ru-RU"/>
        </w:rPr>
        <w:t>Портала обеспечения качества (</w:t>
      </w:r>
      <w:r w:rsidR="00F40AE8">
        <w:rPr>
          <w:bCs/>
        </w:rPr>
        <w:t>QAP</w:t>
      </w:r>
      <w:r w:rsidR="00F40AE8" w:rsidRPr="00F40AE8">
        <w:rPr>
          <w:bCs/>
          <w:lang w:val="ru-RU"/>
        </w:rPr>
        <w:t>)</w:t>
      </w:r>
      <w:r w:rsidR="00F40AE8">
        <w:rPr>
          <w:bCs/>
          <w:lang w:val="ru-RU"/>
        </w:rPr>
        <w:t>, который, как было упомянуто в пункте 21.12, раздел «Обеспечение качества», отчета о СУК за 2016 год, на тот момент находился на стадии разработки. К настоящему моменту его разработка завершена; доступ к нему обеспечивает внутренняя</w:t>
      </w:r>
      <w:r w:rsidR="003212F6" w:rsidRPr="003212F6">
        <w:rPr>
          <w:bCs/>
          <w:lang w:val="ru-RU"/>
        </w:rPr>
        <w:t xml:space="preserve"> </w:t>
      </w:r>
      <w:r w:rsidR="00F40AE8">
        <w:rPr>
          <w:bCs/>
          <w:lang w:val="ru-RU"/>
        </w:rPr>
        <w:t>компьютерная сеть</w:t>
      </w:r>
      <w:r w:rsidR="003212F6" w:rsidRPr="003212F6">
        <w:rPr>
          <w:bCs/>
          <w:lang w:val="ru-RU"/>
        </w:rPr>
        <w:t xml:space="preserve"> </w:t>
      </w:r>
      <w:r w:rsidR="003212F6">
        <w:rPr>
          <w:bCs/>
          <w:lang w:val="ru-RU"/>
        </w:rPr>
        <w:t>Ведомства, а сам портал служит эффективным инструментом коммуникации по вопросам, касающимся политики и целей в отношении качества, и средством для обмена передовым опытом.</w:t>
      </w:r>
    </w:p>
    <w:p w:rsidR="003212F6" w:rsidRDefault="003212F6" w:rsidP="00D202A4">
      <w:pPr>
        <w:rPr>
          <w:bCs/>
          <w:lang w:val="ru-RU"/>
        </w:rPr>
      </w:pPr>
    </w:p>
    <w:p w:rsidR="004B6251" w:rsidRPr="00BC290C" w:rsidRDefault="004B6251" w:rsidP="0057559A">
      <w:pPr>
        <w:pStyle w:val="SectionHeading"/>
        <w:pBdr>
          <w:top w:val="single" w:sz="4" w:space="0" w:color="auto"/>
        </w:pBdr>
        <w:rPr>
          <w:lang w:val="ru-RU"/>
        </w:rPr>
      </w:pPr>
      <w:r>
        <w:rPr>
          <w:lang w:val="ru-RU"/>
        </w:rPr>
        <w:lastRenderedPageBreak/>
        <w:t xml:space="preserve">3 </w:t>
      </w:r>
      <w:r w:rsidRPr="00BC290C">
        <w:rPr>
          <w:lang w:val="ru-RU"/>
        </w:rPr>
        <w:t xml:space="preserve">– </w:t>
      </w:r>
      <w:r>
        <w:rPr>
          <w:lang w:val="ru-RU"/>
        </w:rPr>
        <w:t>Предполагаемая сфера деятельности</w:t>
      </w:r>
    </w:p>
    <w:p w:rsidR="0080304E" w:rsidRDefault="00F40AE8" w:rsidP="0057559A">
      <w:pPr>
        <w:keepNext/>
        <w:rPr>
          <w:bCs/>
          <w:lang w:val="ru-RU"/>
        </w:rPr>
      </w:pPr>
      <w:r>
        <w:rPr>
          <w:bCs/>
          <w:lang w:val="ru-RU"/>
        </w:rPr>
        <w:t xml:space="preserve"> </w:t>
      </w:r>
      <w:r w:rsidR="00735D3F" w:rsidRPr="00830E34">
        <w:rPr>
          <w:b/>
          <w:bCs/>
          <w:lang w:val="ru-RU"/>
        </w:rPr>
        <w:t>Язык(и), на котором(ых)</w:t>
      </w:r>
      <w:r w:rsidR="00735D3F">
        <w:rPr>
          <w:b/>
          <w:bCs/>
          <w:lang w:val="ru-RU"/>
        </w:rPr>
        <w:t xml:space="preserve"> предполагается предоставлять услуги: </w:t>
      </w:r>
      <w:r w:rsidR="00735D3F">
        <w:rPr>
          <w:bCs/>
          <w:lang w:val="ru-RU"/>
        </w:rPr>
        <w:t>английский</w:t>
      </w:r>
      <w:r w:rsidR="006E2AAD">
        <w:rPr>
          <w:bCs/>
          <w:lang w:val="ru-RU"/>
        </w:rPr>
        <w:t>.</w:t>
      </w:r>
    </w:p>
    <w:p w:rsidR="00735D3F" w:rsidRDefault="00735D3F" w:rsidP="0057559A">
      <w:pPr>
        <w:keepNext/>
        <w:rPr>
          <w:bCs/>
          <w:lang w:val="ru-RU"/>
        </w:rPr>
      </w:pPr>
    </w:p>
    <w:p w:rsidR="00735D3F" w:rsidRDefault="00735D3F" w:rsidP="0057559A">
      <w:pPr>
        <w:keepNext/>
        <w:rPr>
          <w:bCs/>
          <w:lang w:val="ru-RU"/>
        </w:rPr>
      </w:pPr>
      <w:r w:rsidRPr="00735D3F">
        <w:rPr>
          <w:b/>
          <w:bCs/>
          <w:lang w:val="ru-RU"/>
        </w:rPr>
        <w:t>Государство</w:t>
      </w:r>
      <w:r>
        <w:rPr>
          <w:b/>
          <w:bCs/>
          <w:lang w:val="ru-RU"/>
        </w:rPr>
        <w:t xml:space="preserve">(а) или получающее(ие) ведомство(а), </w:t>
      </w:r>
      <w:r w:rsidR="009075A9">
        <w:rPr>
          <w:b/>
          <w:bCs/>
          <w:lang w:val="ru-RU"/>
        </w:rPr>
        <w:t xml:space="preserve">которому(ым) Орган мог бы оказывать услуги: </w:t>
      </w:r>
      <w:r w:rsidR="009075A9">
        <w:rPr>
          <w:bCs/>
          <w:lang w:val="ru-RU"/>
        </w:rPr>
        <w:t xml:space="preserve">любое государство из числа </w:t>
      </w:r>
      <w:r w:rsidR="00315E2D">
        <w:rPr>
          <w:bCs/>
          <w:lang w:val="ru-RU"/>
        </w:rPr>
        <w:t>Договаривающихся государств</w:t>
      </w:r>
      <w:r w:rsidR="006E2AAD">
        <w:rPr>
          <w:bCs/>
          <w:lang w:val="ru-RU"/>
        </w:rPr>
        <w:t xml:space="preserve"> РСТ.</w:t>
      </w:r>
    </w:p>
    <w:p w:rsidR="00315E2D" w:rsidRDefault="00315E2D" w:rsidP="0057559A">
      <w:pPr>
        <w:keepNext/>
        <w:rPr>
          <w:bCs/>
          <w:lang w:val="ru-RU"/>
        </w:rPr>
      </w:pPr>
    </w:p>
    <w:p w:rsidR="006E2AAD" w:rsidRDefault="006E2AAD" w:rsidP="0057559A">
      <w:pPr>
        <w:keepNext/>
        <w:rPr>
          <w:bCs/>
          <w:lang w:val="ru-RU"/>
        </w:rPr>
      </w:pPr>
      <w:r w:rsidRPr="006E2AAD">
        <w:rPr>
          <w:b/>
          <w:bCs/>
          <w:lang w:val="ru-RU"/>
        </w:rPr>
        <w:t>Ограничения</w:t>
      </w:r>
      <w:r>
        <w:rPr>
          <w:b/>
          <w:bCs/>
          <w:lang w:val="ru-RU"/>
        </w:rPr>
        <w:t xml:space="preserve"> в отношении сферы деятельности: </w:t>
      </w:r>
      <w:r>
        <w:rPr>
          <w:bCs/>
          <w:lang w:val="ru-RU"/>
        </w:rPr>
        <w:t>никаких особых ограничений.</w:t>
      </w:r>
    </w:p>
    <w:p w:rsidR="006E2AAD" w:rsidRDefault="006E2AAD" w:rsidP="00D202A4">
      <w:pPr>
        <w:rPr>
          <w:bCs/>
          <w:lang w:val="ru-RU"/>
        </w:rPr>
      </w:pPr>
    </w:p>
    <w:p w:rsidR="006E2AAD" w:rsidRDefault="006E2AAD" w:rsidP="006E2AAD">
      <w:pPr>
        <w:pStyle w:val="SectionHeading"/>
        <w:rPr>
          <w:lang w:val="ru-RU"/>
        </w:rPr>
      </w:pPr>
      <w:r>
        <w:rPr>
          <w:lang w:val="ru-RU"/>
        </w:rPr>
        <w:t>4</w:t>
      </w:r>
      <w:r w:rsidRPr="004D6FDB">
        <w:rPr>
          <w:lang w:val="ru-RU"/>
        </w:rPr>
        <w:t xml:space="preserve"> – </w:t>
      </w:r>
      <w:r>
        <w:rPr>
          <w:lang w:val="ru-RU"/>
        </w:rPr>
        <w:t xml:space="preserve">ИЗЛОЖЕНИЕ МОТИВОВ </w:t>
      </w:r>
      <w:r w:rsidRPr="004D6FDB">
        <w:rPr>
          <w:lang w:val="ru-RU"/>
        </w:rPr>
        <w:t xml:space="preserve"> </w:t>
      </w:r>
    </w:p>
    <w:p w:rsidR="000703F4" w:rsidRDefault="006E2AAD" w:rsidP="00D202A4">
      <w:pPr>
        <w:rPr>
          <w:bCs/>
          <w:lang w:val="ru-RU"/>
        </w:rPr>
      </w:pPr>
      <w:r>
        <w:rPr>
          <w:bCs/>
          <w:lang w:val="ru-RU"/>
        </w:rPr>
        <w:t>Индийское патентное ведомство действует в качестве МПО/ОМПЭ</w:t>
      </w:r>
      <w:r w:rsidR="000703F4">
        <w:rPr>
          <w:bCs/>
          <w:lang w:val="ru-RU"/>
        </w:rPr>
        <w:t xml:space="preserve"> с 15 октября 2013 года, а также было признано в этом качестве Получающим ведомством Исламской Республики Иран. В принципе ИПВ готово оказывать свои услуги получающим ведомствам других государств, в особенности – но не только – государствам этого региона.</w:t>
      </w:r>
    </w:p>
    <w:p w:rsidR="000703F4" w:rsidRDefault="000703F4" w:rsidP="00D202A4">
      <w:pPr>
        <w:rPr>
          <w:bCs/>
          <w:lang w:val="ru-RU"/>
        </w:rPr>
      </w:pPr>
    </w:p>
    <w:p w:rsidR="00266578" w:rsidRDefault="00E4584F" w:rsidP="00D202A4">
      <w:pPr>
        <w:rPr>
          <w:bCs/>
          <w:lang w:val="ru-RU"/>
        </w:rPr>
      </w:pPr>
      <w:r>
        <w:rPr>
          <w:bCs/>
          <w:lang w:val="ru-RU"/>
        </w:rPr>
        <w:t xml:space="preserve">Индийское патентное ведомство, выступая в своей роли получающего ведомства, </w:t>
      </w:r>
      <w:r w:rsidR="002E59C8">
        <w:rPr>
          <w:bCs/>
          <w:lang w:val="ru-RU"/>
        </w:rPr>
        <w:t>признает также шесть других ведомств (ЕПВ, Австралия, Австрия, Швеция, Китай, США), которые заявители из Индии могут выбрать в качестве МПО/ОМПЭ. Однако 50 процентов заявителей выбирают ИПВ в качестве МПО, что свидетельствует</w:t>
      </w:r>
      <w:r w:rsidR="00233235">
        <w:rPr>
          <w:bCs/>
          <w:lang w:val="ru-RU"/>
        </w:rPr>
        <w:t xml:space="preserve"> о том доверии, с которым местные заявители относятся к</w:t>
      </w:r>
      <w:r w:rsidR="007E1C49">
        <w:rPr>
          <w:bCs/>
          <w:lang w:val="ru-RU"/>
        </w:rPr>
        <w:t xml:space="preserve"> качеству и ценности </w:t>
      </w:r>
      <w:r w:rsidR="00266578">
        <w:rPr>
          <w:bCs/>
          <w:lang w:val="ru-RU"/>
        </w:rPr>
        <w:t>услуг, предоставляемых эти</w:t>
      </w:r>
      <w:r w:rsidR="00BA30DA">
        <w:rPr>
          <w:bCs/>
          <w:lang w:val="ru-RU"/>
        </w:rPr>
        <w:t>м</w:t>
      </w:r>
      <w:r w:rsidR="00266578">
        <w:rPr>
          <w:bCs/>
          <w:lang w:val="ru-RU"/>
        </w:rPr>
        <w:t xml:space="preserve"> ведомством.</w:t>
      </w:r>
    </w:p>
    <w:p w:rsidR="00266578" w:rsidRDefault="00266578" w:rsidP="00D202A4">
      <w:pPr>
        <w:rPr>
          <w:bCs/>
          <w:lang w:val="ru-RU"/>
        </w:rPr>
      </w:pPr>
    </w:p>
    <w:p w:rsidR="00C1612B" w:rsidRDefault="00C816AE" w:rsidP="00D202A4">
      <w:pPr>
        <w:rPr>
          <w:bCs/>
          <w:lang w:val="ru-RU"/>
        </w:rPr>
      </w:pPr>
      <w:r>
        <w:rPr>
          <w:bCs/>
          <w:lang w:val="ru-RU"/>
        </w:rPr>
        <w:t>Продление назначения</w:t>
      </w:r>
      <w:r w:rsidR="00266578">
        <w:rPr>
          <w:bCs/>
          <w:lang w:val="ru-RU"/>
        </w:rPr>
        <w:t xml:space="preserve"> Индийского патентного ведомства в качестве МПО/ОМПЭ может </w:t>
      </w:r>
      <w:r w:rsidR="0064461D">
        <w:rPr>
          <w:bCs/>
          <w:lang w:val="ru-RU"/>
        </w:rPr>
        <w:t xml:space="preserve">оказаться выгодным для заявителей из всех получающих ведомств, которые могут рекомендовать Индийское патентное ведомство в качестве МПО/ОМПЭ своим заявителям, предпочитающим обслуживание на английском языке. </w:t>
      </w:r>
      <w:r>
        <w:rPr>
          <w:bCs/>
          <w:lang w:val="ru-RU"/>
        </w:rPr>
        <w:t xml:space="preserve">Располагая большим контингентом талантливых ученых и инженеров, отлично владеющих английским языком, Индия может предоставить заявителям доступные и </w:t>
      </w:r>
      <w:r w:rsidR="00F93B2F">
        <w:rPr>
          <w:bCs/>
          <w:lang w:val="ru-RU"/>
        </w:rPr>
        <w:t xml:space="preserve">качественные услуги по проведению поиска известного уровня техники, благодаря чему заявители смогут принять своевременные и правильные решения относительно возможности </w:t>
      </w:r>
      <w:r w:rsidR="00C1612B">
        <w:rPr>
          <w:bCs/>
          <w:lang w:val="ru-RU"/>
        </w:rPr>
        <w:t>извлечь коммерческую прибыль из своих изобретений.</w:t>
      </w:r>
    </w:p>
    <w:p w:rsidR="00C1612B" w:rsidRDefault="00C1612B" w:rsidP="00D202A4">
      <w:pPr>
        <w:rPr>
          <w:bCs/>
          <w:lang w:val="ru-RU"/>
        </w:rPr>
      </w:pPr>
    </w:p>
    <w:p w:rsidR="0057559A" w:rsidRDefault="00C1612B" w:rsidP="00D202A4">
      <w:pPr>
        <w:rPr>
          <w:bCs/>
          <w:lang w:val="ru-RU"/>
        </w:rPr>
      </w:pPr>
      <w:r>
        <w:rPr>
          <w:bCs/>
          <w:lang w:val="ru-RU"/>
        </w:rPr>
        <w:t xml:space="preserve">Кроме того, деятельность ИПВ в качестве МПО/ОМПЭ способствует не только более эффективному использованию системы РСТ индийскими заявителями, но и лучшему пониманию и знанию системы РСТ экспертами и самим Ведомством, что позволяет ему играть более эффективную роль в развитии </w:t>
      </w:r>
      <w:r w:rsidR="00596796">
        <w:rPr>
          <w:bCs/>
          <w:lang w:val="ru-RU"/>
        </w:rPr>
        <w:t>системы в целом.</w:t>
      </w:r>
    </w:p>
    <w:p w:rsidR="0057559A" w:rsidRDefault="0057559A">
      <w:pPr>
        <w:rPr>
          <w:bCs/>
          <w:lang w:val="ru-RU"/>
        </w:rPr>
      </w:pPr>
      <w:r>
        <w:rPr>
          <w:bCs/>
          <w:lang w:val="ru-RU"/>
        </w:rPr>
        <w:br w:type="page"/>
      </w:r>
    </w:p>
    <w:p w:rsidR="006E2AAD" w:rsidRDefault="006E2AAD" w:rsidP="00D202A4">
      <w:pPr>
        <w:rPr>
          <w:bCs/>
          <w:lang w:val="ru-RU"/>
        </w:rPr>
      </w:pPr>
    </w:p>
    <w:p w:rsidR="00596796" w:rsidRPr="00BC290C" w:rsidRDefault="00596796" w:rsidP="00596796">
      <w:pPr>
        <w:pStyle w:val="SectionHeading"/>
        <w:pBdr>
          <w:top w:val="single" w:sz="4" w:space="0" w:color="auto"/>
        </w:pBdr>
        <w:rPr>
          <w:lang w:val="ru-RU"/>
        </w:rPr>
      </w:pPr>
      <w:r>
        <w:rPr>
          <w:lang w:val="ru-RU"/>
        </w:rPr>
        <w:t xml:space="preserve">5 </w:t>
      </w:r>
      <w:r w:rsidRPr="00BC290C">
        <w:rPr>
          <w:lang w:val="ru-RU"/>
        </w:rPr>
        <w:t xml:space="preserve">– </w:t>
      </w:r>
      <w:r>
        <w:rPr>
          <w:lang w:val="ru-RU"/>
        </w:rPr>
        <w:t xml:space="preserve">государство-ЗАЯВИТЕЛЬ </w:t>
      </w:r>
      <w:r w:rsidRPr="00BC290C">
        <w:rPr>
          <w:lang w:val="ru-RU"/>
        </w:rPr>
        <w:t>(</w:t>
      </w:r>
      <w:r>
        <w:rPr>
          <w:lang w:val="ru-RU"/>
        </w:rPr>
        <w:t>государства-ЗАЯВИТЕЛИ</w:t>
      </w:r>
      <w:r w:rsidRPr="00BC290C">
        <w:rPr>
          <w:lang w:val="ru-RU"/>
        </w:rPr>
        <w:t>)</w:t>
      </w:r>
    </w:p>
    <w:p w:rsidR="00596796" w:rsidRDefault="00596796" w:rsidP="00596796">
      <w:pPr>
        <w:rPr>
          <w:b/>
          <w:lang w:val="ru-RU"/>
        </w:rPr>
      </w:pPr>
      <w:r>
        <w:rPr>
          <w:b/>
          <w:lang w:val="ru-RU"/>
        </w:rPr>
        <w:t>Местоположение в регионе</w:t>
      </w:r>
    </w:p>
    <w:p w:rsidR="00FB24B0" w:rsidRDefault="00FB24B0" w:rsidP="00FB24B0">
      <w:pPr>
        <w:suppressAutoHyphens/>
      </w:pPr>
      <w:r>
        <w:rPr>
          <w:noProof/>
          <w:lang w:eastAsia="en-US"/>
        </w:rPr>
        <w:drawing>
          <wp:inline distT="0" distB="0" distL="0" distR="0" wp14:anchorId="5DDE8FC7" wp14:editId="3E3EB7B5">
            <wp:extent cx="5934456" cy="3416809"/>
            <wp:effectExtent l="19050" t="19050" r="9525" 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3416809"/>
                    </a:xfrm>
                    <a:prstGeom prst="rect">
                      <a:avLst/>
                    </a:prstGeom>
                    <a:ln w="12700" cap="flat">
                      <a:solidFill>
                        <a:schemeClr val="tx1"/>
                      </a:solidFill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17FCF" w:rsidRDefault="00217FCF" w:rsidP="00217FCF">
      <w:pPr>
        <w:rPr>
          <w:bCs/>
          <w:i/>
          <w:szCs w:val="22"/>
          <w:lang w:val="ru-RU"/>
        </w:rPr>
      </w:pPr>
      <w:r>
        <w:rPr>
          <w:bCs/>
          <w:i/>
          <w:szCs w:val="22"/>
          <w:lang w:val="ru-RU"/>
        </w:rPr>
        <w:t>Карта, на которой обозначены соответствующее государство и соседние государства</w:t>
      </w:r>
    </w:p>
    <w:p w:rsidR="00217FCF" w:rsidRDefault="00217FCF" w:rsidP="00217FCF">
      <w:pPr>
        <w:rPr>
          <w:bCs/>
          <w:i/>
          <w:szCs w:val="22"/>
          <w:lang w:val="ru-RU"/>
        </w:rPr>
      </w:pPr>
    </w:p>
    <w:p w:rsidR="00217FCF" w:rsidRDefault="00217FCF" w:rsidP="00217FCF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Членство в региональных организациях: </w:t>
      </w:r>
      <w:r>
        <w:rPr>
          <w:bCs/>
          <w:szCs w:val="22"/>
          <w:lang w:val="ru-RU"/>
        </w:rPr>
        <w:t>Индия является членом многих организаций, таких как Региональный форум Ассоциации государств Юго-Восточной Азии (</w:t>
      </w:r>
      <w:r>
        <w:rPr>
          <w:bCs/>
          <w:szCs w:val="22"/>
        </w:rPr>
        <w:t>ARF</w:t>
      </w:r>
      <w:r>
        <w:rPr>
          <w:bCs/>
          <w:szCs w:val="22"/>
          <w:lang w:val="ru-RU"/>
        </w:rPr>
        <w:t>)</w:t>
      </w:r>
      <w:r w:rsidR="002F3A12">
        <w:rPr>
          <w:bCs/>
          <w:szCs w:val="22"/>
          <w:lang w:val="ru-RU"/>
        </w:rPr>
        <w:t>, Встреча</w:t>
      </w:r>
      <w:r>
        <w:rPr>
          <w:bCs/>
          <w:szCs w:val="22"/>
          <w:lang w:val="ru-RU"/>
        </w:rPr>
        <w:t xml:space="preserve"> «Азия-Европа» (</w:t>
      </w:r>
      <w:r>
        <w:rPr>
          <w:bCs/>
          <w:szCs w:val="22"/>
        </w:rPr>
        <w:t>ASEM</w:t>
      </w:r>
      <w:r w:rsidRPr="00217FCF">
        <w:rPr>
          <w:bCs/>
          <w:szCs w:val="22"/>
          <w:lang w:val="ru-RU"/>
        </w:rPr>
        <w:t>)</w:t>
      </w:r>
      <w:r>
        <w:rPr>
          <w:bCs/>
          <w:szCs w:val="22"/>
          <w:lang w:val="ru-RU"/>
        </w:rPr>
        <w:t xml:space="preserve">, </w:t>
      </w:r>
      <w:r w:rsidR="002F3A12" w:rsidRPr="002F3A12">
        <w:rPr>
          <w:bCs/>
          <w:szCs w:val="22"/>
          <w:lang w:val="ru-RU"/>
        </w:rPr>
        <w:t>Совещание по взаимо</w:t>
      </w:r>
      <w:r w:rsidR="001221B2">
        <w:rPr>
          <w:bCs/>
          <w:szCs w:val="22"/>
          <w:lang w:val="ru-RU"/>
        </w:rPr>
        <w:t xml:space="preserve">действию и мерам доверия в Азии </w:t>
      </w:r>
      <w:r w:rsidR="00B20F47">
        <w:rPr>
          <w:bCs/>
          <w:szCs w:val="22"/>
          <w:lang w:val="ru-RU"/>
        </w:rPr>
        <w:t>(</w:t>
      </w:r>
      <w:r w:rsidR="00B20F47">
        <w:rPr>
          <w:bCs/>
          <w:szCs w:val="22"/>
        </w:rPr>
        <w:t>CICA</w:t>
      </w:r>
      <w:r w:rsidR="00B20F47" w:rsidRPr="00B20F47">
        <w:rPr>
          <w:bCs/>
          <w:szCs w:val="22"/>
          <w:lang w:val="ru-RU"/>
        </w:rPr>
        <w:t>)</w:t>
      </w:r>
      <w:r w:rsidR="00B20F47">
        <w:rPr>
          <w:bCs/>
          <w:szCs w:val="22"/>
          <w:lang w:val="ru-RU"/>
        </w:rPr>
        <w:t>, Восточноазиатский саммит, Группа двадцати (</w:t>
      </w:r>
      <w:r w:rsidR="00B20F47">
        <w:rPr>
          <w:bCs/>
          <w:szCs w:val="22"/>
        </w:rPr>
        <w:t>G</w:t>
      </w:r>
      <w:r w:rsidR="00B20F47" w:rsidRPr="00B20F47">
        <w:rPr>
          <w:bCs/>
          <w:szCs w:val="22"/>
          <w:lang w:val="ru-RU"/>
        </w:rPr>
        <w:t>20)</w:t>
      </w:r>
      <w:r w:rsidR="00B20F47">
        <w:rPr>
          <w:bCs/>
          <w:szCs w:val="22"/>
          <w:lang w:val="ru-RU"/>
        </w:rPr>
        <w:t xml:space="preserve">, БРИКС, </w:t>
      </w:r>
      <w:r w:rsidR="00621CF7">
        <w:rPr>
          <w:bCs/>
          <w:szCs w:val="22"/>
          <w:lang w:val="ru-RU"/>
        </w:rPr>
        <w:t>С</w:t>
      </w:r>
      <w:r w:rsidR="00B20F47">
        <w:rPr>
          <w:bCs/>
          <w:szCs w:val="22"/>
          <w:lang w:val="ru-RU"/>
        </w:rPr>
        <w:t xml:space="preserve">одружество, </w:t>
      </w:r>
      <w:r w:rsidR="00357684" w:rsidRPr="00357684">
        <w:rPr>
          <w:bCs/>
          <w:szCs w:val="22"/>
          <w:lang w:val="ru-RU"/>
        </w:rPr>
        <w:t>Ассоциация стран Индоокеанского кольца по региональному сотрудничеству</w:t>
      </w:r>
      <w:r w:rsidR="00766284" w:rsidRPr="00766284">
        <w:rPr>
          <w:bCs/>
          <w:szCs w:val="22"/>
          <w:lang w:val="ru-RU"/>
        </w:rPr>
        <w:t xml:space="preserve"> (</w:t>
      </w:r>
      <w:r w:rsidR="00766284">
        <w:rPr>
          <w:bCs/>
          <w:szCs w:val="22"/>
        </w:rPr>
        <w:t>IORARC</w:t>
      </w:r>
      <w:r w:rsidR="00766284" w:rsidRPr="00766284">
        <w:rPr>
          <w:bCs/>
          <w:szCs w:val="22"/>
          <w:lang w:val="ru-RU"/>
        </w:rPr>
        <w:t>)</w:t>
      </w:r>
      <w:r w:rsidR="00766284">
        <w:rPr>
          <w:bCs/>
          <w:szCs w:val="22"/>
          <w:lang w:val="ru-RU"/>
        </w:rPr>
        <w:t xml:space="preserve">, </w:t>
      </w:r>
      <w:r w:rsidR="002F3A12">
        <w:rPr>
          <w:bCs/>
          <w:szCs w:val="22"/>
          <w:lang w:val="ru-RU"/>
        </w:rPr>
        <w:t>Сотрудничество в освоении бассейнов Меконга и Ганга (</w:t>
      </w:r>
      <w:r w:rsidR="002F3A12">
        <w:rPr>
          <w:bCs/>
          <w:szCs w:val="22"/>
        </w:rPr>
        <w:t>MGC</w:t>
      </w:r>
      <w:r w:rsidR="002F3A12" w:rsidRPr="002F3A12">
        <w:rPr>
          <w:bCs/>
          <w:szCs w:val="22"/>
          <w:lang w:val="ru-RU"/>
        </w:rPr>
        <w:t>)</w:t>
      </w:r>
      <w:r w:rsidR="002F3A12">
        <w:rPr>
          <w:bCs/>
          <w:szCs w:val="22"/>
          <w:lang w:val="ru-RU"/>
        </w:rPr>
        <w:t>. Индия также тесно взаимодействует со многими другими организациями и оказыв</w:t>
      </w:r>
      <w:r w:rsidR="00905059">
        <w:rPr>
          <w:bCs/>
          <w:szCs w:val="22"/>
          <w:lang w:val="ru-RU"/>
        </w:rPr>
        <w:t>а</w:t>
      </w:r>
      <w:r w:rsidR="002F3A12">
        <w:rPr>
          <w:bCs/>
          <w:szCs w:val="22"/>
          <w:lang w:val="ru-RU"/>
        </w:rPr>
        <w:t>ет им поддержку, даже не являясь их членом.</w:t>
      </w:r>
    </w:p>
    <w:p w:rsidR="002F3A12" w:rsidRDefault="002F3A12" w:rsidP="00217FCF">
      <w:pPr>
        <w:rPr>
          <w:bCs/>
          <w:szCs w:val="22"/>
          <w:lang w:val="ru-RU"/>
        </w:rPr>
      </w:pPr>
    </w:p>
    <w:p w:rsidR="002F3A12" w:rsidRDefault="002F3A12" w:rsidP="002F3A12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Численность населения</w:t>
      </w:r>
      <w:r w:rsidRPr="004D6FDB">
        <w:rPr>
          <w:b/>
          <w:bCs/>
          <w:szCs w:val="22"/>
          <w:lang w:val="ru-RU"/>
        </w:rPr>
        <w:t>:</w:t>
      </w:r>
    </w:p>
    <w:p w:rsidR="002F3A12" w:rsidRDefault="002F3A12" w:rsidP="002F3A12">
      <w:pPr>
        <w:rPr>
          <w:rStyle w:val="Strong"/>
          <w:b w:val="0"/>
          <w:szCs w:val="22"/>
          <w:lang w:val="ru-RU"/>
        </w:rPr>
      </w:pPr>
      <w:r>
        <w:rPr>
          <w:bCs/>
          <w:szCs w:val="22"/>
          <w:lang w:val="ru-RU"/>
        </w:rPr>
        <w:t>1,02 миллиарда</w:t>
      </w:r>
      <w:r w:rsidRPr="004D6FD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человек</w:t>
      </w:r>
      <w:r w:rsidR="00905059">
        <w:rPr>
          <w:bCs/>
          <w:szCs w:val="22"/>
          <w:lang w:val="ru-RU"/>
        </w:rPr>
        <w:t xml:space="preserve"> по данным переписи 2011 года</w:t>
      </w:r>
    </w:p>
    <w:p w:rsidR="002F3A12" w:rsidRDefault="002F3A12" w:rsidP="002F3A12">
      <w:pPr>
        <w:rPr>
          <w:szCs w:val="22"/>
          <w:lang w:val="ru-RU"/>
        </w:rPr>
      </w:pPr>
    </w:p>
    <w:p w:rsidR="002F3A12" w:rsidRPr="009B467E" w:rsidRDefault="002F3A12" w:rsidP="002F3A12">
      <w:pPr>
        <w:rPr>
          <w:rStyle w:val="Strong"/>
          <w:szCs w:val="22"/>
          <w:lang w:val="ru-RU"/>
        </w:rPr>
      </w:pPr>
      <w:r>
        <w:rPr>
          <w:b/>
          <w:bCs/>
          <w:szCs w:val="22"/>
          <w:lang w:val="ru-RU"/>
        </w:rPr>
        <w:t>ВВП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душу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населения</w:t>
      </w:r>
      <w:r w:rsidRPr="009B467E">
        <w:rPr>
          <w:b/>
          <w:bCs/>
          <w:szCs w:val="22"/>
          <w:lang w:val="ru-RU"/>
        </w:rPr>
        <w:t>:</w:t>
      </w:r>
    </w:p>
    <w:p w:rsidR="002F3A12" w:rsidRDefault="00905059" w:rsidP="002F3A12">
      <w:pPr>
        <w:rPr>
          <w:rStyle w:val="Strong"/>
          <w:szCs w:val="22"/>
          <w:lang w:val="ru-RU"/>
        </w:rPr>
      </w:pPr>
      <w:r>
        <w:rPr>
          <w:bCs/>
          <w:szCs w:val="22"/>
          <w:lang w:val="ru-RU"/>
        </w:rPr>
        <w:t>1583</w:t>
      </w:r>
      <w:r w:rsidR="002F3A12" w:rsidRPr="009B467E">
        <w:rPr>
          <w:bCs/>
          <w:szCs w:val="22"/>
          <w:lang w:val="ru-RU"/>
        </w:rPr>
        <w:t xml:space="preserve"> </w:t>
      </w:r>
      <w:r w:rsidR="002F3A12">
        <w:rPr>
          <w:bCs/>
          <w:szCs w:val="22"/>
          <w:lang w:val="ru-RU"/>
        </w:rPr>
        <w:t>долл</w:t>
      </w:r>
      <w:r w:rsidR="002F3A12" w:rsidRPr="009B467E">
        <w:rPr>
          <w:bCs/>
          <w:szCs w:val="22"/>
          <w:lang w:val="ru-RU"/>
        </w:rPr>
        <w:t xml:space="preserve">. </w:t>
      </w:r>
      <w:r w:rsidR="002F3A12">
        <w:rPr>
          <w:bCs/>
          <w:szCs w:val="22"/>
          <w:lang w:val="ru-RU"/>
        </w:rPr>
        <w:t>США</w:t>
      </w:r>
      <w:r w:rsidR="002F3A12" w:rsidRPr="00DC4AF8">
        <w:rPr>
          <w:bCs/>
          <w:szCs w:val="22"/>
          <w:lang w:val="ru-RU"/>
        </w:rPr>
        <w:t xml:space="preserve"> </w:t>
      </w:r>
    </w:p>
    <w:p w:rsidR="002F3A12" w:rsidRDefault="002F3A12" w:rsidP="002F3A12">
      <w:pPr>
        <w:rPr>
          <w:szCs w:val="22"/>
          <w:lang w:val="ru-RU"/>
        </w:rPr>
      </w:pPr>
    </w:p>
    <w:p w:rsidR="002F3A12" w:rsidRDefault="002F3A12" w:rsidP="002F3A12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Оценка национальных расходов на НИОКР </w:t>
      </w:r>
      <w:r w:rsidRPr="00EE6E59">
        <w:rPr>
          <w:b/>
          <w:bCs/>
          <w:szCs w:val="22"/>
          <w:lang w:val="ru-RU"/>
        </w:rPr>
        <w:t>(</w:t>
      </w:r>
      <w:r>
        <w:rPr>
          <w:b/>
          <w:bCs/>
          <w:szCs w:val="22"/>
          <w:lang w:val="ru-RU"/>
        </w:rPr>
        <w:t>доля в % от ВВП</w:t>
      </w:r>
      <w:r w:rsidRPr="00EE6E59">
        <w:rPr>
          <w:b/>
          <w:bCs/>
          <w:szCs w:val="22"/>
          <w:lang w:val="ru-RU"/>
        </w:rPr>
        <w:t>):</w:t>
      </w:r>
    </w:p>
    <w:p w:rsidR="002F3A12" w:rsidRDefault="002F3A12" w:rsidP="002F3A12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0,</w:t>
      </w:r>
      <w:r w:rsidR="00905059">
        <w:rPr>
          <w:bCs/>
          <w:szCs w:val="22"/>
          <w:lang w:val="ru-RU"/>
        </w:rPr>
        <w:t>9 процента</w:t>
      </w:r>
    </w:p>
    <w:p w:rsidR="002F3A12" w:rsidRDefault="002F3A12" w:rsidP="002F3A12">
      <w:pPr>
        <w:rPr>
          <w:szCs w:val="22"/>
          <w:lang w:val="ru-RU"/>
        </w:rPr>
      </w:pPr>
    </w:p>
    <w:p w:rsidR="002F3A12" w:rsidRDefault="002F3A12" w:rsidP="002F3A1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научно-исследовательских организаций</w:t>
      </w:r>
      <w:r w:rsidRPr="00EE6E59">
        <w:rPr>
          <w:b/>
          <w:bCs/>
          <w:szCs w:val="22"/>
          <w:lang w:val="ru-RU"/>
        </w:rPr>
        <w:t>:</w:t>
      </w:r>
    </w:p>
    <w:p w:rsidR="002F3A12" w:rsidRDefault="00905059" w:rsidP="002F3A12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более 700</w:t>
      </w:r>
      <w:r w:rsidR="002F3A12">
        <w:rPr>
          <w:bCs/>
          <w:szCs w:val="22"/>
          <w:lang w:val="ru-RU"/>
        </w:rPr>
        <w:t xml:space="preserve"> </w:t>
      </w:r>
    </w:p>
    <w:p w:rsidR="00905059" w:rsidRDefault="00905059" w:rsidP="002F3A12">
      <w:pPr>
        <w:rPr>
          <w:bCs/>
          <w:szCs w:val="22"/>
          <w:lang w:val="ru-RU"/>
        </w:rPr>
      </w:pPr>
    </w:p>
    <w:p w:rsidR="00DA0D3C" w:rsidRPr="005B62EB" w:rsidRDefault="00905059" w:rsidP="00905059">
      <w:pPr>
        <w:keepNext/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Краткая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характеристика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системы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патентной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информации</w:t>
      </w:r>
      <w:r w:rsidRPr="00EE6E59">
        <w:rPr>
          <w:b/>
          <w:bCs/>
          <w:szCs w:val="22"/>
          <w:lang w:val="ru-RU"/>
        </w:rPr>
        <w:t xml:space="preserve"> (</w:t>
      </w:r>
      <w:r>
        <w:rPr>
          <w:b/>
          <w:bCs/>
          <w:szCs w:val="22"/>
          <w:lang w:val="ru-RU"/>
        </w:rPr>
        <w:t>например</w:t>
      </w:r>
      <w:r w:rsidRPr="00EE6E59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патентные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библиотеки</w:t>
      </w:r>
      <w:r w:rsidRPr="00EE6E59">
        <w:rPr>
          <w:b/>
          <w:bCs/>
          <w:szCs w:val="22"/>
          <w:lang w:val="ru-RU"/>
        </w:rPr>
        <w:t>, центр</w:t>
      </w:r>
      <w:r>
        <w:rPr>
          <w:b/>
          <w:bCs/>
          <w:szCs w:val="22"/>
          <w:lang w:val="ru-RU"/>
        </w:rPr>
        <w:t xml:space="preserve">ы </w:t>
      </w:r>
      <w:r w:rsidRPr="00EE6E59">
        <w:rPr>
          <w:b/>
          <w:bCs/>
          <w:szCs w:val="22"/>
          <w:lang w:val="ru-RU"/>
        </w:rPr>
        <w:t>поддержки технологи</w:t>
      </w:r>
      <w:r>
        <w:rPr>
          <w:b/>
          <w:bCs/>
          <w:szCs w:val="22"/>
          <w:lang w:val="ru-RU"/>
        </w:rPr>
        <w:t>й</w:t>
      </w:r>
      <w:r w:rsidRPr="00EE6E59">
        <w:rPr>
          <w:b/>
          <w:bCs/>
          <w:szCs w:val="22"/>
          <w:lang w:val="ru-RU"/>
        </w:rPr>
        <w:t xml:space="preserve"> и инноваций):</w:t>
      </w:r>
      <w:r>
        <w:rPr>
          <w:b/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Индийское патентное ведомство предлагает на веб-сайте инструмент бесплатного патентного поиска под названием </w:t>
      </w:r>
      <w:proofErr w:type="spellStart"/>
      <w:r>
        <w:rPr>
          <w:bCs/>
          <w:szCs w:val="22"/>
        </w:rPr>
        <w:t>inPASS</w:t>
      </w:r>
      <w:proofErr w:type="spellEnd"/>
      <w:r>
        <w:rPr>
          <w:bCs/>
          <w:szCs w:val="22"/>
          <w:lang w:val="ru-RU"/>
        </w:rPr>
        <w:t xml:space="preserve">, который облегчает поиск по всем опубликованным заявкам и выданным патентам. В стране действует несколько центров поддержки инноваций и </w:t>
      </w:r>
      <w:r w:rsidR="001B1065">
        <w:rPr>
          <w:bCs/>
          <w:szCs w:val="22"/>
          <w:lang w:val="ru-RU"/>
        </w:rPr>
        <w:t xml:space="preserve">прав </w:t>
      </w:r>
      <w:r w:rsidR="001B1065">
        <w:rPr>
          <w:bCs/>
          <w:szCs w:val="22"/>
          <w:lang w:val="ru-RU"/>
        </w:rPr>
        <w:lastRenderedPageBreak/>
        <w:t>интеллектуальной собственности</w:t>
      </w:r>
      <w:r w:rsidR="00F717B6">
        <w:rPr>
          <w:bCs/>
          <w:szCs w:val="22"/>
          <w:lang w:val="ru-RU"/>
        </w:rPr>
        <w:t>. Совет по содействию исследованиям в сфере биотехнологии (</w:t>
      </w:r>
      <w:r w:rsidR="00F717B6">
        <w:rPr>
          <w:bCs/>
          <w:szCs w:val="22"/>
        </w:rPr>
        <w:t>BIRAC</w:t>
      </w:r>
      <w:r w:rsidR="00F717B6" w:rsidRPr="00F717B6">
        <w:rPr>
          <w:bCs/>
          <w:szCs w:val="22"/>
          <w:lang w:val="ru-RU"/>
        </w:rPr>
        <w:t>)</w:t>
      </w:r>
      <w:r w:rsidR="00F717B6">
        <w:rPr>
          <w:bCs/>
          <w:szCs w:val="22"/>
          <w:lang w:val="ru-RU"/>
        </w:rPr>
        <w:t>, Совет по технической информации, прогнозированию и оценке (</w:t>
      </w:r>
      <w:r w:rsidR="00F717B6">
        <w:rPr>
          <w:bCs/>
          <w:szCs w:val="22"/>
        </w:rPr>
        <w:t>TIFAC</w:t>
      </w:r>
      <w:r w:rsidR="00F717B6" w:rsidRPr="00F717B6">
        <w:rPr>
          <w:bCs/>
          <w:szCs w:val="22"/>
          <w:lang w:val="ru-RU"/>
        </w:rPr>
        <w:t>)</w:t>
      </w:r>
      <w:r w:rsidR="00F717B6">
        <w:rPr>
          <w:bCs/>
          <w:szCs w:val="22"/>
          <w:lang w:val="ru-RU"/>
        </w:rPr>
        <w:t>, Национальная корпорация по развитию исследований (</w:t>
      </w:r>
      <w:r w:rsidR="00F717B6">
        <w:rPr>
          <w:bCs/>
          <w:szCs w:val="22"/>
        </w:rPr>
        <w:t>NRDC</w:t>
      </w:r>
      <w:r w:rsidR="00F717B6" w:rsidRPr="00F717B6">
        <w:rPr>
          <w:bCs/>
          <w:szCs w:val="22"/>
          <w:lang w:val="ru-RU"/>
        </w:rPr>
        <w:t>)</w:t>
      </w:r>
      <w:r w:rsidR="00F717B6">
        <w:rPr>
          <w:bCs/>
          <w:szCs w:val="22"/>
          <w:lang w:val="ru-RU"/>
        </w:rPr>
        <w:t xml:space="preserve"> и Национальный фонд инноваций </w:t>
      </w:r>
      <w:r w:rsidR="00F717B6" w:rsidRPr="00F717B6">
        <w:rPr>
          <w:bCs/>
          <w:szCs w:val="22"/>
          <w:lang w:val="ru-RU"/>
        </w:rPr>
        <w:t>(</w:t>
      </w:r>
      <w:r w:rsidR="00F717B6">
        <w:rPr>
          <w:bCs/>
          <w:szCs w:val="22"/>
        </w:rPr>
        <w:t>NIF</w:t>
      </w:r>
      <w:r w:rsidR="00F717B6" w:rsidRPr="00F717B6">
        <w:rPr>
          <w:bCs/>
          <w:szCs w:val="22"/>
          <w:lang w:val="ru-RU"/>
        </w:rPr>
        <w:t>)</w:t>
      </w:r>
      <w:r w:rsidR="00F717B6">
        <w:rPr>
          <w:bCs/>
          <w:szCs w:val="22"/>
          <w:lang w:val="ru-RU"/>
        </w:rPr>
        <w:t xml:space="preserve"> – это организации, созданные правительством Индии </w:t>
      </w:r>
      <w:r w:rsidR="001B1065">
        <w:rPr>
          <w:bCs/>
          <w:szCs w:val="22"/>
          <w:lang w:val="ru-RU"/>
        </w:rPr>
        <w:t xml:space="preserve">для поддержки инноваций и содействия защите прав интеллектуальной собственности. </w:t>
      </w:r>
      <w:r w:rsidR="00986846">
        <w:rPr>
          <w:bCs/>
          <w:szCs w:val="22"/>
          <w:lang w:val="ru-RU"/>
        </w:rPr>
        <w:t xml:space="preserve">Такие инициативы, как </w:t>
      </w:r>
      <w:r w:rsidR="00986846">
        <w:rPr>
          <w:bCs/>
          <w:szCs w:val="22"/>
        </w:rPr>
        <w:t>Start</w:t>
      </w:r>
      <w:r w:rsidR="00986846" w:rsidRPr="00986846">
        <w:rPr>
          <w:bCs/>
          <w:szCs w:val="22"/>
          <w:lang w:val="ru-RU"/>
        </w:rPr>
        <w:t>-</w:t>
      </w:r>
      <w:r w:rsidR="00986846">
        <w:rPr>
          <w:bCs/>
          <w:szCs w:val="22"/>
        </w:rPr>
        <w:t>up</w:t>
      </w:r>
      <w:r w:rsidR="00986846" w:rsidRPr="00986846">
        <w:rPr>
          <w:bCs/>
          <w:szCs w:val="22"/>
          <w:lang w:val="ru-RU"/>
        </w:rPr>
        <w:t xml:space="preserve"> </w:t>
      </w:r>
      <w:r w:rsidR="00986846">
        <w:rPr>
          <w:bCs/>
          <w:szCs w:val="22"/>
        </w:rPr>
        <w:t>India</w:t>
      </w:r>
      <w:r w:rsidR="00986846" w:rsidRPr="00986846">
        <w:rPr>
          <w:bCs/>
          <w:szCs w:val="22"/>
          <w:lang w:val="ru-RU"/>
        </w:rPr>
        <w:t xml:space="preserve"> </w:t>
      </w:r>
      <w:r w:rsidR="00986846">
        <w:rPr>
          <w:bCs/>
          <w:szCs w:val="22"/>
          <w:lang w:val="ru-RU"/>
        </w:rPr>
        <w:t xml:space="preserve">и </w:t>
      </w:r>
      <w:r w:rsidR="00986846">
        <w:rPr>
          <w:bCs/>
          <w:szCs w:val="22"/>
        </w:rPr>
        <w:t>Atal</w:t>
      </w:r>
      <w:r w:rsidR="00986846" w:rsidRPr="00986846">
        <w:rPr>
          <w:bCs/>
          <w:szCs w:val="22"/>
          <w:lang w:val="ru-RU"/>
        </w:rPr>
        <w:t xml:space="preserve"> </w:t>
      </w:r>
      <w:r w:rsidR="00986846">
        <w:rPr>
          <w:bCs/>
          <w:szCs w:val="22"/>
        </w:rPr>
        <w:t>Innovation</w:t>
      </w:r>
      <w:r w:rsidR="00986846" w:rsidRPr="00986846">
        <w:rPr>
          <w:bCs/>
          <w:szCs w:val="22"/>
          <w:lang w:val="ru-RU"/>
        </w:rPr>
        <w:t xml:space="preserve"> </w:t>
      </w:r>
      <w:r w:rsidR="00986846">
        <w:rPr>
          <w:bCs/>
          <w:szCs w:val="22"/>
        </w:rPr>
        <w:t>Mission</w:t>
      </w:r>
      <w:r w:rsidR="00986846" w:rsidRPr="00986846">
        <w:rPr>
          <w:bCs/>
          <w:szCs w:val="22"/>
          <w:lang w:val="ru-RU"/>
        </w:rPr>
        <w:t xml:space="preserve"> (</w:t>
      </w:r>
      <w:r w:rsidR="00986846">
        <w:rPr>
          <w:bCs/>
          <w:szCs w:val="22"/>
        </w:rPr>
        <w:t>AIM</w:t>
      </w:r>
      <w:r w:rsidR="00986846" w:rsidRPr="00986846">
        <w:rPr>
          <w:bCs/>
          <w:szCs w:val="22"/>
          <w:lang w:val="ru-RU"/>
        </w:rPr>
        <w:t>)</w:t>
      </w:r>
      <w:r w:rsidR="00986846">
        <w:rPr>
          <w:bCs/>
          <w:szCs w:val="22"/>
          <w:lang w:val="ru-RU"/>
        </w:rPr>
        <w:t>, предпринятые правительством Индии</w:t>
      </w:r>
      <w:r w:rsidR="00F717B6">
        <w:rPr>
          <w:bCs/>
          <w:szCs w:val="22"/>
          <w:lang w:val="ru-RU"/>
        </w:rPr>
        <w:t xml:space="preserve"> </w:t>
      </w:r>
      <w:r w:rsidR="00986846">
        <w:rPr>
          <w:bCs/>
          <w:szCs w:val="22"/>
          <w:lang w:val="ru-RU"/>
        </w:rPr>
        <w:t xml:space="preserve">с целью создать простейшие лаборатории в школах и центры по генерированию идей, позволили сформировать обстановку, способствующую инновациям и предпринимательству. «Творческая Индия, инновационная Индия» - </w:t>
      </w:r>
      <w:r w:rsidR="007B22C5">
        <w:rPr>
          <w:bCs/>
          <w:szCs w:val="22"/>
          <w:lang w:val="ru-RU"/>
        </w:rPr>
        <w:t>вот призыв, пронизывающий национальную политику в отношении прав интеллектуальной собственности, начало которой было положено в 2016 году и которая предусматривает созд</w:t>
      </w:r>
      <w:r w:rsidR="00956D75">
        <w:rPr>
          <w:bCs/>
          <w:szCs w:val="22"/>
          <w:lang w:val="ru-RU"/>
        </w:rPr>
        <w:t>ание специальных групп, призванных помочь владельцам интеллектуальной собственности всех видов извлечь коммерческую прибыль из их ИС-активов.</w:t>
      </w:r>
    </w:p>
    <w:p w:rsidR="00DA0D3C" w:rsidRPr="005B62EB" w:rsidRDefault="00DA0D3C" w:rsidP="00905059">
      <w:pPr>
        <w:keepNext/>
        <w:rPr>
          <w:bCs/>
          <w:szCs w:val="22"/>
          <w:lang w:val="ru-RU"/>
        </w:rPr>
      </w:pPr>
    </w:p>
    <w:p w:rsidR="00DA0D3C" w:rsidRDefault="00DA0D3C" w:rsidP="00DA0D3C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Ведущие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отрасли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промышленности</w:t>
      </w:r>
      <w:r w:rsidRPr="009B467E">
        <w:rPr>
          <w:b/>
          <w:bCs/>
          <w:szCs w:val="22"/>
          <w:lang w:val="ru-RU"/>
        </w:rPr>
        <w:t>:</w:t>
      </w:r>
      <w:r w:rsidRPr="00DA0D3C">
        <w:rPr>
          <w:b/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текстильная, пищевая, химическая, цементная, сталелитейная, ИТ и ИТ-усл</w:t>
      </w:r>
      <w:r w:rsidR="001221B2">
        <w:rPr>
          <w:bCs/>
          <w:szCs w:val="22"/>
          <w:lang w:val="ru-RU"/>
        </w:rPr>
        <w:t>уги, горнодобывающая и нефтяная</w:t>
      </w:r>
    </w:p>
    <w:p w:rsidR="00DA0D3C" w:rsidRDefault="00DA0D3C" w:rsidP="00DA0D3C">
      <w:pPr>
        <w:rPr>
          <w:bCs/>
          <w:szCs w:val="22"/>
          <w:lang w:val="ru-RU"/>
        </w:rPr>
      </w:pPr>
    </w:p>
    <w:p w:rsidR="00905059" w:rsidRDefault="00956D75" w:rsidP="00DA0D3C">
      <w:pPr>
        <w:rPr>
          <w:b/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986846">
        <w:rPr>
          <w:bCs/>
          <w:szCs w:val="22"/>
          <w:lang w:val="ru-RU"/>
        </w:rPr>
        <w:t xml:space="preserve"> </w:t>
      </w:r>
      <w:r w:rsidR="00905059">
        <w:rPr>
          <w:bCs/>
          <w:szCs w:val="22"/>
          <w:lang w:val="ru-RU"/>
        </w:rPr>
        <w:t xml:space="preserve">  </w:t>
      </w:r>
      <w:r w:rsidR="00905059">
        <w:rPr>
          <w:b/>
          <w:bCs/>
          <w:szCs w:val="22"/>
          <w:lang w:val="ru-RU"/>
        </w:rPr>
        <w:t xml:space="preserve"> </w:t>
      </w:r>
    </w:p>
    <w:p w:rsidR="00DA0D3C" w:rsidRDefault="00DA0D3C" w:rsidP="00DA0D3C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Основные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страны</w:t>
      </w:r>
      <w:r w:rsidR="00F121F1" w:rsidRPr="00F121F1">
        <w:rPr>
          <w:b/>
          <w:bCs/>
          <w:szCs w:val="22"/>
          <w:lang w:val="ru-RU"/>
        </w:rPr>
        <w:t>/</w:t>
      </w:r>
      <w:r w:rsidR="00F121F1">
        <w:rPr>
          <w:b/>
          <w:bCs/>
          <w:szCs w:val="22"/>
          <w:lang w:val="ru-RU"/>
        </w:rPr>
        <w:t>р</w:t>
      </w:r>
      <w:r w:rsidR="00A710E1">
        <w:rPr>
          <w:b/>
          <w:bCs/>
          <w:szCs w:val="22"/>
          <w:lang w:val="ru-RU"/>
        </w:rPr>
        <w:t>айоны</w:t>
      </w:r>
      <w:r>
        <w:rPr>
          <w:b/>
          <w:bCs/>
          <w:szCs w:val="22"/>
          <w:lang w:val="ru-RU"/>
        </w:rPr>
        <w:t xml:space="preserve"> </w:t>
      </w:r>
      <w:r w:rsidRPr="009B467E">
        <w:rPr>
          <w:b/>
          <w:bCs/>
          <w:szCs w:val="22"/>
          <w:lang w:val="ru-RU"/>
        </w:rPr>
        <w:t>-</w:t>
      </w:r>
      <w:r>
        <w:rPr>
          <w:b/>
          <w:bCs/>
          <w:szCs w:val="22"/>
          <w:lang w:val="ru-RU"/>
        </w:rPr>
        <w:t xml:space="preserve"> торговые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партнеры</w:t>
      </w:r>
      <w:r w:rsidRPr="009B467E">
        <w:rPr>
          <w:b/>
          <w:bCs/>
          <w:szCs w:val="22"/>
          <w:lang w:val="ru-RU"/>
        </w:rPr>
        <w:t>:</w:t>
      </w:r>
      <w:r>
        <w:rPr>
          <w:b/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Китайская Народная Республика, Соединенные Штаты Америки, Объединенные Арабские Эмираты, Саудовская Аравия, Гонконг, Германия, Швейцария, Республика Корея, Индонез</w:t>
      </w:r>
      <w:r w:rsidR="001221B2">
        <w:rPr>
          <w:bCs/>
          <w:szCs w:val="22"/>
          <w:lang w:val="ru-RU"/>
        </w:rPr>
        <w:t>ия, Сингапур, Малайзия и Япония</w:t>
      </w:r>
    </w:p>
    <w:p w:rsidR="00DA0D3C" w:rsidRDefault="00DA0D3C" w:rsidP="00DA0D3C">
      <w:pPr>
        <w:rPr>
          <w:bCs/>
          <w:szCs w:val="22"/>
          <w:lang w:val="ru-RU"/>
        </w:rPr>
      </w:pPr>
    </w:p>
    <w:p w:rsidR="00200C62" w:rsidRPr="005B62EB" w:rsidRDefault="00A622F6" w:rsidP="00200C62">
      <w:pPr>
        <w:rPr>
          <w:lang w:val="ru-RU"/>
        </w:rPr>
      </w:pPr>
      <w:r>
        <w:rPr>
          <w:b/>
          <w:bCs/>
          <w:szCs w:val="22"/>
          <w:lang w:val="ru-RU"/>
        </w:rPr>
        <w:t xml:space="preserve">Другая важная информация: </w:t>
      </w:r>
      <w:r>
        <w:rPr>
          <w:bCs/>
          <w:szCs w:val="22"/>
          <w:lang w:val="ru-RU"/>
        </w:rPr>
        <w:t xml:space="preserve">разработка Национальной политики в отношении прав интеллектуальной собственности </w:t>
      </w:r>
      <w:r w:rsidR="004B07AF">
        <w:rPr>
          <w:bCs/>
          <w:szCs w:val="22"/>
          <w:lang w:val="ru-RU"/>
        </w:rPr>
        <w:t>является огромным шагом, предпринятым правительством Индии в целях поощрения творчества и стимулирования новаторства. В этом докум</w:t>
      </w:r>
      <w:r w:rsidR="000F71A0">
        <w:rPr>
          <w:bCs/>
          <w:szCs w:val="22"/>
          <w:lang w:val="ru-RU"/>
        </w:rPr>
        <w:t>енте содержится</w:t>
      </w:r>
      <w:r w:rsidR="004B07AF">
        <w:rPr>
          <w:bCs/>
          <w:szCs w:val="22"/>
          <w:lang w:val="ru-RU"/>
        </w:rPr>
        <w:t xml:space="preserve"> «дорожная карта»</w:t>
      </w:r>
      <w:r w:rsidR="000F71A0">
        <w:rPr>
          <w:bCs/>
          <w:szCs w:val="22"/>
          <w:lang w:val="ru-RU"/>
        </w:rPr>
        <w:t>, касающаяся будущего прав интеллектуальной собственности в Индии и отражающая следующе</w:t>
      </w:r>
      <w:r w:rsidR="00EB32C8">
        <w:rPr>
          <w:bCs/>
          <w:szCs w:val="22"/>
          <w:lang w:val="ru-RU"/>
        </w:rPr>
        <w:t>е</w:t>
      </w:r>
      <w:r w:rsidR="000F71A0">
        <w:rPr>
          <w:bCs/>
          <w:szCs w:val="22"/>
          <w:lang w:val="ru-RU"/>
        </w:rPr>
        <w:t xml:space="preserve"> видение: «Индия, в которой интеллектуальная собственность способствует развитию творчества и новаторства на благо всех людей; Индия, в которой </w:t>
      </w:r>
      <w:r w:rsidR="004B07AF">
        <w:rPr>
          <w:bCs/>
          <w:szCs w:val="22"/>
          <w:lang w:val="ru-RU"/>
        </w:rPr>
        <w:t xml:space="preserve"> </w:t>
      </w:r>
      <w:r w:rsidR="000F71A0">
        <w:rPr>
          <w:bCs/>
          <w:szCs w:val="22"/>
          <w:lang w:val="ru-RU"/>
        </w:rPr>
        <w:t xml:space="preserve">интеллектуальная собственность способствует развитию науки и техники, искусства и культуры, традиционных знаний и биологического разнообразия; Индия, в которой знания служат </w:t>
      </w:r>
      <w:r w:rsidR="00883B8D">
        <w:rPr>
          <w:bCs/>
          <w:szCs w:val="22"/>
          <w:lang w:val="ru-RU"/>
        </w:rPr>
        <w:t>движущей силой развития</w:t>
      </w:r>
      <w:r w:rsidR="007366CB">
        <w:rPr>
          <w:bCs/>
          <w:szCs w:val="22"/>
          <w:lang w:val="ru-RU"/>
        </w:rPr>
        <w:t xml:space="preserve">, а знания, выступающие в качестве собственности, превращаются в знания, являющиеся общим достоянием». </w:t>
      </w:r>
      <w:r w:rsidR="00200C62">
        <w:rPr>
          <w:bCs/>
          <w:szCs w:val="22"/>
          <w:lang w:val="ru-RU"/>
        </w:rPr>
        <w:t xml:space="preserve">С </w:t>
      </w:r>
      <w:r w:rsidR="00C32CAD">
        <w:rPr>
          <w:bCs/>
          <w:szCs w:val="22"/>
          <w:lang w:val="ru-RU"/>
        </w:rPr>
        <w:t xml:space="preserve">Национальной политикой </w:t>
      </w:r>
      <w:r w:rsidR="00200C62">
        <w:rPr>
          <w:bCs/>
          <w:szCs w:val="22"/>
          <w:lang w:val="ru-RU"/>
        </w:rPr>
        <w:t>в отношении прав интеллектуальной собственности можно ознакомиться на веб-сайте Департамента промышленной политики и развития по адресу:</w:t>
      </w:r>
      <w:r w:rsidR="00200C62" w:rsidRPr="00200C62">
        <w:rPr>
          <w:lang w:val="ru-RU"/>
        </w:rPr>
        <w:t xml:space="preserve"> </w:t>
      </w:r>
      <w:r w:rsidR="00200C62" w:rsidRPr="00200C62">
        <w:rPr>
          <w:rtl/>
          <w:cs/>
        </w:rPr>
        <w:t>‎</w:t>
      </w:r>
      <w:proofErr w:type="spellStart"/>
      <w:r w:rsidR="00200C62" w:rsidRPr="00200C62">
        <w:t>dipp</w:t>
      </w:r>
      <w:proofErr w:type="spellEnd"/>
      <w:r w:rsidR="00200C62" w:rsidRPr="00200C62">
        <w:rPr>
          <w:lang w:val="ru-RU"/>
        </w:rPr>
        <w:t>.</w:t>
      </w:r>
      <w:proofErr w:type="spellStart"/>
      <w:r w:rsidR="00200C62" w:rsidRPr="00200C62">
        <w:t>nic</w:t>
      </w:r>
      <w:proofErr w:type="spellEnd"/>
      <w:r w:rsidR="00200C62" w:rsidRPr="00200C62">
        <w:rPr>
          <w:lang w:val="ru-RU"/>
        </w:rPr>
        <w:t>.</w:t>
      </w:r>
      <w:r w:rsidR="00200C62" w:rsidRPr="00200C62">
        <w:t>in</w:t>
      </w:r>
      <w:r w:rsidR="00200C62" w:rsidRPr="00200C62">
        <w:rPr>
          <w:lang w:val="ru-RU"/>
        </w:rPr>
        <w:t>/</w:t>
      </w:r>
      <w:r w:rsidR="00200C62" w:rsidRPr="00200C62">
        <w:t>English</w:t>
      </w:r>
      <w:r w:rsidR="00200C62" w:rsidRPr="00200C62">
        <w:rPr>
          <w:lang w:val="ru-RU"/>
        </w:rPr>
        <w:t>/</w:t>
      </w:r>
      <w:r w:rsidR="00200C62" w:rsidRPr="00200C62">
        <w:t>Schemes</w:t>
      </w:r>
      <w:r w:rsidR="00200C62" w:rsidRPr="00200C62">
        <w:rPr>
          <w:lang w:val="ru-RU"/>
        </w:rPr>
        <w:t>/</w:t>
      </w:r>
      <w:r w:rsidR="00200C62" w:rsidRPr="00200C62">
        <w:t>Intellectual</w:t>
      </w:r>
      <w:r w:rsidR="00200C62" w:rsidRPr="00200C62">
        <w:rPr>
          <w:lang w:val="ru-RU"/>
        </w:rPr>
        <w:t>_</w:t>
      </w:r>
      <w:r w:rsidR="00200C62" w:rsidRPr="00200C62">
        <w:t>Property</w:t>
      </w:r>
      <w:r w:rsidR="00200C62" w:rsidRPr="00200C62">
        <w:rPr>
          <w:lang w:val="ru-RU"/>
        </w:rPr>
        <w:t>_</w:t>
      </w:r>
      <w:r w:rsidR="00200C62" w:rsidRPr="00200C62">
        <w:t>Rights</w:t>
      </w:r>
      <w:r w:rsidR="00200C62" w:rsidRPr="00200C62">
        <w:rPr>
          <w:lang w:val="ru-RU"/>
        </w:rPr>
        <w:t>/</w:t>
      </w:r>
      <w:r w:rsidR="00200C62" w:rsidRPr="00200C62">
        <w:t>National</w:t>
      </w:r>
      <w:r w:rsidR="00200C62" w:rsidRPr="00200C62">
        <w:rPr>
          <w:lang w:val="ru-RU"/>
        </w:rPr>
        <w:t>_</w:t>
      </w:r>
      <w:r w:rsidR="00200C62" w:rsidRPr="00200C62">
        <w:t>IPR</w:t>
      </w:r>
      <w:r w:rsidR="00200C62" w:rsidRPr="00200C62">
        <w:rPr>
          <w:lang w:val="ru-RU"/>
        </w:rPr>
        <w:t>_</w:t>
      </w:r>
      <w:r w:rsidR="00200C62" w:rsidRPr="00200C62">
        <w:t>Policy</w:t>
      </w:r>
      <w:r w:rsidR="00200C62" w:rsidRPr="00200C62">
        <w:rPr>
          <w:lang w:val="ru-RU"/>
        </w:rPr>
        <w:t>_08.08.2016.</w:t>
      </w:r>
      <w:r w:rsidR="00200C62" w:rsidRPr="00200C62">
        <w:t>pdf</w:t>
      </w:r>
    </w:p>
    <w:p w:rsidR="00200C62" w:rsidRPr="005B62EB" w:rsidRDefault="00200C62" w:rsidP="00200C62">
      <w:pPr>
        <w:rPr>
          <w:lang w:val="ru-RU"/>
        </w:rPr>
      </w:pPr>
    </w:p>
    <w:p w:rsidR="00200C62" w:rsidRPr="005B62EB" w:rsidRDefault="00200C62" w:rsidP="00200C62">
      <w:pPr>
        <w:rPr>
          <w:lang w:val="ru-RU"/>
        </w:rPr>
      </w:pPr>
    </w:p>
    <w:p w:rsidR="007A0886" w:rsidRPr="009B467E" w:rsidRDefault="007A0886" w:rsidP="007A0886">
      <w:pPr>
        <w:pStyle w:val="SectionHeading"/>
        <w:rPr>
          <w:lang w:val="ru-RU"/>
        </w:rPr>
      </w:pPr>
      <w:r w:rsidRPr="009B467E">
        <w:rPr>
          <w:lang w:val="ru-RU"/>
        </w:rPr>
        <w:t xml:space="preserve">6 – </w:t>
      </w:r>
      <w:r>
        <w:rPr>
          <w:lang w:val="ru-RU"/>
        </w:rPr>
        <w:t>характерИСТИКА</w:t>
      </w:r>
      <w:r w:rsidRPr="009B467E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B467E">
        <w:rPr>
          <w:lang w:val="ru-RU"/>
        </w:rPr>
        <w:t xml:space="preserve"> </w:t>
      </w:r>
      <w:r>
        <w:rPr>
          <w:lang w:val="ru-RU"/>
        </w:rPr>
        <w:t>ЗАЯВОК</w:t>
      </w:r>
      <w:r w:rsidRPr="009B467E">
        <w:rPr>
          <w:lang w:val="ru-RU"/>
        </w:rPr>
        <w:t xml:space="preserve"> </w:t>
      </w:r>
    </w:p>
    <w:p w:rsidR="00DA0D3C" w:rsidRDefault="007A0886" w:rsidP="007A0886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 полученных национальных заявок в разбивке по областям техники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7A0886" w:rsidRPr="005B62EB" w:rsidRDefault="007A0886" w:rsidP="004B5C5A">
            <w:pPr>
              <w:rPr>
                <w:b/>
                <w:lang w:val="ru-RU"/>
              </w:rPr>
            </w:pPr>
          </w:p>
          <w:p w:rsidR="007A0886" w:rsidRPr="000C4833" w:rsidRDefault="00420C2A" w:rsidP="004B5C5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</w:p>
          <w:p w:rsidR="007A0886" w:rsidRPr="000C4833" w:rsidRDefault="00420C2A" w:rsidP="004B5C5A">
            <w:pPr>
              <w:rPr>
                <w:b/>
              </w:rPr>
            </w:pPr>
            <w:proofErr w:type="spellStart"/>
            <w:r>
              <w:rPr>
                <w:b/>
              </w:rPr>
              <w:t>Область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техники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886" w:rsidRPr="000C4833" w:rsidRDefault="007A0886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2011-12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886" w:rsidRPr="000C4833" w:rsidRDefault="007A0886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2012-13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886" w:rsidRPr="000C4833" w:rsidRDefault="007A0886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2013-14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886" w:rsidRPr="000C4833" w:rsidRDefault="007A0886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2014-15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886" w:rsidRPr="000C4833" w:rsidRDefault="007A0886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2015-16</w:t>
            </w:r>
          </w:p>
        </w:tc>
      </w:tr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420C2A" w:rsidP="004B5C5A">
            <w:proofErr w:type="spellStart"/>
            <w:r>
              <w:t>Механика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12</w:t>
            </w:r>
            <w:r w:rsidR="005B62EB">
              <w:t xml:space="preserve"> </w:t>
            </w:r>
            <w:r w:rsidRPr="000C4833">
              <w:t>184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13</w:t>
            </w:r>
            <w:r w:rsidR="005B62EB">
              <w:rPr>
                <w:lang w:val="ru-RU"/>
              </w:rPr>
              <w:t xml:space="preserve"> </w:t>
            </w:r>
            <w:r w:rsidRPr="000C4833">
              <w:t>757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14</w:t>
            </w:r>
            <w:r w:rsidR="005B62EB">
              <w:rPr>
                <w:lang w:val="ru-RU"/>
              </w:rPr>
              <w:t xml:space="preserve"> </w:t>
            </w:r>
            <w:r w:rsidRPr="000C4833">
              <w:t>218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13</w:t>
            </w:r>
            <w:r w:rsidR="005B62EB">
              <w:t xml:space="preserve"> </w:t>
            </w:r>
            <w:r w:rsidRPr="000C4833">
              <w:t>108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13</w:t>
            </w:r>
            <w:r w:rsidR="005B62EB">
              <w:t xml:space="preserve"> </w:t>
            </w:r>
            <w:r w:rsidRPr="000C4833">
              <w:t>399</w:t>
            </w:r>
          </w:p>
        </w:tc>
      </w:tr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C2A" w:rsidRDefault="00420C2A" w:rsidP="004B5C5A">
            <w:proofErr w:type="spellStart"/>
            <w:r>
              <w:t>Электричество</w:t>
            </w:r>
            <w:proofErr w:type="spellEnd"/>
            <w:r>
              <w:t>/</w:t>
            </w:r>
          </w:p>
          <w:p w:rsidR="007A0886" w:rsidRPr="000C4833" w:rsidRDefault="00420C2A" w:rsidP="004B5C5A">
            <w:r>
              <w:rPr>
                <w:lang w:val="ru-RU"/>
              </w:rPr>
              <w:t>электро</w:t>
            </w:r>
            <w:proofErr w:type="spellStart"/>
            <w:r>
              <w:t>ника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5B62EB" w:rsidP="004B5C5A">
            <w:pPr>
              <w:ind w:right="324"/>
              <w:jc w:val="right"/>
            </w:pPr>
            <w:r>
              <w:t xml:space="preserve">16 </w:t>
            </w:r>
            <w:r w:rsidR="007A0886" w:rsidRPr="000C4833">
              <w:t>427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15</w:t>
            </w:r>
            <w:r w:rsidR="005B62EB">
              <w:rPr>
                <w:lang w:val="ru-RU"/>
              </w:rPr>
              <w:t xml:space="preserve"> </w:t>
            </w:r>
            <w:r w:rsidRPr="000C4833">
              <w:t>801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15</w:t>
            </w:r>
            <w:r w:rsidR="005B62EB">
              <w:t xml:space="preserve"> </w:t>
            </w:r>
            <w:r w:rsidRPr="000C4833">
              <w:t>662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16</w:t>
            </w:r>
            <w:r w:rsidR="005B62EB">
              <w:t xml:space="preserve"> </w:t>
            </w:r>
            <w:r w:rsidRPr="000C4833">
              <w:t>894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20</w:t>
            </w:r>
            <w:r w:rsidR="005B62EB">
              <w:t xml:space="preserve"> </w:t>
            </w:r>
            <w:r w:rsidRPr="000C4833">
              <w:t>291</w:t>
            </w:r>
          </w:p>
        </w:tc>
      </w:tr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420C2A" w:rsidP="004B5C5A">
            <w:proofErr w:type="spellStart"/>
            <w:r>
              <w:t>Химия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11</w:t>
            </w:r>
            <w:r w:rsidR="005B62EB">
              <w:t xml:space="preserve"> </w:t>
            </w:r>
            <w:r w:rsidRPr="000C4833">
              <w:t>153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11</w:t>
            </w:r>
            <w:r w:rsidR="005B62EB">
              <w:rPr>
                <w:lang w:val="ru-RU"/>
              </w:rPr>
              <w:t xml:space="preserve"> </w:t>
            </w:r>
            <w:r w:rsidRPr="000C4833">
              <w:t>677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10</w:t>
            </w:r>
            <w:r w:rsidR="005B62EB">
              <w:t xml:space="preserve"> </w:t>
            </w:r>
            <w:r w:rsidRPr="000C4833">
              <w:t>748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10</w:t>
            </w:r>
            <w:r w:rsidR="005B62EB">
              <w:t xml:space="preserve"> </w:t>
            </w:r>
            <w:r w:rsidRPr="000C4833">
              <w:t>571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11</w:t>
            </w:r>
            <w:r w:rsidR="005B62EB">
              <w:t xml:space="preserve"> </w:t>
            </w:r>
            <w:r w:rsidRPr="000C4833">
              <w:t>138</w:t>
            </w:r>
          </w:p>
        </w:tc>
      </w:tr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420C2A" w:rsidP="004B5C5A">
            <w:proofErr w:type="spellStart"/>
            <w:r>
              <w:t>Биотехнология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3</w:t>
            </w:r>
            <w:r w:rsidR="005B62EB">
              <w:t xml:space="preserve"> </w:t>
            </w:r>
            <w:r w:rsidRPr="000C4833">
              <w:t>433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2</w:t>
            </w:r>
            <w:r w:rsidR="005B62EB">
              <w:rPr>
                <w:lang w:val="ru-RU"/>
              </w:rPr>
              <w:t xml:space="preserve"> </w:t>
            </w:r>
            <w:r w:rsidRPr="000C4833">
              <w:t>439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2</w:t>
            </w:r>
            <w:r w:rsidR="005B62EB">
              <w:t xml:space="preserve"> </w:t>
            </w:r>
            <w:r w:rsidRPr="000C4833">
              <w:t>323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2</w:t>
            </w:r>
            <w:r w:rsidR="005B62EB">
              <w:t xml:space="preserve"> </w:t>
            </w:r>
            <w:r w:rsidRPr="000C4833">
              <w:t>190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</w:pPr>
            <w:r w:rsidRPr="000C4833">
              <w:t>2</w:t>
            </w:r>
            <w:r w:rsidR="005B62EB">
              <w:t xml:space="preserve"> </w:t>
            </w:r>
            <w:r w:rsidRPr="000C4833">
              <w:t>076</w:t>
            </w:r>
          </w:p>
        </w:tc>
      </w:tr>
      <w:tr w:rsidR="007A0886" w:rsidRPr="000C4833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420C2A" w:rsidP="004B5C5A">
            <w:pPr>
              <w:rPr>
                <w:i/>
              </w:rPr>
            </w:pPr>
            <w:proofErr w:type="spellStart"/>
            <w:r>
              <w:rPr>
                <w:i/>
              </w:rPr>
              <w:t>Всего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  <w:rPr>
                <w:i/>
              </w:rPr>
            </w:pPr>
            <w:r w:rsidRPr="000C4833">
              <w:rPr>
                <w:i/>
              </w:rPr>
              <w:t>43</w:t>
            </w:r>
            <w:r w:rsidR="005B62EB">
              <w:rPr>
                <w:i/>
                <w:lang w:val="ru-RU"/>
              </w:rPr>
              <w:t xml:space="preserve"> </w:t>
            </w:r>
            <w:r w:rsidRPr="000C4833">
              <w:rPr>
                <w:i/>
              </w:rPr>
              <w:t>197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  <w:rPr>
                <w:i/>
              </w:rPr>
            </w:pPr>
            <w:r w:rsidRPr="000C4833">
              <w:rPr>
                <w:i/>
              </w:rPr>
              <w:t>43</w:t>
            </w:r>
            <w:r w:rsidR="005B62EB">
              <w:rPr>
                <w:i/>
                <w:lang w:val="ru-RU"/>
              </w:rPr>
              <w:t xml:space="preserve"> </w:t>
            </w:r>
            <w:r w:rsidRPr="000C4833">
              <w:rPr>
                <w:i/>
              </w:rPr>
              <w:t>674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  <w:rPr>
                <w:i/>
              </w:rPr>
            </w:pPr>
            <w:r w:rsidRPr="000C4833">
              <w:rPr>
                <w:i/>
              </w:rPr>
              <w:t>42</w:t>
            </w:r>
            <w:r w:rsidR="005B62EB">
              <w:rPr>
                <w:i/>
              </w:rPr>
              <w:t xml:space="preserve"> </w:t>
            </w:r>
            <w:r w:rsidRPr="000C4833">
              <w:rPr>
                <w:i/>
              </w:rPr>
              <w:t>951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  <w:rPr>
                <w:i/>
              </w:rPr>
            </w:pPr>
            <w:r w:rsidRPr="000C4833">
              <w:rPr>
                <w:i/>
              </w:rPr>
              <w:t>42</w:t>
            </w:r>
            <w:r w:rsidR="005B62EB">
              <w:rPr>
                <w:i/>
              </w:rPr>
              <w:t xml:space="preserve"> </w:t>
            </w:r>
            <w:r w:rsidRPr="000C4833">
              <w:rPr>
                <w:i/>
              </w:rPr>
              <w:t>763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886" w:rsidRPr="000C4833" w:rsidRDefault="007A0886" w:rsidP="004B5C5A">
            <w:pPr>
              <w:ind w:right="324"/>
              <w:jc w:val="right"/>
              <w:rPr>
                <w:i/>
              </w:rPr>
            </w:pPr>
            <w:r w:rsidRPr="000C4833">
              <w:rPr>
                <w:i/>
              </w:rPr>
              <w:t>46</w:t>
            </w:r>
            <w:r w:rsidR="005B62EB">
              <w:rPr>
                <w:i/>
              </w:rPr>
              <w:t xml:space="preserve"> </w:t>
            </w:r>
            <w:r w:rsidRPr="000C4833">
              <w:rPr>
                <w:i/>
              </w:rPr>
              <w:t>904</w:t>
            </w:r>
          </w:p>
        </w:tc>
      </w:tr>
    </w:tbl>
    <w:p w:rsidR="007A0886" w:rsidRDefault="007A0886" w:rsidP="007A0886">
      <w:pPr>
        <w:rPr>
          <w:bCs/>
          <w:szCs w:val="22"/>
          <w:lang w:val="ru-RU"/>
        </w:rPr>
      </w:pPr>
    </w:p>
    <w:p w:rsidR="007A0886" w:rsidRDefault="007A0886" w:rsidP="007A0886">
      <w:pPr>
        <w:rPr>
          <w:bCs/>
          <w:szCs w:val="22"/>
          <w:lang w:val="ru-RU"/>
        </w:rPr>
      </w:pPr>
    </w:p>
    <w:p w:rsidR="00881A3E" w:rsidRDefault="00881A3E" w:rsidP="007A0886">
      <w:pPr>
        <w:rPr>
          <w:bCs/>
          <w:szCs w:val="22"/>
          <w:lang w:val="ru-RU"/>
        </w:rPr>
      </w:pPr>
    </w:p>
    <w:p w:rsidR="00881A3E" w:rsidRDefault="00881A3E" w:rsidP="007A0886">
      <w:pPr>
        <w:rPr>
          <w:bCs/>
          <w:szCs w:val="22"/>
          <w:lang w:val="ru-RU"/>
        </w:rPr>
      </w:pPr>
    </w:p>
    <w:p w:rsidR="00881A3E" w:rsidRPr="0057559A" w:rsidRDefault="00881A3E" w:rsidP="007A0886">
      <w:pPr>
        <w:rPr>
          <w:bCs/>
          <w:szCs w:val="22"/>
        </w:rPr>
      </w:pPr>
    </w:p>
    <w:p w:rsidR="00905059" w:rsidRDefault="007A0886" w:rsidP="002F3A12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 полученных национальных заявок в разбивке по процедурам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881A3E" w:rsidRPr="000C4833" w:rsidTr="004B5C5A">
        <w:trPr>
          <w:trHeight w:val="7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881A3E" w:rsidRPr="00881A3E" w:rsidRDefault="00881A3E" w:rsidP="004B5C5A">
            <w:pPr>
              <w:rPr>
                <w:b/>
                <w:lang w:val="ru-RU"/>
              </w:rPr>
            </w:pPr>
          </w:p>
          <w:p w:rsidR="00881A3E" w:rsidRPr="000C4833" w:rsidRDefault="00420C2A" w:rsidP="004B5C5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</w:p>
          <w:p w:rsidR="00881A3E" w:rsidRPr="000C4833" w:rsidRDefault="00420C2A" w:rsidP="004B5C5A">
            <w:pPr>
              <w:rPr>
                <w:b/>
              </w:rPr>
            </w:pPr>
            <w:proofErr w:type="spellStart"/>
            <w:r>
              <w:rPr>
                <w:b/>
              </w:rPr>
              <w:t>Процедура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0C4833" w:rsidRDefault="00881A3E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2011-12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0C4833" w:rsidRDefault="00881A3E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2012-13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0C4833" w:rsidRDefault="00881A3E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2013-14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0C4833" w:rsidRDefault="00881A3E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2014-15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0C4833" w:rsidRDefault="00881A3E" w:rsidP="004B5C5A">
            <w:pPr>
              <w:jc w:val="center"/>
              <w:rPr>
                <w:b/>
              </w:rPr>
            </w:pPr>
            <w:r w:rsidRPr="000C4833">
              <w:rPr>
                <w:b/>
              </w:rPr>
              <w:t>2015-16</w:t>
            </w:r>
          </w:p>
        </w:tc>
      </w:tr>
      <w:tr w:rsidR="00881A3E" w:rsidRPr="000C4833" w:rsidTr="004B5C5A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420C2A" w:rsidRDefault="00420C2A" w:rsidP="004B5C5A">
            <w:pPr>
              <w:rPr>
                <w:lang w:val="ru-RU"/>
              </w:rPr>
            </w:pPr>
            <w:r w:rsidRPr="004D6FDB">
              <w:rPr>
                <w:szCs w:val="22"/>
                <w:lang w:val="ru-RU"/>
              </w:rPr>
              <w:t>Первая национальная подача/внутренний приоритет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8</w:t>
            </w:r>
            <w:r w:rsidR="00451F95">
              <w:t xml:space="preserve"> </w:t>
            </w:r>
            <w:r w:rsidRPr="000C4833">
              <w:t>678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9</w:t>
            </w:r>
            <w:r w:rsidR="00451F95">
              <w:t xml:space="preserve"> </w:t>
            </w:r>
            <w:r w:rsidRPr="000C4833">
              <w:t>911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10</w:t>
            </w:r>
            <w:r w:rsidR="00451F95">
              <w:t xml:space="preserve"> </w:t>
            </w:r>
            <w:r w:rsidRPr="000C4833">
              <w:t>941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12</w:t>
            </w:r>
            <w:r w:rsidR="00451F95">
              <w:t xml:space="preserve"> </w:t>
            </w:r>
            <w:r w:rsidRPr="000C4833">
              <w:t>071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13</w:t>
            </w:r>
            <w:r w:rsidR="00451F95">
              <w:t xml:space="preserve"> </w:t>
            </w:r>
            <w:r w:rsidRPr="000C4833">
              <w:t>066</w:t>
            </w:r>
          </w:p>
        </w:tc>
      </w:tr>
      <w:tr w:rsidR="00881A3E" w:rsidRPr="000C4833" w:rsidTr="004B5C5A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420C2A" w:rsidP="004B5C5A">
            <w:r w:rsidRPr="0005435E">
              <w:rPr>
                <w:szCs w:val="22"/>
                <w:lang w:val="ru-RU"/>
              </w:rPr>
              <w:t xml:space="preserve">Приоритет </w:t>
            </w:r>
            <w:r>
              <w:rPr>
                <w:szCs w:val="22"/>
                <w:lang w:val="ru-RU"/>
              </w:rPr>
              <w:t xml:space="preserve">по </w:t>
            </w:r>
            <w:r w:rsidRPr="0005435E">
              <w:rPr>
                <w:szCs w:val="22"/>
                <w:lang w:val="ru-RU"/>
              </w:rPr>
              <w:t>Парижской конвенци</w:t>
            </w:r>
            <w:r>
              <w:rPr>
                <w:szCs w:val="22"/>
                <w:lang w:val="ru-RU"/>
              </w:rPr>
              <w:t>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4</w:t>
            </w:r>
            <w:r w:rsidR="00451F95">
              <w:t xml:space="preserve"> </w:t>
            </w:r>
            <w:r w:rsidRPr="000C4833">
              <w:t>295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4</w:t>
            </w:r>
            <w:r w:rsidR="00451F95">
              <w:t xml:space="preserve"> </w:t>
            </w:r>
            <w:r w:rsidRPr="000C4833">
              <w:t>215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3</w:t>
            </w:r>
            <w:r w:rsidR="00451F95">
              <w:t xml:space="preserve"> </w:t>
            </w:r>
            <w:r w:rsidRPr="000C4833">
              <w:t>704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3</w:t>
            </w:r>
            <w:r w:rsidR="00451F95">
              <w:t xml:space="preserve"> </w:t>
            </w:r>
            <w:r w:rsidRPr="000C4833">
              <w:t>174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3</w:t>
            </w:r>
            <w:r w:rsidR="00451F95">
              <w:t xml:space="preserve"> </w:t>
            </w:r>
            <w:r w:rsidRPr="000C4833">
              <w:t>675</w:t>
            </w:r>
          </w:p>
        </w:tc>
      </w:tr>
      <w:tr w:rsidR="00881A3E" w:rsidRPr="000C4833" w:rsidTr="004B5C5A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420C2A" w:rsidRDefault="00420C2A" w:rsidP="004B5C5A">
            <w:pPr>
              <w:rPr>
                <w:lang w:val="ru-RU"/>
              </w:rPr>
            </w:pPr>
            <w:r w:rsidRPr="0005435E">
              <w:rPr>
                <w:szCs w:val="22"/>
                <w:lang w:val="ru-RU"/>
              </w:rPr>
              <w:t>Переход на национальную фазу PCT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28</w:t>
            </w:r>
            <w:r w:rsidR="00451F95">
              <w:t xml:space="preserve"> </w:t>
            </w:r>
            <w:r w:rsidRPr="000C4833">
              <w:t>965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28</w:t>
            </w:r>
            <w:r w:rsidR="00451F95">
              <w:t xml:space="preserve"> </w:t>
            </w:r>
            <w:r w:rsidRPr="000C4833">
              <w:t>435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27</w:t>
            </w:r>
            <w:r w:rsidR="00451F95">
              <w:t xml:space="preserve"> </w:t>
            </w:r>
            <w:r w:rsidRPr="000C4833">
              <w:t>078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26</w:t>
            </w:r>
            <w:r w:rsidR="00451F95">
              <w:t xml:space="preserve"> </w:t>
            </w:r>
            <w:r w:rsidRPr="000C4833">
              <w:t>057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>
            <w:pPr>
              <w:ind w:right="324"/>
              <w:jc w:val="right"/>
            </w:pPr>
            <w:r w:rsidRPr="000C4833">
              <w:t>28</w:t>
            </w:r>
            <w:r w:rsidR="00451F95">
              <w:t xml:space="preserve"> </w:t>
            </w:r>
            <w:r w:rsidRPr="000C4833">
              <w:t>248</w:t>
            </w:r>
          </w:p>
        </w:tc>
      </w:tr>
    </w:tbl>
    <w:p w:rsidR="007A0886" w:rsidRDefault="007A0886" w:rsidP="002F3A12">
      <w:pPr>
        <w:rPr>
          <w:bCs/>
          <w:szCs w:val="22"/>
          <w:lang w:val="ru-RU"/>
        </w:rPr>
      </w:pPr>
    </w:p>
    <w:p w:rsidR="002F3A12" w:rsidRPr="002F3A12" w:rsidRDefault="002F3A12" w:rsidP="00217FCF">
      <w:pPr>
        <w:rPr>
          <w:bCs/>
          <w:szCs w:val="22"/>
          <w:lang w:val="ru-RU"/>
        </w:rPr>
      </w:pPr>
    </w:p>
    <w:p w:rsidR="00881A3E" w:rsidRPr="00881A3E" w:rsidRDefault="00881A3E" w:rsidP="00881A3E">
      <w:pPr>
        <w:rPr>
          <w:lang w:val="ru-RU"/>
        </w:rPr>
      </w:pPr>
      <w:r>
        <w:rPr>
          <w:b/>
          <w:bCs/>
          <w:lang w:val="ru-RU"/>
        </w:rPr>
        <w:t>Количество</w:t>
      </w:r>
      <w:r w:rsidRPr="00881A3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международных</w:t>
      </w:r>
      <w:r w:rsidRPr="00881A3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заявок</w:t>
      </w:r>
      <w:r w:rsidRPr="00881A3E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полученных</w:t>
      </w:r>
      <w:r w:rsidRPr="00881A3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881A3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качестве</w:t>
      </w:r>
      <w:r w:rsidRPr="00881A3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ПВ</w:t>
      </w:r>
      <w:r w:rsidRPr="00881A3E">
        <w:rPr>
          <w:lang w:val="ru-RU"/>
        </w:rPr>
        <w:t xml:space="preserve"> (</w:t>
      </w:r>
      <w:r>
        <w:rPr>
          <w:lang w:val="ru-RU"/>
        </w:rPr>
        <w:t xml:space="preserve">количество </w:t>
      </w:r>
      <w:r w:rsidR="00B527AD">
        <w:rPr>
          <w:lang w:val="ru-RU"/>
        </w:rPr>
        <w:t xml:space="preserve">международных заявок, поданных </w:t>
      </w:r>
      <w:r w:rsidR="00420C2A">
        <w:rPr>
          <w:lang w:val="ru-RU"/>
        </w:rPr>
        <w:t>заявителями, являющимися гражданами/жителями Индии, в ПВ/Ин и ПВ/МБ)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881A3E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881A3E" w:rsidRPr="00881A3E" w:rsidRDefault="00881A3E" w:rsidP="004B5C5A">
            <w:pPr>
              <w:rPr>
                <w:lang w:val="ru-RU"/>
              </w:rPr>
            </w:pPr>
          </w:p>
          <w:p w:rsidR="00881A3E" w:rsidRPr="000C4833" w:rsidRDefault="00420C2A" w:rsidP="004B5C5A">
            <w:pPr>
              <w:jc w:val="right"/>
            </w:pPr>
            <w:proofErr w:type="spellStart"/>
            <w:r>
              <w:t>Год</w:t>
            </w:r>
            <w:proofErr w:type="spellEnd"/>
          </w:p>
          <w:p w:rsidR="00881A3E" w:rsidRPr="000C4833" w:rsidRDefault="00420C2A" w:rsidP="004B5C5A">
            <w:proofErr w:type="spellStart"/>
            <w:r>
              <w:t>Область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F5523C" w:rsidRDefault="00881A3E" w:rsidP="004B5C5A">
            <w:pPr>
              <w:jc w:val="center"/>
              <w:rPr>
                <w:b/>
              </w:rPr>
            </w:pPr>
            <w:r w:rsidRPr="00F5523C">
              <w:rPr>
                <w:b/>
              </w:rPr>
              <w:t>2011-12</w:t>
            </w:r>
          </w:p>
          <w:p w:rsidR="00881A3E" w:rsidRPr="00420C2A" w:rsidRDefault="00420C2A" w:rsidP="004B5C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Ин/МБ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F5523C" w:rsidRDefault="00881A3E" w:rsidP="004B5C5A">
            <w:pPr>
              <w:jc w:val="center"/>
              <w:rPr>
                <w:b/>
              </w:rPr>
            </w:pPr>
            <w:r w:rsidRPr="00F5523C">
              <w:rPr>
                <w:b/>
              </w:rPr>
              <w:t>2012-13</w:t>
            </w:r>
          </w:p>
          <w:p w:rsidR="00881A3E" w:rsidRPr="000C4833" w:rsidRDefault="00420C2A" w:rsidP="004B5C5A">
            <w:pPr>
              <w:jc w:val="center"/>
            </w:pPr>
            <w:r>
              <w:rPr>
                <w:lang w:val="ru-RU"/>
              </w:rPr>
              <w:t>Ин/МБ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F5523C" w:rsidRDefault="00881A3E" w:rsidP="004B5C5A">
            <w:pPr>
              <w:jc w:val="center"/>
              <w:rPr>
                <w:b/>
              </w:rPr>
            </w:pPr>
            <w:r w:rsidRPr="00F5523C">
              <w:rPr>
                <w:b/>
              </w:rPr>
              <w:t>2013-14</w:t>
            </w:r>
          </w:p>
          <w:p w:rsidR="00881A3E" w:rsidRPr="000C4833" w:rsidRDefault="00420C2A" w:rsidP="004B5C5A">
            <w:pPr>
              <w:jc w:val="center"/>
            </w:pPr>
            <w:r>
              <w:rPr>
                <w:lang w:val="ru-RU"/>
              </w:rPr>
              <w:t>Ин/МБ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F5523C" w:rsidRDefault="00881A3E" w:rsidP="004B5C5A">
            <w:pPr>
              <w:jc w:val="center"/>
              <w:rPr>
                <w:b/>
              </w:rPr>
            </w:pPr>
            <w:r w:rsidRPr="00F5523C">
              <w:rPr>
                <w:b/>
              </w:rPr>
              <w:t>2014-15</w:t>
            </w:r>
          </w:p>
          <w:p w:rsidR="00881A3E" w:rsidRPr="000C4833" w:rsidRDefault="00420C2A" w:rsidP="004B5C5A">
            <w:pPr>
              <w:jc w:val="center"/>
            </w:pPr>
            <w:r>
              <w:rPr>
                <w:lang w:val="ru-RU"/>
              </w:rPr>
              <w:t>Ин/МБ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3E" w:rsidRPr="00F5523C" w:rsidRDefault="00881A3E" w:rsidP="004B5C5A">
            <w:pPr>
              <w:jc w:val="center"/>
              <w:rPr>
                <w:b/>
              </w:rPr>
            </w:pPr>
            <w:r w:rsidRPr="00F5523C">
              <w:rPr>
                <w:b/>
              </w:rPr>
              <w:t>2015-16</w:t>
            </w:r>
          </w:p>
          <w:p w:rsidR="00881A3E" w:rsidRPr="000C4833" w:rsidRDefault="00420C2A" w:rsidP="004B5C5A">
            <w:pPr>
              <w:jc w:val="center"/>
            </w:pPr>
            <w:r>
              <w:rPr>
                <w:lang w:val="ru-RU"/>
              </w:rPr>
              <w:t>Ин/МБ</w:t>
            </w:r>
          </w:p>
        </w:tc>
      </w:tr>
      <w:tr w:rsidR="00881A3E" w:rsidRPr="00A710E1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420C2A" w:rsidP="004B5C5A">
            <w:proofErr w:type="spellStart"/>
            <w:r>
              <w:t>Механика</w:t>
            </w:r>
            <w:proofErr w:type="spellEnd"/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A3E" w:rsidRPr="005B62EB" w:rsidRDefault="00881A3E" w:rsidP="004B5C5A">
            <w:pPr>
              <w:rPr>
                <w:lang w:val="ru-RU"/>
              </w:rPr>
            </w:pPr>
          </w:p>
          <w:p w:rsidR="00881A3E" w:rsidRPr="00D94FA1" w:rsidRDefault="005B6D56" w:rsidP="004B5C5A">
            <w:pPr>
              <w:rPr>
                <w:lang w:val="ru-RU"/>
              </w:rPr>
            </w:pPr>
            <w:r>
              <w:rPr>
                <w:lang w:val="ru-RU"/>
              </w:rPr>
              <w:t>Данных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разбивке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областям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техники</w:t>
            </w:r>
            <w:r w:rsidRPr="00D94F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D94FA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поскольку</w:t>
            </w:r>
            <w:r w:rsidR="00D94FA1" w:rsidRPr="00D94FA1">
              <w:rPr>
                <w:lang w:val="ru-RU"/>
              </w:rPr>
              <w:t xml:space="preserve"> </w:t>
            </w:r>
            <w:r w:rsidR="00D94FA1">
              <w:rPr>
                <w:lang w:val="ru-RU"/>
              </w:rPr>
              <w:t xml:space="preserve">рубрики МПК не присваиваются в ПВ </w:t>
            </w:r>
          </w:p>
        </w:tc>
      </w:tr>
      <w:tr w:rsidR="00881A3E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C2A" w:rsidRDefault="00420C2A" w:rsidP="00420C2A">
            <w:proofErr w:type="spellStart"/>
            <w:r>
              <w:t>Электричество</w:t>
            </w:r>
            <w:proofErr w:type="spellEnd"/>
            <w:r>
              <w:t>/</w:t>
            </w:r>
          </w:p>
          <w:p w:rsidR="00881A3E" w:rsidRPr="000C4833" w:rsidRDefault="00420C2A" w:rsidP="00420C2A">
            <w:r>
              <w:rPr>
                <w:lang w:val="ru-RU"/>
              </w:rPr>
              <w:t>электро</w:t>
            </w:r>
            <w:proofErr w:type="spellStart"/>
            <w:r>
              <w:t>ника</w:t>
            </w:r>
            <w:proofErr w:type="spellEnd"/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/>
        </w:tc>
      </w:tr>
      <w:tr w:rsidR="00881A3E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420C2A" w:rsidP="004B5C5A">
            <w:proofErr w:type="spellStart"/>
            <w:r>
              <w:t>Химия</w:t>
            </w:r>
            <w:proofErr w:type="spellEnd"/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/>
        </w:tc>
      </w:tr>
      <w:tr w:rsidR="00881A3E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420C2A" w:rsidP="004B5C5A">
            <w:proofErr w:type="spellStart"/>
            <w:r>
              <w:t>Биотехнология</w:t>
            </w:r>
            <w:proofErr w:type="spellEnd"/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0C4833" w:rsidRDefault="00881A3E" w:rsidP="004B5C5A"/>
        </w:tc>
      </w:tr>
      <w:tr w:rsidR="00881A3E" w:rsidTr="004B5C5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420C2A" w:rsidP="004B5C5A">
            <w:pPr>
              <w:rPr>
                <w:i/>
              </w:rPr>
            </w:pPr>
            <w:proofErr w:type="spellStart"/>
            <w:r>
              <w:rPr>
                <w:i/>
              </w:rPr>
              <w:t>Всего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881A3E" w:rsidP="004B5C5A">
            <w:pPr>
              <w:jc w:val="center"/>
              <w:rPr>
                <w:i/>
              </w:rPr>
            </w:pPr>
            <w:r w:rsidRPr="00F5523C">
              <w:rPr>
                <w:i/>
              </w:rPr>
              <w:t>873 / 697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881A3E" w:rsidP="004B5C5A">
            <w:pPr>
              <w:jc w:val="center"/>
              <w:rPr>
                <w:i/>
              </w:rPr>
            </w:pPr>
            <w:r w:rsidRPr="00F5523C">
              <w:rPr>
                <w:i/>
              </w:rPr>
              <w:t>1042 / 632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881A3E" w:rsidP="004B5C5A">
            <w:pPr>
              <w:jc w:val="center"/>
              <w:rPr>
                <w:i/>
              </w:rPr>
            </w:pPr>
            <w:r w:rsidRPr="00F5523C">
              <w:rPr>
                <w:i/>
              </w:rPr>
              <w:t>816 / 561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881A3E" w:rsidP="004B5C5A">
            <w:pPr>
              <w:jc w:val="center"/>
              <w:rPr>
                <w:i/>
              </w:rPr>
            </w:pPr>
            <w:r w:rsidRPr="00F5523C">
              <w:rPr>
                <w:i/>
              </w:rPr>
              <w:t>801 / 614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3E" w:rsidRPr="00F5523C" w:rsidRDefault="00881A3E" w:rsidP="004B5C5A">
            <w:pPr>
              <w:jc w:val="center"/>
              <w:rPr>
                <w:i/>
              </w:rPr>
            </w:pPr>
            <w:r w:rsidRPr="00F5523C">
              <w:rPr>
                <w:i/>
              </w:rPr>
              <w:t>693 / 711</w:t>
            </w:r>
          </w:p>
        </w:tc>
      </w:tr>
    </w:tbl>
    <w:p w:rsidR="00596796" w:rsidRDefault="00596796" w:rsidP="00596796">
      <w:pPr>
        <w:rPr>
          <w:b/>
          <w:lang w:val="ru-RU"/>
        </w:rPr>
      </w:pPr>
    </w:p>
    <w:p w:rsidR="00596796" w:rsidRDefault="00596796" w:rsidP="00596796">
      <w:pPr>
        <w:rPr>
          <w:b/>
          <w:lang w:val="ru-RU"/>
        </w:rPr>
      </w:pPr>
    </w:p>
    <w:p w:rsidR="00D94FA1" w:rsidRDefault="00D94FA1" w:rsidP="00D94FA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Средний срок обработки национальной патентной заявки </w:t>
      </w:r>
    </w:p>
    <w:tbl>
      <w:tblPr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092"/>
      </w:tblGrid>
      <w:tr w:rsidR="00D94FA1" w:rsidRPr="00F5523C" w:rsidTr="004B5C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keepNext/>
              <w:keepLines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Пок</w:t>
            </w:r>
            <w:proofErr w:type="spellEnd"/>
            <w:r>
              <w:rPr>
                <w:b/>
                <w:lang w:val="ru-RU"/>
              </w:rPr>
              <w:t>азатель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54558C" w:rsidP="004B5C5A">
            <w:pPr>
              <w:keepNext/>
              <w:keepLines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Исчисляется</w:t>
            </w:r>
            <w:r w:rsidR="00D94FA1">
              <w:rPr>
                <w:b/>
                <w:lang w:val="ru-RU"/>
              </w:rPr>
              <w:t xml:space="preserve"> с даты подачи заявки на зкспертизу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F5523C" w:rsidRDefault="00D94FA1" w:rsidP="004B5C5A">
            <w:pPr>
              <w:keepNext/>
              <w:keepLines/>
              <w:rPr>
                <w:b/>
              </w:rPr>
            </w:pPr>
            <w:r>
              <w:rPr>
                <w:b/>
                <w:lang w:val="ru-RU"/>
              </w:rPr>
              <w:t>Срок (месяцы</w:t>
            </w:r>
            <w:r w:rsidRPr="00F5523C">
              <w:rPr>
                <w:b/>
              </w:rPr>
              <w:t>) *</w:t>
            </w:r>
          </w:p>
        </w:tc>
      </w:tr>
      <w:tr w:rsidR="00D94FA1" w:rsidRPr="00D94FA1" w:rsidTr="004B5C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F5523C" w:rsidRDefault="0054558C" w:rsidP="004B5C5A">
            <w:pPr>
              <w:keepNext/>
              <w:keepLines/>
            </w:pPr>
            <w:r>
              <w:rPr>
                <w:lang w:val="ru-RU"/>
              </w:rPr>
              <w:t>П</w:t>
            </w:r>
            <w:proofErr w:type="spellStart"/>
            <w:r w:rsidR="00D94FA1">
              <w:t>оиск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rPr>
                <w:lang w:val="ru-RU"/>
              </w:rPr>
            </w:pPr>
            <w:r>
              <w:rPr>
                <w:lang w:val="ru-RU"/>
              </w:rPr>
              <w:t>Отчеты о по</w:t>
            </w:r>
            <w:r w:rsidR="0054558C">
              <w:rPr>
                <w:lang w:val="ru-RU"/>
              </w:rPr>
              <w:t>и</w:t>
            </w:r>
            <w:r>
              <w:rPr>
                <w:lang w:val="ru-RU"/>
              </w:rPr>
              <w:t>ске отдельно не составляются. Указывается период времени до составления отчетов о первоначальной экспертизе.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keepNext/>
              <w:keepLines/>
              <w:rPr>
                <w:lang w:val="ru-RU"/>
              </w:rPr>
            </w:pPr>
            <w:r w:rsidRPr="00D94FA1">
              <w:rPr>
                <w:lang w:val="ru-RU"/>
              </w:rPr>
              <w:t xml:space="preserve">60 месяцев </w:t>
            </w:r>
          </w:p>
        </w:tc>
      </w:tr>
      <w:tr w:rsidR="00D94FA1" w:rsidRPr="00D94FA1" w:rsidTr="004B5C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54558C" w:rsidP="004B5C5A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D94FA1" w:rsidRPr="00D94FA1">
              <w:rPr>
                <w:lang w:val="ru-RU"/>
              </w:rPr>
              <w:t xml:space="preserve"> первоначальной экспертизы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rPr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rPr>
                <w:lang w:val="ru-RU"/>
              </w:rPr>
            </w:pPr>
          </w:p>
        </w:tc>
      </w:tr>
      <w:tr w:rsidR="00D94FA1" w:rsidRPr="00D94FA1" w:rsidTr="004B5C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54558C" w:rsidP="004B5C5A">
            <w:pPr>
              <w:rPr>
                <w:lang w:val="ru-RU"/>
              </w:rPr>
            </w:pPr>
            <w:r>
              <w:rPr>
                <w:lang w:val="ru-RU"/>
              </w:rPr>
              <w:t xml:space="preserve"> Выдача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rPr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1" w:rsidRPr="00D94FA1" w:rsidRDefault="00D94FA1" w:rsidP="004B5C5A">
            <w:pPr>
              <w:rPr>
                <w:lang w:val="ru-RU"/>
              </w:rPr>
            </w:pPr>
            <w:r w:rsidRPr="00D94FA1">
              <w:rPr>
                <w:lang w:val="ru-RU"/>
              </w:rPr>
              <w:t>70 месяцев</w:t>
            </w:r>
          </w:p>
        </w:tc>
      </w:tr>
    </w:tbl>
    <w:p w:rsidR="00D94FA1" w:rsidRDefault="00D94FA1" w:rsidP="00D94FA1">
      <w:pPr>
        <w:rPr>
          <w:b/>
          <w:bCs/>
          <w:lang w:val="ru-RU"/>
        </w:rPr>
      </w:pPr>
    </w:p>
    <w:p w:rsidR="0054558C" w:rsidRDefault="0054558C" w:rsidP="00596796">
      <w:pPr>
        <w:rPr>
          <w:lang w:val="ru-RU"/>
        </w:rPr>
      </w:pPr>
      <w:r>
        <w:rPr>
          <w:b/>
          <w:lang w:val="ru-RU"/>
        </w:rPr>
        <w:t>*</w:t>
      </w:r>
      <w:r>
        <w:rPr>
          <w:lang w:val="ru-RU"/>
        </w:rPr>
        <w:t>Этот срок в ближайшие годы будет значительно сокращен благодаря тому, что в 2016 году было принято на работу более 400 экспертов. ИПВ с мая 2016 года проводит ускоренный поиск, и в случае проведения такого поиска срок, исчисляемый с даты подачи заявки, составляет 1 месяц до составления отчета о первоначальной экспертизе и 6 месяцев до выдачи.</w:t>
      </w:r>
    </w:p>
    <w:p w:rsidR="00596796" w:rsidRPr="0057559A" w:rsidRDefault="00596796" w:rsidP="00596796"/>
    <w:p w:rsidR="00596796" w:rsidRDefault="006F79AB" w:rsidP="00596796">
      <w:pPr>
        <w:rPr>
          <w:b/>
          <w:bCs/>
          <w:lang w:val="ru-RU"/>
        </w:rPr>
      </w:pPr>
      <w:r>
        <w:rPr>
          <w:b/>
          <w:bCs/>
          <w:lang w:val="ru-RU"/>
        </w:rPr>
        <w:t>Национальный портфель нерассмотренных заявок</w:t>
      </w:r>
      <w:r w:rsidR="0054558C">
        <w:rPr>
          <w:b/>
          <w:bCs/>
          <w:lang w:val="ru-RU"/>
        </w:rPr>
        <w:t xml:space="preserve"> ведомства</w:t>
      </w:r>
    </w:p>
    <w:tbl>
      <w:tblPr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3403"/>
      </w:tblGrid>
      <w:tr w:rsidR="0054558C" w:rsidRPr="00F5523C" w:rsidTr="004B5C5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F5523C" w:rsidRDefault="0054558C" w:rsidP="004B5C5A">
            <w:pPr>
              <w:rPr>
                <w:b/>
              </w:rPr>
            </w:pPr>
            <w:proofErr w:type="spellStart"/>
            <w:r>
              <w:rPr>
                <w:b/>
              </w:rPr>
              <w:t>Операция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54558C" w:rsidRDefault="0054558C" w:rsidP="004B5C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заявок</w:t>
            </w:r>
          </w:p>
        </w:tc>
      </w:tr>
      <w:tr w:rsidR="0054558C" w:rsidRPr="00827FAA" w:rsidTr="004B5C5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54558C" w:rsidRDefault="0054558C" w:rsidP="004B5C5A">
            <w:pPr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зая</w:t>
            </w:r>
            <w:proofErr w:type="spellEnd"/>
            <w:r>
              <w:rPr>
                <w:lang w:val="ru-RU"/>
              </w:rPr>
              <w:t>вки, ожидающие рассмотрения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2E77B9" w:rsidRDefault="002E77B9" w:rsidP="004B5C5A">
            <w:pPr>
              <w:rPr>
                <w:lang w:val="ru-RU"/>
              </w:rPr>
            </w:pPr>
            <w:r>
              <w:rPr>
                <w:lang w:val="ru-RU"/>
              </w:rPr>
              <w:t xml:space="preserve">В отношении </w:t>
            </w:r>
            <w:r w:rsidR="0054558C" w:rsidRPr="002E77B9">
              <w:rPr>
                <w:lang w:val="ru-RU"/>
              </w:rPr>
              <w:t>249</w:t>
            </w:r>
            <w:r w:rsidR="00DE463A">
              <w:rPr>
                <w:lang w:val="ru-RU"/>
              </w:rPr>
              <w:t xml:space="preserve"> </w:t>
            </w:r>
            <w:r w:rsidR="0054558C" w:rsidRPr="002E77B9">
              <w:rPr>
                <w:lang w:val="ru-RU"/>
              </w:rPr>
              <w:t xml:space="preserve">106 </w:t>
            </w:r>
            <w:r>
              <w:rPr>
                <w:lang w:val="ru-RU"/>
              </w:rPr>
              <w:t>заявок никаких мер не было принято</w:t>
            </w:r>
          </w:p>
        </w:tc>
      </w:tr>
      <w:tr w:rsidR="0054558C" w:rsidRPr="00827FAA" w:rsidTr="004B5C5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2E77B9" w:rsidRDefault="002E77B9" w:rsidP="004B5C5A">
            <w:pPr>
              <w:rPr>
                <w:lang w:val="ru-RU"/>
              </w:rPr>
            </w:pPr>
            <w:r w:rsidRPr="002E77B9">
              <w:rPr>
                <w:bCs/>
                <w:lang w:val="ru-RU"/>
              </w:rPr>
              <w:t>Заявки в ожидании поиска (когда соответствующие пошлины уплачены)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2E77B9" w:rsidRDefault="002E77B9" w:rsidP="004B5C5A">
            <w:pPr>
              <w:rPr>
                <w:lang w:val="ru-RU"/>
              </w:rPr>
            </w:pPr>
            <w:r w:rsidRPr="002E77B9">
              <w:rPr>
                <w:lang w:val="ru-RU"/>
              </w:rPr>
              <w:t>Из этого общего количества</w:t>
            </w:r>
            <w:r w:rsidR="0054558C" w:rsidRPr="002E77B9">
              <w:rPr>
                <w:lang w:val="ru-RU"/>
              </w:rPr>
              <w:t xml:space="preserve"> 209</w:t>
            </w:r>
            <w:r w:rsidR="00DE463A">
              <w:rPr>
                <w:lang w:val="ru-RU"/>
              </w:rPr>
              <w:t xml:space="preserve"> </w:t>
            </w:r>
            <w:r w:rsidR="0054558C" w:rsidRPr="002E77B9">
              <w:rPr>
                <w:lang w:val="ru-RU"/>
              </w:rPr>
              <w:t xml:space="preserve">055 </w:t>
            </w:r>
            <w:r>
              <w:rPr>
                <w:lang w:val="ru-RU"/>
              </w:rPr>
              <w:t>заявок находятся на стад</w:t>
            </w:r>
            <w:r w:rsidR="009D0467">
              <w:rPr>
                <w:lang w:val="ru-RU"/>
              </w:rPr>
              <w:t>ии ожидания составления заключения первоначальной экспертизы</w:t>
            </w:r>
          </w:p>
        </w:tc>
      </w:tr>
      <w:tr w:rsidR="0054558C" w:rsidRPr="00827FAA" w:rsidTr="004B5C5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2E77B9" w:rsidRDefault="002E77B9" w:rsidP="004B5C5A">
            <w:pPr>
              <w:rPr>
                <w:lang w:val="ru-RU"/>
              </w:rPr>
            </w:pPr>
            <w:r w:rsidRPr="002E77B9">
              <w:rPr>
                <w:bCs/>
                <w:lang w:val="ru-RU"/>
              </w:rPr>
              <w:t>Заявки в ожидании первоначальной экспертизы</w:t>
            </w:r>
            <w:r>
              <w:rPr>
                <w:bCs/>
                <w:lang w:val="ru-RU"/>
              </w:rPr>
              <w:t xml:space="preserve"> </w:t>
            </w:r>
            <w:r w:rsidRPr="002E77B9">
              <w:rPr>
                <w:bCs/>
                <w:lang w:val="ru-RU"/>
              </w:rPr>
              <w:t>(когда соответствующие пошлины уплачены)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C" w:rsidRPr="002E77B9" w:rsidRDefault="0054558C" w:rsidP="004B5C5A">
            <w:pPr>
              <w:rPr>
                <w:lang w:val="ru-RU"/>
              </w:rPr>
            </w:pPr>
          </w:p>
        </w:tc>
      </w:tr>
    </w:tbl>
    <w:p w:rsidR="0054558C" w:rsidRPr="002E77B9" w:rsidRDefault="0054558C" w:rsidP="0054558C">
      <w:pPr>
        <w:keepNext/>
        <w:keepLines/>
        <w:widowControl w:val="0"/>
        <w:jc w:val="both"/>
        <w:rPr>
          <w:lang w:val="ru-RU"/>
        </w:rPr>
      </w:pPr>
    </w:p>
    <w:p w:rsidR="002E77B9" w:rsidRDefault="002E77B9" w:rsidP="002E77B9">
      <w:pPr>
        <w:pStyle w:val="SectionHeading"/>
        <w:rPr>
          <w:lang w:val="ru-RU"/>
        </w:rPr>
      </w:pPr>
      <w:r>
        <w:rPr>
          <w:lang w:val="ru-RU"/>
        </w:rPr>
        <w:t>7</w:t>
      </w:r>
      <w:r w:rsidRPr="00EE6E59">
        <w:rPr>
          <w:lang w:val="ru-RU"/>
        </w:rPr>
        <w:t xml:space="preserve"> – </w:t>
      </w:r>
      <w:r>
        <w:rPr>
          <w:lang w:val="ru-RU"/>
        </w:rPr>
        <w:t xml:space="preserve">Требуемая поддержка </w:t>
      </w:r>
    </w:p>
    <w:p w:rsidR="0054558C" w:rsidRPr="002E77B9" w:rsidRDefault="0054558C" w:rsidP="00596796">
      <w:pPr>
        <w:rPr>
          <w:b/>
          <w:lang w:val="ru-RU"/>
        </w:rPr>
      </w:pPr>
    </w:p>
    <w:p w:rsidR="00596796" w:rsidRDefault="002E77B9" w:rsidP="00596796">
      <w:pPr>
        <w:rPr>
          <w:lang w:val="ru-RU"/>
        </w:rPr>
      </w:pPr>
      <w:r>
        <w:rPr>
          <w:lang w:val="ru-RU"/>
        </w:rPr>
        <w:t>Не требуется.</w:t>
      </w:r>
    </w:p>
    <w:p w:rsidR="002E77B9" w:rsidRDefault="002E77B9" w:rsidP="00596796">
      <w:pPr>
        <w:rPr>
          <w:lang w:val="ru-RU"/>
        </w:rPr>
      </w:pPr>
    </w:p>
    <w:p w:rsidR="002E77B9" w:rsidRPr="002E77B9" w:rsidRDefault="002E77B9" w:rsidP="00596796">
      <w:pPr>
        <w:rPr>
          <w:lang w:val="ru-RU"/>
        </w:rPr>
      </w:pPr>
    </w:p>
    <w:p w:rsidR="002E77B9" w:rsidRDefault="002E77B9" w:rsidP="002E77B9">
      <w:pPr>
        <w:pStyle w:val="SectionHeading"/>
        <w:rPr>
          <w:lang w:val="ru-RU"/>
        </w:rPr>
      </w:pPr>
      <w:r>
        <w:rPr>
          <w:lang w:val="ru-RU"/>
        </w:rPr>
        <w:t>8</w:t>
      </w:r>
      <w:r w:rsidRPr="00EE6E59">
        <w:rPr>
          <w:lang w:val="ru-RU"/>
        </w:rPr>
        <w:t xml:space="preserve"> – </w:t>
      </w:r>
      <w:r>
        <w:rPr>
          <w:lang w:val="ru-RU"/>
        </w:rPr>
        <w:t>Прочее</w:t>
      </w:r>
    </w:p>
    <w:p w:rsidR="00697114" w:rsidRDefault="002E77B9" w:rsidP="00596796">
      <w:pPr>
        <w:rPr>
          <w:lang w:val="ru-RU"/>
        </w:rPr>
      </w:pPr>
      <w:r>
        <w:rPr>
          <w:lang w:val="ru-RU"/>
        </w:rPr>
        <w:t>Индийское патентное ведомство действует в качестве МПО/ОМПЭ с октября 2013 года. За период с этого момента и по 31 января 2017 года им было получено 2</w:t>
      </w:r>
      <w:r w:rsidR="00DE463A">
        <w:rPr>
          <w:lang w:val="ru-RU"/>
        </w:rPr>
        <w:t xml:space="preserve"> </w:t>
      </w:r>
      <w:r>
        <w:rPr>
          <w:lang w:val="ru-RU"/>
        </w:rPr>
        <w:t xml:space="preserve">126 </w:t>
      </w:r>
      <w:r w:rsidR="007748A1">
        <w:rPr>
          <w:lang w:val="ru-RU"/>
        </w:rPr>
        <w:t xml:space="preserve">копий для </w:t>
      </w:r>
      <w:r w:rsidR="00A73172">
        <w:rPr>
          <w:lang w:val="ru-RU"/>
        </w:rPr>
        <w:t>поиск</w:t>
      </w:r>
      <w:r w:rsidR="007748A1">
        <w:rPr>
          <w:lang w:val="ru-RU"/>
        </w:rPr>
        <w:t>а</w:t>
      </w:r>
      <w:r w:rsidR="00A73172">
        <w:rPr>
          <w:lang w:val="ru-RU"/>
        </w:rPr>
        <w:t>. Окончательные отчеты были составлены в отношении 1</w:t>
      </w:r>
      <w:r w:rsidR="00DE463A">
        <w:rPr>
          <w:lang w:val="ru-RU"/>
        </w:rPr>
        <w:t xml:space="preserve"> </w:t>
      </w:r>
      <w:r w:rsidR="00A73172">
        <w:rPr>
          <w:lang w:val="ru-RU"/>
        </w:rPr>
        <w:t xml:space="preserve">947 заявок. ОМПЭ за тот же период получил 59 запросов, и международные предварительные заключения о патентоспособности </w:t>
      </w:r>
      <w:r w:rsidR="00697114">
        <w:rPr>
          <w:lang w:val="ru-RU"/>
        </w:rPr>
        <w:t>были составлены в отношении 39 заявок.</w:t>
      </w:r>
    </w:p>
    <w:p w:rsidR="00697114" w:rsidRDefault="00697114" w:rsidP="00596796">
      <w:pPr>
        <w:rPr>
          <w:lang w:val="ru-RU"/>
        </w:rPr>
      </w:pPr>
    </w:p>
    <w:p w:rsidR="00BC3733" w:rsidRDefault="00697114" w:rsidP="00596796">
      <w:pPr>
        <w:rPr>
          <w:szCs w:val="22"/>
          <w:lang w:val="ru-RU"/>
        </w:rPr>
      </w:pPr>
      <w:r>
        <w:rPr>
          <w:lang w:val="ru-RU"/>
        </w:rPr>
        <w:t xml:space="preserve">Индийское патентное ведомство разработало свое собственное программное   обеспечение для электронной обработки в целях его использования в контексте работы МПО/ОМПЭ, а также с помощью </w:t>
      </w:r>
      <w:r>
        <w:t>PCT</w:t>
      </w:r>
      <w:r w:rsidRPr="00697114">
        <w:rPr>
          <w:lang w:val="ru-RU"/>
        </w:rPr>
        <w:t>-</w:t>
      </w:r>
      <w:r>
        <w:t>EDI</w:t>
      </w:r>
      <w:r w:rsidRPr="00697114">
        <w:rPr>
          <w:lang w:val="ru-RU"/>
        </w:rPr>
        <w:t xml:space="preserve"> </w:t>
      </w:r>
      <w:r>
        <w:rPr>
          <w:lang w:val="ru-RU"/>
        </w:rPr>
        <w:t>создало канал защищенной связи для обмена документами с Международным бюро. В настоящее время проходит испытание программа электр</w:t>
      </w:r>
      <w:r w:rsidR="00354466">
        <w:rPr>
          <w:lang w:val="ru-RU"/>
        </w:rPr>
        <w:t>онной обработки для Получающего</w:t>
      </w:r>
      <w:r>
        <w:rPr>
          <w:lang w:val="ru-RU"/>
        </w:rPr>
        <w:t xml:space="preserve"> ведомства, которая облегчит подачу заявок из четырех мест и оплату пошлины. Индийское патентное ведомство использует систему еРСТ в своем качестве Получающего ведомства, </w:t>
      </w:r>
      <w:r w:rsidRPr="0033011C">
        <w:rPr>
          <w:szCs w:val="22"/>
          <w:lang w:val="ru-RU"/>
        </w:rPr>
        <w:t>Международного поискового органа и Органа международной предвари</w:t>
      </w:r>
      <w:r>
        <w:rPr>
          <w:szCs w:val="22"/>
          <w:lang w:val="ru-RU"/>
        </w:rPr>
        <w:t xml:space="preserve">тельной экспертизы. Заявители, являющиеся гражданами/жителями Индии, </w:t>
      </w:r>
      <w:r w:rsidR="00BC3733">
        <w:rPr>
          <w:szCs w:val="22"/>
          <w:lang w:val="ru-RU"/>
        </w:rPr>
        <w:t xml:space="preserve">могут использовать для электронной подачи заявки в ПВ/Ин сервер ВОИС, работающий с </w:t>
      </w:r>
      <w:proofErr w:type="spellStart"/>
      <w:r w:rsidR="00BC3733">
        <w:rPr>
          <w:szCs w:val="22"/>
          <w:lang w:val="fr-FR"/>
        </w:rPr>
        <w:t>ePCT</w:t>
      </w:r>
      <w:proofErr w:type="spellEnd"/>
      <w:r w:rsidR="00BC3733">
        <w:rPr>
          <w:szCs w:val="22"/>
          <w:lang w:val="ru-RU"/>
        </w:rPr>
        <w:t>. Система</w:t>
      </w:r>
      <w:r w:rsidR="00BC3733" w:rsidRPr="00BC3733">
        <w:rPr>
          <w:szCs w:val="22"/>
          <w:lang w:val="ru-RU"/>
        </w:rPr>
        <w:t xml:space="preserve"> </w:t>
      </w:r>
      <w:proofErr w:type="spellStart"/>
      <w:r w:rsidR="00BC3733">
        <w:rPr>
          <w:szCs w:val="22"/>
        </w:rPr>
        <w:t>eSearchCopy</w:t>
      </w:r>
      <w:proofErr w:type="spellEnd"/>
      <w:r w:rsidR="00BC3733">
        <w:rPr>
          <w:szCs w:val="22"/>
          <w:lang w:val="ru-RU"/>
        </w:rPr>
        <w:t xml:space="preserve"> уже используется для пересыл</w:t>
      </w:r>
      <w:r w:rsidR="00901E90">
        <w:rPr>
          <w:szCs w:val="22"/>
          <w:lang w:val="ru-RU"/>
        </w:rPr>
        <w:t xml:space="preserve">ки </w:t>
      </w:r>
      <w:r w:rsidR="00901E90">
        <w:rPr>
          <w:lang w:val="ru-RU"/>
        </w:rPr>
        <w:t xml:space="preserve">копий для </w:t>
      </w:r>
      <w:r w:rsidR="00901E90">
        <w:rPr>
          <w:szCs w:val="22"/>
          <w:lang w:val="ru-RU"/>
        </w:rPr>
        <w:t>поиска</w:t>
      </w:r>
      <w:r w:rsidR="00BC3733">
        <w:rPr>
          <w:szCs w:val="22"/>
          <w:lang w:val="ru-RU"/>
        </w:rPr>
        <w:t xml:space="preserve"> в Австралию, Австрию и Швецию.</w:t>
      </w:r>
    </w:p>
    <w:p w:rsidR="00BC3733" w:rsidRDefault="00BC3733" w:rsidP="00596796">
      <w:pPr>
        <w:rPr>
          <w:szCs w:val="22"/>
          <w:lang w:val="ru-RU"/>
        </w:rPr>
      </w:pPr>
    </w:p>
    <w:p w:rsidR="00BC3733" w:rsidRDefault="00BC3733" w:rsidP="00BC3733">
      <w:pPr>
        <w:pStyle w:val="SectionHeading"/>
        <w:rPr>
          <w:lang w:val="ru-RU"/>
        </w:rPr>
      </w:pPr>
      <w:r>
        <w:rPr>
          <w:szCs w:val="22"/>
          <w:lang w:val="ru-RU"/>
        </w:rPr>
        <w:t xml:space="preserve"> </w:t>
      </w:r>
      <w:r>
        <w:rPr>
          <w:lang w:val="ru-RU"/>
        </w:rPr>
        <w:t>9</w:t>
      </w:r>
      <w:r w:rsidRPr="00EE6E59">
        <w:rPr>
          <w:lang w:val="ru-RU"/>
        </w:rPr>
        <w:t xml:space="preserve"> – Оценка другими органами</w:t>
      </w:r>
      <w:r>
        <w:rPr>
          <w:lang w:val="ru-RU"/>
        </w:rPr>
        <w:t xml:space="preserve"> </w:t>
      </w:r>
    </w:p>
    <w:p w:rsidR="00596796" w:rsidRPr="00BC3733" w:rsidRDefault="00BC3733" w:rsidP="00BC3733">
      <w:pPr>
        <w:rPr>
          <w:lang w:val="ru-RU"/>
        </w:rPr>
      </w:pPr>
      <w:r>
        <w:rPr>
          <w:rStyle w:val="alt-edited"/>
          <w:szCs w:val="22"/>
          <w:lang w:val="ru-RU"/>
        </w:rPr>
        <w:t>Неприменимо</w:t>
      </w:r>
    </w:p>
    <w:p w:rsidR="00596796" w:rsidRPr="002E77B9" w:rsidRDefault="00596796" w:rsidP="00596796">
      <w:pPr>
        <w:rPr>
          <w:b/>
          <w:lang w:val="ru-RU"/>
        </w:rPr>
      </w:pPr>
    </w:p>
    <w:p w:rsidR="00596796" w:rsidRPr="002E77B9" w:rsidRDefault="00596796" w:rsidP="00596796">
      <w:pPr>
        <w:rPr>
          <w:b/>
          <w:lang w:val="ru-RU"/>
        </w:rPr>
      </w:pPr>
    </w:p>
    <w:p w:rsidR="00596796" w:rsidRPr="002E77B9" w:rsidRDefault="00596796" w:rsidP="00596796">
      <w:pPr>
        <w:rPr>
          <w:b/>
          <w:lang w:val="ru-RU"/>
        </w:rPr>
      </w:pPr>
    </w:p>
    <w:p w:rsidR="00BC3733" w:rsidRPr="005B62EB" w:rsidRDefault="00BC3733" w:rsidP="00BC3733">
      <w:pPr>
        <w:pStyle w:val="Endofdocument-Annex"/>
        <w:rPr>
          <w:lang w:val="ru-RU"/>
        </w:rPr>
      </w:pPr>
      <w:bookmarkStart w:id="7" w:name="_GoBack"/>
      <w:bookmarkEnd w:id="7"/>
      <w:r>
        <w:rPr>
          <w:b/>
          <w:lang w:val="ru-RU"/>
        </w:rPr>
        <w:tab/>
      </w:r>
      <w:r w:rsidRPr="005B62EB">
        <w:rPr>
          <w:lang w:val="ru-RU"/>
        </w:rPr>
        <w:t>[</w:t>
      </w:r>
      <w:r w:rsidRPr="009B467E">
        <w:rPr>
          <w:lang w:val="ru-RU"/>
        </w:rPr>
        <w:t>Конец приложения и документа]</w:t>
      </w:r>
    </w:p>
    <w:p w:rsidR="00596796" w:rsidRPr="0057559A" w:rsidRDefault="00596796" w:rsidP="00D202A4">
      <w:pPr>
        <w:rPr>
          <w:bCs/>
        </w:rPr>
      </w:pPr>
    </w:p>
    <w:sectPr w:rsidR="00596796" w:rsidRPr="0057559A" w:rsidSect="00AA5F7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DC" w:rsidRDefault="00F152DC">
      <w:r>
        <w:separator/>
      </w:r>
    </w:p>
  </w:endnote>
  <w:endnote w:type="continuationSeparator" w:id="0">
    <w:p w:rsidR="00F152DC" w:rsidRDefault="00F152DC" w:rsidP="003B38C1">
      <w:r>
        <w:separator/>
      </w:r>
    </w:p>
    <w:p w:rsidR="00F152DC" w:rsidRPr="003B38C1" w:rsidRDefault="00F152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2DC" w:rsidRPr="003B38C1" w:rsidRDefault="00F152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DC" w:rsidRDefault="00F152DC">
      <w:r>
        <w:separator/>
      </w:r>
    </w:p>
  </w:footnote>
  <w:footnote w:type="continuationSeparator" w:id="0">
    <w:p w:rsidR="00F152DC" w:rsidRDefault="00F152DC" w:rsidP="008B60B2">
      <w:r>
        <w:separator/>
      </w:r>
    </w:p>
    <w:p w:rsidR="00F152DC" w:rsidRPr="00ED77FB" w:rsidRDefault="00F152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2DC" w:rsidRPr="00ED77FB" w:rsidRDefault="00F152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5" w:rsidRDefault="001B1065" w:rsidP="00477D6B">
    <w:pPr>
      <w:jc w:val="right"/>
    </w:pPr>
    <w:bookmarkStart w:id="6" w:name="Code2"/>
    <w:bookmarkEnd w:id="6"/>
    <w:r>
      <w:t>PCT/CTC/30/xx</w:t>
    </w:r>
  </w:p>
  <w:p w:rsidR="001B1065" w:rsidRDefault="001B106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B1065" w:rsidRDefault="001B106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5" w:rsidRPr="002D7CC3" w:rsidRDefault="001B1065" w:rsidP="00477D6B">
    <w:pPr>
      <w:jc w:val="right"/>
      <w:rPr>
        <w:lang w:val="ru-RU"/>
      </w:rPr>
    </w:pPr>
    <w:r w:rsidRPr="00AA5F79">
      <w:rPr>
        <w:lang w:val="fr-FR"/>
      </w:rPr>
      <w:t>PCT</w:t>
    </w:r>
    <w:r w:rsidRPr="002D7CC3">
      <w:rPr>
        <w:lang w:val="ru-RU"/>
      </w:rPr>
      <w:t>/</w:t>
    </w:r>
    <w:r w:rsidRPr="00AA5F79">
      <w:rPr>
        <w:lang w:val="fr-FR"/>
      </w:rPr>
      <w:t>CTC</w:t>
    </w:r>
    <w:r>
      <w:rPr>
        <w:lang w:val="ru-RU"/>
      </w:rPr>
      <w:t>/30/14</w:t>
    </w:r>
  </w:p>
  <w:p w:rsidR="001B1065" w:rsidRPr="002D7CC3" w:rsidRDefault="001B1065" w:rsidP="00477D6B">
    <w:pPr>
      <w:jc w:val="right"/>
      <w:rPr>
        <w:lang w:val="ru-RU"/>
      </w:rPr>
    </w:pPr>
    <w:r>
      <w:rPr>
        <w:lang w:val="ru-RU"/>
      </w:rPr>
      <w:t>Приложение</w:t>
    </w:r>
    <w:r w:rsidRPr="002D7CC3">
      <w:rPr>
        <w:lang w:val="ru-RU"/>
      </w:rPr>
      <w:t xml:space="preserve">, </w:t>
    </w:r>
    <w:r>
      <w:rPr>
        <w:lang w:val="ru-RU"/>
      </w:rPr>
      <w:t>стр.</w:t>
    </w:r>
    <w:r w:rsidRPr="002D7CC3">
      <w:rPr>
        <w:lang w:val="ru-RU"/>
      </w:rPr>
      <w:t xml:space="preserve"> </w:t>
    </w:r>
    <w:r>
      <w:fldChar w:fldCharType="begin"/>
    </w:r>
    <w:r w:rsidRPr="002D7CC3">
      <w:rPr>
        <w:lang w:val="ru-RU"/>
      </w:rPr>
      <w:instrText xml:space="preserve"> </w:instrText>
    </w:r>
    <w:r w:rsidRPr="00AA5F79">
      <w:rPr>
        <w:lang w:val="fr-FR"/>
      </w:rPr>
      <w:instrText>PAGE</w:instrText>
    </w:r>
    <w:r w:rsidRPr="002D7CC3">
      <w:rPr>
        <w:lang w:val="ru-RU"/>
      </w:rPr>
      <w:instrText xml:space="preserve">  \* </w:instrText>
    </w:r>
    <w:r w:rsidRPr="00AA5F79">
      <w:rPr>
        <w:lang w:val="fr-FR"/>
      </w:rPr>
      <w:instrText>MERGEFORMAT</w:instrText>
    </w:r>
    <w:r w:rsidRPr="002D7CC3">
      <w:rPr>
        <w:lang w:val="ru-RU"/>
      </w:rPr>
      <w:instrText xml:space="preserve"> </w:instrText>
    </w:r>
    <w:r>
      <w:fldChar w:fldCharType="separate"/>
    </w:r>
    <w:r w:rsidR="0057559A" w:rsidRPr="0057559A">
      <w:rPr>
        <w:noProof/>
        <w:lang w:val="ru-RU"/>
      </w:rPr>
      <w:t>2</w:t>
    </w:r>
    <w:r>
      <w:fldChar w:fldCharType="end"/>
    </w:r>
  </w:p>
  <w:p w:rsidR="001B1065" w:rsidRPr="002D7CC3" w:rsidRDefault="001B1065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5" w:rsidRDefault="001B1065" w:rsidP="00AA5F79">
    <w:pPr>
      <w:pStyle w:val="Header"/>
      <w:jc w:val="right"/>
    </w:pPr>
    <w:r>
      <w:t>PCT/CTC/30/14</w:t>
    </w:r>
  </w:p>
  <w:p w:rsidR="001B1065" w:rsidRPr="001F143E" w:rsidRDefault="001B1065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B1065" w:rsidRDefault="001B1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C650A4"/>
    <w:rsid w:val="00010A30"/>
    <w:rsid w:val="0001140C"/>
    <w:rsid w:val="00011582"/>
    <w:rsid w:val="00016F92"/>
    <w:rsid w:val="00042E5A"/>
    <w:rsid w:val="00043CAA"/>
    <w:rsid w:val="00046AA9"/>
    <w:rsid w:val="0005435E"/>
    <w:rsid w:val="000678E4"/>
    <w:rsid w:val="000703F4"/>
    <w:rsid w:val="00075432"/>
    <w:rsid w:val="00080AA9"/>
    <w:rsid w:val="000968ED"/>
    <w:rsid w:val="000B6DD9"/>
    <w:rsid w:val="000C785F"/>
    <w:rsid w:val="000C7920"/>
    <w:rsid w:val="000F5E56"/>
    <w:rsid w:val="000F71A0"/>
    <w:rsid w:val="001037ED"/>
    <w:rsid w:val="001060BF"/>
    <w:rsid w:val="0011211E"/>
    <w:rsid w:val="001221B2"/>
    <w:rsid w:val="00131BD3"/>
    <w:rsid w:val="001362EE"/>
    <w:rsid w:val="001729D9"/>
    <w:rsid w:val="001832A6"/>
    <w:rsid w:val="001B1065"/>
    <w:rsid w:val="001E249A"/>
    <w:rsid w:val="001F143E"/>
    <w:rsid w:val="00200549"/>
    <w:rsid w:val="00200C62"/>
    <w:rsid w:val="0021217E"/>
    <w:rsid w:val="00214D09"/>
    <w:rsid w:val="00217FCF"/>
    <w:rsid w:val="00233235"/>
    <w:rsid w:val="002620CC"/>
    <w:rsid w:val="002634C4"/>
    <w:rsid w:val="00266578"/>
    <w:rsid w:val="00283737"/>
    <w:rsid w:val="002928D3"/>
    <w:rsid w:val="00293E49"/>
    <w:rsid w:val="002B2085"/>
    <w:rsid w:val="002D7CC3"/>
    <w:rsid w:val="002E2EFF"/>
    <w:rsid w:val="002E59C8"/>
    <w:rsid w:val="002E77B9"/>
    <w:rsid w:val="002F1FE6"/>
    <w:rsid w:val="002F3A12"/>
    <w:rsid w:val="002F4E68"/>
    <w:rsid w:val="003062F6"/>
    <w:rsid w:val="00312F7F"/>
    <w:rsid w:val="00314EA2"/>
    <w:rsid w:val="00315E2D"/>
    <w:rsid w:val="0031793D"/>
    <w:rsid w:val="003212F6"/>
    <w:rsid w:val="0033011C"/>
    <w:rsid w:val="00343891"/>
    <w:rsid w:val="0035027E"/>
    <w:rsid w:val="00354466"/>
    <w:rsid w:val="00357684"/>
    <w:rsid w:val="00361450"/>
    <w:rsid w:val="003673CF"/>
    <w:rsid w:val="003713A3"/>
    <w:rsid w:val="003845C1"/>
    <w:rsid w:val="003A40AB"/>
    <w:rsid w:val="003A6F89"/>
    <w:rsid w:val="003B38C1"/>
    <w:rsid w:val="003C191A"/>
    <w:rsid w:val="003C2B58"/>
    <w:rsid w:val="00401549"/>
    <w:rsid w:val="00420C2A"/>
    <w:rsid w:val="00423E3E"/>
    <w:rsid w:val="00427AF4"/>
    <w:rsid w:val="00451F95"/>
    <w:rsid w:val="004647DA"/>
    <w:rsid w:val="00474062"/>
    <w:rsid w:val="00477D6B"/>
    <w:rsid w:val="00490FA7"/>
    <w:rsid w:val="00497EA5"/>
    <w:rsid w:val="004B07AF"/>
    <w:rsid w:val="004B425D"/>
    <w:rsid w:val="004B6251"/>
    <w:rsid w:val="004D6FDB"/>
    <w:rsid w:val="004D7ED6"/>
    <w:rsid w:val="004E2E4D"/>
    <w:rsid w:val="004F74E6"/>
    <w:rsid w:val="005019FF"/>
    <w:rsid w:val="00506AA2"/>
    <w:rsid w:val="00521C05"/>
    <w:rsid w:val="0053057A"/>
    <w:rsid w:val="0053263B"/>
    <w:rsid w:val="0054558C"/>
    <w:rsid w:val="00560A29"/>
    <w:rsid w:val="0057559A"/>
    <w:rsid w:val="00596796"/>
    <w:rsid w:val="005B62EB"/>
    <w:rsid w:val="005B6D56"/>
    <w:rsid w:val="005B7F8D"/>
    <w:rsid w:val="005C40A3"/>
    <w:rsid w:val="005C6649"/>
    <w:rsid w:val="005F2370"/>
    <w:rsid w:val="005F63B0"/>
    <w:rsid w:val="00605827"/>
    <w:rsid w:val="00621CF7"/>
    <w:rsid w:val="0064461D"/>
    <w:rsid w:val="00646050"/>
    <w:rsid w:val="006609E8"/>
    <w:rsid w:val="006713CA"/>
    <w:rsid w:val="00676C5C"/>
    <w:rsid w:val="00682A95"/>
    <w:rsid w:val="00697114"/>
    <w:rsid w:val="006C7B66"/>
    <w:rsid w:val="006E2AAD"/>
    <w:rsid w:val="006F79AB"/>
    <w:rsid w:val="00716D21"/>
    <w:rsid w:val="00735D3F"/>
    <w:rsid w:val="007366CB"/>
    <w:rsid w:val="00750A25"/>
    <w:rsid w:val="007571E0"/>
    <w:rsid w:val="00766284"/>
    <w:rsid w:val="007748A1"/>
    <w:rsid w:val="007A0886"/>
    <w:rsid w:val="007B22C5"/>
    <w:rsid w:val="007D1613"/>
    <w:rsid w:val="007E045E"/>
    <w:rsid w:val="007E1C49"/>
    <w:rsid w:val="007E4C0E"/>
    <w:rsid w:val="0080304E"/>
    <w:rsid w:val="00827FAA"/>
    <w:rsid w:val="00830E34"/>
    <w:rsid w:val="00837953"/>
    <w:rsid w:val="00841C4D"/>
    <w:rsid w:val="008752E5"/>
    <w:rsid w:val="00881A3E"/>
    <w:rsid w:val="00883B8D"/>
    <w:rsid w:val="008905AE"/>
    <w:rsid w:val="00897A57"/>
    <w:rsid w:val="008A183D"/>
    <w:rsid w:val="008B2CC1"/>
    <w:rsid w:val="008B50A2"/>
    <w:rsid w:val="008B60B2"/>
    <w:rsid w:val="008F36ED"/>
    <w:rsid w:val="00901E90"/>
    <w:rsid w:val="00905059"/>
    <w:rsid w:val="0090731E"/>
    <w:rsid w:val="009075A9"/>
    <w:rsid w:val="00916892"/>
    <w:rsid w:val="00916EE2"/>
    <w:rsid w:val="00926806"/>
    <w:rsid w:val="0095018B"/>
    <w:rsid w:val="00956D75"/>
    <w:rsid w:val="00966187"/>
    <w:rsid w:val="00966A22"/>
    <w:rsid w:val="0096722F"/>
    <w:rsid w:val="00980843"/>
    <w:rsid w:val="00986846"/>
    <w:rsid w:val="009B467E"/>
    <w:rsid w:val="009C304D"/>
    <w:rsid w:val="009D0467"/>
    <w:rsid w:val="009E2791"/>
    <w:rsid w:val="009E3F6F"/>
    <w:rsid w:val="009F2A05"/>
    <w:rsid w:val="009F499F"/>
    <w:rsid w:val="00A31735"/>
    <w:rsid w:val="00A42DAF"/>
    <w:rsid w:val="00A452BB"/>
    <w:rsid w:val="00A45BD8"/>
    <w:rsid w:val="00A622F6"/>
    <w:rsid w:val="00A63753"/>
    <w:rsid w:val="00A710E1"/>
    <w:rsid w:val="00A73172"/>
    <w:rsid w:val="00A869B7"/>
    <w:rsid w:val="00A93FC2"/>
    <w:rsid w:val="00AA5F79"/>
    <w:rsid w:val="00AC205C"/>
    <w:rsid w:val="00AC2A0E"/>
    <w:rsid w:val="00AF0A6B"/>
    <w:rsid w:val="00AF549E"/>
    <w:rsid w:val="00B01C61"/>
    <w:rsid w:val="00B05A69"/>
    <w:rsid w:val="00B10FB9"/>
    <w:rsid w:val="00B1301D"/>
    <w:rsid w:val="00B20F47"/>
    <w:rsid w:val="00B2611E"/>
    <w:rsid w:val="00B527AD"/>
    <w:rsid w:val="00B7079E"/>
    <w:rsid w:val="00B9734B"/>
    <w:rsid w:val="00BA30DA"/>
    <w:rsid w:val="00BA30E2"/>
    <w:rsid w:val="00BB33BE"/>
    <w:rsid w:val="00BC3733"/>
    <w:rsid w:val="00BD078D"/>
    <w:rsid w:val="00BE332A"/>
    <w:rsid w:val="00BF29A9"/>
    <w:rsid w:val="00C11BFE"/>
    <w:rsid w:val="00C1612B"/>
    <w:rsid w:val="00C32CAD"/>
    <w:rsid w:val="00C32D37"/>
    <w:rsid w:val="00C37C03"/>
    <w:rsid w:val="00C4594B"/>
    <w:rsid w:val="00C5068F"/>
    <w:rsid w:val="00C650A4"/>
    <w:rsid w:val="00C7035A"/>
    <w:rsid w:val="00C721A8"/>
    <w:rsid w:val="00C767C7"/>
    <w:rsid w:val="00C816AE"/>
    <w:rsid w:val="00CD04F1"/>
    <w:rsid w:val="00CE1E73"/>
    <w:rsid w:val="00D202A4"/>
    <w:rsid w:val="00D34B8A"/>
    <w:rsid w:val="00D45252"/>
    <w:rsid w:val="00D60A24"/>
    <w:rsid w:val="00D6486F"/>
    <w:rsid w:val="00D71B4D"/>
    <w:rsid w:val="00D7475B"/>
    <w:rsid w:val="00D93D55"/>
    <w:rsid w:val="00D94FA1"/>
    <w:rsid w:val="00DA0D3C"/>
    <w:rsid w:val="00DB1F6A"/>
    <w:rsid w:val="00DC4AF8"/>
    <w:rsid w:val="00DD749B"/>
    <w:rsid w:val="00DD79C4"/>
    <w:rsid w:val="00DE463A"/>
    <w:rsid w:val="00E15015"/>
    <w:rsid w:val="00E335FE"/>
    <w:rsid w:val="00E3514E"/>
    <w:rsid w:val="00E4584F"/>
    <w:rsid w:val="00E46891"/>
    <w:rsid w:val="00E5482A"/>
    <w:rsid w:val="00E82D0C"/>
    <w:rsid w:val="00EB32C8"/>
    <w:rsid w:val="00EB7C84"/>
    <w:rsid w:val="00EC4E49"/>
    <w:rsid w:val="00EC6443"/>
    <w:rsid w:val="00ED77FB"/>
    <w:rsid w:val="00EE45FA"/>
    <w:rsid w:val="00EE6E59"/>
    <w:rsid w:val="00F0401D"/>
    <w:rsid w:val="00F121F1"/>
    <w:rsid w:val="00F152DC"/>
    <w:rsid w:val="00F16287"/>
    <w:rsid w:val="00F23E83"/>
    <w:rsid w:val="00F241A3"/>
    <w:rsid w:val="00F40AE8"/>
    <w:rsid w:val="00F66152"/>
    <w:rsid w:val="00F717B6"/>
    <w:rsid w:val="00F84638"/>
    <w:rsid w:val="00F85D64"/>
    <w:rsid w:val="00F93B2F"/>
    <w:rsid w:val="00FA1BF8"/>
    <w:rsid w:val="00FA4CE0"/>
    <w:rsid w:val="00FA55E7"/>
    <w:rsid w:val="00FB24B0"/>
    <w:rsid w:val="00FC7469"/>
    <w:rsid w:val="00FD06A7"/>
    <w:rsid w:val="00FD51A3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BC42-EC00-49B9-BA82-37E930B5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PCT/CTC/30/17</vt:lpstr>
    </vt:vector>
  </TitlesOfParts>
  <Company>WIPO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PCT/CTC/30/14</dc:title>
  <dc:subject>Extension of Appointment of the Indian Patent Office as an International Searching and Preliminary Examining Authority Under the PCT</dc:subject>
  <dc:creator>MARLOW Thomas</dc:creator>
  <cp:lastModifiedBy>MARLOW Thomas</cp:lastModifiedBy>
  <cp:revision>2</cp:revision>
  <cp:lastPrinted>2017-03-14T15:31:00Z</cp:lastPrinted>
  <dcterms:created xsi:type="dcterms:W3CDTF">2017-04-05T16:31:00Z</dcterms:created>
  <dcterms:modified xsi:type="dcterms:W3CDTF">2017-04-05T16:31:00Z</dcterms:modified>
</cp:coreProperties>
</file>