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07935" w:rsidRPr="004A3D19" w:rsidTr="00C7495E">
        <w:tc>
          <w:tcPr>
            <w:tcW w:w="4513" w:type="dxa"/>
            <w:tcBorders>
              <w:bottom w:val="single" w:sz="4" w:space="0" w:color="auto"/>
            </w:tcBorders>
            <w:tcMar>
              <w:bottom w:w="170" w:type="dxa"/>
            </w:tcMar>
          </w:tcPr>
          <w:p w:rsidR="00B07935" w:rsidRPr="004A3D19" w:rsidRDefault="00B07935" w:rsidP="00C7495E">
            <w:pPr>
              <w:rPr>
                <w:lang w:val="fr-FR"/>
              </w:rPr>
            </w:pPr>
          </w:p>
        </w:tc>
        <w:tc>
          <w:tcPr>
            <w:tcW w:w="4337" w:type="dxa"/>
            <w:tcBorders>
              <w:bottom w:val="single" w:sz="4" w:space="0" w:color="auto"/>
            </w:tcBorders>
            <w:tcMar>
              <w:left w:w="0" w:type="dxa"/>
              <w:right w:w="0" w:type="dxa"/>
            </w:tcMar>
          </w:tcPr>
          <w:p w:rsidR="00B07935" w:rsidRPr="004A3D19" w:rsidRDefault="00B07935" w:rsidP="00C7495E">
            <w:pPr>
              <w:rPr>
                <w:lang w:val="fr-FR"/>
              </w:rPr>
            </w:pPr>
            <w:r w:rsidRPr="004A3D19">
              <w:rPr>
                <w:noProof/>
                <w:lang w:eastAsia="en-US"/>
              </w:rPr>
              <w:drawing>
                <wp:inline distT="0" distB="0" distL="0" distR="0" wp14:anchorId="38DF73F6" wp14:editId="6F706C2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07935" w:rsidRPr="004A3D19" w:rsidRDefault="00B07935" w:rsidP="00C7495E">
            <w:pPr>
              <w:jc w:val="right"/>
              <w:rPr>
                <w:lang w:val="fr-FR"/>
              </w:rPr>
            </w:pPr>
            <w:r w:rsidRPr="004A3D19">
              <w:rPr>
                <w:b/>
                <w:sz w:val="40"/>
                <w:szCs w:val="40"/>
                <w:lang w:val="fr-FR"/>
              </w:rPr>
              <w:t>F</w:t>
            </w:r>
          </w:p>
        </w:tc>
      </w:tr>
      <w:tr w:rsidR="00B07935" w:rsidRPr="004A3D19" w:rsidTr="00C7495E">
        <w:trPr>
          <w:trHeight w:hRule="exact" w:val="340"/>
        </w:trPr>
        <w:tc>
          <w:tcPr>
            <w:tcW w:w="9356" w:type="dxa"/>
            <w:gridSpan w:val="3"/>
            <w:tcBorders>
              <w:top w:val="single" w:sz="4" w:space="0" w:color="auto"/>
            </w:tcBorders>
            <w:tcMar>
              <w:top w:w="170" w:type="dxa"/>
              <w:left w:w="0" w:type="dxa"/>
              <w:right w:w="0" w:type="dxa"/>
            </w:tcMar>
            <w:vAlign w:val="bottom"/>
          </w:tcPr>
          <w:p w:rsidR="00B07935" w:rsidRPr="004A3D19" w:rsidRDefault="00B07935" w:rsidP="00C7495E">
            <w:pPr>
              <w:jc w:val="right"/>
              <w:rPr>
                <w:rFonts w:ascii="Arial Black" w:hAnsi="Arial Black"/>
                <w:caps/>
                <w:sz w:val="15"/>
                <w:lang w:val="fr-FR"/>
              </w:rPr>
            </w:pPr>
            <w:r w:rsidRPr="004A3D19">
              <w:rPr>
                <w:rFonts w:ascii="Arial Black" w:hAnsi="Arial Black"/>
                <w:caps/>
                <w:sz w:val="15"/>
                <w:lang w:val="fr-FR"/>
              </w:rPr>
              <w:t>PCT/WG/7/</w:t>
            </w:r>
            <w:bookmarkStart w:id="0" w:name="Code"/>
            <w:bookmarkEnd w:id="0"/>
            <w:r w:rsidRPr="004A3D19">
              <w:rPr>
                <w:rFonts w:ascii="Arial Black" w:hAnsi="Arial Black"/>
                <w:caps/>
                <w:sz w:val="15"/>
                <w:lang w:val="fr-FR"/>
              </w:rPr>
              <w:t xml:space="preserve">22 </w:t>
            </w:r>
          </w:p>
        </w:tc>
      </w:tr>
      <w:tr w:rsidR="00B07935" w:rsidRPr="004A3D19" w:rsidTr="00C7495E">
        <w:trPr>
          <w:trHeight w:hRule="exact" w:val="170"/>
        </w:trPr>
        <w:tc>
          <w:tcPr>
            <w:tcW w:w="9356" w:type="dxa"/>
            <w:gridSpan w:val="3"/>
            <w:noWrap/>
            <w:tcMar>
              <w:left w:w="0" w:type="dxa"/>
              <w:right w:w="0" w:type="dxa"/>
            </w:tcMar>
            <w:vAlign w:val="bottom"/>
          </w:tcPr>
          <w:p w:rsidR="00B07935" w:rsidRPr="004A3D19" w:rsidRDefault="00B07935" w:rsidP="00C7495E">
            <w:pPr>
              <w:jc w:val="right"/>
              <w:rPr>
                <w:rFonts w:ascii="Arial Black" w:hAnsi="Arial Black"/>
                <w:caps/>
                <w:sz w:val="15"/>
                <w:lang w:val="fr-FR"/>
              </w:rPr>
            </w:pPr>
            <w:r w:rsidRPr="004A3D19">
              <w:rPr>
                <w:rFonts w:ascii="Arial Black" w:hAnsi="Arial Black"/>
                <w:caps/>
                <w:sz w:val="15"/>
                <w:lang w:val="fr-FR"/>
              </w:rPr>
              <w:t xml:space="preserve">ORIGINAL : </w:t>
            </w:r>
            <w:bookmarkStart w:id="1" w:name="Original"/>
            <w:bookmarkEnd w:id="1"/>
            <w:r w:rsidRPr="004A3D19">
              <w:rPr>
                <w:rFonts w:ascii="Arial Black" w:hAnsi="Arial Black"/>
                <w:caps/>
                <w:sz w:val="15"/>
                <w:lang w:val="fr-FR"/>
              </w:rPr>
              <w:t>anglais</w:t>
            </w:r>
          </w:p>
        </w:tc>
      </w:tr>
      <w:tr w:rsidR="00B07935" w:rsidRPr="004A3D19" w:rsidTr="00C7495E">
        <w:trPr>
          <w:trHeight w:hRule="exact" w:val="198"/>
        </w:trPr>
        <w:tc>
          <w:tcPr>
            <w:tcW w:w="9356" w:type="dxa"/>
            <w:gridSpan w:val="3"/>
            <w:tcMar>
              <w:left w:w="0" w:type="dxa"/>
              <w:right w:w="0" w:type="dxa"/>
            </w:tcMar>
            <w:vAlign w:val="bottom"/>
          </w:tcPr>
          <w:p w:rsidR="00B07935" w:rsidRPr="004A3D19" w:rsidRDefault="00B07935" w:rsidP="00C7495E">
            <w:pPr>
              <w:jc w:val="right"/>
              <w:rPr>
                <w:rFonts w:ascii="Arial Black" w:hAnsi="Arial Black"/>
                <w:caps/>
                <w:sz w:val="15"/>
                <w:lang w:val="fr-FR"/>
              </w:rPr>
            </w:pPr>
            <w:r w:rsidRPr="004A3D19">
              <w:rPr>
                <w:rFonts w:ascii="Arial Black" w:hAnsi="Arial Black"/>
                <w:caps/>
                <w:sz w:val="15"/>
                <w:lang w:val="fr-FR"/>
              </w:rPr>
              <w:t xml:space="preserve">DATE : </w:t>
            </w:r>
            <w:bookmarkStart w:id="2" w:name="Date"/>
            <w:bookmarkEnd w:id="2"/>
            <w:r w:rsidRPr="004A3D19">
              <w:rPr>
                <w:rFonts w:ascii="Arial Black" w:hAnsi="Arial Black"/>
                <w:caps/>
                <w:sz w:val="15"/>
                <w:lang w:val="fr-FR"/>
              </w:rPr>
              <w:t>23 mai 2014</w:t>
            </w:r>
          </w:p>
        </w:tc>
      </w:tr>
    </w:tbl>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b/>
          <w:sz w:val="28"/>
          <w:szCs w:val="28"/>
          <w:lang w:val="fr-FR"/>
        </w:rPr>
      </w:pPr>
      <w:r w:rsidRPr="004A3D19">
        <w:rPr>
          <w:b/>
          <w:sz w:val="28"/>
          <w:szCs w:val="28"/>
          <w:lang w:val="fr-FR"/>
        </w:rPr>
        <w:t>Groupe de travail du Traité de coopération en matière de brevets (PCT)</w:t>
      </w: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b/>
          <w:sz w:val="24"/>
          <w:szCs w:val="24"/>
          <w:lang w:val="fr-FR"/>
        </w:rPr>
      </w:pPr>
      <w:r w:rsidRPr="004A3D19">
        <w:rPr>
          <w:b/>
          <w:sz w:val="24"/>
          <w:szCs w:val="24"/>
          <w:lang w:val="fr-FR"/>
        </w:rPr>
        <w:t>Septième session</w:t>
      </w:r>
    </w:p>
    <w:p w:rsidR="00B07935" w:rsidRPr="004A3D19" w:rsidRDefault="00B07935" w:rsidP="00B07935">
      <w:pPr>
        <w:rPr>
          <w:b/>
          <w:sz w:val="24"/>
          <w:szCs w:val="24"/>
          <w:lang w:val="fr-FR"/>
        </w:rPr>
      </w:pPr>
      <w:r w:rsidRPr="004A3D19">
        <w:rPr>
          <w:b/>
          <w:sz w:val="24"/>
          <w:szCs w:val="24"/>
          <w:lang w:val="fr-FR"/>
        </w:rPr>
        <w:t>Genève, 10 – 13 juin 2014</w:t>
      </w: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B07935">
      <w:pPr>
        <w:rPr>
          <w:lang w:val="fr-FR"/>
        </w:rPr>
      </w:pPr>
    </w:p>
    <w:p w:rsidR="00B07935" w:rsidRPr="004A3D19" w:rsidRDefault="00B07935" w:rsidP="005A740A">
      <w:pPr>
        <w:rPr>
          <w:caps/>
          <w:sz w:val="24"/>
          <w:lang w:val="fr-FR"/>
        </w:rPr>
      </w:pPr>
      <w:r w:rsidRPr="004A3D19">
        <w:rPr>
          <w:caps/>
          <w:color w:val="000000"/>
          <w:sz w:val="24"/>
          <w:lang w:val="fr-FR"/>
        </w:rPr>
        <w:t xml:space="preserve">Procédures pour inviter le déposant à choisir une </w:t>
      </w:r>
      <w:r w:rsidRPr="004A3D19">
        <w:rPr>
          <w:caps/>
          <w:sz w:val="24"/>
          <w:lang w:val="fr-FR"/>
        </w:rPr>
        <w:t>administration compétente chargée de la recherche internationale</w:t>
      </w:r>
    </w:p>
    <w:p w:rsidR="00A80D51" w:rsidRPr="004A3D19" w:rsidRDefault="00A80D51" w:rsidP="008B2CC1">
      <w:pPr>
        <w:rPr>
          <w:caps/>
          <w:sz w:val="24"/>
          <w:lang w:val="fr-FR"/>
        </w:rPr>
      </w:pPr>
    </w:p>
    <w:p w:rsidR="00A80D51" w:rsidRPr="004A3D19" w:rsidRDefault="005A740A" w:rsidP="005A740A">
      <w:pPr>
        <w:rPr>
          <w:i/>
          <w:lang w:val="fr-FR"/>
        </w:rPr>
      </w:pPr>
      <w:r w:rsidRPr="004A3D19">
        <w:rPr>
          <w:i/>
          <w:lang w:val="fr-FR"/>
        </w:rPr>
        <w:t>Document soumis par les États</w:t>
      </w:r>
      <w:r w:rsidR="00A651F3" w:rsidRPr="004A3D19">
        <w:rPr>
          <w:i/>
          <w:lang w:val="fr-FR"/>
        </w:rPr>
        <w:noBreakHyphen/>
      </w:r>
      <w:r w:rsidRPr="004A3D19">
        <w:rPr>
          <w:i/>
          <w:lang w:val="fr-FR"/>
        </w:rPr>
        <w:t>Unis d</w:t>
      </w:r>
      <w:r w:rsidR="00B07935" w:rsidRPr="004A3D19">
        <w:rPr>
          <w:i/>
          <w:lang w:val="fr-FR"/>
        </w:rPr>
        <w:t>’</w:t>
      </w:r>
      <w:r w:rsidRPr="004A3D19">
        <w:rPr>
          <w:i/>
          <w:lang w:val="fr-FR"/>
        </w:rPr>
        <w:t>Amérique</w:t>
      </w:r>
    </w:p>
    <w:p w:rsidR="00A80D51" w:rsidRPr="004A3D19" w:rsidRDefault="00A80D51">
      <w:pPr>
        <w:rPr>
          <w:lang w:val="fr-FR"/>
        </w:rPr>
      </w:pPr>
    </w:p>
    <w:p w:rsidR="00A80D51" w:rsidRPr="004A3D19" w:rsidRDefault="00A80D51">
      <w:pPr>
        <w:rPr>
          <w:lang w:val="fr-FR"/>
        </w:rPr>
      </w:pPr>
    </w:p>
    <w:p w:rsidR="00A80D51" w:rsidRPr="004A3D19" w:rsidRDefault="00A80D51">
      <w:pPr>
        <w:rPr>
          <w:lang w:val="fr-FR"/>
        </w:rPr>
      </w:pPr>
    </w:p>
    <w:p w:rsidR="00A80D51" w:rsidRPr="004A3D19" w:rsidRDefault="00A80D51" w:rsidP="0053057A">
      <w:pPr>
        <w:rPr>
          <w:lang w:val="fr-FR"/>
        </w:rPr>
      </w:pPr>
    </w:p>
    <w:p w:rsidR="00A80D51" w:rsidRPr="004A3D19" w:rsidRDefault="00B07935" w:rsidP="00B07935">
      <w:pPr>
        <w:pStyle w:val="Heading1"/>
        <w:rPr>
          <w:lang w:val="fr-FR"/>
        </w:rPr>
      </w:pPr>
      <w:r w:rsidRPr="004A3D19">
        <w:rPr>
          <w:lang w:val="fr-FR"/>
        </w:rPr>
        <w:t>Résumé</w:t>
      </w:r>
    </w:p>
    <w:p w:rsidR="00A80D51" w:rsidRPr="004A3D19" w:rsidRDefault="005A740A" w:rsidP="00B07935">
      <w:pPr>
        <w:pStyle w:val="ONUMFS"/>
        <w:rPr>
          <w:lang w:val="fr-FR"/>
        </w:rPr>
      </w:pPr>
      <w:r w:rsidRPr="004A3D19">
        <w:rPr>
          <w:lang w:val="fr-FR"/>
        </w:rPr>
        <w:t>Le présent document contient une proposition de modification des Directives à l</w:t>
      </w:r>
      <w:r w:rsidR="00B07935" w:rsidRPr="004A3D19">
        <w:rPr>
          <w:lang w:val="fr-FR"/>
        </w:rPr>
        <w:t>’</w:t>
      </w:r>
      <w:r w:rsidRPr="004A3D19">
        <w:rPr>
          <w:lang w:val="fr-FR"/>
        </w:rPr>
        <w:t xml:space="preserve">usage des offices récepteurs </w:t>
      </w:r>
      <w:r w:rsidR="00A651F3" w:rsidRPr="004A3D19">
        <w:rPr>
          <w:lang w:val="fr-FR"/>
        </w:rPr>
        <w:t>visant</w:t>
      </w:r>
      <w:r w:rsidRPr="004A3D19">
        <w:rPr>
          <w:lang w:val="fr-FR"/>
        </w:rPr>
        <w:t xml:space="preserve"> à prévoir une procédure plus spécifique pour inviter le déposant à choisir une administration compétente chargée de la recherche internationale lorsque soit i)</w:t>
      </w:r>
      <w:r w:rsidR="00A651F3" w:rsidRPr="004A3D19">
        <w:rPr>
          <w:lang w:val="fr-FR"/>
        </w:rPr>
        <w:t> </w:t>
      </w:r>
      <w:r w:rsidRPr="004A3D19">
        <w:rPr>
          <w:lang w:val="fr-FR"/>
        </w:rPr>
        <w:t>aucune n</w:t>
      </w:r>
      <w:r w:rsidR="00B07935" w:rsidRPr="004A3D19">
        <w:rPr>
          <w:lang w:val="fr-FR"/>
        </w:rPr>
        <w:t>’</w:t>
      </w:r>
      <w:r w:rsidRPr="004A3D19">
        <w:rPr>
          <w:lang w:val="fr-FR"/>
        </w:rPr>
        <w:t>était indiquée dans la requête ou un autre document déposé en relation avec la demande internationale soit ii)</w:t>
      </w:r>
      <w:r w:rsidR="00A651F3" w:rsidRPr="004A3D19">
        <w:rPr>
          <w:lang w:val="fr-FR"/>
        </w:rPr>
        <w:t> </w:t>
      </w:r>
      <w:r w:rsidRPr="004A3D19">
        <w:rPr>
          <w:lang w:val="fr-FR"/>
        </w:rPr>
        <w:t>l</w:t>
      </w:r>
      <w:r w:rsidR="00B07935" w:rsidRPr="004A3D19">
        <w:rPr>
          <w:lang w:val="fr-FR"/>
        </w:rPr>
        <w:t>’</w:t>
      </w:r>
      <w:r w:rsidRPr="004A3D19">
        <w:rPr>
          <w:lang w:val="fr-FR"/>
        </w:rPr>
        <w:t xml:space="preserve">administration choisie initialement est </w:t>
      </w:r>
      <w:r w:rsidR="00A651F3" w:rsidRPr="004A3D19">
        <w:rPr>
          <w:lang w:val="fr-FR"/>
        </w:rPr>
        <w:t>réputée</w:t>
      </w:r>
      <w:r w:rsidR="004A3D19">
        <w:rPr>
          <w:lang w:val="fr-FR"/>
        </w:rPr>
        <w:t xml:space="preserve"> non </w:t>
      </w:r>
      <w:r w:rsidRPr="004A3D19">
        <w:rPr>
          <w:lang w:val="fr-FR"/>
        </w:rPr>
        <w:t>compétente.</w:t>
      </w:r>
    </w:p>
    <w:p w:rsidR="00A80D51" w:rsidRPr="004A3D19" w:rsidRDefault="00B07935" w:rsidP="00B07935">
      <w:pPr>
        <w:pStyle w:val="Heading1"/>
        <w:rPr>
          <w:lang w:val="fr-FR"/>
        </w:rPr>
      </w:pPr>
      <w:r w:rsidRPr="004A3D19">
        <w:rPr>
          <w:lang w:val="fr-FR"/>
        </w:rPr>
        <w:t>Généralités</w:t>
      </w:r>
    </w:p>
    <w:p w:rsidR="00CA5B69" w:rsidRDefault="005A740A" w:rsidP="00B07935">
      <w:pPr>
        <w:pStyle w:val="ONUMFS"/>
        <w:rPr>
          <w:lang w:val="fr-FR" w:eastAsia="en-US"/>
        </w:rPr>
      </w:pPr>
      <w:r w:rsidRPr="004A3D19">
        <w:rPr>
          <w:lang w:val="fr-FR" w:eastAsia="en-US"/>
        </w:rPr>
        <w:t>Les offices récepteurs proposent souvent le choix de plusieurs administrations compétentes.</w:t>
      </w:r>
      <w:r w:rsidR="00E07876" w:rsidRPr="004A3D19">
        <w:rPr>
          <w:lang w:val="fr-FR" w:eastAsia="en-US"/>
        </w:rPr>
        <w:t xml:space="preserve">  </w:t>
      </w:r>
      <w:r w:rsidR="00942F62" w:rsidRPr="004A3D19">
        <w:rPr>
          <w:lang w:val="fr-FR" w:eastAsia="en-US"/>
        </w:rPr>
        <w:t>Par exemple, les déposants des États</w:t>
      </w:r>
      <w:r w:rsidR="00A651F3" w:rsidRPr="004A3D19">
        <w:rPr>
          <w:lang w:val="fr-FR" w:eastAsia="en-US"/>
        </w:rPr>
        <w:noBreakHyphen/>
      </w:r>
      <w:r w:rsidR="00942F62" w:rsidRPr="004A3D19">
        <w:rPr>
          <w:lang w:val="fr-FR" w:eastAsia="en-US"/>
        </w:rPr>
        <w:t>Unis d</w:t>
      </w:r>
      <w:r w:rsidR="00B07935" w:rsidRPr="004A3D19">
        <w:rPr>
          <w:lang w:val="fr-FR" w:eastAsia="en-US"/>
        </w:rPr>
        <w:t>’</w:t>
      </w:r>
      <w:r w:rsidR="00942F62" w:rsidRPr="004A3D19">
        <w:rPr>
          <w:lang w:val="fr-FR" w:eastAsia="en-US"/>
        </w:rPr>
        <w:t xml:space="preserve">Amérique (US) présentant leur demande devant le RO/US ou le RO/IB peuvent choisir </w:t>
      </w:r>
      <w:r w:rsidR="00872124">
        <w:rPr>
          <w:bCs/>
          <w:lang w:val="fr-FR"/>
        </w:rPr>
        <w:t>l</w:t>
      </w:r>
      <w:r w:rsidR="00872124" w:rsidRPr="00E102FC">
        <w:rPr>
          <w:bCs/>
          <w:lang w:val="fr-FR"/>
        </w:rPr>
        <w:t>’Office des brevets et des marques des États</w:t>
      </w:r>
      <w:r w:rsidR="00872124" w:rsidRPr="00E102FC">
        <w:rPr>
          <w:bCs/>
          <w:lang w:val="fr-FR"/>
        </w:rPr>
        <w:noBreakHyphen/>
        <w:t>Unis d’Amérique</w:t>
      </w:r>
      <w:r w:rsidR="00942F62" w:rsidRPr="004A3D19">
        <w:rPr>
          <w:lang w:val="fr-FR" w:eastAsia="en-US"/>
        </w:rPr>
        <w:t xml:space="preserve">, </w:t>
      </w:r>
      <w:r w:rsidR="00872124" w:rsidRPr="00E102FC">
        <w:rPr>
          <w:bCs/>
          <w:lang w:val="fr-FR"/>
        </w:rPr>
        <w:t>l’Office européen des brevets</w:t>
      </w:r>
      <w:r w:rsidR="00CA5B69">
        <w:rPr>
          <w:bCs/>
          <w:lang w:val="fr-FR"/>
        </w:rPr>
        <w:t xml:space="preserve"> (OEB)</w:t>
      </w:r>
      <w:r w:rsidR="00942F62" w:rsidRPr="004A3D19">
        <w:rPr>
          <w:lang w:val="fr-FR" w:eastAsia="en-US"/>
        </w:rPr>
        <w:t xml:space="preserve">, </w:t>
      </w:r>
      <w:r w:rsidR="00872124" w:rsidRPr="00E102FC">
        <w:rPr>
          <w:bCs/>
          <w:lang w:val="fr-FR"/>
        </w:rPr>
        <w:t>l’Office coréen de la propriété intellectuelle</w:t>
      </w:r>
      <w:r w:rsidR="00942F62" w:rsidRPr="004A3D19">
        <w:rPr>
          <w:lang w:val="fr-FR" w:eastAsia="en-US"/>
        </w:rPr>
        <w:t xml:space="preserve">, IP </w:t>
      </w:r>
      <w:proofErr w:type="spellStart"/>
      <w:r w:rsidR="00942F62" w:rsidRPr="004A3D19">
        <w:rPr>
          <w:lang w:val="fr-FR" w:eastAsia="en-US"/>
        </w:rPr>
        <w:t>Australia</w:t>
      </w:r>
      <w:proofErr w:type="spellEnd"/>
      <w:r w:rsidR="00942F62" w:rsidRPr="004A3D19">
        <w:rPr>
          <w:lang w:val="fr-FR" w:eastAsia="en-US"/>
        </w:rPr>
        <w:t xml:space="preserve"> ou </w:t>
      </w:r>
      <w:r w:rsidR="00872124">
        <w:rPr>
          <w:lang w:val="fr-FR" w:eastAsia="en-US"/>
        </w:rPr>
        <w:t xml:space="preserve">le </w:t>
      </w:r>
      <w:r w:rsidR="00872124">
        <w:rPr>
          <w:lang w:val="fr-FR"/>
        </w:rPr>
        <w:t>Service fédéral pour la propriété intellectuelle de la Fédération de Russie (</w:t>
      </w:r>
      <w:proofErr w:type="spellStart"/>
      <w:r w:rsidR="00872124">
        <w:rPr>
          <w:lang w:val="fr-FR"/>
        </w:rPr>
        <w:t>Rospatent</w:t>
      </w:r>
      <w:proofErr w:type="spellEnd"/>
      <w:r w:rsidR="00872124">
        <w:rPr>
          <w:lang w:val="fr-FR"/>
        </w:rPr>
        <w:t>)</w:t>
      </w:r>
      <w:r w:rsidR="00942F62" w:rsidRPr="004A3D19">
        <w:rPr>
          <w:lang w:val="fr-FR" w:eastAsia="en-US"/>
        </w:rPr>
        <w:t xml:space="preserve"> comme administration chargée de la recherche internationale, avec quelques restrictions.</w:t>
      </w:r>
      <w:r w:rsidR="00E07876" w:rsidRPr="004A3D19">
        <w:rPr>
          <w:lang w:val="fr-FR" w:eastAsia="en-US"/>
        </w:rPr>
        <w:t xml:space="preserve">  </w:t>
      </w:r>
      <w:r w:rsidR="00942F62" w:rsidRPr="004A3D19">
        <w:rPr>
          <w:lang w:val="fr-FR" w:eastAsia="en-US"/>
        </w:rPr>
        <w:t>Certaines des administrations internationales ont limité leur champ de compétence.</w:t>
      </w:r>
      <w:r w:rsidR="00E07876" w:rsidRPr="004A3D19">
        <w:rPr>
          <w:lang w:val="fr-FR" w:eastAsia="en-US"/>
        </w:rPr>
        <w:t xml:space="preserve">  </w:t>
      </w:r>
      <w:r w:rsidR="00942F62" w:rsidRPr="004A3D19">
        <w:rPr>
          <w:lang w:val="fr-FR" w:eastAsia="en-US"/>
        </w:rPr>
        <w:t>Par exemple, l</w:t>
      </w:r>
      <w:r w:rsidR="00B07935" w:rsidRPr="004A3D19">
        <w:rPr>
          <w:lang w:val="fr-FR" w:eastAsia="en-US"/>
        </w:rPr>
        <w:t>’</w:t>
      </w:r>
      <w:r w:rsidR="00942F62" w:rsidRPr="004A3D19">
        <w:rPr>
          <w:lang w:val="fr-FR" w:eastAsia="en-US"/>
        </w:rPr>
        <w:t>OEB s</w:t>
      </w:r>
      <w:r w:rsidR="00B07935" w:rsidRPr="004A3D19">
        <w:rPr>
          <w:lang w:val="fr-FR" w:eastAsia="en-US"/>
        </w:rPr>
        <w:t>’</w:t>
      </w:r>
      <w:r w:rsidR="00942F62" w:rsidRPr="004A3D19">
        <w:rPr>
          <w:lang w:val="fr-FR" w:eastAsia="en-US"/>
        </w:rPr>
        <w:t>est déclaré incompétent pour les demandes déposées par des déposants des États</w:t>
      </w:r>
      <w:r w:rsidR="00A651F3" w:rsidRPr="004A3D19">
        <w:rPr>
          <w:lang w:val="fr-FR" w:eastAsia="en-US"/>
        </w:rPr>
        <w:noBreakHyphen/>
      </w:r>
      <w:r w:rsidR="00942F62" w:rsidRPr="004A3D19">
        <w:rPr>
          <w:lang w:val="fr-FR" w:eastAsia="en-US"/>
        </w:rPr>
        <w:t>Unis d</w:t>
      </w:r>
      <w:r w:rsidR="00B07935" w:rsidRPr="004A3D19">
        <w:rPr>
          <w:lang w:val="fr-FR" w:eastAsia="en-US"/>
        </w:rPr>
        <w:t>’</w:t>
      </w:r>
      <w:r w:rsidR="00942F62" w:rsidRPr="004A3D19">
        <w:rPr>
          <w:lang w:val="fr-FR" w:eastAsia="en-US"/>
        </w:rPr>
        <w:t>Amérique devant le RO/US ou le RO/IB lorsque l</w:t>
      </w:r>
      <w:r w:rsidR="00B07935" w:rsidRPr="004A3D19">
        <w:rPr>
          <w:lang w:val="fr-FR" w:eastAsia="en-US"/>
        </w:rPr>
        <w:t>’</w:t>
      </w:r>
      <w:r w:rsidR="00942F62" w:rsidRPr="004A3D19">
        <w:rPr>
          <w:lang w:val="fr-FR" w:eastAsia="en-US"/>
        </w:rPr>
        <w:t>une ou plusieurs des revendications se rapportent au domaine des méthodes commerciales selon la définition figurant dans certaines rubriques de la classification internationale des brevets (voir l</w:t>
      </w:r>
      <w:r w:rsidR="00B07935" w:rsidRPr="004A3D19">
        <w:rPr>
          <w:lang w:val="fr-FR" w:eastAsia="en-US"/>
        </w:rPr>
        <w:t>’</w:t>
      </w:r>
      <w:r w:rsidR="00942F62" w:rsidRPr="004A3D19">
        <w:rPr>
          <w:lang w:val="fr-FR" w:eastAsia="en-US"/>
        </w:rPr>
        <w:t>annexe A de l</w:t>
      </w:r>
      <w:r w:rsidR="00B07935" w:rsidRPr="004A3D19">
        <w:rPr>
          <w:lang w:val="fr-FR" w:eastAsia="en-US"/>
        </w:rPr>
        <w:t>’</w:t>
      </w:r>
      <w:r w:rsidR="00942F62" w:rsidRPr="004A3D19">
        <w:rPr>
          <w:lang w:val="fr-FR" w:eastAsia="en-US"/>
        </w:rPr>
        <w:t>accord entre l</w:t>
      </w:r>
      <w:r w:rsidR="00B07935" w:rsidRPr="004A3D19">
        <w:rPr>
          <w:lang w:val="fr-FR" w:eastAsia="en-US"/>
        </w:rPr>
        <w:t>’</w:t>
      </w:r>
      <w:r w:rsidR="00942F62" w:rsidRPr="004A3D19">
        <w:rPr>
          <w:lang w:val="fr-FR" w:eastAsia="en-US"/>
        </w:rPr>
        <w:t>OEB et l</w:t>
      </w:r>
      <w:r w:rsidR="00B07935" w:rsidRPr="004A3D19">
        <w:rPr>
          <w:lang w:val="fr-FR" w:eastAsia="en-US"/>
        </w:rPr>
        <w:t>’</w:t>
      </w:r>
      <w:r w:rsidR="00942F62" w:rsidRPr="004A3D19">
        <w:rPr>
          <w:lang w:val="fr-FR" w:eastAsia="en-US"/>
        </w:rPr>
        <w:t>OMPI).</w:t>
      </w:r>
      <w:r w:rsidR="00E07876" w:rsidRPr="004A3D19">
        <w:rPr>
          <w:lang w:val="fr-FR" w:eastAsia="en-US"/>
        </w:rPr>
        <w:t xml:space="preserve">  </w:t>
      </w:r>
      <w:r w:rsidR="00942F62" w:rsidRPr="004A3D19">
        <w:rPr>
          <w:lang w:val="fr-FR" w:eastAsia="en-US"/>
        </w:rPr>
        <w:t>D</w:t>
      </w:r>
      <w:r w:rsidR="00B07935" w:rsidRPr="004A3D19">
        <w:rPr>
          <w:lang w:val="fr-FR" w:eastAsia="en-US"/>
        </w:rPr>
        <w:t>’</w:t>
      </w:r>
      <w:r w:rsidR="00942F62" w:rsidRPr="004A3D19">
        <w:rPr>
          <w:lang w:val="fr-FR" w:eastAsia="en-US"/>
        </w:rPr>
        <w:t>autres</w:t>
      </w:r>
      <w:r w:rsidR="00A651F3" w:rsidRPr="004A3D19">
        <w:rPr>
          <w:lang w:val="fr-FR" w:eastAsia="en-US"/>
        </w:rPr>
        <w:t xml:space="preserve"> </w:t>
      </w:r>
      <w:r w:rsidR="00942F62" w:rsidRPr="004A3D19">
        <w:rPr>
          <w:lang w:val="fr-FR" w:eastAsia="en-US"/>
        </w:rPr>
        <w:t>administrations internationales ont décrété une limitation de compétence arithmétique ou envisagent de le faire.</w:t>
      </w:r>
      <w:r w:rsidR="005632FA" w:rsidRPr="004A3D19">
        <w:rPr>
          <w:lang w:val="fr-FR" w:eastAsia="en-US"/>
        </w:rPr>
        <w:t xml:space="preserve">  </w:t>
      </w:r>
      <w:r w:rsidR="00942F62" w:rsidRPr="004A3D19">
        <w:rPr>
          <w:lang w:val="fr-FR" w:eastAsia="en-US"/>
        </w:rPr>
        <w:t xml:space="preserve">Ainsi, certaines </w:t>
      </w:r>
    </w:p>
    <w:p w:rsidR="00B07935" w:rsidRPr="004A3D19" w:rsidRDefault="00942F62" w:rsidP="00CA5B69">
      <w:pPr>
        <w:pStyle w:val="ONUMFS"/>
        <w:numPr>
          <w:ilvl w:val="0"/>
          <w:numId w:val="0"/>
        </w:numPr>
        <w:rPr>
          <w:lang w:val="fr-FR" w:eastAsia="en-US"/>
        </w:rPr>
      </w:pPr>
      <w:r w:rsidRPr="004A3D19">
        <w:rPr>
          <w:lang w:val="fr-FR" w:eastAsia="en-US"/>
        </w:rPr>
        <w:t>administrations chargées de la recherche internationale peuvent n</w:t>
      </w:r>
      <w:r w:rsidR="00B07935" w:rsidRPr="004A3D19">
        <w:rPr>
          <w:lang w:val="fr-FR" w:eastAsia="en-US"/>
        </w:rPr>
        <w:t>’</w:t>
      </w:r>
      <w:r w:rsidRPr="004A3D19">
        <w:rPr>
          <w:lang w:val="fr-FR" w:eastAsia="en-US"/>
        </w:rPr>
        <w:t xml:space="preserve">être </w:t>
      </w:r>
      <w:r w:rsidR="004A3D19">
        <w:rPr>
          <w:lang w:val="fr-FR" w:eastAsia="en-US"/>
        </w:rPr>
        <w:t>compétentes</w:t>
      </w:r>
      <w:r w:rsidRPr="004A3D19">
        <w:rPr>
          <w:lang w:val="fr-FR" w:eastAsia="en-US"/>
        </w:rPr>
        <w:t xml:space="preserve"> pour effectuer des recherches internationales que sur un nombre déterminé de demandes internationales par trimestre ou par an.</w:t>
      </w:r>
    </w:p>
    <w:p w:rsidR="00B07935" w:rsidRPr="004A3D19" w:rsidRDefault="00942F62" w:rsidP="00B07935">
      <w:pPr>
        <w:pStyle w:val="ONUMFS"/>
        <w:rPr>
          <w:lang w:val="fr-FR" w:eastAsia="en-US"/>
        </w:rPr>
      </w:pPr>
      <w:r w:rsidRPr="004A3D19">
        <w:rPr>
          <w:lang w:val="fr-FR" w:eastAsia="en-US"/>
        </w:rPr>
        <w:lastRenderedPageBreak/>
        <w:t>L</w:t>
      </w:r>
      <w:r w:rsidR="00B07935" w:rsidRPr="004A3D19">
        <w:rPr>
          <w:lang w:val="fr-FR" w:eastAsia="en-US"/>
        </w:rPr>
        <w:t>’</w:t>
      </w:r>
      <w:r w:rsidR="00CA5B69" w:rsidRPr="00E102FC">
        <w:rPr>
          <w:bCs/>
          <w:lang w:val="fr-FR"/>
        </w:rPr>
        <w:t>Office des brevets et des marques des États</w:t>
      </w:r>
      <w:r w:rsidR="00CA5B69" w:rsidRPr="00E102FC">
        <w:rPr>
          <w:bCs/>
          <w:lang w:val="fr-FR"/>
        </w:rPr>
        <w:noBreakHyphen/>
        <w:t>Unis d’Amérique</w:t>
      </w:r>
      <w:r w:rsidRPr="004A3D19">
        <w:rPr>
          <w:lang w:val="fr-FR" w:eastAsia="en-US"/>
        </w:rPr>
        <w:t xml:space="preserve"> agissant en tant qu</w:t>
      </w:r>
      <w:r w:rsidR="00B07935" w:rsidRPr="004A3D19">
        <w:rPr>
          <w:lang w:val="fr-FR" w:eastAsia="en-US"/>
        </w:rPr>
        <w:t>’</w:t>
      </w:r>
      <w:r w:rsidRPr="004A3D19">
        <w:rPr>
          <w:lang w:val="fr-FR" w:eastAsia="en-US"/>
        </w:rPr>
        <w:t>office récepteur a rencontré des difficultés opérationnelles lorsque soit i) le déposant n</w:t>
      </w:r>
      <w:r w:rsidR="00B07935" w:rsidRPr="004A3D19">
        <w:rPr>
          <w:lang w:val="fr-FR" w:eastAsia="en-US"/>
        </w:rPr>
        <w:t>’</w:t>
      </w:r>
      <w:r w:rsidRPr="004A3D19">
        <w:rPr>
          <w:lang w:val="fr-FR" w:eastAsia="en-US"/>
        </w:rPr>
        <w:t>avait pas choisi d</w:t>
      </w:r>
      <w:r w:rsidR="00B07935" w:rsidRPr="004A3D19">
        <w:rPr>
          <w:lang w:val="fr-FR" w:eastAsia="en-US"/>
        </w:rPr>
        <w:t>’</w:t>
      </w:r>
      <w:r w:rsidRPr="004A3D19">
        <w:rPr>
          <w:lang w:val="fr-FR" w:eastAsia="en-US"/>
        </w:rPr>
        <w:t>administration compétente chargée de la recherche internationale au moment du dépôt soit ii) l</w:t>
      </w:r>
      <w:r w:rsidR="00B07935" w:rsidRPr="004A3D19">
        <w:rPr>
          <w:lang w:val="fr-FR" w:eastAsia="en-US"/>
        </w:rPr>
        <w:t>’</w:t>
      </w:r>
      <w:r w:rsidRPr="004A3D19">
        <w:rPr>
          <w:lang w:val="fr-FR" w:eastAsia="en-US"/>
        </w:rPr>
        <w:t xml:space="preserve">administration </w:t>
      </w:r>
      <w:r w:rsidR="00607DDA" w:rsidRPr="004A3D19">
        <w:rPr>
          <w:lang w:val="fr-FR" w:eastAsia="en-US"/>
        </w:rPr>
        <w:t>initialement</w:t>
      </w:r>
      <w:r w:rsidRPr="004A3D19">
        <w:rPr>
          <w:lang w:val="fr-FR" w:eastAsia="en-US"/>
        </w:rPr>
        <w:t xml:space="preserve"> choisie s</w:t>
      </w:r>
      <w:r w:rsidR="00B07935" w:rsidRPr="004A3D19">
        <w:rPr>
          <w:lang w:val="fr-FR" w:eastAsia="en-US"/>
        </w:rPr>
        <w:t>’</w:t>
      </w:r>
      <w:r w:rsidRPr="004A3D19">
        <w:rPr>
          <w:lang w:val="fr-FR" w:eastAsia="en-US"/>
        </w:rPr>
        <w:t>était déclarée incompétente en raison de certaines limitations décrites ci</w:t>
      </w:r>
      <w:r w:rsidR="00A651F3" w:rsidRPr="004A3D19">
        <w:rPr>
          <w:lang w:val="fr-FR" w:eastAsia="en-US"/>
        </w:rPr>
        <w:noBreakHyphen/>
      </w:r>
      <w:r w:rsidRPr="004A3D19">
        <w:rPr>
          <w:lang w:val="fr-FR" w:eastAsia="en-US"/>
        </w:rPr>
        <w:t>dessus.</w:t>
      </w:r>
      <w:r w:rsidR="00E77CB9" w:rsidRPr="004A3D19">
        <w:rPr>
          <w:lang w:val="fr-FR" w:eastAsia="en-US"/>
        </w:rPr>
        <w:t xml:space="preserve"> </w:t>
      </w:r>
      <w:r w:rsidR="00E07876" w:rsidRPr="004A3D19">
        <w:rPr>
          <w:lang w:val="fr-FR" w:eastAsia="en-US"/>
        </w:rPr>
        <w:t xml:space="preserve"> </w:t>
      </w:r>
      <w:r w:rsidRPr="004A3D19">
        <w:rPr>
          <w:lang w:val="fr-FR" w:eastAsia="en-US"/>
        </w:rPr>
        <w:t>Dans les deux</w:t>
      </w:r>
      <w:r w:rsidR="009E7534" w:rsidRPr="004A3D19">
        <w:rPr>
          <w:lang w:val="fr-FR" w:eastAsia="en-US"/>
        </w:rPr>
        <w:t> </w:t>
      </w:r>
      <w:r w:rsidRPr="004A3D19">
        <w:rPr>
          <w:lang w:val="fr-FR" w:eastAsia="en-US"/>
        </w:rPr>
        <w:t>cas, l</w:t>
      </w:r>
      <w:r w:rsidR="00B07935" w:rsidRPr="004A3D19">
        <w:rPr>
          <w:lang w:val="fr-FR" w:eastAsia="en-US"/>
        </w:rPr>
        <w:t>’</w:t>
      </w:r>
      <w:r w:rsidRPr="004A3D19">
        <w:rPr>
          <w:lang w:val="fr-FR" w:eastAsia="en-US"/>
        </w:rPr>
        <w:t xml:space="preserve">office récepteur est tenu, en vertu de la procédure établie au </w:t>
      </w:r>
      <w:r w:rsidR="004A3D19">
        <w:rPr>
          <w:lang w:val="fr-FR" w:eastAsia="en-US"/>
        </w:rPr>
        <w:t>paragraphe </w:t>
      </w:r>
      <w:r w:rsidRPr="004A3D19">
        <w:rPr>
          <w:lang w:val="fr-FR" w:eastAsia="en-US"/>
        </w:rPr>
        <w:t>115 des Directives à l</w:t>
      </w:r>
      <w:r w:rsidR="00B07935" w:rsidRPr="004A3D19">
        <w:rPr>
          <w:lang w:val="fr-FR" w:eastAsia="en-US"/>
        </w:rPr>
        <w:t>’</w:t>
      </w:r>
      <w:r w:rsidRPr="004A3D19">
        <w:rPr>
          <w:lang w:val="fr-FR" w:eastAsia="en-US"/>
        </w:rPr>
        <w:t>usage des offices récepteurs, d</w:t>
      </w:r>
      <w:r w:rsidR="00B07935" w:rsidRPr="004A3D19">
        <w:rPr>
          <w:lang w:val="fr-FR" w:eastAsia="en-US"/>
        </w:rPr>
        <w:t>’</w:t>
      </w:r>
      <w:r w:rsidRPr="004A3D19">
        <w:rPr>
          <w:lang w:val="fr-FR" w:eastAsia="en-US"/>
        </w:rPr>
        <w:t>inviter le déposant à choisir une administration compétente chargée de la recherche internationale.</w:t>
      </w:r>
      <w:r w:rsidR="00E07876" w:rsidRPr="004A3D19">
        <w:rPr>
          <w:lang w:val="fr-FR" w:eastAsia="en-US"/>
        </w:rPr>
        <w:t xml:space="preserve">  </w:t>
      </w:r>
      <w:r w:rsidR="00630BC9" w:rsidRPr="004A3D19">
        <w:rPr>
          <w:lang w:val="fr-FR" w:eastAsia="en-US"/>
        </w:rPr>
        <w:t>Toutefois, les directives ne prévoient aucune sanction en cas d</w:t>
      </w:r>
      <w:r w:rsidR="00B07935" w:rsidRPr="004A3D19">
        <w:rPr>
          <w:lang w:val="fr-FR" w:eastAsia="en-US"/>
        </w:rPr>
        <w:t>’</w:t>
      </w:r>
      <w:r w:rsidR="00630BC9" w:rsidRPr="004A3D19">
        <w:rPr>
          <w:lang w:val="fr-FR" w:eastAsia="en-US"/>
        </w:rPr>
        <w:t>absence de réponse à cette invitation.</w:t>
      </w:r>
      <w:r w:rsidR="00E07876" w:rsidRPr="004A3D19">
        <w:rPr>
          <w:lang w:val="fr-FR" w:eastAsia="en-US"/>
        </w:rPr>
        <w:t xml:space="preserve"> </w:t>
      </w:r>
      <w:r w:rsidR="009E7534" w:rsidRPr="004A3D19">
        <w:rPr>
          <w:lang w:val="fr-FR" w:eastAsia="en-US"/>
        </w:rPr>
        <w:t xml:space="preserve"> </w:t>
      </w:r>
      <w:r w:rsidR="00630BC9" w:rsidRPr="004A3D19">
        <w:rPr>
          <w:lang w:val="fr-FR" w:eastAsia="en-US"/>
        </w:rPr>
        <w:t>De fait, le RO/US a constaté que certains déposants ne se sentent pas obligés de répondre à cette invitation, de sorte qu</w:t>
      </w:r>
      <w:r w:rsidR="00B07935" w:rsidRPr="004A3D19">
        <w:rPr>
          <w:lang w:val="fr-FR" w:eastAsia="en-US"/>
        </w:rPr>
        <w:t>’</w:t>
      </w:r>
      <w:r w:rsidR="00630BC9" w:rsidRPr="004A3D19">
        <w:rPr>
          <w:lang w:val="fr-FR" w:eastAsia="en-US"/>
        </w:rPr>
        <w:t>il n</w:t>
      </w:r>
      <w:r w:rsidR="00B07935" w:rsidRPr="004A3D19">
        <w:rPr>
          <w:lang w:val="fr-FR" w:eastAsia="en-US"/>
        </w:rPr>
        <w:t>’</w:t>
      </w:r>
      <w:r w:rsidR="00630BC9" w:rsidRPr="004A3D19">
        <w:rPr>
          <w:lang w:val="fr-FR" w:eastAsia="en-US"/>
        </w:rPr>
        <w:t>est pas en mesure de poursuivre l</w:t>
      </w:r>
      <w:r w:rsidR="00B07935" w:rsidRPr="004A3D19">
        <w:rPr>
          <w:lang w:val="fr-FR" w:eastAsia="en-US"/>
        </w:rPr>
        <w:t>’</w:t>
      </w:r>
      <w:r w:rsidR="00630BC9" w:rsidRPr="004A3D19">
        <w:rPr>
          <w:lang w:val="fr-FR" w:eastAsia="en-US"/>
        </w:rPr>
        <w:t>instruction de la demande.</w:t>
      </w:r>
    </w:p>
    <w:p w:rsidR="00A80D51" w:rsidRPr="004A3D19" w:rsidRDefault="00B07935" w:rsidP="00B07935">
      <w:pPr>
        <w:pStyle w:val="Heading1"/>
        <w:rPr>
          <w:lang w:val="fr-FR"/>
        </w:rPr>
      </w:pPr>
      <w:r w:rsidRPr="004A3D19">
        <w:rPr>
          <w:lang w:val="fr-FR"/>
        </w:rPr>
        <w:t>Délibérations de la vingt et unième réunion des administrations internationales du PCT</w:t>
      </w:r>
    </w:p>
    <w:p w:rsidR="00A80D51" w:rsidRPr="004A3D19" w:rsidRDefault="00630BC9" w:rsidP="00B07935">
      <w:pPr>
        <w:pStyle w:val="ONUMFS"/>
        <w:rPr>
          <w:lang w:val="fr-FR"/>
        </w:rPr>
      </w:pPr>
      <w:r w:rsidRPr="004A3D19">
        <w:rPr>
          <w:lang w:val="fr-FR"/>
        </w:rPr>
        <w:t xml:space="preserve">La question a été soumise à la vingt et unième Réunion des administrations internationales du PCT tenue à </w:t>
      </w:r>
      <w:r w:rsidR="004A3D19">
        <w:rPr>
          <w:lang w:val="fr-FR"/>
        </w:rPr>
        <w:t>Tel</w:t>
      </w:r>
      <w:r w:rsidR="004A3D19">
        <w:rPr>
          <w:lang w:val="fr-FR"/>
        </w:rPr>
        <w:noBreakHyphen/>
        <w:t>Aviv</w:t>
      </w:r>
      <w:r w:rsidRPr="004A3D19">
        <w:rPr>
          <w:lang w:val="fr-FR"/>
        </w:rPr>
        <w:t xml:space="preserve"> du 11 au </w:t>
      </w:r>
      <w:r w:rsidR="004A3D19">
        <w:rPr>
          <w:lang w:val="fr-FR"/>
        </w:rPr>
        <w:t>13 février </w:t>
      </w:r>
      <w:r w:rsidRPr="004A3D19">
        <w:rPr>
          <w:lang w:val="fr-FR"/>
        </w:rPr>
        <w:t>2014 dans le document PCT/MIA/21/10.</w:t>
      </w:r>
    </w:p>
    <w:p w:rsidR="00A80D51" w:rsidRPr="004A3D19" w:rsidRDefault="00630BC9" w:rsidP="00B07935">
      <w:pPr>
        <w:pStyle w:val="ONUMFS"/>
        <w:rPr>
          <w:lang w:val="fr-FR"/>
        </w:rPr>
      </w:pPr>
      <w:r w:rsidRPr="004A3D19">
        <w:rPr>
          <w:lang w:val="fr-FR"/>
        </w:rPr>
        <w:t xml:space="preserve">Un résumé général des délibérations de la Réunion des administrations internationales figure aux </w:t>
      </w:r>
      <w:r w:rsidR="004A3D19">
        <w:rPr>
          <w:lang w:val="fr-FR"/>
        </w:rPr>
        <w:t>paragraphes </w:t>
      </w:r>
      <w:r w:rsidRPr="004A3D19">
        <w:rPr>
          <w:lang w:val="fr-FR"/>
        </w:rPr>
        <w:t>70 et 71 de l</w:t>
      </w:r>
      <w:r w:rsidR="00B07935" w:rsidRPr="004A3D19">
        <w:rPr>
          <w:lang w:val="fr-FR"/>
        </w:rPr>
        <w:t>’</w:t>
      </w:r>
      <w:r w:rsidRPr="004A3D19">
        <w:rPr>
          <w:lang w:val="fr-FR"/>
        </w:rPr>
        <w:t>annexe du document PCT/WG/7/3, qui sont reproduits ci</w:t>
      </w:r>
      <w:r w:rsidR="00A651F3" w:rsidRPr="004A3D19">
        <w:rPr>
          <w:lang w:val="fr-FR"/>
        </w:rPr>
        <w:noBreakHyphen/>
      </w:r>
      <w:r w:rsidRPr="004A3D19">
        <w:rPr>
          <w:lang w:val="fr-FR"/>
        </w:rPr>
        <w:t>dessous.</w:t>
      </w:r>
    </w:p>
    <w:p w:rsidR="00A80D51" w:rsidRPr="004A3D19" w:rsidRDefault="004A4F28" w:rsidP="00B07935">
      <w:pPr>
        <w:pStyle w:val="ONUMFS"/>
        <w:numPr>
          <w:ilvl w:val="0"/>
          <w:numId w:val="0"/>
        </w:numPr>
        <w:ind w:left="567"/>
        <w:rPr>
          <w:lang w:val="fr-FR"/>
        </w:rPr>
      </w:pPr>
      <w:r w:rsidRPr="004A3D19">
        <w:rPr>
          <w:color w:val="000000"/>
          <w:lang w:val="fr-FR"/>
        </w:rPr>
        <w:t>“</w:t>
      </w:r>
      <w:r w:rsidR="00630BC9" w:rsidRPr="004A3D19">
        <w:rPr>
          <w:color w:val="000000"/>
          <w:lang w:val="fr-FR"/>
        </w:rPr>
        <w:t>70.</w:t>
      </w:r>
      <w:r w:rsidR="00630BC9" w:rsidRPr="004A3D19">
        <w:rPr>
          <w:color w:val="000000"/>
          <w:lang w:val="fr-FR"/>
        </w:rPr>
        <w:tab/>
      </w:r>
      <w:r w:rsidR="00630BC9" w:rsidRPr="004A3D19">
        <w:rPr>
          <w:lang w:val="fr-FR"/>
        </w:rPr>
        <w:t>Les délibérations ont eu lieu sur la base du document PCT/MIA/21/10.</w:t>
      </w:r>
    </w:p>
    <w:p w:rsidR="00A80D51" w:rsidRPr="004A3D19" w:rsidRDefault="004A4F28" w:rsidP="00B07935">
      <w:pPr>
        <w:pStyle w:val="ONUMFS"/>
        <w:numPr>
          <w:ilvl w:val="0"/>
          <w:numId w:val="0"/>
        </w:numPr>
        <w:ind w:left="567"/>
        <w:rPr>
          <w:lang w:val="fr-FR"/>
        </w:rPr>
      </w:pPr>
      <w:r w:rsidRPr="004A3D19">
        <w:rPr>
          <w:color w:val="000000"/>
          <w:lang w:val="fr-FR"/>
        </w:rPr>
        <w:t>“</w:t>
      </w:r>
      <w:r w:rsidR="00630BC9" w:rsidRPr="004A3D19">
        <w:rPr>
          <w:color w:val="000000"/>
          <w:lang w:val="fr-FR"/>
        </w:rPr>
        <w:t>71.</w:t>
      </w:r>
      <w:r w:rsidR="00630BC9" w:rsidRPr="004A3D19">
        <w:rPr>
          <w:color w:val="000000"/>
          <w:lang w:val="fr-FR"/>
        </w:rPr>
        <w:tab/>
      </w:r>
      <w:r w:rsidR="00630BC9" w:rsidRPr="004A3D19">
        <w:rPr>
          <w:lang w:val="fr-FR"/>
        </w:rPr>
        <w:t>Plusieurs administrations ont déclaré qu</w:t>
      </w:r>
      <w:r w:rsidR="00B07935" w:rsidRPr="004A3D19">
        <w:rPr>
          <w:lang w:val="fr-FR"/>
        </w:rPr>
        <w:t>’</w:t>
      </w:r>
      <w:r w:rsidR="00630BC9" w:rsidRPr="004A3D19">
        <w:rPr>
          <w:lang w:val="fr-FR"/>
        </w:rPr>
        <w:t>elles n</w:t>
      </w:r>
      <w:r w:rsidR="00B07935" w:rsidRPr="004A3D19">
        <w:rPr>
          <w:lang w:val="fr-FR"/>
        </w:rPr>
        <w:t>’</w:t>
      </w:r>
      <w:r w:rsidR="00630BC9" w:rsidRPr="004A3D19">
        <w:rPr>
          <w:lang w:val="fr-FR"/>
        </w:rPr>
        <w:t xml:space="preserve">avaient rencontré aucun problème avec les demandes internationales </w:t>
      </w:r>
      <w:r w:rsidR="00630BC9" w:rsidRPr="004A3D19">
        <w:rPr>
          <w:color w:val="000000"/>
          <w:lang w:val="fr-FR"/>
        </w:rPr>
        <w:t>à</w:t>
      </w:r>
      <w:r w:rsidR="009E7534" w:rsidRPr="004A3D19">
        <w:rPr>
          <w:color w:val="000000"/>
          <w:lang w:val="fr-FR"/>
        </w:rPr>
        <w:t> </w:t>
      </w:r>
      <w:r w:rsidR="00630BC9" w:rsidRPr="004A3D19">
        <w:rPr>
          <w:color w:val="000000"/>
          <w:lang w:val="fr-FR"/>
        </w:rPr>
        <w:t>l</w:t>
      </w:r>
      <w:r w:rsidR="00B07935" w:rsidRPr="004A3D19">
        <w:rPr>
          <w:color w:val="000000"/>
          <w:lang w:val="fr-FR"/>
        </w:rPr>
        <w:t>’</w:t>
      </w:r>
      <w:r w:rsidR="00630BC9" w:rsidRPr="004A3D19">
        <w:rPr>
          <w:color w:val="000000"/>
          <w:lang w:val="fr-FR"/>
        </w:rPr>
        <w:t xml:space="preserve">égard desquelles </w:t>
      </w:r>
      <w:r w:rsidR="00630BC9" w:rsidRPr="004A3D19">
        <w:rPr>
          <w:lang w:val="fr-FR"/>
        </w:rPr>
        <w:t xml:space="preserve">le </w:t>
      </w:r>
      <w:r w:rsidR="00630BC9" w:rsidRPr="004A3D19">
        <w:rPr>
          <w:color w:val="000000"/>
          <w:lang w:val="fr-FR"/>
        </w:rPr>
        <w:t xml:space="preserve">déposant </w:t>
      </w:r>
      <w:r w:rsidR="00630BC9" w:rsidRPr="004A3D19">
        <w:rPr>
          <w:lang w:val="fr-FR"/>
        </w:rPr>
        <w:t>n</w:t>
      </w:r>
      <w:r w:rsidR="00B07935" w:rsidRPr="004A3D19">
        <w:rPr>
          <w:lang w:val="fr-FR"/>
        </w:rPr>
        <w:t>’</w:t>
      </w:r>
      <w:r w:rsidR="00630BC9" w:rsidRPr="004A3D19">
        <w:rPr>
          <w:lang w:val="fr-FR"/>
        </w:rPr>
        <w:t>avait pas choisi une administration compétente pour exécuter la recherche internationale et n</w:t>
      </w:r>
      <w:r w:rsidR="00B07935" w:rsidRPr="004A3D19">
        <w:rPr>
          <w:lang w:val="fr-FR"/>
        </w:rPr>
        <w:t>’</w:t>
      </w:r>
      <w:r w:rsidR="00630BC9" w:rsidRPr="004A3D19">
        <w:rPr>
          <w:lang w:val="fr-FR"/>
        </w:rPr>
        <w:t>avait pas répondu aux invitations à le faire émanant de l</w:t>
      </w:r>
      <w:r w:rsidR="00B07935" w:rsidRPr="004A3D19">
        <w:rPr>
          <w:lang w:val="fr-FR"/>
        </w:rPr>
        <w:t>’</w:t>
      </w:r>
      <w:r w:rsidR="00630BC9" w:rsidRPr="004A3D19">
        <w:rPr>
          <w:lang w:val="fr-FR"/>
        </w:rPr>
        <w:t>office récepteur.</w:t>
      </w:r>
      <w:r w:rsidR="00195599" w:rsidRPr="004A3D19">
        <w:rPr>
          <w:lang w:val="fr-FR"/>
        </w:rPr>
        <w:t xml:space="preserve">  </w:t>
      </w:r>
      <w:r w:rsidR="00630BC9" w:rsidRPr="004A3D19">
        <w:rPr>
          <w:color w:val="000000"/>
          <w:lang w:val="fr-FR"/>
        </w:rPr>
        <w:t>En tout état de cause, elles ont estimé qu</w:t>
      </w:r>
      <w:r w:rsidR="00B07935" w:rsidRPr="004A3D19">
        <w:rPr>
          <w:color w:val="000000"/>
          <w:lang w:val="fr-FR"/>
        </w:rPr>
        <w:t>’</w:t>
      </w:r>
      <w:r w:rsidR="00A651F3" w:rsidRPr="004A3D19">
        <w:rPr>
          <w:color w:val="000000"/>
          <w:lang w:val="fr-FR"/>
        </w:rPr>
        <w:t>en pareil cas</w:t>
      </w:r>
      <w:r w:rsidR="00630BC9" w:rsidRPr="004A3D19">
        <w:rPr>
          <w:color w:val="000000"/>
          <w:lang w:val="fr-FR"/>
        </w:rPr>
        <w:t xml:space="preserve"> il s</w:t>
      </w:r>
      <w:r w:rsidR="00B07935" w:rsidRPr="004A3D19">
        <w:rPr>
          <w:color w:val="000000"/>
          <w:lang w:val="fr-FR"/>
        </w:rPr>
        <w:t>’</w:t>
      </w:r>
      <w:r w:rsidR="00630BC9" w:rsidRPr="004A3D19">
        <w:rPr>
          <w:color w:val="000000"/>
          <w:lang w:val="fr-FR"/>
        </w:rPr>
        <w:t>agirait pour l</w:t>
      </w:r>
      <w:r w:rsidR="00B07935" w:rsidRPr="004A3D19">
        <w:rPr>
          <w:color w:val="000000"/>
          <w:lang w:val="fr-FR"/>
        </w:rPr>
        <w:t>’</w:t>
      </w:r>
      <w:r w:rsidR="00630BC9" w:rsidRPr="004A3D19">
        <w:rPr>
          <w:color w:val="000000"/>
          <w:lang w:val="fr-FR"/>
        </w:rPr>
        <w:t>office récepteur de faire en sorte qu</w:t>
      </w:r>
      <w:r w:rsidR="00B07935" w:rsidRPr="004A3D19">
        <w:rPr>
          <w:color w:val="000000"/>
          <w:lang w:val="fr-FR"/>
        </w:rPr>
        <w:t>’</w:t>
      </w:r>
      <w:r w:rsidR="00630BC9" w:rsidRPr="004A3D19">
        <w:rPr>
          <w:color w:val="000000"/>
          <w:lang w:val="fr-FR"/>
        </w:rPr>
        <w:t xml:space="preserve">une administration </w:t>
      </w:r>
      <w:r w:rsidR="00A651F3" w:rsidRPr="004A3D19">
        <w:rPr>
          <w:color w:val="000000"/>
          <w:lang w:val="fr-FR"/>
        </w:rPr>
        <w:t>‘</w:t>
      </w:r>
      <w:r w:rsidR="00630BC9" w:rsidRPr="004A3D19">
        <w:rPr>
          <w:color w:val="000000"/>
          <w:lang w:val="fr-FR"/>
        </w:rPr>
        <w:t>par défaut</w:t>
      </w:r>
      <w:r w:rsidR="00A651F3" w:rsidRPr="004A3D19">
        <w:rPr>
          <w:color w:val="000000"/>
          <w:lang w:val="fr-FR"/>
        </w:rPr>
        <w:t>’</w:t>
      </w:r>
      <w:r w:rsidR="00630BC9" w:rsidRPr="004A3D19">
        <w:rPr>
          <w:color w:val="000000"/>
          <w:lang w:val="fr-FR"/>
        </w:rPr>
        <w:t xml:space="preserve"> devienne compétente pour exécuter la recherche internationale plutôt que d</w:t>
      </w:r>
      <w:r w:rsidR="00B07935" w:rsidRPr="004A3D19">
        <w:rPr>
          <w:color w:val="000000"/>
          <w:lang w:val="fr-FR"/>
        </w:rPr>
        <w:t>’</w:t>
      </w:r>
      <w:r w:rsidR="00630BC9" w:rsidRPr="004A3D19">
        <w:rPr>
          <w:color w:val="000000"/>
          <w:lang w:val="fr-FR"/>
        </w:rPr>
        <w:t>envisager un retrait de la demande;  cette dernière option n</w:t>
      </w:r>
      <w:r w:rsidR="00B07935" w:rsidRPr="004A3D19">
        <w:rPr>
          <w:color w:val="000000"/>
          <w:lang w:val="fr-FR"/>
        </w:rPr>
        <w:t>’</w:t>
      </w:r>
      <w:r w:rsidR="00630BC9" w:rsidRPr="004A3D19">
        <w:rPr>
          <w:color w:val="000000"/>
          <w:lang w:val="fr-FR"/>
        </w:rPr>
        <w:t>est possible que si le demandeur n</w:t>
      </w:r>
      <w:r w:rsidR="00B07935" w:rsidRPr="004A3D19">
        <w:rPr>
          <w:color w:val="000000"/>
          <w:lang w:val="fr-FR"/>
        </w:rPr>
        <w:t>’</w:t>
      </w:r>
      <w:r w:rsidR="00630BC9" w:rsidRPr="004A3D19">
        <w:rPr>
          <w:color w:val="000000"/>
          <w:lang w:val="fr-FR"/>
        </w:rPr>
        <w:t>a pas répondu à l</w:t>
      </w:r>
      <w:r w:rsidR="00B07935" w:rsidRPr="004A3D19">
        <w:rPr>
          <w:color w:val="000000"/>
          <w:lang w:val="fr-FR"/>
        </w:rPr>
        <w:t>’</w:t>
      </w:r>
      <w:r w:rsidR="00630BC9" w:rsidRPr="004A3D19">
        <w:rPr>
          <w:color w:val="000000"/>
          <w:lang w:val="fr-FR"/>
        </w:rPr>
        <w:t>invitation qui lui est faite de payer d</w:t>
      </w:r>
      <w:r w:rsidR="00B07935" w:rsidRPr="004A3D19">
        <w:rPr>
          <w:color w:val="000000"/>
          <w:lang w:val="fr-FR"/>
        </w:rPr>
        <w:t>’</w:t>
      </w:r>
      <w:r w:rsidR="00630BC9" w:rsidRPr="004A3D19">
        <w:rPr>
          <w:color w:val="000000"/>
          <w:lang w:val="fr-FR"/>
        </w:rPr>
        <w:t>éventuelles taxes de recherche en suspens.</w:t>
      </w:r>
      <w:r w:rsidRPr="004A3D19">
        <w:rPr>
          <w:color w:val="000000"/>
          <w:lang w:val="fr-FR"/>
        </w:rPr>
        <w:t>”</w:t>
      </w:r>
    </w:p>
    <w:p w:rsidR="00A80D51" w:rsidRPr="004A3D19" w:rsidRDefault="00B07935" w:rsidP="00B07935">
      <w:pPr>
        <w:pStyle w:val="Heading1"/>
        <w:rPr>
          <w:lang w:val="fr-FR"/>
        </w:rPr>
      </w:pPr>
      <w:r w:rsidRPr="004A3D19">
        <w:rPr>
          <w:lang w:val="fr-FR"/>
        </w:rPr>
        <w:t>Proposition</w:t>
      </w:r>
    </w:p>
    <w:p w:rsidR="00A80D51" w:rsidRPr="004A3D19" w:rsidRDefault="00630BC9" w:rsidP="00B07935">
      <w:pPr>
        <w:pStyle w:val="ONUMFS"/>
        <w:rPr>
          <w:lang w:val="fr-FR"/>
        </w:rPr>
      </w:pPr>
      <w:r w:rsidRPr="004A3D19">
        <w:rPr>
          <w:lang w:val="fr-FR"/>
        </w:rPr>
        <w:t>L</w:t>
      </w:r>
      <w:r w:rsidR="00B07935" w:rsidRPr="004A3D19">
        <w:rPr>
          <w:lang w:val="fr-FR"/>
        </w:rPr>
        <w:t>’</w:t>
      </w:r>
      <w:r w:rsidRPr="004A3D19">
        <w:rPr>
          <w:lang w:val="fr-FR"/>
        </w:rPr>
        <w:t>annexe du présent document contient une proposition de modification des Directives à l</w:t>
      </w:r>
      <w:r w:rsidR="00B07935" w:rsidRPr="004A3D19">
        <w:rPr>
          <w:lang w:val="fr-FR"/>
        </w:rPr>
        <w:t>’</w:t>
      </w:r>
      <w:r w:rsidRPr="004A3D19">
        <w:rPr>
          <w:lang w:val="fr-FR"/>
        </w:rPr>
        <w:t xml:space="preserve">usage des offices récepteurs du PCT </w:t>
      </w:r>
      <w:r w:rsidR="00A651F3" w:rsidRPr="004A3D19">
        <w:rPr>
          <w:lang w:val="fr-FR"/>
        </w:rPr>
        <w:t>visant à consacrer</w:t>
      </w:r>
      <w:r w:rsidRPr="004A3D19">
        <w:rPr>
          <w:lang w:val="fr-FR"/>
        </w:rPr>
        <w:t xml:space="preserve"> la </w:t>
      </w:r>
      <w:r w:rsidR="00607DDA" w:rsidRPr="004A3D19">
        <w:rPr>
          <w:lang w:val="fr-FR"/>
        </w:rPr>
        <w:t>pratique</w:t>
      </w:r>
      <w:r w:rsidRPr="004A3D19">
        <w:rPr>
          <w:lang w:val="fr-FR"/>
        </w:rPr>
        <w:t xml:space="preserve"> recommandée par la Réunion des administrations internationales </w:t>
      </w:r>
      <w:r w:rsidR="00A651F3" w:rsidRPr="004A3D19">
        <w:rPr>
          <w:lang w:val="fr-FR"/>
        </w:rPr>
        <w:t xml:space="preserve">qui consiste à indiquer </w:t>
      </w:r>
      <w:r w:rsidRPr="004A3D19">
        <w:rPr>
          <w:lang w:val="fr-FR"/>
        </w:rPr>
        <w:t xml:space="preserve">une administration chargée de la recherche </w:t>
      </w:r>
      <w:r w:rsidR="004A4F28" w:rsidRPr="004A3D19">
        <w:rPr>
          <w:lang w:val="fr-FR"/>
        </w:rPr>
        <w:t>“</w:t>
      </w:r>
      <w:r w:rsidRPr="004A3D19">
        <w:rPr>
          <w:lang w:val="fr-FR"/>
        </w:rPr>
        <w:t>par défaut</w:t>
      </w:r>
      <w:r w:rsidR="004A4F28" w:rsidRPr="004A3D19">
        <w:rPr>
          <w:lang w:val="fr-FR"/>
        </w:rPr>
        <w:t>”</w:t>
      </w:r>
      <w:r w:rsidRPr="004A3D19">
        <w:rPr>
          <w:lang w:val="fr-FR"/>
        </w:rPr>
        <w:t xml:space="preserve"> au moment d</w:t>
      </w:r>
      <w:r w:rsidR="00B07935" w:rsidRPr="004A3D19">
        <w:rPr>
          <w:lang w:val="fr-FR"/>
        </w:rPr>
        <w:t>’</w:t>
      </w:r>
      <w:r w:rsidRPr="004A3D19">
        <w:rPr>
          <w:lang w:val="fr-FR"/>
        </w:rPr>
        <w:t>inviter le déposant à choisir une administration compétente chargée de la recherche internationale afin que l</w:t>
      </w:r>
      <w:r w:rsidR="00B07935" w:rsidRPr="004A3D19">
        <w:rPr>
          <w:lang w:val="fr-FR"/>
        </w:rPr>
        <w:t>’</w:t>
      </w:r>
      <w:r w:rsidRPr="004A3D19">
        <w:rPr>
          <w:lang w:val="fr-FR"/>
        </w:rPr>
        <w:t>absence de réponse ou une réponse incomplète à cette invitation ne retarde pas indûment le traitement international.</w:t>
      </w:r>
    </w:p>
    <w:p w:rsidR="00A80D51" w:rsidRPr="004A3D19" w:rsidRDefault="00630BC9" w:rsidP="00B07935">
      <w:pPr>
        <w:pStyle w:val="ONUMFS"/>
        <w:ind w:left="5533"/>
        <w:rPr>
          <w:i/>
          <w:lang w:val="fr-FR"/>
        </w:rPr>
      </w:pPr>
      <w:r w:rsidRPr="004A3D19">
        <w:rPr>
          <w:i/>
          <w:lang w:val="fr-FR"/>
        </w:rPr>
        <w:t>Le groupe de travail est invité à examiner les propositions contenues dans l</w:t>
      </w:r>
      <w:r w:rsidR="00B07935" w:rsidRPr="004A3D19">
        <w:rPr>
          <w:i/>
          <w:lang w:val="fr-FR"/>
        </w:rPr>
        <w:t>’</w:t>
      </w:r>
      <w:r w:rsidRPr="004A3D19">
        <w:rPr>
          <w:i/>
          <w:lang w:val="fr-FR"/>
        </w:rPr>
        <w:t>annexe du présent document.</w:t>
      </w:r>
    </w:p>
    <w:p w:rsidR="00A80D51" w:rsidRPr="004A3D19" w:rsidRDefault="00A80D51" w:rsidP="00733E2F">
      <w:pPr>
        <w:pStyle w:val="Endofdocument-Annex"/>
        <w:ind w:left="0"/>
        <w:rPr>
          <w:lang w:val="fr-FR"/>
        </w:rPr>
      </w:pPr>
    </w:p>
    <w:p w:rsidR="00A651F3" w:rsidRPr="004A3D19" w:rsidRDefault="00A651F3" w:rsidP="00733E2F">
      <w:pPr>
        <w:pStyle w:val="Endofdocument-Annex"/>
        <w:ind w:left="0"/>
        <w:rPr>
          <w:lang w:val="fr-FR"/>
        </w:rPr>
      </w:pPr>
    </w:p>
    <w:p w:rsidR="00B07935" w:rsidRPr="004A3D19" w:rsidRDefault="00B07935">
      <w:pPr>
        <w:pStyle w:val="Endofdocument-Annex"/>
        <w:rPr>
          <w:lang w:val="fr-FR"/>
        </w:rPr>
      </w:pPr>
      <w:r w:rsidRPr="004A3D19">
        <w:rPr>
          <w:lang w:val="fr-FR"/>
        </w:rPr>
        <w:t>[L’annexe suit]</w:t>
      </w:r>
    </w:p>
    <w:p w:rsidR="0006398B" w:rsidRPr="004A3D19" w:rsidRDefault="0006398B" w:rsidP="00630BC9">
      <w:pPr>
        <w:pStyle w:val="Endofdocument-Annex"/>
        <w:ind w:left="4536" w:firstLine="567"/>
        <w:rPr>
          <w:lang w:val="fr-FR"/>
        </w:rPr>
        <w:sectPr w:rsidR="0006398B" w:rsidRPr="004A3D19" w:rsidSect="004A3D19">
          <w:headerReference w:type="default" r:id="rId11"/>
          <w:footerReference w:type="first" r:id="rId12"/>
          <w:endnotePr>
            <w:numFmt w:val="decimal"/>
          </w:endnotePr>
          <w:pgSz w:w="11907" w:h="16840" w:code="9"/>
          <w:pgMar w:top="567" w:right="1134" w:bottom="1417" w:left="1417" w:header="510" w:footer="1020" w:gutter="0"/>
          <w:cols w:space="720"/>
          <w:titlePg/>
          <w:docGrid w:linePitch="299"/>
        </w:sectPr>
      </w:pPr>
    </w:p>
    <w:p w:rsidR="00A80D51" w:rsidRPr="004A3D19" w:rsidRDefault="00607DDA" w:rsidP="00607DDA">
      <w:pPr>
        <w:jc w:val="center"/>
        <w:rPr>
          <w:caps/>
          <w:lang w:val="fr-FR"/>
        </w:rPr>
      </w:pPr>
      <w:r w:rsidRPr="004A3D19">
        <w:rPr>
          <w:color w:val="000000"/>
          <w:lang w:val="fr-FR"/>
        </w:rPr>
        <w:lastRenderedPageBreak/>
        <w:t xml:space="preserve">PROPOSITION DE MODIFICATION DES </w:t>
      </w:r>
      <w:r w:rsidRPr="004A3D19">
        <w:rPr>
          <w:lang w:val="fr-FR"/>
        </w:rPr>
        <w:t>DIRECTIVES À L</w:t>
      </w:r>
      <w:r w:rsidR="00B07935" w:rsidRPr="004A3D19">
        <w:rPr>
          <w:lang w:val="fr-FR"/>
        </w:rPr>
        <w:t>’</w:t>
      </w:r>
      <w:r w:rsidRPr="004A3D19">
        <w:rPr>
          <w:lang w:val="fr-FR"/>
        </w:rPr>
        <w:t>USAGE DES OFFICES RÉCEPTEURS DU PCT</w:t>
      </w:r>
    </w:p>
    <w:p w:rsidR="00A80D51" w:rsidRPr="004A3D19" w:rsidRDefault="00A80D51" w:rsidP="0006398B">
      <w:pPr>
        <w:jc w:val="center"/>
        <w:rPr>
          <w:lang w:val="fr-FR"/>
        </w:rPr>
      </w:pPr>
    </w:p>
    <w:p w:rsidR="00A80D51" w:rsidRPr="004A3D19" w:rsidRDefault="00A80D51" w:rsidP="0006398B">
      <w:pPr>
        <w:jc w:val="center"/>
        <w:rPr>
          <w:lang w:val="fr-FR"/>
        </w:rPr>
      </w:pPr>
    </w:p>
    <w:p w:rsidR="00A80D51" w:rsidRPr="004A3D19" w:rsidRDefault="00607DDA" w:rsidP="00607DDA">
      <w:pPr>
        <w:rPr>
          <w:b/>
          <w:lang w:val="fr-FR"/>
        </w:rPr>
      </w:pPr>
      <w:r w:rsidRPr="004A3D19">
        <w:rPr>
          <w:b/>
          <w:lang w:val="fr-FR"/>
        </w:rPr>
        <w:t>Administration compétente chargée de la recherche internationale</w:t>
      </w:r>
    </w:p>
    <w:p w:rsidR="00A80D51" w:rsidRPr="004A3D19" w:rsidRDefault="00A80D51" w:rsidP="000E362D">
      <w:pPr>
        <w:rPr>
          <w:lang w:val="fr-FR"/>
        </w:rPr>
      </w:pPr>
    </w:p>
    <w:p w:rsidR="00A80D51" w:rsidRPr="004A3D19" w:rsidRDefault="008B09F2" w:rsidP="00A651F3">
      <w:pPr>
        <w:tabs>
          <w:tab w:val="left" w:pos="709"/>
        </w:tabs>
        <w:rPr>
          <w:lang w:val="fr-FR"/>
        </w:rPr>
      </w:pPr>
      <w:r w:rsidRPr="004A3D19">
        <w:rPr>
          <w:lang w:val="fr-FR"/>
        </w:rPr>
        <w:t>114.</w:t>
      </w:r>
      <w:r w:rsidRPr="004A3D19">
        <w:rPr>
          <w:lang w:val="fr-FR"/>
        </w:rPr>
        <w:tab/>
      </w:r>
      <w:r w:rsidR="00607DDA" w:rsidRPr="004A3D19">
        <w:rPr>
          <w:lang w:val="fr-FR"/>
        </w:rPr>
        <w:t>L</w:t>
      </w:r>
      <w:r w:rsidR="00B07935" w:rsidRPr="004A3D19">
        <w:rPr>
          <w:lang w:val="fr-FR"/>
        </w:rPr>
        <w:t>’</w:t>
      </w:r>
      <w:r w:rsidR="00607DDA" w:rsidRPr="004A3D19">
        <w:rPr>
          <w:lang w:val="fr-FR"/>
        </w:rPr>
        <w:t>office récepteur vérifie que l</w:t>
      </w:r>
      <w:r w:rsidR="00B07935" w:rsidRPr="004A3D19">
        <w:rPr>
          <w:lang w:val="fr-FR"/>
        </w:rPr>
        <w:t>’</w:t>
      </w:r>
      <w:r w:rsidR="00607DDA" w:rsidRPr="004A3D19">
        <w:rPr>
          <w:lang w:val="fr-FR"/>
        </w:rPr>
        <w:t>administration chargée de la recherche internationale choisie par le déposant est compétente pour procéder à la recherche internationale.  Tout office récepteur peut déclarer une ou plusieurs administrations chargées de la recherche internationale compétentes pour procéder à la recherche des demandes internationales qui sont déposées auprès de lui (article 16 et règles 35.1 et 35.2).</w:t>
      </w:r>
    </w:p>
    <w:p w:rsidR="00A80D51" w:rsidRPr="004A3D19" w:rsidRDefault="00A80D51" w:rsidP="00A651F3">
      <w:pPr>
        <w:tabs>
          <w:tab w:val="left" w:pos="709"/>
        </w:tabs>
        <w:rPr>
          <w:lang w:val="fr-FR"/>
        </w:rPr>
      </w:pPr>
    </w:p>
    <w:p w:rsidR="00B07935" w:rsidRPr="004A3D19" w:rsidRDefault="008B09F2" w:rsidP="00A651F3">
      <w:pPr>
        <w:tabs>
          <w:tab w:val="left" w:pos="709"/>
        </w:tabs>
        <w:rPr>
          <w:lang w:val="fr-FR"/>
        </w:rPr>
      </w:pPr>
      <w:r w:rsidRPr="004A3D19">
        <w:rPr>
          <w:lang w:val="fr-FR"/>
        </w:rPr>
        <w:t>115.</w:t>
      </w:r>
      <w:r w:rsidRPr="004A3D19">
        <w:rPr>
          <w:lang w:val="fr-FR"/>
        </w:rPr>
        <w:tab/>
      </w:r>
      <w:r w:rsidR="00607DDA" w:rsidRPr="004A3D19">
        <w:rPr>
          <w:lang w:val="fr-FR"/>
        </w:rPr>
        <w:t>Si l</w:t>
      </w:r>
      <w:r w:rsidR="00B07935" w:rsidRPr="004A3D19">
        <w:rPr>
          <w:lang w:val="fr-FR"/>
        </w:rPr>
        <w:t>’</w:t>
      </w:r>
      <w:r w:rsidR="00607DDA" w:rsidRPr="004A3D19">
        <w:rPr>
          <w:lang w:val="fr-FR"/>
        </w:rPr>
        <w:t>administration chargée de la recherche internationale indiquée par le déposant est compétente, ou si une seule administration chargée de la recherche internationale est compétente, l</w:t>
      </w:r>
      <w:r w:rsidR="00B07935" w:rsidRPr="004A3D19">
        <w:rPr>
          <w:lang w:val="fr-FR"/>
        </w:rPr>
        <w:t>’</w:t>
      </w:r>
      <w:r w:rsidR="00607DDA" w:rsidRPr="004A3D19">
        <w:rPr>
          <w:lang w:val="fr-FR"/>
        </w:rPr>
        <w:t>office récepteur indique le nom de cette administration sur la dernière feuille de la requête.  Lorsque plusieurs administrations chargées de la recherche internationale sont compétentes et que le déposant n</w:t>
      </w:r>
      <w:r w:rsidR="00B07935" w:rsidRPr="004A3D19">
        <w:rPr>
          <w:lang w:val="fr-FR"/>
        </w:rPr>
        <w:t>’</w:t>
      </w:r>
      <w:r w:rsidR="00607DDA" w:rsidRPr="004A3D19">
        <w:rPr>
          <w:lang w:val="fr-FR"/>
        </w:rPr>
        <w:t xml:space="preserve">a pas indiqué son choix en la matière dans le cadre </w:t>
      </w:r>
      <w:r w:rsidR="009E7534" w:rsidRPr="004A3D19">
        <w:rPr>
          <w:lang w:val="fr-FR"/>
        </w:rPr>
        <w:t>n°</w:t>
      </w:r>
      <w:r w:rsidR="00607DDA" w:rsidRPr="004A3D19">
        <w:rPr>
          <w:lang w:val="fr-FR"/>
        </w:rPr>
        <w:t> VII de la requête, l</w:t>
      </w:r>
      <w:r w:rsidR="00B07935" w:rsidRPr="004A3D19">
        <w:rPr>
          <w:lang w:val="fr-FR"/>
        </w:rPr>
        <w:t>’</w:t>
      </w:r>
      <w:r w:rsidR="00607DDA" w:rsidRPr="004A3D19">
        <w:rPr>
          <w:lang w:val="fr-FR"/>
        </w:rPr>
        <w:t>office récepteur vérifie que cette indication figure sur un autre document déposé en relation avec la demande internationale, telle que la feuille de calcul des taxes ou une traduction présentée aux fins de la recherche internationale.</w:t>
      </w:r>
      <w:r w:rsidR="000E362D" w:rsidRPr="004A3D19">
        <w:rPr>
          <w:lang w:val="fr-FR"/>
        </w:rPr>
        <w:t xml:space="preserve"> </w:t>
      </w:r>
      <w:r w:rsidRPr="004A3D19">
        <w:rPr>
          <w:lang w:val="fr-FR"/>
        </w:rPr>
        <w:t xml:space="preserve"> </w:t>
      </w:r>
      <w:r w:rsidR="00054D24" w:rsidRPr="004A3D19">
        <w:rPr>
          <w:color w:val="000000"/>
          <w:lang w:val="fr-FR"/>
        </w:rPr>
        <w:t>Lorsqu’aucune</w:t>
      </w:r>
      <w:r w:rsidR="00607DDA" w:rsidRPr="004A3D19">
        <w:rPr>
          <w:color w:val="000000"/>
          <w:lang w:val="fr-FR"/>
        </w:rPr>
        <w:t xml:space="preserve"> indication de cette nature n</w:t>
      </w:r>
      <w:r w:rsidR="00B07935" w:rsidRPr="004A3D19">
        <w:rPr>
          <w:color w:val="000000"/>
          <w:lang w:val="fr-FR"/>
        </w:rPr>
        <w:t>’</w:t>
      </w:r>
      <w:r w:rsidR="00607DDA" w:rsidRPr="004A3D19">
        <w:rPr>
          <w:color w:val="000000"/>
          <w:lang w:val="fr-FR"/>
        </w:rPr>
        <w:t>existe, l</w:t>
      </w:r>
      <w:r w:rsidR="00B07935" w:rsidRPr="004A3D19">
        <w:rPr>
          <w:color w:val="000000"/>
          <w:lang w:val="fr-FR"/>
        </w:rPr>
        <w:t>’</w:t>
      </w:r>
      <w:r w:rsidR="00607DDA" w:rsidRPr="004A3D19">
        <w:rPr>
          <w:color w:val="000000"/>
          <w:lang w:val="fr-FR"/>
        </w:rPr>
        <w:t>office récepteur invite le déposant à indiquer son choix quant à l</w:t>
      </w:r>
      <w:r w:rsidR="00B07935" w:rsidRPr="004A3D19">
        <w:rPr>
          <w:color w:val="000000"/>
          <w:lang w:val="fr-FR"/>
        </w:rPr>
        <w:t>’</w:t>
      </w:r>
      <w:r w:rsidR="00607DDA" w:rsidRPr="004A3D19">
        <w:rPr>
          <w:color w:val="000000"/>
          <w:lang w:val="fr-FR"/>
        </w:rPr>
        <w:t>administration compétente</w:t>
      </w:r>
      <w:r w:rsidR="00607DDA" w:rsidRPr="004A3D19">
        <w:rPr>
          <w:rStyle w:val="InsertedText"/>
          <w:lang w:val="fr-FR"/>
        </w:rPr>
        <w:t xml:space="preserve"> dans un délai fixé dans l</w:t>
      </w:r>
      <w:r w:rsidR="00B07935" w:rsidRPr="004A3D19">
        <w:rPr>
          <w:rStyle w:val="InsertedText"/>
          <w:lang w:val="fr-FR"/>
        </w:rPr>
        <w:t>’</w:t>
      </w:r>
      <w:r w:rsidR="00607DDA" w:rsidRPr="004A3D19">
        <w:rPr>
          <w:rStyle w:val="InsertedText"/>
          <w:lang w:val="fr-FR"/>
        </w:rPr>
        <w:t>invitation</w:t>
      </w:r>
      <w:r w:rsidR="00607DDA" w:rsidRPr="004A3D19">
        <w:rPr>
          <w:color w:val="000000"/>
          <w:lang w:val="fr-FR"/>
        </w:rPr>
        <w:t>.</w:t>
      </w:r>
      <w:r w:rsidRPr="004A3D19">
        <w:rPr>
          <w:color w:val="000000"/>
          <w:lang w:val="fr-FR"/>
        </w:rPr>
        <w:t xml:space="preserve"> </w:t>
      </w:r>
      <w:r w:rsidR="009E7534" w:rsidRPr="004A3D19">
        <w:rPr>
          <w:color w:val="000000"/>
          <w:lang w:val="fr-FR"/>
        </w:rPr>
        <w:t xml:space="preserve"> </w:t>
      </w:r>
      <w:r w:rsidR="00607DDA" w:rsidRPr="004A3D19">
        <w:rPr>
          <w:lang w:val="fr-FR"/>
        </w:rPr>
        <w:t>Il peut utiliser le formulaire PCT/RO/132 à cet effet.</w:t>
      </w:r>
      <w:r w:rsidR="000E362D" w:rsidRPr="004A3D19">
        <w:rPr>
          <w:lang w:val="fr-FR"/>
        </w:rPr>
        <w:t xml:space="preserve"> </w:t>
      </w:r>
      <w:r w:rsidRPr="004A3D19">
        <w:rPr>
          <w:lang w:val="fr-FR"/>
        </w:rPr>
        <w:t xml:space="preserve"> </w:t>
      </w:r>
      <w:r w:rsidR="00607DDA" w:rsidRPr="004A3D19">
        <w:rPr>
          <w:rStyle w:val="InsertedText"/>
          <w:lang w:val="fr-FR"/>
        </w:rPr>
        <w:t>Le délai ainsi fixé doit être raisonnable en l</w:t>
      </w:r>
      <w:r w:rsidR="00B07935" w:rsidRPr="004A3D19">
        <w:rPr>
          <w:rStyle w:val="InsertedText"/>
          <w:lang w:val="fr-FR"/>
        </w:rPr>
        <w:t>’</w:t>
      </w:r>
      <w:r w:rsidR="00607DDA" w:rsidRPr="004A3D19">
        <w:rPr>
          <w:rStyle w:val="InsertedText"/>
          <w:lang w:val="fr-FR"/>
        </w:rPr>
        <w:t>espèce;  il</w:t>
      </w:r>
      <w:bookmarkStart w:id="3" w:name="_GoBack"/>
      <w:bookmarkEnd w:id="3"/>
      <w:r w:rsidR="00607DDA" w:rsidRPr="004A3D19">
        <w:rPr>
          <w:rStyle w:val="InsertedText"/>
          <w:lang w:val="fr-FR"/>
        </w:rPr>
        <w:t xml:space="preserve"> ne peut être inférieur à 15</w:t>
      </w:r>
      <w:r w:rsidR="008953D9" w:rsidRPr="004A3D19">
        <w:rPr>
          <w:rStyle w:val="InsertedText"/>
          <w:lang w:val="fr-FR"/>
        </w:rPr>
        <w:t> </w:t>
      </w:r>
      <w:r w:rsidR="00607DDA" w:rsidRPr="004A3D19">
        <w:rPr>
          <w:rStyle w:val="InsertedText"/>
          <w:lang w:val="fr-FR"/>
        </w:rPr>
        <w:t>jours ni supérieur à un mois à compter de la date d</w:t>
      </w:r>
      <w:r w:rsidR="00B07935" w:rsidRPr="004A3D19">
        <w:rPr>
          <w:rStyle w:val="InsertedText"/>
          <w:lang w:val="fr-FR"/>
        </w:rPr>
        <w:t>’</w:t>
      </w:r>
      <w:r w:rsidR="00607DDA" w:rsidRPr="004A3D19">
        <w:rPr>
          <w:rStyle w:val="InsertedText"/>
          <w:lang w:val="fr-FR"/>
        </w:rPr>
        <w:t>envoi de l</w:t>
      </w:r>
      <w:r w:rsidR="00B07935" w:rsidRPr="004A3D19">
        <w:rPr>
          <w:rStyle w:val="InsertedText"/>
          <w:lang w:val="fr-FR"/>
        </w:rPr>
        <w:t>’</w:t>
      </w:r>
      <w:r w:rsidR="00607DDA" w:rsidRPr="004A3D19">
        <w:rPr>
          <w:rStyle w:val="InsertedText"/>
          <w:lang w:val="fr-FR"/>
        </w:rPr>
        <w:t>invitation.</w:t>
      </w:r>
      <w:r w:rsidR="00F42AA9" w:rsidRPr="004A3D19">
        <w:rPr>
          <w:rStyle w:val="InsertedText"/>
          <w:lang w:val="fr-FR"/>
        </w:rPr>
        <w:t xml:space="preserve">  </w:t>
      </w:r>
      <w:r w:rsidR="00607DDA" w:rsidRPr="004A3D19">
        <w:rPr>
          <w:rStyle w:val="InsertedText"/>
          <w:lang w:val="fr-FR"/>
        </w:rPr>
        <w:t>L</w:t>
      </w:r>
      <w:r w:rsidR="00B07935" w:rsidRPr="004A3D19">
        <w:rPr>
          <w:rStyle w:val="InsertedText"/>
          <w:lang w:val="fr-FR"/>
        </w:rPr>
        <w:t>’</w:t>
      </w:r>
      <w:r w:rsidR="00607DDA" w:rsidRPr="004A3D19">
        <w:rPr>
          <w:rStyle w:val="InsertedText"/>
          <w:lang w:val="fr-FR"/>
        </w:rPr>
        <w:t>invitation peut indiquer une administration chargée de la recherche internationale par défaut si le déposant ne répond pas dûment à l</w:t>
      </w:r>
      <w:r w:rsidR="00B07935" w:rsidRPr="004A3D19">
        <w:rPr>
          <w:rStyle w:val="InsertedText"/>
          <w:lang w:val="fr-FR"/>
        </w:rPr>
        <w:t>’</w:t>
      </w:r>
      <w:r w:rsidR="00607DDA" w:rsidRPr="004A3D19">
        <w:rPr>
          <w:rStyle w:val="InsertedText"/>
          <w:lang w:val="fr-FR"/>
        </w:rPr>
        <w:t>invitation.</w:t>
      </w:r>
      <w:r w:rsidR="000E362D" w:rsidRPr="004A3D19">
        <w:rPr>
          <w:rStyle w:val="InsertedText"/>
          <w:lang w:val="fr-FR"/>
        </w:rPr>
        <w:t xml:space="preserve">  </w:t>
      </w:r>
      <w:r w:rsidR="00607DDA" w:rsidRPr="004A3D19">
        <w:rPr>
          <w:rStyle w:val="InsertedText"/>
          <w:lang w:val="fr-FR"/>
        </w:rPr>
        <w:t>Lorsque l</w:t>
      </w:r>
      <w:r w:rsidR="00B07935" w:rsidRPr="004A3D19">
        <w:rPr>
          <w:rStyle w:val="InsertedText"/>
          <w:lang w:val="fr-FR"/>
        </w:rPr>
        <w:t>’</w:t>
      </w:r>
      <w:r w:rsidR="00607DDA" w:rsidRPr="004A3D19">
        <w:rPr>
          <w:rStyle w:val="InsertedText"/>
          <w:lang w:val="fr-FR"/>
        </w:rPr>
        <w:t>office agissant en tant qu</w:t>
      </w:r>
      <w:r w:rsidR="00B07935" w:rsidRPr="004A3D19">
        <w:rPr>
          <w:rStyle w:val="InsertedText"/>
          <w:lang w:val="fr-FR"/>
        </w:rPr>
        <w:t>’</w:t>
      </w:r>
      <w:r w:rsidR="00607DDA" w:rsidRPr="004A3D19">
        <w:rPr>
          <w:rStyle w:val="InsertedText"/>
          <w:lang w:val="fr-FR"/>
        </w:rPr>
        <w:t>office récepteur est également une administration internationale, cet office doit normalement être indiqué comme administration chargée de la recherche internationale par défaut.</w:t>
      </w:r>
      <w:r w:rsidR="00E77CB9" w:rsidRPr="004A3D19">
        <w:rPr>
          <w:rStyle w:val="InsertedText"/>
          <w:color w:val="000000"/>
          <w:lang w:val="fr-FR"/>
        </w:rPr>
        <w:t xml:space="preserve"> </w:t>
      </w:r>
      <w:r w:rsidR="00AC1F40" w:rsidRPr="004A3D19">
        <w:rPr>
          <w:rStyle w:val="InsertedText"/>
          <w:color w:val="000000"/>
          <w:lang w:val="fr-FR"/>
        </w:rPr>
        <w:t xml:space="preserve"> </w:t>
      </w:r>
      <w:r w:rsidR="00607DDA" w:rsidRPr="004A3D19">
        <w:rPr>
          <w:lang w:val="fr-FR"/>
        </w:rPr>
        <w:t>L</w:t>
      </w:r>
      <w:r w:rsidR="00B07935" w:rsidRPr="004A3D19">
        <w:rPr>
          <w:lang w:val="fr-FR"/>
        </w:rPr>
        <w:t>’</w:t>
      </w:r>
      <w:r w:rsidR="00607DDA" w:rsidRPr="004A3D19">
        <w:rPr>
          <w:lang w:val="fr-FR"/>
        </w:rPr>
        <w:t>office récepteur procède de la même manière lorsque plusieurs administrations sont compétentes et que le déposant a indiqué une administration qui n</w:t>
      </w:r>
      <w:r w:rsidR="00B07935" w:rsidRPr="004A3D19">
        <w:rPr>
          <w:lang w:val="fr-FR"/>
        </w:rPr>
        <w:t>’</w:t>
      </w:r>
      <w:r w:rsidR="00607DDA" w:rsidRPr="004A3D19">
        <w:rPr>
          <w:lang w:val="fr-FR"/>
        </w:rPr>
        <w:t xml:space="preserve">est pas compétente en ce qui concerne la demande en question.  </w:t>
      </w:r>
      <w:r w:rsidR="00607DDA" w:rsidRPr="004A3D19">
        <w:rPr>
          <w:rStyle w:val="DeletedText"/>
          <w:lang w:val="fr-FR"/>
        </w:rPr>
        <w:t>Lorsque plusieurs administrations sont compétentes, le déposant peut faire un changement quant au choix de l</w:t>
      </w:r>
      <w:r w:rsidR="00B07935" w:rsidRPr="004A3D19">
        <w:rPr>
          <w:rStyle w:val="DeletedText"/>
          <w:lang w:val="fr-FR"/>
        </w:rPr>
        <w:t>’</w:t>
      </w:r>
      <w:r w:rsidR="00607DDA" w:rsidRPr="004A3D19">
        <w:rPr>
          <w:rStyle w:val="DeletedText"/>
          <w:lang w:val="fr-FR"/>
        </w:rPr>
        <w:t>administration, si la copie de recherche n</w:t>
      </w:r>
      <w:r w:rsidR="00B07935" w:rsidRPr="004A3D19">
        <w:rPr>
          <w:rStyle w:val="DeletedText"/>
          <w:lang w:val="fr-FR"/>
        </w:rPr>
        <w:t>’</w:t>
      </w:r>
      <w:r w:rsidR="00607DDA" w:rsidRPr="004A3D19">
        <w:rPr>
          <w:rStyle w:val="DeletedText"/>
          <w:lang w:val="fr-FR"/>
        </w:rPr>
        <w:t>a pas encore été transmise à l</w:t>
      </w:r>
      <w:r w:rsidR="00B07935" w:rsidRPr="004A3D19">
        <w:rPr>
          <w:rStyle w:val="DeletedText"/>
          <w:lang w:val="fr-FR"/>
        </w:rPr>
        <w:t>’</w:t>
      </w:r>
      <w:r w:rsidR="00607DDA" w:rsidRPr="004A3D19">
        <w:rPr>
          <w:rStyle w:val="DeletedText"/>
          <w:lang w:val="fr-FR"/>
        </w:rPr>
        <w:t>administration chargée de la recherche internationale qui avait été choisie à l</w:t>
      </w:r>
      <w:r w:rsidR="00B07935" w:rsidRPr="004A3D19">
        <w:rPr>
          <w:rStyle w:val="DeletedText"/>
          <w:lang w:val="fr-FR"/>
        </w:rPr>
        <w:t>’</w:t>
      </w:r>
      <w:r w:rsidR="00607DDA" w:rsidRPr="004A3D19">
        <w:rPr>
          <w:rStyle w:val="DeletedText"/>
          <w:lang w:val="fr-FR"/>
        </w:rPr>
        <w:t>origine par le déposant.</w:t>
      </w:r>
      <w:r w:rsidR="00E15CE7" w:rsidRPr="004A3D19">
        <w:rPr>
          <w:rStyle w:val="DeletedText"/>
          <w:lang w:val="fr-FR"/>
        </w:rPr>
        <w:t xml:space="preserve">  </w:t>
      </w:r>
      <w:r w:rsidR="00607DDA" w:rsidRPr="004A3D19">
        <w:rPr>
          <w:color w:val="000000"/>
          <w:lang w:val="fr-FR"/>
        </w:rPr>
        <w:t>L</w:t>
      </w:r>
      <w:r w:rsidR="00B07935" w:rsidRPr="004A3D19">
        <w:rPr>
          <w:color w:val="000000"/>
          <w:lang w:val="fr-FR"/>
        </w:rPr>
        <w:t>’</w:t>
      </w:r>
      <w:r w:rsidR="00607DDA" w:rsidRPr="004A3D19">
        <w:rPr>
          <w:lang w:val="fr-FR"/>
        </w:rPr>
        <w:t>office récepteur</w:t>
      </w:r>
      <w:r w:rsidR="00607DDA" w:rsidRPr="004A3D19">
        <w:rPr>
          <w:color w:val="000000"/>
          <w:lang w:val="fr-FR"/>
        </w:rPr>
        <w:t xml:space="preserve"> supprime d</w:t>
      </w:r>
      <w:r w:rsidR="00B07935" w:rsidRPr="004A3D19">
        <w:rPr>
          <w:color w:val="000000"/>
          <w:lang w:val="fr-FR"/>
        </w:rPr>
        <w:t>’</w:t>
      </w:r>
      <w:r w:rsidR="00607DDA" w:rsidRPr="004A3D19">
        <w:rPr>
          <w:color w:val="000000"/>
          <w:lang w:val="fr-FR"/>
        </w:rPr>
        <w:t>office l</w:t>
      </w:r>
      <w:r w:rsidR="00B07935" w:rsidRPr="004A3D19">
        <w:rPr>
          <w:color w:val="000000"/>
          <w:lang w:val="fr-FR"/>
        </w:rPr>
        <w:t>’</w:t>
      </w:r>
      <w:r w:rsidR="00607DDA" w:rsidRPr="004A3D19">
        <w:rPr>
          <w:color w:val="000000"/>
          <w:lang w:val="fr-FR"/>
        </w:rPr>
        <w:t xml:space="preserve">indication de toute </w:t>
      </w:r>
      <w:r w:rsidR="00607DDA" w:rsidRPr="004A3D19">
        <w:rPr>
          <w:lang w:val="fr-FR"/>
        </w:rPr>
        <w:t>administration chargée de la recherche internationale</w:t>
      </w:r>
      <w:r w:rsidR="00607DDA" w:rsidRPr="004A3D19">
        <w:rPr>
          <w:color w:val="000000"/>
          <w:lang w:val="fr-FR"/>
        </w:rPr>
        <w:t xml:space="preserve"> non compétente (</w:t>
      </w:r>
      <w:r w:rsidR="004A3D19">
        <w:rPr>
          <w:lang w:val="fr-FR"/>
        </w:rPr>
        <w:t>paragraphes </w:t>
      </w:r>
      <w:r w:rsidR="00607DDA" w:rsidRPr="004A3D19">
        <w:rPr>
          <w:color w:val="000000"/>
          <w:lang w:val="fr-FR"/>
        </w:rPr>
        <w:t>161 à 165)</w:t>
      </w:r>
      <w:r w:rsidR="00607DDA" w:rsidRPr="004A3D19">
        <w:rPr>
          <w:rStyle w:val="InsertedText"/>
          <w:lang w:val="fr-FR"/>
        </w:rPr>
        <w:t xml:space="preserve"> et insère de même l</w:t>
      </w:r>
      <w:r w:rsidR="00B07935" w:rsidRPr="004A3D19">
        <w:rPr>
          <w:rStyle w:val="InsertedText"/>
          <w:lang w:val="fr-FR"/>
        </w:rPr>
        <w:t>’</w:t>
      </w:r>
      <w:r w:rsidR="00607DDA" w:rsidRPr="004A3D19">
        <w:rPr>
          <w:rStyle w:val="InsertedText"/>
          <w:lang w:val="fr-FR"/>
        </w:rPr>
        <w:t>indication d</w:t>
      </w:r>
      <w:r w:rsidR="00B07935" w:rsidRPr="004A3D19">
        <w:rPr>
          <w:rStyle w:val="InsertedText"/>
          <w:lang w:val="fr-FR"/>
        </w:rPr>
        <w:t>’</w:t>
      </w:r>
      <w:r w:rsidR="00607DDA" w:rsidRPr="004A3D19">
        <w:rPr>
          <w:rStyle w:val="InsertedText"/>
          <w:lang w:val="fr-FR"/>
        </w:rPr>
        <w:t>une administration compétente déterminée selon la procédure susmentionnée</w:t>
      </w:r>
      <w:r w:rsidR="00607DDA" w:rsidRPr="004A3D19">
        <w:rPr>
          <w:color w:val="000000"/>
          <w:lang w:val="fr-FR"/>
        </w:rPr>
        <w:t>.</w:t>
      </w:r>
    </w:p>
    <w:p w:rsidR="00A80D51" w:rsidRPr="004A3D19" w:rsidRDefault="00A80D51" w:rsidP="00A651F3">
      <w:pPr>
        <w:tabs>
          <w:tab w:val="left" w:pos="709"/>
        </w:tabs>
        <w:rPr>
          <w:lang w:val="fr-FR"/>
        </w:rPr>
      </w:pPr>
    </w:p>
    <w:p w:rsidR="00A80D51" w:rsidRPr="004A3D19" w:rsidRDefault="00607DDA" w:rsidP="00A651F3">
      <w:pPr>
        <w:tabs>
          <w:tab w:val="left" w:pos="709"/>
        </w:tabs>
        <w:rPr>
          <w:rStyle w:val="InsertedText"/>
          <w:lang w:val="fr-FR"/>
        </w:rPr>
      </w:pPr>
      <w:r w:rsidRPr="004A3D19">
        <w:rPr>
          <w:rStyle w:val="InsertedText"/>
          <w:lang w:val="fr-FR"/>
        </w:rPr>
        <w:t>115B.</w:t>
      </w:r>
      <w:r w:rsidR="00A651F3" w:rsidRPr="004A3D19">
        <w:rPr>
          <w:rStyle w:val="InsertedText"/>
          <w:lang w:val="fr-FR"/>
        </w:rPr>
        <w:tab/>
      </w:r>
      <w:r w:rsidRPr="004A3D19">
        <w:rPr>
          <w:rStyle w:val="InsertedText"/>
          <w:lang w:val="fr-FR"/>
        </w:rPr>
        <w:t>Lorsque plusieurs administrations sont compétentes, le déposant peut faire un changement quant au choix de l</w:t>
      </w:r>
      <w:r w:rsidR="00B07935" w:rsidRPr="004A3D19">
        <w:rPr>
          <w:rStyle w:val="InsertedText"/>
          <w:lang w:val="fr-FR"/>
        </w:rPr>
        <w:t>’</w:t>
      </w:r>
      <w:r w:rsidRPr="004A3D19">
        <w:rPr>
          <w:rStyle w:val="InsertedText"/>
          <w:lang w:val="fr-FR"/>
        </w:rPr>
        <w:t>administration, si la copie de recherche n</w:t>
      </w:r>
      <w:r w:rsidR="00B07935" w:rsidRPr="004A3D19">
        <w:rPr>
          <w:rStyle w:val="InsertedText"/>
          <w:lang w:val="fr-FR"/>
        </w:rPr>
        <w:t>’</w:t>
      </w:r>
      <w:r w:rsidRPr="004A3D19">
        <w:rPr>
          <w:rStyle w:val="InsertedText"/>
          <w:lang w:val="fr-FR"/>
        </w:rPr>
        <w:t>a pas encore été transmise à l</w:t>
      </w:r>
      <w:r w:rsidR="00B07935" w:rsidRPr="004A3D19">
        <w:rPr>
          <w:rStyle w:val="InsertedText"/>
          <w:lang w:val="fr-FR"/>
        </w:rPr>
        <w:t>’</w:t>
      </w:r>
      <w:r w:rsidRPr="004A3D19">
        <w:rPr>
          <w:rStyle w:val="InsertedText"/>
          <w:lang w:val="fr-FR"/>
        </w:rPr>
        <w:t>administration chargée de la recherche internationale qui avait été choisie à l</w:t>
      </w:r>
      <w:r w:rsidR="00B07935" w:rsidRPr="004A3D19">
        <w:rPr>
          <w:rStyle w:val="InsertedText"/>
          <w:lang w:val="fr-FR"/>
        </w:rPr>
        <w:t>’</w:t>
      </w:r>
      <w:r w:rsidRPr="004A3D19">
        <w:rPr>
          <w:rStyle w:val="InsertedText"/>
          <w:lang w:val="fr-FR"/>
        </w:rPr>
        <w:t>origine par le déposant.</w:t>
      </w:r>
    </w:p>
    <w:p w:rsidR="00A80D51" w:rsidRPr="004A3D19" w:rsidRDefault="00A80D51" w:rsidP="00E77CB9">
      <w:pPr>
        <w:rPr>
          <w:lang w:val="fr-FR"/>
        </w:rPr>
      </w:pPr>
    </w:p>
    <w:p w:rsidR="00A80D51" w:rsidRPr="004A3D19" w:rsidRDefault="00A80D51" w:rsidP="00E77CB9">
      <w:pPr>
        <w:rPr>
          <w:lang w:val="fr-FR"/>
        </w:rPr>
      </w:pPr>
    </w:p>
    <w:p w:rsidR="00A80D51" w:rsidRPr="004A3D19" w:rsidRDefault="00607DDA" w:rsidP="00607DDA">
      <w:pPr>
        <w:pStyle w:val="Endofdocument-Annex"/>
        <w:rPr>
          <w:lang w:val="fr-FR"/>
        </w:rPr>
      </w:pPr>
      <w:r w:rsidRPr="004A3D19">
        <w:rPr>
          <w:lang w:val="fr-FR"/>
        </w:rPr>
        <w:t>[Fin de l</w:t>
      </w:r>
      <w:r w:rsidR="00B07935" w:rsidRPr="004A3D19">
        <w:rPr>
          <w:lang w:val="fr-FR"/>
        </w:rPr>
        <w:t>’</w:t>
      </w:r>
      <w:r w:rsidRPr="004A3D19">
        <w:rPr>
          <w:lang w:val="fr-FR"/>
        </w:rPr>
        <w:t>annexe et du document]</w:t>
      </w:r>
    </w:p>
    <w:p w:rsidR="00E77CB9" w:rsidRPr="004A3D19" w:rsidRDefault="00E77CB9" w:rsidP="00E77CB9">
      <w:pPr>
        <w:pStyle w:val="Endofdocument-Annex"/>
        <w:rPr>
          <w:lang w:val="fr-FR"/>
        </w:rPr>
      </w:pPr>
    </w:p>
    <w:sectPr w:rsidR="00E77CB9" w:rsidRPr="004A3D19" w:rsidSect="004A3D19">
      <w:headerReference w:type="default" r:id="rId13"/>
      <w:headerReference w:type="first" r:id="rId14"/>
      <w:footerReference w:type="first" r:id="rId15"/>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E2" w:rsidRDefault="002810E2">
      <w:r>
        <w:separator/>
      </w:r>
    </w:p>
  </w:endnote>
  <w:endnote w:type="continuationSeparator" w:id="0">
    <w:p w:rsidR="002810E2" w:rsidRDefault="002810E2" w:rsidP="003B38C1">
      <w:r>
        <w:separator/>
      </w:r>
    </w:p>
    <w:p w:rsidR="002810E2" w:rsidRPr="003B38C1" w:rsidRDefault="002810E2" w:rsidP="003B38C1">
      <w:pPr>
        <w:spacing w:after="60"/>
        <w:rPr>
          <w:sz w:val="17"/>
        </w:rPr>
      </w:pPr>
      <w:r>
        <w:rPr>
          <w:sz w:val="17"/>
        </w:rPr>
        <w:t>[Endnote continued from previous page]</w:t>
      </w:r>
    </w:p>
  </w:endnote>
  <w:endnote w:type="continuationNotice" w:id="1">
    <w:p w:rsidR="002810E2" w:rsidRPr="003B38C1" w:rsidRDefault="002810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19" w:rsidRPr="004A3D19" w:rsidRDefault="004A3D19" w:rsidP="00872124">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19" w:rsidRPr="004A3D19" w:rsidRDefault="004A3D19" w:rsidP="004A3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E2" w:rsidRDefault="002810E2">
      <w:r>
        <w:separator/>
      </w:r>
    </w:p>
  </w:footnote>
  <w:footnote w:type="continuationSeparator" w:id="0">
    <w:p w:rsidR="002810E2" w:rsidRDefault="002810E2" w:rsidP="008B60B2">
      <w:r>
        <w:separator/>
      </w:r>
    </w:p>
    <w:p w:rsidR="002810E2" w:rsidRPr="00ED77FB" w:rsidRDefault="002810E2" w:rsidP="008B60B2">
      <w:pPr>
        <w:spacing w:after="60"/>
        <w:rPr>
          <w:sz w:val="17"/>
          <w:szCs w:val="17"/>
        </w:rPr>
      </w:pPr>
      <w:r w:rsidRPr="00ED77FB">
        <w:rPr>
          <w:sz w:val="17"/>
          <w:szCs w:val="17"/>
        </w:rPr>
        <w:t>[Footnote continued from previous page]</w:t>
      </w:r>
    </w:p>
  </w:footnote>
  <w:footnote w:type="continuationNotice" w:id="1">
    <w:p w:rsidR="002810E2" w:rsidRPr="00ED77FB" w:rsidRDefault="002810E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A9501E">
    <w:pPr>
      <w:jc w:val="right"/>
    </w:pPr>
    <w:r>
      <w:t>PCT/</w:t>
    </w:r>
    <w:r w:rsidR="00854361">
      <w:t>WG/7</w:t>
    </w:r>
    <w:r>
      <w:t>/</w:t>
    </w:r>
    <w:r w:rsidR="00D06340">
      <w:t>2</w:t>
    </w:r>
    <w:r w:rsidR="00380E5E">
      <w:t>2</w:t>
    </w:r>
  </w:p>
  <w:p w:rsidR="00FB0573" w:rsidRDefault="008B09F2" w:rsidP="00477D6B">
    <w:pPr>
      <w:jc w:val="right"/>
    </w:pPr>
    <w:proofErr w:type="gramStart"/>
    <w:r>
      <w:t>p</w:t>
    </w:r>
    <w:r w:rsidR="00FB0573">
      <w:t>age</w:t>
    </w:r>
    <w:proofErr w:type="gramEnd"/>
    <w:r w:rsidR="00FB0573">
      <w:t xml:space="preserve"> </w:t>
    </w:r>
    <w:r w:rsidR="00FB0573">
      <w:fldChar w:fldCharType="begin"/>
    </w:r>
    <w:r w:rsidR="00FB0573">
      <w:instrText xml:space="preserve"> PAGE  \* MERGEFORMAT </w:instrText>
    </w:r>
    <w:r w:rsidR="00FB0573">
      <w:fldChar w:fldCharType="separate"/>
    </w:r>
    <w:r w:rsidR="00054D24">
      <w:rPr>
        <w:noProof/>
      </w:rPr>
      <w:t>2</w:t>
    </w:r>
    <w:r w:rsidR="00FB0573">
      <w:fldChar w:fldCharType="end"/>
    </w: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B09F2" w:rsidRDefault="00FB0573" w:rsidP="00477D6B">
    <w:pPr>
      <w:jc w:val="right"/>
      <w:rPr>
        <w:lang w:val="fr-FR"/>
      </w:rPr>
    </w:pPr>
    <w:bookmarkStart w:id="4" w:name="Code2"/>
    <w:bookmarkEnd w:id="4"/>
    <w:r w:rsidRPr="008B09F2">
      <w:rPr>
        <w:lang w:val="fr-FR"/>
      </w:rPr>
      <w:t>PCT/</w:t>
    </w:r>
    <w:r w:rsidR="00854361" w:rsidRPr="008B09F2">
      <w:rPr>
        <w:lang w:val="fr-FR"/>
      </w:rPr>
      <w:t>WG/7</w:t>
    </w:r>
    <w:r w:rsidR="00435C51" w:rsidRPr="008B09F2">
      <w:rPr>
        <w:lang w:val="fr-FR"/>
      </w:rPr>
      <w:t>/21</w:t>
    </w:r>
  </w:p>
  <w:p w:rsidR="00FB0573" w:rsidRPr="008B09F2" w:rsidRDefault="00A537FD" w:rsidP="00477D6B">
    <w:pPr>
      <w:jc w:val="right"/>
      <w:rPr>
        <w:lang w:val="fr-FR"/>
      </w:rPr>
    </w:pPr>
    <w:proofErr w:type="spellStart"/>
    <w:r w:rsidRPr="008B09F2">
      <w:rPr>
        <w:lang w:val="fr-FR"/>
      </w:rPr>
      <w:t>Annex</w:t>
    </w:r>
    <w:proofErr w:type="spellEnd"/>
    <w:r w:rsidRPr="008B09F2">
      <w:rPr>
        <w:lang w:val="fr-FR"/>
      </w:rPr>
      <w:t xml:space="preserve"> </w:t>
    </w:r>
    <w:r w:rsidR="00435C51" w:rsidRPr="008B09F2">
      <w:rPr>
        <w:lang w:val="fr-FR"/>
      </w:rPr>
      <w:t xml:space="preserve">II, </w:t>
    </w:r>
    <w:r w:rsidR="00FB0573" w:rsidRPr="008B09F2">
      <w:rPr>
        <w:lang w:val="fr-FR"/>
      </w:rPr>
      <w:t xml:space="preserve">page </w:t>
    </w:r>
    <w:r w:rsidR="004A3D1B">
      <w:fldChar w:fldCharType="begin"/>
    </w:r>
    <w:r w:rsidR="004A3D1B" w:rsidRPr="008B09F2">
      <w:rPr>
        <w:lang w:val="fr-FR"/>
      </w:rPr>
      <w:instrText xml:space="preserve"> PAGE   \* MERGEFORMAT </w:instrText>
    </w:r>
    <w:r w:rsidR="004A3D1B">
      <w:fldChar w:fldCharType="separate"/>
    </w:r>
    <w:r w:rsidR="004A3D19">
      <w:rPr>
        <w:noProof/>
        <w:lang w:val="fr-FR"/>
      </w:rPr>
      <w:t>1</w:t>
    </w:r>
    <w:r w:rsidR="004A3D1B">
      <w:rPr>
        <w:noProof/>
      </w:rPr>
      <w:fldChar w:fldCharType="end"/>
    </w:r>
  </w:p>
  <w:p w:rsidR="00FB0573" w:rsidRPr="008B09F2" w:rsidRDefault="00FB0573"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246E0" w:rsidRDefault="00FB0573" w:rsidP="0006398B">
    <w:pPr>
      <w:jc w:val="right"/>
    </w:pPr>
    <w:r w:rsidRPr="008246E0">
      <w:t>PCT/</w:t>
    </w:r>
    <w:r w:rsidR="00854361">
      <w:t>WG/7</w:t>
    </w:r>
    <w:r w:rsidR="00435C51">
      <w:t>/2</w:t>
    </w:r>
    <w:r w:rsidR="00E15CE7">
      <w:t>2</w:t>
    </w:r>
  </w:p>
  <w:p w:rsidR="00FB0573" w:rsidRDefault="00FB0573" w:rsidP="0006398B">
    <w:pPr>
      <w:jc w:val="right"/>
    </w:pPr>
    <w:r w:rsidRPr="008246E0">
      <w:t>ANNEX</w:t>
    </w:r>
    <w:r w:rsidR="00B07935">
      <w:t>E</w:t>
    </w:r>
  </w:p>
  <w:p w:rsidR="00FB0573" w:rsidRPr="008246E0" w:rsidRDefault="00FB0573" w:rsidP="000639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23E4"/>
    <w:lvl w:ilvl="0">
      <w:start w:val="1"/>
      <w:numFmt w:val="decimal"/>
      <w:lvlText w:val="%1."/>
      <w:lvlJc w:val="left"/>
      <w:pPr>
        <w:tabs>
          <w:tab w:val="num" w:pos="1209"/>
        </w:tabs>
        <w:ind w:left="1209" w:hanging="360"/>
      </w:pPr>
    </w:lvl>
  </w:abstractNum>
  <w:abstractNum w:abstractNumId="1">
    <w:nsid w:val="FFFFFF7E"/>
    <w:multiLevelType w:val="singleLevel"/>
    <w:tmpl w:val="32D46310"/>
    <w:lvl w:ilvl="0">
      <w:start w:val="1"/>
      <w:numFmt w:val="decimal"/>
      <w:lvlText w:val="%1."/>
      <w:lvlJc w:val="left"/>
      <w:pPr>
        <w:tabs>
          <w:tab w:val="num" w:pos="926"/>
        </w:tabs>
        <w:ind w:left="926" w:hanging="360"/>
      </w:pPr>
    </w:lvl>
  </w:abstractNum>
  <w:abstractNum w:abstractNumId="2">
    <w:nsid w:val="FFFFFF7F"/>
    <w:multiLevelType w:val="singleLevel"/>
    <w:tmpl w:val="9BE08658"/>
    <w:lvl w:ilvl="0">
      <w:start w:val="1"/>
      <w:numFmt w:val="decimal"/>
      <w:lvlText w:val="%1."/>
      <w:lvlJc w:val="left"/>
      <w:pPr>
        <w:tabs>
          <w:tab w:val="num" w:pos="643"/>
        </w:tabs>
        <w:ind w:left="643" w:hanging="360"/>
      </w:pPr>
    </w:lvl>
  </w:abstractNum>
  <w:abstractNum w:abstractNumId="3">
    <w:nsid w:val="FFFFFF81"/>
    <w:multiLevelType w:val="singleLevel"/>
    <w:tmpl w:val="5FB2CD6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64524A"/>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hint="default"/>
      </w:rPr>
    </w:lvl>
  </w:abstractNum>
  <w:abstractNum w:abstractNumId="8">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745B9A"/>
    <w:multiLevelType w:val="hybridMultilevel"/>
    <w:tmpl w:val="4F2A5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F066A"/>
    <w:multiLevelType w:val="hybridMultilevel"/>
    <w:tmpl w:val="5C7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2"/>
  </w:num>
  <w:num w:numId="5">
    <w:abstractNumId w:val="8"/>
  </w:num>
  <w:num w:numId="6">
    <w:abstractNumId w:val="10"/>
  </w:num>
  <w:num w:numId="7">
    <w:abstractNumId w:val="13"/>
  </w:num>
  <w:num w:numId="8">
    <w:abstractNumId w:val="7"/>
  </w:num>
  <w:num w:numId="9">
    <w:abstractNumId w:val="5"/>
  </w:num>
  <w:num w:numId="10">
    <w:abstractNumId w:val="4"/>
  </w:num>
  <w:num w:numId="11">
    <w:abstractNumId w:val="3"/>
  </w:num>
  <w:num w:numId="12">
    <w:abstractNumId w:val="12"/>
  </w:num>
  <w:num w:numId="13">
    <w:abstractNumId w:val="2"/>
  </w:num>
  <w:num w:numId="14">
    <w:abstractNumId w:val="1"/>
  </w:num>
  <w:num w:numId="15">
    <w:abstractNumId w:val="0"/>
  </w:num>
  <w:num w:numId="16">
    <w:abstractNumId w:val="8"/>
  </w:num>
  <w:num w:numId="17">
    <w:abstractNumId w:val="10"/>
  </w:num>
  <w:num w:numId="18">
    <w:abstractNumId w:val="12"/>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4E17B8"/>
    <w:rsid w:val="0000746E"/>
    <w:rsid w:val="00024366"/>
    <w:rsid w:val="00043CAA"/>
    <w:rsid w:val="00054D24"/>
    <w:rsid w:val="00062DFC"/>
    <w:rsid w:val="0006398B"/>
    <w:rsid w:val="000645E8"/>
    <w:rsid w:val="00075432"/>
    <w:rsid w:val="000914B0"/>
    <w:rsid w:val="0009233B"/>
    <w:rsid w:val="000968ED"/>
    <w:rsid w:val="000E362D"/>
    <w:rsid w:val="000F5E56"/>
    <w:rsid w:val="00104C84"/>
    <w:rsid w:val="001174EE"/>
    <w:rsid w:val="001362EE"/>
    <w:rsid w:val="00151AB7"/>
    <w:rsid w:val="00156484"/>
    <w:rsid w:val="00157D64"/>
    <w:rsid w:val="00181527"/>
    <w:rsid w:val="001832A6"/>
    <w:rsid w:val="00184FE2"/>
    <w:rsid w:val="00195599"/>
    <w:rsid w:val="00197DFA"/>
    <w:rsid w:val="001E5432"/>
    <w:rsid w:val="001E5644"/>
    <w:rsid w:val="001E5AB7"/>
    <w:rsid w:val="00200036"/>
    <w:rsid w:val="00207447"/>
    <w:rsid w:val="0020753D"/>
    <w:rsid w:val="002173BA"/>
    <w:rsid w:val="0026255F"/>
    <w:rsid w:val="002634C4"/>
    <w:rsid w:val="002810E2"/>
    <w:rsid w:val="002928D3"/>
    <w:rsid w:val="002A2A63"/>
    <w:rsid w:val="002A7BAC"/>
    <w:rsid w:val="002B4465"/>
    <w:rsid w:val="002C69D2"/>
    <w:rsid w:val="002D3432"/>
    <w:rsid w:val="002E7EBB"/>
    <w:rsid w:val="002F1FE6"/>
    <w:rsid w:val="002F4E68"/>
    <w:rsid w:val="002F54BC"/>
    <w:rsid w:val="00304606"/>
    <w:rsid w:val="003074C1"/>
    <w:rsid w:val="00310FC5"/>
    <w:rsid w:val="00312F7F"/>
    <w:rsid w:val="00326B6F"/>
    <w:rsid w:val="00357BF0"/>
    <w:rsid w:val="00361450"/>
    <w:rsid w:val="00364F61"/>
    <w:rsid w:val="003673CF"/>
    <w:rsid w:val="00380E5E"/>
    <w:rsid w:val="003845C1"/>
    <w:rsid w:val="00385470"/>
    <w:rsid w:val="003A6F89"/>
    <w:rsid w:val="003B14A8"/>
    <w:rsid w:val="003B38C1"/>
    <w:rsid w:val="003E69DD"/>
    <w:rsid w:val="004137C0"/>
    <w:rsid w:val="00423E3E"/>
    <w:rsid w:val="00427AF4"/>
    <w:rsid w:val="00435C51"/>
    <w:rsid w:val="004434E4"/>
    <w:rsid w:val="004612D1"/>
    <w:rsid w:val="004647DA"/>
    <w:rsid w:val="00474062"/>
    <w:rsid w:val="00477D6B"/>
    <w:rsid w:val="004A384C"/>
    <w:rsid w:val="004A3D19"/>
    <w:rsid w:val="004A3D1B"/>
    <w:rsid w:val="004A4F28"/>
    <w:rsid w:val="004D610A"/>
    <w:rsid w:val="004D6235"/>
    <w:rsid w:val="004E17B8"/>
    <w:rsid w:val="005019FF"/>
    <w:rsid w:val="00513261"/>
    <w:rsid w:val="00513EA5"/>
    <w:rsid w:val="0051501C"/>
    <w:rsid w:val="0052373F"/>
    <w:rsid w:val="0053057A"/>
    <w:rsid w:val="0055399B"/>
    <w:rsid w:val="00554231"/>
    <w:rsid w:val="005553C0"/>
    <w:rsid w:val="005555FD"/>
    <w:rsid w:val="00560A29"/>
    <w:rsid w:val="005632FA"/>
    <w:rsid w:val="0056663A"/>
    <w:rsid w:val="005A740A"/>
    <w:rsid w:val="005C4E05"/>
    <w:rsid w:val="005C6649"/>
    <w:rsid w:val="005E39B2"/>
    <w:rsid w:val="00605827"/>
    <w:rsid w:val="00607DDA"/>
    <w:rsid w:val="00617F76"/>
    <w:rsid w:val="00630BC9"/>
    <w:rsid w:val="00641884"/>
    <w:rsid w:val="00646050"/>
    <w:rsid w:val="00647030"/>
    <w:rsid w:val="006619B0"/>
    <w:rsid w:val="006713CA"/>
    <w:rsid w:val="00676C5C"/>
    <w:rsid w:val="00681B85"/>
    <w:rsid w:val="00687C50"/>
    <w:rsid w:val="006A304C"/>
    <w:rsid w:val="006C7E4D"/>
    <w:rsid w:val="00713E76"/>
    <w:rsid w:val="00733E2F"/>
    <w:rsid w:val="00737D5C"/>
    <w:rsid w:val="0074480B"/>
    <w:rsid w:val="00787D7C"/>
    <w:rsid w:val="007A7585"/>
    <w:rsid w:val="007D1613"/>
    <w:rsid w:val="007D7228"/>
    <w:rsid w:val="0080245A"/>
    <w:rsid w:val="008039F0"/>
    <w:rsid w:val="00823A5B"/>
    <w:rsid w:val="00823ED5"/>
    <w:rsid w:val="00833342"/>
    <w:rsid w:val="0083584F"/>
    <w:rsid w:val="00854361"/>
    <w:rsid w:val="00866DB2"/>
    <w:rsid w:val="00872124"/>
    <w:rsid w:val="0088054E"/>
    <w:rsid w:val="008953D9"/>
    <w:rsid w:val="008B09F2"/>
    <w:rsid w:val="008B2CC1"/>
    <w:rsid w:val="008B60B2"/>
    <w:rsid w:val="008C4654"/>
    <w:rsid w:val="008F3419"/>
    <w:rsid w:val="0090731E"/>
    <w:rsid w:val="00912505"/>
    <w:rsid w:val="00916EE2"/>
    <w:rsid w:val="00933601"/>
    <w:rsid w:val="00942D56"/>
    <w:rsid w:val="00942F62"/>
    <w:rsid w:val="00954E93"/>
    <w:rsid w:val="00966A22"/>
    <w:rsid w:val="0096722F"/>
    <w:rsid w:val="009762C3"/>
    <w:rsid w:val="00980843"/>
    <w:rsid w:val="00993DF7"/>
    <w:rsid w:val="009E2791"/>
    <w:rsid w:val="009E3F6F"/>
    <w:rsid w:val="009E7534"/>
    <w:rsid w:val="009F499F"/>
    <w:rsid w:val="00A00635"/>
    <w:rsid w:val="00A22657"/>
    <w:rsid w:val="00A2265D"/>
    <w:rsid w:val="00A42DAF"/>
    <w:rsid w:val="00A45BD8"/>
    <w:rsid w:val="00A537FD"/>
    <w:rsid w:val="00A64AC9"/>
    <w:rsid w:val="00A651F3"/>
    <w:rsid w:val="00A77F31"/>
    <w:rsid w:val="00A80D51"/>
    <w:rsid w:val="00A81C3D"/>
    <w:rsid w:val="00A869B7"/>
    <w:rsid w:val="00A9501E"/>
    <w:rsid w:val="00AA376A"/>
    <w:rsid w:val="00AC1F40"/>
    <w:rsid w:val="00AC205C"/>
    <w:rsid w:val="00AD5A21"/>
    <w:rsid w:val="00AE62C7"/>
    <w:rsid w:val="00AE7F37"/>
    <w:rsid w:val="00AF0A6B"/>
    <w:rsid w:val="00AF568B"/>
    <w:rsid w:val="00B05A69"/>
    <w:rsid w:val="00B07935"/>
    <w:rsid w:val="00B25500"/>
    <w:rsid w:val="00B30256"/>
    <w:rsid w:val="00B552E3"/>
    <w:rsid w:val="00B9734B"/>
    <w:rsid w:val="00BA36B9"/>
    <w:rsid w:val="00BC2554"/>
    <w:rsid w:val="00C11BFE"/>
    <w:rsid w:val="00C12919"/>
    <w:rsid w:val="00C1299E"/>
    <w:rsid w:val="00C13AAE"/>
    <w:rsid w:val="00C205EF"/>
    <w:rsid w:val="00C3607E"/>
    <w:rsid w:val="00C52E06"/>
    <w:rsid w:val="00C60973"/>
    <w:rsid w:val="00CA5B69"/>
    <w:rsid w:val="00CB165C"/>
    <w:rsid w:val="00CD714B"/>
    <w:rsid w:val="00CE2D9C"/>
    <w:rsid w:val="00CF537F"/>
    <w:rsid w:val="00D03219"/>
    <w:rsid w:val="00D03BCB"/>
    <w:rsid w:val="00D06340"/>
    <w:rsid w:val="00D13641"/>
    <w:rsid w:val="00D3019F"/>
    <w:rsid w:val="00D44BDC"/>
    <w:rsid w:val="00D44E7E"/>
    <w:rsid w:val="00D45252"/>
    <w:rsid w:val="00D67144"/>
    <w:rsid w:val="00D701A6"/>
    <w:rsid w:val="00D71B4D"/>
    <w:rsid w:val="00D761B2"/>
    <w:rsid w:val="00D91E58"/>
    <w:rsid w:val="00D93D55"/>
    <w:rsid w:val="00DA6493"/>
    <w:rsid w:val="00DC5D80"/>
    <w:rsid w:val="00DD3A25"/>
    <w:rsid w:val="00E039F3"/>
    <w:rsid w:val="00E04DD1"/>
    <w:rsid w:val="00E0610E"/>
    <w:rsid w:val="00E07876"/>
    <w:rsid w:val="00E15CE7"/>
    <w:rsid w:val="00E335FE"/>
    <w:rsid w:val="00E65D7B"/>
    <w:rsid w:val="00E66084"/>
    <w:rsid w:val="00E77CB9"/>
    <w:rsid w:val="00E84A76"/>
    <w:rsid w:val="00E93714"/>
    <w:rsid w:val="00E93B47"/>
    <w:rsid w:val="00E94F2E"/>
    <w:rsid w:val="00EA2FA7"/>
    <w:rsid w:val="00EC10B5"/>
    <w:rsid w:val="00EC4E49"/>
    <w:rsid w:val="00ED77FB"/>
    <w:rsid w:val="00EE45FA"/>
    <w:rsid w:val="00EE5DE6"/>
    <w:rsid w:val="00EE63B5"/>
    <w:rsid w:val="00F03243"/>
    <w:rsid w:val="00F03BA5"/>
    <w:rsid w:val="00F10338"/>
    <w:rsid w:val="00F10FFE"/>
    <w:rsid w:val="00F22B4C"/>
    <w:rsid w:val="00F336E6"/>
    <w:rsid w:val="00F42AA9"/>
    <w:rsid w:val="00F66152"/>
    <w:rsid w:val="00FA42D5"/>
    <w:rsid w:val="00FA4CAD"/>
    <w:rsid w:val="00FB0573"/>
    <w:rsid w:val="00FC6B95"/>
    <w:rsid w:val="00FD4AFB"/>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00746E"/>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uiPriority w:val="99"/>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uiPriority w:val="39"/>
    <w:qFormat/>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00746E"/>
    <w:rPr>
      <w:rFonts w:ascii="Arial" w:eastAsia="SimSun" w:hAnsi="Arial" w:cs="Arial"/>
      <w:b/>
      <w:bCs/>
      <w:caps/>
      <w:kern w:val="32"/>
      <w:sz w:val="22"/>
      <w:szCs w:val="32"/>
      <w:lang w:eastAsia="zh-CN"/>
    </w:rPr>
  </w:style>
  <w:style w:type="paragraph" w:styleId="FootnoteText">
    <w:name w:val="footnote text"/>
    <w:basedOn w:val="Normal"/>
    <w:link w:val="FootnoteTextChar"/>
    <w:rsid w:val="00647030"/>
    <w:rPr>
      <w:sz w:val="20"/>
    </w:rPr>
  </w:style>
  <w:style w:type="character" w:customStyle="1" w:styleId="FootnoteTextChar">
    <w:name w:val="Footnote Text Char"/>
    <w:link w:val="FootnoteText"/>
    <w:rsid w:val="00647030"/>
    <w:rPr>
      <w:rFonts w:ascii="Arial" w:eastAsia="SimSun" w:hAnsi="Arial" w:cs="Arial"/>
      <w:lang w:eastAsia="zh-CN"/>
    </w:rPr>
  </w:style>
  <w:style w:type="paragraph" w:styleId="TOCHeading">
    <w:name w:val="TOC Heading"/>
    <w:basedOn w:val="Heading1"/>
    <w:next w:val="Normal"/>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00746E"/>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uiPriority w:val="99"/>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uiPriority w:val="39"/>
    <w:qFormat/>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00746E"/>
    <w:rPr>
      <w:rFonts w:ascii="Arial" w:eastAsia="SimSun" w:hAnsi="Arial" w:cs="Arial"/>
      <w:b/>
      <w:bCs/>
      <w:caps/>
      <w:kern w:val="32"/>
      <w:sz w:val="22"/>
      <w:szCs w:val="32"/>
      <w:lang w:eastAsia="zh-CN"/>
    </w:rPr>
  </w:style>
  <w:style w:type="paragraph" w:styleId="FootnoteText">
    <w:name w:val="footnote text"/>
    <w:basedOn w:val="Normal"/>
    <w:link w:val="FootnoteTextChar"/>
    <w:rsid w:val="00647030"/>
    <w:rPr>
      <w:sz w:val="20"/>
    </w:rPr>
  </w:style>
  <w:style w:type="character" w:customStyle="1" w:styleId="FootnoteTextChar">
    <w:name w:val="Footnote Text Char"/>
    <w:link w:val="FootnoteText"/>
    <w:rsid w:val="00647030"/>
    <w:rPr>
      <w:rFonts w:ascii="Arial" w:eastAsia="SimSun" w:hAnsi="Arial" w:cs="Arial"/>
      <w:lang w:eastAsia="zh-CN"/>
    </w:rPr>
  </w:style>
  <w:style w:type="paragraph" w:styleId="TOCHeading">
    <w:name w:val="TOC Heading"/>
    <w:basedOn w:val="Heading1"/>
    <w:next w:val="Normal"/>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F2E6-61FF-4518-BF52-2487823D3E5F}">
  <ds:schemaRefs>
    <ds:schemaRef ds:uri="http://schemas.openxmlformats.org/officeDocument/2006/bibliography"/>
  </ds:schemaRefs>
</ds:datastoreItem>
</file>

<file path=customXml/itemProps2.xml><?xml version="1.0" encoding="utf-8"?>
<ds:datastoreItem xmlns:ds="http://schemas.openxmlformats.org/officeDocument/2006/customXml" ds:itemID="{58A9AC5F-CA69-4100-A535-20B8E5FF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7092</Characters>
  <Application>Microsoft Office Word</Application>
  <DocSecurity>0</DocSecurity>
  <Lines>141</Lines>
  <Paragraphs>47</Paragraphs>
  <ScaleCrop>false</ScaleCrop>
  <HeadingPairs>
    <vt:vector size="2" baseType="variant">
      <vt:variant>
        <vt:lpstr>Title</vt:lpstr>
      </vt:variant>
      <vt:variant>
        <vt:i4>1</vt:i4>
      </vt:variant>
    </vt:vector>
  </HeadingPairs>
  <TitlesOfParts>
    <vt:vector size="1" baseType="lpstr">
      <vt:lpstr>PCT/WG/7/22</vt:lpstr>
    </vt:vector>
  </TitlesOfParts>
  <Company>WIPO</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PCT/WG/7/22</dc:title>
  <dc:subject>Procedures for Inviting the Applicant to Select a Competent International Searching  Authority</dc:subject>
  <dc:creator>WIPO</dc:creator>
  <cp:keywords>JCH/sc</cp:keywords>
  <cp:lastModifiedBy>MARLOW Thomas</cp:lastModifiedBy>
  <cp:revision>3</cp:revision>
  <cp:lastPrinted>2014-05-28T10:54:00Z</cp:lastPrinted>
  <dcterms:created xsi:type="dcterms:W3CDTF">2014-05-28T15:59:00Z</dcterms:created>
  <dcterms:modified xsi:type="dcterms:W3CDTF">2014-05-28T16:00:00Z</dcterms:modified>
</cp:coreProperties>
</file>