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D20C96">
      <w:pPr>
        <w:spacing w:before="360" w:after="240"/>
        <w:jc w:val="right"/>
      </w:pPr>
      <w:bookmarkStart w:id="0" w:name="_GoBack"/>
      <w:bookmarkEnd w:id="0"/>
      <w:r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0453DC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PCT/WG/13</w:t>
      </w:r>
      <w:r w:rsidR="00D20C96">
        <w:rPr>
          <w:rFonts w:ascii="Arial Black" w:hAnsi="Arial Black"/>
          <w:caps/>
          <w:sz w:val="15"/>
        </w:rPr>
        <w:t>/</w:t>
      </w:r>
      <w:bookmarkStart w:id="1" w:name="Code"/>
      <w:r w:rsidR="006F578F">
        <w:rPr>
          <w:rFonts w:ascii="Arial Black" w:hAnsi="Arial Black"/>
          <w:caps/>
          <w:sz w:val="15"/>
        </w:rPr>
        <w:t>9</w:t>
      </w:r>
    </w:p>
    <w:bookmarkEnd w:id="1"/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005612">
        <w:rPr>
          <w:rFonts w:ascii="Arial Black" w:hAnsi="Arial Black"/>
          <w:caps/>
          <w:sz w:val="15"/>
        </w:rPr>
        <w:t>Anglais</w:t>
      </w:r>
    </w:p>
    <w:bookmarkEnd w:id="2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3" w:name="Date"/>
      <w:r w:rsidR="00647684">
        <w:rPr>
          <w:rFonts w:ascii="Arial Black" w:hAnsi="Arial Black"/>
          <w:caps/>
          <w:sz w:val="15"/>
        </w:rPr>
        <w:t>4</w:t>
      </w:r>
      <w:r w:rsidR="00005612">
        <w:rPr>
          <w:rFonts w:ascii="Arial Black" w:hAnsi="Arial Black"/>
          <w:caps/>
          <w:sz w:val="15"/>
        </w:rPr>
        <w:t xml:space="preserve"> septembre 2020</w:t>
      </w:r>
    </w:p>
    <w:bookmarkEnd w:id="3"/>
    <w:p w:rsidR="003845C1" w:rsidRPr="00B1090C" w:rsidRDefault="000453DC" w:rsidP="00963071">
      <w:pPr>
        <w:pStyle w:val="Heading1"/>
        <w:spacing w:before="0" w:after="600"/>
      </w:pPr>
      <w:r w:rsidRPr="000453DC">
        <w:rPr>
          <w:caps w:val="0"/>
          <w:sz w:val="28"/>
        </w:rPr>
        <w:t>Groupe de travail du Traité de coopération en matière de brevets (PCT)</w:t>
      </w:r>
    </w:p>
    <w:p w:rsidR="008B2CC1" w:rsidRPr="003845C1" w:rsidRDefault="000453DC" w:rsidP="000453DC">
      <w:pPr>
        <w:spacing w:after="720"/>
        <w:outlineLvl w:val="1"/>
        <w:rPr>
          <w:b/>
          <w:sz w:val="24"/>
          <w:szCs w:val="24"/>
        </w:rPr>
      </w:pPr>
      <w:r w:rsidRPr="000453DC">
        <w:rPr>
          <w:b/>
          <w:sz w:val="24"/>
          <w:szCs w:val="24"/>
        </w:rPr>
        <w:t>Treizième session</w:t>
      </w:r>
      <w:r>
        <w:rPr>
          <w:b/>
          <w:sz w:val="24"/>
          <w:szCs w:val="24"/>
        </w:rPr>
        <w:br/>
      </w:r>
      <w:r w:rsidRPr="000453DC">
        <w:rPr>
          <w:b/>
          <w:sz w:val="24"/>
          <w:szCs w:val="24"/>
        </w:rPr>
        <w:t xml:space="preserve">Genève, </w:t>
      </w:r>
      <w:r w:rsidR="0017639F" w:rsidRPr="0017639F">
        <w:rPr>
          <w:b/>
          <w:sz w:val="24"/>
          <w:szCs w:val="24"/>
        </w:rPr>
        <w:t xml:space="preserve">5 - 8 octobre </w:t>
      </w:r>
      <w:r w:rsidRPr="000453DC">
        <w:rPr>
          <w:b/>
          <w:sz w:val="24"/>
          <w:szCs w:val="24"/>
        </w:rPr>
        <w:t>2020</w:t>
      </w:r>
    </w:p>
    <w:p w:rsidR="008B2CC1" w:rsidRPr="003845C1" w:rsidRDefault="00005612" w:rsidP="00B1090C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Rapport sur l’état d’avancement des travaux de l’équipe d’experts chargée de la norme relative aux listages des séquences</w:t>
      </w:r>
    </w:p>
    <w:p w:rsidR="008B2CC1" w:rsidRPr="008B2CC1" w:rsidRDefault="00005612" w:rsidP="00963071">
      <w:pPr>
        <w:spacing w:after="960"/>
        <w:rPr>
          <w:i/>
        </w:rPr>
      </w:pPr>
      <w:bookmarkStart w:id="5" w:name="Prepared"/>
      <w:bookmarkEnd w:id="4"/>
      <w:r>
        <w:rPr>
          <w:i/>
        </w:rPr>
        <w:t>Document établi par l’Office européen des brevets</w:t>
      </w:r>
    </w:p>
    <w:bookmarkEnd w:id="5"/>
    <w:p w:rsidR="009A1E82" w:rsidRPr="0099475E" w:rsidRDefault="009A1E82" w:rsidP="009A1E82">
      <w:pPr>
        <w:pStyle w:val="ONUME"/>
      </w:pPr>
      <w:r w:rsidRPr="0099475E">
        <w:t>L</w:t>
      </w:r>
      <w:r>
        <w:t>’</w:t>
      </w:r>
      <w:r w:rsidRPr="0099475E">
        <w:t>annexe du présent document contient un rapport établi par l</w:t>
      </w:r>
      <w:r>
        <w:t>’</w:t>
      </w:r>
      <w:r w:rsidRPr="0099475E">
        <w:t>Office européen des brevets sur l</w:t>
      </w:r>
      <w:r>
        <w:t>’</w:t>
      </w:r>
      <w:r w:rsidRPr="0099475E">
        <w:t>état d</w:t>
      </w:r>
      <w:r>
        <w:t>’</w:t>
      </w:r>
      <w:r w:rsidRPr="0099475E">
        <w:t>avancement des travaux de l</w:t>
      </w:r>
      <w:r>
        <w:t>’</w:t>
      </w:r>
      <w:r w:rsidRPr="0099475E">
        <w:t>équipe d</w:t>
      </w:r>
      <w:r>
        <w:t>’</w:t>
      </w:r>
      <w:r w:rsidRPr="0099475E">
        <w:t xml:space="preserve">experts chargée de la norme relative aux listages </w:t>
      </w:r>
      <w:proofErr w:type="gramStart"/>
      <w:r w:rsidRPr="0099475E">
        <w:t>des séquences créée</w:t>
      </w:r>
      <w:proofErr w:type="gramEnd"/>
      <w:r w:rsidRPr="0099475E">
        <w:t xml:space="preserve"> par le Comité des normes de l</w:t>
      </w:r>
      <w:r>
        <w:t>’</w:t>
      </w:r>
      <w:r w:rsidRPr="0099475E">
        <w:t>OMPI (CWS) à sa première session en octobre 2010.</w:t>
      </w:r>
    </w:p>
    <w:p w:rsidR="009A1E82" w:rsidRPr="0099475E" w:rsidRDefault="009A1E82" w:rsidP="009A1E82">
      <w:pPr>
        <w:pStyle w:val="ONUME"/>
        <w:ind w:left="5533"/>
        <w:rPr>
          <w:i/>
        </w:rPr>
      </w:pPr>
      <w:r w:rsidRPr="0099475E">
        <w:rPr>
          <w:i/>
        </w:rPr>
        <w:t>Le groupe de travail est invité à prendre note du contenu du présent document.</w:t>
      </w:r>
    </w:p>
    <w:p w:rsidR="009A1E82" w:rsidRPr="0099475E" w:rsidRDefault="009A1E82" w:rsidP="009A1E82">
      <w:pPr>
        <w:pStyle w:val="ONUME"/>
        <w:numPr>
          <w:ilvl w:val="0"/>
          <w:numId w:val="0"/>
        </w:numPr>
      </w:pPr>
    </w:p>
    <w:p w:rsidR="009A1E82" w:rsidRPr="0099475E" w:rsidRDefault="009A1E82" w:rsidP="009A1E82">
      <w:pPr>
        <w:pStyle w:val="Endofdocument-Annex"/>
        <w:rPr>
          <w:lang w:val="fr-CH"/>
        </w:rPr>
      </w:pPr>
      <w:r w:rsidRPr="0099475E">
        <w:rPr>
          <w:lang w:val="fr-CH"/>
        </w:rPr>
        <w:t>[L</w:t>
      </w:r>
      <w:r>
        <w:rPr>
          <w:lang w:val="fr-CH"/>
        </w:rPr>
        <w:t>’</w:t>
      </w:r>
      <w:r w:rsidRPr="0099475E">
        <w:rPr>
          <w:lang w:val="fr-CH"/>
        </w:rPr>
        <w:t>annexe suit]</w:t>
      </w:r>
    </w:p>
    <w:p w:rsidR="009A1E82" w:rsidRPr="0099475E" w:rsidRDefault="009A1E82" w:rsidP="009A1E82">
      <w:pPr>
        <w:pStyle w:val="ONUME"/>
        <w:numPr>
          <w:ilvl w:val="0"/>
          <w:numId w:val="0"/>
        </w:numPr>
        <w:sectPr w:rsidR="009A1E82" w:rsidRPr="0099475E" w:rsidSect="006A35B5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A1E82" w:rsidRPr="0099475E" w:rsidRDefault="009A1E82" w:rsidP="009A1E82">
      <w:pPr>
        <w:pStyle w:val="Heading2"/>
      </w:pPr>
      <w:r w:rsidRPr="0099475E">
        <w:lastRenderedPageBreak/>
        <w:t>Passage de la norme ST.25 à la norme ST.26 de l</w:t>
      </w:r>
      <w:r>
        <w:t>’</w:t>
      </w:r>
      <w:r w:rsidRPr="0099475E">
        <w:t>OMPI pour la présentation des listages des séquences de nucléotides et d</w:t>
      </w:r>
      <w:r>
        <w:t>’</w:t>
      </w:r>
      <w:r w:rsidRPr="0099475E">
        <w:t>acides aminés</w:t>
      </w:r>
    </w:p>
    <w:p w:rsidR="009A1E82" w:rsidRPr="0099475E" w:rsidRDefault="009A1E82" w:rsidP="009A1E82">
      <w:pPr>
        <w:pStyle w:val="Heading1"/>
      </w:pPr>
      <w:r w:rsidRPr="0099475E">
        <w:t>Rappel</w:t>
      </w:r>
    </w:p>
    <w:p w:rsidR="009A1E82" w:rsidRPr="0099475E" w:rsidRDefault="009A1E82" w:rsidP="009A1E82">
      <w:pPr>
        <w:pStyle w:val="ONUMFS"/>
      </w:pPr>
      <w:r w:rsidRPr="0099475E">
        <w:t>L</w:t>
      </w:r>
      <w:r>
        <w:t>’</w:t>
      </w:r>
      <w:r w:rsidRPr="0099475E">
        <w:t>équipe d</w:t>
      </w:r>
      <w:r>
        <w:t>’</w:t>
      </w:r>
      <w:r w:rsidRPr="0099475E">
        <w:t>experts chargée de la norme relative aux listages des séquences a été créée par le Comité des normes de l</w:t>
      </w:r>
      <w:r>
        <w:t>’</w:t>
      </w:r>
      <w:r w:rsidRPr="0099475E">
        <w:t>OMPI (CWS) à sa première session (tenue du 25 au 29 octobre 2010) afin de mener à bien la tâche n° 44 (voir le paragraphe 29 du document CWS/1/10)</w:t>
      </w:r>
      <w:r>
        <w:t> :</w:t>
      </w:r>
    </w:p>
    <w:p w:rsidR="009A1E82" w:rsidRPr="0099475E" w:rsidRDefault="009A1E82" w:rsidP="009A1E82">
      <w:pPr>
        <w:pStyle w:val="ONUME"/>
        <w:numPr>
          <w:ilvl w:val="0"/>
          <w:numId w:val="0"/>
        </w:numPr>
        <w:ind w:left="567"/>
      </w:pPr>
      <w:r w:rsidRPr="0099475E">
        <w:t>“Établir une recommandation concernant la présentation des listages des séquences de nucléotides et d</w:t>
      </w:r>
      <w:r>
        <w:t>’</w:t>
      </w:r>
      <w:r w:rsidRPr="0099475E">
        <w:t>acides aminés en langage XML (</w:t>
      </w:r>
      <w:proofErr w:type="spellStart"/>
      <w:r w:rsidRPr="0099475E">
        <w:t>eXtensible</w:t>
      </w:r>
      <w:proofErr w:type="spellEnd"/>
      <w:r w:rsidRPr="0099475E">
        <w:t xml:space="preserve"> </w:t>
      </w:r>
      <w:proofErr w:type="spellStart"/>
      <w:r w:rsidRPr="0099475E">
        <w:t>Markup</w:t>
      </w:r>
      <w:proofErr w:type="spellEnd"/>
      <w:r w:rsidRPr="0099475E">
        <w:t xml:space="preserve"> </w:t>
      </w:r>
      <w:proofErr w:type="spellStart"/>
      <w:r w:rsidRPr="0099475E">
        <w:t>Language</w:t>
      </w:r>
      <w:proofErr w:type="spellEnd"/>
      <w:r w:rsidRPr="0099475E">
        <w:t>) pour adoption en tant que norme de l</w:t>
      </w:r>
      <w:r>
        <w:t>’</w:t>
      </w:r>
      <w:r w:rsidRPr="0099475E">
        <w:t>OMPI</w:t>
      </w:r>
      <w:r>
        <w:t xml:space="preserve">.  </w:t>
      </w:r>
      <w:r w:rsidRPr="0099475E">
        <w:t>La proposition relative à l</w:t>
      </w:r>
      <w:r>
        <w:t>’</w:t>
      </w:r>
      <w:r w:rsidRPr="0099475E">
        <w:t>établissement de cette nouvelle norme de l</w:t>
      </w:r>
      <w:r>
        <w:t>’</w:t>
      </w:r>
      <w:r w:rsidRPr="0099475E">
        <w:t>OMPI devrait être assortie d</w:t>
      </w:r>
      <w:r>
        <w:t>’</w:t>
      </w:r>
      <w:r w:rsidRPr="0099475E">
        <w:t>une étude de l</w:t>
      </w:r>
      <w:r>
        <w:t>’</w:t>
      </w:r>
      <w:r w:rsidRPr="0099475E">
        <w:t>incidence de ladite norme sur la norme ST.25 actuelle de l</w:t>
      </w:r>
      <w:r>
        <w:t>’</w:t>
      </w:r>
      <w:r w:rsidRPr="0099475E">
        <w:t>OMPI, indiquant notamment les modifications à apporter à la norme ST.25.”</w:t>
      </w:r>
    </w:p>
    <w:p w:rsidR="009A1E82" w:rsidRPr="0099475E" w:rsidRDefault="009A1E82" w:rsidP="009A1E82">
      <w:pPr>
        <w:pStyle w:val="ONUMFS"/>
      </w:pPr>
      <w:r w:rsidRPr="0099475E">
        <w:t>L</w:t>
      </w:r>
      <w:r>
        <w:t>’</w:t>
      </w:r>
      <w:r w:rsidRPr="0099475E">
        <w:t>équipe d</w:t>
      </w:r>
      <w:r>
        <w:t>’</w:t>
      </w:r>
      <w:r w:rsidRPr="0099475E">
        <w:t>experts a également été priée</w:t>
      </w:r>
      <w:r>
        <w:t> :</w:t>
      </w:r>
    </w:p>
    <w:p w:rsidR="009A1E82" w:rsidRPr="0099475E" w:rsidRDefault="009A1E82" w:rsidP="009A1E82">
      <w:pPr>
        <w:pStyle w:val="ONUME"/>
        <w:numPr>
          <w:ilvl w:val="0"/>
          <w:numId w:val="0"/>
        </w:numPr>
        <w:ind w:left="567"/>
      </w:pPr>
      <w:r w:rsidRPr="0099475E">
        <w:t>“de coordonner ses travaux avec l</w:t>
      </w:r>
      <w:r>
        <w:t>’</w:t>
      </w:r>
      <w:r w:rsidRPr="0099475E">
        <w:t>organe compétent du PCT en ce qui concerne l</w:t>
      </w:r>
      <w:r>
        <w:t>’</w:t>
      </w:r>
      <w:r w:rsidRPr="0099475E">
        <w:t>incidence éventuelle de ladite norme sur l</w:t>
      </w:r>
      <w:r>
        <w:t>’</w:t>
      </w:r>
      <w:r w:rsidRPr="0099475E">
        <w:t>annexe C des instructions administratives du PCT”.</w:t>
      </w:r>
    </w:p>
    <w:p w:rsidR="009A1E82" w:rsidRPr="0099475E" w:rsidRDefault="009A1E82" w:rsidP="009A1E82">
      <w:pPr>
        <w:pStyle w:val="ONUMFS"/>
      </w:pPr>
      <w:r w:rsidRPr="0099475E">
        <w:t>L</w:t>
      </w:r>
      <w:r>
        <w:t>’</w:t>
      </w:r>
      <w:r w:rsidRPr="0099475E">
        <w:t>Office européen des brevets (OEB) s</w:t>
      </w:r>
      <w:r>
        <w:t>’</w:t>
      </w:r>
      <w:r w:rsidRPr="0099475E">
        <w:t>est vu confier le rôle de responsable de l</w:t>
      </w:r>
      <w:r>
        <w:t>’</w:t>
      </w:r>
      <w:r w:rsidRPr="0099475E">
        <w:t>équipe d</w:t>
      </w:r>
      <w:r>
        <w:t>’</w:t>
      </w:r>
      <w:r w:rsidRPr="0099475E">
        <w:t>experts et la nouvelle norme de l</w:t>
      </w:r>
      <w:r>
        <w:t>’</w:t>
      </w:r>
      <w:r w:rsidRPr="0099475E">
        <w:t>OMPI, intitulée ST.26, a été officiellement adoptée lors de la reprise de la quatr</w:t>
      </w:r>
      <w:r>
        <w:t>ième session</w:t>
      </w:r>
      <w:r w:rsidRPr="0099475E">
        <w:t xml:space="preserve"> du CWS (CWS/4BIS) en mars 2016.</w:t>
      </w:r>
    </w:p>
    <w:p w:rsidR="009A1E82" w:rsidRPr="0099475E" w:rsidRDefault="009A1E82" w:rsidP="009A1E82">
      <w:pPr>
        <w:pStyle w:val="ONUMFS"/>
      </w:pPr>
      <w:r w:rsidRPr="0099475E">
        <w:t>À sa cinqu</w:t>
      </w:r>
      <w:r>
        <w:t>ième session</w:t>
      </w:r>
      <w:r w:rsidRPr="0099475E">
        <w:t>, le CWS est parvenu à un accord sur le scénario dit du “</w:t>
      </w:r>
      <w:proofErr w:type="spellStart"/>
      <w:r w:rsidRPr="0099475E">
        <w:t>big</w:t>
      </w:r>
      <w:proofErr w:type="spellEnd"/>
      <w:r w:rsidRPr="0099475E">
        <w:t xml:space="preserve"> bang” comme option de transition, selon lequel tous les offices de propriété intellectuelle devraient passer de la norme ST.25 à la norme ST.26 en même temps</w:t>
      </w:r>
      <w:r>
        <w:t xml:space="preserve">.  </w:t>
      </w:r>
      <w:r w:rsidRPr="0099475E">
        <w:t>Il a été décidé de retenir la date de dépôt international comme date de référence et janvier 2022 comme date de transition.</w:t>
      </w:r>
    </w:p>
    <w:p w:rsidR="009A1E82" w:rsidRPr="0099475E" w:rsidRDefault="009A1E82" w:rsidP="009A1E82">
      <w:pPr>
        <w:pStyle w:val="ONUMFS"/>
      </w:pPr>
      <w:r w:rsidRPr="0099475E">
        <w:t>À la même session, le Bureau international a informé le CWS qu</w:t>
      </w:r>
      <w:r>
        <w:t>’</w:t>
      </w:r>
      <w:r w:rsidRPr="0099475E">
        <w:t>il élaborerait un nouvel outil commun pour permettre aux déposants d</w:t>
      </w:r>
      <w:r>
        <w:t>’</w:t>
      </w:r>
      <w:r w:rsidRPr="0099475E">
        <w:t>établir des listages de séquences et de vérifier leur conformité avec la norme ST.26 de l</w:t>
      </w:r>
      <w:r>
        <w:t>’</w:t>
      </w:r>
      <w:r w:rsidRPr="0099475E">
        <w:t>OMPI</w:t>
      </w:r>
      <w:r>
        <w:t xml:space="preserve">.  </w:t>
      </w:r>
      <w:r w:rsidRPr="0099475E">
        <w:t>Le CWS est donc convenu de modifier la description de la tâche n° 44</w:t>
      </w:r>
      <w:r>
        <w:t> :</w:t>
      </w:r>
    </w:p>
    <w:p w:rsidR="009A1E82" w:rsidRPr="0099475E" w:rsidRDefault="009A1E82" w:rsidP="009A1E82">
      <w:pPr>
        <w:pStyle w:val="ONUME"/>
        <w:numPr>
          <w:ilvl w:val="0"/>
          <w:numId w:val="0"/>
        </w:numPr>
        <w:ind w:left="567"/>
      </w:pPr>
      <w:r w:rsidRPr="0099475E">
        <w:t>“Fournir un appui au Bureau international en communiquant les besoins et le retour d</w:t>
      </w:r>
      <w:r>
        <w:t>’</w:t>
      </w:r>
      <w:r w:rsidRPr="0099475E">
        <w:t>information des utilisateurs sur l</w:t>
      </w:r>
      <w:r>
        <w:t>’</w:t>
      </w:r>
      <w:r w:rsidRPr="0099475E">
        <w:t>outil d</w:t>
      </w:r>
      <w:r>
        <w:t>’</w:t>
      </w:r>
      <w:r w:rsidRPr="0099475E">
        <w:t xml:space="preserve">édition et de </w:t>
      </w:r>
      <w:proofErr w:type="gramStart"/>
      <w:r w:rsidRPr="0099475E">
        <w:t xml:space="preserve">validation; </w:t>
      </w:r>
      <w:r>
        <w:t xml:space="preserve"> </w:t>
      </w:r>
      <w:r w:rsidRPr="0099475E">
        <w:t>fournir</w:t>
      </w:r>
      <w:proofErr w:type="gramEnd"/>
      <w:r w:rsidRPr="0099475E">
        <w:t xml:space="preserve"> un appui au Bureau international pour les révisions à apporter en conséquence aux instructions administratives du PCT; </w:t>
      </w:r>
      <w:r>
        <w:t xml:space="preserve"> </w:t>
      </w:r>
      <w:r w:rsidRPr="0099475E">
        <w:t>et préparer les révisions à apporter à la norme ST.26 de l</w:t>
      </w:r>
      <w:r>
        <w:t>’</w:t>
      </w:r>
      <w:r w:rsidRPr="0099475E">
        <w:t>OMPI sur demande du CWS.”</w:t>
      </w:r>
    </w:p>
    <w:p w:rsidR="009A1E82" w:rsidRPr="0099475E" w:rsidRDefault="009A1E82" w:rsidP="009A1E82">
      <w:pPr>
        <w:pStyle w:val="ONUMFS"/>
      </w:pPr>
      <w:r w:rsidRPr="0099475E">
        <w:t>À la six</w:t>
      </w:r>
      <w:r>
        <w:t>ième session</w:t>
      </w:r>
      <w:r w:rsidRPr="0099475E">
        <w:t xml:space="preserve"> du CWS tenue en octobre 2018, l</w:t>
      </w:r>
      <w:r>
        <w:t>’</w:t>
      </w:r>
      <w:r w:rsidRPr="0099475E">
        <w:t>équipe d</w:t>
      </w:r>
      <w:r>
        <w:t>’</w:t>
      </w:r>
      <w:r w:rsidRPr="0099475E">
        <w:t>experts a rendu compte des progrès accomplis concernant l</w:t>
      </w:r>
      <w:r>
        <w:t>’</w:t>
      </w:r>
      <w:r w:rsidRPr="0099475E">
        <w:t>outil relatif à la norme ST.26, indiquant que l</w:t>
      </w:r>
      <w:r>
        <w:t>’</w:t>
      </w:r>
      <w:r w:rsidRPr="0099475E">
        <w:t>analyse opérationnelle, la conception de l</w:t>
      </w:r>
      <w:r>
        <w:t>’</w:t>
      </w:r>
      <w:r w:rsidRPr="0099475E">
        <w:t>architecture et la validation du concept avaient été menées à bien et que l</w:t>
      </w:r>
      <w:r>
        <w:t>’</w:t>
      </w:r>
      <w:r w:rsidRPr="0099475E">
        <w:t>outil était en cours d</w:t>
      </w:r>
      <w:r>
        <w:t>’</w:t>
      </w:r>
      <w:r w:rsidRPr="0099475E">
        <w:t>élaboration.</w:t>
      </w:r>
    </w:p>
    <w:p w:rsidR="009A1E82" w:rsidRPr="0099475E" w:rsidRDefault="009A1E82" w:rsidP="009A1E82">
      <w:pPr>
        <w:pStyle w:val="ONUMFS"/>
      </w:pPr>
      <w:r w:rsidRPr="0099475E">
        <w:t>À la même session, le comité a adopté la deuxième révision de la norme</w:t>
      </w:r>
      <w:r>
        <w:t> </w:t>
      </w:r>
      <w:r w:rsidRPr="0099475E">
        <w:t>ST.26 (version</w:t>
      </w:r>
      <w:r>
        <w:t> </w:t>
      </w:r>
      <w:r w:rsidRPr="0099475E">
        <w:t>1.2), reproduite dans le document CWS/6/16.  La révision a consisté à apporter des modifications au corps du texte de la norme</w:t>
      </w:r>
      <w:r>
        <w:t> </w:t>
      </w:r>
      <w:r w:rsidRPr="0099475E">
        <w:t>ST.26 et aux annexes</w:t>
      </w:r>
      <w:r>
        <w:t> </w:t>
      </w:r>
      <w:r w:rsidRPr="0099475E">
        <w:t>I, II, III, IV et VI, ainsi qu</w:t>
      </w:r>
      <w:r>
        <w:t>’</w:t>
      </w:r>
      <w:r w:rsidRPr="0099475E">
        <w:t>à ajouter une annexe</w:t>
      </w:r>
      <w:r>
        <w:t> </w:t>
      </w:r>
      <w:r w:rsidRPr="0099475E">
        <w:t xml:space="preserve">VII intitulée </w:t>
      </w:r>
      <w:r>
        <w:t>“</w:t>
      </w:r>
      <w:r w:rsidRPr="0099475E">
        <w:t>Transformation d</w:t>
      </w:r>
      <w:r>
        <w:t>’</w:t>
      </w:r>
      <w:r w:rsidRPr="0099475E">
        <w:t>un listage de séquences de la norme</w:t>
      </w:r>
      <w:r>
        <w:t> </w:t>
      </w:r>
      <w:r w:rsidRPr="0099475E">
        <w:t>ST.25 à la norme</w:t>
      </w:r>
      <w:r>
        <w:t> </w:t>
      </w:r>
      <w:r w:rsidRPr="0099475E">
        <w:t>ST.26</w:t>
      </w:r>
      <w:r>
        <w:t>”</w:t>
      </w:r>
      <w:r w:rsidRPr="0099475E">
        <w:t xml:space="preserve"> afin de faciliter la transition entre les deux</w:t>
      </w:r>
      <w:r>
        <w:t> </w:t>
      </w:r>
      <w:r w:rsidRPr="0099475E">
        <w:t>normes.</w:t>
      </w:r>
    </w:p>
    <w:p w:rsidR="009A1E82" w:rsidRPr="0099475E" w:rsidRDefault="009A1E82" w:rsidP="009A1E82">
      <w:pPr>
        <w:pStyle w:val="ONUMFS"/>
      </w:pPr>
      <w:r w:rsidRPr="0099475E">
        <w:t>À sa sept</w:t>
      </w:r>
      <w:r>
        <w:t>ième session</w:t>
      </w:r>
      <w:r w:rsidRPr="0099475E">
        <w:t>, tenue en juillet</w:t>
      </w:r>
      <w:r>
        <w:t> </w:t>
      </w:r>
      <w:r w:rsidRPr="0099475E">
        <w:t>2019, le</w:t>
      </w:r>
      <w:r>
        <w:t> </w:t>
      </w:r>
      <w:r w:rsidRPr="0099475E">
        <w:t>CWS a adopté certaines modifications de fond et corrections d</w:t>
      </w:r>
      <w:r>
        <w:t>’</w:t>
      </w:r>
      <w:r w:rsidRPr="0099475E">
        <w:t>ordre rédactionnel apportées aux annexes</w:t>
      </w:r>
      <w:r>
        <w:t> </w:t>
      </w:r>
      <w:r w:rsidRPr="0099475E">
        <w:t>I et VII de la norme</w:t>
      </w:r>
      <w:r>
        <w:t> </w:t>
      </w:r>
      <w:r w:rsidRPr="0099475E">
        <w:t>ST.26 (voir le document CWS/7/14).</w:t>
      </w:r>
    </w:p>
    <w:p w:rsidR="009A1E82" w:rsidRPr="0099475E" w:rsidRDefault="009A1E82" w:rsidP="009A1E82">
      <w:pPr>
        <w:pStyle w:val="Heading1"/>
      </w:pPr>
      <w:r w:rsidRPr="0099475E">
        <w:lastRenderedPageBreak/>
        <w:t>Rapport sur l</w:t>
      </w:r>
      <w:r>
        <w:t>’</w:t>
      </w:r>
      <w:r w:rsidRPr="0099475E">
        <w:t>état d</w:t>
      </w:r>
      <w:r>
        <w:t>’</w:t>
      </w:r>
      <w:r w:rsidRPr="0099475E">
        <w:t>avancement des travaux</w:t>
      </w:r>
    </w:p>
    <w:p w:rsidR="009A1E82" w:rsidRPr="0099475E" w:rsidRDefault="009A1E82" w:rsidP="009A1E82">
      <w:pPr>
        <w:pStyle w:val="Heading2"/>
      </w:pPr>
      <w:r w:rsidRPr="0099475E">
        <w:t>WIPO SEQUENCE (OUTIL)</w:t>
      </w:r>
    </w:p>
    <w:p w:rsidR="009A1E82" w:rsidRPr="0099475E" w:rsidRDefault="009A1E82" w:rsidP="009A1E82">
      <w:pPr>
        <w:pStyle w:val="ONUMFS"/>
      </w:pPr>
      <w:r w:rsidRPr="0099475E">
        <w:t>En mars 2019, le Bureau international a annoncé à l</w:t>
      </w:r>
      <w:r>
        <w:t>’</w:t>
      </w:r>
      <w:r w:rsidRPr="0099475E">
        <w:t>équipe d</w:t>
      </w:r>
      <w:r>
        <w:t>’</w:t>
      </w:r>
      <w:r w:rsidRPr="0099475E">
        <w:t>experts que des noms officiels avaient été adoptés pour désigner les différentes composantes de l</w:t>
      </w:r>
      <w:r>
        <w:t>’</w:t>
      </w:r>
      <w:r w:rsidRPr="0099475E">
        <w:t>outil logiciel commun relatif à la norme ST.26</w:t>
      </w:r>
      <w:r>
        <w:t> :</w:t>
      </w:r>
    </w:p>
    <w:p w:rsidR="009A1E82" w:rsidRPr="0099475E" w:rsidRDefault="009A1E82" w:rsidP="009A1E82">
      <w:pPr>
        <w:pStyle w:val="ONUMFS"/>
        <w:numPr>
          <w:ilvl w:val="1"/>
          <w:numId w:val="6"/>
        </w:numPr>
      </w:pPr>
      <w:r w:rsidRPr="009A1E82">
        <w:t xml:space="preserve">WIPO </w:t>
      </w:r>
      <w:proofErr w:type="spellStart"/>
      <w:r w:rsidRPr="009A1E82">
        <w:t>Sequence</w:t>
      </w:r>
      <w:proofErr w:type="spellEnd"/>
      <w:r w:rsidRPr="0099475E">
        <w:rPr>
          <w:i/>
        </w:rPr>
        <w:t xml:space="preserve"> </w:t>
      </w:r>
      <w:r w:rsidRPr="0099475E">
        <w:t>est désormais le nom officiel de l</w:t>
      </w:r>
      <w:r>
        <w:t>’</w:t>
      </w:r>
      <w:r w:rsidRPr="0099475E">
        <w:t>outil d</w:t>
      </w:r>
      <w:r>
        <w:t>’</w:t>
      </w:r>
      <w:r w:rsidRPr="0099475E">
        <w:t>édition et de validation destiné aux déposants (application de bureau);</w:t>
      </w:r>
    </w:p>
    <w:p w:rsidR="009A1E82" w:rsidRPr="0099475E" w:rsidRDefault="009A1E82" w:rsidP="009A1E82">
      <w:pPr>
        <w:pStyle w:val="ONUMFS"/>
        <w:numPr>
          <w:ilvl w:val="1"/>
          <w:numId w:val="6"/>
        </w:numPr>
      </w:pPr>
      <w:r w:rsidRPr="009A1E82">
        <w:t xml:space="preserve">WIPO </w:t>
      </w:r>
      <w:proofErr w:type="spellStart"/>
      <w:r w:rsidRPr="009A1E82">
        <w:t>Sequence</w:t>
      </w:r>
      <w:proofErr w:type="spellEnd"/>
      <w:r w:rsidRPr="009A1E82">
        <w:t xml:space="preserve"> </w:t>
      </w:r>
      <w:proofErr w:type="spellStart"/>
      <w:r w:rsidRPr="009A1E82">
        <w:t>Validator</w:t>
      </w:r>
      <w:proofErr w:type="spellEnd"/>
      <w:r w:rsidRPr="0099475E">
        <w:t xml:space="preserve"> désigne l</w:t>
      </w:r>
      <w:r>
        <w:t>’</w:t>
      </w:r>
      <w:r w:rsidRPr="0099475E">
        <w:t>outil de validation destiné aux offices de propriété intellectuelle installé comme un service autonome sur leurs réseaux (</w:t>
      </w:r>
      <w:proofErr w:type="spellStart"/>
      <w:r w:rsidRPr="0099475E">
        <w:t>microservice</w:t>
      </w:r>
      <w:proofErr w:type="spellEnd"/>
      <w:r w:rsidRPr="0099475E">
        <w:t>);</w:t>
      </w:r>
    </w:p>
    <w:p w:rsidR="009A1E82" w:rsidRPr="0099475E" w:rsidRDefault="009A1E82" w:rsidP="009A1E82">
      <w:pPr>
        <w:pStyle w:val="ONUMFS"/>
        <w:numPr>
          <w:ilvl w:val="1"/>
          <w:numId w:val="6"/>
        </w:numPr>
      </w:pPr>
      <w:r w:rsidRPr="009A1E82">
        <w:t xml:space="preserve">WIPO </w:t>
      </w:r>
      <w:proofErr w:type="spellStart"/>
      <w:r w:rsidRPr="009A1E82">
        <w:t>Sequence</w:t>
      </w:r>
      <w:proofErr w:type="spellEnd"/>
      <w:r w:rsidRPr="009A1E82">
        <w:t xml:space="preserve"> Server</w:t>
      </w:r>
      <w:r w:rsidRPr="0099475E">
        <w:t xml:space="preserve"> assurera la mise à jour aux outils WIPO </w:t>
      </w:r>
      <w:proofErr w:type="spellStart"/>
      <w:r w:rsidRPr="0099475E">
        <w:t>Sequence</w:t>
      </w:r>
      <w:proofErr w:type="spellEnd"/>
      <w:r w:rsidRPr="0099475E">
        <w:t xml:space="preserve"> et WIPO </w:t>
      </w:r>
      <w:proofErr w:type="spellStart"/>
      <w:r w:rsidRPr="0099475E">
        <w:t>Sequence</w:t>
      </w:r>
      <w:proofErr w:type="spellEnd"/>
      <w:r w:rsidRPr="0099475E">
        <w:t xml:space="preserve"> </w:t>
      </w:r>
      <w:proofErr w:type="spellStart"/>
      <w:r w:rsidRPr="0099475E">
        <w:t>Validator</w:t>
      </w:r>
      <w:proofErr w:type="spellEnd"/>
      <w:r w:rsidRPr="0099475E">
        <w:t xml:space="preserve"> et sera déployé sur le réseau de l</w:t>
      </w:r>
      <w:r>
        <w:t>’</w:t>
      </w:r>
      <w:r w:rsidRPr="0099475E">
        <w:t>OMPI</w:t>
      </w:r>
      <w:r>
        <w:t xml:space="preserve">.  </w:t>
      </w:r>
      <w:r w:rsidRPr="0099475E">
        <w:t>Les utilisateurs actuels recevront une notification lorsque de nouvelles versions seront disponibles.</w:t>
      </w:r>
    </w:p>
    <w:p w:rsidR="009A1E82" w:rsidRPr="0099475E" w:rsidRDefault="009A1E82" w:rsidP="009A1E82">
      <w:pPr>
        <w:pStyle w:val="ONUMFS"/>
      </w:pPr>
      <w:r w:rsidRPr="0099475E">
        <w:t>Le Bureau international a créé une page Wiki réservée aux membres de l</w:t>
      </w:r>
      <w:r>
        <w:t>’</w:t>
      </w:r>
      <w:r w:rsidRPr="0099475E">
        <w:t>équipe d</w:t>
      </w:r>
      <w:r>
        <w:t>’</w:t>
      </w:r>
      <w:r w:rsidRPr="0099475E">
        <w:t>experts et à l</w:t>
      </w:r>
      <w:r>
        <w:t>’</w:t>
      </w:r>
      <w:r w:rsidRPr="0099475E">
        <w:t>équipe de développement dédiée à l</w:t>
      </w:r>
      <w:r>
        <w:t>’</w:t>
      </w:r>
      <w:r w:rsidRPr="0099475E">
        <w:t>élaboration des spécifications fonctionnelles et à l</w:t>
      </w:r>
      <w:r>
        <w:t>’</w:t>
      </w:r>
      <w:r w:rsidRPr="0099475E">
        <w:t>examen de l</w:t>
      </w:r>
      <w:r>
        <w:t>’</w:t>
      </w:r>
      <w:r w:rsidRPr="0099475E">
        <w:t>interface graphique</w:t>
      </w:r>
      <w:r>
        <w:t xml:space="preserve">.  </w:t>
      </w:r>
      <w:r w:rsidRPr="0099475E">
        <w:t>Depuis novembre 2018, l</w:t>
      </w:r>
      <w:r>
        <w:t>’</w:t>
      </w:r>
      <w:r w:rsidRPr="0099475E">
        <w:t>équipe d</w:t>
      </w:r>
      <w:r>
        <w:t>’</w:t>
      </w:r>
      <w:r w:rsidRPr="0099475E">
        <w:t>experts formule des observations concernant les diverses versions mises à l</w:t>
      </w:r>
      <w:r>
        <w:t>’</w:t>
      </w:r>
      <w:r w:rsidRPr="0099475E">
        <w:t>essai afin de s</w:t>
      </w:r>
      <w:r>
        <w:t>’</w:t>
      </w:r>
      <w:r w:rsidRPr="0099475E">
        <w:t>assurer que les fonctionnalités ont été correctement mises en œuvre, et améliore les fonctionnalités existantes pour répondre aux besoins des utilisateurs.</w:t>
      </w:r>
    </w:p>
    <w:p w:rsidR="009A1E82" w:rsidRDefault="009A1E82" w:rsidP="009A1E82">
      <w:pPr>
        <w:pStyle w:val="ONUMFS"/>
      </w:pPr>
      <w:r w:rsidRPr="0099475E">
        <w:t>En août</w:t>
      </w:r>
      <w:r>
        <w:t> </w:t>
      </w:r>
      <w:r w:rsidRPr="0099475E">
        <w:t>2020, l</w:t>
      </w:r>
      <w:r>
        <w:t>’</w:t>
      </w:r>
      <w:r w:rsidRPr="0099475E">
        <w:t>Office de la propriété intellectuelle du Canada, l</w:t>
      </w:r>
      <w:r>
        <w:t>’</w:t>
      </w:r>
      <w:r w:rsidRPr="0099475E">
        <w:t>Office européen des brevets, l</w:t>
      </w:r>
      <w:r>
        <w:t>’</w:t>
      </w:r>
      <w:r w:rsidRPr="0099475E">
        <w:t>Office des brevets d</w:t>
      </w:r>
      <w:r>
        <w:t>’</w:t>
      </w:r>
      <w:r w:rsidRPr="0099475E">
        <w:t>Israël, l</w:t>
      </w:r>
      <w:r>
        <w:t>’</w:t>
      </w:r>
      <w:r w:rsidRPr="0099475E">
        <w:t>Office des brevets du Japon, l</w:t>
      </w:r>
      <w:r>
        <w:t>’</w:t>
      </w:r>
      <w:r w:rsidRPr="0099475E">
        <w:t>Office coréen de la propriété intellectuelle, l</w:t>
      </w:r>
      <w:r>
        <w:t>’</w:t>
      </w:r>
      <w:r w:rsidRPr="0099475E">
        <w:t>Institut national de la propriété industrielle (Brésil) et l</w:t>
      </w:r>
      <w:r>
        <w:t>’</w:t>
      </w:r>
      <w:r w:rsidRPr="0099475E">
        <w:t>Office des brevets et des marques des États</w:t>
      </w:r>
      <w:r>
        <w:t>-</w:t>
      </w:r>
      <w:r w:rsidRPr="0099475E">
        <w:t>Unis d</w:t>
      </w:r>
      <w:r>
        <w:t>’</w:t>
      </w:r>
      <w:r w:rsidRPr="0099475E">
        <w:t xml:space="preserve">Amérique ont fourni des informations sur la première diffusion de WIPO </w:t>
      </w:r>
      <w:proofErr w:type="spellStart"/>
      <w:r w:rsidRPr="0099475E">
        <w:t>Sequence</w:t>
      </w:r>
      <w:proofErr w:type="spellEnd"/>
      <w:r w:rsidRPr="0099475E">
        <w:t xml:space="preserve"> et de WIPO </w:t>
      </w:r>
      <w:proofErr w:type="spellStart"/>
      <w:r w:rsidRPr="0099475E">
        <w:t>Sequence</w:t>
      </w:r>
      <w:proofErr w:type="spellEnd"/>
      <w:r w:rsidRPr="0099475E">
        <w:t xml:space="preserve"> </w:t>
      </w:r>
      <w:proofErr w:type="spellStart"/>
      <w:r w:rsidRPr="0099475E">
        <w:t>Validator</w:t>
      </w:r>
      <w:proofErr w:type="spellEnd"/>
      <w:r w:rsidRPr="0099475E">
        <w:t xml:space="preserve"> (version</w:t>
      </w:r>
      <w:r>
        <w:t> </w:t>
      </w:r>
      <w:r w:rsidRPr="0099475E">
        <w:t>beta3).</w:t>
      </w:r>
    </w:p>
    <w:p w:rsidR="009A1E82" w:rsidRPr="0099475E" w:rsidRDefault="009A1E82" w:rsidP="009A1E82">
      <w:pPr>
        <w:pStyle w:val="Heading2"/>
      </w:pPr>
      <w:r w:rsidRPr="0099475E">
        <w:t>Révision de la norme ST.26 de l</w:t>
      </w:r>
      <w:r>
        <w:t>’</w:t>
      </w:r>
      <w:r w:rsidRPr="0099475E">
        <w:t>OMPI</w:t>
      </w:r>
    </w:p>
    <w:p w:rsidR="009A1E82" w:rsidRPr="0099475E" w:rsidRDefault="009A1E82" w:rsidP="009A1E82">
      <w:pPr>
        <w:pStyle w:val="ONUMFS"/>
      </w:pPr>
      <w:r w:rsidRPr="0099475E">
        <w:t>L</w:t>
      </w:r>
      <w:r>
        <w:t>’</w:t>
      </w:r>
      <w:r w:rsidRPr="0099475E">
        <w:t>équipe d</w:t>
      </w:r>
      <w:r>
        <w:t>’</w:t>
      </w:r>
      <w:r w:rsidRPr="0099475E">
        <w:t>experts examine certains changements de la norme ST.26, qui seront présentés à la huit</w:t>
      </w:r>
      <w:r>
        <w:t>ième session</w:t>
      </w:r>
      <w:r w:rsidRPr="0099475E">
        <w:t xml:space="preserve"> du CWS, prévue du 30</w:t>
      </w:r>
      <w:r>
        <w:t> </w:t>
      </w:r>
      <w:r w:rsidRPr="0099475E">
        <w:t>novembre au 4</w:t>
      </w:r>
      <w:r>
        <w:t> </w:t>
      </w:r>
      <w:r w:rsidRPr="0099475E">
        <w:t>décembre</w:t>
      </w:r>
      <w:r>
        <w:t> </w:t>
      </w:r>
      <w:r w:rsidRPr="0099475E">
        <w:t>2020.</w:t>
      </w:r>
    </w:p>
    <w:p w:rsidR="009A1E82" w:rsidRPr="0099475E" w:rsidRDefault="009A1E82" w:rsidP="009A1E82">
      <w:pPr>
        <w:pStyle w:val="Heading2"/>
      </w:pPr>
      <w:r w:rsidRPr="0099475E">
        <w:t>Révision du cadre juridique du PCT (règlement d</w:t>
      </w:r>
      <w:r>
        <w:t>’</w:t>
      </w:r>
      <w:r w:rsidRPr="0099475E">
        <w:t>exécution et instructions administratives du PCT)</w:t>
      </w:r>
    </w:p>
    <w:p w:rsidR="009A1E82" w:rsidRPr="0099475E" w:rsidRDefault="009A1E82" w:rsidP="009A1E82">
      <w:pPr>
        <w:pStyle w:val="ONUMFS"/>
      </w:pPr>
      <w:r w:rsidRPr="0099475E">
        <w:t>Il est nécessaire de modifier le règlement d</w:t>
      </w:r>
      <w:r>
        <w:t>’</w:t>
      </w:r>
      <w:r w:rsidRPr="0099475E">
        <w:t>exécution et les Instructions administratives du</w:t>
      </w:r>
      <w:r>
        <w:t> </w:t>
      </w:r>
      <w:r w:rsidRPr="0099475E">
        <w:t>PCT afin d</w:t>
      </w:r>
      <w:r>
        <w:t>’</w:t>
      </w:r>
      <w:r w:rsidRPr="0099475E">
        <w:t>assurer la transition de la norme</w:t>
      </w:r>
      <w:r>
        <w:t> </w:t>
      </w:r>
      <w:r w:rsidRPr="0099475E">
        <w:t>ST.25 actuelle sur les listages des séquences à la nouvelle norme</w:t>
      </w:r>
      <w:r>
        <w:t> </w:t>
      </w:r>
      <w:r w:rsidRPr="0099475E">
        <w:t>ST.26 de l</w:t>
      </w:r>
      <w:r>
        <w:t>’</w:t>
      </w:r>
      <w:r w:rsidRPr="0099475E">
        <w:t>OMPI</w:t>
      </w:r>
      <w:r>
        <w:t xml:space="preserve">.  </w:t>
      </w:r>
      <w:r w:rsidRPr="0099475E">
        <w:t>Le Bureau international a établi une première proposition à la onz</w:t>
      </w:r>
      <w:r>
        <w:t>ième session</w:t>
      </w:r>
      <w:r w:rsidRPr="0099475E">
        <w:t xml:space="preserve"> du Groupe de travail du</w:t>
      </w:r>
      <w:r>
        <w:t> </w:t>
      </w:r>
      <w:r w:rsidRPr="0099475E">
        <w:t>PCT (voir le document PCT/WG/11/24), suivie d</w:t>
      </w:r>
      <w:r>
        <w:t>’</w:t>
      </w:r>
      <w:r w:rsidRPr="0099475E">
        <w:t>une version révisée pour la douz</w:t>
      </w:r>
      <w:r>
        <w:t>ième session</w:t>
      </w:r>
      <w:r w:rsidRPr="0099475E">
        <w:t xml:space="preserve"> en</w:t>
      </w:r>
      <w:r>
        <w:t> </w:t>
      </w:r>
      <w:r w:rsidRPr="0099475E">
        <w:t>2019 (voir le document PCT/WG/12/13).  Compte tenu de la situation liée au coronavirus, la session du Groupe de travail du</w:t>
      </w:r>
      <w:r>
        <w:t> </w:t>
      </w:r>
      <w:r w:rsidRPr="0099475E">
        <w:t>PCT prévue en mai</w:t>
      </w:r>
      <w:r>
        <w:t> </w:t>
      </w:r>
      <w:r w:rsidRPr="0099475E">
        <w:t>2020 a été reportée à octobre</w:t>
      </w:r>
      <w:r>
        <w:t> </w:t>
      </w:r>
      <w:r w:rsidRPr="0099475E">
        <w:t>2020.  En conséquence, ces modifications n</w:t>
      </w:r>
      <w:r>
        <w:t>’</w:t>
      </w:r>
      <w:r w:rsidRPr="0099475E">
        <w:t>ont pas été soumises à la quarante</w:t>
      </w:r>
      <w:r>
        <w:t>-</w:t>
      </w:r>
      <w:r w:rsidRPr="0099475E">
        <w:t>deux</w:t>
      </w:r>
      <w:r>
        <w:t>ième session</w:t>
      </w:r>
      <w:r w:rsidRPr="0099475E">
        <w:t xml:space="preserve"> de l</w:t>
      </w:r>
      <w:r>
        <w:t>’</w:t>
      </w:r>
      <w:r w:rsidRPr="0099475E">
        <w:t>Assemblée de l</w:t>
      </w:r>
      <w:r>
        <w:t>’</w:t>
      </w:r>
      <w:r w:rsidRPr="0099475E">
        <w:t>Union du</w:t>
      </w:r>
      <w:r>
        <w:t> </w:t>
      </w:r>
      <w:r w:rsidRPr="0099475E">
        <w:t>PCT, qui se tiendra du 21 au 25</w:t>
      </w:r>
      <w:r>
        <w:t> </w:t>
      </w:r>
      <w:r w:rsidRPr="0099475E">
        <w:t>septembre</w:t>
      </w:r>
      <w:r>
        <w:t> </w:t>
      </w:r>
      <w:r w:rsidRPr="0099475E">
        <w:t>2020.  En revanche, une nouvelle proposition révisée sera examinée à la présente session du Groupe de travail du</w:t>
      </w:r>
      <w:r>
        <w:t> </w:t>
      </w:r>
      <w:r w:rsidRPr="0099475E">
        <w:t>PCT (voir le document PCT/WG/13/8).  Il est prévu que les modifications soient soumises à une prochaine session de l</w:t>
      </w:r>
      <w:r>
        <w:t>’</w:t>
      </w:r>
      <w:r w:rsidRPr="0099475E">
        <w:t>assemblée pour adoption, en vue de leur entrée en vigueur au</w:t>
      </w:r>
      <w:r>
        <w:t xml:space="preserve"> 1</w:t>
      </w:r>
      <w:r w:rsidRPr="00E87D7A">
        <w:rPr>
          <w:vertAlign w:val="superscript"/>
        </w:rPr>
        <w:t>er</w:t>
      </w:r>
      <w:r>
        <w:t> </w:t>
      </w:r>
      <w:r w:rsidRPr="0099475E">
        <w:t>janvier</w:t>
      </w:r>
      <w:r>
        <w:t> </w:t>
      </w:r>
      <w:r w:rsidRPr="0099475E">
        <w:t>2022.</w:t>
      </w:r>
    </w:p>
    <w:p w:rsidR="009A1E82" w:rsidRPr="0099475E" w:rsidRDefault="009A1E82" w:rsidP="009A1E82">
      <w:pPr>
        <w:pStyle w:val="Heading1"/>
      </w:pPr>
      <w:r w:rsidRPr="0099475E">
        <w:lastRenderedPageBreak/>
        <w:t>Feuille de route</w:t>
      </w:r>
    </w:p>
    <w:p w:rsidR="009A1E82" w:rsidRPr="0099475E" w:rsidRDefault="009A1E82" w:rsidP="009A1E82">
      <w:pPr>
        <w:pStyle w:val="ONUMFS"/>
        <w:keepNext/>
      </w:pPr>
      <w:r w:rsidRPr="0099475E">
        <w:t>L</w:t>
      </w:r>
      <w:r>
        <w:t>’</w:t>
      </w:r>
      <w:r w:rsidRPr="0099475E">
        <w:t>équipe d</w:t>
      </w:r>
      <w:r>
        <w:t>’</w:t>
      </w:r>
      <w:r w:rsidRPr="0099475E">
        <w:t>experts prévoit</w:t>
      </w:r>
    </w:p>
    <w:p w:rsidR="009A1E82" w:rsidRPr="0099475E" w:rsidRDefault="009A1E82" w:rsidP="009A1E82">
      <w:pPr>
        <w:pStyle w:val="ONUMFS"/>
        <w:keepNext/>
        <w:numPr>
          <w:ilvl w:val="1"/>
          <w:numId w:val="6"/>
        </w:numPr>
      </w:pPr>
      <w:proofErr w:type="gramStart"/>
      <w:r w:rsidRPr="0099475E">
        <w:t>de</w:t>
      </w:r>
      <w:proofErr w:type="gramEnd"/>
      <w:r w:rsidRPr="0099475E">
        <w:t xml:space="preserve"> fournir un appui au Bureau international en continuant de participer à l</w:t>
      </w:r>
      <w:r>
        <w:t>’</w:t>
      </w:r>
      <w:r w:rsidRPr="0099475E">
        <w:t xml:space="preserve">élaboration et au test de WIPO </w:t>
      </w:r>
      <w:proofErr w:type="spellStart"/>
      <w:r w:rsidRPr="0099475E">
        <w:t>Sequence</w:t>
      </w:r>
      <w:proofErr w:type="spellEnd"/>
      <w:r w:rsidRPr="0099475E">
        <w:t>;</w:t>
      </w:r>
    </w:p>
    <w:p w:rsidR="009A1E82" w:rsidRPr="0099475E" w:rsidRDefault="009A1E82" w:rsidP="009A1E82">
      <w:pPr>
        <w:pStyle w:val="ONUMFS"/>
        <w:numPr>
          <w:ilvl w:val="1"/>
          <w:numId w:val="6"/>
        </w:numPr>
      </w:pPr>
      <w:proofErr w:type="gramStart"/>
      <w:r w:rsidRPr="0099475E">
        <w:t>de</w:t>
      </w:r>
      <w:proofErr w:type="gramEnd"/>
      <w:r w:rsidRPr="0099475E">
        <w:t xml:space="preserve"> fournir un appui au Bureau international pour les révisions à apporter en conséquence au cadre juridique du PCT (règlement d</w:t>
      </w:r>
      <w:r>
        <w:t>’</w:t>
      </w:r>
      <w:r w:rsidRPr="0099475E">
        <w:t>exécution et instructions administratives du PCT) et</w:t>
      </w:r>
    </w:p>
    <w:p w:rsidR="009A1E82" w:rsidRPr="0099475E" w:rsidRDefault="009A1E82" w:rsidP="009A1E82">
      <w:pPr>
        <w:pStyle w:val="ONUMFS"/>
        <w:numPr>
          <w:ilvl w:val="1"/>
          <w:numId w:val="6"/>
        </w:numPr>
      </w:pPr>
      <w:proofErr w:type="gramStart"/>
      <w:r w:rsidRPr="0099475E">
        <w:t>de</w:t>
      </w:r>
      <w:proofErr w:type="gramEnd"/>
      <w:r w:rsidRPr="0099475E">
        <w:t xml:space="preserve"> travailler sur toute autre révision de la norme ST.26 de l</w:t>
      </w:r>
      <w:r>
        <w:t>’</w:t>
      </w:r>
      <w:r w:rsidRPr="0099475E">
        <w:t>OMPI, selon que de besoin, afin de faciliter encore la mise en œuvre de la norme ST.26 par les offices et les déposants.</w:t>
      </w:r>
    </w:p>
    <w:p w:rsidR="009A1E82" w:rsidRPr="0099475E" w:rsidRDefault="009A1E82" w:rsidP="009A1E82">
      <w:pPr>
        <w:pStyle w:val="ONUME"/>
        <w:numPr>
          <w:ilvl w:val="0"/>
          <w:numId w:val="0"/>
        </w:numPr>
      </w:pPr>
    </w:p>
    <w:p w:rsidR="009A1E82" w:rsidRPr="0099475E" w:rsidRDefault="009A1E82" w:rsidP="009A1E82">
      <w:pPr>
        <w:pStyle w:val="Endofdocument-Annex"/>
        <w:rPr>
          <w:lang w:val="fr-CH"/>
        </w:rPr>
      </w:pPr>
      <w:r w:rsidRPr="0099475E">
        <w:rPr>
          <w:lang w:val="fr-CH"/>
        </w:rPr>
        <w:t>[Fin de l</w:t>
      </w:r>
      <w:r>
        <w:rPr>
          <w:lang w:val="fr-CH"/>
        </w:rPr>
        <w:t>’</w:t>
      </w:r>
      <w:r w:rsidRPr="0099475E">
        <w:rPr>
          <w:lang w:val="fr-CH"/>
        </w:rPr>
        <w:t>annexe et du document]</w:t>
      </w:r>
    </w:p>
    <w:p w:rsidR="009A1E82" w:rsidRPr="0099475E" w:rsidRDefault="009A1E82" w:rsidP="009A1E82">
      <w:pPr>
        <w:pStyle w:val="ONUME"/>
        <w:numPr>
          <w:ilvl w:val="0"/>
          <w:numId w:val="0"/>
        </w:numPr>
      </w:pPr>
    </w:p>
    <w:p w:rsidR="000F5E56" w:rsidRDefault="000F5E56" w:rsidP="00BF7E63">
      <w:pPr>
        <w:spacing w:after="220"/>
      </w:pPr>
    </w:p>
    <w:sectPr w:rsidR="000F5E56" w:rsidSect="009A1E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12" w:rsidRDefault="00005612">
      <w:r>
        <w:separator/>
      </w:r>
    </w:p>
  </w:endnote>
  <w:endnote w:type="continuationSeparator" w:id="0">
    <w:p w:rsidR="00005612" w:rsidRPr="009D30E6" w:rsidRDefault="0000561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05612" w:rsidRPr="009D30E6" w:rsidRDefault="0000561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05612" w:rsidRPr="009D30E6" w:rsidRDefault="0000561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B5" w:rsidRDefault="006A35B5" w:rsidP="006A3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B5" w:rsidRDefault="006A35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B5" w:rsidRDefault="006A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12" w:rsidRDefault="00005612">
      <w:r>
        <w:separator/>
      </w:r>
    </w:p>
  </w:footnote>
  <w:footnote w:type="continuationSeparator" w:id="0">
    <w:p w:rsidR="00005612" w:rsidRDefault="00005612" w:rsidP="007461F1">
      <w:r>
        <w:separator/>
      </w:r>
    </w:p>
    <w:p w:rsidR="00005612" w:rsidRPr="009D30E6" w:rsidRDefault="0000561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05612" w:rsidRPr="009D30E6" w:rsidRDefault="0000561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B5" w:rsidRDefault="006A35B5" w:rsidP="006A35B5">
    <w:pPr>
      <w:jc w:val="right"/>
    </w:pPr>
    <w:r>
      <w:t>PCT/WG/12/14</w:t>
    </w:r>
  </w:p>
  <w:p w:rsidR="006A35B5" w:rsidRDefault="006A35B5" w:rsidP="006A35B5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A35B5" w:rsidRDefault="006A35B5" w:rsidP="006A35B5">
    <w:pPr>
      <w:jc w:val="right"/>
    </w:pPr>
  </w:p>
  <w:p w:rsidR="006A35B5" w:rsidRDefault="006A35B5" w:rsidP="006A35B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82" w:rsidRDefault="009A1E82" w:rsidP="00477D6B">
    <w:pPr>
      <w:jc w:val="right"/>
    </w:pPr>
    <w:r>
      <w:t>PCT/WG/12/14</w:t>
    </w:r>
  </w:p>
  <w:p w:rsidR="009A1E82" w:rsidRDefault="009A1E82" w:rsidP="00477D6B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A1E82" w:rsidRDefault="009A1E82" w:rsidP="00477D6B">
    <w:pPr>
      <w:jc w:val="right"/>
    </w:pPr>
  </w:p>
  <w:p w:rsidR="009A1E82" w:rsidRDefault="009A1E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B5" w:rsidRPr="00963071" w:rsidRDefault="006A35B5" w:rsidP="006A35B5">
    <w:pPr>
      <w:jc w:val="right"/>
      <w:rPr>
        <w:caps/>
      </w:rPr>
    </w:pPr>
    <w:r>
      <w:rPr>
        <w:caps/>
      </w:rPr>
      <w:t>P</w:t>
    </w:r>
    <w:r w:rsidR="006F578F">
      <w:rPr>
        <w:caps/>
      </w:rPr>
      <w:t>CT/WG/13/9</w:t>
    </w:r>
  </w:p>
  <w:p w:rsidR="006A35B5" w:rsidRDefault="006A35B5" w:rsidP="006A35B5">
    <w:pPr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 w:rsidR="00A06412">
      <w:rPr>
        <w:noProof/>
      </w:rPr>
      <w:t>2</w:t>
    </w:r>
    <w:r>
      <w:fldChar w:fldCharType="end"/>
    </w:r>
  </w:p>
  <w:p w:rsidR="006A35B5" w:rsidRDefault="006A35B5" w:rsidP="006A35B5">
    <w:pPr>
      <w:jc w:val="right"/>
    </w:pPr>
  </w:p>
  <w:p w:rsidR="006A35B5" w:rsidRDefault="006A35B5" w:rsidP="006A35B5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3071" w:rsidRDefault="00005612" w:rsidP="00477D6B">
    <w:pPr>
      <w:jc w:val="right"/>
      <w:rPr>
        <w:caps/>
      </w:rPr>
    </w:pPr>
    <w:r>
      <w:rPr>
        <w:caps/>
      </w:rPr>
      <w:t>P</w:t>
    </w:r>
    <w:r w:rsidR="007D49DA">
      <w:rPr>
        <w:caps/>
      </w:rPr>
      <w:t>CT/WG/13/9</w:t>
    </w:r>
  </w:p>
  <w:p w:rsidR="00F16975" w:rsidRDefault="009A1E82" w:rsidP="00477D6B">
    <w:pPr>
      <w:jc w:val="right"/>
    </w:pPr>
    <w:r>
      <w:t xml:space="preserve">Annexe, </w:t>
    </w:r>
    <w:r w:rsidR="00F16975">
      <w:t xml:space="preserve">page 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A06412">
      <w:rPr>
        <w:noProof/>
      </w:rPr>
      <w:t>3</w:t>
    </w:r>
    <w:r w:rsidR="00F16975"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82" w:rsidRDefault="009A1E82" w:rsidP="009A1E82">
    <w:pPr>
      <w:pStyle w:val="Header"/>
      <w:jc w:val="right"/>
    </w:pPr>
    <w:r>
      <w:t>PCT/WG/13/9</w:t>
    </w:r>
  </w:p>
  <w:p w:rsidR="009A1E82" w:rsidRDefault="009A1E82" w:rsidP="009A1E82">
    <w:pPr>
      <w:pStyle w:val="Header"/>
      <w:jc w:val="right"/>
    </w:pPr>
    <w:r>
      <w:t>ANNEXE</w:t>
    </w:r>
  </w:p>
  <w:p w:rsidR="009A1E82" w:rsidRDefault="009A1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12"/>
    <w:rsid w:val="00005612"/>
    <w:rsid w:val="00011B7D"/>
    <w:rsid w:val="000453DC"/>
    <w:rsid w:val="00075432"/>
    <w:rsid w:val="0009458A"/>
    <w:rsid w:val="000F5E56"/>
    <w:rsid w:val="001362EE"/>
    <w:rsid w:val="0017639F"/>
    <w:rsid w:val="001832A6"/>
    <w:rsid w:val="00195C6E"/>
    <w:rsid w:val="001B266A"/>
    <w:rsid w:val="001C6508"/>
    <w:rsid w:val="001D3D56"/>
    <w:rsid w:val="00236220"/>
    <w:rsid w:val="00240654"/>
    <w:rsid w:val="002634C4"/>
    <w:rsid w:val="002755C8"/>
    <w:rsid w:val="002956DE"/>
    <w:rsid w:val="002A3CDA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47684"/>
    <w:rsid w:val="006A35B5"/>
    <w:rsid w:val="006B0DB5"/>
    <w:rsid w:val="006D1373"/>
    <w:rsid w:val="006F578F"/>
    <w:rsid w:val="007461F1"/>
    <w:rsid w:val="007D49DA"/>
    <w:rsid w:val="007D6961"/>
    <w:rsid w:val="007F07CB"/>
    <w:rsid w:val="00810CEF"/>
    <w:rsid w:val="0081208D"/>
    <w:rsid w:val="0082154D"/>
    <w:rsid w:val="008B2CC1"/>
    <w:rsid w:val="008E7930"/>
    <w:rsid w:val="0090731E"/>
    <w:rsid w:val="00963071"/>
    <w:rsid w:val="00966A22"/>
    <w:rsid w:val="00974CD6"/>
    <w:rsid w:val="009A1E82"/>
    <w:rsid w:val="009D30E6"/>
    <w:rsid w:val="009E3F6F"/>
    <w:rsid w:val="009F499F"/>
    <w:rsid w:val="00A06412"/>
    <w:rsid w:val="00A11D74"/>
    <w:rsid w:val="00AC0AE4"/>
    <w:rsid w:val="00AD61DB"/>
    <w:rsid w:val="00B1090C"/>
    <w:rsid w:val="00B35AF5"/>
    <w:rsid w:val="00BB2295"/>
    <w:rsid w:val="00BE0BE0"/>
    <w:rsid w:val="00BF7E63"/>
    <w:rsid w:val="00C349BB"/>
    <w:rsid w:val="00C664C8"/>
    <w:rsid w:val="00CF0460"/>
    <w:rsid w:val="00D20C96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6221E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47F6C1B8-9A14-4352-A037-FCD16C02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79F7-B5C2-492F-A8BD-D8790BD5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1249</Words>
  <Characters>6542</Characters>
  <Application>Microsoft Office Word</Application>
  <DocSecurity>0</DocSecurity>
  <Lines>120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PCT/WG/13/9</vt:lpstr>
    </vt:vector>
  </TitlesOfParts>
  <Company>WIPO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PCT/WG/13/9</dc:title>
  <dc:subject>Rapport sur l'état d'avancement des travaux de l'équipe d'experts chargée de la norme relative aux listages des séquences</dc:subject>
  <dc:creator>MARLOW Thomas</dc:creator>
  <cp:keywords>PUBLIC</cp:keywords>
  <cp:lastModifiedBy>MARLOW Thomas</cp:lastModifiedBy>
  <cp:revision>14</cp:revision>
  <cp:lastPrinted>2020-09-22T16:49:00Z</cp:lastPrinted>
  <dcterms:created xsi:type="dcterms:W3CDTF">2020-09-22T16:30:00Z</dcterms:created>
  <dcterms:modified xsi:type="dcterms:W3CDTF">2020-09-28T11:07:00Z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