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581" w:rsidRPr="009A006E" w:rsidTr="00A87CB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581" w:rsidRPr="009A006E" w:rsidRDefault="00EC4581" w:rsidP="00A87CB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581" w:rsidRPr="009A006E" w:rsidRDefault="00EC4581" w:rsidP="00A87CB5">
            <w:pPr>
              <w:rPr>
                <w:lang w:val="fr-FR"/>
              </w:rPr>
            </w:pPr>
            <w:r w:rsidRPr="009A006E">
              <w:rPr>
                <w:noProof/>
                <w:lang w:eastAsia="en-US"/>
              </w:rPr>
              <w:drawing>
                <wp:inline distT="0" distB="0" distL="0" distR="0" wp14:anchorId="1F87F56A" wp14:editId="3DDE9FC0">
                  <wp:extent cx="1855470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581" w:rsidRPr="009A006E" w:rsidRDefault="00EC4581" w:rsidP="00A87CB5">
            <w:pPr>
              <w:jc w:val="right"/>
              <w:rPr>
                <w:lang w:val="fr-FR"/>
              </w:rPr>
            </w:pPr>
            <w:r w:rsidRPr="009A006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C4581" w:rsidRPr="009A006E" w:rsidTr="00A87CB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C4581" w:rsidRPr="009A006E" w:rsidRDefault="00EC4581" w:rsidP="00F422D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A006E">
              <w:rPr>
                <w:rFonts w:ascii="Arial Black" w:hAnsi="Arial Black"/>
                <w:caps/>
                <w:sz w:val="15"/>
                <w:lang w:val="fr-FR"/>
              </w:rPr>
              <w:t>PCT/WG/</w:t>
            </w:r>
            <w:r w:rsidR="00F422DA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r w:rsidRPr="009A006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 w:rsidR="00F422DA">
              <w:rPr>
                <w:rFonts w:ascii="Arial Black" w:hAnsi="Arial Black"/>
                <w:caps/>
                <w:sz w:val="15"/>
                <w:lang w:val="fr-FR"/>
              </w:rPr>
              <w:t>17</w:t>
            </w:r>
            <w:r w:rsidRPr="009A006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EC4581" w:rsidRPr="009A006E" w:rsidTr="00A87CB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C4581" w:rsidRPr="009A006E" w:rsidRDefault="00EC4581" w:rsidP="00EC458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A006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655F6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9A006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9A006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EC4581" w:rsidRPr="009A006E" w:rsidTr="00A87CB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C4581" w:rsidRPr="009A006E" w:rsidRDefault="00EC4581" w:rsidP="00F422D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A006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655F6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9A006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F422DA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Pr="009A006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F422DA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 w:rsidRPr="009A006E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F422DA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</w:tbl>
    <w:p w:rsidR="00EC4581" w:rsidRPr="009A006E" w:rsidRDefault="00EC4581" w:rsidP="00EC4581">
      <w:pPr>
        <w:rPr>
          <w:lang w:val="fr-FR"/>
        </w:rPr>
      </w:pPr>
    </w:p>
    <w:p w:rsidR="00EC4581" w:rsidRPr="009A006E" w:rsidRDefault="00EC4581" w:rsidP="00EC4581">
      <w:pPr>
        <w:rPr>
          <w:lang w:val="fr-FR"/>
        </w:rPr>
      </w:pPr>
    </w:p>
    <w:p w:rsidR="00EC4581" w:rsidRPr="009A006E" w:rsidRDefault="00EC4581" w:rsidP="00EC4581">
      <w:pPr>
        <w:rPr>
          <w:lang w:val="fr-FR"/>
        </w:rPr>
      </w:pPr>
    </w:p>
    <w:p w:rsidR="00EC4581" w:rsidRPr="009A006E" w:rsidRDefault="00EC4581" w:rsidP="00EC4581">
      <w:pPr>
        <w:rPr>
          <w:lang w:val="fr-FR"/>
        </w:rPr>
      </w:pPr>
    </w:p>
    <w:p w:rsidR="00EC4581" w:rsidRPr="009A006E" w:rsidRDefault="00EC4581" w:rsidP="00EC4581">
      <w:pPr>
        <w:rPr>
          <w:lang w:val="fr-FR"/>
        </w:rPr>
      </w:pPr>
    </w:p>
    <w:p w:rsidR="00EC4581" w:rsidRPr="009A006E" w:rsidRDefault="00EC4581" w:rsidP="00BA78EF">
      <w:pPr>
        <w:rPr>
          <w:b/>
          <w:sz w:val="28"/>
          <w:szCs w:val="28"/>
          <w:lang w:val="fr-FR"/>
        </w:rPr>
      </w:pPr>
      <w:r w:rsidRPr="009A006E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EC4581" w:rsidRPr="009A006E" w:rsidRDefault="00EC4581" w:rsidP="00BA78EF">
      <w:pPr>
        <w:rPr>
          <w:lang w:val="fr-FR"/>
        </w:rPr>
      </w:pPr>
    </w:p>
    <w:p w:rsidR="00EC4581" w:rsidRPr="009A006E" w:rsidRDefault="00EC4581" w:rsidP="00BA78EF">
      <w:pPr>
        <w:rPr>
          <w:lang w:val="fr-FR"/>
        </w:rPr>
      </w:pPr>
    </w:p>
    <w:p w:rsidR="00EC4581" w:rsidRPr="009A006E" w:rsidRDefault="00F422DA" w:rsidP="00BA78EF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Onz</w:t>
      </w:r>
      <w:r w:rsidR="00A655F6">
        <w:rPr>
          <w:b/>
          <w:sz w:val="24"/>
          <w:szCs w:val="24"/>
          <w:lang w:val="fr-FR"/>
        </w:rPr>
        <w:t>ième session</w:t>
      </w:r>
    </w:p>
    <w:p w:rsidR="00EC4581" w:rsidRPr="009A006E" w:rsidRDefault="00EC4581" w:rsidP="00BA78EF">
      <w:pPr>
        <w:rPr>
          <w:b/>
          <w:sz w:val="24"/>
          <w:szCs w:val="24"/>
          <w:lang w:val="fr-FR"/>
        </w:rPr>
      </w:pPr>
      <w:r w:rsidRPr="009A006E">
        <w:rPr>
          <w:b/>
          <w:sz w:val="24"/>
          <w:szCs w:val="24"/>
          <w:lang w:val="fr-FR"/>
        </w:rPr>
        <w:t xml:space="preserve">Genève, </w:t>
      </w:r>
      <w:r w:rsidR="00F422DA">
        <w:rPr>
          <w:b/>
          <w:sz w:val="24"/>
          <w:szCs w:val="24"/>
          <w:lang w:val="fr-FR"/>
        </w:rPr>
        <w:t>1</w:t>
      </w:r>
      <w:r w:rsidRPr="009A006E">
        <w:rPr>
          <w:b/>
          <w:sz w:val="24"/>
          <w:szCs w:val="24"/>
          <w:lang w:val="fr-FR"/>
        </w:rPr>
        <w:t xml:space="preserve">8 – </w:t>
      </w:r>
      <w:r w:rsidR="00F422DA">
        <w:rPr>
          <w:b/>
          <w:sz w:val="24"/>
          <w:szCs w:val="24"/>
          <w:lang w:val="fr-FR"/>
        </w:rPr>
        <w:t>2</w:t>
      </w:r>
      <w:r w:rsidR="00536DD9" w:rsidRPr="009A006E">
        <w:rPr>
          <w:b/>
          <w:sz w:val="24"/>
          <w:szCs w:val="24"/>
          <w:lang w:val="fr-FR"/>
        </w:rPr>
        <w:t>2 </w:t>
      </w:r>
      <w:r w:rsidR="00F422DA">
        <w:rPr>
          <w:b/>
          <w:sz w:val="24"/>
          <w:szCs w:val="24"/>
          <w:lang w:val="fr-FR"/>
        </w:rPr>
        <w:t>juin</w:t>
      </w:r>
      <w:r w:rsidR="00536DD9" w:rsidRPr="009A006E">
        <w:rPr>
          <w:b/>
          <w:sz w:val="24"/>
          <w:szCs w:val="24"/>
          <w:lang w:val="fr-FR"/>
        </w:rPr>
        <w:t> 20</w:t>
      </w:r>
      <w:r w:rsidR="00F422DA">
        <w:rPr>
          <w:b/>
          <w:sz w:val="24"/>
          <w:szCs w:val="24"/>
          <w:lang w:val="fr-FR"/>
        </w:rPr>
        <w:t>18</w:t>
      </w:r>
    </w:p>
    <w:p w:rsidR="00EC4581" w:rsidRPr="009A006E" w:rsidRDefault="00EC4581" w:rsidP="00BA78EF">
      <w:pPr>
        <w:rPr>
          <w:lang w:val="fr-FR"/>
        </w:rPr>
      </w:pPr>
    </w:p>
    <w:p w:rsidR="00EC4581" w:rsidRPr="009A006E" w:rsidRDefault="00EC4581" w:rsidP="00BA78EF">
      <w:pPr>
        <w:rPr>
          <w:lang w:val="fr-FR"/>
        </w:rPr>
      </w:pPr>
    </w:p>
    <w:p w:rsidR="00EC4581" w:rsidRPr="009A006E" w:rsidRDefault="00EC4581" w:rsidP="00BA78EF">
      <w:pPr>
        <w:rPr>
          <w:lang w:val="fr-FR"/>
        </w:rPr>
      </w:pPr>
    </w:p>
    <w:p w:rsidR="008B2CC1" w:rsidRPr="009A006E" w:rsidRDefault="000B7B49" w:rsidP="00BA78EF">
      <w:pPr>
        <w:rPr>
          <w:caps/>
          <w:sz w:val="24"/>
          <w:lang w:val="fr-FR"/>
        </w:rPr>
      </w:pPr>
      <w:r w:rsidRPr="009A006E">
        <w:rPr>
          <w:caps/>
          <w:sz w:val="24"/>
          <w:lang w:val="fr-FR"/>
        </w:rPr>
        <w:t xml:space="preserve">Coordination </w:t>
      </w:r>
      <w:r w:rsidR="00331DF8" w:rsidRPr="009A006E">
        <w:rPr>
          <w:caps/>
          <w:sz w:val="24"/>
          <w:lang w:val="fr-FR"/>
        </w:rPr>
        <w:t>de la formation des examinateurs de brevets</w:t>
      </w:r>
    </w:p>
    <w:p w:rsidR="008B2CC1" w:rsidRPr="009A006E" w:rsidRDefault="008B2CC1" w:rsidP="00BA78EF">
      <w:pPr>
        <w:rPr>
          <w:lang w:val="fr-FR"/>
        </w:rPr>
      </w:pPr>
    </w:p>
    <w:p w:rsidR="008B2CC1" w:rsidRPr="009A006E" w:rsidRDefault="000B7B49" w:rsidP="00BA78EF">
      <w:pPr>
        <w:rPr>
          <w:i/>
          <w:lang w:val="fr-FR"/>
        </w:rPr>
      </w:pPr>
      <w:bookmarkStart w:id="4" w:name="Prepared"/>
      <w:bookmarkEnd w:id="4"/>
      <w:r w:rsidRPr="009A006E">
        <w:rPr>
          <w:i/>
          <w:lang w:val="fr-FR"/>
        </w:rPr>
        <w:t xml:space="preserve">Document </w:t>
      </w:r>
      <w:r w:rsidR="00331DF8" w:rsidRPr="009A006E">
        <w:rPr>
          <w:i/>
          <w:lang w:val="fr-FR"/>
        </w:rPr>
        <w:t>établi par le Bureau i</w:t>
      </w:r>
      <w:r w:rsidR="00EC4581" w:rsidRPr="009A006E">
        <w:rPr>
          <w:i/>
          <w:lang w:val="fr-FR"/>
        </w:rPr>
        <w:t>nternational</w:t>
      </w:r>
    </w:p>
    <w:p w:rsidR="00AC205C" w:rsidRPr="009A006E" w:rsidRDefault="00AC205C" w:rsidP="00BA78EF">
      <w:pPr>
        <w:rPr>
          <w:lang w:val="fr-FR"/>
        </w:rPr>
      </w:pPr>
    </w:p>
    <w:p w:rsidR="000F5E56" w:rsidRPr="009A006E" w:rsidRDefault="000F5E56" w:rsidP="00BA78EF">
      <w:pPr>
        <w:rPr>
          <w:lang w:val="fr-FR"/>
        </w:rPr>
      </w:pPr>
    </w:p>
    <w:p w:rsidR="002928D3" w:rsidRPr="009A006E" w:rsidRDefault="002928D3" w:rsidP="00BA78EF">
      <w:pPr>
        <w:rPr>
          <w:lang w:val="fr-FR"/>
        </w:rPr>
      </w:pPr>
    </w:p>
    <w:p w:rsidR="000B7B49" w:rsidRPr="009A006E" w:rsidRDefault="000B7B49" w:rsidP="00BA78EF">
      <w:pPr>
        <w:rPr>
          <w:lang w:val="fr-FR"/>
        </w:rPr>
      </w:pPr>
    </w:p>
    <w:p w:rsidR="000B7B49" w:rsidRPr="009A006E" w:rsidRDefault="00331DF8" w:rsidP="00804C0F">
      <w:pPr>
        <w:pStyle w:val="Heading1"/>
        <w:spacing w:after="220"/>
        <w:rPr>
          <w:lang w:val="fr-FR"/>
        </w:rPr>
      </w:pPr>
      <w:r w:rsidRPr="009A006E">
        <w:rPr>
          <w:lang w:val="fr-FR"/>
        </w:rPr>
        <w:t>Résumé</w:t>
      </w:r>
    </w:p>
    <w:p w:rsidR="00331DF8" w:rsidRPr="00F422DA" w:rsidRDefault="00F422DA" w:rsidP="00F422DA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</w:r>
      <w:r w:rsidR="00331DF8" w:rsidRPr="00F422DA">
        <w:rPr>
          <w:lang w:val="fr-FR"/>
        </w:rPr>
        <w:t xml:space="preserve">Le présent document </w:t>
      </w:r>
      <w:r w:rsidR="00DA3D60" w:rsidRPr="00F422DA">
        <w:rPr>
          <w:lang w:val="fr-FR"/>
        </w:rPr>
        <w:t>contien</w:t>
      </w:r>
      <w:r w:rsidR="00331DF8" w:rsidRPr="00F422DA">
        <w:rPr>
          <w:lang w:val="fr-FR"/>
        </w:rPr>
        <w:t>t un</w:t>
      </w:r>
      <w:r w:rsidRPr="00F422DA">
        <w:rPr>
          <w:lang w:val="fr-FR"/>
        </w:rPr>
        <w:t xml:space="preserve"> rapport sur l</w:t>
      </w:r>
      <w:r w:rsidR="00A655F6">
        <w:rPr>
          <w:lang w:val="fr-FR"/>
        </w:rPr>
        <w:t>’</w:t>
      </w:r>
      <w:r w:rsidRPr="00F422DA">
        <w:rPr>
          <w:lang w:val="fr-FR"/>
        </w:rPr>
        <w:t>état d</w:t>
      </w:r>
      <w:r w:rsidR="00A655F6">
        <w:rPr>
          <w:lang w:val="fr-FR"/>
        </w:rPr>
        <w:t>’</w:t>
      </w:r>
      <w:r w:rsidRPr="00F422DA">
        <w:rPr>
          <w:lang w:val="fr-FR"/>
        </w:rPr>
        <w:t xml:space="preserve">avancement </w:t>
      </w:r>
      <w:r w:rsidR="00BE16DA">
        <w:rPr>
          <w:lang w:val="fr-FR"/>
        </w:rPr>
        <w:t>concernant</w:t>
      </w:r>
      <w:r w:rsidRPr="00F422DA">
        <w:rPr>
          <w:lang w:val="fr-FR"/>
        </w:rPr>
        <w:t xml:space="preserve"> l</w:t>
      </w:r>
      <w:r w:rsidR="00A655F6">
        <w:rPr>
          <w:lang w:val="fr-FR"/>
        </w:rPr>
        <w:t>’</w:t>
      </w:r>
      <w:r w:rsidRPr="00F422DA">
        <w:rPr>
          <w:lang w:val="fr-FR"/>
        </w:rPr>
        <w:t>élaboration d</w:t>
      </w:r>
      <w:r w:rsidR="00A655F6">
        <w:rPr>
          <w:lang w:val="fr-FR"/>
        </w:rPr>
        <w:t>’</w:t>
      </w:r>
      <w:r w:rsidRPr="00F422DA">
        <w:rPr>
          <w:lang w:val="fr-FR"/>
        </w:rPr>
        <w:t>un</w:t>
      </w:r>
      <w:r w:rsidR="00331DF8" w:rsidRPr="00F422DA">
        <w:rPr>
          <w:lang w:val="fr-FR"/>
        </w:rPr>
        <w:t xml:space="preserve"> </w:t>
      </w:r>
      <w:r w:rsidRPr="00F422DA">
        <w:rPr>
          <w:lang w:val="fr-FR"/>
        </w:rPr>
        <w:t>cadre de compétences techniques pour les examinateurs chargés de l</w:t>
      </w:r>
      <w:r w:rsidR="00A655F6">
        <w:rPr>
          <w:lang w:val="fr-FR"/>
        </w:rPr>
        <w:t>’</w:t>
      </w:r>
      <w:r w:rsidRPr="00F422DA">
        <w:rPr>
          <w:lang w:val="fr-FR"/>
        </w:rPr>
        <w:t>examen des brevets quant au fond et d</w:t>
      </w:r>
      <w:r w:rsidR="00A655F6">
        <w:rPr>
          <w:lang w:val="fr-FR"/>
        </w:rPr>
        <w:t>’</w:t>
      </w:r>
      <w:r w:rsidRPr="00F422DA">
        <w:rPr>
          <w:lang w:val="fr-FR"/>
        </w:rPr>
        <w:t xml:space="preserve">un système de gestion de la formation, </w:t>
      </w:r>
      <w:r w:rsidR="008D01A4">
        <w:rPr>
          <w:lang w:val="fr-FR"/>
        </w:rPr>
        <w:t>qui repose</w:t>
      </w:r>
      <w:r w:rsidRPr="00F422DA">
        <w:rPr>
          <w:lang w:val="fr-FR"/>
        </w:rPr>
        <w:t xml:space="preserve"> sur une </w:t>
      </w:r>
      <w:r w:rsidR="00331DF8" w:rsidRPr="00F422DA">
        <w:rPr>
          <w:lang w:val="fr-FR"/>
        </w:rPr>
        <w:t>proposition d</w:t>
      </w:r>
      <w:r w:rsidR="00A655F6">
        <w:rPr>
          <w:lang w:val="fr-FR"/>
        </w:rPr>
        <w:t>’</w:t>
      </w:r>
      <w:r w:rsidR="00331DF8" w:rsidRPr="00F422DA">
        <w:rPr>
          <w:lang w:val="fr-FR"/>
        </w:rPr>
        <w:t>amélioration de la coordination entre offices bénéficiaires et offices donateurs de la formation des examinateurs chargés de l</w:t>
      </w:r>
      <w:r w:rsidR="00A655F6">
        <w:rPr>
          <w:lang w:val="fr-FR"/>
        </w:rPr>
        <w:t>’</w:t>
      </w:r>
      <w:r w:rsidR="00331DF8" w:rsidRPr="00F422DA">
        <w:rPr>
          <w:lang w:val="fr-FR"/>
        </w:rPr>
        <w:t xml:space="preserve">examen des brevets quant au fond, </w:t>
      </w:r>
      <w:r>
        <w:rPr>
          <w:lang w:val="fr-FR"/>
        </w:rPr>
        <w:t>présenté</w:t>
      </w:r>
      <w:r w:rsidR="00CB07CB">
        <w:rPr>
          <w:lang w:val="fr-FR"/>
        </w:rPr>
        <w:t>e</w:t>
      </w:r>
      <w:r>
        <w:rPr>
          <w:lang w:val="fr-FR"/>
        </w:rPr>
        <w:t xml:space="preserve"> à la dix</w:t>
      </w:r>
      <w:r w:rsidR="00A655F6">
        <w:rPr>
          <w:lang w:val="fr-FR"/>
        </w:rPr>
        <w:t>ième session</w:t>
      </w:r>
      <w:r>
        <w:rPr>
          <w:lang w:val="fr-FR"/>
        </w:rPr>
        <w:t xml:space="preserve"> du groupe de travail</w:t>
      </w:r>
      <w:r w:rsidR="00331DF8" w:rsidRPr="00F422DA">
        <w:rPr>
          <w:lang w:val="fr-FR"/>
        </w:rPr>
        <w:t>.</w:t>
      </w:r>
    </w:p>
    <w:p w:rsidR="000B7B49" w:rsidRPr="009A006E" w:rsidRDefault="000B7B49" w:rsidP="00804C0F">
      <w:pPr>
        <w:pStyle w:val="Heading1"/>
        <w:spacing w:after="220"/>
        <w:rPr>
          <w:lang w:val="fr-FR"/>
        </w:rPr>
      </w:pPr>
      <w:r w:rsidRPr="009A006E">
        <w:rPr>
          <w:lang w:val="fr-FR"/>
        </w:rPr>
        <w:t>Introduction</w:t>
      </w:r>
    </w:p>
    <w:p w:rsidR="00992872" w:rsidRPr="009A006E" w:rsidRDefault="00F422DA" w:rsidP="00F422DA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</w:r>
      <w:r w:rsidR="00992872" w:rsidRPr="009A006E">
        <w:rPr>
          <w:lang w:val="fr-FR"/>
        </w:rPr>
        <w:t>À sa neuv</w:t>
      </w:r>
      <w:r w:rsidR="00A655F6">
        <w:rPr>
          <w:lang w:val="fr-FR"/>
        </w:rPr>
        <w:t>ième session</w:t>
      </w:r>
      <w:r w:rsidR="00992872" w:rsidRPr="009A006E">
        <w:rPr>
          <w:lang w:val="fr-FR"/>
        </w:rPr>
        <w:t xml:space="preserve"> tenue à Genève du 17 au 2</w:t>
      </w:r>
      <w:r w:rsidR="00536DD9" w:rsidRPr="009A006E">
        <w:rPr>
          <w:lang w:val="fr-FR"/>
        </w:rPr>
        <w:t>0 mai 20</w:t>
      </w:r>
      <w:r w:rsidR="00992872" w:rsidRPr="009A006E">
        <w:rPr>
          <w:lang w:val="fr-FR"/>
        </w:rPr>
        <w:t>16, le Groupe de travail</w:t>
      </w:r>
      <w:r w:rsidR="00536DD9" w:rsidRPr="009A006E">
        <w:rPr>
          <w:lang w:val="fr-FR"/>
        </w:rPr>
        <w:t xml:space="preserve"> du PCT</w:t>
      </w:r>
      <w:r w:rsidR="00992872" w:rsidRPr="009A006E">
        <w:rPr>
          <w:lang w:val="fr-FR"/>
        </w:rPr>
        <w:t xml:space="preserve"> a examiné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évaluation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un questionnaire sur la formation des examinateurs chargés de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 xml:space="preserve">examen des brevets quant au fond (document PCT/WG/9/18).  Ce questionnaire, joint </w:t>
      </w:r>
      <w:r w:rsidR="00C622E8">
        <w:rPr>
          <w:lang w:val="fr-FR"/>
        </w:rPr>
        <w:t>en annexe à la circulaire C.PCT </w:t>
      </w:r>
      <w:r w:rsidR="00992872" w:rsidRPr="009A006E">
        <w:rPr>
          <w:lang w:val="fr-FR"/>
        </w:rPr>
        <w:t>1464, était adressé,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une part, aux offices donateurs (c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est</w:t>
      </w:r>
      <w:r w:rsidR="008B71C6">
        <w:rPr>
          <w:lang w:val="fr-FR"/>
        </w:rPr>
        <w:noBreakHyphen/>
      </w:r>
      <w:r w:rsidR="00992872" w:rsidRPr="009A006E">
        <w:rPr>
          <w:lang w:val="fr-FR"/>
        </w:rPr>
        <w:t>à</w:t>
      </w:r>
      <w:r w:rsidR="008B71C6">
        <w:rPr>
          <w:lang w:val="fr-FR"/>
        </w:rPr>
        <w:noBreakHyphen/>
      </w:r>
      <w:r w:rsidR="00992872" w:rsidRPr="009A006E">
        <w:rPr>
          <w:lang w:val="fr-FR"/>
        </w:rPr>
        <w:t>dire, aux offices ayant dispensé une formation à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examen des brevets quant au fond destinée aux examinateurs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autres offices ou ayant contribué à des activités de formation de ce type organisées par une autre organisation) et,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autre part, aux offices bénéficiaires (offices dont les examinateurs ont bénéficié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une formation à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examen des brevets quant au fond dispensée par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 xml:space="preserve">autres organisations), </w:t>
      </w:r>
      <w:r w:rsidR="006D7801" w:rsidRPr="009A006E">
        <w:rPr>
          <w:lang w:val="fr-FR"/>
        </w:rPr>
        <w:t xml:space="preserve">et </w:t>
      </w:r>
      <w:r w:rsidR="00B72824">
        <w:rPr>
          <w:lang w:val="fr-FR"/>
        </w:rPr>
        <w:t>vis</w:t>
      </w:r>
      <w:r w:rsidR="00992872" w:rsidRPr="009A006E">
        <w:rPr>
          <w:lang w:val="fr-FR"/>
        </w:rPr>
        <w:t>a</w:t>
      </w:r>
      <w:r w:rsidR="006D7801" w:rsidRPr="009A006E">
        <w:rPr>
          <w:lang w:val="fr-FR"/>
        </w:rPr>
        <w:t>i</w:t>
      </w:r>
      <w:r w:rsidR="00992872" w:rsidRPr="009A006E">
        <w:rPr>
          <w:lang w:val="fr-FR"/>
        </w:rPr>
        <w:t xml:space="preserve">t </w:t>
      </w:r>
      <w:r w:rsidR="00B72824">
        <w:rPr>
          <w:lang w:val="fr-FR"/>
        </w:rPr>
        <w:t xml:space="preserve">à rassembler </w:t>
      </w:r>
      <w:r w:rsidR="00992872" w:rsidRPr="009A006E">
        <w:rPr>
          <w:lang w:val="fr-FR"/>
        </w:rPr>
        <w:t>des informations sur les activités de formation menées, ainsi que des informations concernant la gestion et la mise en place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une formation à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examen quant au fond dans chaque office, notamment en ce qui concerne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 xml:space="preserve">utilisation de modèles de compétences, de systèmes de gestion </w:t>
      </w:r>
      <w:r w:rsidR="006D7801" w:rsidRPr="009A006E">
        <w:rPr>
          <w:lang w:val="fr-FR"/>
        </w:rPr>
        <w:t>de la formation</w:t>
      </w:r>
      <w:r w:rsidR="00992872" w:rsidRPr="009A006E">
        <w:rPr>
          <w:lang w:val="fr-FR"/>
        </w:rPr>
        <w:t xml:space="preserve"> ou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outils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 xml:space="preserve">évaluation, ou </w:t>
      </w:r>
      <w:r w:rsidR="00992872" w:rsidRPr="009A006E">
        <w:rPr>
          <w:lang w:val="fr-FR"/>
        </w:rPr>
        <w:lastRenderedPageBreak/>
        <w:t>encore la disponibilité de matériel ou d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autres supports de formation pour l</w:t>
      </w:r>
      <w:r w:rsidR="00A655F6">
        <w:rPr>
          <w:lang w:val="fr-FR"/>
        </w:rPr>
        <w:t>’</w:t>
      </w:r>
      <w:r w:rsidR="00992872" w:rsidRPr="009A006E">
        <w:rPr>
          <w:lang w:val="fr-FR"/>
        </w:rPr>
        <w:t>auto</w:t>
      </w:r>
      <w:r w:rsidR="008B71C6">
        <w:rPr>
          <w:lang w:val="fr-FR"/>
        </w:rPr>
        <w:noBreakHyphen/>
      </w:r>
      <w:r w:rsidR="00992872" w:rsidRPr="009A006E">
        <w:rPr>
          <w:lang w:val="fr-FR"/>
        </w:rPr>
        <w:t>apprentissa</w:t>
      </w:r>
      <w:r w:rsidR="008B71C6" w:rsidRPr="009A006E">
        <w:rPr>
          <w:lang w:val="fr-FR"/>
        </w:rPr>
        <w:t>ge</w:t>
      </w:r>
      <w:r w:rsidR="008B71C6">
        <w:rPr>
          <w:lang w:val="fr-FR"/>
        </w:rPr>
        <w:t xml:space="preserve">.  </w:t>
      </w:r>
      <w:r w:rsidR="008B71C6" w:rsidRPr="009A006E">
        <w:rPr>
          <w:lang w:val="fr-FR"/>
        </w:rPr>
        <w:t>Le</w:t>
      </w:r>
      <w:r w:rsidR="006D7801" w:rsidRPr="009A006E">
        <w:rPr>
          <w:lang w:val="fr-FR"/>
        </w:rPr>
        <w:t xml:space="preserve">s délibérations du groupe de travail sont résumées aux </w:t>
      </w:r>
      <w:r w:rsidR="00536DD9" w:rsidRPr="009A006E">
        <w:rPr>
          <w:lang w:val="fr-FR"/>
        </w:rPr>
        <w:t>paragraphes 6</w:t>
      </w:r>
      <w:r w:rsidR="00C622E8">
        <w:rPr>
          <w:lang w:val="fr-FR"/>
        </w:rPr>
        <w:t>3 à </w:t>
      </w:r>
      <w:r w:rsidR="006D7801" w:rsidRPr="009A006E">
        <w:rPr>
          <w:lang w:val="fr-FR"/>
        </w:rPr>
        <w:t>67 du document</w:t>
      </w:r>
      <w:r w:rsidR="008B71C6">
        <w:rPr>
          <w:lang w:val="fr-FR"/>
        </w:rPr>
        <w:t> </w:t>
      </w:r>
      <w:r w:rsidR="006D7801" w:rsidRPr="009A006E">
        <w:rPr>
          <w:lang w:val="fr-FR"/>
        </w:rPr>
        <w:t xml:space="preserve">PCT/WG/9/27 et reproduites intégralement aux </w:t>
      </w:r>
      <w:r w:rsidR="00536DD9" w:rsidRPr="009A006E">
        <w:rPr>
          <w:lang w:val="fr-FR"/>
        </w:rPr>
        <w:t>paragraphes 1</w:t>
      </w:r>
      <w:r w:rsidR="00C622E8">
        <w:rPr>
          <w:lang w:val="fr-FR"/>
        </w:rPr>
        <w:t>55 à </w:t>
      </w:r>
      <w:r w:rsidR="006D7801" w:rsidRPr="009A006E">
        <w:rPr>
          <w:lang w:val="fr-FR"/>
        </w:rPr>
        <w:t>169 du document</w:t>
      </w:r>
      <w:r w:rsidR="008B71C6">
        <w:rPr>
          <w:lang w:val="fr-FR"/>
        </w:rPr>
        <w:t> </w:t>
      </w:r>
      <w:r w:rsidR="006D7801" w:rsidRPr="009A006E">
        <w:rPr>
          <w:lang w:val="fr-FR"/>
        </w:rPr>
        <w:t>PCT/WG/9/28.</w:t>
      </w:r>
    </w:p>
    <w:p w:rsidR="006D7801" w:rsidRPr="009A006E" w:rsidRDefault="00F422DA" w:rsidP="00F422DA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="006D7801" w:rsidRPr="009A006E">
        <w:rPr>
          <w:lang w:val="fr-FR"/>
        </w:rPr>
        <w:t xml:space="preserve">Après ses délibérations, le groupe de travail est convenu que le Bureau international donnerait suite aux suggestions faites aux </w:t>
      </w:r>
      <w:r w:rsidR="00536DD9" w:rsidRPr="009A006E">
        <w:rPr>
          <w:lang w:val="fr-FR"/>
        </w:rPr>
        <w:t>paragraphes 5</w:t>
      </w:r>
      <w:r w:rsidR="00C622E8">
        <w:rPr>
          <w:lang w:val="fr-FR"/>
        </w:rPr>
        <w:t>0, 60 et </w:t>
      </w:r>
      <w:r w:rsidR="006D7801" w:rsidRPr="009A006E">
        <w:rPr>
          <w:lang w:val="fr-FR"/>
        </w:rPr>
        <w:t>65 du document</w:t>
      </w:r>
      <w:r w:rsidR="008B71C6">
        <w:rPr>
          <w:lang w:val="fr-FR"/>
        </w:rPr>
        <w:t> </w:t>
      </w:r>
      <w:r w:rsidR="006D7801" w:rsidRPr="009A006E">
        <w:rPr>
          <w:lang w:val="fr-FR"/>
        </w:rPr>
        <w:t xml:space="preserve">PCT/WG/9/18;  le groupe de travail est notamment convenu </w:t>
      </w:r>
      <w:r w:rsidR="00DA3D60">
        <w:rPr>
          <w:lang w:val="fr-FR"/>
        </w:rPr>
        <w:t>qu</w:t>
      </w:r>
      <w:r w:rsidR="00A655F6">
        <w:rPr>
          <w:lang w:val="fr-FR"/>
        </w:rPr>
        <w:t>’</w:t>
      </w:r>
      <w:r w:rsidR="00DA3D60">
        <w:rPr>
          <w:lang w:val="fr-FR"/>
        </w:rPr>
        <w:t xml:space="preserve">il faudrait </w:t>
      </w:r>
      <w:r w:rsidR="006D7801" w:rsidRPr="009A006E">
        <w:rPr>
          <w:lang w:val="fr-FR"/>
        </w:rPr>
        <w:t>que</w:t>
      </w:r>
      <w:r w:rsidR="00A655F6">
        <w:rPr>
          <w:lang w:val="fr-FR"/>
        </w:rPr>
        <w:t> :</w:t>
      </w:r>
    </w:p>
    <w:p w:rsidR="000B7B49" w:rsidRPr="009A006E" w:rsidRDefault="000B7B49" w:rsidP="00BA78EF">
      <w:pPr>
        <w:ind w:left="567"/>
        <w:rPr>
          <w:lang w:val="fr-FR"/>
        </w:rPr>
      </w:pPr>
      <w:r w:rsidRPr="009A006E">
        <w:rPr>
          <w:lang w:val="fr-FR"/>
        </w:rPr>
        <w:t>“50.</w:t>
      </w:r>
      <w:r w:rsidRPr="009A006E">
        <w:rPr>
          <w:lang w:val="fr-FR"/>
        </w:rPr>
        <w:tab/>
        <w:t xml:space="preserve">… </w:t>
      </w:r>
      <w:r w:rsidR="006D7801" w:rsidRPr="009A006E">
        <w:rPr>
          <w:lang w:val="fr-FR"/>
        </w:rPr>
        <w:t>le Bureau international élabore une stratégie qui permette d</w:t>
      </w:r>
      <w:r w:rsidR="00A655F6">
        <w:rPr>
          <w:lang w:val="fr-FR"/>
        </w:rPr>
        <w:t>’</w:t>
      </w:r>
      <w:r w:rsidR="006D7801" w:rsidRPr="009A006E">
        <w:rPr>
          <w:lang w:val="fr-FR"/>
        </w:rPr>
        <w:t>améliorer la coordination des activités de formation à l</w:t>
      </w:r>
      <w:r w:rsidR="00A655F6">
        <w:rPr>
          <w:lang w:val="fr-FR"/>
        </w:rPr>
        <w:t>’</w:t>
      </w:r>
      <w:r w:rsidR="006D7801" w:rsidRPr="009A006E">
        <w:rPr>
          <w:lang w:val="fr-FR"/>
        </w:rPr>
        <w:t>examen des brevets quant au fond, notamment avec les offices donateu</w:t>
      </w:r>
      <w:r w:rsidR="008B71C6" w:rsidRPr="009A006E">
        <w:rPr>
          <w:lang w:val="fr-FR"/>
        </w:rPr>
        <w:t>rs</w:t>
      </w:r>
      <w:r w:rsidR="008B71C6">
        <w:rPr>
          <w:lang w:val="fr-FR"/>
        </w:rPr>
        <w:t xml:space="preserve">.  </w:t>
      </w:r>
      <w:r w:rsidR="008B71C6" w:rsidRPr="009A006E">
        <w:rPr>
          <w:lang w:val="fr-FR"/>
        </w:rPr>
        <w:t>Ce</w:t>
      </w:r>
      <w:r w:rsidR="006D7801" w:rsidRPr="009A006E">
        <w:rPr>
          <w:lang w:val="fr-FR"/>
        </w:rPr>
        <w:t>tte stratégie serait examinée par le groupe de travail à sa prochaine session</w:t>
      </w:r>
      <w:r w:rsidRPr="009A006E">
        <w:rPr>
          <w:lang w:val="fr-FR"/>
        </w:rPr>
        <w:t>.</w:t>
      </w:r>
    </w:p>
    <w:p w:rsidR="000B7B49" w:rsidRPr="009A006E" w:rsidRDefault="000B7B49" w:rsidP="00BA78EF">
      <w:pPr>
        <w:ind w:left="567"/>
        <w:rPr>
          <w:lang w:val="fr-FR"/>
        </w:rPr>
      </w:pPr>
    </w:p>
    <w:p w:rsidR="000B7B49" w:rsidRPr="009A006E" w:rsidRDefault="000B7B49" w:rsidP="00BA78EF">
      <w:pPr>
        <w:ind w:left="567"/>
        <w:rPr>
          <w:lang w:val="fr-FR"/>
        </w:rPr>
      </w:pPr>
      <w:r w:rsidRPr="009A006E">
        <w:rPr>
          <w:lang w:val="fr-FR"/>
        </w:rPr>
        <w:t>“60.</w:t>
      </w:r>
      <w:r w:rsidRPr="009A006E">
        <w:rPr>
          <w:lang w:val="fr-FR"/>
        </w:rPr>
        <w:tab/>
        <w:t xml:space="preserve">… </w:t>
      </w:r>
      <w:r w:rsidR="00771E0D" w:rsidRPr="009A006E">
        <w:rPr>
          <w:lang w:val="fr-FR"/>
        </w:rPr>
        <w:t>que le Bureau international</w:t>
      </w:r>
    </w:p>
    <w:p w:rsidR="000B7B49" w:rsidRPr="009A006E" w:rsidRDefault="000B7B49" w:rsidP="00BA78EF">
      <w:pPr>
        <w:ind w:left="567"/>
        <w:rPr>
          <w:lang w:val="fr-FR"/>
        </w:rPr>
      </w:pPr>
    </w:p>
    <w:p w:rsidR="000B7B49" w:rsidRPr="009A006E" w:rsidRDefault="00EC4581" w:rsidP="00BA78EF">
      <w:pPr>
        <w:ind w:left="1134"/>
        <w:rPr>
          <w:lang w:val="fr-FR"/>
        </w:rPr>
      </w:pPr>
      <w:r w:rsidRPr="009A006E">
        <w:rPr>
          <w:lang w:val="fr-FR"/>
        </w:rPr>
        <w:t>“</w:t>
      </w:r>
      <w:proofErr w:type="gramStart"/>
      <w:r w:rsidRPr="009A006E">
        <w:rPr>
          <w:lang w:val="fr-FR"/>
        </w:rPr>
        <w:t>a</w:t>
      </w:r>
      <w:proofErr w:type="gramEnd"/>
      <w:r w:rsidRPr="009A006E">
        <w:rPr>
          <w:lang w:val="fr-FR"/>
        </w:rPr>
        <w:t>)</w:t>
      </w:r>
      <w:r w:rsidRPr="009A006E">
        <w:rPr>
          <w:lang w:val="fr-FR"/>
        </w:rPr>
        <w:tab/>
      </w:r>
      <w:r w:rsidR="006D7801" w:rsidRPr="009A006E">
        <w:rPr>
          <w:lang w:val="fr-FR"/>
        </w:rPr>
        <w:t>invite les offices à lui communiquer le programme qu</w:t>
      </w:r>
      <w:r w:rsidR="00A655F6">
        <w:rPr>
          <w:lang w:val="fr-FR"/>
        </w:rPr>
        <w:t>’</w:t>
      </w:r>
      <w:r w:rsidR="006D7801" w:rsidRPr="009A006E">
        <w:rPr>
          <w:lang w:val="fr-FR"/>
        </w:rPr>
        <w:t>ils ont établi pour la formation des examinateurs chargés de l</w:t>
      </w:r>
      <w:r w:rsidR="00A655F6">
        <w:rPr>
          <w:lang w:val="fr-FR"/>
        </w:rPr>
        <w:t>’</w:t>
      </w:r>
      <w:r w:rsidR="006D7801" w:rsidRPr="009A006E">
        <w:rPr>
          <w:lang w:val="fr-FR"/>
        </w:rPr>
        <w:t>examen des brevets quant au fond</w:t>
      </w:r>
      <w:r w:rsidR="000B7B49" w:rsidRPr="009A006E">
        <w:rPr>
          <w:lang w:val="fr-FR"/>
        </w:rPr>
        <w:t>;</w:t>
      </w:r>
    </w:p>
    <w:p w:rsidR="00EC4581" w:rsidRPr="009A006E" w:rsidRDefault="00EC4581" w:rsidP="00BA78EF">
      <w:pPr>
        <w:ind w:left="1134"/>
        <w:rPr>
          <w:lang w:val="fr-FR"/>
        </w:rPr>
      </w:pPr>
    </w:p>
    <w:p w:rsidR="00771E0D" w:rsidRPr="009A006E" w:rsidRDefault="00EC4581" w:rsidP="00BA78EF">
      <w:pPr>
        <w:ind w:left="1134"/>
        <w:rPr>
          <w:lang w:val="fr-FR"/>
        </w:rPr>
      </w:pPr>
      <w:r w:rsidRPr="009A006E">
        <w:rPr>
          <w:lang w:val="fr-FR"/>
        </w:rPr>
        <w:t>“b)</w:t>
      </w:r>
      <w:r w:rsidRPr="009A006E">
        <w:rPr>
          <w:lang w:val="fr-FR"/>
        </w:rPr>
        <w:tab/>
      </w:r>
      <w:r w:rsidR="00771E0D" w:rsidRPr="009A006E">
        <w:rPr>
          <w:lang w:val="fr-FR"/>
        </w:rPr>
        <w:t>invite les offices à lui communiquer leurs modèles de compétences pour les examinateurs chargés de l</w:t>
      </w:r>
      <w:r w:rsidR="00A655F6">
        <w:rPr>
          <w:lang w:val="fr-FR"/>
        </w:rPr>
        <w:t>’</w:t>
      </w:r>
      <w:r w:rsidR="00771E0D" w:rsidRPr="009A006E">
        <w:rPr>
          <w:lang w:val="fr-FR"/>
        </w:rPr>
        <w:t>examen des brevets quant au fond</w:t>
      </w:r>
      <w:r w:rsidR="005115FB" w:rsidRPr="009A006E">
        <w:rPr>
          <w:lang w:val="fr-FR"/>
        </w:rPr>
        <w:t>;</w:t>
      </w:r>
      <w:r w:rsidRPr="009A006E">
        <w:rPr>
          <w:lang w:val="fr-FR"/>
        </w:rPr>
        <w:t xml:space="preserve"> </w:t>
      </w:r>
      <w:bookmarkStart w:id="5" w:name="_GoBack"/>
      <w:bookmarkEnd w:id="5"/>
      <w:r w:rsidRPr="009A006E">
        <w:rPr>
          <w:lang w:val="fr-FR"/>
        </w:rPr>
        <w:t xml:space="preserve"> </w:t>
      </w:r>
      <w:r w:rsidR="005115FB" w:rsidRPr="009A006E">
        <w:rPr>
          <w:lang w:val="fr-FR"/>
        </w:rPr>
        <w:t>et</w:t>
      </w:r>
    </w:p>
    <w:p w:rsidR="00EC4581" w:rsidRPr="009A006E" w:rsidRDefault="00EC4581" w:rsidP="00BA78EF">
      <w:pPr>
        <w:ind w:left="1134"/>
        <w:rPr>
          <w:lang w:val="fr-FR"/>
        </w:rPr>
      </w:pPr>
    </w:p>
    <w:p w:rsidR="006D7801" w:rsidRPr="009A006E" w:rsidRDefault="00EC4581" w:rsidP="00BA78EF">
      <w:pPr>
        <w:ind w:left="1134"/>
        <w:rPr>
          <w:lang w:val="fr-FR"/>
        </w:rPr>
      </w:pPr>
      <w:r w:rsidRPr="009A006E">
        <w:rPr>
          <w:lang w:val="fr-FR"/>
        </w:rPr>
        <w:t>“c)</w:t>
      </w:r>
      <w:r w:rsidRPr="009A006E">
        <w:rPr>
          <w:lang w:val="fr-FR"/>
        </w:rPr>
        <w:tab/>
      </w:r>
      <w:r w:rsidR="006D7801" w:rsidRPr="009A006E">
        <w:rPr>
          <w:lang w:val="fr-FR"/>
        </w:rPr>
        <w:t>établisse un recueil de ces modèles de compétences afin de dresser un inventaire des différentes compétences pouvant être requises pour exercer la fonction d</w:t>
      </w:r>
      <w:r w:rsidR="00A655F6">
        <w:rPr>
          <w:lang w:val="fr-FR"/>
        </w:rPr>
        <w:t>’</w:t>
      </w:r>
      <w:r w:rsidR="006D7801" w:rsidRPr="009A006E">
        <w:rPr>
          <w:lang w:val="fr-FR"/>
        </w:rPr>
        <w:t>examinateur chargé de l</w:t>
      </w:r>
      <w:r w:rsidR="00A655F6">
        <w:rPr>
          <w:lang w:val="fr-FR"/>
        </w:rPr>
        <w:t>’</w:t>
      </w:r>
      <w:r w:rsidR="006D7801" w:rsidRPr="009A006E">
        <w:rPr>
          <w:lang w:val="fr-FR"/>
        </w:rPr>
        <w:t>examen des brevets quant au fond dans des offices de différentes tailles;</w:t>
      </w:r>
    </w:p>
    <w:p w:rsidR="00EC4581" w:rsidRPr="009A006E" w:rsidRDefault="00EC4581" w:rsidP="00BA78EF">
      <w:pPr>
        <w:ind w:left="567"/>
        <w:rPr>
          <w:lang w:val="fr-FR"/>
        </w:rPr>
      </w:pPr>
    </w:p>
    <w:p w:rsidR="000B7B49" w:rsidRPr="009A006E" w:rsidRDefault="000B7B49" w:rsidP="00BA78EF">
      <w:pPr>
        <w:ind w:left="567"/>
        <w:rPr>
          <w:lang w:val="fr-FR"/>
        </w:rPr>
      </w:pPr>
      <w:r w:rsidRPr="009A006E">
        <w:rPr>
          <w:lang w:val="fr-FR"/>
        </w:rPr>
        <w:t>“65.</w:t>
      </w:r>
      <w:r w:rsidRPr="009A006E">
        <w:rPr>
          <w:lang w:val="fr-FR"/>
        </w:rPr>
        <w:tab/>
        <w:t xml:space="preserve">… </w:t>
      </w:r>
      <w:r w:rsidR="00771E0D" w:rsidRPr="009A006E">
        <w:rPr>
          <w:lang w:val="fr-FR"/>
        </w:rPr>
        <w:t>le Bureau international envisage la possibilité de créer et de gérer un système de gestion de la formation et qu</w:t>
      </w:r>
      <w:r w:rsidR="00A655F6">
        <w:rPr>
          <w:lang w:val="fr-FR"/>
        </w:rPr>
        <w:t>’</w:t>
      </w:r>
      <w:r w:rsidR="00771E0D" w:rsidRPr="009A006E">
        <w:rPr>
          <w:lang w:val="fr-FR"/>
        </w:rPr>
        <w:t>il élabore un projet pour examen par le groupe de travail à sa prochaine session”.</w:t>
      </w:r>
    </w:p>
    <w:p w:rsidR="00EC4581" w:rsidRDefault="00EC4581" w:rsidP="00BA78EF">
      <w:pPr>
        <w:ind w:left="567"/>
        <w:rPr>
          <w:lang w:val="fr-FR"/>
        </w:rPr>
      </w:pPr>
    </w:p>
    <w:p w:rsidR="00563BE9" w:rsidRPr="009A006E" w:rsidRDefault="00563BE9" w:rsidP="00BA78EF">
      <w:pPr>
        <w:ind w:left="567"/>
        <w:rPr>
          <w:lang w:val="fr-FR"/>
        </w:rPr>
      </w:pPr>
    </w:p>
    <w:p w:rsidR="00A024FB" w:rsidRPr="002A6B32" w:rsidRDefault="00F422DA" w:rsidP="00A024FB">
      <w:pPr>
        <w:pStyle w:val="ONUMFS"/>
        <w:numPr>
          <w:ilvl w:val="0"/>
          <w:numId w:val="0"/>
        </w:numPr>
        <w:rPr>
          <w:lang w:val="fr-CH"/>
        </w:rPr>
      </w:pPr>
      <w:r w:rsidRPr="00A024FB">
        <w:rPr>
          <w:lang w:val="fr-FR"/>
        </w:rPr>
        <w:t>4.</w:t>
      </w:r>
      <w:r w:rsidRPr="00A024FB">
        <w:rPr>
          <w:lang w:val="fr-FR"/>
        </w:rPr>
        <w:tab/>
      </w:r>
      <w:r w:rsidR="00A024FB" w:rsidRPr="00A024FB">
        <w:rPr>
          <w:lang w:val="fr-FR"/>
        </w:rPr>
        <w:t>Le Groupe de travail</w:t>
      </w:r>
      <w:r w:rsidR="00A655F6" w:rsidRPr="00A024FB">
        <w:rPr>
          <w:lang w:val="fr-FR"/>
        </w:rPr>
        <w:t xml:space="preserve"> du</w:t>
      </w:r>
      <w:r w:rsidR="00A655F6">
        <w:rPr>
          <w:lang w:val="fr-FR"/>
        </w:rPr>
        <w:t> </w:t>
      </w:r>
      <w:r w:rsidR="00A655F6" w:rsidRPr="00A024FB">
        <w:rPr>
          <w:lang w:val="fr-FR"/>
        </w:rPr>
        <w:t>PCT</w:t>
      </w:r>
      <w:r w:rsidR="00A024FB" w:rsidRPr="00A024FB">
        <w:rPr>
          <w:szCs w:val="22"/>
          <w:lang w:val="fr-FR"/>
        </w:rPr>
        <w:t>, à sa dix</w:t>
      </w:r>
      <w:r w:rsidR="00A655F6">
        <w:rPr>
          <w:szCs w:val="22"/>
          <w:lang w:val="fr-FR"/>
        </w:rPr>
        <w:t>ième session</w:t>
      </w:r>
      <w:r w:rsidR="00A024FB" w:rsidRPr="00A024FB">
        <w:rPr>
          <w:szCs w:val="22"/>
          <w:lang w:val="fr-FR"/>
        </w:rPr>
        <w:t xml:space="preserve"> tenue à Genèv</w:t>
      </w:r>
      <w:r w:rsidR="00A024FB">
        <w:rPr>
          <w:szCs w:val="22"/>
          <w:lang w:val="fr-FR"/>
        </w:rPr>
        <w:t>e du</w:t>
      </w:r>
      <w:r w:rsidR="00A024FB" w:rsidRPr="00A024FB">
        <w:rPr>
          <w:szCs w:val="22"/>
          <w:lang w:val="fr-FR"/>
        </w:rPr>
        <w:t xml:space="preserve"> 8 </w:t>
      </w:r>
      <w:r w:rsidR="00A024FB">
        <w:rPr>
          <w:szCs w:val="22"/>
          <w:lang w:val="fr-FR"/>
        </w:rPr>
        <w:t>au</w:t>
      </w:r>
      <w:r w:rsidR="00A024FB" w:rsidRPr="00A024FB">
        <w:rPr>
          <w:szCs w:val="22"/>
          <w:lang w:val="fr-FR"/>
        </w:rPr>
        <w:t> 1</w:t>
      </w:r>
      <w:r w:rsidR="00A655F6" w:rsidRPr="00A024FB">
        <w:rPr>
          <w:szCs w:val="22"/>
          <w:lang w:val="fr-FR"/>
        </w:rPr>
        <w:t>2</w:t>
      </w:r>
      <w:r w:rsidR="00A655F6">
        <w:rPr>
          <w:szCs w:val="22"/>
          <w:lang w:val="fr-FR"/>
        </w:rPr>
        <w:t> mai </w:t>
      </w:r>
      <w:r w:rsidR="00A655F6" w:rsidRPr="00A024FB">
        <w:rPr>
          <w:szCs w:val="22"/>
          <w:lang w:val="fr-FR"/>
        </w:rPr>
        <w:t>20</w:t>
      </w:r>
      <w:r w:rsidR="00A024FB" w:rsidRPr="00A024FB">
        <w:rPr>
          <w:szCs w:val="22"/>
          <w:lang w:val="fr-FR"/>
        </w:rPr>
        <w:t xml:space="preserve">17, </w:t>
      </w:r>
      <w:r w:rsidR="00A024FB">
        <w:rPr>
          <w:szCs w:val="22"/>
          <w:lang w:val="fr-FR"/>
        </w:rPr>
        <w:t>a examiné une</w:t>
      </w:r>
      <w:r w:rsidR="00A024FB" w:rsidRPr="00A024FB">
        <w:rPr>
          <w:szCs w:val="22"/>
          <w:lang w:val="fr-FR"/>
        </w:rPr>
        <w:t xml:space="preserve"> </w:t>
      </w:r>
      <w:r w:rsidR="00A024FB">
        <w:rPr>
          <w:szCs w:val="22"/>
          <w:lang w:val="fr-FR"/>
        </w:rPr>
        <w:t xml:space="preserve">proposition </w:t>
      </w:r>
      <w:r w:rsidR="008D01A4">
        <w:rPr>
          <w:lang w:val="fr-FR"/>
        </w:rPr>
        <w:t xml:space="preserve">visant à </w:t>
      </w:r>
      <w:r w:rsidR="00A024FB" w:rsidRPr="00F422DA">
        <w:rPr>
          <w:lang w:val="fr-FR"/>
        </w:rPr>
        <w:t>amélior</w:t>
      </w:r>
      <w:r w:rsidR="008D01A4">
        <w:rPr>
          <w:lang w:val="fr-FR"/>
        </w:rPr>
        <w:t xml:space="preserve">er la </w:t>
      </w:r>
      <w:r w:rsidR="008D01A4" w:rsidRPr="009A006E">
        <w:rPr>
          <w:lang w:val="fr-FR"/>
        </w:rPr>
        <w:t>coordination</w:t>
      </w:r>
      <w:r w:rsidR="00A024FB" w:rsidRPr="00F422DA">
        <w:rPr>
          <w:lang w:val="fr-FR"/>
        </w:rPr>
        <w:t xml:space="preserve"> de la formation des examinateurs de</w:t>
      </w:r>
      <w:r w:rsidR="00A024FB">
        <w:rPr>
          <w:lang w:val="fr-FR"/>
        </w:rPr>
        <w:t xml:space="preserve"> brevets </w:t>
      </w:r>
      <w:r w:rsidR="00A024FB" w:rsidRPr="00A024FB">
        <w:rPr>
          <w:lang w:val="fr-CH"/>
        </w:rPr>
        <w:t>(voir le document</w:t>
      </w:r>
      <w:r w:rsidR="008B71C6">
        <w:rPr>
          <w:lang w:val="fr-CH"/>
        </w:rPr>
        <w:t> </w:t>
      </w:r>
      <w:r w:rsidR="00A024FB" w:rsidRPr="00A024FB">
        <w:rPr>
          <w:lang w:val="fr-CH"/>
        </w:rPr>
        <w:t>PCT/WG/10/9).  Le paragraphe 10 du document résumait les lacunes de l</w:t>
      </w:r>
      <w:r w:rsidR="00A655F6">
        <w:rPr>
          <w:lang w:val="fr-CH"/>
        </w:rPr>
        <w:t>’</w:t>
      </w:r>
      <w:r w:rsidR="00A024FB" w:rsidRPr="00A024FB">
        <w:rPr>
          <w:lang w:val="fr-CH"/>
        </w:rPr>
        <w:t>aide actuellement fournie par les offices donateurs pour la formation des examinateurs de brevets dans les pays en développeme</w:t>
      </w:r>
      <w:r w:rsidR="008B71C6" w:rsidRPr="00A024FB">
        <w:rPr>
          <w:lang w:val="fr-CH"/>
        </w:rPr>
        <w:t>nt</w:t>
      </w:r>
      <w:r w:rsidR="008B71C6">
        <w:rPr>
          <w:lang w:val="fr-CH"/>
        </w:rPr>
        <w:t xml:space="preserve">.  </w:t>
      </w:r>
      <w:r w:rsidR="008B71C6" w:rsidRPr="002A6B32">
        <w:rPr>
          <w:lang w:val="fr-CH"/>
        </w:rPr>
        <w:t>Ce</w:t>
      </w:r>
      <w:r w:rsidR="002A6B32" w:rsidRPr="002A6B32">
        <w:rPr>
          <w:lang w:val="fr-CH"/>
        </w:rPr>
        <w:t>s lacunes soulignaient la nécessité d</w:t>
      </w:r>
      <w:r w:rsidR="00A655F6">
        <w:rPr>
          <w:lang w:val="fr-CH"/>
        </w:rPr>
        <w:t>’</w:t>
      </w:r>
      <w:r w:rsidR="002A6B32" w:rsidRPr="002A6B32">
        <w:rPr>
          <w:lang w:val="fr-CH"/>
        </w:rPr>
        <w:t>une meilleure coordination</w:t>
      </w:r>
      <w:r w:rsidR="00A024FB" w:rsidRPr="002A6B32">
        <w:rPr>
          <w:lang w:val="fr-CH"/>
        </w:rPr>
        <w:t xml:space="preserve">, </w:t>
      </w:r>
      <w:r w:rsidR="008D01A4">
        <w:rPr>
          <w:lang w:val="fr-CH"/>
        </w:rPr>
        <w:t>afin</w:t>
      </w:r>
      <w:r w:rsidR="002A6B32" w:rsidRPr="002A6B32">
        <w:rPr>
          <w:lang w:val="fr-CH"/>
        </w:rPr>
        <w:t xml:space="preserve"> que les examinateurs de brevets </w:t>
      </w:r>
      <w:r w:rsidR="008D01A4">
        <w:rPr>
          <w:lang w:val="fr-CH"/>
        </w:rPr>
        <w:t>puissent acquérir</w:t>
      </w:r>
      <w:r w:rsidR="002A6B32" w:rsidRPr="002A6B32">
        <w:rPr>
          <w:lang w:val="fr-CH"/>
        </w:rPr>
        <w:t xml:space="preserve"> </w:t>
      </w:r>
      <w:r w:rsidR="002A6B32">
        <w:rPr>
          <w:lang w:val="fr-CH"/>
        </w:rPr>
        <w:t>d</w:t>
      </w:r>
      <w:r w:rsidR="002A6B32" w:rsidRPr="002A6B32">
        <w:rPr>
          <w:lang w:val="fr-CH"/>
        </w:rPr>
        <w:t>es compétences eu égard à leur description de poste</w:t>
      </w:r>
      <w:r w:rsidR="00A024FB" w:rsidRPr="002A6B32">
        <w:rPr>
          <w:lang w:val="fr-CH"/>
        </w:rPr>
        <w:t xml:space="preserve">, </w:t>
      </w:r>
      <w:r w:rsidR="002A6B32" w:rsidRPr="002A6B32">
        <w:rPr>
          <w:lang w:val="fr-CH"/>
        </w:rPr>
        <w:t>que l</w:t>
      </w:r>
      <w:r w:rsidR="00A655F6">
        <w:rPr>
          <w:lang w:val="fr-CH"/>
        </w:rPr>
        <w:t>’</w:t>
      </w:r>
      <w:r w:rsidR="002A6B32" w:rsidRPr="002A6B32">
        <w:rPr>
          <w:lang w:val="fr-CH"/>
        </w:rPr>
        <w:t>offre des offices donateurs et la demande en matière de formation individuelle ou institutionnelle corresponde</w:t>
      </w:r>
      <w:r w:rsidR="00A024FB" w:rsidRPr="002A6B32">
        <w:rPr>
          <w:lang w:val="fr-CH"/>
        </w:rPr>
        <w:t xml:space="preserve">, </w:t>
      </w:r>
      <w:r w:rsidR="002A6B32" w:rsidRPr="002A6B32">
        <w:rPr>
          <w:lang w:val="fr-CH"/>
        </w:rPr>
        <w:t>que la participation aux formations et l</w:t>
      </w:r>
      <w:r w:rsidR="00A655F6">
        <w:rPr>
          <w:lang w:val="fr-CH"/>
        </w:rPr>
        <w:t>’</w:t>
      </w:r>
      <w:r w:rsidR="002A6B32" w:rsidRPr="002A6B32">
        <w:rPr>
          <w:lang w:val="fr-CH"/>
        </w:rPr>
        <w:t>évaluation de l</w:t>
      </w:r>
      <w:r w:rsidR="00A655F6">
        <w:rPr>
          <w:lang w:val="fr-CH"/>
        </w:rPr>
        <w:t>’</w:t>
      </w:r>
      <w:r w:rsidR="002A6B32" w:rsidRPr="002A6B32">
        <w:rPr>
          <w:lang w:val="fr-CH"/>
        </w:rPr>
        <w:t xml:space="preserve">apprentissage </w:t>
      </w:r>
      <w:r w:rsidR="002A6B32">
        <w:rPr>
          <w:lang w:val="fr-CH"/>
        </w:rPr>
        <w:t>fassent l</w:t>
      </w:r>
      <w:r w:rsidR="00A655F6">
        <w:rPr>
          <w:lang w:val="fr-CH"/>
        </w:rPr>
        <w:t>’</w:t>
      </w:r>
      <w:r w:rsidR="002A6B32">
        <w:rPr>
          <w:lang w:val="fr-CH"/>
        </w:rPr>
        <w:t>objet d</w:t>
      </w:r>
      <w:r w:rsidR="00A655F6">
        <w:rPr>
          <w:lang w:val="fr-CH"/>
        </w:rPr>
        <w:t>’</w:t>
      </w:r>
      <w:r w:rsidR="002A6B32">
        <w:rPr>
          <w:lang w:val="fr-CH"/>
        </w:rPr>
        <w:t>un</w:t>
      </w:r>
      <w:r w:rsidR="002A6B32" w:rsidRPr="002A6B32">
        <w:rPr>
          <w:lang w:val="fr-CH"/>
        </w:rPr>
        <w:t xml:space="preserve"> suivi</w:t>
      </w:r>
      <w:r w:rsidR="00A024FB" w:rsidRPr="002A6B32">
        <w:rPr>
          <w:lang w:val="fr-CH"/>
        </w:rPr>
        <w:t xml:space="preserve">, </w:t>
      </w:r>
      <w:r w:rsidR="002A6B32">
        <w:rPr>
          <w:lang w:val="fr-CH"/>
        </w:rPr>
        <w:t xml:space="preserve">que </w:t>
      </w:r>
      <w:r w:rsidR="002A6B32" w:rsidRPr="002A6B32">
        <w:rPr>
          <w:lang w:val="fr-CH"/>
        </w:rPr>
        <w:t>les possibilités de</w:t>
      </w:r>
      <w:r w:rsidR="002A6B32">
        <w:rPr>
          <w:lang w:val="fr-CH"/>
        </w:rPr>
        <w:t xml:space="preserve"> formation</w:t>
      </w:r>
      <w:r w:rsidR="002A6B32" w:rsidRPr="002A6B32">
        <w:rPr>
          <w:lang w:val="fr-CH"/>
        </w:rPr>
        <w:t xml:space="preserve"> soient exploitées efficacement</w:t>
      </w:r>
      <w:r w:rsidR="00A024FB" w:rsidRPr="002A6B32">
        <w:rPr>
          <w:lang w:val="fr-CH"/>
        </w:rPr>
        <w:t xml:space="preserve">, </w:t>
      </w:r>
      <w:r w:rsidR="002A6B32" w:rsidRPr="002A6B32">
        <w:rPr>
          <w:lang w:val="fr-CH"/>
        </w:rPr>
        <w:t xml:space="preserve">et que les collaborations en matière de formation entre bénéficiaires et donateurs </w:t>
      </w:r>
      <w:r w:rsidR="002A6B32">
        <w:rPr>
          <w:lang w:val="fr-CH"/>
        </w:rPr>
        <w:t>fassent l</w:t>
      </w:r>
      <w:r w:rsidR="00A655F6">
        <w:rPr>
          <w:lang w:val="fr-CH"/>
        </w:rPr>
        <w:t>’</w:t>
      </w:r>
      <w:r w:rsidR="002A6B32">
        <w:rPr>
          <w:lang w:val="fr-CH"/>
        </w:rPr>
        <w:t>objet d</w:t>
      </w:r>
      <w:r w:rsidR="00A655F6">
        <w:rPr>
          <w:lang w:val="fr-CH"/>
        </w:rPr>
        <w:t>’</w:t>
      </w:r>
      <w:r w:rsidR="002A6B32">
        <w:rPr>
          <w:lang w:val="fr-CH"/>
        </w:rPr>
        <w:t>un</w:t>
      </w:r>
      <w:r w:rsidR="002A6B32" w:rsidRPr="002A6B32">
        <w:rPr>
          <w:lang w:val="fr-CH"/>
        </w:rPr>
        <w:t xml:space="preserve"> suivi et </w:t>
      </w:r>
      <w:r w:rsidR="00B62B94">
        <w:rPr>
          <w:lang w:val="fr-CH"/>
        </w:rPr>
        <w:t>d</w:t>
      </w:r>
      <w:r w:rsidR="00A655F6">
        <w:rPr>
          <w:lang w:val="fr-CH"/>
        </w:rPr>
        <w:t>’</w:t>
      </w:r>
      <w:r w:rsidR="00B62B94">
        <w:rPr>
          <w:lang w:val="fr-CH"/>
        </w:rPr>
        <w:t>une évaluati</w:t>
      </w:r>
      <w:r w:rsidR="008B71C6">
        <w:rPr>
          <w:lang w:val="fr-CH"/>
        </w:rPr>
        <w:t xml:space="preserve">on.  </w:t>
      </w:r>
      <w:r w:rsidR="008B71C6" w:rsidRPr="002A6B32">
        <w:rPr>
          <w:lang w:val="fr-CH"/>
        </w:rPr>
        <w:t>Po</w:t>
      </w:r>
      <w:r w:rsidR="002A6B32" w:rsidRPr="002A6B32">
        <w:rPr>
          <w:lang w:val="fr-CH"/>
        </w:rPr>
        <w:t xml:space="preserve">ur atteindre ces objectifs, le </w:t>
      </w:r>
      <w:r w:rsidR="00A024FB" w:rsidRPr="002A6B32">
        <w:rPr>
          <w:lang w:val="fr-CH"/>
        </w:rPr>
        <w:t>paragraph</w:t>
      </w:r>
      <w:r w:rsidR="002A6B32" w:rsidRPr="002A6B32">
        <w:rPr>
          <w:lang w:val="fr-CH"/>
        </w:rPr>
        <w:t>e</w:t>
      </w:r>
      <w:r w:rsidR="00A024FB" w:rsidRPr="002A6B32">
        <w:rPr>
          <w:lang w:val="fr-CH"/>
        </w:rPr>
        <w:t xml:space="preserve"> 12 </w:t>
      </w:r>
      <w:r w:rsidR="002A6B32" w:rsidRPr="002A6B32">
        <w:rPr>
          <w:lang w:val="fr-CH"/>
        </w:rPr>
        <w:t>du</w:t>
      </w:r>
      <w:r w:rsidR="00A024FB" w:rsidRPr="002A6B32">
        <w:rPr>
          <w:lang w:val="fr-CH"/>
        </w:rPr>
        <w:t xml:space="preserve"> document </w:t>
      </w:r>
      <w:r w:rsidR="002A6B32" w:rsidRPr="002A6B32">
        <w:rPr>
          <w:lang w:val="fr-CH"/>
        </w:rPr>
        <w:t>proposait d</w:t>
      </w:r>
      <w:r w:rsidR="00A655F6">
        <w:rPr>
          <w:lang w:val="fr-CH"/>
        </w:rPr>
        <w:t>’</w:t>
      </w:r>
      <w:r w:rsidR="002A6B32" w:rsidRPr="002A6B32">
        <w:rPr>
          <w:lang w:val="fr-CH"/>
        </w:rPr>
        <w:t xml:space="preserve">utiliser des cadres de compétences qui </w:t>
      </w:r>
      <w:r w:rsidR="008D01A4">
        <w:rPr>
          <w:lang w:val="fr-CH"/>
        </w:rPr>
        <w:t>soi</w:t>
      </w:r>
      <w:r w:rsidR="002A6B32" w:rsidRPr="002A6B32">
        <w:rPr>
          <w:lang w:val="fr-CH"/>
        </w:rPr>
        <w:t>ent suffisamment</w:t>
      </w:r>
      <w:r w:rsidR="002A6B32">
        <w:rPr>
          <w:lang w:val="fr-CH"/>
        </w:rPr>
        <w:t xml:space="preserve"> exhaustifs et détaillés</w:t>
      </w:r>
      <w:r w:rsidR="008D01A4">
        <w:rPr>
          <w:lang w:val="fr-CH"/>
        </w:rPr>
        <w:t>, afin que</w:t>
      </w:r>
      <w:r w:rsidR="00A655F6">
        <w:rPr>
          <w:lang w:val="fr-CH"/>
        </w:rPr>
        <w:t> :</w:t>
      </w:r>
    </w:p>
    <w:p w:rsidR="002A6B32" w:rsidRPr="00354334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354334">
        <w:rPr>
          <w:rFonts w:ascii="Arial" w:eastAsia="SimSun" w:hAnsi="Arial" w:cs="Arial"/>
          <w:lang w:val="fr-CH" w:eastAsia="zh-CN"/>
        </w:rPr>
        <w:t>les offices puissent définir des modèles de compétences individuels adaptés à la description de poste des examinateurs, et la politique de l</w:t>
      </w:r>
      <w:r w:rsidR="00A655F6">
        <w:rPr>
          <w:rFonts w:ascii="Arial" w:eastAsia="SimSun" w:hAnsi="Arial" w:cs="Arial"/>
          <w:lang w:val="fr-CH" w:eastAsia="zh-CN"/>
        </w:rPr>
        <w:t>’</w:t>
      </w:r>
      <w:r w:rsidRPr="00354334">
        <w:rPr>
          <w:rFonts w:ascii="Arial" w:eastAsia="SimSun" w:hAnsi="Arial" w:cs="Arial"/>
          <w:lang w:val="fr-CH" w:eastAsia="zh-CN"/>
        </w:rPr>
        <w:t>office en matière d</w:t>
      </w:r>
      <w:r w:rsidR="00A655F6">
        <w:rPr>
          <w:rFonts w:ascii="Arial" w:eastAsia="SimSun" w:hAnsi="Arial" w:cs="Arial"/>
          <w:lang w:val="fr-CH" w:eastAsia="zh-CN"/>
        </w:rPr>
        <w:t>’</w:t>
      </w:r>
      <w:r w:rsidRPr="00354334">
        <w:rPr>
          <w:rFonts w:ascii="Arial" w:eastAsia="SimSun" w:hAnsi="Arial" w:cs="Arial"/>
          <w:lang w:val="fr-CH" w:eastAsia="zh-CN"/>
        </w:rPr>
        <w:t>examen en choisissant les compétences appropriées dans un cadre générique</w:t>
      </w:r>
      <w:r w:rsidR="002A6B32" w:rsidRPr="00354334">
        <w:rPr>
          <w:rFonts w:ascii="Arial" w:eastAsia="SimSun" w:hAnsi="Arial" w:cs="Arial"/>
          <w:lang w:val="fr-CH" w:eastAsia="zh-CN"/>
        </w:rPr>
        <w:t>;</w:t>
      </w:r>
    </w:p>
    <w:p w:rsidR="002A6B32" w:rsidRPr="00354334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58773D">
        <w:rPr>
          <w:rFonts w:ascii="Arial" w:eastAsia="SimSun" w:hAnsi="Arial" w:cs="Arial"/>
          <w:lang w:val="fr-CH" w:eastAsia="zh-CN"/>
        </w:rPr>
        <w:t>les offices puissent communiquer les besoins (individuels ou institutionnels) de formation aux donateurs en termes de compétences spécifiques afin de permettre à ces derniers de répondre à la demande de façon plus précise</w:t>
      </w:r>
      <w:r w:rsidR="002A6B32" w:rsidRPr="00354334">
        <w:rPr>
          <w:rFonts w:ascii="Arial" w:eastAsia="SimSun" w:hAnsi="Arial" w:cs="Arial"/>
          <w:lang w:val="fr-CH" w:eastAsia="zh-CN"/>
        </w:rPr>
        <w:t>;</w:t>
      </w:r>
    </w:p>
    <w:p w:rsidR="002A6B32" w:rsidRPr="00354334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58773D">
        <w:rPr>
          <w:rFonts w:ascii="Arial" w:eastAsia="SimSun" w:hAnsi="Arial" w:cs="Arial"/>
          <w:lang w:val="fr-CH" w:eastAsia="zh-CN"/>
        </w:rPr>
        <w:lastRenderedPageBreak/>
        <w:t>les donateurs puissent décrire le contenu de leurs formations et définir les conditions préalables à la participation en termes de compétences</w:t>
      </w:r>
      <w:r w:rsidR="002A6B32" w:rsidRPr="00354334">
        <w:rPr>
          <w:rFonts w:ascii="Arial" w:eastAsia="SimSun" w:hAnsi="Arial" w:cs="Arial"/>
          <w:lang w:val="fr-CH" w:eastAsia="zh-CN"/>
        </w:rPr>
        <w:t>;</w:t>
      </w:r>
    </w:p>
    <w:p w:rsidR="002A6B32" w:rsidRPr="00354334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58773D">
        <w:rPr>
          <w:rFonts w:ascii="Arial" w:eastAsia="SimSun" w:hAnsi="Arial" w:cs="Arial"/>
          <w:lang w:val="fr-CH" w:eastAsia="zh-CN"/>
        </w:rPr>
        <w:t>les responsables de l</w:t>
      </w:r>
      <w:r w:rsidR="00A655F6" w:rsidRPr="0058773D">
        <w:rPr>
          <w:rFonts w:ascii="Arial" w:eastAsia="SimSun" w:hAnsi="Arial" w:cs="Arial"/>
          <w:lang w:val="fr-CH" w:eastAsia="zh-CN"/>
        </w:rPr>
        <w:t>’</w:t>
      </w:r>
      <w:r w:rsidRPr="0058773D">
        <w:rPr>
          <w:rFonts w:ascii="Arial" w:eastAsia="SimSun" w:hAnsi="Arial" w:cs="Arial"/>
          <w:lang w:val="fr-CH" w:eastAsia="zh-CN"/>
        </w:rPr>
        <w:t>administration ou de la gestion des formations puissent évaluer et consigner le niveau de connaissances préalables des participants et repérer leurs lacunes éventuelles</w:t>
      </w:r>
      <w:r w:rsidR="002A6B32" w:rsidRPr="00354334">
        <w:rPr>
          <w:rFonts w:ascii="Arial" w:eastAsia="SimSun" w:hAnsi="Arial" w:cs="Arial"/>
          <w:lang w:val="fr-CH" w:eastAsia="zh-CN"/>
        </w:rPr>
        <w:t>;</w:t>
      </w:r>
    </w:p>
    <w:p w:rsidR="002A6B32" w:rsidRPr="00354334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58773D">
        <w:rPr>
          <w:rFonts w:ascii="Arial" w:eastAsia="SimSun" w:hAnsi="Arial" w:cs="Arial"/>
          <w:lang w:val="fr-CH" w:eastAsia="zh-CN"/>
        </w:rPr>
        <w:t>les responsables de l</w:t>
      </w:r>
      <w:r w:rsidR="00A655F6" w:rsidRPr="0058773D">
        <w:rPr>
          <w:rFonts w:ascii="Arial" w:eastAsia="SimSun" w:hAnsi="Arial" w:cs="Arial"/>
          <w:lang w:val="fr-CH" w:eastAsia="zh-CN"/>
        </w:rPr>
        <w:t>’</w:t>
      </w:r>
      <w:r w:rsidRPr="0058773D">
        <w:rPr>
          <w:rFonts w:ascii="Arial" w:eastAsia="SimSun" w:hAnsi="Arial" w:cs="Arial"/>
          <w:lang w:val="fr-CH" w:eastAsia="zh-CN"/>
        </w:rPr>
        <w:t>administration ou de la gestion des formations puissent suivre et évaluer les compétences acquises par cha</w:t>
      </w:r>
      <w:r w:rsidR="00B62B94" w:rsidRPr="0058773D">
        <w:rPr>
          <w:rFonts w:ascii="Arial" w:eastAsia="SimSun" w:hAnsi="Arial" w:cs="Arial"/>
          <w:lang w:val="fr-CH" w:eastAsia="zh-CN"/>
        </w:rPr>
        <w:t xml:space="preserve">cun des </w:t>
      </w:r>
      <w:r w:rsidRPr="0058773D">
        <w:rPr>
          <w:rFonts w:ascii="Arial" w:eastAsia="SimSun" w:hAnsi="Arial" w:cs="Arial"/>
          <w:lang w:val="fr-CH" w:eastAsia="zh-CN"/>
        </w:rPr>
        <w:t>examinateur</w:t>
      </w:r>
      <w:r w:rsidR="00B62B94" w:rsidRPr="0058773D">
        <w:rPr>
          <w:rFonts w:ascii="Arial" w:eastAsia="SimSun" w:hAnsi="Arial" w:cs="Arial"/>
          <w:lang w:val="fr-CH" w:eastAsia="zh-CN"/>
        </w:rPr>
        <w:t>s</w:t>
      </w:r>
      <w:r w:rsidRPr="0058773D">
        <w:rPr>
          <w:rFonts w:ascii="Arial" w:eastAsia="SimSun" w:hAnsi="Arial" w:cs="Arial"/>
          <w:lang w:val="fr-CH" w:eastAsia="zh-CN"/>
        </w:rPr>
        <w:t xml:space="preserve"> à la suite de leur participation à une formation</w:t>
      </w:r>
      <w:r w:rsidR="002A6B32" w:rsidRPr="00354334">
        <w:rPr>
          <w:rFonts w:ascii="Arial" w:eastAsia="SimSun" w:hAnsi="Arial" w:cs="Arial"/>
          <w:lang w:val="fr-CH" w:eastAsia="zh-CN"/>
        </w:rPr>
        <w:t>;</w:t>
      </w:r>
    </w:p>
    <w:p w:rsidR="002A6B32" w:rsidRPr="00354334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58773D">
        <w:rPr>
          <w:rFonts w:ascii="Arial" w:eastAsia="SimSun" w:hAnsi="Arial" w:cs="Arial"/>
          <w:lang w:val="fr-CH" w:eastAsia="zh-CN"/>
        </w:rPr>
        <w:t>les responsables de l</w:t>
      </w:r>
      <w:r w:rsidR="00A655F6" w:rsidRPr="0058773D">
        <w:rPr>
          <w:rFonts w:ascii="Arial" w:eastAsia="SimSun" w:hAnsi="Arial" w:cs="Arial"/>
          <w:lang w:val="fr-CH" w:eastAsia="zh-CN"/>
        </w:rPr>
        <w:t>’</w:t>
      </w:r>
      <w:r w:rsidRPr="0058773D">
        <w:rPr>
          <w:rFonts w:ascii="Arial" w:eastAsia="SimSun" w:hAnsi="Arial" w:cs="Arial"/>
          <w:lang w:val="fr-CH" w:eastAsia="zh-CN"/>
        </w:rPr>
        <w:t>organisation ou de l</w:t>
      </w:r>
      <w:r w:rsidR="00A655F6" w:rsidRPr="0058773D">
        <w:rPr>
          <w:rFonts w:ascii="Arial" w:eastAsia="SimSun" w:hAnsi="Arial" w:cs="Arial"/>
          <w:lang w:val="fr-CH" w:eastAsia="zh-CN"/>
        </w:rPr>
        <w:t>’</w:t>
      </w:r>
      <w:r w:rsidRPr="0058773D">
        <w:rPr>
          <w:rFonts w:ascii="Arial" w:eastAsia="SimSun" w:hAnsi="Arial" w:cs="Arial"/>
          <w:lang w:val="fr-CH" w:eastAsia="zh-CN"/>
        </w:rPr>
        <w:t>administration des formations puissent proposer des formations plus efficacement en tenant compte des connaissances préalables des candidats à une formation et de leurs lacunes, mais également du contenu des formations et des conditions préalables à remplir pour participer à telle ou telle formation</w:t>
      </w:r>
      <w:r w:rsidR="002A6B32" w:rsidRPr="00354334">
        <w:rPr>
          <w:rFonts w:ascii="Arial" w:eastAsia="SimSun" w:hAnsi="Arial" w:cs="Arial"/>
          <w:lang w:val="fr-CH" w:eastAsia="zh-CN"/>
        </w:rPr>
        <w:t>;</w:t>
      </w:r>
    </w:p>
    <w:p w:rsidR="002A6B32" w:rsidRPr="0058773D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 w:line="240" w:lineRule="auto"/>
        <w:ind w:left="1134" w:right="1152" w:hanging="567"/>
        <w:contextualSpacing w:val="0"/>
        <w:rPr>
          <w:rFonts w:ascii="Arial" w:eastAsia="SimSun" w:hAnsi="Arial" w:cs="Arial"/>
          <w:lang w:val="fr-CH" w:eastAsia="zh-CN"/>
        </w:rPr>
      </w:pPr>
      <w:r w:rsidRPr="0058773D">
        <w:rPr>
          <w:rFonts w:ascii="Arial" w:eastAsia="SimSun" w:hAnsi="Arial" w:cs="Arial"/>
          <w:lang w:val="fr-CH" w:eastAsia="zh-CN"/>
        </w:rPr>
        <w:t>les besoins tant des offices qui organisent régulièrement des examens de brevets quant au fond sans aide extérieure que de ceux disposant de capacités limitées en matière d</w:t>
      </w:r>
      <w:r w:rsidR="00A655F6" w:rsidRPr="0058773D">
        <w:rPr>
          <w:rFonts w:ascii="Arial" w:eastAsia="SimSun" w:hAnsi="Arial" w:cs="Arial"/>
          <w:lang w:val="fr-CH" w:eastAsia="zh-CN"/>
        </w:rPr>
        <w:t>’</w:t>
      </w:r>
      <w:r w:rsidRPr="0058773D">
        <w:rPr>
          <w:rFonts w:ascii="Arial" w:eastAsia="SimSun" w:hAnsi="Arial" w:cs="Arial"/>
          <w:lang w:val="fr-CH" w:eastAsia="zh-CN"/>
        </w:rPr>
        <w:t>examen puissent être satisfaits</w:t>
      </w:r>
      <w:r w:rsidR="00D56E9B" w:rsidRPr="0058773D">
        <w:rPr>
          <w:rFonts w:ascii="Arial" w:eastAsia="SimSun" w:hAnsi="Arial" w:cs="Arial"/>
          <w:lang w:val="fr-CH" w:eastAsia="zh-CN"/>
        </w:rPr>
        <w:t>.</w:t>
      </w:r>
    </w:p>
    <w:p w:rsidR="002A6B32" w:rsidRPr="00354334" w:rsidRDefault="00354334" w:rsidP="00354334">
      <w:pPr>
        <w:pStyle w:val="ONUME"/>
        <w:numPr>
          <w:ilvl w:val="0"/>
          <w:numId w:val="0"/>
        </w:numPr>
        <w:rPr>
          <w:lang w:val="fr-FR"/>
        </w:rPr>
      </w:pPr>
      <w:r w:rsidRPr="00354334">
        <w:rPr>
          <w:lang w:val="fr-FR"/>
        </w:rPr>
        <w:t>5.</w:t>
      </w:r>
      <w:r w:rsidRPr="00354334">
        <w:rPr>
          <w:lang w:val="fr-FR"/>
        </w:rPr>
        <w:tab/>
        <w:t>Afin de faciliter la coordination de la formation des</w:t>
      </w:r>
      <w:r w:rsidR="002A6B32" w:rsidRPr="00354334">
        <w:rPr>
          <w:lang w:val="fr-FR"/>
        </w:rPr>
        <w:t xml:space="preserve"> examin</w:t>
      </w:r>
      <w:r w:rsidRPr="00354334">
        <w:rPr>
          <w:lang w:val="fr-FR"/>
        </w:rPr>
        <w:t>at</w:t>
      </w:r>
      <w:r w:rsidR="002A6B32" w:rsidRPr="00354334">
        <w:rPr>
          <w:lang w:val="fr-FR"/>
        </w:rPr>
        <w:t>e</w:t>
      </w:r>
      <w:r w:rsidRPr="00354334">
        <w:rPr>
          <w:lang w:val="fr-FR"/>
        </w:rPr>
        <w:t>u</w:t>
      </w:r>
      <w:r w:rsidR="002A6B32" w:rsidRPr="00354334">
        <w:rPr>
          <w:lang w:val="fr-FR"/>
        </w:rPr>
        <w:t>rs</w:t>
      </w:r>
      <w:r w:rsidRPr="00354334">
        <w:rPr>
          <w:lang w:val="fr-FR"/>
        </w:rPr>
        <w:t xml:space="preserve"> de brevets</w:t>
      </w:r>
      <w:r w:rsidR="002A6B32" w:rsidRPr="00354334">
        <w:rPr>
          <w:lang w:val="fr-FR"/>
        </w:rPr>
        <w:t>,</w:t>
      </w:r>
      <w:r w:rsidRPr="00354334">
        <w:rPr>
          <w:lang w:val="fr-FR"/>
        </w:rPr>
        <w:t xml:space="preserve"> le</w:t>
      </w:r>
      <w:r w:rsidR="002A6B32" w:rsidRPr="00354334">
        <w:rPr>
          <w:lang w:val="fr-FR"/>
        </w:rPr>
        <w:t xml:space="preserve"> </w:t>
      </w:r>
      <w:r w:rsidR="00A655F6" w:rsidRPr="00354334">
        <w:rPr>
          <w:lang w:val="fr-FR"/>
        </w:rPr>
        <w:t>document</w:t>
      </w:r>
      <w:r w:rsidR="008B71C6">
        <w:rPr>
          <w:lang w:val="fr-FR"/>
        </w:rPr>
        <w:t> </w:t>
      </w:r>
      <w:r w:rsidR="00A655F6" w:rsidRPr="00354334">
        <w:rPr>
          <w:lang w:val="fr-FR"/>
        </w:rPr>
        <w:t>PC</w:t>
      </w:r>
      <w:r w:rsidR="002A6B32" w:rsidRPr="00354334">
        <w:rPr>
          <w:lang w:val="fr-FR"/>
        </w:rPr>
        <w:t xml:space="preserve">T/WG/10/9 </w:t>
      </w:r>
      <w:r w:rsidRPr="00354334">
        <w:rPr>
          <w:lang w:val="fr-FR"/>
        </w:rPr>
        <w:t>pr</w:t>
      </w:r>
      <w:r>
        <w:rPr>
          <w:lang w:val="fr-FR"/>
        </w:rPr>
        <w:t>éconis</w:t>
      </w:r>
      <w:r w:rsidRPr="00354334">
        <w:rPr>
          <w:lang w:val="fr-FR"/>
        </w:rPr>
        <w:t xml:space="preserve">ait en outre </w:t>
      </w:r>
      <w:r>
        <w:rPr>
          <w:lang w:val="fr-FR"/>
        </w:rPr>
        <w:t>l</w:t>
      </w:r>
      <w:r w:rsidR="00A655F6">
        <w:rPr>
          <w:lang w:val="fr-FR"/>
        </w:rPr>
        <w:t>’</w:t>
      </w:r>
      <w:r w:rsidRPr="00354334">
        <w:rPr>
          <w:lang w:val="fr-FR"/>
        </w:rPr>
        <w:t>élabor</w:t>
      </w:r>
      <w:r>
        <w:rPr>
          <w:lang w:val="fr-FR"/>
        </w:rPr>
        <w:t>ation d</w:t>
      </w:r>
      <w:r w:rsidR="00A655F6">
        <w:rPr>
          <w:lang w:val="fr-FR"/>
        </w:rPr>
        <w:t>’</w:t>
      </w:r>
      <w:r w:rsidRPr="00354334">
        <w:rPr>
          <w:lang w:val="fr-FR"/>
        </w:rPr>
        <w:t xml:space="preserve">un système de gestion de la formation qui </w:t>
      </w:r>
      <w:r w:rsidR="00B62B94">
        <w:rPr>
          <w:lang w:val="fr-FR"/>
        </w:rPr>
        <w:t>favorise</w:t>
      </w:r>
      <w:r w:rsidR="00B62B94" w:rsidRPr="00354334">
        <w:rPr>
          <w:lang w:val="fr-FR"/>
        </w:rPr>
        <w:t xml:space="preserve"> </w:t>
      </w:r>
      <w:r>
        <w:rPr>
          <w:lang w:val="fr-FR"/>
        </w:rPr>
        <w:t xml:space="preserve">la gestion et le suivi </w:t>
      </w:r>
      <w:r w:rsidRPr="00354334">
        <w:rPr>
          <w:lang w:val="fr-FR"/>
        </w:rPr>
        <w:t xml:space="preserve">de la formation </w:t>
      </w:r>
      <w:r>
        <w:rPr>
          <w:lang w:val="fr-FR"/>
        </w:rPr>
        <w:t xml:space="preserve">dispensée </w:t>
      </w:r>
      <w:r w:rsidR="00287A74">
        <w:rPr>
          <w:lang w:val="fr-FR"/>
        </w:rPr>
        <w:t>aux</w:t>
      </w:r>
      <w:r>
        <w:rPr>
          <w:lang w:val="fr-FR"/>
        </w:rPr>
        <w:t xml:space="preserve"> </w:t>
      </w:r>
      <w:r w:rsidRPr="00354334">
        <w:rPr>
          <w:lang w:val="fr-FR"/>
        </w:rPr>
        <w:t>examinateur</w:t>
      </w:r>
      <w:r>
        <w:rPr>
          <w:lang w:val="fr-FR"/>
        </w:rPr>
        <w:t>s</w:t>
      </w:r>
      <w:r w:rsidRPr="00354334">
        <w:rPr>
          <w:lang w:val="fr-FR"/>
        </w:rPr>
        <w:t xml:space="preserve"> </w:t>
      </w:r>
      <w:r>
        <w:rPr>
          <w:lang w:val="fr-FR"/>
        </w:rPr>
        <w:t xml:space="preserve">ou </w:t>
      </w:r>
      <w:r w:rsidRPr="00354334">
        <w:rPr>
          <w:lang w:val="fr-FR"/>
        </w:rPr>
        <w:t>groupes d</w:t>
      </w:r>
      <w:r w:rsidR="00A655F6">
        <w:rPr>
          <w:lang w:val="fr-FR"/>
        </w:rPr>
        <w:t>’</w:t>
      </w:r>
      <w:r w:rsidRPr="00354334">
        <w:rPr>
          <w:lang w:val="fr-FR"/>
        </w:rPr>
        <w:t>examinate</w:t>
      </w:r>
      <w:r>
        <w:rPr>
          <w:lang w:val="fr-FR"/>
        </w:rPr>
        <w:t>urs</w:t>
      </w:r>
      <w:r w:rsidR="00287A74">
        <w:rPr>
          <w:lang w:val="fr-FR"/>
        </w:rPr>
        <w:t>,</w:t>
      </w:r>
      <w:r>
        <w:rPr>
          <w:lang w:val="fr-FR"/>
        </w:rPr>
        <w:t xml:space="preserve"> ainsi que </w:t>
      </w:r>
      <w:r w:rsidR="00287A74">
        <w:rPr>
          <w:lang w:val="fr-FR"/>
        </w:rPr>
        <w:t>la reddition de compte</w:t>
      </w:r>
      <w:r>
        <w:rPr>
          <w:lang w:val="fr-FR"/>
        </w:rPr>
        <w:t>s à cet égard</w:t>
      </w:r>
      <w:r w:rsidR="002A6B32" w:rsidRPr="00354334">
        <w:rPr>
          <w:lang w:val="fr-FR"/>
        </w:rPr>
        <w:t xml:space="preserve">, </w:t>
      </w:r>
      <w:r w:rsidR="00287A74">
        <w:rPr>
          <w:lang w:val="fr-FR"/>
        </w:rPr>
        <w:t>comme il</w:t>
      </w:r>
      <w:r>
        <w:rPr>
          <w:lang w:val="fr-FR"/>
        </w:rPr>
        <w:t xml:space="preserve"> est indiqué aux</w:t>
      </w:r>
      <w:r w:rsidR="002A6B32" w:rsidRPr="00354334">
        <w:rPr>
          <w:lang w:val="fr-FR"/>
        </w:rPr>
        <w:t xml:space="preserve"> paragraph</w:t>
      </w:r>
      <w:r>
        <w:rPr>
          <w:lang w:val="fr-FR"/>
        </w:rPr>
        <w:t>e</w:t>
      </w:r>
      <w:r w:rsidR="002A6B32" w:rsidRPr="00354334">
        <w:rPr>
          <w:lang w:val="fr-FR"/>
        </w:rPr>
        <w:t xml:space="preserve">s 15 </w:t>
      </w:r>
      <w:r>
        <w:rPr>
          <w:lang w:val="fr-FR"/>
        </w:rPr>
        <w:t>et</w:t>
      </w:r>
      <w:r w:rsidR="002A6B32" w:rsidRPr="00354334">
        <w:rPr>
          <w:lang w:val="fr-FR"/>
        </w:rPr>
        <w:t xml:space="preserve"> 16 </w:t>
      </w:r>
      <w:r>
        <w:rPr>
          <w:lang w:val="fr-FR"/>
        </w:rPr>
        <w:t>du</w:t>
      </w:r>
      <w:r w:rsidR="002A6B32" w:rsidRPr="00354334">
        <w:rPr>
          <w:lang w:val="fr-FR"/>
        </w:rPr>
        <w:t xml:space="preserve"> document.</w:t>
      </w:r>
    </w:p>
    <w:p w:rsidR="002A6B32" w:rsidRPr="00D56E9B" w:rsidRDefault="00354334" w:rsidP="00354334">
      <w:pPr>
        <w:pStyle w:val="ONUME"/>
        <w:numPr>
          <w:ilvl w:val="0"/>
          <w:numId w:val="0"/>
        </w:numPr>
        <w:rPr>
          <w:lang w:val="fr-FR"/>
        </w:rPr>
      </w:pPr>
      <w:r w:rsidRPr="00287A74">
        <w:rPr>
          <w:lang w:val="fr-FR"/>
        </w:rPr>
        <w:t>6.</w:t>
      </w:r>
      <w:r w:rsidRPr="00287A74">
        <w:rPr>
          <w:lang w:val="fr-FR"/>
        </w:rPr>
        <w:tab/>
      </w:r>
      <w:r w:rsidR="00287A74" w:rsidRPr="00287A74">
        <w:rPr>
          <w:lang w:val="fr-FR"/>
        </w:rPr>
        <w:t>Les p</w:t>
      </w:r>
      <w:r w:rsidR="002A6B32" w:rsidRPr="00287A74">
        <w:rPr>
          <w:lang w:val="fr-FR"/>
        </w:rPr>
        <w:t>aragraph</w:t>
      </w:r>
      <w:r w:rsidR="00287A74" w:rsidRPr="00287A74">
        <w:rPr>
          <w:lang w:val="fr-FR"/>
        </w:rPr>
        <w:t>e</w:t>
      </w:r>
      <w:r w:rsidR="002A6B32" w:rsidRPr="00287A74">
        <w:rPr>
          <w:lang w:val="fr-FR"/>
        </w:rPr>
        <w:t xml:space="preserve">s 141 </w:t>
      </w:r>
      <w:r w:rsidR="00287A74" w:rsidRPr="00287A74">
        <w:rPr>
          <w:lang w:val="fr-FR"/>
        </w:rPr>
        <w:t>à</w:t>
      </w:r>
      <w:r w:rsidR="002A6B32" w:rsidRPr="00287A74">
        <w:rPr>
          <w:lang w:val="fr-FR"/>
        </w:rPr>
        <w:t xml:space="preserve"> 147 </w:t>
      </w:r>
      <w:r w:rsidR="00287A74" w:rsidRPr="00287A74">
        <w:rPr>
          <w:lang w:val="fr-FR"/>
        </w:rPr>
        <w:t>du rap</w:t>
      </w:r>
      <w:r w:rsidR="002A6B32" w:rsidRPr="00287A74">
        <w:rPr>
          <w:lang w:val="fr-FR"/>
        </w:rPr>
        <w:t xml:space="preserve">port </w:t>
      </w:r>
      <w:r w:rsidR="00287A74" w:rsidRPr="00287A74">
        <w:rPr>
          <w:lang w:val="fr-FR"/>
        </w:rPr>
        <w:t>de la dix</w:t>
      </w:r>
      <w:r w:rsidR="00A655F6">
        <w:rPr>
          <w:lang w:val="fr-FR"/>
        </w:rPr>
        <w:t>ième session</w:t>
      </w:r>
      <w:r w:rsidR="00A655F6" w:rsidRPr="00287A74">
        <w:rPr>
          <w:lang w:val="fr-FR"/>
        </w:rPr>
        <w:t xml:space="preserve"> </w:t>
      </w:r>
      <w:r w:rsidR="00A655F6">
        <w:rPr>
          <w:lang w:val="fr-FR"/>
        </w:rPr>
        <w:t>du </w:t>
      </w:r>
      <w:r w:rsidR="00A655F6" w:rsidRPr="00287A74">
        <w:rPr>
          <w:lang w:val="fr-FR"/>
        </w:rPr>
        <w:t>PCT</w:t>
      </w:r>
      <w:r w:rsidR="002A6B32" w:rsidRPr="00287A74">
        <w:rPr>
          <w:lang w:val="fr-FR"/>
        </w:rPr>
        <w:t xml:space="preserve"> (document PCT/WG/10/25) </w:t>
      </w:r>
      <w:r w:rsidR="00287A74">
        <w:rPr>
          <w:lang w:val="fr-FR"/>
        </w:rPr>
        <w:t>contien</w:t>
      </w:r>
      <w:r w:rsidR="00D56E9B">
        <w:rPr>
          <w:lang w:val="fr-FR"/>
        </w:rPr>
        <w:t>nen</w:t>
      </w:r>
      <w:r w:rsidR="00287A74">
        <w:rPr>
          <w:lang w:val="fr-FR"/>
        </w:rPr>
        <w:t>t</w:t>
      </w:r>
      <w:r w:rsidR="00287A74" w:rsidRPr="00287A74">
        <w:rPr>
          <w:lang w:val="fr-FR"/>
        </w:rPr>
        <w:t xml:space="preserve"> des précisions concernant </w:t>
      </w:r>
      <w:r w:rsidR="00287A74">
        <w:rPr>
          <w:lang w:val="fr-FR"/>
        </w:rPr>
        <w:t>l</w:t>
      </w:r>
      <w:r w:rsidR="00A655F6">
        <w:rPr>
          <w:lang w:val="fr-FR"/>
        </w:rPr>
        <w:t>’</w:t>
      </w:r>
      <w:r w:rsidR="00287A74">
        <w:rPr>
          <w:lang w:val="fr-FR"/>
        </w:rPr>
        <w:t>examen du</w:t>
      </w:r>
      <w:r w:rsidR="002A6B32" w:rsidRPr="00287A74">
        <w:rPr>
          <w:lang w:val="fr-FR"/>
        </w:rPr>
        <w:t xml:space="preserve"> document</w:t>
      </w:r>
      <w:r w:rsidR="008B71C6">
        <w:rPr>
          <w:lang w:val="fr-FR"/>
        </w:rPr>
        <w:t> </w:t>
      </w:r>
      <w:r w:rsidR="002A6B32" w:rsidRPr="00287A74">
        <w:rPr>
          <w:lang w:val="fr-FR"/>
        </w:rPr>
        <w:t xml:space="preserve">PCT/WG/10/9.  </w:t>
      </w:r>
      <w:r w:rsidR="00287A74" w:rsidRPr="00D56E9B">
        <w:rPr>
          <w:lang w:val="fr-FR"/>
        </w:rPr>
        <w:t>L</w:t>
      </w:r>
      <w:r w:rsidR="002A6B32" w:rsidRPr="00D56E9B">
        <w:rPr>
          <w:lang w:val="fr-FR"/>
        </w:rPr>
        <w:t xml:space="preserve">e </w:t>
      </w:r>
      <w:r w:rsidR="00287A74" w:rsidRPr="00D56E9B">
        <w:rPr>
          <w:lang w:val="fr-FR"/>
        </w:rPr>
        <w:t>Bureau i</w:t>
      </w:r>
      <w:r w:rsidR="002A6B32" w:rsidRPr="00D56E9B">
        <w:rPr>
          <w:lang w:val="fr-FR"/>
        </w:rPr>
        <w:t xml:space="preserve">nternational </w:t>
      </w:r>
      <w:r w:rsidR="00287A74" w:rsidRPr="00D56E9B">
        <w:rPr>
          <w:lang w:val="fr-FR"/>
        </w:rPr>
        <w:t xml:space="preserve">a </w:t>
      </w:r>
      <w:r w:rsidR="002A6B32" w:rsidRPr="00D56E9B">
        <w:rPr>
          <w:lang w:val="fr-FR"/>
        </w:rPr>
        <w:t>indi</w:t>
      </w:r>
      <w:r w:rsidR="00287A74" w:rsidRPr="00D56E9B">
        <w:rPr>
          <w:lang w:val="fr-FR"/>
        </w:rPr>
        <w:t>qué qu</w:t>
      </w:r>
      <w:r w:rsidR="00A655F6">
        <w:rPr>
          <w:lang w:val="fr-FR"/>
        </w:rPr>
        <w:t>’</w:t>
      </w:r>
      <w:r w:rsidR="00287A74" w:rsidRPr="00D56E9B">
        <w:rPr>
          <w:lang w:val="fr-FR"/>
        </w:rPr>
        <w:t>il</w:t>
      </w:r>
      <w:r w:rsidR="002A6B32" w:rsidRPr="00D56E9B">
        <w:rPr>
          <w:lang w:val="fr-FR"/>
        </w:rPr>
        <w:t xml:space="preserve"> </w:t>
      </w:r>
      <w:r w:rsidR="00D56E9B" w:rsidRPr="00D56E9B">
        <w:rPr>
          <w:lang w:val="fr-FR"/>
        </w:rPr>
        <w:t>rendrait compte des progrès accomplis dans l</w:t>
      </w:r>
      <w:r w:rsidR="00A655F6">
        <w:rPr>
          <w:lang w:val="fr-FR"/>
        </w:rPr>
        <w:t>’</w:t>
      </w:r>
      <w:r w:rsidR="00D56E9B" w:rsidRPr="00D56E9B">
        <w:rPr>
          <w:lang w:val="fr-FR"/>
        </w:rPr>
        <w:t>élaboration d</w:t>
      </w:r>
      <w:r w:rsidR="00A655F6">
        <w:rPr>
          <w:lang w:val="fr-FR"/>
        </w:rPr>
        <w:t>’</w:t>
      </w:r>
      <w:r w:rsidR="00D56E9B" w:rsidRPr="00D56E9B">
        <w:rPr>
          <w:lang w:val="fr-FR"/>
        </w:rPr>
        <w:t>un cadre de comp</w:t>
      </w:r>
      <w:r w:rsidR="00D56E9B">
        <w:rPr>
          <w:lang w:val="fr-FR"/>
        </w:rPr>
        <w:t>é</w:t>
      </w:r>
      <w:r w:rsidR="00D56E9B" w:rsidRPr="00D56E9B">
        <w:rPr>
          <w:lang w:val="fr-FR"/>
        </w:rPr>
        <w:t>tence</w:t>
      </w:r>
      <w:r w:rsidR="00D56E9B">
        <w:rPr>
          <w:lang w:val="fr-FR"/>
        </w:rPr>
        <w:t>s</w:t>
      </w:r>
      <w:r w:rsidR="00D56E9B" w:rsidRPr="00D56E9B">
        <w:rPr>
          <w:lang w:val="fr-FR"/>
        </w:rPr>
        <w:t xml:space="preserve"> </w:t>
      </w:r>
      <w:r w:rsidR="00D56E9B">
        <w:rPr>
          <w:lang w:val="fr-FR"/>
        </w:rPr>
        <w:t>et d</w:t>
      </w:r>
      <w:r w:rsidR="00A655F6">
        <w:rPr>
          <w:lang w:val="fr-FR"/>
        </w:rPr>
        <w:t>’</w:t>
      </w:r>
      <w:r w:rsidR="00D56E9B">
        <w:rPr>
          <w:lang w:val="fr-FR"/>
        </w:rPr>
        <w:t>un</w:t>
      </w:r>
      <w:r w:rsidR="00D56E9B" w:rsidRPr="00D56E9B">
        <w:rPr>
          <w:lang w:val="fr-FR"/>
        </w:rPr>
        <w:t xml:space="preserve"> système de gestion de</w:t>
      </w:r>
      <w:r w:rsidR="00D56E9B">
        <w:rPr>
          <w:lang w:val="fr-FR"/>
        </w:rPr>
        <w:t xml:space="preserve"> la</w:t>
      </w:r>
      <w:r w:rsidR="00D56E9B" w:rsidRPr="00D56E9B">
        <w:rPr>
          <w:lang w:val="fr-FR"/>
        </w:rPr>
        <w:t xml:space="preserve"> formation </w:t>
      </w:r>
      <w:r w:rsidR="00D56E9B">
        <w:rPr>
          <w:lang w:val="fr-FR"/>
        </w:rPr>
        <w:t xml:space="preserve">à la </w:t>
      </w:r>
      <w:r w:rsidR="00D56E9B" w:rsidRPr="00D56E9B">
        <w:rPr>
          <w:lang w:val="fr-FR"/>
        </w:rPr>
        <w:t xml:space="preserve">session </w:t>
      </w:r>
      <w:r w:rsidR="00A655F6">
        <w:rPr>
          <w:lang w:val="fr-FR"/>
        </w:rPr>
        <w:t>de 2018</w:t>
      </w:r>
      <w:r w:rsidR="00D56E9B">
        <w:rPr>
          <w:lang w:val="fr-FR"/>
        </w:rPr>
        <w:t xml:space="preserve"> </w:t>
      </w:r>
      <w:r w:rsidR="00D56E9B" w:rsidRPr="00D56E9B">
        <w:rPr>
          <w:lang w:val="fr-FR"/>
        </w:rPr>
        <w:t>du groupe de travail</w:t>
      </w:r>
      <w:r w:rsidR="002A6B32" w:rsidRPr="00D56E9B">
        <w:rPr>
          <w:lang w:val="fr-FR"/>
        </w:rPr>
        <w:t>.</w:t>
      </w:r>
    </w:p>
    <w:p w:rsidR="002A6B32" w:rsidRPr="00D56E9B" w:rsidRDefault="00804C0F" w:rsidP="00804C0F">
      <w:pPr>
        <w:pStyle w:val="Heading1"/>
        <w:spacing w:before="20" w:after="220"/>
        <w:rPr>
          <w:lang w:val="fr-CH"/>
        </w:rPr>
      </w:pPr>
      <w:r w:rsidRPr="00D56E9B">
        <w:rPr>
          <w:lang w:val="fr-CH"/>
        </w:rPr>
        <w:t xml:space="preserve">Rapport </w:t>
      </w:r>
      <w:r w:rsidR="00D56E9B" w:rsidRPr="00D56E9B">
        <w:rPr>
          <w:lang w:val="fr-CH"/>
        </w:rPr>
        <w:t>sur l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état d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avancement</w:t>
      </w:r>
    </w:p>
    <w:p w:rsidR="00A655F6" w:rsidRPr="00BD7B95" w:rsidRDefault="00354334" w:rsidP="00354334">
      <w:pPr>
        <w:pStyle w:val="ONUME"/>
        <w:numPr>
          <w:ilvl w:val="0"/>
          <w:numId w:val="0"/>
        </w:numPr>
        <w:rPr>
          <w:lang w:val="fr-CH"/>
        </w:rPr>
      </w:pPr>
      <w:r w:rsidRPr="00D56E9B">
        <w:rPr>
          <w:lang w:val="fr-CH"/>
        </w:rPr>
        <w:t>7.</w:t>
      </w:r>
      <w:r w:rsidRPr="00D56E9B">
        <w:rPr>
          <w:lang w:val="fr-CH"/>
        </w:rPr>
        <w:tab/>
      </w:r>
      <w:r w:rsidR="00D56E9B" w:rsidRPr="00D56E9B">
        <w:rPr>
          <w:lang w:val="fr-CH"/>
        </w:rPr>
        <w:t>L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élaboration d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un cadre générique de</w:t>
      </w:r>
      <w:r w:rsidR="002A6B32" w:rsidRPr="00D56E9B">
        <w:rPr>
          <w:lang w:val="fr-CH"/>
        </w:rPr>
        <w:t xml:space="preserve"> comp</w:t>
      </w:r>
      <w:r w:rsidR="00D56E9B" w:rsidRPr="00D56E9B">
        <w:rPr>
          <w:lang w:val="fr-CH"/>
        </w:rPr>
        <w:t>é</w:t>
      </w:r>
      <w:r w:rsidR="002A6B32" w:rsidRPr="00D56E9B">
        <w:rPr>
          <w:lang w:val="fr-CH"/>
        </w:rPr>
        <w:t>tenc</w:t>
      </w:r>
      <w:r w:rsidR="00D56E9B" w:rsidRPr="00D56E9B">
        <w:rPr>
          <w:lang w:val="fr-CH"/>
        </w:rPr>
        <w:t>e</w:t>
      </w:r>
      <w:r w:rsidR="002A6B32" w:rsidRPr="00D56E9B">
        <w:rPr>
          <w:lang w:val="fr-CH"/>
        </w:rPr>
        <w:t xml:space="preserve">s </w:t>
      </w:r>
      <w:r w:rsidR="00D56E9B" w:rsidRPr="00D56E9B">
        <w:rPr>
          <w:lang w:val="fr-CH"/>
        </w:rPr>
        <w:t>pour les examinateurs de brevets est</w:t>
      </w:r>
      <w:r w:rsidR="002A6B32" w:rsidRPr="00D56E9B">
        <w:rPr>
          <w:lang w:val="fr-CH"/>
        </w:rPr>
        <w:t xml:space="preserve"> </w:t>
      </w:r>
      <w:r w:rsidR="00D56E9B" w:rsidRPr="00D56E9B">
        <w:rPr>
          <w:lang w:val="fr-CH"/>
        </w:rPr>
        <w:t>actuellement en cours dans le contexte d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un projet d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amélioration de l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efficacité de la formation des examinateurs financée par les donateurs, mené par le Bureau régional de l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OMPI pour l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Asie et le Pacifiq</w:t>
      </w:r>
      <w:r w:rsidR="008B71C6" w:rsidRPr="00D56E9B">
        <w:rPr>
          <w:lang w:val="fr-CH"/>
        </w:rPr>
        <w:t>ue</w:t>
      </w:r>
      <w:r w:rsidR="008B71C6">
        <w:rPr>
          <w:lang w:val="fr-CH"/>
        </w:rPr>
        <w:t xml:space="preserve">.  </w:t>
      </w:r>
      <w:r w:rsidR="008B71C6" w:rsidRPr="00D56E9B">
        <w:rPr>
          <w:lang w:val="fr-CH"/>
        </w:rPr>
        <w:t>Ce</w:t>
      </w:r>
      <w:r w:rsidR="00D56E9B" w:rsidRPr="00D56E9B">
        <w:rPr>
          <w:lang w:val="fr-CH"/>
        </w:rPr>
        <w:t xml:space="preserve"> proje</w:t>
      </w:r>
      <w:r w:rsidR="002A6B32" w:rsidRPr="00D56E9B">
        <w:rPr>
          <w:lang w:val="fr-CH"/>
        </w:rPr>
        <w:t xml:space="preserve">t </w:t>
      </w:r>
      <w:r w:rsidR="00D56E9B" w:rsidRPr="00D56E9B">
        <w:rPr>
          <w:lang w:val="fr-CH"/>
        </w:rPr>
        <w:t>s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intéresse également à</w:t>
      </w:r>
      <w:r w:rsidR="002A6B32" w:rsidRPr="00D56E9B">
        <w:rPr>
          <w:lang w:val="fr-CH"/>
        </w:rPr>
        <w:t xml:space="preserve"> </w:t>
      </w:r>
      <w:r w:rsidR="00D56E9B">
        <w:rPr>
          <w:lang w:val="fr-CH"/>
        </w:rPr>
        <w:t>l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 xml:space="preserve">élaboration </w:t>
      </w:r>
      <w:r w:rsidR="00D56E9B">
        <w:rPr>
          <w:lang w:val="fr-CH"/>
        </w:rPr>
        <w:t xml:space="preserve">et à </w:t>
      </w:r>
      <w:r w:rsidR="00D56E9B" w:rsidRPr="00D56E9B">
        <w:rPr>
          <w:lang w:val="fr-CH"/>
        </w:rPr>
        <w:t>la mise en service d</w:t>
      </w:r>
      <w:r w:rsidR="00A655F6">
        <w:rPr>
          <w:lang w:val="fr-CH"/>
        </w:rPr>
        <w:t>’</w:t>
      </w:r>
      <w:r w:rsidR="00D56E9B" w:rsidRPr="00D56E9B">
        <w:rPr>
          <w:lang w:val="fr-CH"/>
        </w:rPr>
        <w:t>un système de gestion de la formati</w:t>
      </w:r>
      <w:r w:rsidR="008B71C6" w:rsidRPr="00D56E9B">
        <w:rPr>
          <w:lang w:val="fr-CH"/>
        </w:rPr>
        <w:t>on</w:t>
      </w:r>
      <w:r w:rsidR="008B71C6">
        <w:rPr>
          <w:lang w:val="fr-CH"/>
        </w:rPr>
        <w:t xml:space="preserve">.  </w:t>
      </w:r>
      <w:r w:rsidR="008B71C6" w:rsidRPr="00117315">
        <w:rPr>
          <w:lang w:val="fr-CH"/>
        </w:rPr>
        <w:t>Le</w:t>
      </w:r>
      <w:r w:rsidR="002A6B32" w:rsidRPr="00117315">
        <w:rPr>
          <w:lang w:val="fr-CH"/>
        </w:rPr>
        <w:t xml:space="preserve"> Bureau </w:t>
      </w:r>
      <w:r w:rsidR="00D56E9B" w:rsidRPr="00117315">
        <w:rPr>
          <w:lang w:val="fr-CH"/>
        </w:rPr>
        <w:t xml:space="preserve">international a </w:t>
      </w:r>
      <w:r w:rsidR="002A6B32" w:rsidRPr="00117315">
        <w:rPr>
          <w:lang w:val="fr-CH"/>
        </w:rPr>
        <w:t>pr</w:t>
      </w:r>
      <w:r w:rsidR="00D56E9B" w:rsidRPr="00117315">
        <w:rPr>
          <w:lang w:val="fr-CH"/>
        </w:rPr>
        <w:t>é</w:t>
      </w:r>
      <w:r w:rsidR="002A6B32" w:rsidRPr="00117315">
        <w:rPr>
          <w:lang w:val="fr-CH"/>
        </w:rPr>
        <w:t>sent</w:t>
      </w:r>
      <w:r w:rsidR="00D56E9B" w:rsidRPr="00117315">
        <w:rPr>
          <w:lang w:val="fr-CH"/>
        </w:rPr>
        <w:t>é</w:t>
      </w:r>
      <w:r w:rsidR="002A6B32" w:rsidRPr="00117315">
        <w:rPr>
          <w:lang w:val="fr-CH"/>
        </w:rPr>
        <w:t xml:space="preserve"> d</w:t>
      </w:r>
      <w:r w:rsidR="00D56E9B" w:rsidRPr="00117315">
        <w:rPr>
          <w:lang w:val="fr-CH"/>
        </w:rPr>
        <w:t>e</w:t>
      </w:r>
      <w:r w:rsidR="002A6B32" w:rsidRPr="00117315">
        <w:rPr>
          <w:lang w:val="fr-CH"/>
        </w:rPr>
        <w:t xml:space="preserve">s </w:t>
      </w:r>
      <w:r w:rsidR="00D56E9B" w:rsidRPr="00117315">
        <w:rPr>
          <w:lang w:val="fr-CH"/>
        </w:rPr>
        <w:t xml:space="preserve">informations sur ce projet </w:t>
      </w:r>
      <w:r w:rsidR="00117315" w:rsidRPr="00117315">
        <w:rPr>
          <w:lang w:val="fr-CH"/>
        </w:rPr>
        <w:t>lors d</w:t>
      </w:r>
      <w:r w:rsidR="00A655F6">
        <w:rPr>
          <w:lang w:val="fr-CH"/>
        </w:rPr>
        <w:t>’</w:t>
      </w:r>
      <w:r w:rsidR="00117315" w:rsidRPr="00117315">
        <w:rPr>
          <w:lang w:val="fr-CH"/>
        </w:rPr>
        <w:t>une manifestation organisée en marge de la dix</w:t>
      </w:r>
      <w:r w:rsidR="00A655F6">
        <w:rPr>
          <w:lang w:val="fr-CH"/>
        </w:rPr>
        <w:t>ième session</w:t>
      </w:r>
      <w:r w:rsidR="002A6B32" w:rsidRPr="00117315">
        <w:rPr>
          <w:lang w:val="fr-CH"/>
        </w:rPr>
        <w:t xml:space="preserve"> </w:t>
      </w:r>
      <w:r w:rsidR="00117315">
        <w:rPr>
          <w:lang w:val="fr-CH"/>
        </w:rPr>
        <w:t>du</w:t>
      </w:r>
      <w:r w:rsidR="002A6B32" w:rsidRPr="00117315">
        <w:rPr>
          <w:lang w:val="fr-CH"/>
        </w:rPr>
        <w:t xml:space="preserve"> </w:t>
      </w:r>
      <w:r w:rsidR="00117315" w:rsidRPr="00D56E9B">
        <w:rPr>
          <w:lang w:val="fr-FR"/>
        </w:rPr>
        <w:t xml:space="preserve">groupe de </w:t>
      </w:r>
      <w:r w:rsidR="00117315" w:rsidRPr="00BD7B95">
        <w:rPr>
          <w:lang w:val="fr-FR"/>
        </w:rPr>
        <w:t>travail</w:t>
      </w:r>
      <w:r w:rsidR="00117315" w:rsidRPr="00BD7B95">
        <w:rPr>
          <w:lang w:val="fr-CH"/>
        </w:rPr>
        <w:t xml:space="preserve"> (voir l</w:t>
      </w:r>
      <w:r w:rsidR="002A6B32" w:rsidRPr="00BD7B95">
        <w:rPr>
          <w:lang w:val="fr-CH"/>
        </w:rPr>
        <w:t>e document</w:t>
      </w:r>
      <w:r w:rsidR="008B71C6" w:rsidRPr="00BD7B95">
        <w:rPr>
          <w:lang w:val="fr-CH"/>
        </w:rPr>
        <w:t> </w:t>
      </w:r>
      <w:r w:rsidR="00E5067C">
        <w:fldChar w:fldCharType="begin"/>
      </w:r>
      <w:r w:rsidR="00E5067C" w:rsidRPr="00E75EF7">
        <w:rPr>
          <w:lang w:val="fr-FR"/>
        </w:rPr>
        <w:instrText xml:space="preserve"> HYPERLINK "http://www.wipo.int/meetings/fr/doc_details.jsp?doc_id=372813" </w:instrText>
      </w:r>
      <w:r w:rsidR="00E5067C">
        <w:fldChar w:fldCharType="separate"/>
      </w:r>
      <w:r w:rsidR="002A6B32" w:rsidRPr="00BD7B95">
        <w:rPr>
          <w:rStyle w:val="Hyperlink"/>
          <w:color w:val="auto"/>
          <w:u w:val="none"/>
          <w:lang w:val="fr-CH"/>
        </w:rPr>
        <w:t>PCT/WG/10/PRESENTATION/EXAMINER TRAINING</w:t>
      </w:r>
      <w:r w:rsidR="00E5067C">
        <w:rPr>
          <w:rStyle w:val="Hyperlink"/>
          <w:color w:val="auto"/>
          <w:u w:val="none"/>
          <w:lang w:val="fr-CH"/>
        </w:rPr>
        <w:fldChar w:fldCharType="end"/>
      </w:r>
      <w:r w:rsidR="002A6B32" w:rsidRPr="00BD7B95">
        <w:rPr>
          <w:lang w:val="fr-CH"/>
        </w:rPr>
        <w:t>).</w:t>
      </w:r>
    </w:p>
    <w:p w:rsidR="002A6B32" w:rsidRPr="00BD7B95" w:rsidRDefault="00354334" w:rsidP="00354334">
      <w:pPr>
        <w:pStyle w:val="ONUME"/>
        <w:numPr>
          <w:ilvl w:val="0"/>
          <w:numId w:val="0"/>
        </w:numPr>
        <w:rPr>
          <w:lang w:val="fr-CH"/>
        </w:rPr>
      </w:pPr>
      <w:r w:rsidRPr="00FE1992">
        <w:rPr>
          <w:lang w:val="fr-CH"/>
        </w:rPr>
        <w:t>8.</w:t>
      </w:r>
      <w:r w:rsidRPr="00FE1992">
        <w:rPr>
          <w:lang w:val="fr-CH"/>
        </w:rPr>
        <w:tab/>
      </w:r>
      <w:r w:rsidR="00FE1992" w:rsidRPr="00FE1992">
        <w:rPr>
          <w:lang w:val="fr-CH"/>
        </w:rPr>
        <w:t>Dans le cadre du</w:t>
      </w:r>
      <w:r w:rsidR="002A6B32" w:rsidRPr="00FE1992">
        <w:rPr>
          <w:lang w:val="fr-CH"/>
        </w:rPr>
        <w:t xml:space="preserve"> projet, </w:t>
      </w:r>
      <w:r w:rsidR="00FE1992" w:rsidRPr="00104597">
        <w:rPr>
          <w:lang w:val="fr-CH"/>
        </w:rPr>
        <w:t>un premier Atelier régional sur les outils de gestion de la formation axée sur les c</w:t>
      </w:r>
      <w:r w:rsidR="002A6B32" w:rsidRPr="00104597">
        <w:rPr>
          <w:lang w:val="fr-CH"/>
        </w:rPr>
        <w:t>omp</w:t>
      </w:r>
      <w:r w:rsidR="00FE1992" w:rsidRPr="00104597">
        <w:rPr>
          <w:lang w:val="fr-CH"/>
        </w:rPr>
        <w:t>é</w:t>
      </w:r>
      <w:r w:rsidR="002A6B32" w:rsidRPr="00104597">
        <w:rPr>
          <w:lang w:val="fr-CH"/>
        </w:rPr>
        <w:t>tenc</w:t>
      </w:r>
      <w:r w:rsidR="00FE1992" w:rsidRPr="00104597">
        <w:rPr>
          <w:lang w:val="fr-CH"/>
        </w:rPr>
        <w:t>es a été</w:t>
      </w:r>
      <w:r w:rsidR="002A6B32" w:rsidRPr="00104597">
        <w:rPr>
          <w:lang w:val="fr-CH"/>
        </w:rPr>
        <w:t xml:space="preserve"> organi</w:t>
      </w:r>
      <w:r w:rsidR="00FE1992" w:rsidRPr="00104597">
        <w:rPr>
          <w:lang w:val="fr-CH"/>
        </w:rPr>
        <w:t>sé</w:t>
      </w:r>
      <w:r w:rsidR="002A6B32" w:rsidRPr="00104597">
        <w:rPr>
          <w:lang w:val="fr-CH"/>
        </w:rPr>
        <w:t xml:space="preserve"> </w:t>
      </w:r>
      <w:r w:rsidR="00FE1992" w:rsidRPr="00104597">
        <w:rPr>
          <w:lang w:val="fr-CH"/>
        </w:rPr>
        <w:t>e</w:t>
      </w:r>
      <w:r w:rsidR="002A6B32" w:rsidRPr="00104597">
        <w:rPr>
          <w:lang w:val="fr-CH"/>
        </w:rPr>
        <w:t>n co</w:t>
      </w:r>
      <w:r w:rsidR="00FE1992" w:rsidRPr="00104597">
        <w:rPr>
          <w:lang w:val="fr-CH"/>
        </w:rPr>
        <w:t>llabo</w:t>
      </w:r>
      <w:r w:rsidR="002A6B32" w:rsidRPr="00104597">
        <w:rPr>
          <w:lang w:val="fr-CH"/>
        </w:rPr>
        <w:t xml:space="preserve">ration </w:t>
      </w:r>
      <w:r w:rsidR="00FE1992" w:rsidRPr="00104597">
        <w:rPr>
          <w:lang w:val="fr-CH"/>
        </w:rPr>
        <w:t>avec</w:t>
      </w:r>
      <w:r w:rsidR="002A6B32" w:rsidRPr="00104597">
        <w:rPr>
          <w:lang w:val="fr-CH"/>
        </w:rPr>
        <w:t xml:space="preserve"> </w:t>
      </w:r>
      <w:r w:rsidR="00FE1992" w:rsidRPr="00104597">
        <w:rPr>
          <w:lang w:val="fr-CH"/>
        </w:rPr>
        <w:t>l</w:t>
      </w:r>
      <w:r w:rsidR="00A655F6">
        <w:rPr>
          <w:lang w:val="fr-CH"/>
        </w:rPr>
        <w:t>’</w:t>
      </w:r>
      <w:r w:rsidR="00FE1992" w:rsidRPr="00104597">
        <w:rPr>
          <w:lang w:val="fr-CH"/>
        </w:rPr>
        <w:t>Office de la propriété intellectuelle de</w:t>
      </w:r>
      <w:r w:rsidR="00FE1992" w:rsidRPr="00FE1992">
        <w:rPr>
          <w:lang w:val="fr-CH"/>
        </w:rPr>
        <w:t xml:space="preserve"> Malaisie</w:t>
      </w:r>
      <w:r w:rsidR="002A6B32" w:rsidRPr="00FE1992">
        <w:rPr>
          <w:lang w:val="fr-CH"/>
        </w:rPr>
        <w:t xml:space="preserve">, </w:t>
      </w:r>
      <w:r w:rsidR="00FE1992">
        <w:rPr>
          <w:lang w:val="fr-CH"/>
        </w:rPr>
        <w:t>du</w:t>
      </w:r>
      <w:r w:rsidR="002A6B32" w:rsidRPr="00FE1992">
        <w:rPr>
          <w:lang w:val="fr-CH"/>
        </w:rPr>
        <w:t xml:space="preserve"> 28 </w:t>
      </w:r>
      <w:r w:rsidR="00FE1992">
        <w:rPr>
          <w:lang w:val="fr-CH"/>
        </w:rPr>
        <w:t>au</w:t>
      </w:r>
      <w:r w:rsidR="002A6B32" w:rsidRPr="00FE1992">
        <w:rPr>
          <w:lang w:val="fr-CH"/>
        </w:rPr>
        <w:t> 3</w:t>
      </w:r>
      <w:r w:rsidR="00A655F6" w:rsidRPr="00FE1992">
        <w:rPr>
          <w:lang w:val="fr-CH"/>
        </w:rPr>
        <w:t>0</w:t>
      </w:r>
      <w:r w:rsidR="00A655F6">
        <w:rPr>
          <w:lang w:val="fr-CH"/>
        </w:rPr>
        <w:t> n</w:t>
      </w:r>
      <w:r w:rsidR="00A655F6" w:rsidRPr="00FE1992">
        <w:rPr>
          <w:lang w:val="fr-CH"/>
        </w:rPr>
        <w:t>ovemb</w:t>
      </w:r>
      <w:r w:rsidR="00A655F6">
        <w:rPr>
          <w:lang w:val="fr-CH"/>
        </w:rPr>
        <w:t>re</w:t>
      </w:r>
      <w:r w:rsidR="008B71C6">
        <w:rPr>
          <w:lang w:val="fr-CH"/>
        </w:rPr>
        <w:t> </w:t>
      </w:r>
      <w:r w:rsidR="002A6B32" w:rsidRPr="00FE1992">
        <w:rPr>
          <w:lang w:val="fr-CH"/>
        </w:rPr>
        <w:t>2017</w:t>
      </w:r>
      <w:r w:rsidR="00FE1992">
        <w:rPr>
          <w:lang w:val="fr-CH"/>
        </w:rPr>
        <w:t>,</w:t>
      </w:r>
      <w:r w:rsidR="002A6B32" w:rsidRPr="00FE1992">
        <w:rPr>
          <w:lang w:val="fr-CH"/>
        </w:rPr>
        <w:t xml:space="preserve"> </w:t>
      </w:r>
      <w:r w:rsidR="00FE1992">
        <w:rPr>
          <w:lang w:val="fr-CH"/>
        </w:rPr>
        <w:t>à</w:t>
      </w:r>
      <w:r w:rsidR="002A6B32" w:rsidRPr="00FE1992">
        <w:rPr>
          <w:lang w:val="fr-CH"/>
        </w:rPr>
        <w:t xml:space="preserve"> Kuala Lumpur</w:t>
      </w:r>
      <w:r w:rsidR="00FE1992">
        <w:rPr>
          <w:lang w:val="fr-CH"/>
        </w:rPr>
        <w:t xml:space="preserve"> (</w:t>
      </w:r>
      <w:r w:rsidR="00FE1992" w:rsidRPr="00FE1992">
        <w:rPr>
          <w:lang w:val="fr-CH"/>
        </w:rPr>
        <w:t>Malaisie</w:t>
      </w:r>
      <w:r w:rsidR="00FE1992">
        <w:rPr>
          <w:lang w:val="fr-CH"/>
        </w:rPr>
        <w:t>)</w:t>
      </w:r>
      <w:r w:rsidR="002A6B32" w:rsidRPr="00FE1992">
        <w:rPr>
          <w:lang w:val="fr-CH"/>
        </w:rPr>
        <w:t xml:space="preserve">.  </w:t>
      </w:r>
      <w:r w:rsidR="00FE1992" w:rsidRPr="00FE1992">
        <w:rPr>
          <w:lang w:val="fr-CH"/>
        </w:rPr>
        <w:t>L</w:t>
      </w:r>
      <w:r w:rsidR="00A655F6">
        <w:rPr>
          <w:lang w:val="fr-CH"/>
        </w:rPr>
        <w:t>’</w:t>
      </w:r>
      <w:r w:rsidR="002A6B32" w:rsidRPr="00FE1992">
        <w:rPr>
          <w:lang w:val="fr-CH"/>
        </w:rPr>
        <w:t>objecti</w:t>
      </w:r>
      <w:r w:rsidR="00FE1992" w:rsidRPr="00FE1992">
        <w:rPr>
          <w:lang w:val="fr-CH"/>
        </w:rPr>
        <w:t>f de l</w:t>
      </w:r>
      <w:r w:rsidR="00A655F6">
        <w:rPr>
          <w:lang w:val="fr-CH"/>
        </w:rPr>
        <w:t>’</w:t>
      </w:r>
      <w:r w:rsidR="00FE1992" w:rsidRPr="00FE1992">
        <w:rPr>
          <w:lang w:val="fr-CH"/>
        </w:rPr>
        <w:t xml:space="preserve">atelier était de solliciter la collaboration des offices </w:t>
      </w:r>
      <w:r w:rsidR="002A6B32" w:rsidRPr="00FE1992">
        <w:rPr>
          <w:lang w:val="fr-CH"/>
        </w:rPr>
        <w:t>int</w:t>
      </w:r>
      <w:r w:rsidR="00FE1992" w:rsidRPr="00FE1992">
        <w:rPr>
          <w:lang w:val="fr-CH"/>
        </w:rPr>
        <w:t>é</w:t>
      </w:r>
      <w:r w:rsidR="002A6B32" w:rsidRPr="00FE1992">
        <w:rPr>
          <w:lang w:val="fr-CH"/>
        </w:rPr>
        <w:t>res</w:t>
      </w:r>
      <w:r w:rsidR="00FE1992">
        <w:rPr>
          <w:lang w:val="fr-CH"/>
        </w:rPr>
        <w:t>sés</w:t>
      </w:r>
      <w:r w:rsidR="002A6B32" w:rsidRPr="00FE1992">
        <w:rPr>
          <w:lang w:val="fr-CH"/>
        </w:rPr>
        <w:t xml:space="preserve"> </w:t>
      </w:r>
      <w:r w:rsidR="00FE1992">
        <w:rPr>
          <w:lang w:val="fr-CH"/>
        </w:rPr>
        <w:t>pour mettre au point u</w:t>
      </w:r>
      <w:r w:rsidR="002A6B32" w:rsidRPr="00FE1992">
        <w:rPr>
          <w:lang w:val="fr-CH"/>
        </w:rPr>
        <w:t xml:space="preserve">n </w:t>
      </w:r>
      <w:r w:rsidR="00FE1992" w:rsidRPr="00F422DA">
        <w:rPr>
          <w:lang w:val="fr-FR"/>
        </w:rPr>
        <w:t>cadre de compétences techniques</w:t>
      </w:r>
      <w:r w:rsidR="00FE1992">
        <w:rPr>
          <w:lang w:val="fr-FR"/>
        </w:rPr>
        <w:t xml:space="preserve"> amélioré</w:t>
      </w:r>
      <w:r w:rsidR="00FE1992" w:rsidRPr="00F422DA">
        <w:rPr>
          <w:lang w:val="fr-FR"/>
        </w:rPr>
        <w:t xml:space="preserve"> pour les examinateurs de</w:t>
      </w:r>
      <w:r w:rsidR="00FE1992">
        <w:rPr>
          <w:lang w:val="fr-FR"/>
        </w:rPr>
        <w:t xml:space="preserve"> brevets, reposant sur les </w:t>
      </w:r>
      <w:r w:rsidR="002A6B32" w:rsidRPr="00FE1992">
        <w:rPr>
          <w:lang w:val="fr-CH"/>
        </w:rPr>
        <w:t>concepts d</w:t>
      </w:r>
      <w:r w:rsidR="00FE1992">
        <w:rPr>
          <w:lang w:val="fr-CH"/>
        </w:rPr>
        <w:t>é</w:t>
      </w:r>
      <w:r w:rsidR="002A6B32" w:rsidRPr="00FE1992">
        <w:rPr>
          <w:lang w:val="fr-CH"/>
        </w:rPr>
        <w:t>cri</w:t>
      </w:r>
      <w:r w:rsidR="00FE1992">
        <w:rPr>
          <w:lang w:val="fr-CH"/>
        </w:rPr>
        <w:t>ts dans le</w:t>
      </w:r>
      <w:r w:rsidR="002A6B32" w:rsidRPr="00FE1992">
        <w:rPr>
          <w:lang w:val="fr-CH"/>
        </w:rPr>
        <w:t xml:space="preserve"> </w:t>
      </w:r>
      <w:r w:rsidR="00A655F6" w:rsidRPr="00FE1992">
        <w:rPr>
          <w:lang w:val="fr-CH"/>
        </w:rPr>
        <w:t>document</w:t>
      </w:r>
      <w:r w:rsidR="008B71C6">
        <w:rPr>
          <w:lang w:val="fr-CH"/>
        </w:rPr>
        <w:t> </w:t>
      </w:r>
      <w:r w:rsidR="00A655F6" w:rsidRPr="00FE1992">
        <w:rPr>
          <w:lang w:val="fr-CH"/>
        </w:rPr>
        <w:t>PC</w:t>
      </w:r>
      <w:r w:rsidR="002A6B32" w:rsidRPr="00FE1992">
        <w:rPr>
          <w:lang w:val="fr-CH"/>
        </w:rPr>
        <w:t xml:space="preserve">T/WG/10/9.  </w:t>
      </w:r>
      <w:r w:rsidR="00FE1992" w:rsidRPr="00FE1992">
        <w:rPr>
          <w:lang w:val="fr-CH"/>
        </w:rPr>
        <w:t>L</w:t>
      </w:r>
      <w:r w:rsidR="00A655F6">
        <w:rPr>
          <w:lang w:val="fr-CH"/>
        </w:rPr>
        <w:t>’</w:t>
      </w:r>
      <w:r w:rsidR="00FE1992" w:rsidRPr="00FE1992">
        <w:rPr>
          <w:lang w:val="fr-CH"/>
        </w:rPr>
        <w:t>atelier a également porté sur la</w:t>
      </w:r>
      <w:r w:rsidR="002A6B32" w:rsidRPr="00FE1992">
        <w:rPr>
          <w:lang w:val="fr-CH"/>
        </w:rPr>
        <w:t xml:space="preserve"> </w:t>
      </w:r>
      <w:r w:rsidR="00FE1992" w:rsidRPr="00FE1992">
        <w:rPr>
          <w:lang w:val="fr-CH"/>
        </w:rPr>
        <w:t>nécessité d</w:t>
      </w:r>
      <w:r w:rsidR="00104597">
        <w:rPr>
          <w:lang w:val="fr-CH"/>
        </w:rPr>
        <w:t>e disposer d</w:t>
      </w:r>
      <w:r w:rsidR="00A655F6">
        <w:rPr>
          <w:lang w:val="fr-CH"/>
        </w:rPr>
        <w:t>’</w:t>
      </w:r>
      <w:r w:rsidR="00FE1992" w:rsidRPr="00FE1992">
        <w:rPr>
          <w:lang w:val="fr-CH"/>
        </w:rPr>
        <w:t xml:space="preserve">un système de gestion de la formation qui </w:t>
      </w:r>
      <w:r w:rsidR="002A6B32" w:rsidRPr="00FE1992">
        <w:rPr>
          <w:lang w:val="fr-CH"/>
        </w:rPr>
        <w:t>app</w:t>
      </w:r>
      <w:r w:rsidR="00FE1992">
        <w:rPr>
          <w:lang w:val="fr-CH"/>
        </w:rPr>
        <w:t>lique le</w:t>
      </w:r>
      <w:r w:rsidR="002A6B32" w:rsidRPr="00FE1992">
        <w:rPr>
          <w:lang w:val="fr-CH"/>
        </w:rPr>
        <w:t xml:space="preserve"> </w:t>
      </w:r>
      <w:r w:rsidR="00FE1992" w:rsidRPr="00F422DA">
        <w:rPr>
          <w:lang w:val="fr-FR"/>
        </w:rPr>
        <w:t>cadre de compétences</w:t>
      </w:r>
      <w:r w:rsidR="00FE1992" w:rsidRPr="00FE1992">
        <w:rPr>
          <w:lang w:val="fr-CH"/>
        </w:rPr>
        <w:t xml:space="preserve"> </w:t>
      </w:r>
      <w:r w:rsidR="00FE1992">
        <w:rPr>
          <w:lang w:val="fr-CH"/>
        </w:rPr>
        <w:t xml:space="preserve">aux fins de </w:t>
      </w:r>
      <w:r w:rsidR="002A6B32" w:rsidRPr="00FE1992">
        <w:rPr>
          <w:lang w:val="fr-CH"/>
        </w:rPr>
        <w:t>plan</w:t>
      </w:r>
      <w:r w:rsidR="00FE1992">
        <w:rPr>
          <w:lang w:val="fr-CH"/>
        </w:rPr>
        <w:t>ificatio</w:t>
      </w:r>
      <w:r w:rsidR="002A6B32" w:rsidRPr="00FE1992">
        <w:rPr>
          <w:lang w:val="fr-CH"/>
        </w:rPr>
        <w:t>n</w:t>
      </w:r>
      <w:r w:rsidR="00FE1992">
        <w:rPr>
          <w:lang w:val="fr-CH"/>
        </w:rPr>
        <w:t xml:space="preserve"> et de suivi de la</w:t>
      </w:r>
      <w:r w:rsidR="002A6B32" w:rsidRPr="00FE1992">
        <w:rPr>
          <w:lang w:val="fr-CH"/>
        </w:rPr>
        <w:t xml:space="preserve"> participation </w:t>
      </w:r>
      <w:r w:rsidR="00FE1992">
        <w:rPr>
          <w:lang w:val="fr-CH"/>
        </w:rPr>
        <w:t>des</w:t>
      </w:r>
      <w:r w:rsidR="002A6B32" w:rsidRPr="00FE1992">
        <w:rPr>
          <w:lang w:val="fr-CH"/>
        </w:rPr>
        <w:t xml:space="preserve"> </w:t>
      </w:r>
      <w:r w:rsidR="00FE1992" w:rsidRPr="00F422DA">
        <w:rPr>
          <w:lang w:val="fr-FR"/>
        </w:rPr>
        <w:t>examinateurs de</w:t>
      </w:r>
      <w:r w:rsidR="00FE1992">
        <w:rPr>
          <w:lang w:val="fr-FR"/>
        </w:rPr>
        <w:t xml:space="preserve"> brevets</w:t>
      </w:r>
      <w:r w:rsidR="00FE1992" w:rsidRPr="00FE1992">
        <w:rPr>
          <w:lang w:val="fr-CH"/>
        </w:rPr>
        <w:t xml:space="preserve"> </w:t>
      </w:r>
      <w:r w:rsidR="00FE1992">
        <w:rPr>
          <w:lang w:val="fr-CH"/>
        </w:rPr>
        <w:t xml:space="preserve">aux </w:t>
      </w:r>
      <w:r w:rsidR="002A6B32" w:rsidRPr="00FE1992">
        <w:rPr>
          <w:lang w:val="fr-CH"/>
        </w:rPr>
        <w:t>activit</w:t>
      </w:r>
      <w:r w:rsidR="00FE1992">
        <w:rPr>
          <w:lang w:val="fr-CH"/>
        </w:rPr>
        <w:t>é</w:t>
      </w:r>
      <w:r w:rsidR="002A6B32" w:rsidRPr="00FE1992">
        <w:rPr>
          <w:lang w:val="fr-CH"/>
        </w:rPr>
        <w:t xml:space="preserve">s </w:t>
      </w:r>
      <w:r w:rsidR="00FE1992" w:rsidRPr="00FE1992">
        <w:rPr>
          <w:lang w:val="fr-CH"/>
        </w:rPr>
        <w:t>de formation</w:t>
      </w:r>
      <w:r w:rsidR="00FE1992">
        <w:rPr>
          <w:lang w:val="fr-CH"/>
        </w:rPr>
        <w:t xml:space="preserve">, </w:t>
      </w:r>
      <w:r w:rsidR="00104597">
        <w:rPr>
          <w:lang w:val="fr-CH"/>
        </w:rPr>
        <w:t>ainsi que</w:t>
      </w:r>
      <w:r w:rsidR="00FE1992">
        <w:rPr>
          <w:lang w:val="fr-CH"/>
        </w:rPr>
        <w:t xml:space="preserve"> d</w:t>
      </w:r>
      <w:r w:rsidR="00A655F6">
        <w:rPr>
          <w:lang w:val="fr-CH"/>
        </w:rPr>
        <w:t>’</w:t>
      </w:r>
      <w:r w:rsidR="00FE1992">
        <w:rPr>
          <w:lang w:val="fr-CH"/>
        </w:rPr>
        <w:t>évaluation de leurs progr</w:t>
      </w:r>
      <w:r w:rsidR="008B71C6">
        <w:rPr>
          <w:lang w:val="fr-CH"/>
        </w:rPr>
        <w:t xml:space="preserve">ès.  </w:t>
      </w:r>
      <w:r w:rsidR="008B71C6" w:rsidRPr="00104597">
        <w:rPr>
          <w:lang w:val="fr-CH"/>
        </w:rPr>
        <w:t>Un</w:t>
      </w:r>
      <w:r w:rsidR="002A6B32" w:rsidRPr="00104597">
        <w:rPr>
          <w:lang w:val="fr-CH"/>
        </w:rPr>
        <w:t xml:space="preserve"> concept </w:t>
      </w:r>
      <w:r w:rsidR="00104597" w:rsidRPr="00104597">
        <w:rPr>
          <w:lang w:val="fr-CH"/>
        </w:rPr>
        <w:t xml:space="preserve">a été présenté </w:t>
      </w:r>
      <w:r w:rsidR="00104597">
        <w:rPr>
          <w:lang w:val="fr-CH"/>
        </w:rPr>
        <w:t>en vue de la mise au point d</w:t>
      </w:r>
      <w:r w:rsidR="00A655F6">
        <w:rPr>
          <w:lang w:val="fr-CH"/>
        </w:rPr>
        <w:t>’</w:t>
      </w:r>
      <w:r w:rsidR="00B62B94">
        <w:rPr>
          <w:lang w:val="fr-CH"/>
        </w:rPr>
        <w:t>un tel système</w:t>
      </w:r>
      <w:r w:rsidR="00104597" w:rsidRPr="00104597">
        <w:rPr>
          <w:lang w:val="fr-CH"/>
        </w:rPr>
        <w:t xml:space="preserve"> sur </w:t>
      </w:r>
      <w:r w:rsidR="00104597">
        <w:rPr>
          <w:lang w:val="fr-CH"/>
        </w:rPr>
        <w:t xml:space="preserve">la </w:t>
      </w:r>
      <w:r w:rsidR="00104597" w:rsidRPr="00104597">
        <w:rPr>
          <w:lang w:val="fr-CH"/>
        </w:rPr>
        <w:t>plateforme en libre accès Mood</w:t>
      </w:r>
      <w:r w:rsidR="008B71C6" w:rsidRPr="00104597">
        <w:rPr>
          <w:lang w:val="fr-CH"/>
        </w:rPr>
        <w:t>le</w:t>
      </w:r>
      <w:r w:rsidR="008B71C6">
        <w:rPr>
          <w:lang w:val="fr-CH"/>
        </w:rPr>
        <w:t xml:space="preserve">.  </w:t>
      </w:r>
      <w:r w:rsidR="008B71C6" w:rsidRPr="00104597">
        <w:rPr>
          <w:lang w:val="fr-CH"/>
        </w:rPr>
        <w:t>Le</w:t>
      </w:r>
      <w:r w:rsidR="00104597" w:rsidRPr="00104597">
        <w:rPr>
          <w:lang w:val="fr-CH"/>
        </w:rPr>
        <w:t>s p</w:t>
      </w:r>
      <w:r w:rsidR="002A6B32" w:rsidRPr="00104597">
        <w:rPr>
          <w:lang w:val="fr-CH"/>
        </w:rPr>
        <w:t xml:space="preserve">articipants </w:t>
      </w:r>
      <w:r w:rsidR="00104597" w:rsidRPr="00104597">
        <w:rPr>
          <w:lang w:val="fr-CH"/>
        </w:rPr>
        <w:t xml:space="preserve">de </w:t>
      </w:r>
      <w:r w:rsidR="00104597" w:rsidRPr="00FE1992">
        <w:rPr>
          <w:lang w:val="fr-CH"/>
        </w:rPr>
        <w:t>l</w:t>
      </w:r>
      <w:r w:rsidR="00A655F6">
        <w:rPr>
          <w:lang w:val="fr-CH"/>
        </w:rPr>
        <w:t>’</w:t>
      </w:r>
      <w:r w:rsidR="00104597" w:rsidRPr="00FE1992">
        <w:rPr>
          <w:lang w:val="fr-CH"/>
        </w:rPr>
        <w:t>atelier</w:t>
      </w:r>
      <w:r w:rsidR="002A6B32" w:rsidRPr="00104597">
        <w:rPr>
          <w:lang w:val="fr-CH"/>
        </w:rPr>
        <w:t xml:space="preserve"> </w:t>
      </w:r>
      <w:r w:rsidR="00104597" w:rsidRPr="00104597">
        <w:rPr>
          <w:lang w:val="fr-CH"/>
        </w:rPr>
        <w:t>étaient des examinateurs de brevets expérimentés</w:t>
      </w:r>
      <w:r w:rsidR="002A6B32" w:rsidRPr="00104597">
        <w:rPr>
          <w:lang w:val="fr-CH"/>
        </w:rPr>
        <w:t xml:space="preserve"> </w:t>
      </w:r>
      <w:r w:rsidR="00104597">
        <w:rPr>
          <w:lang w:val="fr-CH"/>
        </w:rPr>
        <w:t>et</w:t>
      </w:r>
      <w:r w:rsidR="002A6B32" w:rsidRPr="00104597">
        <w:rPr>
          <w:lang w:val="fr-CH"/>
        </w:rPr>
        <w:t xml:space="preserve"> </w:t>
      </w:r>
      <w:r w:rsidR="00104597">
        <w:rPr>
          <w:lang w:val="fr-CH"/>
        </w:rPr>
        <w:t xml:space="preserve">des </w:t>
      </w:r>
      <w:r w:rsidR="002A6B32" w:rsidRPr="00104597">
        <w:rPr>
          <w:lang w:val="fr-CH"/>
        </w:rPr>
        <w:t xml:space="preserve">experts </w:t>
      </w:r>
      <w:r w:rsidR="00104597">
        <w:rPr>
          <w:lang w:val="fr-CH"/>
        </w:rPr>
        <w:t>d</w:t>
      </w:r>
      <w:r w:rsidR="002A6B32" w:rsidRPr="00104597">
        <w:rPr>
          <w:lang w:val="fr-CH"/>
        </w:rPr>
        <w:t>e</w:t>
      </w:r>
      <w:r w:rsidR="00104597">
        <w:rPr>
          <w:lang w:val="fr-CH"/>
        </w:rPr>
        <w:t xml:space="preserve"> la</w:t>
      </w:r>
      <w:r w:rsidR="002A6B32" w:rsidRPr="00104597">
        <w:rPr>
          <w:lang w:val="fr-CH"/>
        </w:rPr>
        <w:t xml:space="preserve"> </w:t>
      </w:r>
      <w:r w:rsidR="00104597" w:rsidRPr="00104597">
        <w:rPr>
          <w:lang w:val="fr-CH"/>
        </w:rPr>
        <w:t xml:space="preserve">mise en valeur </w:t>
      </w:r>
      <w:r w:rsidR="00104597">
        <w:rPr>
          <w:lang w:val="fr-CH"/>
        </w:rPr>
        <w:t xml:space="preserve">et de la gestion </w:t>
      </w:r>
      <w:r w:rsidR="00104597" w:rsidRPr="00104597">
        <w:rPr>
          <w:lang w:val="fr-CH"/>
        </w:rPr>
        <w:t>des ressources humain</w:t>
      </w:r>
      <w:r w:rsidR="008B71C6" w:rsidRPr="00104597">
        <w:rPr>
          <w:lang w:val="fr-CH"/>
        </w:rPr>
        <w:t>es</w:t>
      </w:r>
      <w:r w:rsidR="008B71C6">
        <w:rPr>
          <w:lang w:val="fr-CH"/>
        </w:rPr>
        <w:t xml:space="preserve">.  </w:t>
      </w:r>
      <w:r w:rsidR="008B71C6" w:rsidRPr="00104597">
        <w:rPr>
          <w:lang w:val="fr-CH"/>
        </w:rPr>
        <w:t>Le</w:t>
      </w:r>
      <w:r w:rsidR="00104597" w:rsidRPr="00104597">
        <w:rPr>
          <w:lang w:val="fr-CH"/>
        </w:rPr>
        <w:t>s exposés présentés à l</w:t>
      </w:r>
      <w:r w:rsidR="00A655F6">
        <w:rPr>
          <w:lang w:val="fr-CH"/>
        </w:rPr>
        <w:t>’</w:t>
      </w:r>
      <w:r w:rsidR="00104597" w:rsidRPr="00104597">
        <w:rPr>
          <w:lang w:val="fr-CH"/>
        </w:rPr>
        <w:t xml:space="preserve">atelier peuvent </w:t>
      </w:r>
      <w:r w:rsidR="00104597">
        <w:rPr>
          <w:lang w:val="fr-CH"/>
        </w:rPr>
        <w:t xml:space="preserve">être </w:t>
      </w:r>
      <w:r w:rsidR="00104597" w:rsidRPr="00BD7B95">
        <w:rPr>
          <w:lang w:val="fr-CH"/>
        </w:rPr>
        <w:t>consultés à l</w:t>
      </w:r>
      <w:r w:rsidR="00A655F6" w:rsidRPr="00BD7B95">
        <w:rPr>
          <w:lang w:val="fr-CH"/>
        </w:rPr>
        <w:t>’</w:t>
      </w:r>
      <w:r w:rsidR="00104597" w:rsidRPr="00BD7B95">
        <w:rPr>
          <w:lang w:val="fr-CH"/>
        </w:rPr>
        <w:t>adresse</w:t>
      </w:r>
      <w:r w:rsidR="00A655F6" w:rsidRPr="00BD7B95">
        <w:rPr>
          <w:lang w:val="fr-CH"/>
        </w:rPr>
        <w:t> :</w:t>
      </w:r>
      <w:r w:rsidR="002A6B32" w:rsidRPr="00BD7B95">
        <w:rPr>
          <w:lang w:val="fr-CH"/>
        </w:rPr>
        <w:t xml:space="preserve"> </w:t>
      </w:r>
      <w:r w:rsidR="00E5067C">
        <w:fldChar w:fldCharType="begin"/>
      </w:r>
      <w:r w:rsidR="00E5067C" w:rsidRPr="00E75EF7">
        <w:rPr>
          <w:lang w:val="fr-FR"/>
        </w:rPr>
        <w:instrText xml:space="preserve"> HYPERLINK "http://www.wipo.int/meetings/fr/details.jsp?meeting_id=46012" </w:instrText>
      </w:r>
      <w:r w:rsidR="00E5067C">
        <w:fldChar w:fldCharType="separate"/>
      </w:r>
      <w:r w:rsidR="00074BAB" w:rsidRPr="00BD7B95">
        <w:rPr>
          <w:rStyle w:val="Hyperlink"/>
          <w:color w:val="auto"/>
          <w:u w:val="none"/>
          <w:lang w:val="fr-CH"/>
        </w:rPr>
        <w:t>http://www.wipo.int/meetings/fr/details.jsp?meeting_id=46012</w:t>
      </w:r>
      <w:r w:rsidR="00E5067C">
        <w:rPr>
          <w:rStyle w:val="Hyperlink"/>
          <w:color w:val="auto"/>
          <w:u w:val="none"/>
          <w:lang w:val="fr-CH"/>
        </w:rPr>
        <w:fldChar w:fldCharType="end"/>
      </w:r>
      <w:r w:rsidR="002A6B32" w:rsidRPr="00BD7B95">
        <w:rPr>
          <w:lang w:val="fr-CH"/>
        </w:rPr>
        <w:t>.</w:t>
      </w:r>
    </w:p>
    <w:p w:rsidR="002A6B32" w:rsidRPr="00BF406D" w:rsidRDefault="00354334" w:rsidP="00067CE9">
      <w:pPr>
        <w:pStyle w:val="ONUME"/>
        <w:keepNext/>
        <w:keepLines/>
        <w:numPr>
          <w:ilvl w:val="0"/>
          <w:numId w:val="0"/>
        </w:numPr>
        <w:rPr>
          <w:szCs w:val="22"/>
          <w:lang w:val="fr-CH"/>
        </w:rPr>
      </w:pPr>
      <w:r w:rsidRPr="00BF406D">
        <w:rPr>
          <w:lang w:val="fr-CH"/>
        </w:rPr>
        <w:lastRenderedPageBreak/>
        <w:t>9.</w:t>
      </w:r>
      <w:r w:rsidRPr="00BF406D">
        <w:rPr>
          <w:lang w:val="fr-CH"/>
        </w:rPr>
        <w:tab/>
      </w:r>
      <w:r w:rsidR="00BF406D" w:rsidRPr="00BF406D">
        <w:rPr>
          <w:lang w:val="fr-CH"/>
        </w:rPr>
        <w:t>Les</w:t>
      </w:r>
      <w:r w:rsidR="002A6B32" w:rsidRPr="00BF406D">
        <w:rPr>
          <w:lang w:val="fr-CH"/>
        </w:rPr>
        <w:t xml:space="preserve"> discussions </w:t>
      </w:r>
      <w:r w:rsidR="00BF406D" w:rsidRPr="00BF406D">
        <w:rPr>
          <w:lang w:val="fr-CH"/>
        </w:rPr>
        <w:t>tenues lors de cet atelier ont</w:t>
      </w:r>
      <w:r w:rsidR="002A6B32" w:rsidRPr="00BF406D">
        <w:rPr>
          <w:lang w:val="fr-CH"/>
        </w:rPr>
        <w:t xml:space="preserve"> confirm</w:t>
      </w:r>
      <w:r w:rsidR="00BF406D" w:rsidRPr="00BF406D">
        <w:rPr>
          <w:lang w:val="fr-CH"/>
        </w:rPr>
        <w:t>é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l</w:t>
      </w:r>
      <w:r w:rsidR="00A655F6">
        <w:rPr>
          <w:lang w:val="fr-CH"/>
        </w:rPr>
        <w:t>’</w:t>
      </w:r>
      <w:r w:rsidR="002A6B32" w:rsidRPr="00BF406D">
        <w:rPr>
          <w:lang w:val="fr-CH"/>
        </w:rPr>
        <w:t>int</w:t>
      </w:r>
      <w:r w:rsidR="00BF406D" w:rsidRPr="00BF406D">
        <w:rPr>
          <w:lang w:val="fr-CH"/>
        </w:rPr>
        <w:t>é</w:t>
      </w:r>
      <w:r w:rsidR="002A6B32" w:rsidRPr="00BF406D">
        <w:rPr>
          <w:lang w:val="fr-CH"/>
        </w:rPr>
        <w:t>r</w:t>
      </w:r>
      <w:r w:rsidR="00BF406D">
        <w:rPr>
          <w:lang w:val="fr-CH"/>
        </w:rPr>
        <w:t>ê</w:t>
      </w:r>
      <w:r w:rsidR="002A6B32" w:rsidRPr="00BF406D">
        <w:rPr>
          <w:lang w:val="fr-CH"/>
        </w:rPr>
        <w:t xml:space="preserve">t </w:t>
      </w:r>
      <w:r w:rsidR="00BF406D">
        <w:rPr>
          <w:lang w:val="fr-CH"/>
        </w:rPr>
        <w:t>porté par les o</w:t>
      </w:r>
      <w:r w:rsidR="002A6B32" w:rsidRPr="00BF406D">
        <w:rPr>
          <w:lang w:val="fr-CH"/>
        </w:rPr>
        <w:t xml:space="preserve">ffices </w:t>
      </w:r>
      <w:r w:rsidR="00BF406D" w:rsidRPr="00BF406D">
        <w:rPr>
          <w:lang w:val="fr-CH"/>
        </w:rPr>
        <w:t>participa</w:t>
      </w:r>
      <w:r w:rsidR="00BF406D">
        <w:rPr>
          <w:lang w:val="fr-CH"/>
        </w:rPr>
        <w:t>n</w:t>
      </w:r>
      <w:r w:rsidR="00BF406D" w:rsidRPr="00BF406D">
        <w:rPr>
          <w:lang w:val="fr-CH"/>
        </w:rPr>
        <w:t>t</w:t>
      </w:r>
      <w:r w:rsidR="00BF406D">
        <w:rPr>
          <w:lang w:val="fr-CH"/>
        </w:rPr>
        <w:t>s en faveur d</w:t>
      </w:r>
      <w:r w:rsidR="00A655F6">
        <w:rPr>
          <w:lang w:val="fr-CH"/>
        </w:rPr>
        <w:t>’</w:t>
      </w:r>
      <w:r w:rsidR="00BF406D">
        <w:rPr>
          <w:lang w:val="fr-CH"/>
        </w:rPr>
        <w:t>un cadre de</w:t>
      </w:r>
      <w:r w:rsidR="002A6B32" w:rsidRPr="00BF406D">
        <w:rPr>
          <w:lang w:val="fr-CH"/>
        </w:rPr>
        <w:t xml:space="preserve"> comp</w:t>
      </w:r>
      <w:r w:rsidR="00BF406D">
        <w:rPr>
          <w:lang w:val="fr-CH"/>
        </w:rPr>
        <w:t>ét</w:t>
      </w:r>
      <w:r w:rsidR="002A6B32" w:rsidRPr="00BF406D">
        <w:rPr>
          <w:lang w:val="fr-CH"/>
        </w:rPr>
        <w:t>enc</w:t>
      </w:r>
      <w:r w:rsidR="00BF406D">
        <w:rPr>
          <w:lang w:val="fr-CH"/>
        </w:rPr>
        <w:t>es</w:t>
      </w:r>
      <w:r w:rsidR="002A6B32" w:rsidRPr="00BF406D">
        <w:rPr>
          <w:lang w:val="fr-CH"/>
        </w:rPr>
        <w:t xml:space="preserve"> </w:t>
      </w:r>
      <w:r w:rsidR="00BF406D">
        <w:rPr>
          <w:lang w:val="fr-CH"/>
        </w:rPr>
        <w:t>plus dé</w:t>
      </w:r>
      <w:r w:rsidR="002A6B32" w:rsidRPr="00BF406D">
        <w:rPr>
          <w:lang w:val="fr-CH"/>
        </w:rPr>
        <w:t>tail</w:t>
      </w:r>
      <w:r w:rsidR="00BF406D">
        <w:rPr>
          <w:lang w:val="fr-CH"/>
        </w:rPr>
        <w:t>lé que les cadres existan</w:t>
      </w:r>
      <w:r w:rsidR="008B71C6">
        <w:rPr>
          <w:lang w:val="fr-CH"/>
        </w:rPr>
        <w:t>t</w:t>
      </w:r>
      <w:r w:rsidR="008B71C6" w:rsidRPr="00BF406D">
        <w:rPr>
          <w:lang w:val="fr-CH"/>
        </w:rPr>
        <w:t>s</w:t>
      </w:r>
      <w:r w:rsidR="008B71C6">
        <w:rPr>
          <w:lang w:val="fr-CH"/>
        </w:rPr>
        <w:t xml:space="preserve">.  </w:t>
      </w:r>
      <w:r w:rsidR="008B71C6" w:rsidRPr="00BF406D">
        <w:rPr>
          <w:lang w:val="fr-CH"/>
        </w:rPr>
        <w:t>En</w:t>
      </w:r>
      <w:r w:rsidR="002A6B32" w:rsidRPr="00BF406D">
        <w:rPr>
          <w:lang w:val="fr-CH"/>
        </w:rPr>
        <w:t xml:space="preserve"> particul</w:t>
      </w:r>
      <w:r w:rsidR="00BF406D" w:rsidRPr="00BF406D">
        <w:rPr>
          <w:lang w:val="fr-CH"/>
        </w:rPr>
        <w:t>ie</w:t>
      </w:r>
      <w:r w:rsidR="002A6B32" w:rsidRPr="00BF406D">
        <w:rPr>
          <w:lang w:val="fr-CH"/>
        </w:rPr>
        <w:t xml:space="preserve">r, </w:t>
      </w:r>
      <w:r w:rsidR="00BF406D" w:rsidRPr="00BF406D">
        <w:rPr>
          <w:lang w:val="fr-CH"/>
        </w:rPr>
        <w:t>il a été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not</w:t>
      </w:r>
      <w:r w:rsidR="00BF406D">
        <w:rPr>
          <w:lang w:val="fr-CH"/>
        </w:rPr>
        <w:t>é</w:t>
      </w:r>
      <w:r w:rsidR="00BF406D" w:rsidRPr="00BF406D">
        <w:rPr>
          <w:lang w:val="fr-CH"/>
        </w:rPr>
        <w:t xml:space="preserve"> qu</w:t>
      </w:r>
      <w:r w:rsidR="002A6B32" w:rsidRPr="00BF406D">
        <w:rPr>
          <w:lang w:val="fr-CH"/>
        </w:rPr>
        <w:t>e</w:t>
      </w:r>
      <w:r w:rsidR="00BF406D" w:rsidRPr="00BF406D">
        <w:rPr>
          <w:lang w:val="fr-CH"/>
        </w:rPr>
        <w:t xml:space="preserve"> le cadre de compétences devait être conçu de manière à</w:t>
      </w:r>
      <w:r w:rsidR="002A6B32" w:rsidRPr="00BF406D">
        <w:rPr>
          <w:lang w:val="fr-CH"/>
        </w:rPr>
        <w:t xml:space="preserve"> facilit</w:t>
      </w:r>
      <w:r w:rsidR="00BF406D">
        <w:rPr>
          <w:lang w:val="fr-CH"/>
        </w:rPr>
        <w:t>er l</w:t>
      </w:r>
      <w:r w:rsidR="00A655F6">
        <w:rPr>
          <w:lang w:val="fr-CH"/>
        </w:rPr>
        <w:t>’</w:t>
      </w:r>
      <w:r w:rsidR="00BF406D">
        <w:rPr>
          <w:lang w:val="fr-CH"/>
        </w:rPr>
        <w:t>évaluation des</w:t>
      </w:r>
      <w:r w:rsidR="002A6B32" w:rsidRPr="00BF406D">
        <w:rPr>
          <w:lang w:val="fr-CH"/>
        </w:rPr>
        <w:t xml:space="preserve"> </w:t>
      </w:r>
      <w:r w:rsidR="00BF406D">
        <w:rPr>
          <w:lang w:val="fr-CH"/>
        </w:rPr>
        <w:t>progrès accomplis à l</w:t>
      </w:r>
      <w:r w:rsidR="00A655F6">
        <w:rPr>
          <w:lang w:val="fr-CH"/>
        </w:rPr>
        <w:t>’</w:t>
      </w:r>
      <w:r w:rsidR="00BF406D">
        <w:rPr>
          <w:lang w:val="fr-CH"/>
        </w:rPr>
        <w:t>issue de la participation à une activité de formation donnée</w:t>
      </w:r>
      <w:r w:rsidR="002A6B32" w:rsidRPr="00BF406D">
        <w:rPr>
          <w:lang w:val="fr-CH"/>
        </w:rPr>
        <w:t xml:space="preserve">, </w:t>
      </w:r>
      <w:r w:rsidR="00BF406D">
        <w:rPr>
          <w:lang w:val="fr-CH"/>
        </w:rPr>
        <w:t xml:space="preserve">ainsi que des </w:t>
      </w:r>
      <w:r w:rsidR="00E02571">
        <w:rPr>
          <w:lang w:val="fr-CH"/>
        </w:rPr>
        <w:t xml:space="preserve">compétences </w:t>
      </w:r>
      <w:r w:rsidR="00BF406D">
        <w:rPr>
          <w:lang w:val="fr-CH"/>
        </w:rPr>
        <w:t>générales des</w:t>
      </w:r>
      <w:r w:rsidR="002A6B32" w:rsidRPr="00BF406D">
        <w:rPr>
          <w:lang w:val="fr-CH"/>
        </w:rPr>
        <w:t xml:space="preserve"> examin</w:t>
      </w:r>
      <w:r w:rsidR="00BF406D">
        <w:rPr>
          <w:lang w:val="fr-CH"/>
        </w:rPr>
        <w:t>at</w:t>
      </w:r>
      <w:r w:rsidR="002A6B32" w:rsidRPr="00BF406D">
        <w:rPr>
          <w:lang w:val="fr-CH"/>
        </w:rPr>
        <w:t>e</w:t>
      </w:r>
      <w:r w:rsidR="00BF406D">
        <w:rPr>
          <w:lang w:val="fr-CH"/>
        </w:rPr>
        <w:t>u</w:t>
      </w:r>
      <w:r w:rsidR="002A6B32" w:rsidRPr="00BF406D">
        <w:rPr>
          <w:lang w:val="fr-CH"/>
        </w:rPr>
        <w:t xml:space="preserve">rs </w:t>
      </w:r>
      <w:r w:rsidR="00E02571">
        <w:rPr>
          <w:lang w:val="fr-CH"/>
        </w:rPr>
        <w:t>dans</w:t>
      </w:r>
      <w:r w:rsidR="00BF406D">
        <w:rPr>
          <w:lang w:val="fr-CH"/>
        </w:rPr>
        <w:t xml:space="preserve"> des</w:t>
      </w:r>
      <w:r w:rsidR="002A6B32" w:rsidRPr="00BF406D">
        <w:rPr>
          <w:lang w:val="fr-CH"/>
        </w:rPr>
        <w:t xml:space="preserve"> </w:t>
      </w:r>
      <w:r w:rsidR="00E02571">
        <w:rPr>
          <w:lang w:val="fr-CH"/>
        </w:rPr>
        <w:t>domaines</w:t>
      </w:r>
      <w:r w:rsidR="00BF406D">
        <w:rPr>
          <w:lang w:val="fr-CH"/>
        </w:rPr>
        <w:t xml:space="preserve"> particuli</w:t>
      </w:r>
      <w:r w:rsidR="00E02571">
        <w:rPr>
          <w:lang w:val="fr-CH"/>
        </w:rPr>
        <w:t>er</w:t>
      </w:r>
      <w:r w:rsidR="00BF406D">
        <w:rPr>
          <w:lang w:val="fr-CH"/>
        </w:rPr>
        <w:t>s</w:t>
      </w:r>
      <w:r w:rsidR="002A6B32" w:rsidRPr="00BF406D">
        <w:rPr>
          <w:lang w:val="fr-CH"/>
        </w:rPr>
        <w:t xml:space="preserve">, </w:t>
      </w:r>
      <w:r w:rsidR="00BF406D">
        <w:rPr>
          <w:lang w:val="fr-CH"/>
        </w:rPr>
        <w:t>indépendamment de leur</w:t>
      </w:r>
      <w:r w:rsidR="002A6B32" w:rsidRPr="00BF406D">
        <w:rPr>
          <w:lang w:val="fr-CH"/>
        </w:rPr>
        <w:t xml:space="preserve"> participation </w:t>
      </w:r>
      <w:r w:rsidR="00BF406D">
        <w:rPr>
          <w:lang w:val="fr-CH"/>
        </w:rPr>
        <w:t>à une activité de formation donnée</w:t>
      </w:r>
      <w:r w:rsidR="002A6B32" w:rsidRPr="00BF406D">
        <w:rPr>
          <w:lang w:val="fr-CH"/>
        </w:rPr>
        <w:t>.</w:t>
      </w:r>
    </w:p>
    <w:p w:rsidR="002A6B32" w:rsidRPr="00BD7B95" w:rsidRDefault="00354334" w:rsidP="00354334">
      <w:pPr>
        <w:pStyle w:val="ONUME"/>
        <w:numPr>
          <w:ilvl w:val="0"/>
          <w:numId w:val="0"/>
        </w:numPr>
        <w:rPr>
          <w:lang w:val="fr-CH"/>
        </w:rPr>
      </w:pPr>
      <w:r w:rsidRPr="00BF406D">
        <w:rPr>
          <w:lang w:val="fr-CH"/>
        </w:rPr>
        <w:t>10.</w:t>
      </w:r>
      <w:r w:rsidRPr="00BF406D">
        <w:rPr>
          <w:lang w:val="fr-CH"/>
        </w:rPr>
        <w:tab/>
      </w:r>
      <w:r w:rsidR="00BF406D" w:rsidRPr="00BF406D">
        <w:rPr>
          <w:lang w:val="fr-CH"/>
        </w:rPr>
        <w:t>Au moment de l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>établissement du présent document</w:t>
      </w:r>
      <w:r w:rsidR="002A6B32" w:rsidRPr="00BF406D">
        <w:rPr>
          <w:lang w:val="fr-CH"/>
        </w:rPr>
        <w:t xml:space="preserve">, </w:t>
      </w:r>
      <w:r w:rsidR="00BF406D" w:rsidRPr="00104597">
        <w:rPr>
          <w:lang w:val="fr-CH"/>
        </w:rPr>
        <w:t xml:space="preserve">un </w:t>
      </w:r>
      <w:r w:rsidR="00BF406D">
        <w:rPr>
          <w:lang w:val="fr-CH"/>
        </w:rPr>
        <w:t>deuxième</w:t>
      </w:r>
      <w:r w:rsidR="00BF406D" w:rsidRPr="00104597">
        <w:rPr>
          <w:lang w:val="fr-CH"/>
        </w:rPr>
        <w:t xml:space="preserve"> Atelier régional sur les outils de gestion de la formation axée sur les compétences ét</w:t>
      </w:r>
      <w:r w:rsidR="00BF406D">
        <w:rPr>
          <w:lang w:val="fr-CH"/>
        </w:rPr>
        <w:t>ait</w:t>
      </w:r>
      <w:r w:rsidR="00BF406D" w:rsidRPr="00104597">
        <w:rPr>
          <w:lang w:val="fr-CH"/>
        </w:rPr>
        <w:t xml:space="preserve"> organisé </w:t>
      </w:r>
      <w:r w:rsidR="00BF406D">
        <w:rPr>
          <w:lang w:val="fr-CH"/>
        </w:rPr>
        <w:t>en</w:t>
      </w:r>
      <w:r w:rsidR="002A6B32" w:rsidRPr="00BF406D">
        <w:rPr>
          <w:lang w:val="fr-CH"/>
        </w:rPr>
        <w:t xml:space="preserve"> </w:t>
      </w:r>
      <w:r w:rsidR="00BF406D" w:rsidRPr="00104597">
        <w:rPr>
          <w:lang w:val="fr-CH"/>
        </w:rPr>
        <w:t>collaboration avec</w:t>
      </w:r>
      <w:r w:rsidR="00BF406D" w:rsidRPr="00BF406D">
        <w:rPr>
          <w:lang w:val="fr-CH"/>
        </w:rPr>
        <w:t xml:space="preserve"> </w:t>
      </w:r>
      <w:r w:rsidR="00BF406D">
        <w:rPr>
          <w:lang w:val="fr-CH"/>
        </w:rPr>
        <w:t>l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 xml:space="preserve">Institut international de formation à la propriété intellectuelle </w:t>
      </w:r>
      <w:r w:rsidR="00BF406D">
        <w:rPr>
          <w:lang w:val="fr-CH"/>
        </w:rPr>
        <w:t>de l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>Office coréen de la propriété intellectuelle</w:t>
      </w:r>
      <w:r w:rsidR="002A6B32" w:rsidRPr="00BF406D">
        <w:rPr>
          <w:lang w:val="fr-CH"/>
        </w:rPr>
        <w:t xml:space="preserve">, </w:t>
      </w:r>
      <w:r w:rsidR="00BF406D">
        <w:rPr>
          <w:lang w:val="fr-CH"/>
        </w:rPr>
        <w:t xml:space="preserve">qui se tiendra du </w:t>
      </w:r>
      <w:r w:rsidR="002A6B32" w:rsidRPr="00BF406D">
        <w:rPr>
          <w:lang w:val="fr-CH"/>
        </w:rPr>
        <w:t xml:space="preserve">9 </w:t>
      </w:r>
      <w:r w:rsidR="00BF406D">
        <w:rPr>
          <w:lang w:val="fr-CH"/>
        </w:rPr>
        <w:t>au</w:t>
      </w:r>
      <w:r w:rsidR="002A6B32" w:rsidRPr="00BF406D">
        <w:rPr>
          <w:lang w:val="fr-CH"/>
        </w:rPr>
        <w:t xml:space="preserve"> 1</w:t>
      </w:r>
      <w:r w:rsidR="00A655F6" w:rsidRPr="00BF406D">
        <w:rPr>
          <w:lang w:val="fr-CH"/>
        </w:rPr>
        <w:t>1</w:t>
      </w:r>
      <w:r w:rsidR="00A655F6">
        <w:rPr>
          <w:lang w:val="fr-CH"/>
        </w:rPr>
        <w:t> mai </w:t>
      </w:r>
      <w:r w:rsidR="00A655F6" w:rsidRPr="00BF406D">
        <w:rPr>
          <w:lang w:val="fr-CH"/>
        </w:rPr>
        <w:t>20</w:t>
      </w:r>
      <w:r w:rsidR="002A6B32" w:rsidRPr="00BF406D">
        <w:rPr>
          <w:lang w:val="fr-CH"/>
        </w:rPr>
        <w:t xml:space="preserve">18 </w:t>
      </w:r>
      <w:r w:rsidR="00BF406D">
        <w:rPr>
          <w:lang w:val="fr-CH"/>
        </w:rPr>
        <w:t>à</w:t>
      </w:r>
      <w:r w:rsidR="002A6B32" w:rsidRPr="00BF406D">
        <w:rPr>
          <w:lang w:val="fr-CH"/>
        </w:rPr>
        <w:t xml:space="preserve"> </w:t>
      </w:r>
      <w:proofErr w:type="spellStart"/>
      <w:r w:rsidR="002A6B32" w:rsidRPr="00BF406D">
        <w:rPr>
          <w:lang w:val="fr-CH"/>
        </w:rPr>
        <w:t>Daejeon</w:t>
      </w:r>
      <w:proofErr w:type="spellEnd"/>
      <w:r w:rsidR="00BF406D">
        <w:rPr>
          <w:lang w:val="fr-CH"/>
        </w:rPr>
        <w:t xml:space="preserve"> (</w:t>
      </w:r>
      <w:r w:rsidR="002A6B32" w:rsidRPr="00BF406D">
        <w:rPr>
          <w:lang w:val="fr-CH"/>
        </w:rPr>
        <w:t>R</w:t>
      </w:r>
      <w:r w:rsidR="00BF406D">
        <w:rPr>
          <w:lang w:val="fr-CH"/>
        </w:rPr>
        <w:t>é</w:t>
      </w:r>
      <w:r w:rsidR="002A6B32" w:rsidRPr="00BF406D">
        <w:rPr>
          <w:lang w:val="fr-CH"/>
        </w:rPr>
        <w:t>publi</w:t>
      </w:r>
      <w:r w:rsidR="00BF406D">
        <w:rPr>
          <w:lang w:val="fr-CH"/>
        </w:rPr>
        <w:t>que de C</w:t>
      </w:r>
      <w:r w:rsidR="002A6B32" w:rsidRPr="00BF406D">
        <w:rPr>
          <w:lang w:val="fr-CH"/>
        </w:rPr>
        <w:t>or</w:t>
      </w:r>
      <w:r w:rsidR="008B71C6">
        <w:rPr>
          <w:lang w:val="fr-CH"/>
        </w:rPr>
        <w:t>é</w:t>
      </w:r>
      <w:r w:rsidR="008B71C6" w:rsidRPr="00BF406D">
        <w:rPr>
          <w:lang w:val="fr-CH"/>
        </w:rPr>
        <w:t>e</w:t>
      </w:r>
      <w:r w:rsidR="008B71C6">
        <w:rPr>
          <w:lang w:val="fr-CH"/>
        </w:rPr>
        <w:t xml:space="preserve">).  </w:t>
      </w:r>
      <w:r w:rsidR="008B71C6" w:rsidRPr="00BF406D">
        <w:rPr>
          <w:lang w:val="fr-CH"/>
        </w:rPr>
        <w:t>Ce</w:t>
      </w:r>
      <w:r w:rsidR="00BF406D" w:rsidRPr="00BF406D">
        <w:rPr>
          <w:lang w:val="fr-CH"/>
        </w:rPr>
        <w:t>t atelier présentera les progrès réalisés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en vue de l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>élaboration d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 xml:space="preserve">un </w:t>
      </w:r>
      <w:r w:rsidR="00BF406D" w:rsidRPr="00FE1992">
        <w:rPr>
          <w:lang w:val="fr-CH"/>
        </w:rPr>
        <w:t xml:space="preserve">système de gestion de la formation </w:t>
      </w:r>
      <w:r w:rsidR="00BF406D">
        <w:rPr>
          <w:lang w:val="fr-CH"/>
        </w:rPr>
        <w:t xml:space="preserve">reposant </w:t>
      </w:r>
      <w:r w:rsidR="00BF406D" w:rsidRPr="00104597">
        <w:rPr>
          <w:lang w:val="fr-CH"/>
        </w:rPr>
        <w:t xml:space="preserve">sur </w:t>
      </w:r>
      <w:r w:rsidR="00BF406D">
        <w:rPr>
          <w:lang w:val="fr-CH"/>
        </w:rPr>
        <w:t xml:space="preserve">la </w:t>
      </w:r>
      <w:r w:rsidR="00BF406D" w:rsidRPr="00104597">
        <w:rPr>
          <w:lang w:val="fr-CH"/>
        </w:rPr>
        <w:t>plateforme en libre accès Mood</w:t>
      </w:r>
      <w:r w:rsidR="008B71C6" w:rsidRPr="00104597">
        <w:rPr>
          <w:lang w:val="fr-CH"/>
        </w:rPr>
        <w:t>le</w:t>
      </w:r>
      <w:r w:rsidR="008B71C6">
        <w:rPr>
          <w:lang w:val="fr-CH"/>
        </w:rPr>
        <w:t xml:space="preserve">.  </w:t>
      </w:r>
      <w:r w:rsidR="008B71C6" w:rsidRPr="00BF406D">
        <w:rPr>
          <w:lang w:val="fr-CH"/>
        </w:rPr>
        <w:t>Ce</w:t>
      </w:r>
      <w:r w:rsidR="00BF406D" w:rsidRPr="00BF406D">
        <w:rPr>
          <w:lang w:val="fr-CH"/>
        </w:rPr>
        <w:t>tte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plateforme sera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utilisée par le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Bureau régional de l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>OMPI pour l</w:t>
      </w:r>
      <w:r w:rsidR="00A655F6">
        <w:rPr>
          <w:lang w:val="fr-CH"/>
        </w:rPr>
        <w:t>’</w:t>
      </w:r>
      <w:r w:rsidR="00BF406D" w:rsidRPr="00BF406D">
        <w:rPr>
          <w:lang w:val="fr-CH"/>
        </w:rPr>
        <w:t>Asie et le Pacifique aux fins de ges</w:t>
      </w:r>
      <w:r w:rsidR="00BF406D">
        <w:rPr>
          <w:lang w:val="fr-CH"/>
        </w:rPr>
        <w:t>ti</w:t>
      </w:r>
      <w:r w:rsidR="00BF406D" w:rsidRPr="00BF406D">
        <w:rPr>
          <w:lang w:val="fr-CH"/>
        </w:rPr>
        <w:t xml:space="preserve">on de la </w:t>
      </w:r>
      <w:r w:rsidR="00BF406D" w:rsidRPr="00FE1992">
        <w:rPr>
          <w:lang w:val="fr-CH"/>
        </w:rPr>
        <w:t xml:space="preserve">formation </w:t>
      </w:r>
      <w:r w:rsidR="00BF406D">
        <w:rPr>
          <w:lang w:val="fr-CH"/>
        </w:rPr>
        <w:t xml:space="preserve">des </w:t>
      </w:r>
      <w:r w:rsidR="002A6B32" w:rsidRPr="00BF406D">
        <w:rPr>
          <w:lang w:val="fr-CH"/>
        </w:rPr>
        <w:t>examin</w:t>
      </w:r>
      <w:r w:rsidR="00BF406D">
        <w:rPr>
          <w:lang w:val="fr-CH"/>
        </w:rPr>
        <w:t>at</w:t>
      </w:r>
      <w:r w:rsidR="002A6B32" w:rsidRPr="00BF406D">
        <w:rPr>
          <w:lang w:val="fr-CH"/>
        </w:rPr>
        <w:t>e</w:t>
      </w:r>
      <w:r w:rsidR="00BF406D">
        <w:rPr>
          <w:lang w:val="fr-CH"/>
        </w:rPr>
        <w:t>u</w:t>
      </w:r>
      <w:r w:rsidR="002A6B32" w:rsidRPr="00BF406D">
        <w:rPr>
          <w:lang w:val="fr-CH"/>
        </w:rPr>
        <w:t>rs participa</w:t>
      </w:r>
      <w:r w:rsidR="00BF406D">
        <w:rPr>
          <w:lang w:val="fr-CH"/>
        </w:rPr>
        <w:t>nt aux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activit</w:t>
      </w:r>
      <w:r w:rsidR="00BF406D">
        <w:rPr>
          <w:lang w:val="fr-CH"/>
        </w:rPr>
        <w:t>é</w:t>
      </w:r>
      <w:r w:rsidR="00BF406D" w:rsidRPr="00BF406D">
        <w:rPr>
          <w:lang w:val="fr-CH"/>
        </w:rPr>
        <w:t xml:space="preserve">s </w:t>
      </w:r>
      <w:r w:rsidR="00BF406D">
        <w:rPr>
          <w:lang w:val="fr-CH"/>
        </w:rPr>
        <w:t xml:space="preserve">de </w:t>
      </w:r>
      <w:r w:rsidR="00BF406D" w:rsidRPr="00FE1992">
        <w:rPr>
          <w:lang w:val="fr-CH"/>
        </w:rPr>
        <w:t>formation</w:t>
      </w:r>
      <w:r w:rsidR="002A6B32" w:rsidRPr="00BF406D">
        <w:rPr>
          <w:lang w:val="fr-CH"/>
        </w:rPr>
        <w:t xml:space="preserve"> organi</w:t>
      </w:r>
      <w:r w:rsidR="00BF406D">
        <w:rPr>
          <w:lang w:val="fr-CH"/>
        </w:rPr>
        <w:t>sées par l</w:t>
      </w:r>
      <w:r w:rsidR="00A655F6">
        <w:rPr>
          <w:lang w:val="fr-CH"/>
        </w:rPr>
        <w:t>’</w:t>
      </w:r>
      <w:r w:rsidR="00BF406D">
        <w:rPr>
          <w:lang w:val="fr-CH"/>
        </w:rPr>
        <w:t>OMPI</w:t>
      </w:r>
      <w:r w:rsidR="002A6B32" w:rsidRPr="00BF406D">
        <w:rPr>
          <w:lang w:val="fr-CH"/>
        </w:rPr>
        <w:t xml:space="preserve">, </w:t>
      </w:r>
      <w:r w:rsidR="00BF406D">
        <w:rPr>
          <w:lang w:val="fr-CH"/>
        </w:rPr>
        <w:t>et peut également être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adapté</w:t>
      </w:r>
      <w:r w:rsidR="00BF406D">
        <w:rPr>
          <w:lang w:val="fr-CH"/>
        </w:rPr>
        <w:t>e</w:t>
      </w:r>
      <w:r w:rsidR="00BF406D" w:rsidRPr="00BF406D">
        <w:rPr>
          <w:lang w:val="fr-CH"/>
        </w:rPr>
        <w:t xml:space="preserve"> </w:t>
      </w:r>
      <w:r w:rsidR="00BF406D">
        <w:rPr>
          <w:lang w:val="fr-CH"/>
        </w:rPr>
        <w:t>à une</w:t>
      </w:r>
      <w:r w:rsidR="002A6B32" w:rsidRPr="00BF406D">
        <w:rPr>
          <w:lang w:val="fr-CH"/>
        </w:rPr>
        <w:t xml:space="preserve"> </w:t>
      </w:r>
      <w:r w:rsidR="00BF406D" w:rsidRPr="00BF406D">
        <w:rPr>
          <w:lang w:val="fr-CH"/>
        </w:rPr>
        <w:t>utilisat</w:t>
      </w:r>
      <w:r w:rsidR="00BF406D">
        <w:rPr>
          <w:lang w:val="fr-CH"/>
        </w:rPr>
        <w:t>ion par le</w:t>
      </w:r>
      <w:r w:rsidR="00BF406D" w:rsidRPr="00BF406D">
        <w:rPr>
          <w:lang w:val="fr-CH"/>
        </w:rPr>
        <w:t xml:space="preserve">s </w:t>
      </w:r>
      <w:r w:rsidR="00BF406D">
        <w:rPr>
          <w:lang w:val="fr-CH"/>
        </w:rPr>
        <w:t>o</w:t>
      </w:r>
      <w:r w:rsidR="002A6B32" w:rsidRPr="00BF406D">
        <w:rPr>
          <w:lang w:val="fr-CH"/>
        </w:rPr>
        <w:t>ffices</w:t>
      </w:r>
      <w:r w:rsidR="00BF406D">
        <w:rPr>
          <w:lang w:val="fr-CH"/>
        </w:rPr>
        <w:t xml:space="preserve"> intéress</w:t>
      </w:r>
      <w:r w:rsidR="008B71C6">
        <w:rPr>
          <w:lang w:val="fr-CH"/>
        </w:rPr>
        <w:t xml:space="preserve">és.  </w:t>
      </w:r>
      <w:r w:rsidR="008B71C6" w:rsidRPr="0044516E">
        <w:rPr>
          <w:lang w:val="fr-CH"/>
        </w:rPr>
        <w:t>En</w:t>
      </w:r>
      <w:r w:rsidR="002A6B32" w:rsidRPr="0044516E">
        <w:rPr>
          <w:lang w:val="fr-CH"/>
        </w:rPr>
        <w:t xml:space="preserve"> </w:t>
      </w:r>
      <w:r w:rsidR="00BF406D" w:rsidRPr="0044516E">
        <w:rPr>
          <w:lang w:val="fr-CH"/>
        </w:rPr>
        <w:t>outre</w:t>
      </w:r>
      <w:r w:rsidR="002A6B32" w:rsidRPr="0044516E">
        <w:rPr>
          <w:lang w:val="fr-CH"/>
        </w:rPr>
        <w:t xml:space="preserve">, </w:t>
      </w:r>
      <w:r w:rsidR="00BF406D" w:rsidRPr="0044516E">
        <w:rPr>
          <w:lang w:val="fr-CH"/>
        </w:rPr>
        <w:t>l</w:t>
      </w:r>
      <w:r w:rsidR="00A655F6">
        <w:rPr>
          <w:lang w:val="fr-CH"/>
        </w:rPr>
        <w:t>’</w:t>
      </w:r>
      <w:r w:rsidR="00BF406D" w:rsidRPr="0044516E">
        <w:rPr>
          <w:lang w:val="fr-CH"/>
        </w:rPr>
        <w:t>état d</w:t>
      </w:r>
      <w:r w:rsidR="00A655F6">
        <w:rPr>
          <w:lang w:val="fr-CH"/>
        </w:rPr>
        <w:t>’</w:t>
      </w:r>
      <w:r w:rsidR="00BF406D" w:rsidRPr="0044516E">
        <w:rPr>
          <w:lang w:val="fr-CH"/>
        </w:rPr>
        <w:t>avancement d</w:t>
      </w:r>
      <w:r w:rsidR="00E02571">
        <w:rPr>
          <w:lang w:val="fr-CH"/>
        </w:rPr>
        <w:t>es travaux relatifs a</w:t>
      </w:r>
      <w:r w:rsidR="00BF406D" w:rsidRPr="0044516E">
        <w:rPr>
          <w:lang w:val="fr-CH"/>
        </w:rPr>
        <w:t>u cadre de</w:t>
      </w:r>
      <w:r w:rsidR="002A6B32" w:rsidRPr="0044516E">
        <w:rPr>
          <w:lang w:val="fr-CH"/>
        </w:rPr>
        <w:t xml:space="preserve"> </w:t>
      </w:r>
      <w:r w:rsidR="00BF406D" w:rsidRPr="0044516E">
        <w:rPr>
          <w:lang w:val="fr-CH"/>
        </w:rPr>
        <w:t>compétences techniqu</w:t>
      </w:r>
      <w:r w:rsidR="002A6B32" w:rsidRPr="0044516E">
        <w:rPr>
          <w:lang w:val="fr-CH"/>
        </w:rPr>
        <w:t xml:space="preserve">es </w:t>
      </w:r>
      <w:r w:rsidR="0044516E">
        <w:rPr>
          <w:lang w:val="fr-CH"/>
        </w:rPr>
        <w:t>utilisé</w:t>
      </w:r>
      <w:r w:rsidR="0044516E" w:rsidRPr="0044516E">
        <w:rPr>
          <w:lang w:val="fr-CH"/>
        </w:rPr>
        <w:t xml:space="preserve"> aux fins d</w:t>
      </w:r>
      <w:r w:rsidR="00C5498C">
        <w:rPr>
          <w:lang w:val="fr-CH"/>
        </w:rPr>
        <w:t>u</w:t>
      </w:r>
      <w:r w:rsidR="0044516E" w:rsidRPr="0044516E">
        <w:rPr>
          <w:lang w:val="fr-CH"/>
        </w:rPr>
        <w:t xml:space="preserve"> suivi et </w:t>
      </w:r>
      <w:r w:rsidR="0044516E">
        <w:rPr>
          <w:lang w:val="fr-CH"/>
        </w:rPr>
        <w:t>d</w:t>
      </w:r>
      <w:r w:rsidR="00C5498C">
        <w:rPr>
          <w:lang w:val="fr-CH"/>
        </w:rPr>
        <w:t>e l</w:t>
      </w:r>
      <w:r w:rsidR="00A655F6">
        <w:rPr>
          <w:lang w:val="fr-CH"/>
        </w:rPr>
        <w:t>’</w:t>
      </w:r>
      <w:r w:rsidR="0044516E">
        <w:rPr>
          <w:lang w:val="fr-CH"/>
        </w:rPr>
        <w:t>évaluation</w:t>
      </w:r>
      <w:r w:rsidR="002A6B32" w:rsidRPr="0044516E">
        <w:rPr>
          <w:lang w:val="fr-CH"/>
        </w:rPr>
        <w:t xml:space="preserve"> </w:t>
      </w:r>
      <w:r w:rsidR="0044516E">
        <w:rPr>
          <w:lang w:val="fr-CH"/>
        </w:rPr>
        <w:t>des</w:t>
      </w:r>
      <w:r w:rsidR="002A6B32" w:rsidRPr="0044516E">
        <w:rPr>
          <w:lang w:val="fr-CH"/>
        </w:rPr>
        <w:t xml:space="preserve"> </w:t>
      </w:r>
      <w:r w:rsidR="0044516E">
        <w:rPr>
          <w:lang w:val="fr-CH"/>
        </w:rPr>
        <w:t>progrè</w:t>
      </w:r>
      <w:r w:rsidR="002A6B32" w:rsidRPr="0044516E">
        <w:rPr>
          <w:lang w:val="fr-CH"/>
        </w:rPr>
        <w:t xml:space="preserve">s </w:t>
      </w:r>
      <w:r w:rsidR="0044516E">
        <w:rPr>
          <w:lang w:val="fr-CH"/>
        </w:rPr>
        <w:t>sera présen</w:t>
      </w:r>
      <w:r w:rsidR="008B71C6">
        <w:rPr>
          <w:lang w:val="fr-CH"/>
        </w:rPr>
        <w:t xml:space="preserve">té.  </w:t>
      </w:r>
      <w:r w:rsidR="008B71C6" w:rsidRPr="00104597">
        <w:rPr>
          <w:lang w:val="fr-CH"/>
        </w:rPr>
        <w:t>Le</w:t>
      </w:r>
      <w:r w:rsidR="0044516E" w:rsidRPr="00104597">
        <w:rPr>
          <w:lang w:val="fr-CH"/>
        </w:rPr>
        <w:t>s exposés présentés à l</w:t>
      </w:r>
      <w:r w:rsidR="00A655F6">
        <w:rPr>
          <w:lang w:val="fr-CH"/>
        </w:rPr>
        <w:t>’</w:t>
      </w:r>
      <w:r w:rsidR="0044516E" w:rsidRPr="00104597">
        <w:rPr>
          <w:lang w:val="fr-CH"/>
        </w:rPr>
        <w:t xml:space="preserve">atelier </w:t>
      </w:r>
      <w:r w:rsidR="0044516E">
        <w:rPr>
          <w:lang w:val="fr-CH"/>
        </w:rPr>
        <w:t>seront publiés sur le site</w:t>
      </w:r>
      <w:r w:rsidR="00CE29FF">
        <w:rPr>
          <w:lang w:val="fr-CH"/>
        </w:rPr>
        <w:t> </w:t>
      </w:r>
      <w:r w:rsidR="0044516E">
        <w:rPr>
          <w:lang w:val="fr-CH"/>
        </w:rPr>
        <w:t xml:space="preserve">Web de </w:t>
      </w:r>
      <w:r w:rsidR="0044516E" w:rsidRPr="00BD7B95">
        <w:rPr>
          <w:lang w:val="fr-CH"/>
        </w:rPr>
        <w:t>l</w:t>
      </w:r>
      <w:r w:rsidR="00A655F6" w:rsidRPr="00BD7B95">
        <w:rPr>
          <w:lang w:val="fr-CH"/>
        </w:rPr>
        <w:t>’</w:t>
      </w:r>
      <w:r w:rsidR="0044516E" w:rsidRPr="00BD7B95">
        <w:rPr>
          <w:lang w:val="fr-CH"/>
        </w:rPr>
        <w:t>OMPI à l</w:t>
      </w:r>
      <w:r w:rsidR="00A655F6" w:rsidRPr="00BD7B95">
        <w:rPr>
          <w:lang w:val="fr-CH"/>
        </w:rPr>
        <w:t>’</w:t>
      </w:r>
      <w:r w:rsidR="0044516E" w:rsidRPr="00BD7B95">
        <w:rPr>
          <w:lang w:val="fr-CH"/>
        </w:rPr>
        <w:t>adresse</w:t>
      </w:r>
      <w:r w:rsidR="008B71C6" w:rsidRPr="00BD7B95">
        <w:rPr>
          <w:lang w:val="fr-CH"/>
        </w:rPr>
        <w:t> </w:t>
      </w:r>
      <w:hyperlink r:id="rId9" w:history="1">
        <w:r w:rsidR="00E15CD9" w:rsidRPr="00BD7B95">
          <w:rPr>
            <w:rStyle w:val="Hyperlink"/>
            <w:color w:val="auto"/>
            <w:szCs w:val="22"/>
            <w:u w:val="none"/>
            <w:lang w:val="fr-CH"/>
          </w:rPr>
          <w:t>http://www.wipo.int/meetings/fr/details.jsp?meeting_id=48048</w:t>
        </w:r>
      </w:hyperlink>
      <w:r w:rsidR="002A6B32" w:rsidRPr="00BD7B95">
        <w:rPr>
          <w:szCs w:val="22"/>
          <w:lang w:val="fr-CH"/>
        </w:rPr>
        <w:t>.</w:t>
      </w:r>
    </w:p>
    <w:p w:rsidR="002A6B32" w:rsidRPr="00C5498C" w:rsidRDefault="00354334" w:rsidP="00354334">
      <w:pPr>
        <w:pStyle w:val="ONUME"/>
        <w:numPr>
          <w:ilvl w:val="0"/>
          <w:numId w:val="0"/>
        </w:numPr>
        <w:rPr>
          <w:lang w:val="fr-CH"/>
        </w:rPr>
      </w:pPr>
      <w:r w:rsidRPr="00C5498C">
        <w:rPr>
          <w:lang w:val="fr-CH"/>
        </w:rPr>
        <w:t>11.</w:t>
      </w:r>
      <w:r w:rsidRPr="00C5498C">
        <w:rPr>
          <w:lang w:val="fr-CH"/>
        </w:rPr>
        <w:tab/>
      </w:r>
      <w:r w:rsidR="00C5498C" w:rsidRPr="00C5498C">
        <w:rPr>
          <w:lang w:val="fr-CH"/>
        </w:rPr>
        <w:t>Le Bureau international fera le point oralement sur cet atelier à la</w:t>
      </w:r>
      <w:r w:rsidR="002A6B32" w:rsidRPr="00C5498C">
        <w:rPr>
          <w:lang w:val="fr-CH"/>
        </w:rPr>
        <w:t xml:space="preserve"> pr</w:t>
      </w:r>
      <w:r w:rsidR="00C5498C">
        <w:rPr>
          <w:lang w:val="fr-CH"/>
        </w:rPr>
        <w:t>é</w:t>
      </w:r>
      <w:r w:rsidR="002A6B32" w:rsidRPr="00C5498C">
        <w:rPr>
          <w:lang w:val="fr-CH"/>
        </w:rPr>
        <w:t>sent</w:t>
      </w:r>
      <w:r w:rsidR="00C5498C">
        <w:rPr>
          <w:lang w:val="fr-CH"/>
        </w:rPr>
        <w:t>e</w:t>
      </w:r>
      <w:r w:rsidR="002A6B32" w:rsidRPr="00C5498C">
        <w:rPr>
          <w:lang w:val="fr-CH"/>
        </w:rPr>
        <w:t xml:space="preserve"> session </w:t>
      </w:r>
      <w:r w:rsidR="00C5498C">
        <w:rPr>
          <w:lang w:val="fr-CH"/>
        </w:rPr>
        <w:t>du</w:t>
      </w:r>
      <w:r w:rsidR="002A6B32" w:rsidRPr="00C5498C">
        <w:rPr>
          <w:lang w:val="fr-CH"/>
        </w:rPr>
        <w:t xml:space="preserve"> </w:t>
      </w:r>
      <w:r w:rsidR="00C5498C" w:rsidRPr="00C5498C">
        <w:rPr>
          <w:lang w:val="fr-CH"/>
        </w:rPr>
        <w:t>groupe de trava</w:t>
      </w:r>
      <w:r w:rsidR="008B71C6" w:rsidRPr="00C5498C">
        <w:rPr>
          <w:lang w:val="fr-CH"/>
        </w:rPr>
        <w:t>il</w:t>
      </w:r>
      <w:r w:rsidR="008B71C6">
        <w:rPr>
          <w:lang w:val="fr-CH"/>
        </w:rPr>
        <w:t xml:space="preserve">.  </w:t>
      </w:r>
      <w:r w:rsidR="008B71C6" w:rsidRPr="00C5498C">
        <w:rPr>
          <w:lang w:val="fr-CH"/>
        </w:rPr>
        <w:t>Le</w:t>
      </w:r>
      <w:r w:rsidR="00C5498C" w:rsidRPr="00C5498C">
        <w:rPr>
          <w:lang w:val="fr-CH"/>
        </w:rPr>
        <w:t xml:space="preserve"> Bureau international </w:t>
      </w:r>
      <w:r w:rsidR="002A6B32" w:rsidRPr="00C5498C">
        <w:rPr>
          <w:lang w:val="fr-CH"/>
        </w:rPr>
        <w:t>pr</w:t>
      </w:r>
      <w:r w:rsidR="00C5498C" w:rsidRPr="00C5498C">
        <w:rPr>
          <w:lang w:val="fr-CH"/>
        </w:rPr>
        <w:t>é</w:t>
      </w:r>
      <w:r w:rsidR="002A6B32" w:rsidRPr="00C5498C">
        <w:rPr>
          <w:lang w:val="fr-CH"/>
        </w:rPr>
        <w:t>sent</w:t>
      </w:r>
      <w:r w:rsidR="00C5498C" w:rsidRPr="00C5498C">
        <w:rPr>
          <w:lang w:val="fr-CH"/>
        </w:rPr>
        <w:t xml:space="preserve">era </w:t>
      </w:r>
      <w:r w:rsidR="00C5498C">
        <w:rPr>
          <w:lang w:val="fr-CH"/>
        </w:rPr>
        <w:t>é</w:t>
      </w:r>
      <w:r w:rsidR="00C5498C" w:rsidRPr="00C5498C">
        <w:rPr>
          <w:lang w:val="fr-CH"/>
        </w:rPr>
        <w:t>galement le</w:t>
      </w:r>
      <w:r w:rsidR="002A6B32" w:rsidRPr="00C5498C">
        <w:rPr>
          <w:lang w:val="fr-CH"/>
        </w:rPr>
        <w:t xml:space="preserve"> </w:t>
      </w:r>
      <w:r w:rsidR="00C5498C" w:rsidRPr="00C5498C">
        <w:rPr>
          <w:lang w:val="fr-CH"/>
        </w:rPr>
        <w:t>proje</w:t>
      </w:r>
      <w:r w:rsidR="002A6B32" w:rsidRPr="00C5498C">
        <w:rPr>
          <w:lang w:val="fr-CH"/>
        </w:rPr>
        <w:t xml:space="preserve">t </w:t>
      </w:r>
      <w:r w:rsidR="00C5498C" w:rsidRPr="00C5498C">
        <w:rPr>
          <w:lang w:val="fr-CH"/>
        </w:rPr>
        <w:t>d</w:t>
      </w:r>
      <w:r w:rsidR="00A655F6">
        <w:rPr>
          <w:lang w:val="fr-CH"/>
        </w:rPr>
        <w:t>’</w:t>
      </w:r>
      <w:r w:rsidR="00C5498C" w:rsidRPr="00C5498C">
        <w:rPr>
          <w:lang w:val="fr-CH"/>
        </w:rPr>
        <w:t>amélioration de l</w:t>
      </w:r>
      <w:r w:rsidR="00A655F6">
        <w:rPr>
          <w:lang w:val="fr-CH"/>
        </w:rPr>
        <w:t>’</w:t>
      </w:r>
      <w:r w:rsidR="00C5498C" w:rsidRPr="00C5498C">
        <w:rPr>
          <w:lang w:val="fr-CH"/>
        </w:rPr>
        <w:t>efficacité de la formation des examinateurs financée par les donateurs</w:t>
      </w:r>
      <w:r w:rsidR="00C5498C">
        <w:rPr>
          <w:lang w:val="fr-CH"/>
        </w:rPr>
        <w:t>, ainsi que les progrè</w:t>
      </w:r>
      <w:r w:rsidR="00C5498C" w:rsidRPr="0044516E">
        <w:rPr>
          <w:lang w:val="fr-CH"/>
        </w:rPr>
        <w:t>s</w:t>
      </w:r>
      <w:r w:rsidR="00C5498C">
        <w:rPr>
          <w:lang w:val="fr-CH"/>
        </w:rPr>
        <w:t xml:space="preserve"> effectués en vue de</w:t>
      </w:r>
      <w:r w:rsidR="00C5498C" w:rsidRPr="00C5498C">
        <w:rPr>
          <w:lang w:val="fr-CH"/>
        </w:rPr>
        <w:t xml:space="preserve"> </w:t>
      </w:r>
      <w:r w:rsidR="00C5498C" w:rsidRPr="00BF406D">
        <w:rPr>
          <w:lang w:val="fr-CH"/>
        </w:rPr>
        <w:t>l</w:t>
      </w:r>
      <w:r w:rsidR="00A655F6">
        <w:rPr>
          <w:lang w:val="fr-CH"/>
        </w:rPr>
        <w:t>’</w:t>
      </w:r>
      <w:r w:rsidR="00C5498C" w:rsidRPr="00BF406D">
        <w:rPr>
          <w:lang w:val="fr-CH"/>
        </w:rPr>
        <w:t xml:space="preserve">élaboration </w:t>
      </w:r>
      <w:r w:rsidR="00C5498C">
        <w:rPr>
          <w:lang w:val="fr-CH"/>
        </w:rPr>
        <w:t>d</w:t>
      </w:r>
      <w:r w:rsidR="00A655F6">
        <w:rPr>
          <w:lang w:val="fr-CH"/>
        </w:rPr>
        <w:t>’</w:t>
      </w:r>
      <w:r w:rsidR="00C5498C">
        <w:rPr>
          <w:lang w:val="fr-CH"/>
        </w:rPr>
        <w:t>un cadre de</w:t>
      </w:r>
      <w:r w:rsidR="00C5498C" w:rsidRPr="00BF406D">
        <w:rPr>
          <w:lang w:val="fr-CH"/>
        </w:rPr>
        <w:t xml:space="preserve"> comp</w:t>
      </w:r>
      <w:r w:rsidR="00C5498C">
        <w:rPr>
          <w:lang w:val="fr-CH"/>
        </w:rPr>
        <w:t>ét</w:t>
      </w:r>
      <w:r w:rsidR="00C5498C" w:rsidRPr="00BF406D">
        <w:rPr>
          <w:lang w:val="fr-CH"/>
        </w:rPr>
        <w:t>enc</w:t>
      </w:r>
      <w:r w:rsidR="00C5498C">
        <w:rPr>
          <w:lang w:val="fr-CH"/>
        </w:rPr>
        <w:t>es et d</w:t>
      </w:r>
      <w:r w:rsidR="00A655F6">
        <w:rPr>
          <w:lang w:val="fr-CH"/>
        </w:rPr>
        <w:t>’</w:t>
      </w:r>
      <w:r w:rsidR="00C5498C">
        <w:rPr>
          <w:lang w:val="fr-CH"/>
        </w:rPr>
        <w:t xml:space="preserve">un </w:t>
      </w:r>
      <w:r w:rsidR="00C5498C" w:rsidRPr="00FE1992">
        <w:rPr>
          <w:lang w:val="fr-CH"/>
        </w:rPr>
        <w:t>système de gestion de la formation</w:t>
      </w:r>
      <w:r w:rsidR="002A6B32" w:rsidRPr="00C5498C">
        <w:rPr>
          <w:lang w:val="fr-CH"/>
        </w:rPr>
        <w:t xml:space="preserve"> </w:t>
      </w:r>
      <w:r w:rsidR="00C5498C">
        <w:rPr>
          <w:lang w:val="fr-CH"/>
        </w:rPr>
        <w:t xml:space="preserve">plus détaillés, </w:t>
      </w:r>
      <w:r w:rsidR="00C5498C" w:rsidRPr="00117315">
        <w:rPr>
          <w:lang w:val="fr-CH"/>
        </w:rPr>
        <w:t>lors d</w:t>
      </w:r>
      <w:r w:rsidR="00A655F6">
        <w:rPr>
          <w:lang w:val="fr-CH"/>
        </w:rPr>
        <w:t>’</w:t>
      </w:r>
      <w:r w:rsidR="00C5498C" w:rsidRPr="00117315">
        <w:rPr>
          <w:lang w:val="fr-CH"/>
        </w:rPr>
        <w:t xml:space="preserve">une manifestation organisée en marge de la </w:t>
      </w:r>
      <w:r w:rsidR="00C5498C" w:rsidRPr="00C5498C">
        <w:rPr>
          <w:lang w:val="fr-CH"/>
        </w:rPr>
        <w:t>pr</w:t>
      </w:r>
      <w:r w:rsidR="00C5498C">
        <w:rPr>
          <w:lang w:val="fr-CH"/>
        </w:rPr>
        <w:t>é</w:t>
      </w:r>
      <w:r w:rsidR="00C5498C" w:rsidRPr="00C5498C">
        <w:rPr>
          <w:lang w:val="fr-CH"/>
        </w:rPr>
        <w:t>sent</w:t>
      </w:r>
      <w:r w:rsidR="00C5498C">
        <w:rPr>
          <w:lang w:val="fr-CH"/>
        </w:rPr>
        <w:t>e</w:t>
      </w:r>
      <w:r w:rsidR="00C5498C" w:rsidRPr="00C5498C">
        <w:rPr>
          <w:lang w:val="fr-CH"/>
        </w:rPr>
        <w:t xml:space="preserve"> </w:t>
      </w:r>
      <w:r w:rsidR="00C5498C" w:rsidRPr="00117315">
        <w:rPr>
          <w:lang w:val="fr-CH"/>
        </w:rPr>
        <w:t>session</w:t>
      </w:r>
      <w:r w:rsidR="00C5498C">
        <w:rPr>
          <w:lang w:val="fr-CH"/>
        </w:rPr>
        <w:t xml:space="preserve"> du</w:t>
      </w:r>
      <w:r w:rsidR="00C5498C" w:rsidRPr="00C5498C">
        <w:rPr>
          <w:lang w:val="fr-CH"/>
        </w:rPr>
        <w:t xml:space="preserve"> groupe de travail</w:t>
      </w:r>
      <w:r w:rsidR="002A6B32" w:rsidRPr="00C5498C">
        <w:rPr>
          <w:lang w:val="fr-CH"/>
        </w:rPr>
        <w:t>.</w:t>
      </w:r>
    </w:p>
    <w:p w:rsidR="00C5498C" w:rsidRPr="00C5498C" w:rsidRDefault="00C5498C" w:rsidP="00804C0F">
      <w:pPr>
        <w:pStyle w:val="Heading1"/>
        <w:spacing w:before="20" w:after="220"/>
        <w:rPr>
          <w:lang w:val="fr-CH"/>
        </w:rPr>
      </w:pPr>
      <w:r w:rsidRPr="00C5498C">
        <w:rPr>
          <w:lang w:val="fr-CH"/>
        </w:rPr>
        <w:t>Rapport sur l</w:t>
      </w:r>
      <w:r w:rsidR="00A655F6">
        <w:rPr>
          <w:lang w:val="fr-CH"/>
        </w:rPr>
        <w:t>’</w:t>
      </w:r>
      <w:r w:rsidRPr="00C5498C">
        <w:rPr>
          <w:lang w:val="fr-CH"/>
        </w:rPr>
        <w:t>évolution de la situation</w:t>
      </w:r>
    </w:p>
    <w:p w:rsidR="002A6B32" w:rsidRPr="00C5498C" w:rsidRDefault="00354334" w:rsidP="00354334">
      <w:pPr>
        <w:pStyle w:val="ONUME"/>
        <w:numPr>
          <w:ilvl w:val="0"/>
          <w:numId w:val="0"/>
        </w:numPr>
        <w:rPr>
          <w:lang w:val="fr-CH"/>
        </w:rPr>
      </w:pPr>
      <w:r w:rsidRPr="00C5498C">
        <w:rPr>
          <w:lang w:val="fr-CH"/>
        </w:rPr>
        <w:t>12.</w:t>
      </w:r>
      <w:r w:rsidRPr="00C5498C">
        <w:rPr>
          <w:lang w:val="fr-CH"/>
        </w:rPr>
        <w:tab/>
      </w:r>
      <w:r w:rsidR="00C5498C" w:rsidRPr="00C5498C">
        <w:rPr>
          <w:lang w:val="fr-CH"/>
        </w:rPr>
        <w:t xml:space="preserve">Le Bureau international fera rapport au groupe de travail, à sa session </w:t>
      </w:r>
      <w:r w:rsidR="00A655F6" w:rsidRPr="00C5498C">
        <w:rPr>
          <w:lang w:val="fr-CH"/>
        </w:rPr>
        <w:t>de</w:t>
      </w:r>
      <w:r w:rsidR="00A655F6">
        <w:rPr>
          <w:lang w:val="fr-CH"/>
        </w:rPr>
        <w:t> </w:t>
      </w:r>
      <w:r w:rsidR="00A655F6" w:rsidRPr="00C5498C">
        <w:rPr>
          <w:lang w:val="fr-CH"/>
        </w:rPr>
        <w:t>2019</w:t>
      </w:r>
      <w:r w:rsidR="00C5498C" w:rsidRPr="00C5498C">
        <w:rPr>
          <w:lang w:val="fr-CH"/>
        </w:rPr>
        <w:t>, des nouveaux progrès concernant</w:t>
      </w:r>
      <w:r w:rsidR="002A6B32" w:rsidRPr="00C5498C">
        <w:rPr>
          <w:lang w:val="fr-CH"/>
        </w:rPr>
        <w:t xml:space="preserve"> </w:t>
      </w:r>
      <w:r w:rsidR="00C5498C" w:rsidRPr="00C5498C">
        <w:rPr>
          <w:lang w:val="fr-CH"/>
        </w:rPr>
        <w:t>l</w:t>
      </w:r>
      <w:r w:rsidR="00A655F6">
        <w:rPr>
          <w:lang w:val="fr-CH"/>
        </w:rPr>
        <w:t>’</w:t>
      </w:r>
      <w:r w:rsidR="00C5498C" w:rsidRPr="00C5498C">
        <w:rPr>
          <w:lang w:val="fr-CH"/>
        </w:rPr>
        <w:t xml:space="preserve">élaboration du cadre de compétences </w:t>
      </w:r>
      <w:r w:rsidR="00C5498C">
        <w:rPr>
          <w:lang w:val="fr-CH"/>
        </w:rPr>
        <w:t>et du</w:t>
      </w:r>
      <w:r w:rsidR="002A6B32" w:rsidRPr="00C5498C">
        <w:rPr>
          <w:lang w:val="fr-CH"/>
        </w:rPr>
        <w:t xml:space="preserve"> </w:t>
      </w:r>
      <w:r w:rsidR="00C5498C" w:rsidRPr="00FE1992">
        <w:rPr>
          <w:lang w:val="fr-CH"/>
        </w:rPr>
        <w:t>système de gestion de la formation</w:t>
      </w:r>
      <w:r w:rsidR="002A6B32" w:rsidRPr="00C5498C">
        <w:rPr>
          <w:lang w:val="fr-CH"/>
        </w:rPr>
        <w:t>.</w:t>
      </w:r>
    </w:p>
    <w:p w:rsidR="00FE7A4F" w:rsidRPr="009A006E" w:rsidRDefault="00354334" w:rsidP="00BE16DA">
      <w:pPr>
        <w:pStyle w:val="ONUMFS"/>
        <w:numPr>
          <w:ilvl w:val="0"/>
          <w:numId w:val="0"/>
        </w:numPr>
        <w:ind w:left="5533"/>
        <w:rPr>
          <w:i/>
          <w:lang w:val="fr-FR"/>
        </w:rPr>
      </w:pPr>
      <w:r w:rsidRPr="00804C0F">
        <w:rPr>
          <w:lang w:val="fr-FR"/>
        </w:rPr>
        <w:t>13</w:t>
      </w:r>
      <w:r w:rsidR="00BE16DA">
        <w:rPr>
          <w:i/>
          <w:lang w:val="fr-FR"/>
        </w:rPr>
        <w:t>.</w:t>
      </w:r>
      <w:r w:rsidR="00BE16DA">
        <w:rPr>
          <w:i/>
          <w:lang w:val="fr-FR"/>
        </w:rPr>
        <w:tab/>
      </w:r>
      <w:r w:rsidR="00C537D7" w:rsidRPr="009A006E">
        <w:rPr>
          <w:i/>
          <w:lang w:val="fr-FR"/>
        </w:rPr>
        <w:t xml:space="preserve">Le groupe de travail est </w:t>
      </w:r>
      <w:r w:rsidR="003B5AB3" w:rsidRPr="009A006E">
        <w:rPr>
          <w:i/>
          <w:lang w:val="fr-FR"/>
        </w:rPr>
        <w:t>invité</w:t>
      </w:r>
      <w:r w:rsidR="00C537D7" w:rsidRPr="009A006E">
        <w:rPr>
          <w:i/>
          <w:lang w:val="fr-FR"/>
        </w:rPr>
        <w:t xml:space="preserve"> à prendre note du contenu du présent document</w:t>
      </w:r>
      <w:r w:rsidR="000B7B49" w:rsidRPr="009A006E">
        <w:rPr>
          <w:i/>
          <w:lang w:val="fr-FR"/>
        </w:rPr>
        <w:t>.</w:t>
      </w:r>
    </w:p>
    <w:p w:rsidR="00C622E8" w:rsidRDefault="00C622E8" w:rsidP="00BA78EF">
      <w:pPr>
        <w:pStyle w:val="Endofdocument-Annex"/>
        <w:rPr>
          <w:lang w:val="fr-FR"/>
        </w:rPr>
      </w:pPr>
    </w:p>
    <w:p w:rsidR="00C622E8" w:rsidRDefault="00C622E8" w:rsidP="00BA78EF">
      <w:pPr>
        <w:pStyle w:val="Endofdocument-Annex"/>
        <w:rPr>
          <w:lang w:val="fr-FR"/>
        </w:rPr>
      </w:pPr>
    </w:p>
    <w:p w:rsidR="002928D3" w:rsidRPr="009A006E" w:rsidRDefault="00FE7A4F" w:rsidP="00BA78EF">
      <w:pPr>
        <w:pStyle w:val="Endofdocument-Annex"/>
        <w:rPr>
          <w:lang w:val="fr-FR"/>
        </w:rPr>
      </w:pPr>
      <w:r w:rsidRPr="009A006E">
        <w:rPr>
          <w:lang w:val="fr-FR"/>
        </w:rPr>
        <w:t>[</w:t>
      </w:r>
      <w:r w:rsidR="00C537D7" w:rsidRPr="009A006E">
        <w:rPr>
          <w:lang w:val="fr-FR"/>
        </w:rPr>
        <w:t>Fin du</w:t>
      </w:r>
      <w:r w:rsidRPr="009A006E">
        <w:rPr>
          <w:lang w:val="fr-FR"/>
        </w:rPr>
        <w:t xml:space="preserve"> </w:t>
      </w:r>
      <w:r w:rsidR="000B7B49" w:rsidRPr="009A006E">
        <w:rPr>
          <w:lang w:val="fr-FR"/>
        </w:rPr>
        <w:t>document]</w:t>
      </w:r>
    </w:p>
    <w:sectPr w:rsidR="002928D3" w:rsidRPr="009A006E" w:rsidSect="000B7B4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B5" w:rsidRDefault="00A87CB5">
      <w:r>
        <w:separator/>
      </w:r>
    </w:p>
  </w:endnote>
  <w:endnote w:type="continuationSeparator" w:id="0">
    <w:p w:rsidR="00A87CB5" w:rsidRDefault="00A87CB5" w:rsidP="003B38C1">
      <w:r>
        <w:separator/>
      </w:r>
    </w:p>
    <w:p w:rsidR="00A87CB5" w:rsidRPr="003B38C1" w:rsidRDefault="00A87CB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87CB5" w:rsidRPr="003B38C1" w:rsidRDefault="00A87CB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B5" w:rsidRDefault="00A87CB5">
      <w:r>
        <w:separator/>
      </w:r>
    </w:p>
  </w:footnote>
  <w:footnote w:type="continuationSeparator" w:id="0">
    <w:p w:rsidR="00A87CB5" w:rsidRDefault="00A87CB5" w:rsidP="008B60B2">
      <w:r>
        <w:separator/>
      </w:r>
    </w:p>
    <w:p w:rsidR="00A87CB5" w:rsidRPr="00ED77FB" w:rsidRDefault="00A87CB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87CB5" w:rsidRPr="00ED77FB" w:rsidRDefault="00A87CB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13" w:rsidRDefault="00FC7513" w:rsidP="00477D6B">
    <w:pPr>
      <w:jc w:val="right"/>
    </w:pPr>
    <w:bookmarkStart w:id="6" w:name="Code2"/>
    <w:bookmarkEnd w:id="6"/>
    <w:r>
      <w:t>PCT/WG/1</w:t>
    </w:r>
    <w:r w:rsidR="00CB07CB">
      <w:t>1</w:t>
    </w:r>
    <w:r>
      <w:t>/</w:t>
    </w:r>
    <w:r w:rsidR="00CB07CB">
      <w:t>17</w:t>
    </w:r>
  </w:p>
  <w:p w:rsidR="00FC7513" w:rsidRPr="00536DD9" w:rsidRDefault="00536DD9" w:rsidP="00477D6B">
    <w:pPr>
      <w:jc w:val="right"/>
    </w:pPr>
    <w:proofErr w:type="gramStart"/>
    <w:r w:rsidRPr="00536DD9">
      <w:t>p</w:t>
    </w:r>
    <w:r w:rsidR="00FC7513" w:rsidRPr="00536DD9">
      <w:t>age</w:t>
    </w:r>
    <w:proofErr w:type="gramEnd"/>
    <w:r w:rsidRPr="00536DD9">
      <w:t> </w:t>
    </w:r>
    <w:r w:rsidR="00FC7513" w:rsidRPr="00536DD9">
      <w:fldChar w:fldCharType="begin"/>
    </w:r>
    <w:r w:rsidR="00FC7513" w:rsidRPr="00536DD9">
      <w:instrText xml:space="preserve"> PAGE  \* MERGEFORMAT </w:instrText>
    </w:r>
    <w:r w:rsidR="00FC7513" w:rsidRPr="00536DD9">
      <w:fldChar w:fldCharType="separate"/>
    </w:r>
    <w:r w:rsidR="00E5067C">
      <w:rPr>
        <w:noProof/>
      </w:rPr>
      <w:t>2</w:t>
    </w:r>
    <w:r w:rsidR="00FC7513" w:rsidRPr="00536DD9">
      <w:fldChar w:fldCharType="end"/>
    </w:r>
  </w:p>
  <w:p w:rsidR="00FC7513" w:rsidRDefault="00FC7513" w:rsidP="00477D6B">
    <w:pPr>
      <w:jc w:val="right"/>
    </w:pPr>
  </w:p>
  <w:p w:rsidR="00E5067C" w:rsidRDefault="00E5067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E6662"/>
    <w:multiLevelType w:val="hybridMultilevel"/>
    <w:tmpl w:val="BA14486A"/>
    <w:lvl w:ilvl="0" w:tplc="29E45E7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BAA02C5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90835C1"/>
    <w:multiLevelType w:val="hybridMultilevel"/>
    <w:tmpl w:val="E196C6DA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8B14698"/>
    <w:multiLevelType w:val="hybridMultilevel"/>
    <w:tmpl w:val="FA64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74749"/>
    <w:multiLevelType w:val="hybridMultilevel"/>
    <w:tmpl w:val="F50A0B5C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7D31BE"/>
    <w:multiLevelType w:val="hybridMultilevel"/>
    <w:tmpl w:val="086A3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14088"/>
    <w:multiLevelType w:val="hybridMultilevel"/>
    <w:tmpl w:val="CE04110E"/>
    <w:lvl w:ilvl="0" w:tplc="4CFE101E">
      <w:start w:val="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715CE"/>
    <w:multiLevelType w:val="hybridMultilevel"/>
    <w:tmpl w:val="88189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A7896"/>
    <w:multiLevelType w:val="hybridMultilevel"/>
    <w:tmpl w:val="EE502BDE"/>
    <w:lvl w:ilvl="0" w:tplc="2F7E82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820EA"/>
    <w:multiLevelType w:val="hybridMultilevel"/>
    <w:tmpl w:val="D0946636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B3BB7"/>
    <w:multiLevelType w:val="hybridMultilevel"/>
    <w:tmpl w:val="516A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ransmlp.wipo.int\TextBase TMs\WorkspaceFTS\Patents &amp; Innovation\PCT|transmlp.wipo.int\TextBase TMs\WorkspaceFTS\xLegacy\Patents|transmlp.wipo.int\TextBase TMs\WorkspaceFTS\Patents &amp; Innovation\Patents|transmlp.wipo.int\TextBase TMs\WorkspaceFTS\Treaties &amp; Laws\WIPO Treaties|transmlp.wipo.int\TextBase TMs\WorkspaceFTS\Ad-hoc\Glossaires|transmlp.wipo.int\TextBase TMs\WorkspaceFTS\Brands, Designs &amp; DN\Madrid|transmlp.wipo.int\TextBase TMs\WorkspaceFTS\Outreach\Outreach|transmlp.wipo.int\TextBase TMs\WorkspaceFTS\Outreach\Publications|transmlp.wipo.int\TextBase TMs\WorkspaceFTS\Administration &amp; Finance\Administration|transmlp.wipo.int\TextBase TMs\WorkspaceFTS\Administration &amp; Finance\PBC|transmlp.wipo.int\TextBase TMs\WorkspaceFTS\Brands, Designs &amp; DN\AMC|transmlp.wipo.int\TextBase TMs\WorkspaceFTS\Brands, Designs &amp; DN\Brands|transmlp.wipo.int\TextBase TMs\WorkspaceFTS\Brands, Designs &amp; DN\Hague|transmlp.wipo.int\TextBase TMs\WorkspaceFTS\Brands, Designs &amp; DN\Lisbon|transmlp.wipo.int\TextBase TMs\WorkspaceFTS\Copyright\Copyright|transmlp.wipo.int\TextBase TMs\WorkspaceFTS\Ad-hoc\Assemblies|transmlp.wipo.int\TextBase TMs\WorkspaceFTS\Development\Development|transmlp.wipo.int\TextBase TMs\WorkspaceFTS\Outreach\Academy|transmlp.wipo.int\TextBase TMs\WorkspaceFTS\Outreach\ACE|transmlp.wipo.int\TextBase TMs\WorkspaceFTS\GRTKF\GRTKF|transmlp.wipo.int\TextBase TMs\WorkspaceFTS\Outreach\Communications|transmlp.wipo.int\TextBase TMs\WorkspaceFTS\Patents &amp; Innovation\Budapest|transmlp.wipo.int\TextBase TMs\WorkspaceFTS\Patents &amp; Innovation\CWS|transmlp.wipo.int\TextBase TMs\WorkspaceFTS\Patents &amp; Innovation\IPC|transmlp.wipo.int\TextBase TMs\WorkspaceFTS\Patents &amp; Innovation\SCP|transmlp.wipo.int\TextBase TMs\WorkspaceFTS\Treaties &amp; Laws\WIPO Lex|transmlp.wipo.int\TextBase TMs\WorkspaceFTS\UPOV\TGs|transmlp.wipo.int\TextBase TMs\WorkspaceFTS\UPOV\UPOV|transmlp.wipo.int\TextBase TMs\WorkspaceFTS\xLegacy\Academy|transmlp.wipo.int\TextBase TMs\WorkspaceFTS\xLegacy\Administrative|transmlp.wipo.int\TextBase TMs\WorkspaceFTS\xLegacy\Budget and Finance|transmlp.wipo.int\TextBase TMs\WorkspaceFTS\xLegacy\Copyright|transmlp.wipo.int\TextBase TMs\WorkspaceFTS\xLegacy\IP_Press_Other|transmlp.wipo.int\TextBase TMs\WorkspaceFTS\xLegacy\Trademarks|transmlp.wipo.int\TextBase TMs\WorkspaceFTS\xLegacy\Treaties|transmlp.wipo.int\TextBase TMs\WorkspaceFTS\xLegacy\UPOV"/>
    <w:docVar w:name="TextBaseURL" w:val="empty"/>
    <w:docVar w:name="UILng" w:val="en"/>
  </w:docVars>
  <w:rsids>
    <w:rsidRoot w:val="000B7B49"/>
    <w:rsid w:val="00033EE4"/>
    <w:rsid w:val="00043CAA"/>
    <w:rsid w:val="00045D7F"/>
    <w:rsid w:val="00067CE9"/>
    <w:rsid w:val="00074BAB"/>
    <w:rsid w:val="00075432"/>
    <w:rsid w:val="000829C7"/>
    <w:rsid w:val="000968ED"/>
    <w:rsid w:val="000B7B49"/>
    <w:rsid w:val="000D0A90"/>
    <w:rsid w:val="000F5E56"/>
    <w:rsid w:val="00104597"/>
    <w:rsid w:val="00116733"/>
    <w:rsid w:val="00117315"/>
    <w:rsid w:val="001362EE"/>
    <w:rsid w:val="00181417"/>
    <w:rsid w:val="001832A6"/>
    <w:rsid w:val="00191C35"/>
    <w:rsid w:val="001963EE"/>
    <w:rsid w:val="001A5DDA"/>
    <w:rsid w:val="001D06E6"/>
    <w:rsid w:val="00202ECC"/>
    <w:rsid w:val="0021217E"/>
    <w:rsid w:val="002634C4"/>
    <w:rsid w:val="00284B10"/>
    <w:rsid w:val="00287A74"/>
    <w:rsid w:val="002928D3"/>
    <w:rsid w:val="00297C54"/>
    <w:rsid w:val="002A6B32"/>
    <w:rsid w:val="002C42E4"/>
    <w:rsid w:val="002F1FE6"/>
    <w:rsid w:val="002F4E68"/>
    <w:rsid w:val="00312F7F"/>
    <w:rsid w:val="00331DF8"/>
    <w:rsid w:val="0033339D"/>
    <w:rsid w:val="00354334"/>
    <w:rsid w:val="00361450"/>
    <w:rsid w:val="003673CF"/>
    <w:rsid w:val="00370862"/>
    <w:rsid w:val="003845C1"/>
    <w:rsid w:val="003A6F89"/>
    <w:rsid w:val="003B38C1"/>
    <w:rsid w:val="003B5AB3"/>
    <w:rsid w:val="003D58D6"/>
    <w:rsid w:val="003F38C7"/>
    <w:rsid w:val="00401F62"/>
    <w:rsid w:val="00423E3E"/>
    <w:rsid w:val="00425B04"/>
    <w:rsid w:val="00427AF4"/>
    <w:rsid w:val="0043760B"/>
    <w:rsid w:val="004409E0"/>
    <w:rsid w:val="0044516E"/>
    <w:rsid w:val="004548AE"/>
    <w:rsid w:val="004647DA"/>
    <w:rsid w:val="00474062"/>
    <w:rsid w:val="00477D6B"/>
    <w:rsid w:val="0048398C"/>
    <w:rsid w:val="0048416B"/>
    <w:rsid w:val="0049536F"/>
    <w:rsid w:val="004E0C6D"/>
    <w:rsid w:val="005019FF"/>
    <w:rsid w:val="005115FB"/>
    <w:rsid w:val="0053057A"/>
    <w:rsid w:val="005319B5"/>
    <w:rsid w:val="00536DD9"/>
    <w:rsid w:val="00560A29"/>
    <w:rsid w:val="0056146B"/>
    <w:rsid w:val="00563BE9"/>
    <w:rsid w:val="0057122D"/>
    <w:rsid w:val="0058773D"/>
    <w:rsid w:val="005A7DA9"/>
    <w:rsid w:val="005B4E61"/>
    <w:rsid w:val="005B6DD4"/>
    <w:rsid w:val="005C6649"/>
    <w:rsid w:val="005E690F"/>
    <w:rsid w:val="00600B9A"/>
    <w:rsid w:val="00605827"/>
    <w:rsid w:val="00646050"/>
    <w:rsid w:val="00654505"/>
    <w:rsid w:val="006713CA"/>
    <w:rsid w:val="00676C5C"/>
    <w:rsid w:val="006B149D"/>
    <w:rsid w:val="006D7801"/>
    <w:rsid w:val="00720F2E"/>
    <w:rsid w:val="00742393"/>
    <w:rsid w:val="00761EBB"/>
    <w:rsid w:val="00771E0D"/>
    <w:rsid w:val="007D1613"/>
    <w:rsid w:val="007E4C0E"/>
    <w:rsid w:val="00803915"/>
    <w:rsid w:val="00804C0F"/>
    <w:rsid w:val="0086387B"/>
    <w:rsid w:val="008708F5"/>
    <w:rsid w:val="00891905"/>
    <w:rsid w:val="008B2CC1"/>
    <w:rsid w:val="008B5948"/>
    <w:rsid w:val="008B60B2"/>
    <w:rsid w:val="008B71C6"/>
    <w:rsid w:val="008D01A4"/>
    <w:rsid w:val="008F519D"/>
    <w:rsid w:val="0090731E"/>
    <w:rsid w:val="00916EE2"/>
    <w:rsid w:val="0096408F"/>
    <w:rsid w:val="00966A22"/>
    <w:rsid w:val="0096722F"/>
    <w:rsid w:val="00970018"/>
    <w:rsid w:val="00980843"/>
    <w:rsid w:val="00992872"/>
    <w:rsid w:val="009A006E"/>
    <w:rsid w:val="009E2791"/>
    <w:rsid w:val="009E3F6F"/>
    <w:rsid w:val="009F499F"/>
    <w:rsid w:val="00A024FB"/>
    <w:rsid w:val="00A0469D"/>
    <w:rsid w:val="00A357C0"/>
    <w:rsid w:val="00A42DAF"/>
    <w:rsid w:val="00A44E80"/>
    <w:rsid w:val="00A45BD8"/>
    <w:rsid w:val="00A46F8B"/>
    <w:rsid w:val="00A652E4"/>
    <w:rsid w:val="00A655F6"/>
    <w:rsid w:val="00A70DEE"/>
    <w:rsid w:val="00A84832"/>
    <w:rsid w:val="00A869B7"/>
    <w:rsid w:val="00A87CB5"/>
    <w:rsid w:val="00A90A12"/>
    <w:rsid w:val="00AC205C"/>
    <w:rsid w:val="00AC7E1D"/>
    <w:rsid w:val="00AF0A6B"/>
    <w:rsid w:val="00AF5509"/>
    <w:rsid w:val="00B05A69"/>
    <w:rsid w:val="00B077B3"/>
    <w:rsid w:val="00B43048"/>
    <w:rsid w:val="00B6094B"/>
    <w:rsid w:val="00B62B6E"/>
    <w:rsid w:val="00B62B94"/>
    <w:rsid w:val="00B637CB"/>
    <w:rsid w:val="00B72824"/>
    <w:rsid w:val="00B9734B"/>
    <w:rsid w:val="00BA30E2"/>
    <w:rsid w:val="00BA78EF"/>
    <w:rsid w:val="00BB673F"/>
    <w:rsid w:val="00BD7B95"/>
    <w:rsid w:val="00BE16DA"/>
    <w:rsid w:val="00BF406D"/>
    <w:rsid w:val="00C11BFE"/>
    <w:rsid w:val="00C5068F"/>
    <w:rsid w:val="00C537D7"/>
    <w:rsid w:val="00C5498C"/>
    <w:rsid w:val="00C622E8"/>
    <w:rsid w:val="00C83BE6"/>
    <w:rsid w:val="00C93934"/>
    <w:rsid w:val="00CA4485"/>
    <w:rsid w:val="00CB07CB"/>
    <w:rsid w:val="00CD04F1"/>
    <w:rsid w:val="00CE29FF"/>
    <w:rsid w:val="00CE5238"/>
    <w:rsid w:val="00D079A6"/>
    <w:rsid w:val="00D36116"/>
    <w:rsid w:val="00D366F1"/>
    <w:rsid w:val="00D45252"/>
    <w:rsid w:val="00D4697A"/>
    <w:rsid w:val="00D46A88"/>
    <w:rsid w:val="00D5379C"/>
    <w:rsid w:val="00D56E9B"/>
    <w:rsid w:val="00D71B4D"/>
    <w:rsid w:val="00D73CEA"/>
    <w:rsid w:val="00D93D55"/>
    <w:rsid w:val="00DA3D60"/>
    <w:rsid w:val="00DD04BB"/>
    <w:rsid w:val="00E02571"/>
    <w:rsid w:val="00E0664B"/>
    <w:rsid w:val="00E13A4A"/>
    <w:rsid w:val="00E15015"/>
    <w:rsid w:val="00E15CD9"/>
    <w:rsid w:val="00E335FE"/>
    <w:rsid w:val="00E5067C"/>
    <w:rsid w:val="00E75EF7"/>
    <w:rsid w:val="00E91682"/>
    <w:rsid w:val="00E9336A"/>
    <w:rsid w:val="00E93F93"/>
    <w:rsid w:val="00EB426C"/>
    <w:rsid w:val="00EC4581"/>
    <w:rsid w:val="00EC4E49"/>
    <w:rsid w:val="00EC5B61"/>
    <w:rsid w:val="00ED77FB"/>
    <w:rsid w:val="00EE264C"/>
    <w:rsid w:val="00EE45FA"/>
    <w:rsid w:val="00EE6B64"/>
    <w:rsid w:val="00F1470D"/>
    <w:rsid w:val="00F26677"/>
    <w:rsid w:val="00F422DA"/>
    <w:rsid w:val="00F51495"/>
    <w:rsid w:val="00F51DA8"/>
    <w:rsid w:val="00F526DC"/>
    <w:rsid w:val="00F66152"/>
    <w:rsid w:val="00FA31EA"/>
    <w:rsid w:val="00FC7513"/>
    <w:rsid w:val="00FD0461"/>
    <w:rsid w:val="00FE1992"/>
    <w:rsid w:val="00FE45AD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B7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B49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0B7B4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1963EE"/>
    <w:rPr>
      <w:color w:val="0000FF" w:themeColor="hyperlink"/>
      <w:sz w:val="22"/>
      <w:u w:val="single"/>
    </w:rPr>
  </w:style>
  <w:style w:type="paragraph" w:styleId="ListParagraph">
    <w:name w:val="List Paragraph"/>
    <w:basedOn w:val="Normal"/>
    <w:uiPriority w:val="34"/>
    <w:qFormat/>
    <w:rsid w:val="000B7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FootnoteReference">
    <w:name w:val="footnote reference"/>
    <w:basedOn w:val="DefaultParagraphFont"/>
    <w:unhideWhenUsed/>
    <w:rsid w:val="000B7B49"/>
    <w:rPr>
      <w:vertAlign w:val="superscript"/>
    </w:rPr>
  </w:style>
  <w:style w:type="character" w:styleId="FollowedHyperlink">
    <w:name w:val="FollowedHyperlink"/>
    <w:basedOn w:val="DefaultParagraphFont"/>
    <w:rsid w:val="00EB42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B7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B49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0B7B4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1963EE"/>
    <w:rPr>
      <w:color w:val="0000FF" w:themeColor="hyperlink"/>
      <w:sz w:val="22"/>
      <w:u w:val="single"/>
    </w:rPr>
  </w:style>
  <w:style w:type="paragraph" w:styleId="ListParagraph">
    <w:name w:val="List Paragraph"/>
    <w:basedOn w:val="Normal"/>
    <w:uiPriority w:val="34"/>
    <w:qFormat/>
    <w:rsid w:val="000B7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FootnoteReference">
    <w:name w:val="footnote reference"/>
    <w:basedOn w:val="DefaultParagraphFont"/>
    <w:unhideWhenUsed/>
    <w:rsid w:val="000B7B49"/>
    <w:rPr>
      <w:vertAlign w:val="superscript"/>
    </w:rPr>
  </w:style>
  <w:style w:type="character" w:styleId="FollowedHyperlink">
    <w:name w:val="FollowedHyperlink"/>
    <w:basedOn w:val="DefaultParagraphFont"/>
    <w:rsid w:val="00EB42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fr/details.jsp?meeting_id=480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</TotalTime>
  <Pages>4</Pages>
  <Words>1719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PCT/WG/10/9</vt:lpstr>
    </vt:vector>
  </TitlesOfParts>
  <Company>WIPO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PCT/WG/11/17</dc:title>
  <dc:subject>Coordination of Patent Examiner Training</dc:subject>
  <dc:creator>MARLOW Thomas</dc:creator>
  <cp:lastModifiedBy>Marlow</cp:lastModifiedBy>
  <cp:revision>3</cp:revision>
  <cp:lastPrinted>2018-05-22T08:13:00Z</cp:lastPrinted>
  <dcterms:created xsi:type="dcterms:W3CDTF">2018-05-28T07:54:00Z</dcterms:created>
  <dcterms:modified xsi:type="dcterms:W3CDTF">2018-05-28T07:54:00Z</dcterms:modified>
</cp:coreProperties>
</file>