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56FE1" w:rsidRPr="00356FE1" w:rsidTr="00D43E0F">
        <w:tc>
          <w:tcPr>
            <w:tcW w:w="4513" w:type="dxa"/>
            <w:tcBorders>
              <w:bottom w:val="single" w:sz="4" w:space="0" w:color="auto"/>
            </w:tcBorders>
            <w:tcMar>
              <w:bottom w:w="170" w:type="dxa"/>
            </w:tcMar>
          </w:tcPr>
          <w:p w:rsidR="00E0091A" w:rsidRPr="00356FE1" w:rsidRDefault="00E0091A" w:rsidP="000648F8">
            <w:pPr>
              <w:rPr>
                <w:lang w:val="fr-FR"/>
              </w:rPr>
            </w:pPr>
          </w:p>
        </w:tc>
        <w:tc>
          <w:tcPr>
            <w:tcW w:w="4337" w:type="dxa"/>
            <w:tcBorders>
              <w:bottom w:val="single" w:sz="4" w:space="0" w:color="auto"/>
            </w:tcBorders>
            <w:tcMar>
              <w:left w:w="0" w:type="dxa"/>
              <w:right w:w="0" w:type="dxa"/>
            </w:tcMar>
          </w:tcPr>
          <w:p w:rsidR="00E0091A" w:rsidRPr="00356FE1" w:rsidRDefault="00576B58" w:rsidP="000648F8">
            <w:pPr>
              <w:rPr>
                <w:lang w:val="fr-FR"/>
              </w:rPr>
            </w:pPr>
            <w:r w:rsidRPr="00356FE1">
              <w:rPr>
                <w:noProof/>
                <w:lang w:val="en-US" w:eastAsia="en-US"/>
              </w:rPr>
              <w:drawing>
                <wp:inline distT="0" distB="0" distL="0" distR="0" wp14:anchorId="4AE7F025" wp14:editId="3EF48878">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356FE1" w:rsidRDefault="00E0091A" w:rsidP="000648F8">
            <w:pPr>
              <w:jc w:val="right"/>
              <w:rPr>
                <w:lang w:val="fr-FR"/>
              </w:rPr>
            </w:pPr>
            <w:r w:rsidRPr="00356FE1">
              <w:rPr>
                <w:b/>
                <w:sz w:val="40"/>
                <w:szCs w:val="40"/>
                <w:lang w:val="fr-FR"/>
              </w:rPr>
              <w:t>F</w:t>
            </w:r>
          </w:p>
        </w:tc>
      </w:tr>
      <w:tr w:rsidR="00356FE1" w:rsidRPr="00356FE1" w:rsidTr="00541348">
        <w:trPr>
          <w:trHeight w:hRule="exact" w:val="357"/>
        </w:trPr>
        <w:tc>
          <w:tcPr>
            <w:tcW w:w="9356" w:type="dxa"/>
            <w:gridSpan w:val="3"/>
            <w:tcBorders>
              <w:top w:val="single" w:sz="4" w:space="0" w:color="auto"/>
            </w:tcBorders>
            <w:tcMar>
              <w:top w:w="170" w:type="dxa"/>
              <w:left w:w="0" w:type="dxa"/>
              <w:right w:w="0" w:type="dxa"/>
            </w:tcMar>
            <w:vAlign w:val="bottom"/>
          </w:tcPr>
          <w:p w:rsidR="008B2CC1" w:rsidRPr="00356FE1" w:rsidRDefault="00576B58" w:rsidP="000648F8">
            <w:pPr>
              <w:jc w:val="right"/>
              <w:rPr>
                <w:rFonts w:ascii="Arial Black" w:hAnsi="Arial Black"/>
                <w:caps/>
                <w:sz w:val="15"/>
                <w:lang w:val="fr-FR"/>
              </w:rPr>
            </w:pPr>
            <w:r w:rsidRPr="00356FE1">
              <w:rPr>
                <w:rFonts w:ascii="Arial Black" w:hAnsi="Arial Black"/>
                <w:caps/>
                <w:sz w:val="15"/>
                <w:lang w:val="fr-FR"/>
              </w:rPr>
              <w:t>PCT/WG/10/</w:t>
            </w:r>
            <w:bookmarkStart w:id="0" w:name="Code"/>
            <w:bookmarkEnd w:id="0"/>
            <w:r w:rsidR="00934C37" w:rsidRPr="00356FE1">
              <w:rPr>
                <w:rFonts w:ascii="Arial Black" w:hAnsi="Arial Black"/>
                <w:caps/>
                <w:sz w:val="15"/>
                <w:lang w:val="fr-FR"/>
              </w:rPr>
              <w:t>8</w:t>
            </w:r>
            <w:r w:rsidR="00011B7D" w:rsidRPr="00356FE1">
              <w:rPr>
                <w:rFonts w:ascii="Arial Black" w:hAnsi="Arial Black"/>
                <w:caps/>
                <w:sz w:val="15"/>
                <w:lang w:val="fr-FR"/>
              </w:rPr>
              <w:t xml:space="preserve"> </w:t>
            </w:r>
          </w:p>
        </w:tc>
      </w:tr>
      <w:tr w:rsidR="00356FE1" w:rsidRPr="00356FE1" w:rsidTr="00EE71CB">
        <w:trPr>
          <w:trHeight w:hRule="exact" w:val="170"/>
        </w:trPr>
        <w:tc>
          <w:tcPr>
            <w:tcW w:w="9356" w:type="dxa"/>
            <w:gridSpan w:val="3"/>
            <w:noWrap/>
            <w:tcMar>
              <w:left w:w="0" w:type="dxa"/>
              <w:right w:w="0" w:type="dxa"/>
            </w:tcMar>
            <w:vAlign w:val="bottom"/>
          </w:tcPr>
          <w:p w:rsidR="008B2CC1" w:rsidRPr="00356FE1" w:rsidRDefault="008B2CC1" w:rsidP="000648F8">
            <w:pPr>
              <w:jc w:val="right"/>
              <w:rPr>
                <w:rFonts w:ascii="Arial Black" w:hAnsi="Arial Black"/>
                <w:caps/>
                <w:sz w:val="15"/>
                <w:lang w:val="fr-FR"/>
              </w:rPr>
            </w:pPr>
            <w:r w:rsidRPr="00356FE1">
              <w:rPr>
                <w:rFonts w:ascii="Arial Black" w:hAnsi="Arial Black"/>
                <w:caps/>
                <w:sz w:val="15"/>
                <w:lang w:val="fr-FR"/>
              </w:rPr>
              <w:t>ORIGINAL</w:t>
            </w:r>
            <w:r w:rsidR="0079087E" w:rsidRPr="00356FE1">
              <w:rPr>
                <w:rFonts w:ascii="Arial Black" w:hAnsi="Arial Black"/>
                <w:caps/>
                <w:sz w:val="15"/>
                <w:lang w:val="fr-FR"/>
              </w:rPr>
              <w:t> :</w:t>
            </w:r>
            <w:r w:rsidRPr="00356FE1">
              <w:rPr>
                <w:rFonts w:ascii="Arial Black" w:hAnsi="Arial Black"/>
                <w:caps/>
                <w:sz w:val="15"/>
                <w:lang w:val="fr-FR"/>
              </w:rPr>
              <w:t xml:space="preserve"> </w:t>
            </w:r>
            <w:bookmarkStart w:id="1" w:name="Original"/>
            <w:bookmarkEnd w:id="1"/>
            <w:r w:rsidR="00934C37" w:rsidRPr="00356FE1">
              <w:rPr>
                <w:rFonts w:ascii="Arial Black" w:hAnsi="Arial Black"/>
                <w:caps/>
                <w:sz w:val="15"/>
                <w:lang w:val="fr-FR"/>
              </w:rPr>
              <w:t>anglais</w:t>
            </w:r>
          </w:p>
        </w:tc>
      </w:tr>
      <w:tr w:rsidR="008B2CC1" w:rsidRPr="00356FE1" w:rsidTr="00EE71CB">
        <w:trPr>
          <w:trHeight w:hRule="exact" w:val="198"/>
        </w:trPr>
        <w:tc>
          <w:tcPr>
            <w:tcW w:w="9356" w:type="dxa"/>
            <w:gridSpan w:val="3"/>
            <w:tcMar>
              <w:left w:w="0" w:type="dxa"/>
              <w:right w:w="0" w:type="dxa"/>
            </w:tcMar>
            <w:vAlign w:val="bottom"/>
          </w:tcPr>
          <w:p w:rsidR="008B2CC1" w:rsidRPr="00356FE1" w:rsidRDefault="008B2CC1" w:rsidP="000648F8">
            <w:pPr>
              <w:jc w:val="right"/>
              <w:rPr>
                <w:rFonts w:ascii="Arial Black" w:hAnsi="Arial Black"/>
                <w:caps/>
                <w:sz w:val="15"/>
                <w:lang w:val="fr-FR"/>
              </w:rPr>
            </w:pPr>
            <w:r w:rsidRPr="00356FE1">
              <w:rPr>
                <w:rFonts w:ascii="Arial Black" w:hAnsi="Arial Black"/>
                <w:caps/>
                <w:sz w:val="15"/>
                <w:lang w:val="fr-FR"/>
              </w:rPr>
              <w:t>DATE</w:t>
            </w:r>
            <w:r w:rsidR="0079087E" w:rsidRPr="00356FE1">
              <w:rPr>
                <w:rFonts w:ascii="Arial Black" w:hAnsi="Arial Black"/>
                <w:caps/>
                <w:sz w:val="15"/>
                <w:lang w:val="fr-FR"/>
              </w:rPr>
              <w:t> :</w:t>
            </w:r>
            <w:r w:rsidRPr="00356FE1">
              <w:rPr>
                <w:rFonts w:ascii="Arial Black" w:hAnsi="Arial Black"/>
                <w:caps/>
                <w:sz w:val="15"/>
                <w:lang w:val="fr-FR"/>
              </w:rPr>
              <w:t xml:space="preserve"> </w:t>
            </w:r>
            <w:bookmarkStart w:id="2" w:name="Date"/>
            <w:bookmarkEnd w:id="2"/>
            <w:r w:rsidR="00934C37" w:rsidRPr="00356FE1">
              <w:rPr>
                <w:rFonts w:ascii="Arial Black" w:hAnsi="Arial Black"/>
                <w:caps/>
                <w:sz w:val="15"/>
                <w:lang w:val="fr-FR"/>
              </w:rPr>
              <w:t>4 avril 2017</w:t>
            </w:r>
          </w:p>
        </w:tc>
      </w:tr>
    </w:tbl>
    <w:p w:rsidR="008B2CC1" w:rsidRPr="00356FE1" w:rsidRDefault="008B2CC1" w:rsidP="000648F8">
      <w:pPr>
        <w:rPr>
          <w:lang w:val="fr-FR"/>
        </w:rPr>
      </w:pPr>
    </w:p>
    <w:p w:rsidR="008B2CC1" w:rsidRPr="00356FE1" w:rsidRDefault="008B2CC1" w:rsidP="000648F8">
      <w:pPr>
        <w:rPr>
          <w:lang w:val="fr-FR"/>
        </w:rPr>
      </w:pPr>
    </w:p>
    <w:p w:rsidR="008B2CC1" w:rsidRPr="00356FE1" w:rsidRDefault="008B2CC1" w:rsidP="000648F8">
      <w:pPr>
        <w:rPr>
          <w:lang w:val="fr-FR"/>
        </w:rPr>
      </w:pPr>
    </w:p>
    <w:p w:rsidR="008B2CC1" w:rsidRPr="00356FE1" w:rsidRDefault="008B2CC1" w:rsidP="000648F8">
      <w:pPr>
        <w:rPr>
          <w:lang w:val="fr-FR"/>
        </w:rPr>
      </w:pPr>
    </w:p>
    <w:p w:rsidR="008B2CC1" w:rsidRPr="00356FE1" w:rsidRDefault="008B2CC1" w:rsidP="000648F8">
      <w:pPr>
        <w:rPr>
          <w:lang w:val="fr-FR"/>
        </w:rPr>
      </w:pPr>
    </w:p>
    <w:p w:rsidR="008B2CC1" w:rsidRPr="00356FE1" w:rsidRDefault="00576B58" w:rsidP="000648F8">
      <w:pPr>
        <w:rPr>
          <w:b/>
          <w:sz w:val="28"/>
          <w:szCs w:val="28"/>
          <w:lang w:val="fr-FR"/>
        </w:rPr>
      </w:pPr>
      <w:r w:rsidRPr="00356FE1">
        <w:rPr>
          <w:b/>
          <w:sz w:val="28"/>
          <w:szCs w:val="28"/>
          <w:lang w:val="fr-FR"/>
        </w:rPr>
        <w:t>Groupe de travail du Traité de coopération en matière de brevets (PCT)</w:t>
      </w:r>
    </w:p>
    <w:p w:rsidR="003845C1" w:rsidRPr="00356FE1" w:rsidRDefault="003845C1" w:rsidP="000648F8">
      <w:pPr>
        <w:rPr>
          <w:lang w:val="fr-FR"/>
        </w:rPr>
      </w:pPr>
    </w:p>
    <w:p w:rsidR="003845C1" w:rsidRPr="00356FE1" w:rsidRDefault="003845C1" w:rsidP="000648F8">
      <w:pPr>
        <w:rPr>
          <w:lang w:val="fr-FR"/>
        </w:rPr>
      </w:pPr>
    </w:p>
    <w:p w:rsidR="008B2CC1" w:rsidRPr="00356FE1" w:rsidRDefault="00576B58" w:rsidP="000648F8">
      <w:pPr>
        <w:rPr>
          <w:b/>
          <w:sz w:val="24"/>
          <w:szCs w:val="24"/>
          <w:lang w:val="fr-FR"/>
        </w:rPr>
      </w:pPr>
      <w:r w:rsidRPr="00356FE1">
        <w:rPr>
          <w:b/>
          <w:sz w:val="24"/>
          <w:szCs w:val="24"/>
          <w:lang w:val="fr-FR"/>
        </w:rPr>
        <w:t>Dix</w:t>
      </w:r>
      <w:r w:rsidR="0079087E" w:rsidRPr="00356FE1">
        <w:rPr>
          <w:b/>
          <w:sz w:val="24"/>
          <w:szCs w:val="24"/>
          <w:lang w:val="fr-FR"/>
        </w:rPr>
        <w:t>ième session</w:t>
      </w:r>
    </w:p>
    <w:p w:rsidR="008B2CC1" w:rsidRPr="00356FE1" w:rsidRDefault="00576B58" w:rsidP="000648F8">
      <w:pPr>
        <w:rPr>
          <w:b/>
          <w:sz w:val="24"/>
          <w:szCs w:val="24"/>
          <w:lang w:val="fr-FR"/>
        </w:rPr>
      </w:pPr>
      <w:r w:rsidRPr="00356FE1">
        <w:rPr>
          <w:b/>
          <w:sz w:val="24"/>
          <w:szCs w:val="24"/>
          <w:lang w:val="fr-FR"/>
        </w:rPr>
        <w:t>Genève, 8 – 1</w:t>
      </w:r>
      <w:r w:rsidR="0079087E" w:rsidRPr="00356FE1">
        <w:rPr>
          <w:b/>
          <w:sz w:val="24"/>
          <w:szCs w:val="24"/>
          <w:lang w:val="fr-FR"/>
        </w:rPr>
        <w:t>2 mai 20</w:t>
      </w:r>
      <w:r w:rsidRPr="00356FE1">
        <w:rPr>
          <w:b/>
          <w:sz w:val="24"/>
          <w:szCs w:val="24"/>
          <w:lang w:val="fr-FR"/>
        </w:rPr>
        <w:t>17</w:t>
      </w:r>
    </w:p>
    <w:p w:rsidR="008B2CC1" w:rsidRPr="00356FE1" w:rsidRDefault="008B2CC1" w:rsidP="000648F8">
      <w:pPr>
        <w:rPr>
          <w:lang w:val="fr-FR"/>
        </w:rPr>
      </w:pPr>
    </w:p>
    <w:p w:rsidR="008B2CC1" w:rsidRPr="00356FE1" w:rsidRDefault="008B2CC1" w:rsidP="000648F8">
      <w:pPr>
        <w:rPr>
          <w:lang w:val="fr-FR"/>
        </w:rPr>
      </w:pPr>
    </w:p>
    <w:p w:rsidR="008B2CC1" w:rsidRPr="00356FE1" w:rsidRDefault="008B2CC1" w:rsidP="000648F8">
      <w:pPr>
        <w:rPr>
          <w:lang w:val="fr-FR"/>
        </w:rPr>
      </w:pPr>
    </w:p>
    <w:p w:rsidR="00934C37" w:rsidRPr="00356FE1" w:rsidRDefault="00B010B9" w:rsidP="000648F8">
      <w:pPr>
        <w:rPr>
          <w:caps/>
          <w:sz w:val="24"/>
          <w:lang w:val="fr-FR"/>
        </w:rPr>
      </w:pPr>
      <w:bookmarkStart w:id="3" w:name="TitleOfDoc"/>
      <w:bookmarkEnd w:id="3"/>
      <w:r w:rsidRPr="00356FE1">
        <w:rPr>
          <w:caps/>
          <w:sz w:val="24"/>
          <w:lang w:val="fr-FR"/>
        </w:rPr>
        <w:t>Réductions de taxes accordées aux déposants de certains pays, notamment des pays en développement et des pays</w:t>
      </w:r>
      <w:r w:rsidR="00DF1D0B" w:rsidRPr="00356FE1">
        <w:rPr>
          <w:caps/>
          <w:sz w:val="24"/>
          <w:lang w:val="fr-FR"/>
        </w:rPr>
        <w:t xml:space="preserve"> parmi</w:t>
      </w:r>
      <w:r w:rsidRPr="00356FE1">
        <w:rPr>
          <w:caps/>
          <w:sz w:val="24"/>
          <w:lang w:val="fr-FR"/>
        </w:rPr>
        <w:t xml:space="preserve"> les moins avancés</w:t>
      </w:r>
    </w:p>
    <w:p w:rsidR="00934C37" w:rsidRPr="00356FE1" w:rsidRDefault="00934C37" w:rsidP="000648F8">
      <w:pPr>
        <w:rPr>
          <w:caps/>
          <w:sz w:val="24"/>
          <w:lang w:val="fr-FR"/>
        </w:rPr>
      </w:pPr>
    </w:p>
    <w:p w:rsidR="00934C37" w:rsidRPr="00356FE1" w:rsidRDefault="00934C37" w:rsidP="000648F8">
      <w:pPr>
        <w:rPr>
          <w:i/>
          <w:lang w:val="fr-FR"/>
        </w:rPr>
      </w:pPr>
      <w:bookmarkStart w:id="4" w:name="Prepared"/>
      <w:bookmarkEnd w:id="4"/>
      <w:r w:rsidRPr="00356FE1">
        <w:rPr>
          <w:i/>
          <w:lang w:val="fr-FR"/>
        </w:rPr>
        <w:t>Document établi par le Bureau international</w:t>
      </w:r>
    </w:p>
    <w:p w:rsidR="00934C37" w:rsidRPr="00356FE1" w:rsidRDefault="00934C37" w:rsidP="000648F8">
      <w:pPr>
        <w:rPr>
          <w:lang w:val="fr-FR"/>
        </w:rPr>
      </w:pPr>
    </w:p>
    <w:p w:rsidR="00934C37" w:rsidRPr="00356FE1" w:rsidRDefault="00934C37" w:rsidP="000648F8">
      <w:pPr>
        <w:rPr>
          <w:lang w:val="fr-FR"/>
        </w:rPr>
      </w:pPr>
    </w:p>
    <w:p w:rsidR="00934C37" w:rsidRPr="00356FE1" w:rsidRDefault="00934C37" w:rsidP="000648F8">
      <w:pPr>
        <w:rPr>
          <w:lang w:val="fr-FR"/>
        </w:rPr>
      </w:pPr>
    </w:p>
    <w:p w:rsidR="00934C37" w:rsidRPr="00356FE1" w:rsidRDefault="00934C37" w:rsidP="000648F8">
      <w:pPr>
        <w:rPr>
          <w:lang w:val="fr-FR"/>
        </w:rPr>
      </w:pPr>
    </w:p>
    <w:p w:rsidR="00934C37" w:rsidRPr="00356FE1" w:rsidRDefault="00934C37" w:rsidP="000648F8">
      <w:pPr>
        <w:pStyle w:val="Heading1"/>
        <w:rPr>
          <w:lang w:val="fr-FR"/>
        </w:rPr>
      </w:pPr>
      <w:r w:rsidRPr="00356FE1">
        <w:rPr>
          <w:lang w:val="fr-FR"/>
        </w:rPr>
        <w:t>Résumé</w:t>
      </w:r>
    </w:p>
    <w:p w:rsidR="00DB7845" w:rsidRPr="00356FE1" w:rsidRDefault="00DB7845" w:rsidP="000648F8">
      <w:pPr>
        <w:rPr>
          <w:lang w:val="fr-FR"/>
        </w:rPr>
      </w:pPr>
    </w:p>
    <w:p w:rsidR="00934C37" w:rsidRPr="00356FE1" w:rsidRDefault="00934C37" w:rsidP="000648F8">
      <w:pPr>
        <w:pStyle w:val="ONUMFS"/>
        <w:rPr>
          <w:lang w:val="fr-FR"/>
        </w:rPr>
      </w:pPr>
      <w:r w:rsidRPr="00356FE1">
        <w:rPr>
          <w:lang w:val="fr-FR"/>
        </w:rPr>
        <w:t>Le groupe de travail est invité à poursuivre ses discussions sur les mesures proposées pour préciser les critères à remplir afin de bénéficier d</w:t>
      </w:r>
      <w:r w:rsidR="0079087E" w:rsidRPr="00356FE1">
        <w:rPr>
          <w:lang w:val="fr-FR"/>
        </w:rPr>
        <w:t>’</w:t>
      </w:r>
      <w:r w:rsidRPr="00356FE1">
        <w:rPr>
          <w:lang w:val="fr-FR"/>
        </w:rPr>
        <w:t>une réduction de taxes et par conséquent, pour faire baisser le nombre de réductions de taxes réclamées par des déposants ne remplissant pas les conditions requis</w:t>
      </w:r>
      <w:r w:rsidR="00292D08" w:rsidRPr="00356FE1">
        <w:rPr>
          <w:lang w:val="fr-FR"/>
        </w:rPr>
        <w:t>es.  Le</w:t>
      </w:r>
      <w:r w:rsidRPr="00356FE1">
        <w:rPr>
          <w:lang w:val="fr-FR"/>
        </w:rPr>
        <w:t xml:space="preserve"> présent do</w:t>
      </w:r>
      <w:r w:rsidR="00DF1D0B" w:rsidRPr="00356FE1">
        <w:rPr>
          <w:lang w:val="fr-FR"/>
        </w:rPr>
        <w:t>cument fournit l</w:t>
      </w:r>
      <w:r w:rsidRPr="00356FE1">
        <w:rPr>
          <w:lang w:val="fr-FR"/>
        </w:rPr>
        <w:t>es informations demandées au sujet des incidences probables de la perception d</w:t>
      </w:r>
      <w:r w:rsidR="0079087E" w:rsidRPr="00356FE1">
        <w:rPr>
          <w:lang w:val="fr-FR"/>
        </w:rPr>
        <w:t>’</w:t>
      </w:r>
      <w:r w:rsidRPr="00356FE1">
        <w:rPr>
          <w:lang w:val="fr-FR"/>
        </w:rPr>
        <w:t xml:space="preserve">une taxe pour les changements visés à la </w:t>
      </w:r>
      <w:r w:rsidR="0079087E" w:rsidRPr="00356FE1">
        <w:rPr>
          <w:lang w:val="fr-FR"/>
        </w:rPr>
        <w:t>règle 9</w:t>
      </w:r>
      <w:r w:rsidRPr="00356FE1">
        <w:rPr>
          <w:lang w:val="fr-FR"/>
        </w:rPr>
        <w:t>2</w:t>
      </w:r>
      <w:r w:rsidRPr="00356FE1">
        <w:rPr>
          <w:i/>
          <w:lang w:val="fr-FR"/>
        </w:rPr>
        <w:t>bis</w:t>
      </w:r>
      <w:r w:rsidRPr="00356FE1">
        <w:rPr>
          <w:lang w:val="fr-FR"/>
        </w:rPr>
        <w:t>, qui aurait pour effet d</w:t>
      </w:r>
      <w:r w:rsidR="0079087E" w:rsidRPr="00356FE1">
        <w:rPr>
          <w:lang w:val="fr-FR"/>
        </w:rPr>
        <w:t>’</w:t>
      </w:r>
      <w:r w:rsidRPr="00356FE1">
        <w:rPr>
          <w:lang w:val="fr-FR"/>
        </w:rPr>
        <w:t>augmenter le nombre de déposants ne remplissant pas les conditions pour bénéficier d</w:t>
      </w:r>
      <w:r w:rsidR="0079087E" w:rsidRPr="00356FE1">
        <w:rPr>
          <w:lang w:val="fr-FR"/>
        </w:rPr>
        <w:t>’</w:t>
      </w:r>
      <w:r w:rsidRPr="00356FE1">
        <w:rPr>
          <w:lang w:val="fr-FR"/>
        </w:rPr>
        <w:t>une réduction de tax</w:t>
      </w:r>
      <w:r w:rsidR="00292D08" w:rsidRPr="00356FE1">
        <w:rPr>
          <w:lang w:val="fr-FR"/>
        </w:rPr>
        <w:t>es.  Ce</w:t>
      </w:r>
      <w:r w:rsidRPr="00356FE1">
        <w:rPr>
          <w:lang w:val="fr-FR"/>
        </w:rPr>
        <w:t>pendant, il n</w:t>
      </w:r>
      <w:r w:rsidR="0079087E" w:rsidRPr="00356FE1">
        <w:rPr>
          <w:lang w:val="fr-FR"/>
        </w:rPr>
        <w:t>’</w:t>
      </w:r>
      <w:r w:rsidRPr="00356FE1">
        <w:rPr>
          <w:lang w:val="fr-FR"/>
        </w:rPr>
        <w:t>est pas proposé que ces mesures soi</w:t>
      </w:r>
      <w:r w:rsidR="005431C6" w:rsidRPr="00356FE1">
        <w:rPr>
          <w:lang w:val="fr-FR"/>
        </w:rPr>
        <w:t>en</w:t>
      </w:r>
      <w:r w:rsidRPr="00356FE1">
        <w:rPr>
          <w:lang w:val="fr-FR"/>
        </w:rPr>
        <w:t>t examinée</w:t>
      </w:r>
      <w:r w:rsidR="005431C6" w:rsidRPr="00356FE1">
        <w:rPr>
          <w:lang w:val="fr-FR"/>
        </w:rPr>
        <w:t>s</w:t>
      </w:r>
      <w:r w:rsidRPr="00356FE1">
        <w:rPr>
          <w:lang w:val="fr-FR"/>
        </w:rPr>
        <w:t xml:space="preserve"> plus en détail à ce stade.</w:t>
      </w:r>
    </w:p>
    <w:p w:rsidR="00934C37" w:rsidRPr="00356FE1" w:rsidRDefault="00934C37" w:rsidP="000648F8">
      <w:pPr>
        <w:pStyle w:val="Heading1"/>
        <w:rPr>
          <w:lang w:val="fr-FR"/>
        </w:rPr>
      </w:pPr>
      <w:r w:rsidRPr="00356FE1">
        <w:rPr>
          <w:lang w:val="fr-FR"/>
        </w:rPr>
        <w:t>Rappel</w:t>
      </w:r>
    </w:p>
    <w:p w:rsidR="00DB7845" w:rsidRPr="00356FE1" w:rsidRDefault="00DB7845" w:rsidP="000648F8">
      <w:pPr>
        <w:rPr>
          <w:lang w:val="fr-FR"/>
        </w:rPr>
      </w:pPr>
    </w:p>
    <w:p w:rsidR="00934C37" w:rsidRPr="00356FE1" w:rsidRDefault="00934C37" w:rsidP="000648F8">
      <w:pPr>
        <w:pStyle w:val="ONUMFS"/>
        <w:rPr>
          <w:lang w:val="fr-FR"/>
        </w:rPr>
      </w:pPr>
      <w:r w:rsidRPr="00356FE1">
        <w:rPr>
          <w:lang w:val="fr-FR"/>
        </w:rPr>
        <w:t>À sa neuv</w:t>
      </w:r>
      <w:r w:rsidR="0079087E" w:rsidRPr="00356FE1">
        <w:rPr>
          <w:lang w:val="fr-FR"/>
        </w:rPr>
        <w:t>ième session</w:t>
      </w:r>
      <w:r w:rsidRPr="00356FE1">
        <w:rPr>
          <w:lang w:val="fr-FR"/>
        </w:rPr>
        <w:t xml:space="preserve"> tenue en </w:t>
      </w:r>
      <w:r w:rsidR="0079087E" w:rsidRPr="00356FE1">
        <w:rPr>
          <w:lang w:val="fr-FR"/>
        </w:rPr>
        <w:t>mai 20</w:t>
      </w:r>
      <w:r w:rsidRPr="00356FE1">
        <w:rPr>
          <w:lang w:val="fr-FR"/>
        </w:rPr>
        <w:t xml:space="preserve">16, le groupe de travail a examiné le document PCT/WG/9/10, établi par le Bureau international et </w:t>
      </w:r>
      <w:r w:rsidR="005431C6" w:rsidRPr="00356FE1">
        <w:rPr>
          <w:lang w:val="fr-FR"/>
        </w:rPr>
        <w:t>contenant</w:t>
      </w:r>
      <w:r w:rsidRPr="00356FE1">
        <w:rPr>
          <w:lang w:val="fr-FR"/>
        </w:rPr>
        <w:t xml:space="preserve"> deux</w:t>
      </w:r>
      <w:r w:rsidR="008D3670" w:rsidRPr="00356FE1">
        <w:rPr>
          <w:lang w:val="fr-FR"/>
        </w:rPr>
        <w:t> </w:t>
      </w:r>
      <w:r w:rsidRPr="00356FE1">
        <w:rPr>
          <w:lang w:val="fr-FR"/>
        </w:rPr>
        <w:t xml:space="preserve">propositions destinées à faire baisser le nombre de réductions de taxes réclamées par des déposants ne remplissant pas les conditions requises, </w:t>
      </w:r>
      <w:r w:rsidR="0079087E" w:rsidRPr="00356FE1">
        <w:rPr>
          <w:lang w:val="fr-FR"/>
        </w:rPr>
        <w:t>à savoir</w:t>
      </w:r>
      <w:r w:rsidR="008D3670" w:rsidRPr="00356FE1">
        <w:rPr>
          <w:lang w:val="fr-FR"/>
        </w:rPr>
        <w:t> </w:t>
      </w:r>
      <w:r w:rsidRPr="00356FE1">
        <w:rPr>
          <w:lang w:val="fr-FR"/>
        </w:rPr>
        <w:t>:</w:t>
      </w:r>
    </w:p>
    <w:p w:rsidR="00934C37" w:rsidRPr="00356FE1" w:rsidRDefault="005431C6" w:rsidP="00415FC9">
      <w:pPr>
        <w:pStyle w:val="ONUMFS"/>
        <w:keepLines/>
        <w:numPr>
          <w:ilvl w:val="1"/>
          <w:numId w:val="6"/>
        </w:numPr>
        <w:rPr>
          <w:lang w:val="fr-FR"/>
        </w:rPr>
      </w:pPr>
      <w:r w:rsidRPr="00356FE1">
        <w:rPr>
          <w:lang w:val="fr-FR"/>
        </w:rPr>
        <w:lastRenderedPageBreak/>
        <w:t xml:space="preserve">la proposition tendant à </w:t>
      </w:r>
      <w:bookmarkStart w:id="5" w:name="_GoBack"/>
      <w:r w:rsidR="00934C37" w:rsidRPr="00356FE1">
        <w:rPr>
          <w:lang w:val="fr-FR"/>
        </w:rPr>
        <w:t xml:space="preserve">ajouter au </w:t>
      </w:r>
      <w:r w:rsidR="0079087E" w:rsidRPr="00356FE1">
        <w:rPr>
          <w:lang w:val="fr-FR"/>
        </w:rPr>
        <w:t>point 5</w:t>
      </w:r>
      <w:r w:rsidR="00934C37" w:rsidRPr="00356FE1">
        <w:rPr>
          <w:lang w:val="fr-FR"/>
        </w:rPr>
        <w:t xml:space="preserve"> du barème de taxes une condition selon laquelle il n</w:t>
      </w:r>
      <w:r w:rsidR="0079087E" w:rsidRPr="00356FE1">
        <w:rPr>
          <w:lang w:val="fr-FR"/>
        </w:rPr>
        <w:t>’</w:t>
      </w:r>
      <w:r w:rsidR="00934C37" w:rsidRPr="00356FE1">
        <w:rPr>
          <w:lang w:val="fr-FR"/>
        </w:rPr>
        <w:t xml:space="preserve">y aurait “pas de bénéficiaires de la demande internationale ne satisfaisant pas aux critères énoncés au </w:t>
      </w:r>
      <w:r w:rsidR="0079087E" w:rsidRPr="00356FE1">
        <w:rPr>
          <w:lang w:val="fr-FR"/>
        </w:rPr>
        <w:t>point 5</w:t>
      </w:r>
      <w:r w:rsidR="00934C37" w:rsidRPr="00356FE1">
        <w:rPr>
          <w:lang w:val="fr-FR"/>
        </w:rPr>
        <w:t xml:space="preserve">.a) ou </w:t>
      </w:r>
      <w:bookmarkEnd w:id="5"/>
      <w:r w:rsidR="00934C37" w:rsidRPr="00356FE1">
        <w:rPr>
          <w:lang w:val="fr-FR"/>
        </w:rPr>
        <w:t xml:space="preserve">au </w:t>
      </w:r>
      <w:r w:rsidR="0079087E" w:rsidRPr="00356FE1">
        <w:rPr>
          <w:lang w:val="fr-FR"/>
        </w:rPr>
        <w:t>point 5</w:t>
      </w:r>
      <w:r w:rsidR="00934C37" w:rsidRPr="00356FE1">
        <w:rPr>
          <w:lang w:val="fr-FR"/>
        </w:rPr>
        <w:t>.b)”, accompagnée d</w:t>
      </w:r>
      <w:r w:rsidR="0079087E" w:rsidRPr="00356FE1">
        <w:rPr>
          <w:lang w:val="fr-FR"/>
        </w:rPr>
        <w:t>’</w:t>
      </w:r>
      <w:r w:rsidR="00934C37" w:rsidRPr="00356FE1">
        <w:rPr>
          <w:lang w:val="fr-FR"/>
        </w:rPr>
        <w:t>un accord de principe devant être adopté par l</w:t>
      </w:r>
      <w:r w:rsidR="0079087E" w:rsidRPr="00356FE1">
        <w:rPr>
          <w:lang w:val="fr-FR"/>
        </w:rPr>
        <w:t>’</w:t>
      </w:r>
      <w:r w:rsidR="00934C37" w:rsidRPr="00356FE1">
        <w:rPr>
          <w:lang w:val="fr-FR"/>
        </w:rPr>
        <w:t xml:space="preserve">assemblée selon lequel </w:t>
      </w:r>
      <w:r w:rsidR="008D3670" w:rsidRPr="00356FE1">
        <w:rPr>
          <w:lang w:val="fr-FR"/>
        </w:rPr>
        <w:t>“</w:t>
      </w:r>
      <w:r w:rsidR="00934C37" w:rsidRPr="00356FE1">
        <w:rPr>
          <w:lang w:val="fr-FR"/>
        </w:rPr>
        <w:t xml:space="preserve">les réductions de taxes prévues au </w:t>
      </w:r>
      <w:r w:rsidR="0079087E" w:rsidRPr="00356FE1">
        <w:rPr>
          <w:lang w:val="fr-FR"/>
        </w:rPr>
        <w:t>point 5</w:t>
      </w:r>
      <w:r w:rsidR="00934C37" w:rsidRPr="00356FE1">
        <w:rPr>
          <w:lang w:val="fr-FR"/>
        </w:rPr>
        <w:t xml:space="preserve"> du barème de taxes sont censées s</w:t>
      </w:r>
      <w:r w:rsidR="0079087E" w:rsidRPr="00356FE1">
        <w:rPr>
          <w:lang w:val="fr-FR"/>
        </w:rPr>
        <w:t>’</w:t>
      </w:r>
      <w:r w:rsidR="00934C37" w:rsidRPr="00356FE1">
        <w:rPr>
          <w:lang w:val="fr-FR"/>
        </w:rPr>
        <w:t>appliquer uniquement lorsque les déposants visés dans la requête sont les seuls et véritables titulaires de la demande et ne sont pas dans l</w:t>
      </w:r>
      <w:r w:rsidR="0079087E" w:rsidRPr="00356FE1">
        <w:rPr>
          <w:lang w:val="fr-FR"/>
        </w:rPr>
        <w:t>’</w:t>
      </w:r>
      <w:r w:rsidR="00934C37" w:rsidRPr="00356FE1">
        <w:rPr>
          <w:lang w:val="fr-FR"/>
        </w:rPr>
        <w:t>obligation de céder, octroyer, transférer ou concéder sous licence les droits découlant de l</w:t>
      </w:r>
      <w:r w:rsidR="0079087E" w:rsidRPr="00356FE1">
        <w:rPr>
          <w:lang w:val="fr-FR"/>
        </w:rPr>
        <w:t>’</w:t>
      </w:r>
      <w:r w:rsidR="00934C37" w:rsidRPr="00356FE1">
        <w:rPr>
          <w:lang w:val="fr-FR"/>
        </w:rPr>
        <w:t xml:space="preserve">invention à une autre partie qui ne remplit pas les conditions requises pour pouvoir prétendre aux réductions de taxes”; </w:t>
      </w:r>
      <w:r w:rsidR="008D3670" w:rsidRPr="00356FE1">
        <w:rPr>
          <w:lang w:val="fr-FR"/>
        </w:rPr>
        <w:t xml:space="preserve"> </w:t>
      </w:r>
      <w:r w:rsidR="00934C37" w:rsidRPr="00356FE1">
        <w:rPr>
          <w:lang w:val="fr-FR"/>
        </w:rPr>
        <w:t>et</w:t>
      </w:r>
    </w:p>
    <w:p w:rsidR="00934C37" w:rsidRPr="00356FE1" w:rsidRDefault="00934C37" w:rsidP="000648F8">
      <w:pPr>
        <w:pStyle w:val="ONUMFS"/>
        <w:numPr>
          <w:ilvl w:val="1"/>
          <w:numId w:val="6"/>
        </w:numPr>
        <w:rPr>
          <w:lang w:val="fr-FR"/>
        </w:rPr>
      </w:pPr>
      <w:r w:rsidRPr="00356FE1">
        <w:rPr>
          <w:lang w:val="fr-FR"/>
        </w:rPr>
        <w:t xml:space="preserve">la proposition consistant à modifier la </w:t>
      </w:r>
      <w:r w:rsidR="0079087E" w:rsidRPr="00356FE1">
        <w:rPr>
          <w:lang w:val="fr-FR"/>
        </w:rPr>
        <w:t>règle 9</w:t>
      </w:r>
      <w:r w:rsidRPr="00356FE1">
        <w:rPr>
          <w:lang w:val="fr-FR"/>
        </w:rPr>
        <w:t>2</w:t>
      </w:r>
      <w:r w:rsidRPr="00356FE1">
        <w:rPr>
          <w:i/>
          <w:lang w:val="fr-FR"/>
        </w:rPr>
        <w:t>bis</w:t>
      </w:r>
      <w:r w:rsidRPr="00356FE1">
        <w:rPr>
          <w:lang w:val="fr-FR"/>
        </w:rPr>
        <w:t xml:space="preserve"> de manière à prévoir une taxe, d</w:t>
      </w:r>
      <w:r w:rsidR="0079087E" w:rsidRPr="00356FE1">
        <w:rPr>
          <w:lang w:val="fr-FR"/>
        </w:rPr>
        <w:t>’</w:t>
      </w:r>
      <w:r w:rsidRPr="00356FE1">
        <w:rPr>
          <w:lang w:val="fr-FR"/>
        </w:rPr>
        <w:t>un montant équivalent à celui de la réduction accordée au moment du dépôt, qui serait payable en cas d</w:t>
      </w:r>
      <w:r w:rsidR="0079087E" w:rsidRPr="00356FE1">
        <w:rPr>
          <w:lang w:val="fr-FR"/>
        </w:rPr>
        <w:t>’</w:t>
      </w:r>
      <w:r w:rsidRPr="00356FE1">
        <w:rPr>
          <w:lang w:val="fr-FR"/>
        </w:rPr>
        <w:t>enregistrement d</w:t>
      </w:r>
      <w:r w:rsidR="0079087E" w:rsidRPr="00356FE1">
        <w:rPr>
          <w:lang w:val="fr-FR"/>
        </w:rPr>
        <w:t>’</w:t>
      </w:r>
      <w:r w:rsidRPr="00356FE1">
        <w:rPr>
          <w:lang w:val="fr-FR"/>
        </w:rPr>
        <w:t>un changement concernant la personne du déposant à la suite duquel le déposant ne remplirait plus les conditions requises pour bénéficier de la réduction de taxes ou, s</w:t>
      </w:r>
      <w:r w:rsidR="0079087E" w:rsidRPr="00356FE1">
        <w:rPr>
          <w:lang w:val="fr-FR"/>
        </w:rPr>
        <w:t>’</w:t>
      </w:r>
      <w:r w:rsidRPr="00356FE1">
        <w:rPr>
          <w:lang w:val="fr-FR"/>
        </w:rPr>
        <w:t xml:space="preserve">il y a plusieurs déposants, </w:t>
      </w:r>
      <w:r w:rsidR="005431C6" w:rsidRPr="00356FE1">
        <w:rPr>
          <w:lang w:val="fr-FR"/>
        </w:rPr>
        <w:t xml:space="preserve">au cas où </w:t>
      </w:r>
      <w:r w:rsidRPr="00356FE1">
        <w:rPr>
          <w:lang w:val="fr-FR"/>
        </w:rPr>
        <w:t>ils ne rempliraient pas tous les conditions requises pour bénéficier de la réduction de taxes.</w:t>
      </w:r>
    </w:p>
    <w:p w:rsidR="00934C37" w:rsidRPr="00356FE1" w:rsidRDefault="009D7389" w:rsidP="000648F8">
      <w:pPr>
        <w:pStyle w:val="ONUMFS"/>
        <w:rPr>
          <w:lang w:val="fr-FR"/>
        </w:rPr>
      </w:pPr>
      <w:r>
        <w:rPr>
          <w:lang w:val="fr-FR"/>
        </w:rPr>
        <w:t>Il est rendu compte des</w:t>
      </w:r>
      <w:r w:rsidR="00934C37" w:rsidRPr="00356FE1">
        <w:rPr>
          <w:lang w:val="fr-FR"/>
        </w:rPr>
        <w:t xml:space="preserve"> délibérations </w:t>
      </w:r>
      <w:r w:rsidR="005431C6" w:rsidRPr="00356FE1">
        <w:rPr>
          <w:lang w:val="fr-FR"/>
        </w:rPr>
        <w:t>tenues par le</w:t>
      </w:r>
      <w:r w:rsidR="00934C37" w:rsidRPr="00356FE1">
        <w:rPr>
          <w:lang w:val="fr-FR"/>
        </w:rPr>
        <w:t xml:space="preserve"> groupe de travail </w:t>
      </w:r>
      <w:r w:rsidR="005431C6" w:rsidRPr="00356FE1">
        <w:rPr>
          <w:lang w:val="fr-FR"/>
        </w:rPr>
        <w:t>à sa</w:t>
      </w:r>
      <w:r w:rsidR="00934C37" w:rsidRPr="00356FE1">
        <w:rPr>
          <w:lang w:val="fr-FR"/>
        </w:rPr>
        <w:t xml:space="preserve"> neuv</w:t>
      </w:r>
      <w:r w:rsidR="0079087E" w:rsidRPr="00356FE1">
        <w:rPr>
          <w:lang w:val="fr-FR"/>
        </w:rPr>
        <w:t>ième session</w:t>
      </w:r>
      <w:r w:rsidR="00934C37" w:rsidRPr="00356FE1">
        <w:rPr>
          <w:lang w:val="fr-FR"/>
        </w:rPr>
        <w:t xml:space="preserve"> </w:t>
      </w:r>
      <w:r w:rsidRPr="00356FE1">
        <w:rPr>
          <w:lang w:val="fr-FR"/>
        </w:rPr>
        <w:t xml:space="preserve">au sujet des deux propositions </w:t>
      </w:r>
      <w:r w:rsidR="00934C37" w:rsidRPr="00356FE1">
        <w:rPr>
          <w:lang w:val="fr-FR"/>
        </w:rPr>
        <w:t xml:space="preserve">dans le rapport sur </w:t>
      </w:r>
      <w:r w:rsidR="005431C6" w:rsidRPr="00356FE1">
        <w:rPr>
          <w:lang w:val="fr-FR"/>
        </w:rPr>
        <w:t>ladite</w:t>
      </w:r>
      <w:r w:rsidR="00934C37" w:rsidRPr="00356FE1">
        <w:rPr>
          <w:lang w:val="fr-FR"/>
        </w:rPr>
        <w:t xml:space="preserve"> session (</w:t>
      </w:r>
      <w:r w:rsidR="0079087E" w:rsidRPr="00356FE1">
        <w:rPr>
          <w:lang w:val="fr-FR"/>
        </w:rPr>
        <w:t>paragraphes 1</w:t>
      </w:r>
      <w:r w:rsidR="00B010B9" w:rsidRPr="00356FE1">
        <w:rPr>
          <w:lang w:val="fr-FR"/>
        </w:rPr>
        <w:t>23 à </w:t>
      </w:r>
      <w:r w:rsidR="00934C37" w:rsidRPr="00356FE1">
        <w:rPr>
          <w:lang w:val="fr-FR"/>
        </w:rPr>
        <w:t>146 du document PCT/WG/9/28).  En résumé, toutes les délégations qui ont pris la parole lors des délibérations ont reconnu qu</w:t>
      </w:r>
      <w:r w:rsidR="0079087E" w:rsidRPr="00356FE1">
        <w:rPr>
          <w:lang w:val="fr-FR"/>
        </w:rPr>
        <w:t>’</w:t>
      </w:r>
      <w:r w:rsidR="00934C37" w:rsidRPr="00356FE1">
        <w:rPr>
          <w:lang w:val="fr-FR"/>
        </w:rPr>
        <w:t>il était nécessaire de préciser les critères à remplir pour bénéficier des réductions de taxes accordées à des déposants de certains pays, et un large appui a été exprimé en faveur de la proposition de modification du barème de taxes et d</w:t>
      </w:r>
      <w:r w:rsidR="005431C6" w:rsidRPr="00356FE1">
        <w:rPr>
          <w:lang w:val="fr-FR"/>
        </w:rPr>
        <w:t>e l</w:t>
      </w:r>
      <w:r w:rsidR="0079087E" w:rsidRPr="00356FE1">
        <w:rPr>
          <w:lang w:val="fr-FR"/>
        </w:rPr>
        <w:t>’</w:t>
      </w:r>
      <w:r w:rsidR="00934C37" w:rsidRPr="00356FE1">
        <w:rPr>
          <w:lang w:val="fr-FR"/>
        </w:rPr>
        <w:t>adoption, par l</w:t>
      </w:r>
      <w:r w:rsidR="0079087E" w:rsidRPr="00356FE1">
        <w:rPr>
          <w:lang w:val="fr-FR"/>
        </w:rPr>
        <w:t>’</w:t>
      </w:r>
      <w:r w:rsidR="00934C37" w:rsidRPr="00356FE1">
        <w:rPr>
          <w:lang w:val="fr-FR"/>
        </w:rPr>
        <w:t>assemblée, d</w:t>
      </w:r>
      <w:r w:rsidR="0079087E" w:rsidRPr="00356FE1">
        <w:rPr>
          <w:lang w:val="fr-FR"/>
        </w:rPr>
        <w:t>’</w:t>
      </w:r>
      <w:r w:rsidR="00934C37" w:rsidRPr="00356FE1">
        <w:rPr>
          <w:lang w:val="fr-FR"/>
        </w:rPr>
        <w:t>un accord de principe à ce suj</w:t>
      </w:r>
      <w:r w:rsidR="00292D08" w:rsidRPr="00356FE1">
        <w:rPr>
          <w:lang w:val="fr-FR"/>
        </w:rPr>
        <w:t>et.  To</w:t>
      </w:r>
      <w:r w:rsidR="00934C37" w:rsidRPr="00356FE1">
        <w:rPr>
          <w:lang w:val="fr-FR"/>
        </w:rPr>
        <w:t>utefois, aucun accord ne s</w:t>
      </w:r>
      <w:r w:rsidR="0079087E" w:rsidRPr="00356FE1">
        <w:rPr>
          <w:lang w:val="fr-FR"/>
        </w:rPr>
        <w:t>’</w:t>
      </w:r>
      <w:r w:rsidR="00934C37" w:rsidRPr="00356FE1">
        <w:rPr>
          <w:lang w:val="fr-FR"/>
        </w:rPr>
        <w:t xml:space="preserve">est dégagé au sujet de la proposition </w:t>
      </w:r>
      <w:r w:rsidR="005431C6" w:rsidRPr="00356FE1">
        <w:rPr>
          <w:lang w:val="fr-FR"/>
        </w:rPr>
        <w:t>tendant à</w:t>
      </w:r>
      <w:r w:rsidR="00934C37" w:rsidRPr="00356FE1">
        <w:rPr>
          <w:lang w:val="fr-FR"/>
        </w:rPr>
        <w:t xml:space="preserve"> modifier la règle 92</w:t>
      </w:r>
      <w:r w:rsidR="00934C37" w:rsidRPr="00356FE1">
        <w:rPr>
          <w:i/>
          <w:lang w:val="fr-FR"/>
        </w:rPr>
        <w:t>bis</w:t>
      </w:r>
      <w:r w:rsidR="00934C37" w:rsidRPr="00356FE1">
        <w:rPr>
          <w:lang w:val="fr-FR"/>
        </w:rPr>
        <w:t>.</w:t>
      </w:r>
    </w:p>
    <w:p w:rsidR="00934C37" w:rsidRPr="00356FE1" w:rsidRDefault="00934C37" w:rsidP="000648F8">
      <w:pPr>
        <w:pStyle w:val="ONUMFS"/>
        <w:rPr>
          <w:lang w:val="fr-FR"/>
        </w:rPr>
      </w:pPr>
      <w:r w:rsidRPr="00356FE1">
        <w:rPr>
          <w:lang w:val="fr-FR"/>
        </w:rPr>
        <w:t xml:space="preserve">Observant que le groupe de travail </w:t>
      </w:r>
      <w:r w:rsidR="005431C6" w:rsidRPr="00356FE1">
        <w:rPr>
          <w:lang w:val="fr-FR"/>
        </w:rPr>
        <w:t>n’était</w:t>
      </w:r>
      <w:r w:rsidRPr="00356FE1">
        <w:rPr>
          <w:lang w:val="fr-FR"/>
        </w:rPr>
        <w:t xml:space="preserve"> pas parvenu à un accord au sujet des propositions de modification de la </w:t>
      </w:r>
      <w:r w:rsidR="0079087E" w:rsidRPr="00356FE1">
        <w:rPr>
          <w:lang w:val="fr-FR"/>
        </w:rPr>
        <w:t>règle 9</w:t>
      </w:r>
      <w:r w:rsidRPr="00356FE1">
        <w:rPr>
          <w:lang w:val="fr-FR"/>
        </w:rPr>
        <w:t>2</w:t>
      </w:r>
      <w:r w:rsidRPr="00356FE1">
        <w:rPr>
          <w:i/>
          <w:lang w:val="fr-FR"/>
        </w:rPr>
        <w:t>bis</w:t>
      </w:r>
      <w:r w:rsidRPr="00356FE1">
        <w:rPr>
          <w:lang w:val="fr-FR"/>
        </w:rPr>
        <w:t xml:space="preserve">, la délégation du Brésil a demandé que les discussions relatives aux propositions de modification du barème de taxes soient différées afin de permettre au Secrétariat de réviser le document en tenant compte des mesures concrètes prises par les États membres et le Bureau international pour répondre aux questions soulevées dans le document (voir le rapport de la session, </w:t>
      </w:r>
      <w:r w:rsidR="0079087E" w:rsidRPr="00356FE1">
        <w:rPr>
          <w:lang w:val="fr-FR"/>
        </w:rPr>
        <w:t>paragraphe 1</w:t>
      </w:r>
      <w:r w:rsidRPr="00356FE1">
        <w:rPr>
          <w:lang w:val="fr-FR"/>
        </w:rPr>
        <w:t>45 du document PCT/WG/9/28).</w:t>
      </w:r>
    </w:p>
    <w:p w:rsidR="00934C37" w:rsidRPr="00356FE1" w:rsidRDefault="00934C37" w:rsidP="000648F8">
      <w:pPr>
        <w:pStyle w:val="ONUMFS"/>
        <w:rPr>
          <w:lang w:val="fr-FR"/>
        </w:rPr>
      </w:pPr>
      <w:r w:rsidRPr="00356FE1">
        <w:rPr>
          <w:lang w:val="fr-FR"/>
        </w:rPr>
        <w:t>À la demande de la délégation du Brésil, le groupe de travail a invité le Secrétariat à fournir des informations supplémentaires, pour examen par le groupe de travail à sa prochaine session, concernant les incidences positives sur les recettes provenant des taxes</w:t>
      </w:r>
      <w:r w:rsidR="0079087E" w:rsidRPr="00356FE1">
        <w:rPr>
          <w:lang w:val="fr-FR"/>
        </w:rPr>
        <w:t xml:space="preserve"> du PCT</w:t>
      </w:r>
      <w:r w:rsidRPr="00356FE1">
        <w:rPr>
          <w:lang w:val="fr-FR"/>
        </w:rPr>
        <w:t xml:space="preserve"> que pourrait avoir l</w:t>
      </w:r>
      <w:r w:rsidR="0079087E" w:rsidRPr="00356FE1">
        <w:rPr>
          <w:lang w:val="fr-FR"/>
        </w:rPr>
        <w:t>’</w:t>
      </w:r>
      <w:r w:rsidRPr="00356FE1">
        <w:rPr>
          <w:lang w:val="fr-FR"/>
        </w:rPr>
        <w:t xml:space="preserve">adoption de la modification de la </w:t>
      </w:r>
      <w:r w:rsidR="0079087E" w:rsidRPr="00356FE1">
        <w:rPr>
          <w:lang w:val="fr-FR"/>
        </w:rPr>
        <w:t>règle 9</w:t>
      </w:r>
      <w:r w:rsidRPr="00356FE1">
        <w:rPr>
          <w:lang w:val="fr-FR"/>
        </w:rPr>
        <w:t>2</w:t>
      </w:r>
      <w:r w:rsidRPr="00356FE1">
        <w:rPr>
          <w:i/>
          <w:lang w:val="fr-FR"/>
        </w:rPr>
        <w:t>bis</w:t>
      </w:r>
      <w:r w:rsidRPr="00356FE1">
        <w:rPr>
          <w:lang w:val="fr-FR"/>
        </w:rPr>
        <w:t xml:space="preserve">, au vu du manque à gagner annuel moyen qui pourrait être évité (voir le rapport de la session, </w:t>
      </w:r>
      <w:r w:rsidR="0079087E" w:rsidRPr="00356FE1">
        <w:rPr>
          <w:lang w:val="fr-FR"/>
        </w:rPr>
        <w:t>paragraphe 1</w:t>
      </w:r>
      <w:r w:rsidRPr="00356FE1">
        <w:rPr>
          <w:lang w:val="fr-FR"/>
        </w:rPr>
        <w:t>46 du document PCT/WG/9/28).</w:t>
      </w:r>
    </w:p>
    <w:p w:rsidR="00934C37" w:rsidRPr="00356FE1" w:rsidRDefault="00934C37" w:rsidP="000648F8">
      <w:pPr>
        <w:pStyle w:val="ONUMFS"/>
        <w:rPr>
          <w:lang w:val="fr-FR"/>
        </w:rPr>
      </w:pPr>
      <w:r w:rsidRPr="00356FE1">
        <w:rPr>
          <w:lang w:val="fr-FR"/>
        </w:rPr>
        <w:t>Ces informations supplémentaires figurent dans le présent document.</w:t>
      </w:r>
    </w:p>
    <w:p w:rsidR="00934C37" w:rsidRPr="00356FE1" w:rsidRDefault="00934C37" w:rsidP="000648F8">
      <w:pPr>
        <w:pStyle w:val="Heading1"/>
        <w:rPr>
          <w:i/>
          <w:lang w:val="fr-FR"/>
        </w:rPr>
      </w:pPr>
      <w:r w:rsidRPr="00356FE1">
        <w:rPr>
          <w:lang w:val="fr-FR"/>
        </w:rPr>
        <w:t>Incidences possibles sur les recettes provenant des taxes</w:t>
      </w:r>
      <w:r w:rsidR="0079087E" w:rsidRPr="00356FE1">
        <w:rPr>
          <w:lang w:val="fr-FR"/>
        </w:rPr>
        <w:t xml:space="preserve"> du PCT</w:t>
      </w:r>
      <w:r w:rsidRPr="00356FE1">
        <w:rPr>
          <w:lang w:val="fr-FR"/>
        </w:rPr>
        <w:t xml:space="preserve"> de l</w:t>
      </w:r>
      <w:r w:rsidR="0079087E" w:rsidRPr="00356FE1">
        <w:rPr>
          <w:lang w:val="fr-FR"/>
        </w:rPr>
        <w:t>’</w:t>
      </w:r>
      <w:r w:rsidRPr="00356FE1">
        <w:rPr>
          <w:lang w:val="fr-FR"/>
        </w:rPr>
        <w:t xml:space="preserve">adoption de la modification de la </w:t>
      </w:r>
      <w:r w:rsidR="0079087E" w:rsidRPr="00356FE1">
        <w:rPr>
          <w:lang w:val="fr-FR"/>
        </w:rPr>
        <w:t>règle 9</w:t>
      </w:r>
      <w:r w:rsidRPr="00356FE1">
        <w:rPr>
          <w:lang w:val="fr-FR"/>
        </w:rPr>
        <w:t>2</w:t>
      </w:r>
      <w:r w:rsidRPr="00356FE1">
        <w:rPr>
          <w:i/>
          <w:lang w:val="fr-FR"/>
        </w:rPr>
        <w:t>bis</w:t>
      </w:r>
    </w:p>
    <w:p w:rsidR="00DB7845" w:rsidRPr="00356FE1" w:rsidRDefault="00DB7845" w:rsidP="000648F8">
      <w:pPr>
        <w:rPr>
          <w:lang w:val="fr-FR"/>
        </w:rPr>
      </w:pPr>
    </w:p>
    <w:p w:rsidR="00934C37" w:rsidRPr="00356FE1" w:rsidRDefault="00934C37" w:rsidP="000648F8">
      <w:pPr>
        <w:pStyle w:val="ONUMFS"/>
        <w:rPr>
          <w:lang w:val="fr-FR"/>
        </w:rPr>
      </w:pPr>
      <w:bookmarkStart w:id="6" w:name="_Ref479325408"/>
      <w:r w:rsidRPr="00356FE1">
        <w:rPr>
          <w:lang w:val="fr-FR"/>
        </w:rPr>
        <w:t>Tout d</w:t>
      </w:r>
      <w:r w:rsidR="0079087E" w:rsidRPr="00356FE1">
        <w:rPr>
          <w:lang w:val="fr-FR"/>
        </w:rPr>
        <w:t>’</w:t>
      </w:r>
      <w:r w:rsidRPr="00356FE1">
        <w:rPr>
          <w:lang w:val="fr-FR"/>
        </w:rPr>
        <w:t>abord, il convient d</w:t>
      </w:r>
      <w:r w:rsidR="0079087E" w:rsidRPr="00356FE1">
        <w:rPr>
          <w:lang w:val="fr-FR"/>
        </w:rPr>
        <w:t>’</w:t>
      </w:r>
      <w:r w:rsidRPr="00356FE1">
        <w:rPr>
          <w:lang w:val="fr-FR"/>
        </w:rPr>
        <w:t xml:space="preserve">indiquer que les données détenues par le Bureau international concernant la nationalité et le domicile des déposants avant et après un changement </w:t>
      </w:r>
      <w:r w:rsidR="005431C6" w:rsidRPr="00356FE1">
        <w:rPr>
          <w:lang w:val="fr-FR"/>
        </w:rPr>
        <w:t xml:space="preserve">selon </w:t>
      </w:r>
      <w:r w:rsidRPr="00356FE1">
        <w:rPr>
          <w:lang w:val="fr-FR"/>
        </w:rPr>
        <w:t xml:space="preserve">la </w:t>
      </w:r>
      <w:r w:rsidR="0079087E" w:rsidRPr="00356FE1">
        <w:rPr>
          <w:lang w:val="fr-FR"/>
        </w:rPr>
        <w:t>règle 9</w:t>
      </w:r>
      <w:r w:rsidRPr="00356FE1">
        <w:rPr>
          <w:lang w:val="fr-FR"/>
        </w:rPr>
        <w:t>2</w:t>
      </w:r>
      <w:r w:rsidRPr="00356FE1">
        <w:rPr>
          <w:i/>
          <w:lang w:val="fr-FR"/>
        </w:rPr>
        <w:t>bis</w:t>
      </w:r>
      <w:r w:rsidRPr="00356FE1">
        <w:rPr>
          <w:lang w:val="fr-FR"/>
        </w:rPr>
        <w:t xml:space="preserve"> ne sont pas tenues d</w:t>
      </w:r>
      <w:r w:rsidR="0079087E" w:rsidRPr="00356FE1">
        <w:rPr>
          <w:lang w:val="fr-FR"/>
        </w:rPr>
        <w:t>’</w:t>
      </w:r>
      <w:r w:rsidRPr="00356FE1">
        <w:rPr>
          <w:lang w:val="fr-FR"/>
        </w:rPr>
        <w:t xml:space="preserve">une manière qui permet facilement de déterminer </w:t>
      </w:r>
      <w:r w:rsidRPr="00356FE1">
        <w:rPr>
          <w:i/>
          <w:lang w:val="fr-FR"/>
        </w:rPr>
        <w:t>exactement</w:t>
      </w:r>
      <w:r w:rsidRPr="00356FE1">
        <w:rPr>
          <w:lang w:val="fr-FR"/>
        </w:rPr>
        <w:t xml:space="preserve">, sans examiner individuellement chaque cas, dans combien de cas le Bureau international a enregistré, au titre de la </w:t>
      </w:r>
      <w:r w:rsidR="0079087E" w:rsidRPr="00356FE1">
        <w:rPr>
          <w:lang w:val="fr-FR"/>
        </w:rPr>
        <w:t>règle 9</w:t>
      </w:r>
      <w:r w:rsidRPr="00356FE1">
        <w:rPr>
          <w:lang w:val="fr-FR"/>
        </w:rPr>
        <w:t>2</w:t>
      </w:r>
      <w:r w:rsidRPr="00356FE1">
        <w:rPr>
          <w:i/>
          <w:lang w:val="fr-FR"/>
        </w:rPr>
        <w:t>bis</w:t>
      </w:r>
      <w:r w:rsidRPr="00356FE1">
        <w:rPr>
          <w:lang w:val="fr-FR"/>
        </w:rPr>
        <w:t>, un changement de personne entre un déposant qui, au moment du dépôt d</w:t>
      </w:r>
      <w:r w:rsidR="0079087E" w:rsidRPr="00356FE1">
        <w:rPr>
          <w:lang w:val="fr-FR"/>
        </w:rPr>
        <w:t>’</w:t>
      </w:r>
      <w:r w:rsidRPr="00356FE1">
        <w:rPr>
          <w:lang w:val="fr-FR"/>
        </w:rPr>
        <w:t xml:space="preserve">une demande internationale, satisfaisait aux critères donnant droit à la réduction visée au </w:t>
      </w:r>
      <w:r w:rsidR="0079087E" w:rsidRPr="00356FE1">
        <w:rPr>
          <w:lang w:val="fr-FR"/>
        </w:rPr>
        <w:t>point 5</w:t>
      </w:r>
      <w:r w:rsidRPr="00356FE1">
        <w:rPr>
          <w:lang w:val="fr-FR"/>
        </w:rPr>
        <w:t xml:space="preserve"> du barème de taxes et un déposant qui ne remplirait pas les conditions requises pour l</w:t>
      </w:r>
      <w:r w:rsidR="0079087E" w:rsidRPr="00356FE1">
        <w:rPr>
          <w:lang w:val="fr-FR"/>
        </w:rPr>
        <w:t>’</w:t>
      </w:r>
      <w:r w:rsidRPr="00356FE1">
        <w:rPr>
          <w:lang w:val="fr-FR"/>
        </w:rPr>
        <w:t>obtention de cette réduction.</w:t>
      </w:r>
      <w:bookmarkEnd w:id="6"/>
    </w:p>
    <w:p w:rsidR="00934C37" w:rsidRPr="00356FE1" w:rsidRDefault="00934C37" w:rsidP="000648F8">
      <w:pPr>
        <w:pStyle w:val="ONUMFS"/>
        <w:rPr>
          <w:lang w:val="fr-FR"/>
        </w:rPr>
      </w:pPr>
      <w:r w:rsidRPr="00356FE1">
        <w:rPr>
          <w:lang w:val="fr-FR"/>
        </w:rPr>
        <w:lastRenderedPageBreak/>
        <w:t xml:space="preserve">Cependant, les données disponibles montrent que, sur les </w:t>
      </w:r>
      <w:r w:rsidR="008D3670" w:rsidRPr="00356FE1">
        <w:rPr>
          <w:lang w:val="fr-FR"/>
        </w:rPr>
        <w:t>5361</w:t>
      </w:r>
      <w:r w:rsidR="00B010B9" w:rsidRPr="00356FE1">
        <w:rPr>
          <w:lang w:val="fr-FR"/>
        </w:rPr>
        <w:t> </w:t>
      </w:r>
      <w:r w:rsidRPr="00356FE1">
        <w:rPr>
          <w:lang w:val="fr-FR"/>
        </w:rPr>
        <w:t>demandes internationales déposées pendant la période allant du</w:t>
      </w:r>
      <w:r w:rsidR="0079087E" w:rsidRPr="00356FE1">
        <w:rPr>
          <w:lang w:val="fr-FR"/>
        </w:rPr>
        <w:t xml:space="preserve"> 1</w:t>
      </w:r>
      <w:r w:rsidR="0079087E" w:rsidRPr="00356FE1">
        <w:rPr>
          <w:vertAlign w:val="superscript"/>
          <w:lang w:val="fr-FR"/>
        </w:rPr>
        <w:t>er</w:t>
      </w:r>
      <w:r w:rsidR="0079087E" w:rsidRPr="00356FE1">
        <w:rPr>
          <w:lang w:val="fr-FR"/>
        </w:rPr>
        <w:t> juillet 20</w:t>
      </w:r>
      <w:r w:rsidRPr="00356FE1">
        <w:rPr>
          <w:lang w:val="fr-FR"/>
        </w:rPr>
        <w:t>14 au 3</w:t>
      </w:r>
      <w:r w:rsidR="0079087E" w:rsidRPr="00356FE1">
        <w:rPr>
          <w:lang w:val="fr-FR"/>
        </w:rPr>
        <w:t>0 juin 20</w:t>
      </w:r>
      <w:r w:rsidRPr="00356FE1">
        <w:rPr>
          <w:lang w:val="fr-FR"/>
        </w:rPr>
        <w:t>15</w:t>
      </w:r>
      <w:r w:rsidRPr="00356FE1">
        <w:rPr>
          <w:rStyle w:val="FootnoteReference"/>
          <w:lang w:val="fr-FR"/>
        </w:rPr>
        <w:footnoteReference w:id="2"/>
      </w:r>
      <w:r w:rsidRPr="00356FE1">
        <w:rPr>
          <w:lang w:val="fr-FR"/>
        </w:rPr>
        <w:t xml:space="preserve"> qui ont bénéficié de la réduction de taxes de 90%, seules 247</w:t>
      </w:r>
      <w:r w:rsidR="00B010B9" w:rsidRPr="00356FE1">
        <w:rPr>
          <w:lang w:val="fr-FR"/>
        </w:rPr>
        <w:t> </w:t>
      </w:r>
      <w:r w:rsidRPr="00356FE1">
        <w:rPr>
          <w:lang w:val="fr-FR"/>
        </w:rPr>
        <w:t xml:space="preserve">demandes internationales avaient subi un changement au titre de la </w:t>
      </w:r>
      <w:r w:rsidR="0079087E" w:rsidRPr="00356FE1">
        <w:rPr>
          <w:lang w:val="fr-FR"/>
        </w:rPr>
        <w:t>règle 9</w:t>
      </w:r>
      <w:r w:rsidRPr="00356FE1">
        <w:rPr>
          <w:lang w:val="fr-FR"/>
        </w:rPr>
        <w:t>2</w:t>
      </w:r>
      <w:r w:rsidRPr="00356FE1">
        <w:rPr>
          <w:i/>
          <w:lang w:val="fr-FR"/>
        </w:rPr>
        <w:t>bis</w:t>
      </w:r>
      <w:r w:rsidRPr="00356FE1">
        <w:rPr>
          <w:lang w:val="fr-FR"/>
        </w:rPr>
        <w:t xml:space="preserve"> ayant eu pour effet l</w:t>
      </w:r>
      <w:r w:rsidR="0079087E" w:rsidRPr="00356FE1">
        <w:rPr>
          <w:lang w:val="fr-FR"/>
        </w:rPr>
        <w:t>’</w:t>
      </w:r>
      <w:r w:rsidRPr="00356FE1">
        <w:rPr>
          <w:lang w:val="fr-FR"/>
        </w:rPr>
        <w:t>ajout, en tant que déposant, d</w:t>
      </w:r>
      <w:r w:rsidR="0079087E" w:rsidRPr="00356FE1">
        <w:rPr>
          <w:lang w:val="fr-FR"/>
        </w:rPr>
        <w:t>’</w:t>
      </w:r>
      <w:r w:rsidRPr="00356FE1">
        <w:rPr>
          <w:lang w:val="fr-FR"/>
        </w:rPr>
        <w:t>une personne morale qui ne remplissait manifestement pas les conditions pour bénéficier d</w:t>
      </w:r>
      <w:r w:rsidR="0079087E" w:rsidRPr="00356FE1">
        <w:rPr>
          <w:lang w:val="fr-FR"/>
        </w:rPr>
        <w:t>’</w:t>
      </w:r>
      <w:r w:rsidRPr="00356FE1">
        <w:rPr>
          <w:lang w:val="fr-FR"/>
        </w:rPr>
        <w:t>une réduction de tax</w:t>
      </w:r>
      <w:r w:rsidR="00292D08" w:rsidRPr="00356FE1">
        <w:rPr>
          <w:lang w:val="fr-FR"/>
        </w:rPr>
        <w:t>es.  Il</w:t>
      </w:r>
      <w:r w:rsidRPr="00356FE1">
        <w:rPr>
          <w:lang w:val="fr-FR"/>
        </w:rPr>
        <w:t xml:space="preserve"> se pourrait qu</w:t>
      </w:r>
      <w:r w:rsidR="0079087E" w:rsidRPr="00356FE1">
        <w:rPr>
          <w:lang w:val="fr-FR"/>
        </w:rPr>
        <w:t>’</w:t>
      </w:r>
      <w:r w:rsidRPr="00356FE1">
        <w:rPr>
          <w:lang w:val="fr-FR"/>
        </w:rPr>
        <w:t>il y ait d</w:t>
      </w:r>
      <w:r w:rsidR="0079087E" w:rsidRPr="00356FE1">
        <w:rPr>
          <w:lang w:val="fr-FR"/>
        </w:rPr>
        <w:t>’</w:t>
      </w:r>
      <w:r w:rsidRPr="00356FE1">
        <w:rPr>
          <w:lang w:val="fr-FR"/>
        </w:rPr>
        <w:t>autres demandes internationales pour lesquelles un changement de déposant avait été fait de sorte que le nouveau déposant ne remplissait pas les conditions pour d</w:t>
      </w:r>
      <w:r w:rsidR="0079087E" w:rsidRPr="00356FE1">
        <w:rPr>
          <w:lang w:val="fr-FR"/>
        </w:rPr>
        <w:t>’</w:t>
      </w:r>
      <w:r w:rsidRPr="00356FE1">
        <w:rPr>
          <w:lang w:val="fr-FR"/>
        </w:rPr>
        <w:t>autres raisons, mais elles dev</w:t>
      </w:r>
      <w:r w:rsidR="005431C6" w:rsidRPr="00356FE1">
        <w:rPr>
          <w:lang w:val="fr-FR"/>
        </w:rPr>
        <w:t>r</w:t>
      </w:r>
      <w:r w:rsidRPr="00356FE1">
        <w:rPr>
          <w:lang w:val="fr-FR"/>
        </w:rPr>
        <w:t>aient être relativement peu nombreuses.</w:t>
      </w:r>
    </w:p>
    <w:p w:rsidR="00934C37" w:rsidRPr="00356FE1" w:rsidRDefault="00934C37" w:rsidP="000648F8">
      <w:pPr>
        <w:pStyle w:val="ONUMFS"/>
        <w:rPr>
          <w:lang w:val="fr-FR"/>
        </w:rPr>
      </w:pPr>
      <w:r w:rsidRPr="00356FE1">
        <w:rPr>
          <w:lang w:val="fr-FR"/>
        </w:rPr>
        <w:t xml:space="preserve">Comme cela avait été </w:t>
      </w:r>
      <w:r w:rsidR="005431C6" w:rsidRPr="00356FE1">
        <w:rPr>
          <w:lang w:val="fr-FR"/>
        </w:rPr>
        <w:t>indiqué</w:t>
      </w:r>
      <w:r w:rsidRPr="00356FE1">
        <w:rPr>
          <w:lang w:val="fr-FR"/>
        </w:rPr>
        <w:t xml:space="preserve"> au </w:t>
      </w:r>
      <w:r w:rsidR="0079087E" w:rsidRPr="00356FE1">
        <w:rPr>
          <w:lang w:val="fr-FR"/>
        </w:rPr>
        <w:t>paragraphe 1</w:t>
      </w:r>
      <w:r w:rsidRPr="00356FE1">
        <w:rPr>
          <w:lang w:val="fr-FR"/>
        </w:rPr>
        <w:t xml:space="preserve">3 du document PCT/WG/9/10, certains des changements relatifs à la personne du déposant </w:t>
      </w:r>
      <w:r w:rsidR="005431C6" w:rsidRPr="00356FE1">
        <w:rPr>
          <w:lang w:val="fr-FR"/>
        </w:rPr>
        <w:t xml:space="preserve">opérés </w:t>
      </w:r>
      <w:r w:rsidRPr="00356FE1">
        <w:rPr>
          <w:lang w:val="fr-FR"/>
        </w:rPr>
        <w:t xml:space="preserve">en faveur de déposants ne remplissant pas les critères pour bénéficier de la réduction de taxes </w:t>
      </w:r>
      <w:r w:rsidR="005431C6" w:rsidRPr="00356FE1">
        <w:rPr>
          <w:lang w:val="fr-FR"/>
        </w:rPr>
        <w:t xml:space="preserve">pourraient en fait </w:t>
      </w:r>
      <w:r w:rsidR="009D7389" w:rsidRPr="00356FE1">
        <w:rPr>
          <w:lang w:val="fr-FR"/>
        </w:rPr>
        <w:t xml:space="preserve">témoigner </w:t>
      </w:r>
      <w:r w:rsidR="005431C6" w:rsidRPr="00356FE1">
        <w:rPr>
          <w:lang w:val="fr-FR"/>
        </w:rPr>
        <w:t xml:space="preserve">de l’intérêt du </w:t>
      </w:r>
      <w:r w:rsidRPr="00356FE1">
        <w:rPr>
          <w:lang w:val="fr-FR"/>
        </w:rPr>
        <w:t xml:space="preserve">système international des brevets, </w:t>
      </w:r>
      <w:r w:rsidR="005431C6" w:rsidRPr="00356FE1">
        <w:rPr>
          <w:lang w:val="fr-FR"/>
        </w:rPr>
        <w:t>s’agissant de particuliers ayant profité du dépôt d’</w:t>
      </w:r>
      <w:r w:rsidRPr="00356FE1">
        <w:rPr>
          <w:lang w:val="fr-FR"/>
        </w:rPr>
        <w:t xml:space="preserve">une demande internationale pour conclure un </w:t>
      </w:r>
      <w:r w:rsidR="009D7389">
        <w:rPr>
          <w:lang w:val="fr-FR"/>
        </w:rPr>
        <w:t>contrat</w:t>
      </w:r>
      <w:r w:rsidRPr="00356FE1">
        <w:rPr>
          <w:lang w:val="fr-FR"/>
        </w:rPr>
        <w:t xml:space="preserve"> avec une entreprise en mesure d</w:t>
      </w:r>
      <w:r w:rsidR="0079087E" w:rsidRPr="00356FE1">
        <w:rPr>
          <w:lang w:val="fr-FR"/>
        </w:rPr>
        <w:t>’</w:t>
      </w:r>
      <w:r w:rsidRPr="00356FE1">
        <w:rPr>
          <w:lang w:val="fr-FR"/>
        </w:rPr>
        <w:t>exploiter l</w:t>
      </w:r>
      <w:r w:rsidR="0079087E" w:rsidRPr="00356FE1">
        <w:rPr>
          <w:lang w:val="fr-FR"/>
        </w:rPr>
        <w:t>’</w:t>
      </w:r>
      <w:r w:rsidRPr="00356FE1">
        <w:rPr>
          <w:lang w:val="fr-FR"/>
        </w:rPr>
        <w:t>inventi</w:t>
      </w:r>
      <w:r w:rsidR="00292D08" w:rsidRPr="00356FE1">
        <w:rPr>
          <w:lang w:val="fr-FR"/>
        </w:rPr>
        <w:t>on.  Ma</w:t>
      </w:r>
      <w:r w:rsidRPr="00356FE1">
        <w:rPr>
          <w:lang w:val="fr-FR"/>
        </w:rPr>
        <w:t xml:space="preserve">is il est estimé que, dans la grande majorité des cas, le dépôt initial semble avoir été réalisé par un </w:t>
      </w:r>
      <w:r w:rsidR="005431C6" w:rsidRPr="00356FE1">
        <w:rPr>
          <w:lang w:val="fr-FR"/>
        </w:rPr>
        <w:t>salarié</w:t>
      </w:r>
      <w:r w:rsidRPr="00356FE1">
        <w:rPr>
          <w:lang w:val="fr-FR"/>
        </w:rPr>
        <w:t xml:space="preserve"> de l</w:t>
      </w:r>
      <w:r w:rsidR="0079087E" w:rsidRPr="00356FE1">
        <w:rPr>
          <w:lang w:val="fr-FR"/>
        </w:rPr>
        <w:t>’</w:t>
      </w:r>
      <w:r w:rsidRPr="00356FE1">
        <w:rPr>
          <w:lang w:val="fr-FR"/>
        </w:rPr>
        <w:t>entreprise dans le but précis d</w:t>
      </w:r>
      <w:r w:rsidR="0079087E" w:rsidRPr="00356FE1">
        <w:rPr>
          <w:lang w:val="fr-FR"/>
        </w:rPr>
        <w:t>’</w:t>
      </w:r>
      <w:r w:rsidRPr="00356FE1">
        <w:rPr>
          <w:lang w:val="fr-FR"/>
        </w:rPr>
        <w:t>obtenir une réduction de taxes.</w:t>
      </w:r>
    </w:p>
    <w:p w:rsidR="00934C37" w:rsidRPr="00356FE1" w:rsidRDefault="009D7389" w:rsidP="000648F8">
      <w:pPr>
        <w:pStyle w:val="Heading1"/>
        <w:rPr>
          <w:lang w:val="fr-FR"/>
        </w:rPr>
      </w:pPr>
      <w:r>
        <w:rPr>
          <w:lang w:val="fr-FR"/>
        </w:rPr>
        <w:t>Clarification</w:t>
      </w:r>
      <w:r w:rsidR="005431C6" w:rsidRPr="00356FE1">
        <w:rPr>
          <w:lang w:val="fr-FR"/>
        </w:rPr>
        <w:t xml:space="preserve"> des</w:t>
      </w:r>
      <w:r w:rsidR="00934C37" w:rsidRPr="00356FE1">
        <w:rPr>
          <w:lang w:val="fr-FR"/>
        </w:rPr>
        <w:t xml:space="preserve"> critères à remplir pour bénéficier de réductions de taxes</w:t>
      </w:r>
    </w:p>
    <w:p w:rsidR="00DB7845" w:rsidRPr="00356FE1" w:rsidRDefault="00DB7845" w:rsidP="000648F8">
      <w:pPr>
        <w:rPr>
          <w:lang w:val="fr-FR"/>
        </w:rPr>
      </w:pPr>
    </w:p>
    <w:p w:rsidR="00934C37" w:rsidRPr="00A73D5E" w:rsidRDefault="00934C37" w:rsidP="000648F8">
      <w:pPr>
        <w:pStyle w:val="ONUMFS"/>
        <w:rPr>
          <w:spacing w:val="-2"/>
          <w:lang w:val="fr-FR"/>
        </w:rPr>
      </w:pPr>
      <w:r w:rsidRPr="00A73D5E">
        <w:rPr>
          <w:spacing w:val="-2"/>
          <w:lang w:val="fr-FR"/>
        </w:rPr>
        <w:t xml:space="preserve">Le nombre de demandes internationales pour lesquelles un changement relatif à la personne du déposant est </w:t>
      </w:r>
      <w:r w:rsidR="005431C6" w:rsidRPr="00A73D5E">
        <w:rPr>
          <w:spacing w:val="-2"/>
          <w:lang w:val="fr-FR"/>
        </w:rPr>
        <w:t>inscrit</w:t>
      </w:r>
      <w:r w:rsidRPr="00A73D5E">
        <w:rPr>
          <w:spacing w:val="-2"/>
          <w:lang w:val="fr-FR"/>
        </w:rPr>
        <w:t xml:space="preserve"> dans la phase internationale de manière à ajouter un déposant qui n</w:t>
      </w:r>
      <w:r w:rsidR="0079087E" w:rsidRPr="00A73D5E">
        <w:rPr>
          <w:spacing w:val="-2"/>
          <w:lang w:val="fr-FR"/>
        </w:rPr>
        <w:t>’</w:t>
      </w:r>
      <w:r w:rsidRPr="00A73D5E">
        <w:rPr>
          <w:spacing w:val="-2"/>
          <w:lang w:val="fr-FR"/>
        </w:rPr>
        <w:t>aurait pas rempli les conditions pour bénéficier de la réduction est limité comparé au nombre de demandes internationales pour lesquelles il apparaît que des personnes jouent le rôle de déposant au nom d</w:t>
      </w:r>
      <w:r w:rsidR="0079087E" w:rsidRPr="00A73D5E">
        <w:rPr>
          <w:spacing w:val="-2"/>
          <w:lang w:val="fr-FR"/>
        </w:rPr>
        <w:t>’</w:t>
      </w:r>
      <w:r w:rsidRPr="00A73D5E">
        <w:rPr>
          <w:spacing w:val="-2"/>
          <w:lang w:val="fr-FR"/>
        </w:rPr>
        <w:t xml:space="preserve">une personne morale qui est le véritable </w:t>
      </w:r>
      <w:r w:rsidR="008D3670" w:rsidRPr="00A73D5E">
        <w:rPr>
          <w:spacing w:val="-2"/>
          <w:lang w:val="fr-FR"/>
        </w:rPr>
        <w:t>“</w:t>
      </w:r>
      <w:r w:rsidRPr="00A73D5E">
        <w:rPr>
          <w:spacing w:val="-2"/>
          <w:lang w:val="fr-FR"/>
        </w:rPr>
        <w:t>bénéficiaire</w:t>
      </w:r>
      <w:r w:rsidR="008D3670" w:rsidRPr="00A73D5E">
        <w:rPr>
          <w:spacing w:val="-2"/>
          <w:lang w:val="fr-FR"/>
        </w:rPr>
        <w:t>”</w:t>
      </w:r>
      <w:r w:rsidRPr="00A73D5E">
        <w:rPr>
          <w:spacing w:val="-2"/>
          <w:lang w:val="fr-FR"/>
        </w:rPr>
        <w:t xml:space="preserve"> sans demander aucun changement relatif à la personne du déposant pendant la phase internationale.</w:t>
      </w:r>
    </w:p>
    <w:p w:rsidR="00934C37" w:rsidRPr="00A73D5E" w:rsidRDefault="00934C37" w:rsidP="000648F8">
      <w:pPr>
        <w:pStyle w:val="ONUMFS"/>
        <w:rPr>
          <w:lang w:val="fr-FR"/>
        </w:rPr>
      </w:pPr>
      <w:bookmarkStart w:id="7" w:name="_Ref479325384"/>
      <w:r w:rsidRPr="00A73D5E">
        <w:rPr>
          <w:lang w:val="fr-FR"/>
        </w:rPr>
        <w:t xml:space="preserve">Pour illustrer </w:t>
      </w:r>
      <w:r w:rsidR="005431C6" w:rsidRPr="00A73D5E">
        <w:rPr>
          <w:lang w:val="fr-FR"/>
        </w:rPr>
        <w:t>cette situation</w:t>
      </w:r>
      <w:r w:rsidRPr="00A73D5E">
        <w:rPr>
          <w:lang w:val="fr-FR"/>
        </w:rPr>
        <w:t>, le tableau ci</w:t>
      </w:r>
      <w:r w:rsidR="00B010B9" w:rsidRPr="00A73D5E">
        <w:rPr>
          <w:lang w:val="fr-FR"/>
        </w:rPr>
        <w:noBreakHyphen/>
      </w:r>
      <w:r w:rsidRPr="00A73D5E">
        <w:rPr>
          <w:lang w:val="fr-FR"/>
        </w:rPr>
        <w:t xml:space="preserve">après montre le nombre de demandes internationales déposées entre 2012 et 2016 qui ont bénéficié de la réduction de taxes de 90% au titre des </w:t>
      </w:r>
      <w:r w:rsidR="0079087E" w:rsidRPr="00A73D5E">
        <w:rPr>
          <w:lang w:val="fr-FR"/>
        </w:rPr>
        <w:t>points 5</w:t>
      </w:r>
      <w:r w:rsidRPr="00A73D5E">
        <w:rPr>
          <w:lang w:val="fr-FR"/>
        </w:rPr>
        <w:t>.a) et 5.b) du barème de taxes</w:t>
      </w:r>
      <w:r w:rsidR="0079087E" w:rsidRPr="00A73D5E">
        <w:rPr>
          <w:lang w:val="fr-FR"/>
        </w:rPr>
        <w:t xml:space="preserve"> du PCT</w:t>
      </w:r>
      <w:r w:rsidRPr="00A73D5E">
        <w:rPr>
          <w:lang w:val="fr-FR"/>
        </w:rPr>
        <w:t xml:space="preserve"> (le nombre de demandes bénéficiant d</w:t>
      </w:r>
      <w:r w:rsidR="0079087E" w:rsidRPr="00A73D5E">
        <w:rPr>
          <w:lang w:val="fr-FR"/>
        </w:rPr>
        <w:t>’</w:t>
      </w:r>
      <w:r w:rsidRPr="00A73D5E">
        <w:rPr>
          <w:lang w:val="fr-FR"/>
        </w:rPr>
        <w:t xml:space="preserve">une réduction des taxes au titre du </w:t>
      </w:r>
      <w:r w:rsidR="0079087E" w:rsidRPr="00A73D5E">
        <w:rPr>
          <w:lang w:val="fr-FR"/>
        </w:rPr>
        <w:t>point 5</w:t>
      </w:r>
      <w:r w:rsidRPr="00A73D5E">
        <w:rPr>
          <w:lang w:val="fr-FR"/>
        </w:rPr>
        <w:t>.b), c</w:t>
      </w:r>
      <w:r w:rsidR="0079087E" w:rsidRPr="00A73D5E">
        <w:rPr>
          <w:lang w:val="fr-FR"/>
        </w:rPr>
        <w:t>’</w:t>
      </w:r>
      <w:r w:rsidRPr="00A73D5E">
        <w:rPr>
          <w:lang w:val="fr-FR"/>
        </w:rPr>
        <w:t>est</w:t>
      </w:r>
      <w:r w:rsidR="00B010B9" w:rsidRPr="00A73D5E">
        <w:rPr>
          <w:lang w:val="fr-FR"/>
        </w:rPr>
        <w:noBreakHyphen/>
      </w:r>
      <w:r w:rsidRPr="00A73D5E">
        <w:rPr>
          <w:lang w:val="fr-FR"/>
        </w:rPr>
        <w:t>à</w:t>
      </w:r>
      <w:r w:rsidR="00B010B9" w:rsidRPr="00A73D5E">
        <w:rPr>
          <w:lang w:val="fr-FR"/>
        </w:rPr>
        <w:noBreakHyphen/>
      </w:r>
      <w:r w:rsidRPr="00A73D5E">
        <w:rPr>
          <w:lang w:val="fr-FR"/>
        </w:rPr>
        <w:t xml:space="preserve">dire déposées par des membres des pays </w:t>
      </w:r>
      <w:r w:rsidR="005431C6" w:rsidRPr="00A73D5E">
        <w:rPr>
          <w:lang w:val="fr-FR"/>
        </w:rPr>
        <w:t xml:space="preserve">parmi </w:t>
      </w:r>
      <w:r w:rsidRPr="00A73D5E">
        <w:rPr>
          <w:lang w:val="fr-FR"/>
        </w:rPr>
        <w:t>les moins avancés, est presque négligeable), réparties en fonction du nombre de cas dans lesquels une réduction des taxes a été accordée au même déposant au cours d</w:t>
      </w:r>
      <w:r w:rsidR="0079087E" w:rsidRPr="00A73D5E">
        <w:rPr>
          <w:lang w:val="fr-FR"/>
        </w:rPr>
        <w:t>’</w:t>
      </w:r>
      <w:r w:rsidRPr="00A73D5E">
        <w:rPr>
          <w:lang w:val="fr-FR"/>
        </w:rPr>
        <w:t>une année civile donnée.</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13"/>
        <w:gridCol w:w="1571"/>
        <w:gridCol w:w="1572"/>
        <w:gridCol w:w="1571"/>
        <w:gridCol w:w="1572"/>
        <w:gridCol w:w="1572"/>
      </w:tblGrid>
      <w:tr w:rsidR="00356FE1" w:rsidRPr="00356FE1" w:rsidTr="00A73D5E">
        <w:trPr>
          <w:cantSplit/>
        </w:trPr>
        <w:tc>
          <w:tcPr>
            <w:tcW w:w="1713" w:type="dxa"/>
            <w:vMerge w:val="restart"/>
            <w:noWrap/>
            <w:tcMar>
              <w:top w:w="28" w:type="dxa"/>
              <w:left w:w="108" w:type="dxa"/>
              <w:bottom w:w="28" w:type="dxa"/>
              <w:right w:w="108" w:type="dxa"/>
            </w:tcMar>
            <w:vAlign w:val="bottom"/>
            <w:hideMark/>
          </w:tcPr>
          <w:p w:rsidR="00934C37" w:rsidRPr="00356FE1" w:rsidRDefault="00934C37" w:rsidP="000648F8">
            <w:pPr>
              <w:rPr>
                <w:rFonts w:eastAsiaTheme="minorHAnsi"/>
                <w:b/>
                <w:bCs/>
                <w:sz w:val="20"/>
                <w:lang w:val="fr-FR" w:eastAsia="en-GB"/>
              </w:rPr>
            </w:pPr>
            <w:r w:rsidRPr="00356FE1">
              <w:rPr>
                <w:rFonts w:eastAsiaTheme="minorHAnsi"/>
                <w:b/>
                <w:bCs/>
                <w:sz w:val="20"/>
                <w:lang w:val="fr-FR" w:eastAsia="en-GB"/>
              </w:rPr>
              <w:t>Nombre de demandes internationales par déposant</w:t>
            </w:r>
          </w:p>
        </w:tc>
        <w:tc>
          <w:tcPr>
            <w:tcW w:w="7858" w:type="dxa"/>
            <w:gridSpan w:val="5"/>
            <w:noWrap/>
            <w:tcMar>
              <w:top w:w="28" w:type="dxa"/>
              <w:left w:w="108" w:type="dxa"/>
              <w:bottom w:w="28" w:type="dxa"/>
              <w:right w:w="108" w:type="dxa"/>
            </w:tcMar>
            <w:vAlign w:val="bottom"/>
            <w:hideMark/>
          </w:tcPr>
          <w:p w:rsidR="00934C37" w:rsidRPr="00356FE1" w:rsidRDefault="00934C37" w:rsidP="000648F8">
            <w:pPr>
              <w:jc w:val="center"/>
              <w:rPr>
                <w:rFonts w:eastAsiaTheme="minorHAnsi"/>
                <w:b/>
                <w:bCs/>
                <w:sz w:val="20"/>
                <w:lang w:val="fr-FR" w:eastAsia="en-GB"/>
              </w:rPr>
            </w:pPr>
            <w:r w:rsidRPr="00356FE1">
              <w:rPr>
                <w:rFonts w:eastAsiaTheme="minorHAnsi"/>
                <w:b/>
                <w:bCs/>
                <w:sz w:val="20"/>
                <w:lang w:val="fr-FR" w:eastAsia="en-GB"/>
              </w:rPr>
              <w:t>Année</w:t>
            </w:r>
          </w:p>
        </w:tc>
      </w:tr>
      <w:tr w:rsidR="00356FE1" w:rsidRPr="00356FE1" w:rsidTr="00A73D5E">
        <w:trPr>
          <w:cantSplit/>
        </w:trPr>
        <w:tc>
          <w:tcPr>
            <w:tcW w:w="0" w:type="auto"/>
            <w:vMerge/>
            <w:tcMar>
              <w:top w:w="28" w:type="dxa"/>
              <w:bottom w:w="28" w:type="dxa"/>
            </w:tcMar>
            <w:vAlign w:val="center"/>
            <w:hideMark/>
          </w:tcPr>
          <w:p w:rsidR="00934C37" w:rsidRPr="00356FE1" w:rsidRDefault="00934C37" w:rsidP="000648F8">
            <w:pPr>
              <w:rPr>
                <w:rFonts w:eastAsiaTheme="minorHAnsi"/>
                <w:b/>
                <w:bCs/>
                <w:sz w:val="20"/>
                <w:lang w:val="fr-FR" w:eastAsia="en-GB"/>
              </w:rPr>
            </w:pPr>
          </w:p>
        </w:tc>
        <w:tc>
          <w:tcPr>
            <w:tcW w:w="1571" w:type="dxa"/>
            <w:noWrap/>
            <w:tcMar>
              <w:top w:w="28" w:type="dxa"/>
              <w:left w:w="108" w:type="dxa"/>
              <w:bottom w:w="28" w:type="dxa"/>
              <w:right w:w="108" w:type="dxa"/>
            </w:tcMar>
            <w:vAlign w:val="bottom"/>
            <w:hideMark/>
          </w:tcPr>
          <w:p w:rsidR="00934C37" w:rsidRPr="00356FE1" w:rsidRDefault="00934C37" w:rsidP="000648F8">
            <w:pPr>
              <w:jc w:val="center"/>
              <w:rPr>
                <w:rFonts w:eastAsiaTheme="minorHAnsi"/>
                <w:b/>
                <w:bCs/>
                <w:sz w:val="20"/>
                <w:lang w:val="fr-FR" w:eastAsia="en-GB"/>
              </w:rPr>
            </w:pPr>
            <w:r w:rsidRPr="00356FE1">
              <w:rPr>
                <w:b/>
                <w:bCs/>
                <w:sz w:val="20"/>
                <w:lang w:val="fr-FR" w:eastAsia="en-GB"/>
              </w:rPr>
              <w:t>2012</w:t>
            </w:r>
          </w:p>
        </w:tc>
        <w:tc>
          <w:tcPr>
            <w:tcW w:w="1572" w:type="dxa"/>
            <w:noWrap/>
            <w:tcMar>
              <w:top w:w="28" w:type="dxa"/>
              <w:left w:w="108" w:type="dxa"/>
              <w:bottom w:w="28" w:type="dxa"/>
              <w:right w:w="108" w:type="dxa"/>
            </w:tcMar>
            <w:vAlign w:val="bottom"/>
            <w:hideMark/>
          </w:tcPr>
          <w:p w:rsidR="00934C37" w:rsidRPr="00356FE1" w:rsidRDefault="00934C37" w:rsidP="000648F8">
            <w:pPr>
              <w:jc w:val="center"/>
              <w:rPr>
                <w:rFonts w:eastAsiaTheme="minorHAnsi"/>
                <w:b/>
                <w:bCs/>
                <w:sz w:val="20"/>
                <w:lang w:val="fr-FR" w:eastAsia="en-GB"/>
              </w:rPr>
            </w:pPr>
            <w:r w:rsidRPr="00356FE1">
              <w:rPr>
                <w:b/>
                <w:bCs/>
                <w:sz w:val="20"/>
                <w:lang w:val="fr-FR" w:eastAsia="en-GB"/>
              </w:rPr>
              <w:t>2013</w:t>
            </w:r>
          </w:p>
        </w:tc>
        <w:tc>
          <w:tcPr>
            <w:tcW w:w="1571" w:type="dxa"/>
            <w:noWrap/>
            <w:tcMar>
              <w:top w:w="28" w:type="dxa"/>
              <w:left w:w="108" w:type="dxa"/>
              <w:bottom w:w="28" w:type="dxa"/>
              <w:right w:w="108" w:type="dxa"/>
            </w:tcMar>
            <w:vAlign w:val="bottom"/>
            <w:hideMark/>
          </w:tcPr>
          <w:p w:rsidR="00934C37" w:rsidRPr="00356FE1" w:rsidRDefault="00934C37" w:rsidP="000648F8">
            <w:pPr>
              <w:jc w:val="center"/>
              <w:rPr>
                <w:rFonts w:eastAsiaTheme="minorHAnsi"/>
                <w:b/>
                <w:bCs/>
                <w:sz w:val="20"/>
                <w:lang w:val="fr-FR" w:eastAsia="en-GB"/>
              </w:rPr>
            </w:pPr>
            <w:r w:rsidRPr="00356FE1">
              <w:rPr>
                <w:b/>
                <w:bCs/>
                <w:sz w:val="20"/>
                <w:lang w:val="fr-FR" w:eastAsia="en-GB"/>
              </w:rPr>
              <w:t>2014</w:t>
            </w:r>
          </w:p>
        </w:tc>
        <w:tc>
          <w:tcPr>
            <w:tcW w:w="1572" w:type="dxa"/>
            <w:noWrap/>
            <w:tcMar>
              <w:top w:w="28" w:type="dxa"/>
              <w:left w:w="108" w:type="dxa"/>
              <w:bottom w:w="28" w:type="dxa"/>
              <w:right w:w="108" w:type="dxa"/>
            </w:tcMar>
            <w:vAlign w:val="bottom"/>
            <w:hideMark/>
          </w:tcPr>
          <w:p w:rsidR="00934C37" w:rsidRPr="00356FE1" w:rsidRDefault="00934C37" w:rsidP="000648F8">
            <w:pPr>
              <w:jc w:val="center"/>
              <w:rPr>
                <w:rFonts w:eastAsiaTheme="minorHAnsi"/>
                <w:b/>
                <w:bCs/>
                <w:sz w:val="20"/>
                <w:lang w:val="fr-FR" w:eastAsia="en-GB"/>
              </w:rPr>
            </w:pPr>
            <w:r w:rsidRPr="00356FE1">
              <w:rPr>
                <w:b/>
                <w:bCs/>
                <w:sz w:val="20"/>
                <w:lang w:val="fr-FR" w:eastAsia="en-GB"/>
              </w:rPr>
              <w:t>2015</w:t>
            </w:r>
          </w:p>
        </w:tc>
        <w:tc>
          <w:tcPr>
            <w:tcW w:w="1572" w:type="dxa"/>
            <w:noWrap/>
            <w:tcMar>
              <w:top w:w="28" w:type="dxa"/>
              <w:left w:w="108" w:type="dxa"/>
              <w:bottom w:w="28" w:type="dxa"/>
              <w:right w:w="108" w:type="dxa"/>
            </w:tcMar>
            <w:vAlign w:val="bottom"/>
            <w:hideMark/>
          </w:tcPr>
          <w:p w:rsidR="00934C37" w:rsidRPr="00356FE1" w:rsidRDefault="00934C37" w:rsidP="000648F8">
            <w:pPr>
              <w:jc w:val="center"/>
              <w:rPr>
                <w:rFonts w:eastAsiaTheme="minorHAnsi"/>
                <w:b/>
                <w:bCs/>
                <w:sz w:val="20"/>
                <w:lang w:val="fr-FR" w:eastAsia="en-GB"/>
              </w:rPr>
            </w:pPr>
            <w:r w:rsidRPr="00356FE1">
              <w:rPr>
                <w:b/>
                <w:bCs/>
                <w:sz w:val="20"/>
                <w:lang w:val="fr-FR" w:eastAsia="en-GB"/>
              </w:rPr>
              <w:t>2016</w:t>
            </w:r>
          </w:p>
        </w:tc>
      </w:tr>
      <w:tr w:rsidR="00356FE1" w:rsidRPr="00356FE1" w:rsidTr="00A73D5E">
        <w:trPr>
          <w:cantSplit/>
        </w:trPr>
        <w:tc>
          <w:tcPr>
            <w:tcW w:w="1713" w:type="dxa"/>
            <w:noWrap/>
            <w:tcMar>
              <w:top w:w="28" w:type="dxa"/>
              <w:left w:w="108" w:type="dxa"/>
              <w:bottom w:w="28" w:type="dxa"/>
              <w:right w:w="108" w:type="dxa"/>
            </w:tcMar>
            <w:vAlign w:val="bottom"/>
            <w:hideMark/>
          </w:tcPr>
          <w:p w:rsidR="00934C37" w:rsidRPr="00356FE1" w:rsidRDefault="00934C37" w:rsidP="000648F8">
            <w:pPr>
              <w:rPr>
                <w:rFonts w:eastAsiaTheme="minorHAnsi"/>
                <w:sz w:val="20"/>
                <w:lang w:val="fr-FR"/>
              </w:rPr>
            </w:pPr>
            <w:r w:rsidRPr="00356FE1">
              <w:rPr>
                <w:rFonts w:eastAsiaTheme="minorHAnsi"/>
                <w:sz w:val="20"/>
                <w:lang w:val="fr-FR"/>
              </w:rPr>
              <w:t>5 ou moins</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3 896</w:t>
            </w:r>
            <w:r w:rsidRPr="00356FE1">
              <w:rPr>
                <w:sz w:val="20"/>
                <w:lang w:val="fr-FR"/>
              </w:rPr>
              <w:tab/>
              <w:t>(84,1%)</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4 115</w:t>
            </w:r>
            <w:r w:rsidRPr="00356FE1">
              <w:rPr>
                <w:sz w:val="20"/>
                <w:lang w:val="fr-FR"/>
              </w:rPr>
              <w:tab/>
              <w:t>(74,2%)</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4 297</w:t>
            </w:r>
            <w:r w:rsidRPr="00356FE1">
              <w:rPr>
                <w:sz w:val="20"/>
                <w:lang w:val="fr-FR"/>
              </w:rPr>
              <w:tab/>
              <w:t>(79,9%)</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4 588</w:t>
            </w:r>
            <w:r w:rsidRPr="00356FE1">
              <w:rPr>
                <w:sz w:val="20"/>
                <w:lang w:val="fr-FR"/>
              </w:rPr>
              <w:tab/>
              <w:t>(75,9%)</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5 398</w:t>
            </w:r>
            <w:r w:rsidRPr="00356FE1">
              <w:rPr>
                <w:sz w:val="20"/>
                <w:lang w:val="fr-FR"/>
              </w:rPr>
              <w:tab/>
              <w:t>(50,8%)</w:t>
            </w:r>
          </w:p>
        </w:tc>
      </w:tr>
      <w:tr w:rsidR="00356FE1" w:rsidRPr="00356FE1" w:rsidTr="00A73D5E">
        <w:trPr>
          <w:cantSplit/>
        </w:trPr>
        <w:tc>
          <w:tcPr>
            <w:tcW w:w="1713" w:type="dxa"/>
            <w:noWrap/>
            <w:tcMar>
              <w:top w:w="28" w:type="dxa"/>
              <w:left w:w="108" w:type="dxa"/>
              <w:bottom w:w="28" w:type="dxa"/>
              <w:right w:w="108" w:type="dxa"/>
            </w:tcMar>
            <w:vAlign w:val="bottom"/>
            <w:hideMark/>
          </w:tcPr>
          <w:p w:rsidR="00934C37" w:rsidRPr="00356FE1" w:rsidRDefault="00934C37" w:rsidP="000648F8">
            <w:pPr>
              <w:rPr>
                <w:rFonts w:eastAsiaTheme="minorHAnsi"/>
                <w:sz w:val="20"/>
                <w:lang w:val="fr-FR"/>
              </w:rPr>
            </w:pPr>
            <w:r w:rsidRPr="00356FE1">
              <w:rPr>
                <w:rFonts w:eastAsiaTheme="minorHAnsi"/>
                <w:sz w:val="20"/>
                <w:lang w:val="fr-FR"/>
              </w:rPr>
              <w:t>6 à 10</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313</w:t>
            </w:r>
            <w:r w:rsidRPr="00356FE1">
              <w:rPr>
                <w:sz w:val="20"/>
                <w:lang w:val="fr-FR"/>
              </w:rPr>
              <w:tab/>
              <w:t>(6,8%)</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331</w:t>
            </w:r>
            <w:r w:rsidRPr="00356FE1">
              <w:rPr>
                <w:sz w:val="20"/>
                <w:lang w:val="fr-FR"/>
              </w:rPr>
              <w:tab/>
              <w:t>(6,0%)</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294</w:t>
            </w:r>
            <w:r w:rsidRPr="00356FE1">
              <w:rPr>
                <w:sz w:val="20"/>
                <w:lang w:val="fr-FR"/>
              </w:rPr>
              <w:tab/>
              <w:t>(5,5%)</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290</w:t>
            </w:r>
            <w:r w:rsidRPr="00356FE1">
              <w:rPr>
                <w:sz w:val="20"/>
                <w:lang w:val="fr-FR"/>
              </w:rPr>
              <w:tab/>
              <w:t>(4,8%)</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615</w:t>
            </w:r>
            <w:r w:rsidRPr="00356FE1">
              <w:rPr>
                <w:sz w:val="20"/>
                <w:lang w:val="fr-FR"/>
              </w:rPr>
              <w:tab/>
              <w:t>(5,8%)</w:t>
            </w:r>
          </w:p>
        </w:tc>
      </w:tr>
      <w:tr w:rsidR="00356FE1" w:rsidRPr="00356FE1" w:rsidTr="00A73D5E">
        <w:trPr>
          <w:cantSplit/>
        </w:trPr>
        <w:tc>
          <w:tcPr>
            <w:tcW w:w="1713" w:type="dxa"/>
            <w:noWrap/>
            <w:tcMar>
              <w:top w:w="28" w:type="dxa"/>
              <w:left w:w="108" w:type="dxa"/>
              <w:bottom w:w="28" w:type="dxa"/>
              <w:right w:w="108" w:type="dxa"/>
            </w:tcMar>
            <w:vAlign w:val="bottom"/>
            <w:hideMark/>
          </w:tcPr>
          <w:p w:rsidR="00934C37" w:rsidRPr="00356FE1" w:rsidRDefault="00934C37" w:rsidP="000648F8">
            <w:pPr>
              <w:rPr>
                <w:rFonts w:eastAsiaTheme="minorHAnsi"/>
                <w:sz w:val="20"/>
                <w:lang w:val="fr-FR"/>
              </w:rPr>
            </w:pPr>
            <w:r w:rsidRPr="00356FE1">
              <w:rPr>
                <w:rFonts w:eastAsiaTheme="minorHAnsi"/>
                <w:sz w:val="20"/>
                <w:lang w:val="fr-FR"/>
              </w:rPr>
              <w:t>11 à 20</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227</w:t>
            </w:r>
            <w:r w:rsidRPr="00356FE1">
              <w:rPr>
                <w:sz w:val="20"/>
                <w:lang w:val="fr-FR"/>
              </w:rPr>
              <w:tab/>
              <w:t>(4,9%)</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228</w:t>
            </w:r>
            <w:r w:rsidRPr="00356FE1">
              <w:rPr>
                <w:sz w:val="20"/>
                <w:lang w:val="fr-FR"/>
              </w:rPr>
              <w:tab/>
              <w:t>(4,1%)</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321</w:t>
            </w:r>
            <w:r w:rsidRPr="00356FE1">
              <w:rPr>
                <w:sz w:val="20"/>
                <w:lang w:val="fr-FR"/>
              </w:rPr>
              <w:tab/>
              <w:t>(6,0%)</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453</w:t>
            </w:r>
            <w:r w:rsidRPr="00356FE1">
              <w:rPr>
                <w:sz w:val="20"/>
                <w:lang w:val="fr-FR"/>
              </w:rPr>
              <w:tab/>
              <w:t>(7,5%)</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751</w:t>
            </w:r>
            <w:r w:rsidRPr="00356FE1">
              <w:rPr>
                <w:sz w:val="20"/>
                <w:lang w:val="fr-FR"/>
              </w:rPr>
              <w:tab/>
              <w:t>(7,1%)</w:t>
            </w:r>
          </w:p>
        </w:tc>
      </w:tr>
      <w:tr w:rsidR="00356FE1" w:rsidRPr="00356FE1" w:rsidTr="00A73D5E">
        <w:trPr>
          <w:cantSplit/>
        </w:trPr>
        <w:tc>
          <w:tcPr>
            <w:tcW w:w="1713" w:type="dxa"/>
            <w:noWrap/>
            <w:tcMar>
              <w:top w:w="28" w:type="dxa"/>
              <w:left w:w="108" w:type="dxa"/>
              <w:bottom w:w="28" w:type="dxa"/>
              <w:right w:w="108" w:type="dxa"/>
            </w:tcMar>
            <w:vAlign w:val="bottom"/>
            <w:hideMark/>
          </w:tcPr>
          <w:p w:rsidR="00934C37" w:rsidRPr="00356FE1" w:rsidRDefault="00934C37" w:rsidP="000648F8">
            <w:pPr>
              <w:rPr>
                <w:rFonts w:eastAsiaTheme="minorHAnsi"/>
                <w:sz w:val="20"/>
                <w:lang w:val="fr-FR"/>
              </w:rPr>
            </w:pPr>
            <w:r w:rsidRPr="00356FE1">
              <w:rPr>
                <w:rFonts w:eastAsiaTheme="minorHAnsi"/>
                <w:sz w:val="20"/>
                <w:lang w:val="fr-FR"/>
              </w:rPr>
              <w:t>20 à 50</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138</w:t>
            </w:r>
            <w:r w:rsidRPr="00356FE1">
              <w:rPr>
                <w:sz w:val="20"/>
                <w:lang w:val="fr-FR"/>
              </w:rPr>
              <w:tab/>
              <w:t>(3,0%)</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151</w:t>
            </w:r>
            <w:r w:rsidRPr="00356FE1">
              <w:rPr>
                <w:sz w:val="20"/>
                <w:lang w:val="fr-FR"/>
              </w:rPr>
              <w:tab/>
              <w:t>(2,7%)</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234</w:t>
            </w:r>
            <w:r w:rsidRPr="00356FE1">
              <w:rPr>
                <w:sz w:val="20"/>
                <w:lang w:val="fr-FR"/>
              </w:rPr>
              <w:tab/>
              <w:t>(4,4%)</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641</w:t>
            </w:r>
            <w:r w:rsidRPr="00356FE1">
              <w:rPr>
                <w:sz w:val="20"/>
                <w:lang w:val="fr-FR"/>
              </w:rPr>
              <w:tab/>
              <w:t>(10,6%)</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2 032</w:t>
            </w:r>
            <w:r w:rsidRPr="00356FE1">
              <w:rPr>
                <w:sz w:val="20"/>
                <w:lang w:val="fr-FR"/>
              </w:rPr>
              <w:tab/>
              <w:t>(19,1%)</w:t>
            </w:r>
          </w:p>
        </w:tc>
      </w:tr>
      <w:tr w:rsidR="00356FE1" w:rsidRPr="00356FE1" w:rsidTr="00A73D5E">
        <w:trPr>
          <w:cantSplit/>
        </w:trPr>
        <w:tc>
          <w:tcPr>
            <w:tcW w:w="1713" w:type="dxa"/>
            <w:noWrap/>
            <w:tcMar>
              <w:top w:w="28" w:type="dxa"/>
              <w:left w:w="108" w:type="dxa"/>
              <w:bottom w:w="28" w:type="dxa"/>
              <w:right w:w="108" w:type="dxa"/>
            </w:tcMar>
            <w:vAlign w:val="bottom"/>
            <w:hideMark/>
          </w:tcPr>
          <w:p w:rsidR="00934C37" w:rsidRPr="00356FE1" w:rsidRDefault="00934C37" w:rsidP="000648F8">
            <w:pPr>
              <w:rPr>
                <w:rFonts w:eastAsiaTheme="minorHAnsi"/>
                <w:sz w:val="20"/>
                <w:lang w:val="fr-FR"/>
              </w:rPr>
            </w:pPr>
            <w:r w:rsidRPr="00356FE1">
              <w:rPr>
                <w:rFonts w:eastAsiaTheme="minorHAnsi"/>
                <w:sz w:val="20"/>
                <w:lang w:val="fr-FR"/>
              </w:rPr>
              <w:t>51 et plus</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61</w:t>
            </w:r>
            <w:r w:rsidRPr="00356FE1">
              <w:rPr>
                <w:sz w:val="20"/>
                <w:lang w:val="fr-FR"/>
              </w:rPr>
              <w:tab/>
              <w:t>(1,3%)</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723</w:t>
            </w:r>
            <w:r w:rsidRPr="00356FE1">
              <w:rPr>
                <w:sz w:val="20"/>
                <w:lang w:val="fr-FR"/>
              </w:rPr>
              <w:tab/>
              <w:t>(13,0%)</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229</w:t>
            </w:r>
            <w:r w:rsidRPr="00356FE1">
              <w:rPr>
                <w:sz w:val="20"/>
                <w:lang w:val="fr-FR"/>
              </w:rPr>
              <w:tab/>
              <w:t>(4,3%)</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69</w:t>
            </w:r>
            <w:r w:rsidRPr="00356FE1">
              <w:rPr>
                <w:sz w:val="20"/>
                <w:lang w:val="fr-FR"/>
              </w:rPr>
              <w:tab/>
              <w:t>(1,1%)</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right"/>
              <w:rPr>
                <w:rFonts w:eastAsiaTheme="minorHAnsi"/>
                <w:sz w:val="20"/>
                <w:lang w:val="fr-FR"/>
              </w:rPr>
            </w:pPr>
            <w:r w:rsidRPr="00356FE1">
              <w:rPr>
                <w:sz w:val="20"/>
                <w:lang w:val="fr-FR"/>
              </w:rPr>
              <w:tab/>
              <w:t>1 835</w:t>
            </w:r>
            <w:r w:rsidRPr="00356FE1">
              <w:rPr>
                <w:sz w:val="20"/>
                <w:lang w:val="fr-FR"/>
              </w:rPr>
              <w:tab/>
              <w:t>(17,3%)</w:t>
            </w:r>
          </w:p>
        </w:tc>
      </w:tr>
      <w:tr w:rsidR="00A73D5E" w:rsidRPr="00356FE1" w:rsidTr="00A73D5E">
        <w:trPr>
          <w:cantSplit/>
        </w:trPr>
        <w:tc>
          <w:tcPr>
            <w:tcW w:w="1713" w:type="dxa"/>
            <w:noWrap/>
            <w:tcMar>
              <w:top w:w="28" w:type="dxa"/>
              <w:left w:w="108" w:type="dxa"/>
              <w:bottom w:w="28" w:type="dxa"/>
              <w:right w:w="108" w:type="dxa"/>
            </w:tcMar>
            <w:vAlign w:val="bottom"/>
            <w:hideMark/>
          </w:tcPr>
          <w:p w:rsidR="00934C37" w:rsidRPr="00356FE1" w:rsidRDefault="00934C37" w:rsidP="000648F8">
            <w:pPr>
              <w:rPr>
                <w:rFonts w:eastAsiaTheme="minorHAnsi"/>
                <w:i/>
                <w:iCs/>
                <w:sz w:val="20"/>
                <w:lang w:val="fr-FR" w:eastAsia="en-GB"/>
              </w:rPr>
            </w:pPr>
            <w:r w:rsidRPr="00356FE1">
              <w:rPr>
                <w:rFonts w:eastAsiaTheme="minorHAnsi"/>
                <w:i/>
                <w:iCs/>
                <w:sz w:val="20"/>
                <w:lang w:val="fr-FR" w:eastAsia="en-GB"/>
              </w:rPr>
              <w:t>Total</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center"/>
              <w:rPr>
                <w:rFonts w:eastAsiaTheme="minorHAnsi"/>
                <w:i/>
                <w:iCs/>
                <w:sz w:val="20"/>
                <w:lang w:val="fr-FR" w:eastAsia="en-GB"/>
              </w:rPr>
            </w:pPr>
            <w:r w:rsidRPr="00356FE1">
              <w:rPr>
                <w:rFonts w:eastAsiaTheme="minorHAnsi"/>
                <w:i/>
                <w:iCs/>
                <w:sz w:val="20"/>
                <w:lang w:val="fr-FR" w:eastAsia="en-GB"/>
              </w:rPr>
              <w:t>4 635</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center"/>
              <w:rPr>
                <w:rFonts w:eastAsiaTheme="minorHAnsi"/>
                <w:i/>
                <w:iCs/>
                <w:sz w:val="20"/>
                <w:lang w:val="fr-FR" w:eastAsia="en-GB"/>
              </w:rPr>
            </w:pPr>
            <w:r w:rsidRPr="00356FE1">
              <w:rPr>
                <w:rFonts w:eastAsiaTheme="minorHAnsi"/>
                <w:i/>
                <w:iCs/>
                <w:sz w:val="20"/>
                <w:lang w:val="fr-FR" w:eastAsia="en-GB"/>
              </w:rPr>
              <w:t>5 548</w:t>
            </w:r>
          </w:p>
        </w:tc>
        <w:tc>
          <w:tcPr>
            <w:tcW w:w="1571"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center"/>
              <w:rPr>
                <w:rFonts w:eastAsiaTheme="minorHAnsi"/>
                <w:i/>
                <w:iCs/>
                <w:sz w:val="20"/>
                <w:lang w:val="fr-FR" w:eastAsia="en-GB"/>
              </w:rPr>
            </w:pPr>
            <w:r w:rsidRPr="00356FE1">
              <w:rPr>
                <w:rFonts w:eastAsiaTheme="minorHAnsi"/>
                <w:i/>
                <w:iCs/>
                <w:sz w:val="20"/>
                <w:lang w:val="fr-FR" w:eastAsia="en-GB"/>
              </w:rPr>
              <w:t>5 375</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center"/>
              <w:rPr>
                <w:rFonts w:eastAsiaTheme="minorHAnsi"/>
                <w:i/>
                <w:iCs/>
                <w:sz w:val="20"/>
                <w:lang w:val="fr-FR" w:eastAsia="en-GB"/>
              </w:rPr>
            </w:pPr>
            <w:r w:rsidRPr="00356FE1">
              <w:rPr>
                <w:rFonts w:eastAsiaTheme="minorHAnsi"/>
                <w:i/>
                <w:iCs/>
                <w:sz w:val="20"/>
                <w:lang w:val="fr-FR" w:eastAsia="en-GB"/>
              </w:rPr>
              <w:t>6 041</w:t>
            </w:r>
          </w:p>
        </w:tc>
        <w:tc>
          <w:tcPr>
            <w:tcW w:w="1572" w:type="dxa"/>
            <w:noWrap/>
            <w:tcMar>
              <w:top w:w="28" w:type="dxa"/>
              <w:left w:w="108" w:type="dxa"/>
              <w:bottom w:w="28" w:type="dxa"/>
              <w:right w:w="108" w:type="dxa"/>
            </w:tcMar>
            <w:vAlign w:val="bottom"/>
            <w:hideMark/>
          </w:tcPr>
          <w:p w:rsidR="00934C37" w:rsidRPr="00356FE1" w:rsidRDefault="00934C37" w:rsidP="000648F8">
            <w:pPr>
              <w:tabs>
                <w:tab w:val="right" w:pos="582"/>
                <w:tab w:val="right" w:pos="1417"/>
              </w:tabs>
              <w:jc w:val="center"/>
              <w:rPr>
                <w:rFonts w:eastAsiaTheme="minorHAnsi"/>
                <w:i/>
                <w:iCs/>
                <w:sz w:val="20"/>
                <w:lang w:val="fr-FR" w:eastAsia="en-GB"/>
              </w:rPr>
            </w:pPr>
            <w:r w:rsidRPr="00356FE1">
              <w:rPr>
                <w:rFonts w:eastAsiaTheme="minorHAnsi"/>
                <w:i/>
                <w:iCs/>
                <w:sz w:val="20"/>
                <w:lang w:val="fr-FR" w:eastAsia="en-GB"/>
              </w:rPr>
              <w:t>10 631</w:t>
            </w:r>
          </w:p>
        </w:tc>
      </w:tr>
    </w:tbl>
    <w:p w:rsidR="00934C37" w:rsidRPr="00356FE1" w:rsidRDefault="00934C37" w:rsidP="000648F8">
      <w:pPr>
        <w:rPr>
          <w:lang w:val="fr-FR"/>
        </w:rPr>
      </w:pPr>
    </w:p>
    <w:p w:rsidR="00934C37" w:rsidRPr="00356FE1" w:rsidRDefault="00934C37" w:rsidP="000648F8">
      <w:pPr>
        <w:pStyle w:val="ONUMFS"/>
        <w:rPr>
          <w:lang w:val="fr-FR"/>
        </w:rPr>
      </w:pPr>
      <w:bookmarkStart w:id="8" w:name="_Ref477965873"/>
      <w:bookmarkStart w:id="9" w:name="_Ref479325422"/>
      <w:r w:rsidRPr="00356FE1">
        <w:rPr>
          <w:lang w:val="fr-FR"/>
        </w:rPr>
        <w:t>Le modèle utilisé pour établir le tableau ci</w:t>
      </w:r>
      <w:r w:rsidR="00B010B9" w:rsidRPr="00356FE1">
        <w:rPr>
          <w:lang w:val="fr-FR"/>
        </w:rPr>
        <w:noBreakHyphen/>
      </w:r>
      <w:r w:rsidRPr="00356FE1">
        <w:rPr>
          <w:lang w:val="fr-FR"/>
        </w:rPr>
        <w:t xml:space="preserve">dessus regroupe les demandes par déposant de manière très simplifiée; </w:t>
      </w:r>
      <w:r w:rsidR="008D3670" w:rsidRPr="00356FE1">
        <w:rPr>
          <w:lang w:val="fr-FR"/>
        </w:rPr>
        <w:t xml:space="preserve"> </w:t>
      </w:r>
      <w:r w:rsidRPr="00356FE1">
        <w:rPr>
          <w:lang w:val="fr-FR"/>
        </w:rPr>
        <w:t>il est très probable que certaines demandes ne soient pas reconnues comme faisant partie d</w:t>
      </w:r>
      <w:r w:rsidR="0079087E" w:rsidRPr="00356FE1">
        <w:rPr>
          <w:lang w:val="fr-FR"/>
        </w:rPr>
        <w:t>’</w:t>
      </w:r>
      <w:r w:rsidRPr="00356FE1">
        <w:rPr>
          <w:lang w:val="fr-FR"/>
        </w:rPr>
        <w:t xml:space="preserve">un groupe et certaines demandes devraient, en réalité, figurer dans des </w:t>
      </w:r>
      <w:r w:rsidR="005431C6" w:rsidRPr="00356FE1">
        <w:rPr>
          <w:lang w:val="fr-FR"/>
        </w:rPr>
        <w:t>rangs du tableau inférieur</w:t>
      </w:r>
      <w:r w:rsidRPr="00356FE1">
        <w:rPr>
          <w:lang w:val="fr-FR"/>
        </w:rPr>
        <w:t xml:space="preserve">s à </w:t>
      </w:r>
      <w:r w:rsidR="005431C6" w:rsidRPr="00356FE1">
        <w:rPr>
          <w:lang w:val="fr-FR"/>
        </w:rPr>
        <w:t xml:space="preserve">celui </w:t>
      </w:r>
      <w:r w:rsidRPr="00356FE1">
        <w:rPr>
          <w:lang w:val="fr-FR"/>
        </w:rPr>
        <w:t>où elles se trouve</w:t>
      </w:r>
      <w:r w:rsidR="00292D08" w:rsidRPr="00356FE1">
        <w:rPr>
          <w:lang w:val="fr-FR"/>
        </w:rPr>
        <w:t>nt.  En</w:t>
      </w:r>
      <w:r w:rsidRPr="00356FE1">
        <w:rPr>
          <w:lang w:val="fr-FR"/>
        </w:rPr>
        <w:t xml:space="preserve"> outre, il n</w:t>
      </w:r>
      <w:r w:rsidR="0079087E" w:rsidRPr="00356FE1">
        <w:rPr>
          <w:lang w:val="fr-FR"/>
        </w:rPr>
        <w:t>’</w:t>
      </w:r>
      <w:r w:rsidRPr="00356FE1">
        <w:rPr>
          <w:lang w:val="fr-FR"/>
        </w:rPr>
        <w:t xml:space="preserve">est </w:t>
      </w:r>
      <w:r w:rsidRPr="00356FE1">
        <w:rPr>
          <w:lang w:val="fr-FR"/>
        </w:rPr>
        <w:lastRenderedPageBreak/>
        <w:t>manifestement pas possible de déterminer si un déposant agit au nom d</w:t>
      </w:r>
      <w:r w:rsidR="0079087E" w:rsidRPr="00356FE1">
        <w:rPr>
          <w:lang w:val="fr-FR"/>
        </w:rPr>
        <w:t>’</w:t>
      </w:r>
      <w:r w:rsidRPr="00356FE1">
        <w:rPr>
          <w:lang w:val="fr-FR"/>
        </w:rPr>
        <w:t xml:space="preserve">un </w:t>
      </w:r>
      <w:r w:rsidR="008D3670" w:rsidRPr="00356FE1">
        <w:rPr>
          <w:lang w:val="fr-FR"/>
        </w:rPr>
        <w:t>“</w:t>
      </w:r>
      <w:r w:rsidRPr="00356FE1">
        <w:rPr>
          <w:lang w:val="fr-FR"/>
        </w:rPr>
        <w:t>bénéficiaire</w:t>
      </w:r>
      <w:r w:rsidR="008D3670" w:rsidRPr="00356FE1">
        <w:rPr>
          <w:lang w:val="fr-FR"/>
        </w:rPr>
        <w:t>”</w:t>
      </w:r>
      <w:r w:rsidRPr="00356FE1">
        <w:rPr>
          <w:lang w:val="fr-FR"/>
        </w:rPr>
        <w:t xml:space="preserve"> en se basant uniquement sur le fait qu</w:t>
      </w:r>
      <w:r w:rsidR="0079087E" w:rsidRPr="00356FE1">
        <w:rPr>
          <w:lang w:val="fr-FR"/>
        </w:rPr>
        <w:t>’</w:t>
      </w:r>
      <w:r w:rsidRPr="00356FE1">
        <w:rPr>
          <w:lang w:val="fr-FR"/>
        </w:rPr>
        <w:t>il a déposé plus ou moins de demandes internationales qu</w:t>
      </w:r>
      <w:r w:rsidR="0079087E" w:rsidRPr="00356FE1">
        <w:rPr>
          <w:lang w:val="fr-FR"/>
        </w:rPr>
        <w:t>’</w:t>
      </w:r>
      <w:r w:rsidRPr="00356FE1">
        <w:rPr>
          <w:lang w:val="fr-FR"/>
        </w:rPr>
        <w:t>un nombre de référence particuli</w:t>
      </w:r>
      <w:bookmarkEnd w:id="8"/>
      <w:r w:rsidR="00292D08" w:rsidRPr="00356FE1">
        <w:rPr>
          <w:lang w:val="fr-FR"/>
        </w:rPr>
        <w:t>er.  Ce</w:t>
      </w:r>
      <w:r w:rsidRPr="00356FE1">
        <w:rPr>
          <w:lang w:val="fr-FR"/>
        </w:rPr>
        <w:t>pendant, les chiffres ci</w:t>
      </w:r>
      <w:r w:rsidR="00B010B9" w:rsidRPr="00356FE1">
        <w:rPr>
          <w:lang w:val="fr-FR"/>
        </w:rPr>
        <w:noBreakHyphen/>
      </w:r>
      <w:r w:rsidRPr="00356FE1">
        <w:rPr>
          <w:lang w:val="fr-FR"/>
        </w:rPr>
        <w:t>dessus semblent indiquer clairement qu</w:t>
      </w:r>
      <w:r w:rsidR="0079087E" w:rsidRPr="00356FE1">
        <w:rPr>
          <w:lang w:val="fr-FR"/>
        </w:rPr>
        <w:t>’</w:t>
      </w:r>
      <w:r w:rsidRPr="00356FE1">
        <w:rPr>
          <w:lang w:val="fr-FR"/>
        </w:rPr>
        <w:t>une proportion croissante de demandes pour lesquelles des réductions de taxes ont été accordées sont déposées par des personnes qui ont déposé, au cours d</w:t>
      </w:r>
      <w:r w:rsidR="0079087E" w:rsidRPr="00356FE1">
        <w:rPr>
          <w:lang w:val="fr-FR"/>
        </w:rPr>
        <w:t>’</w:t>
      </w:r>
      <w:r w:rsidRPr="00356FE1">
        <w:rPr>
          <w:lang w:val="fr-FR"/>
        </w:rPr>
        <w:t>une année donnée, un nombre de demandes internationales largement supérieur à ce qu</w:t>
      </w:r>
      <w:r w:rsidR="0079087E" w:rsidRPr="00356FE1">
        <w:rPr>
          <w:lang w:val="fr-FR"/>
        </w:rPr>
        <w:t>’</w:t>
      </w:r>
      <w:r w:rsidRPr="00356FE1">
        <w:rPr>
          <w:lang w:val="fr-FR"/>
        </w:rPr>
        <w:t xml:space="preserve">un </w:t>
      </w:r>
      <w:r w:rsidR="005431C6" w:rsidRPr="00356FE1">
        <w:rPr>
          <w:lang w:val="fr-FR"/>
        </w:rPr>
        <w:t xml:space="preserve">authentique particulier </w:t>
      </w:r>
      <w:r w:rsidRPr="00356FE1">
        <w:rPr>
          <w:lang w:val="fr-FR"/>
        </w:rPr>
        <w:t>pourrait inventer et décrire sans le soutien d</w:t>
      </w:r>
      <w:r w:rsidR="0079087E" w:rsidRPr="00356FE1">
        <w:rPr>
          <w:lang w:val="fr-FR"/>
        </w:rPr>
        <w:t>’</w:t>
      </w:r>
      <w:r w:rsidRPr="00356FE1">
        <w:rPr>
          <w:lang w:val="fr-FR"/>
        </w:rPr>
        <w:t>une entreprise.</w:t>
      </w:r>
      <w:bookmarkEnd w:id="9"/>
    </w:p>
    <w:p w:rsidR="00934C37" w:rsidRPr="00356FE1" w:rsidRDefault="00934C37" w:rsidP="000648F8">
      <w:pPr>
        <w:pStyle w:val="ONUMFS"/>
        <w:rPr>
          <w:lang w:val="fr-FR"/>
        </w:rPr>
      </w:pPr>
      <w:r w:rsidRPr="00356FE1">
        <w:rPr>
          <w:lang w:val="fr-FR"/>
        </w:rPr>
        <w:t>Les chiffres qui figurent dans le tableau ci</w:t>
      </w:r>
      <w:r w:rsidR="00B010B9" w:rsidRPr="00356FE1">
        <w:rPr>
          <w:lang w:val="fr-FR"/>
        </w:rPr>
        <w:noBreakHyphen/>
      </w:r>
      <w:r w:rsidRPr="00356FE1">
        <w:rPr>
          <w:lang w:val="fr-FR"/>
        </w:rPr>
        <w:t xml:space="preserve">dessus mettent en évidence la nécessité urgente de préciser la question des critères à remplir en ajoutant une </w:t>
      </w:r>
      <w:r w:rsidR="005431C6" w:rsidRPr="00356FE1">
        <w:rPr>
          <w:lang w:val="fr-FR"/>
        </w:rPr>
        <w:t>réserve</w:t>
      </w:r>
      <w:r w:rsidRPr="00356FE1">
        <w:rPr>
          <w:lang w:val="fr-FR"/>
        </w:rPr>
        <w:t xml:space="preserve"> au </w:t>
      </w:r>
      <w:r w:rsidR="0079087E" w:rsidRPr="00356FE1">
        <w:rPr>
          <w:lang w:val="fr-FR"/>
        </w:rPr>
        <w:t>point 5</w:t>
      </w:r>
      <w:r w:rsidRPr="00356FE1">
        <w:rPr>
          <w:lang w:val="fr-FR"/>
        </w:rPr>
        <w:t xml:space="preserve"> du barème de taxes, comme cela a été proposé dans le document PCT/WG/9/10, </w:t>
      </w:r>
      <w:r w:rsidR="005431C6" w:rsidRPr="00356FE1">
        <w:rPr>
          <w:lang w:val="fr-FR"/>
        </w:rPr>
        <w:t xml:space="preserve">tout en insérant </w:t>
      </w:r>
      <w:r w:rsidRPr="00356FE1">
        <w:rPr>
          <w:lang w:val="fr-FR"/>
        </w:rPr>
        <w:t xml:space="preserve">les termes </w:t>
      </w:r>
      <w:r w:rsidR="008D3670" w:rsidRPr="00356FE1">
        <w:rPr>
          <w:lang w:val="fr-FR"/>
        </w:rPr>
        <w:t>“</w:t>
      </w:r>
      <w:r w:rsidRPr="00356FE1">
        <w:rPr>
          <w:lang w:val="fr-FR"/>
        </w:rPr>
        <w:t>au moment du dépôt de la demande internationale</w:t>
      </w:r>
      <w:r w:rsidR="008D3670" w:rsidRPr="00356FE1">
        <w:rPr>
          <w:lang w:val="fr-FR"/>
        </w:rPr>
        <w:t>”</w:t>
      </w:r>
      <w:r w:rsidRPr="00356FE1">
        <w:rPr>
          <w:lang w:val="fr-FR"/>
        </w:rPr>
        <w:t xml:space="preserve"> (tel que cela avait été proposé par la délégation des États</w:t>
      </w:r>
      <w:r w:rsidR="00B010B9" w:rsidRPr="00356FE1">
        <w:rPr>
          <w:lang w:val="fr-FR"/>
        </w:rPr>
        <w:noBreakHyphen/>
      </w:r>
      <w:r w:rsidRPr="00356FE1">
        <w:rPr>
          <w:lang w:val="fr-FR"/>
        </w:rPr>
        <w:t>Unis d</w:t>
      </w:r>
      <w:r w:rsidR="0079087E" w:rsidRPr="00356FE1">
        <w:rPr>
          <w:lang w:val="fr-FR"/>
        </w:rPr>
        <w:t>’</w:t>
      </w:r>
      <w:r w:rsidRPr="00356FE1">
        <w:rPr>
          <w:lang w:val="fr-FR"/>
        </w:rPr>
        <w:t>Amérique et convenu par le groupe de travail à sa neuv</w:t>
      </w:r>
      <w:r w:rsidR="0079087E" w:rsidRPr="00356FE1">
        <w:rPr>
          <w:lang w:val="fr-FR"/>
        </w:rPr>
        <w:t>ième session</w:t>
      </w:r>
      <w:r w:rsidRPr="00356FE1">
        <w:rPr>
          <w:lang w:val="fr-FR"/>
        </w:rPr>
        <w:t xml:space="preserve">; </w:t>
      </w:r>
      <w:r w:rsidR="008D3670" w:rsidRPr="00356FE1">
        <w:rPr>
          <w:lang w:val="fr-FR"/>
        </w:rPr>
        <w:t xml:space="preserve"> </w:t>
      </w:r>
      <w:r w:rsidRPr="00356FE1">
        <w:rPr>
          <w:lang w:val="fr-FR"/>
        </w:rPr>
        <w:t xml:space="preserve">voir </w:t>
      </w:r>
      <w:r w:rsidR="0079087E" w:rsidRPr="00356FE1">
        <w:rPr>
          <w:lang w:val="fr-FR"/>
        </w:rPr>
        <w:t>paragraphe 1</w:t>
      </w:r>
      <w:r w:rsidRPr="00356FE1">
        <w:rPr>
          <w:lang w:val="fr-FR"/>
        </w:rPr>
        <w:t xml:space="preserve">27 du document PCT/WG/9/28).  Par commodité, la proposition de modification du </w:t>
      </w:r>
      <w:r w:rsidR="0079087E" w:rsidRPr="00356FE1">
        <w:rPr>
          <w:lang w:val="fr-FR"/>
        </w:rPr>
        <w:t>point 5</w:t>
      </w:r>
      <w:r w:rsidRPr="00356FE1">
        <w:rPr>
          <w:lang w:val="fr-FR"/>
        </w:rPr>
        <w:t xml:space="preserve"> du barème de taxes</w:t>
      </w:r>
      <w:r w:rsidR="0079087E" w:rsidRPr="00356FE1">
        <w:rPr>
          <w:lang w:val="fr-FR"/>
        </w:rPr>
        <w:t xml:space="preserve"> du PCT</w:t>
      </w:r>
      <w:r w:rsidRPr="00356FE1">
        <w:rPr>
          <w:lang w:val="fr-FR"/>
        </w:rPr>
        <w:t>, telle qu</w:t>
      </w:r>
      <w:r w:rsidR="0079087E" w:rsidRPr="00356FE1">
        <w:rPr>
          <w:lang w:val="fr-FR"/>
        </w:rPr>
        <w:t>’</w:t>
      </w:r>
      <w:r w:rsidRPr="00356FE1">
        <w:rPr>
          <w:lang w:val="fr-FR"/>
        </w:rPr>
        <w:t>elle figurait initialement dans l</w:t>
      </w:r>
      <w:r w:rsidR="0079087E" w:rsidRPr="00356FE1">
        <w:rPr>
          <w:lang w:val="fr-FR"/>
        </w:rPr>
        <w:t>’</w:t>
      </w:r>
      <w:r w:rsidRPr="00356FE1">
        <w:rPr>
          <w:lang w:val="fr-FR"/>
        </w:rPr>
        <w:t>annexe du document PCT/WG/9/10</w:t>
      </w:r>
      <w:r w:rsidR="005431C6" w:rsidRPr="00356FE1">
        <w:rPr>
          <w:lang w:val="fr-FR"/>
        </w:rPr>
        <w:t xml:space="preserve"> et compte tenu de </w:t>
      </w:r>
      <w:r w:rsidRPr="00356FE1">
        <w:rPr>
          <w:lang w:val="fr-FR"/>
        </w:rPr>
        <w:t>la modification indiquée ci</w:t>
      </w:r>
      <w:r w:rsidR="00B010B9" w:rsidRPr="00356FE1">
        <w:rPr>
          <w:lang w:val="fr-FR"/>
        </w:rPr>
        <w:noBreakHyphen/>
      </w:r>
      <w:r w:rsidRPr="00356FE1">
        <w:rPr>
          <w:lang w:val="fr-FR"/>
        </w:rPr>
        <w:t>dessus est reproduite dans l</w:t>
      </w:r>
      <w:r w:rsidR="0079087E" w:rsidRPr="00356FE1">
        <w:rPr>
          <w:lang w:val="fr-FR"/>
        </w:rPr>
        <w:t>’</w:t>
      </w:r>
      <w:r w:rsidRPr="00356FE1">
        <w:rPr>
          <w:lang w:val="fr-FR"/>
        </w:rPr>
        <w:t>annexe au présent document.</w:t>
      </w:r>
    </w:p>
    <w:p w:rsidR="00934C37" w:rsidRPr="00356FE1" w:rsidRDefault="00934C37" w:rsidP="000648F8">
      <w:pPr>
        <w:pStyle w:val="ONUMFS"/>
        <w:rPr>
          <w:lang w:val="fr-FR"/>
        </w:rPr>
      </w:pPr>
      <w:r w:rsidRPr="00356FE1">
        <w:rPr>
          <w:lang w:val="fr-FR"/>
        </w:rPr>
        <w:t>En outre, comme cela est indiqué dans le document PCT/WG/9/10, il est proposé que l</w:t>
      </w:r>
      <w:r w:rsidR="0079087E" w:rsidRPr="00356FE1">
        <w:rPr>
          <w:lang w:val="fr-FR"/>
        </w:rPr>
        <w:t>’</w:t>
      </w:r>
      <w:r w:rsidRPr="00356FE1">
        <w:rPr>
          <w:lang w:val="fr-FR"/>
        </w:rPr>
        <w:t>assemblée adopte un accord de principe ainsi libellé</w:t>
      </w:r>
      <w:r w:rsidR="0079087E" w:rsidRPr="00356FE1">
        <w:rPr>
          <w:lang w:val="fr-FR"/>
        </w:rPr>
        <w:t> :</w:t>
      </w:r>
    </w:p>
    <w:p w:rsidR="00934C37" w:rsidRPr="00356FE1" w:rsidRDefault="00934C37" w:rsidP="000648F8">
      <w:pPr>
        <w:pStyle w:val="ONUMFS"/>
        <w:numPr>
          <w:ilvl w:val="0"/>
          <w:numId w:val="0"/>
        </w:numPr>
        <w:ind w:left="567"/>
        <w:rPr>
          <w:lang w:val="fr-FR"/>
        </w:rPr>
      </w:pPr>
      <w:r w:rsidRPr="00356FE1">
        <w:rPr>
          <w:lang w:val="fr-FR"/>
        </w:rPr>
        <w:t>“En ce qui concerne l</w:t>
      </w:r>
      <w:r w:rsidR="0079087E" w:rsidRPr="00356FE1">
        <w:rPr>
          <w:lang w:val="fr-FR"/>
        </w:rPr>
        <w:t>’</w:t>
      </w:r>
      <w:r w:rsidRPr="00356FE1">
        <w:rPr>
          <w:lang w:val="fr-FR"/>
        </w:rPr>
        <w:t>Assemblée de l</w:t>
      </w:r>
      <w:r w:rsidR="0079087E" w:rsidRPr="00356FE1">
        <w:rPr>
          <w:lang w:val="fr-FR"/>
        </w:rPr>
        <w:t>’</w:t>
      </w:r>
      <w:r w:rsidRPr="00356FE1">
        <w:rPr>
          <w:lang w:val="fr-FR"/>
        </w:rPr>
        <w:t>Union</w:t>
      </w:r>
      <w:r w:rsidR="0079087E" w:rsidRPr="00356FE1">
        <w:rPr>
          <w:lang w:val="fr-FR"/>
        </w:rPr>
        <w:t xml:space="preserve"> du PCT</w:t>
      </w:r>
      <w:r w:rsidRPr="00356FE1">
        <w:rPr>
          <w:lang w:val="fr-FR"/>
        </w:rPr>
        <w:t xml:space="preserve">, il est entendu que les réductions de taxes prévues au </w:t>
      </w:r>
      <w:r w:rsidR="0079087E" w:rsidRPr="00356FE1">
        <w:rPr>
          <w:lang w:val="fr-FR"/>
        </w:rPr>
        <w:t>point 5</w:t>
      </w:r>
      <w:r w:rsidRPr="00356FE1">
        <w:rPr>
          <w:lang w:val="fr-FR"/>
        </w:rPr>
        <w:t xml:space="preserve"> du barème de taxes sont censées s</w:t>
      </w:r>
      <w:r w:rsidR="0079087E" w:rsidRPr="00356FE1">
        <w:rPr>
          <w:lang w:val="fr-FR"/>
        </w:rPr>
        <w:t>’</w:t>
      </w:r>
      <w:r w:rsidRPr="00356FE1">
        <w:rPr>
          <w:lang w:val="fr-FR"/>
        </w:rPr>
        <w:t>appliquer uniquement lorsque les déposants visés dans la requête sont les seuls et véritables titulaires de la demande et ne sont pas dans l</w:t>
      </w:r>
      <w:r w:rsidR="0079087E" w:rsidRPr="00356FE1">
        <w:rPr>
          <w:lang w:val="fr-FR"/>
        </w:rPr>
        <w:t>’</w:t>
      </w:r>
      <w:r w:rsidRPr="00356FE1">
        <w:rPr>
          <w:lang w:val="fr-FR"/>
        </w:rPr>
        <w:t>obligation de céder, octroyer, transférer ou concéder sous licence les droits découlant de l</w:t>
      </w:r>
      <w:r w:rsidR="0079087E" w:rsidRPr="00356FE1">
        <w:rPr>
          <w:lang w:val="fr-FR"/>
        </w:rPr>
        <w:t>’</w:t>
      </w:r>
      <w:r w:rsidRPr="00356FE1">
        <w:rPr>
          <w:lang w:val="fr-FR"/>
        </w:rPr>
        <w:t>invention à une autre partie qui ne remplit pas les conditions requises pour pouvoir prétendre aux réductions de taxes”.</w:t>
      </w:r>
    </w:p>
    <w:p w:rsidR="00934C37" w:rsidRPr="00356FE1" w:rsidRDefault="00934C37" w:rsidP="000648F8">
      <w:pPr>
        <w:pStyle w:val="ONUMFS"/>
        <w:rPr>
          <w:lang w:val="fr-FR"/>
        </w:rPr>
      </w:pPr>
      <w:r w:rsidRPr="00356FE1">
        <w:rPr>
          <w:lang w:val="fr-FR"/>
        </w:rPr>
        <w:t>Étant donné que le nombre de demandes internationales pour lesquelles il apparaît que des personnes jouent le rôle de déposant au nom d</w:t>
      </w:r>
      <w:r w:rsidR="0079087E" w:rsidRPr="00356FE1">
        <w:rPr>
          <w:lang w:val="fr-FR"/>
        </w:rPr>
        <w:t>’</w:t>
      </w:r>
      <w:r w:rsidRPr="00356FE1">
        <w:rPr>
          <w:lang w:val="fr-FR"/>
        </w:rPr>
        <w:t xml:space="preserve">une personne morale qui est le véritable </w:t>
      </w:r>
      <w:r w:rsidR="008D3670" w:rsidRPr="00356FE1">
        <w:rPr>
          <w:lang w:val="fr-FR"/>
        </w:rPr>
        <w:t>“</w:t>
      </w:r>
      <w:r w:rsidRPr="00356FE1">
        <w:rPr>
          <w:lang w:val="fr-FR"/>
        </w:rPr>
        <w:t>bénéficiaire</w:t>
      </w:r>
      <w:r w:rsidR="008D3670" w:rsidRPr="00356FE1">
        <w:rPr>
          <w:lang w:val="fr-FR"/>
        </w:rPr>
        <w:t>”</w:t>
      </w:r>
      <w:r w:rsidRPr="00356FE1">
        <w:rPr>
          <w:lang w:val="fr-FR"/>
        </w:rPr>
        <w:t xml:space="preserve"> sans demander aucun changement relatif à la personne du déposant au titre de la </w:t>
      </w:r>
      <w:r w:rsidR="0079087E" w:rsidRPr="00356FE1">
        <w:rPr>
          <w:lang w:val="fr-FR"/>
        </w:rPr>
        <w:t>règle 9</w:t>
      </w:r>
      <w:r w:rsidRPr="00356FE1">
        <w:rPr>
          <w:lang w:val="fr-FR"/>
        </w:rPr>
        <w:t>2</w:t>
      </w:r>
      <w:r w:rsidRPr="00356FE1">
        <w:rPr>
          <w:i/>
          <w:lang w:val="fr-FR"/>
        </w:rPr>
        <w:t>bis</w:t>
      </w:r>
      <w:r w:rsidRPr="00356FE1">
        <w:rPr>
          <w:lang w:val="fr-FR"/>
        </w:rPr>
        <w:t xml:space="preserve"> lors de la phase internationale (ainsi </w:t>
      </w:r>
      <w:r w:rsidR="000648F8" w:rsidRPr="00356FE1">
        <w:rPr>
          <w:lang w:val="fr-FR"/>
        </w:rPr>
        <w:t xml:space="preserve">qu’il ressort du </w:t>
      </w:r>
      <w:r w:rsidRPr="00356FE1">
        <w:rPr>
          <w:lang w:val="fr-FR"/>
        </w:rPr>
        <w:t>tableau du paragraphe</w:t>
      </w:r>
      <w:r w:rsidR="00F17F6D" w:rsidRPr="00356FE1">
        <w:rPr>
          <w:lang w:val="fr-FR"/>
        </w:rPr>
        <w:t> </w:t>
      </w:r>
      <w:r w:rsidR="00F17F6D" w:rsidRPr="00356FE1">
        <w:rPr>
          <w:lang w:val="fr-FR"/>
        </w:rPr>
        <w:fldChar w:fldCharType="begin"/>
      </w:r>
      <w:r w:rsidR="00F17F6D" w:rsidRPr="00356FE1">
        <w:rPr>
          <w:lang w:val="fr-FR"/>
        </w:rPr>
        <w:instrText xml:space="preserve"> REF _Ref479325384 \r \h </w:instrText>
      </w:r>
      <w:r w:rsidR="00DB7845" w:rsidRPr="00356FE1">
        <w:rPr>
          <w:lang w:val="fr-FR"/>
        </w:rPr>
        <w:instrText xml:space="preserve"> \* MERGEFORMAT </w:instrText>
      </w:r>
      <w:r w:rsidR="00F17F6D" w:rsidRPr="00356FE1">
        <w:rPr>
          <w:lang w:val="fr-FR"/>
        </w:rPr>
      </w:r>
      <w:r w:rsidR="00F17F6D" w:rsidRPr="00356FE1">
        <w:rPr>
          <w:lang w:val="fr-FR"/>
        </w:rPr>
        <w:fldChar w:fldCharType="separate"/>
      </w:r>
      <w:r w:rsidR="00536FA3">
        <w:rPr>
          <w:lang w:val="fr-FR"/>
        </w:rPr>
        <w:t>11</w:t>
      </w:r>
      <w:r w:rsidR="00F17F6D" w:rsidRPr="00356FE1">
        <w:rPr>
          <w:lang w:val="fr-FR"/>
        </w:rPr>
        <w:fldChar w:fldCharType="end"/>
      </w:r>
      <w:r w:rsidRPr="00356FE1">
        <w:rPr>
          <w:lang w:val="fr-FR"/>
        </w:rPr>
        <w:t xml:space="preserve"> ci</w:t>
      </w:r>
      <w:r w:rsidR="00B010B9" w:rsidRPr="00356FE1">
        <w:rPr>
          <w:lang w:val="fr-FR"/>
        </w:rPr>
        <w:noBreakHyphen/>
      </w:r>
      <w:r w:rsidRPr="00356FE1">
        <w:rPr>
          <w:lang w:val="fr-FR"/>
        </w:rPr>
        <w:t xml:space="preserve">dessus) est beaucoup plus important que le nombre de demandes internationales pour lesquelles un changement relatif à la personne du déposant a effectivement été enregistré au titre de la </w:t>
      </w:r>
      <w:r w:rsidR="0079087E" w:rsidRPr="00356FE1">
        <w:rPr>
          <w:lang w:val="fr-FR"/>
        </w:rPr>
        <w:t>règle 9</w:t>
      </w:r>
      <w:r w:rsidRPr="00356FE1">
        <w:rPr>
          <w:lang w:val="fr-FR"/>
        </w:rPr>
        <w:t>2</w:t>
      </w:r>
      <w:r w:rsidRPr="00356FE1">
        <w:rPr>
          <w:i/>
          <w:lang w:val="fr-FR"/>
        </w:rPr>
        <w:t>bis</w:t>
      </w:r>
      <w:r w:rsidRPr="00356FE1">
        <w:rPr>
          <w:lang w:val="fr-FR"/>
        </w:rPr>
        <w:t xml:space="preserve"> afin d</w:t>
      </w:r>
      <w:r w:rsidR="0079087E" w:rsidRPr="00356FE1">
        <w:rPr>
          <w:lang w:val="fr-FR"/>
        </w:rPr>
        <w:t>’</w:t>
      </w:r>
      <w:r w:rsidRPr="00356FE1">
        <w:rPr>
          <w:lang w:val="fr-FR"/>
        </w:rPr>
        <w:t>inclure un déposant ne remplissant pas les conditions</w:t>
      </w:r>
      <w:r w:rsidR="000648F8" w:rsidRPr="00356FE1">
        <w:rPr>
          <w:lang w:val="fr-FR"/>
        </w:rPr>
        <w:t xml:space="preserve"> requises</w:t>
      </w:r>
      <w:r w:rsidRPr="00356FE1">
        <w:rPr>
          <w:lang w:val="fr-FR"/>
        </w:rPr>
        <w:t xml:space="preserve">, il semblerait que les efforts visant à influencer le comportement des déposants quant à la demande </w:t>
      </w:r>
      <w:r w:rsidR="000648F8" w:rsidRPr="00356FE1">
        <w:rPr>
          <w:lang w:val="fr-FR"/>
        </w:rPr>
        <w:t xml:space="preserve">d’inscription </w:t>
      </w:r>
      <w:r w:rsidRPr="00356FE1">
        <w:rPr>
          <w:lang w:val="fr-FR"/>
        </w:rPr>
        <w:t xml:space="preserve">de changements au titre de la </w:t>
      </w:r>
      <w:r w:rsidR="0079087E" w:rsidRPr="00356FE1">
        <w:rPr>
          <w:lang w:val="fr-FR"/>
        </w:rPr>
        <w:t>règle 9</w:t>
      </w:r>
      <w:r w:rsidRPr="00356FE1">
        <w:rPr>
          <w:lang w:val="fr-FR"/>
        </w:rPr>
        <w:t>2</w:t>
      </w:r>
      <w:r w:rsidRPr="00356FE1">
        <w:rPr>
          <w:i/>
          <w:lang w:val="fr-FR"/>
        </w:rPr>
        <w:t>bis</w:t>
      </w:r>
      <w:r w:rsidRPr="00356FE1">
        <w:rPr>
          <w:lang w:val="fr-FR"/>
        </w:rPr>
        <w:t xml:space="preserve"> pendant la phase internationale soient moins importants que de préciser les critères à remplir pour bénéficier d</w:t>
      </w:r>
      <w:r w:rsidR="0079087E" w:rsidRPr="00356FE1">
        <w:rPr>
          <w:lang w:val="fr-FR"/>
        </w:rPr>
        <w:t>’</w:t>
      </w:r>
      <w:r w:rsidRPr="00356FE1">
        <w:rPr>
          <w:lang w:val="fr-FR"/>
        </w:rPr>
        <w:t>une réduction des taxes à la date du dépôt internation</w:t>
      </w:r>
      <w:r w:rsidR="00292D08" w:rsidRPr="00356FE1">
        <w:rPr>
          <w:lang w:val="fr-FR"/>
        </w:rPr>
        <w:t>al.  Pa</w:t>
      </w:r>
      <w:r w:rsidRPr="00356FE1">
        <w:rPr>
          <w:lang w:val="fr-FR"/>
        </w:rPr>
        <w:t xml:space="preserve">r conséquent, comme cela a déjà été indiqué au </w:t>
      </w:r>
      <w:r w:rsidR="0079087E" w:rsidRPr="00356FE1">
        <w:rPr>
          <w:lang w:val="fr-FR"/>
        </w:rPr>
        <w:t>paragraphe 1</w:t>
      </w:r>
      <w:r w:rsidRPr="00356FE1">
        <w:rPr>
          <w:lang w:val="fr-FR"/>
        </w:rPr>
        <w:t xml:space="preserve">43 du document PCT/WG/9/28, le Bureau international ne voit pas la nécessité de modifier la </w:t>
      </w:r>
      <w:r w:rsidR="0079087E" w:rsidRPr="00356FE1">
        <w:rPr>
          <w:lang w:val="fr-FR"/>
        </w:rPr>
        <w:t>règle 9</w:t>
      </w:r>
      <w:r w:rsidRPr="00356FE1">
        <w:rPr>
          <w:lang w:val="fr-FR"/>
        </w:rPr>
        <w:t>2</w:t>
      </w:r>
      <w:r w:rsidRPr="00356FE1">
        <w:rPr>
          <w:i/>
          <w:lang w:val="fr-FR"/>
        </w:rPr>
        <w:t>bis</w:t>
      </w:r>
      <w:r w:rsidRPr="00356FE1">
        <w:rPr>
          <w:lang w:val="fr-FR"/>
        </w:rPr>
        <w:t xml:space="preserve"> pour le moment.</w:t>
      </w:r>
    </w:p>
    <w:p w:rsidR="00DB7845" w:rsidRPr="00356FE1" w:rsidRDefault="00934C37" w:rsidP="000648F8">
      <w:pPr>
        <w:pStyle w:val="ONUMFS"/>
        <w:ind w:left="5533"/>
        <w:rPr>
          <w:i/>
          <w:lang w:val="fr-FR"/>
        </w:rPr>
      </w:pPr>
      <w:r w:rsidRPr="00356FE1">
        <w:rPr>
          <w:i/>
          <w:lang w:val="fr-FR"/>
        </w:rPr>
        <w:t>L</w:t>
      </w:r>
      <w:r w:rsidR="000648F8" w:rsidRPr="00356FE1">
        <w:rPr>
          <w:i/>
          <w:lang w:val="fr-FR"/>
        </w:rPr>
        <w:t>e groupe de travail est invité</w:t>
      </w:r>
    </w:p>
    <w:p w:rsidR="00DB7845" w:rsidRPr="00356FE1" w:rsidRDefault="000648F8" w:rsidP="000648F8">
      <w:pPr>
        <w:pStyle w:val="ONUMFS"/>
        <w:numPr>
          <w:ilvl w:val="2"/>
          <w:numId w:val="6"/>
        </w:numPr>
        <w:tabs>
          <w:tab w:val="left" w:pos="6237"/>
        </w:tabs>
        <w:ind w:left="5533"/>
        <w:rPr>
          <w:i/>
          <w:lang w:val="fr-FR"/>
        </w:rPr>
      </w:pPr>
      <w:r w:rsidRPr="00356FE1">
        <w:rPr>
          <w:i/>
          <w:lang w:val="fr-FR"/>
        </w:rPr>
        <w:t xml:space="preserve">à </w:t>
      </w:r>
      <w:r w:rsidR="00934C37" w:rsidRPr="00356FE1">
        <w:rPr>
          <w:i/>
          <w:lang w:val="fr-FR"/>
        </w:rPr>
        <w:t>prendre note des informations supplémentaires figurant aux paragraphes </w:t>
      </w:r>
      <w:r w:rsidR="00F17F6D" w:rsidRPr="00356FE1">
        <w:rPr>
          <w:i/>
          <w:lang w:val="fr-FR"/>
        </w:rPr>
        <w:fldChar w:fldCharType="begin"/>
      </w:r>
      <w:r w:rsidR="00F17F6D" w:rsidRPr="00356FE1">
        <w:rPr>
          <w:i/>
          <w:lang w:val="fr-FR"/>
        </w:rPr>
        <w:instrText xml:space="preserve"> REF _Ref479325408 \r \h </w:instrText>
      </w:r>
      <w:r w:rsidR="00DB7845" w:rsidRPr="00356FE1">
        <w:rPr>
          <w:i/>
          <w:lang w:val="fr-FR"/>
        </w:rPr>
        <w:instrText xml:space="preserve"> \* MERGEFORMAT </w:instrText>
      </w:r>
      <w:r w:rsidR="00F17F6D" w:rsidRPr="00356FE1">
        <w:rPr>
          <w:i/>
          <w:lang w:val="fr-FR"/>
        </w:rPr>
      </w:r>
      <w:r w:rsidR="00F17F6D" w:rsidRPr="00356FE1">
        <w:rPr>
          <w:i/>
          <w:lang w:val="fr-FR"/>
        </w:rPr>
        <w:fldChar w:fldCharType="separate"/>
      </w:r>
      <w:r w:rsidR="00536FA3">
        <w:rPr>
          <w:i/>
          <w:lang w:val="fr-FR"/>
        </w:rPr>
        <w:t>7</w:t>
      </w:r>
      <w:r w:rsidR="00F17F6D" w:rsidRPr="00356FE1">
        <w:rPr>
          <w:i/>
          <w:lang w:val="fr-FR"/>
        </w:rPr>
        <w:fldChar w:fldCharType="end"/>
      </w:r>
      <w:r w:rsidR="00934C37" w:rsidRPr="00356FE1">
        <w:rPr>
          <w:i/>
          <w:lang w:val="fr-FR"/>
        </w:rPr>
        <w:t> à </w:t>
      </w:r>
      <w:r w:rsidR="00F17F6D" w:rsidRPr="00356FE1">
        <w:rPr>
          <w:i/>
          <w:lang w:val="fr-FR"/>
        </w:rPr>
        <w:fldChar w:fldCharType="begin"/>
      </w:r>
      <w:r w:rsidR="00F17F6D" w:rsidRPr="00356FE1">
        <w:rPr>
          <w:i/>
          <w:lang w:val="fr-FR"/>
        </w:rPr>
        <w:instrText xml:space="preserve"> REF _Ref479325422 \r \h </w:instrText>
      </w:r>
      <w:r w:rsidR="00DB7845" w:rsidRPr="00356FE1">
        <w:rPr>
          <w:i/>
          <w:lang w:val="fr-FR"/>
        </w:rPr>
        <w:instrText xml:space="preserve"> \* MERGEFORMAT </w:instrText>
      </w:r>
      <w:r w:rsidR="00F17F6D" w:rsidRPr="00356FE1">
        <w:rPr>
          <w:i/>
          <w:lang w:val="fr-FR"/>
        </w:rPr>
      </w:r>
      <w:r w:rsidR="00F17F6D" w:rsidRPr="00356FE1">
        <w:rPr>
          <w:i/>
          <w:lang w:val="fr-FR"/>
        </w:rPr>
        <w:fldChar w:fldCharType="separate"/>
      </w:r>
      <w:r w:rsidR="00536FA3">
        <w:rPr>
          <w:i/>
          <w:lang w:val="fr-FR"/>
        </w:rPr>
        <w:t>12</w:t>
      </w:r>
      <w:r w:rsidR="00F17F6D" w:rsidRPr="00356FE1">
        <w:rPr>
          <w:i/>
          <w:lang w:val="fr-FR"/>
        </w:rPr>
        <w:fldChar w:fldCharType="end"/>
      </w:r>
      <w:r w:rsidRPr="00356FE1">
        <w:rPr>
          <w:i/>
          <w:lang w:val="fr-FR"/>
        </w:rPr>
        <w:t xml:space="preserve"> du présent document et</w:t>
      </w:r>
    </w:p>
    <w:p w:rsidR="00934C37" w:rsidRPr="00356FE1" w:rsidRDefault="000648F8" w:rsidP="000648F8">
      <w:pPr>
        <w:pStyle w:val="ONUMFS"/>
        <w:numPr>
          <w:ilvl w:val="2"/>
          <w:numId w:val="6"/>
        </w:numPr>
        <w:ind w:left="5533"/>
        <w:rPr>
          <w:i/>
          <w:iCs/>
          <w:lang w:val="fr-FR"/>
        </w:rPr>
      </w:pPr>
      <w:r w:rsidRPr="00356FE1">
        <w:rPr>
          <w:i/>
          <w:lang w:val="fr-FR"/>
        </w:rPr>
        <w:t xml:space="preserve">à </w:t>
      </w:r>
      <w:r w:rsidR="00934C37" w:rsidRPr="00356FE1">
        <w:rPr>
          <w:i/>
          <w:lang w:val="fr-FR"/>
        </w:rPr>
        <w:t>poursuivre l</w:t>
      </w:r>
      <w:r w:rsidR="0079087E" w:rsidRPr="00356FE1">
        <w:rPr>
          <w:i/>
          <w:lang w:val="fr-FR"/>
        </w:rPr>
        <w:t>’</w:t>
      </w:r>
      <w:r w:rsidR="00934C37" w:rsidRPr="00356FE1">
        <w:rPr>
          <w:i/>
          <w:lang w:val="fr-FR"/>
        </w:rPr>
        <w:t xml:space="preserve">examen des modifications </w:t>
      </w:r>
      <w:r w:rsidRPr="00356FE1">
        <w:rPr>
          <w:i/>
          <w:lang w:val="fr-FR"/>
        </w:rPr>
        <w:t>qu’il est proposé</w:t>
      </w:r>
      <w:r w:rsidR="00934C37" w:rsidRPr="00356FE1">
        <w:rPr>
          <w:i/>
          <w:lang w:val="fr-FR"/>
        </w:rPr>
        <w:t xml:space="preserve"> </w:t>
      </w:r>
      <w:r w:rsidRPr="00356FE1">
        <w:rPr>
          <w:i/>
          <w:lang w:val="fr-FR"/>
        </w:rPr>
        <w:t xml:space="preserve">d’apporter </w:t>
      </w:r>
      <w:r w:rsidR="00934C37" w:rsidRPr="00356FE1">
        <w:rPr>
          <w:i/>
          <w:lang w:val="fr-FR"/>
        </w:rPr>
        <w:t>au barème de taxes qui figure</w:t>
      </w:r>
      <w:r w:rsidRPr="00356FE1">
        <w:rPr>
          <w:i/>
          <w:lang w:val="fr-FR"/>
        </w:rPr>
        <w:t>nt</w:t>
      </w:r>
      <w:r w:rsidR="00934C37" w:rsidRPr="00356FE1">
        <w:rPr>
          <w:i/>
          <w:lang w:val="fr-FR"/>
        </w:rPr>
        <w:t xml:space="preserve"> dans l</w:t>
      </w:r>
      <w:r w:rsidR="0079087E" w:rsidRPr="00356FE1">
        <w:rPr>
          <w:i/>
          <w:lang w:val="fr-FR"/>
        </w:rPr>
        <w:t>’</w:t>
      </w:r>
      <w:r w:rsidR="00934C37" w:rsidRPr="00356FE1">
        <w:rPr>
          <w:i/>
          <w:lang w:val="fr-FR"/>
        </w:rPr>
        <w:t>annexe du présent document.</w:t>
      </w:r>
    </w:p>
    <w:p w:rsidR="00934C37" w:rsidRPr="00356FE1" w:rsidRDefault="00934C37" w:rsidP="000648F8">
      <w:pPr>
        <w:pStyle w:val="Endofdocument-Annex"/>
        <w:rPr>
          <w:lang w:val="fr-FR"/>
        </w:rPr>
        <w:sectPr w:rsidR="00934C37" w:rsidRPr="00356FE1" w:rsidSect="0079087E">
          <w:headerReference w:type="default" r:id="rId10"/>
          <w:endnotePr>
            <w:numFmt w:val="decimal"/>
          </w:endnotePr>
          <w:pgSz w:w="11907" w:h="16840" w:code="9"/>
          <w:pgMar w:top="567" w:right="1134" w:bottom="1418" w:left="1418" w:header="510" w:footer="1021" w:gutter="0"/>
          <w:cols w:space="720"/>
          <w:titlePg/>
          <w:docGrid w:linePitch="299"/>
        </w:sectPr>
      </w:pPr>
      <w:r w:rsidRPr="00356FE1">
        <w:rPr>
          <w:lang w:val="fr-FR"/>
        </w:rPr>
        <w:t>[L</w:t>
      </w:r>
      <w:r w:rsidR="0079087E" w:rsidRPr="00356FE1">
        <w:rPr>
          <w:lang w:val="fr-FR"/>
        </w:rPr>
        <w:t>’</w:t>
      </w:r>
      <w:r w:rsidRPr="00356FE1">
        <w:rPr>
          <w:lang w:val="fr-FR"/>
        </w:rPr>
        <w:t>annexe suit]</w:t>
      </w:r>
    </w:p>
    <w:p w:rsidR="00934C37" w:rsidRPr="00356FE1" w:rsidRDefault="00B010B9" w:rsidP="000648F8">
      <w:pPr>
        <w:jc w:val="center"/>
        <w:rPr>
          <w:lang w:val="fr-FR"/>
        </w:rPr>
      </w:pPr>
      <w:r w:rsidRPr="00356FE1">
        <w:rPr>
          <w:lang w:val="fr-FR"/>
        </w:rPr>
        <w:lastRenderedPageBreak/>
        <w:t>PROPOSITIONS DE MODIFICATION DU RÈGLEMENT D’EXÉCUTION DU PCT</w:t>
      </w:r>
      <w:r w:rsidR="00934C37" w:rsidRPr="00356FE1">
        <w:rPr>
          <w:rStyle w:val="FootnoteReference"/>
          <w:lang w:val="fr-FR"/>
        </w:rPr>
        <w:footnoteReference w:id="3"/>
      </w:r>
    </w:p>
    <w:p w:rsidR="00934C37" w:rsidRPr="00356FE1" w:rsidRDefault="00934C37" w:rsidP="000648F8">
      <w:pPr>
        <w:rPr>
          <w:lang w:val="fr-FR"/>
        </w:rPr>
      </w:pPr>
    </w:p>
    <w:p w:rsidR="00934C37" w:rsidRPr="00356FE1" w:rsidRDefault="00934C37" w:rsidP="000648F8">
      <w:pPr>
        <w:pStyle w:val="LegTitle"/>
        <w:spacing w:after="240"/>
        <w:rPr>
          <w:rFonts w:eastAsia="Arial Unicode MS"/>
          <w:lang w:val="fr-FR"/>
        </w:rPr>
      </w:pPr>
      <w:r w:rsidRPr="00356FE1">
        <w:rPr>
          <w:rFonts w:eastAsia="Arial Unicode MS"/>
          <w:lang w:val="fr-FR"/>
        </w:rPr>
        <w:t>BARÈME DE TAXES</w:t>
      </w:r>
    </w:p>
    <w:tbl>
      <w:tblPr>
        <w:tblW w:w="4813" w:type="pct"/>
        <w:jc w:val="center"/>
        <w:tblCellMar>
          <w:top w:w="57" w:type="dxa"/>
          <w:bottom w:w="57" w:type="dxa"/>
        </w:tblCellMar>
        <w:tblLook w:val="0000" w:firstRow="0" w:lastRow="0" w:firstColumn="0" w:lastColumn="0" w:noHBand="0" w:noVBand="0"/>
      </w:tblPr>
      <w:tblGrid>
        <w:gridCol w:w="580"/>
        <w:gridCol w:w="5599"/>
        <w:gridCol w:w="3034"/>
      </w:tblGrid>
      <w:tr w:rsidR="00356FE1" w:rsidRPr="00356FE1" w:rsidTr="00356FE1">
        <w:trPr>
          <w:cantSplit/>
          <w:jc w:val="center"/>
        </w:trPr>
        <w:tc>
          <w:tcPr>
            <w:tcW w:w="6111" w:type="dxa"/>
            <w:gridSpan w:val="2"/>
          </w:tcPr>
          <w:p w:rsidR="00934C37" w:rsidRPr="00356FE1" w:rsidRDefault="00934C37" w:rsidP="000648F8">
            <w:pPr>
              <w:pStyle w:val="LegBasic"/>
              <w:spacing w:after="120" w:line="240" w:lineRule="auto"/>
              <w:rPr>
                <w:rFonts w:eastAsia="SimSun"/>
                <w:b/>
                <w:bCs/>
                <w:lang w:val="fr-FR"/>
              </w:rPr>
            </w:pPr>
            <w:r w:rsidRPr="00356FE1">
              <w:rPr>
                <w:rFonts w:eastAsia="SimSun"/>
                <w:b/>
                <w:bCs/>
                <w:lang w:val="fr-FR"/>
              </w:rPr>
              <w:t>Taxes</w:t>
            </w:r>
          </w:p>
        </w:tc>
        <w:tc>
          <w:tcPr>
            <w:tcW w:w="3001" w:type="dxa"/>
          </w:tcPr>
          <w:p w:rsidR="00934C37" w:rsidRPr="00356FE1" w:rsidRDefault="00934C37" w:rsidP="000648F8">
            <w:pPr>
              <w:pStyle w:val="LegBasic"/>
              <w:spacing w:after="120" w:line="240" w:lineRule="auto"/>
              <w:rPr>
                <w:rFonts w:eastAsia="SimSun"/>
                <w:b/>
                <w:bCs/>
                <w:lang w:val="fr-FR"/>
              </w:rPr>
            </w:pPr>
            <w:r w:rsidRPr="00356FE1">
              <w:rPr>
                <w:rFonts w:eastAsia="SimSun"/>
                <w:b/>
                <w:bCs/>
                <w:lang w:val="fr-FR"/>
              </w:rPr>
              <w:t>Montant</w:t>
            </w:r>
          </w:p>
        </w:tc>
      </w:tr>
      <w:tr w:rsidR="00356FE1" w:rsidRPr="00356FE1" w:rsidTr="00356FE1">
        <w:trPr>
          <w:cantSplit/>
          <w:jc w:val="center"/>
        </w:trPr>
        <w:tc>
          <w:tcPr>
            <w:tcW w:w="9112" w:type="dxa"/>
            <w:gridSpan w:val="3"/>
          </w:tcPr>
          <w:p w:rsidR="00934C37" w:rsidRPr="00356FE1" w:rsidRDefault="00934C37" w:rsidP="000648F8">
            <w:pPr>
              <w:pStyle w:val="LegBasic"/>
              <w:spacing w:after="120" w:line="240" w:lineRule="auto"/>
              <w:rPr>
                <w:lang w:val="fr-FR"/>
              </w:rPr>
            </w:pPr>
            <w:r w:rsidRPr="00356FE1">
              <w:rPr>
                <w:lang w:val="fr-FR"/>
              </w:rPr>
              <w:t>1 à 3 [Sans changement]</w:t>
            </w:r>
          </w:p>
        </w:tc>
      </w:tr>
      <w:tr w:rsidR="00356FE1" w:rsidRPr="00356FE1" w:rsidTr="00356FE1">
        <w:trPr>
          <w:cantSplit/>
          <w:jc w:val="center"/>
        </w:trPr>
        <w:tc>
          <w:tcPr>
            <w:tcW w:w="6111" w:type="dxa"/>
            <w:gridSpan w:val="2"/>
          </w:tcPr>
          <w:p w:rsidR="00934C37" w:rsidRPr="00356FE1" w:rsidRDefault="00934C37" w:rsidP="000648F8">
            <w:pPr>
              <w:pStyle w:val="LegBasic"/>
              <w:spacing w:after="120" w:line="240" w:lineRule="auto"/>
              <w:rPr>
                <w:rFonts w:eastAsia="SimSun"/>
                <w:b/>
                <w:bCs/>
                <w:lang w:val="fr-FR"/>
              </w:rPr>
            </w:pPr>
            <w:r w:rsidRPr="00356FE1">
              <w:rPr>
                <w:rFonts w:eastAsia="SimSun"/>
                <w:b/>
                <w:bCs/>
                <w:lang w:val="fr-FR"/>
              </w:rPr>
              <w:t>Réductions</w:t>
            </w:r>
          </w:p>
          <w:p w:rsidR="00934C37" w:rsidRPr="00356FE1" w:rsidRDefault="00934C37" w:rsidP="000648F8">
            <w:pPr>
              <w:pStyle w:val="LegBasic"/>
              <w:spacing w:after="120" w:line="240" w:lineRule="auto"/>
              <w:rPr>
                <w:rFonts w:eastAsia="SimSun"/>
                <w:b/>
                <w:bCs/>
                <w:lang w:val="fr-FR"/>
              </w:rPr>
            </w:pPr>
            <w:r w:rsidRPr="00356FE1">
              <w:rPr>
                <w:rFonts w:eastAsia="SimSun"/>
                <w:b/>
                <w:bCs/>
                <w:lang w:val="fr-FR"/>
              </w:rPr>
              <w:t xml:space="preserve">4. </w:t>
            </w:r>
            <w:r w:rsidR="008D3670" w:rsidRPr="00356FE1">
              <w:rPr>
                <w:rFonts w:eastAsia="SimSun"/>
                <w:b/>
                <w:bCs/>
                <w:lang w:val="fr-FR"/>
              </w:rPr>
              <w:t xml:space="preserve"> </w:t>
            </w:r>
            <w:r w:rsidRPr="00356FE1">
              <w:rPr>
                <w:rFonts w:eastAsia="SimSun"/>
                <w:b/>
                <w:bCs/>
                <w:lang w:val="fr-FR"/>
              </w:rPr>
              <w:t>[Sans changement]</w:t>
            </w:r>
          </w:p>
        </w:tc>
        <w:tc>
          <w:tcPr>
            <w:tcW w:w="3001" w:type="dxa"/>
          </w:tcPr>
          <w:p w:rsidR="00934C37" w:rsidRPr="00356FE1" w:rsidRDefault="00934C37" w:rsidP="000648F8">
            <w:pPr>
              <w:pStyle w:val="LegBasic"/>
              <w:spacing w:after="120" w:line="240" w:lineRule="auto"/>
              <w:rPr>
                <w:rFonts w:eastAsia="SimSun"/>
                <w:b/>
                <w:bCs/>
                <w:lang w:val="fr-FR"/>
              </w:rPr>
            </w:pPr>
          </w:p>
        </w:tc>
      </w:tr>
      <w:tr w:rsidR="00356FE1" w:rsidRPr="00356FE1" w:rsidTr="00356FE1">
        <w:trPr>
          <w:cantSplit/>
          <w:jc w:val="center"/>
        </w:trPr>
        <w:tc>
          <w:tcPr>
            <w:tcW w:w="9112" w:type="dxa"/>
            <w:gridSpan w:val="3"/>
          </w:tcPr>
          <w:p w:rsidR="00934C37" w:rsidRPr="00356FE1" w:rsidRDefault="00934C37" w:rsidP="000648F8">
            <w:pPr>
              <w:pStyle w:val="LegBasic"/>
              <w:spacing w:after="120" w:line="240" w:lineRule="auto"/>
              <w:rPr>
                <w:rFonts w:eastAsia="SimSun"/>
                <w:lang w:val="fr-FR" w:eastAsia="zh-CN"/>
              </w:rPr>
            </w:pPr>
            <w:r w:rsidRPr="00356FE1">
              <w:rPr>
                <w:rFonts w:eastAsia="SimSun"/>
                <w:lang w:val="fr-FR" w:eastAsia="zh-CN"/>
              </w:rPr>
              <w:t>5.</w:t>
            </w:r>
            <w:r w:rsidRPr="00356FE1">
              <w:rPr>
                <w:rFonts w:eastAsia="SimSun"/>
                <w:lang w:val="fr-FR" w:eastAsia="zh-CN"/>
              </w:rPr>
              <w:tab/>
              <w:t xml:space="preserve">La taxe internationale de dépôt prévue au </w:t>
            </w:r>
            <w:r w:rsidR="0079087E" w:rsidRPr="00356FE1">
              <w:rPr>
                <w:rFonts w:eastAsia="SimSun"/>
                <w:lang w:val="fr-FR" w:eastAsia="zh-CN"/>
              </w:rPr>
              <w:t>point 1</w:t>
            </w:r>
            <w:r w:rsidRPr="00356FE1">
              <w:rPr>
                <w:rFonts w:eastAsia="SimSun"/>
                <w:lang w:val="fr-FR" w:eastAsia="zh-CN"/>
              </w:rPr>
              <w:t xml:space="preserve"> (compte tenu, le cas échéant, de la réduction prévue au </w:t>
            </w:r>
            <w:r w:rsidR="0079087E" w:rsidRPr="00356FE1">
              <w:rPr>
                <w:rFonts w:eastAsia="SimSun"/>
                <w:lang w:val="fr-FR" w:eastAsia="zh-CN"/>
              </w:rPr>
              <w:t>point 4</w:t>
            </w:r>
            <w:r w:rsidRPr="00356FE1">
              <w:rPr>
                <w:rFonts w:eastAsia="SimSun"/>
                <w:lang w:val="fr-FR" w:eastAsia="zh-CN"/>
              </w:rPr>
              <w:t xml:space="preserve">), la taxe de traitement de la recherche supplémentaire prévue au </w:t>
            </w:r>
            <w:r w:rsidR="0079087E" w:rsidRPr="00356FE1">
              <w:rPr>
                <w:rFonts w:eastAsia="SimSun"/>
                <w:lang w:val="fr-FR" w:eastAsia="zh-CN"/>
              </w:rPr>
              <w:t>point 2</w:t>
            </w:r>
            <w:r w:rsidRPr="00356FE1">
              <w:rPr>
                <w:rFonts w:eastAsia="SimSun"/>
                <w:lang w:val="fr-FR" w:eastAsia="zh-CN"/>
              </w:rPr>
              <w:t xml:space="preserve"> et la taxe de traitement prévue au </w:t>
            </w:r>
            <w:r w:rsidR="0079087E" w:rsidRPr="00356FE1">
              <w:rPr>
                <w:rFonts w:eastAsia="SimSun"/>
                <w:lang w:val="fr-FR" w:eastAsia="zh-CN"/>
              </w:rPr>
              <w:t>point 3</w:t>
            </w:r>
            <w:r w:rsidRPr="00356FE1">
              <w:rPr>
                <w:rFonts w:eastAsia="SimSun"/>
                <w:lang w:val="fr-FR" w:eastAsia="zh-CN"/>
              </w:rPr>
              <w:t xml:space="preserve"> sont réduites de 90% si la demande internationale est déposée par</w:t>
            </w:r>
            <w:r w:rsidR="0079087E" w:rsidRPr="00356FE1">
              <w:rPr>
                <w:rFonts w:eastAsia="SimSun"/>
                <w:lang w:val="fr-FR" w:eastAsia="zh-CN"/>
              </w:rPr>
              <w:t> :</w:t>
            </w:r>
          </w:p>
        </w:tc>
      </w:tr>
      <w:tr w:rsidR="00356FE1" w:rsidRPr="00356FE1" w:rsidTr="00356FE1">
        <w:trPr>
          <w:cantSplit/>
          <w:jc w:val="center"/>
        </w:trPr>
        <w:tc>
          <w:tcPr>
            <w:tcW w:w="573" w:type="dxa"/>
          </w:tcPr>
          <w:p w:rsidR="00934C37" w:rsidRPr="00356FE1" w:rsidRDefault="00934C37" w:rsidP="000648F8">
            <w:pPr>
              <w:suppressAutoHyphens/>
              <w:spacing w:after="120"/>
              <w:rPr>
                <w:szCs w:val="28"/>
                <w:lang w:val="fr-FR"/>
              </w:rPr>
            </w:pPr>
            <w:r w:rsidRPr="00356FE1">
              <w:rPr>
                <w:szCs w:val="28"/>
                <w:lang w:val="fr-FR"/>
              </w:rPr>
              <w:br w:type="page"/>
            </w:r>
          </w:p>
        </w:tc>
        <w:tc>
          <w:tcPr>
            <w:tcW w:w="8539" w:type="dxa"/>
            <w:gridSpan w:val="2"/>
          </w:tcPr>
          <w:p w:rsidR="00934C37" w:rsidRPr="00356FE1" w:rsidRDefault="00934C37" w:rsidP="000648F8">
            <w:pPr>
              <w:pStyle w:val="LegBasic"/>
              <w:spacing w:after="120" w:line="240" w:lineRule="auto"/>
              <w:rPr>
                <w:rFonts w:eastAsia="SimSun"/>
                <w:lang w:val="fr-FR"/>
              </w:rPr>
            </w:pPr>
            <w:r w:rsidRPr="00356FE1">
              <w:rPr>
                <w:rFonts w:eastAsia="SimSun"/>
                <w:lang w:val="fr-FR"/>
              </w:rPr>
              <w:t>a)</w:t>
            </w:r>
            <w:r w:rsidRPr="00356FE1">
              <w:rPr>
                <w:rFonts w:eastAsia="SimSun"/>
                <w:lang w:val="fr-FR"/>
              </w:rPr>
              <w:tab/>
              <w:t>[Sans changement] un déposant qui est une personne physique et qui est ressortissant d</w:t>
            </w:r>
            <w:r w:rsidR="0079087E" w:rsidRPr="00356FE1">
              <w:rPr>
                <w:rFonts w:eastAsia="SimSun"/>
                <w:lang w:val="fr-FR"/>
              </w:rPr>
              <w:t>’</w:t>
            </w:r>
            <w:r w:rsidRPr="00356FE1">
              <w:rPr>
                <w:rFonts w:eastAsia="SimSun"/>
                <w:lang w:val="fr-FR"/>
              </w:rPr>
              <w:t>un État, et est domicilié dans un État, qui figure sur la liste des États où le produit intérieur brut par habitant est inférieur à 25</w:t>
            </w:r>
            <w:r w:rsidR="008D3670" w:rsidRPr="00356FE1">
              <w:rPr>
                <w:rFonts w:eastAsia="SimSun"/>
                <w:lang w:val="fr-FR"/>
              </w:rPr>
              <w:t> </w:t>
            </w:r>
            <w:r w:rsidRPr="00356FE1">
              <w:rPr>
                <w:rFonts w:eastAsia="SimSun"/>
                <w:lang w:val="fr-FR"/>
              </w:rPr>
              <w:t>00</w:t>
            </w:r>
            <w:r w:rsidR="0079087E" w:rsidRPr="00356FE1">
              <w:rPr>
                <w:rFonts w:eastAsia="SimSun"/>
                <w:lang w:val="fr-FR"/>
              </w:rPr>
              <w:t>0 dollar</w:t>
            </w:r>
            <w:r w:rsidRPr="00356FE1">
              <w:rPr>
                <w:rFonts w:eastAsia="SimSun"/>
                <w:lang w:val="fr-FR"/>
              </w:rPr>
              <w:t>s des États</w:t>
            </w:r>
            <w:r w:rsidR="00B010B9" w:rsidRPr="00356FE1">
              <w:rPr>
                <w:rFonts w:eastAsia="SimSun"/>
                <w:lang w:val="fr-FR"/>
              </w:rPr>
              <w:noBreakHyphen/>
            </w:r>
            <w:r w:rsidRPr="00356FE1">
              <w:rPr>
                <w:rFonts w:eastAsia="SimSun"/>
                <w:lang w:val="fr-FR"/>
              </w:rPr>
              <w:t>Unis d</w:t>
            </w:r>
            <w:r w:rsidR="0079087E" w:rsidRPr="00356FE1">
              <w:rPr>
                <w:rFonts w:eastAsia="SimSun"/>
                <w:lang w:val="fr-FR"/>
              </w:rPr>
              <w:t>’</w:t>
            </w:r>
            <w:r w:rsidRPr="00356FE1">
              <w:rPr>
                <w:rFonts w:eastAsia="SimSun"/>
                <w:lang w:val="fr-FR"/>
              </w:rPr>
              <w:t>Amérique (déterminé d</w:t>
            </w:r>
            <w:r w:rsidR="0079087E" w:rsidRPr="00356FE1">
              <w:rPr>
                <w:rFonts w:eastAsia="SimSun"/>
                <w:lang w:val="fr-FR"/>
              </w:rPr>
              <w:t>’</w:t>
            </w:r>
            <w:r w:rsidRPr="00356FE1">
              <w:rPr>
                <w:rFonts w:eastAsia="SimSun"/>
                <w:lang w:val="fr-FR"/>
              </w:rPr>
              <w:t>après les données les plus récentes publiées par l</w:t>
            </w:r>
            <w:r w:rsidR="0079087E" w:rsidRPr="00356FE1">
              <w:rPr>
                <w:rFonts w:eastAsia="SimSun"/>
                <w:lang w:val="fr-FR"/>
              </w:rPr>
              <w:t>’</w:t>
            </w:r>
            <w:r w:rsidRPr="00356FE1">
              <w:rPr>
                <w:rFonts w:eastAsia="SimSun"/>
                <w:lang w:val="fr-FR"/>
              </w:rPr>
              <w:t xml:space="preserve">Organisation des </w:t>
            </w:r>
            <w:r w:rsidR="0079087E" w:rsidRPr="00356FE1">
              <w:rPr>
                <w:rFonts w:eastAsia="SimSun"/>
                <w:lang w:val="fr-FR"/>
              </w:rPr>
              <w:t>Nations Unies</w:t>
            </w:r>
            <w:r w:rsidRPr="00356FE1">
              <w:rPr>
                <w:rFonts w:eastAsia="SimSun"/>
                <w:lang w:val="fr-FR"/>
              </w:rPr>
              <w:t xml:space="preserve"> concernant le produit intérieur brut moyen par habitant sur 10</w:t>
            </w:r>
            <w:r w:rsidR="00B010B9" w:rsidRPr="00356FE1">
              <w:rPr>
                <w:rFonts w:eastAsia="SimSun"/>
                <w:lang w:val="fr-FR"/>
              </w:rPr>
              <w:t> </w:t>
            </w:r>
            <w:r w:rsidRPr="00356FE1">
              <w:rPr>
                <w:rFonts w:eastAsia="SimSun"/>
                <w:lang w:val="fr-FR"/>
              </w:rPr>
              <w:t>ans, exprimé en dollars des États</w:t>
            </w:r>
            <w:r w:rsidR="00B010B9" w:rsidRPr="00356FE1">
              <w:rPr>
                <w:rFonts w:eastAsia="SimSun"/>
                <w:lang w:val="fr-FR"/>
              </w:rPr>
              <w:noBreakHyphen/>
            </w:r>
            <w:r w:rsidRPr="00356FE1">
              <w:rPr>
                <w:rFonts w:eastAsia="SimSun"/>
                <w:lang w:val="fr-FR"/>
              </w:rPr>
              <w:t>Unis d</w:t>
            </w:r>
            <w:r w:rsidR="0079087E" w:rsidRPr="00356FE1">
              <w:rPr>
                <w:rFonts w:eastAsia="SimSun"/>
                <w:lang w:val="fr-FR"/>
              </w:rPr>
              <w:t>’</w:t>
            </w:r>
            <w:r w:rsidRPr="00356FE1">
              <w:rPr>
                <w:rFonts w:eastAsia="SimSun"/>
                <w:lang w:val="fr-FR"/>
              </w:rPr>
              <w:t>Amérique constants par rapport à 2005), et dont les ressortissants et les résidents qui sont des personnes physiques ont déposé moins de 10</w:t>
            </w:r>
            <w:r w:rsidR="00B010B9" w:rsidRPr="00356FE1">
              <w:rPr>
                <w:rFonts w:eastAsia="SimSun"/>
                <w:lang w:val="fr-FR"/>
              </w:rPr>
              <w:t> </w:t>
            </w:r>
            <w:r w:rsidRPr="00356FE1">
              <w:rPr>
                <w:rFonts w:eastAsia="SimSun"/>
                <w:lang w:val="fr-FR"/>
              </w:rPr>
              <w:t>demandes internationales par an (pour un million de personnes) ou moins de 50</w:t>
            </w:r>
            <w:r w:rsidR="00B010B9" w:rsidRPr="00356FE1">
              <w:rPr>
                <w:rFonts w:eastAsia="SimSun"/>
                <w:lang w:val="fr-FR"/>
              </w:rPr>
              <w:t> </w:t>
            </w:r>
            <w:r w:rsidRPr="00356FE1">
              <w:rPr>
                <w:rFonts w:eastAsia="SimSun"/>
                <w:lang w:val="fr-FR"/>
              </w:rPr>
              <w:t>demandes internationales par an (en chiffres absolus) d</w:t>
            </w:r>
            <w:r w:rsidR="0079087E" w:rsidRPr="00356FE1">
              <w:rPr>
                <w:rFonts w:eastAsia="SimSun"/>
                <w:lang w:val="fr-FR"/>
              </w:rPr>
              <w:t>’</w:t>
            </w:r>
            <w:r w:rsidRPr="00356FE1">
              <w:rPr>
                <w:rFonts w:eastAsia="SimSun"/>
                <w:lang w:val="fr-FR"/>
              </w:rPr>
              <w:t>après les données les plus récentes publiées par le Bureau international concernant le nombre moyen de dépôts annuels sur cinq</w:t>
            </w:r>
            <w:r w:rsidR="008D3670" w:rsidRPr="00356FE1">
              <w:rPr>
                <w:rFonts w:eastAsia="SimSun"/>
                <w:lang w:val="fr-FR"/>
              </w:rPr>
              <w:t> </w:t>
            </w:r>
            <w:r w:rsidRPr="00356FE1">
              <w:rPr>
                <w:rFonts w:eastAsia="SimSun"/>
                <w:lang w:val="fr-FR"/>
              </w:rPr>
              <w:t>ans;  ou</w:t>
            </w:r>
          </w:p>
        </w:tc>
      </w:tr>
      <w:tr w:rsidR="00356FE1" w:rsidRPr="00356FE1" w:rsidTr="00356FE1">
        <w:trPr>
          <w:cantSplit/>
          <w:jc w:val="center"/>
        </w:trPr>
        <w:tc>
          <w:tcPr>
            <w:tcW w:w="573" w:type="dxa"/>
          </w:tcPr>
          <w:p w:rsidR="00934C37" w:rsidRPr="00356FE1" w:rsidRDefault="00934C37" w:rsidP="000648F8">
            <w:pPr>
              <w:suppressAutoHyphens/>
              <w:spacing w:after="120"/>
              <w:rPr>
                <w:szCs w:val="28"/>
                <w:lang w:val="fr-FR"/>
              </w:rPr>
            </w:pPr>
          </w:p>
        </w:tc>
        <w:tc>
          <w:tcPr>
            <w:tcW w:w="8539" w:type="dxa"/>
            <w:gridSpan w:val="2"/>
          </w:tcPr>
          <w:p w:rsidR="00934C37" w:rsidRPr="00356FE1" w:rsidRDefault="00934C37" w:rsidP="000648F8">
            <w:pPr>
              <w:pStyle w:val="LegBasic"/>
              <w:spacing w:after="120" w:line="240" w:lineRule="auto"/>
              <w:rPr>
                <w:rFonts w:eastAsia="SimSun"/>
                <w:lang w:val="fr-FR"/>
              </w:rPr>
            </w:pPr>
            <w:r w:rsidRPr="00356FE1">
              <w:rPr>
                <w:rFonts w:eastAsia="SimSun"/>
                <w:lang w:val="fr-FR"/>
              </w:rPr>
              <w:t>b)</w:t>
            </w:r>
            <w:r w:rsidRPr="00356FE1">
              <w:rPr>
                <w:rFonts w:eastAsia="SimSun"/>
                <w:lang w:val="fr-FR"/>
              </w:rPr>
              <w:tab/>
              <w:t>[Sans changement] un déposant, personne physique ou non, qui est ressortissant d</w:t>
            </w:r>
            <w:r w:rsidR="0079087E" w:rsidRPr="00356FE1">
              <w:rPr>
                <w:rFonts w:eastAsia="SimSun"/>
                <w:lang w:val="fr-FR"/>
              </w:rPr>
              <w:t>’</w:t>
            </w:r>
            <w:r w:rsidRPr="00356FE1">
              <w:rPr>
                <w:rFonts w:eastAsia="SimSun"/>
                <w:lang w:val="fr-FR"/>
              </w:rPr>
              <w:t>un État, et est domicilié dans un État, qui figure sur la liste des États classés par l</w:t>
            </w:r>
            <w:r w:rsidR="0079087E" w:rsidRPr="00356FE1">
              <w:rPr>
                <w:rFonts w:eastAsia="SimSun"/>
                <w:lang w:val="fr-FR"/>
              </w:rPr>
              <w:t>’</w:t>
            </w:r>
            <w:r w:rsidRPr="00356FE1">
              <w:rPr>
                <w:rFonts w:eastAsia="SimSun"/>
                <w:lang w:val="fr-FR"/>
              </w:rPr>
              <w:t xml:space="preserve">Organisation des </w:t>
            </w:r>
            <w:r w:rsidR="0079087E" w:rsidRPr="00356FE1">
              <w:rPr>
                <w:rFonts w:eastAsia="SimSun"/>
                <w:lang w:val="fr-FR"/>
              </w:rPr>
              <w:t>Nations Unies</w:t>
            </w:r>
            <w:r w:rsidRPr="00356FE1">
              <w:rPr>
                <w:rFonts w:eastAsia="SimSun"/>
                <w:lang w:val="fr-FR"/>
              </w:rPr>
              <w:t xml:space="preserve"> dans la catégorie des pays les moins avancés;</w:t>
            </w:r>
          </w:p>
        </w:tc>
      </w:tr>
      <w:tr w:rsidR="00356FE1" w:rsidRPr="00356FE1" w:rsidTr="00356FE1">
        <w:trPr>
          <w:cantSplit/>
          <w:jc w:val="center"/>
        </w:trPr>
        <w:tc>
          <w:tcPr>
            <w:tcW w:w="9112" w:type="dxa"/>
            <w:gridSpan w:val="3"/>
          </w:tcPr>
          <w:p w:rsidR="00934C37" w:rsidRPr="00356FE1" w:rsidRDefault="00934C37" w:rsidP="000648F8">
            <w:pPr>
              <w:pStyle w:val="LegBasic"/>
              <w:spacing w:after="120" w:line="240" w:lineRule="auto"/>
              <w:rPr>
                <w:rFonts w:eastAsia="SimSun"/>
                <w:lang w:val="fr-FR"/>
              </w:rPr>
            </w:pPr>
            <w:r w:rsidRPr="00356FE1">
              <w:rPr>
                <w:rFonts w:eastAsia="SimSun"/>
                <w:lang w:val="fr-FR"/>
              </w:rPr>
              <w:t xml:space="preserve">étant entendu </w:t>
            </w:r>
            <w:r w:rsidRPr="00BC6C3D">
              <w:rPr>
                <w:rFonts w:eastAsia="SimSun"/>
                <w:color w:val="0000FF"/>
                <w:u w:val="single"/>
                <w:lang w:val="fr-FR"/>
              </w:rPr>
              <w:t>qu</w:t>
            </w:r>
            <w:r w:rsidR="0079087E" w:rsidRPr="00BC6C3D">
              <w:rPr>
                <w:rFonts w:eastAsia="SimSun"/>
                <w:color w:val="0000FF"/>
                <w:u w:val="single"/>
                <w:lang w:val="fr-FR"/>
              </w:rPr>
              <w:t>’</w:t>
            </w:r>
            <w:r w:rsidRPr="00BC6C3D">
              <w:rPr>
                <w:rFonts w:eastAsia="SimSun"/>
                <w:color w:val="0000FF"/>
                <w:u w:val="single"/>
                <w:lang w:val="fr-FR"/>
              </w:rPr>
              <w:t>il n</w:t>
            </w:r>
            <w:r w:rsidR="0079087E" w:rsidRPr="00BC6C3D">
              <w:rPr>
                <w:rFonts w:eastAsia="SimSun"/>
                <w:color w:val="0000FF"/>
                <w:u w:val="single"/>
                <w:lang w:val="fr-FR"/>
              </w:rPr>
              <w:t>’</w:t>
            </w:r>
            <w:r w:rsidRPr="00BC6C3D">
              <w:rPr>
                <w:rFonts w:eastAsia="SimSun"/>
                <w:color w:val="0000FF"/>
                <w:u w:val="single"/>
                <w:lang w:val="fr-FR"/>
              </w:rPr>
              <w:t xml:space="preserve">y aurait pas, au moment du dépôt de la demande internationale, de bénéficiaires de la demande internationale ne satisfaisant pas aux critères énoncés au </w:t>
            </w:r>
            <w:r w:rsidR="0079087E" w:rsidRPr="00BC6C3D">
              <w:rPr>
                <w:rFonts w:eastAsia="SimSun"/>
                <w:color w:val="0000FF"/>
                <w:u w:val="single"/>
                <w:lang w:val="fr-FR"/>
              </w:rPr>
              <w:t>point 5</w:t>
            </w:r>
            <w:r w:rsidRPr="00BC6C3D">
              <w:rPr>
                <w:rFonts w:eastAsia="SimSun"/>
                <w:color w:val="0000FF"/>
                <w:u w:val="single"/>
                <w:lang w:val="fr-FR"/>
              </w:rPr>
              <w:t xml:space="preserve">.a) ou au </w:t>
            </w:r>
            <w:r w:rsidR="0079087E" w:rsidRPr="00BC6C3D">
              <w:rPr>
                <w:rFonts w:eastAsia="SimSun"/>
                <w:color w:val="0000FF"/>
                <w:u w:val="single"/>
                <w:lang w:val="fr-FR"/>
              </w:rPr>
              <w:t>point 5</w:t>
            </w:r>
            <w:r w:rsidRPr="00BC6C3D">
              <w:rPr>
                <w:rFonts w:eastAsia="SimSun"/>
                <w:color w:val="0000FF"/>
                <w:u w:val="single"/>
                <w:lang w:val="fr-FR"/>
              </w:rPr>
              <w:t>.b) et</w:t>
            </w:r>
            <w:r w:rsidRPr="00BC6C3D">
              <w:rPr>
                <w:rFonts w:eastAsia="SimSun"/>
                <w:color w:val="0000FF"/>
                <w:lang w:val="fr-FR"/>
              </w:rPr>
              <w:t xml:space="preserve"> </w:t>
            </w:r>
            <w:r w:rsidRPr="00BC6C3D">
              <w:rPr>
                <w:rFonts w:eastAsia="SimSun"/>
                <w:lang w:val="fr-FR"/>
              </w:rPr>
              <w:t>que</w:t>
            </w:r>
            <w:r w:rsidRPr="00356FE1">
              <w:rPr>
                <w:rFonts w:eastAsia="SimSun"/>
                <w:lang w:val="fr-FR"/>
              </w:rPr>
              <w:t>, s</w:t>
            </w:r>
            <w:r w:rsidR="0079087E" w:rsidRPr="00356FE1">
              <w:rPr>
                <w:rFonts w:eastAsia="SimSun"/>
                <w:lang w:val="fr-FR"/>
              </w:rPr>
              <w:t>’</w:t>
            </w:r>
            <w:r w:rsidRPr="00356FE1">
              <w:rPr>
                <w:rFonts w:eastAsia="SimSun"/>
                <w:lang w:val="fr-FR"/>
              </w:rPr>
              <w:t>il y a plusieurs déposants, chacun d</w:t>
            </w:r>
            <w:r w:rsidR="0079087E" w:rsidRPr="00356FE1">
              <w:rPr>
                <w:rFonts w:eastAsia="SimSun"/>
                <w:lang w:val="fr-FR"/>
              </w:rPr>
              <w:t>’</w:t>
            </w:r>
            <w:r w:rsidRPr="00356FE1">
              <w:rPr>
                <w:rFonts w:eastAsia="SimSun"/>
                <w:lang w:val="fr-FR"/>
              </w:rPr>
              <w:t xml:space="preserve">eux doit satisfaire aux critères énoncés au </w:t>
            </w:r>
            <w:r w:rsidR="0079087E" w:rsidRPr="00356FE1">
              <w:rPr>
                <w:rFonts w:eastAsia="SimSun"/>
                <w:lang w:val="fr-FR"/>
              </w:rPr>
              <w:t>point 5</w:t>
            </w:r>
            <w:r w:rsidRPr="00356FE1">
              <w:rPr>
                <w:rFonts w:eastAsia="SimSun"/>
                <w:lang w:val="fr-FR"/>
              </w:rPr>
              <w:t xml:space="preserve">.a) ou au </w:t>
            </w:r>
            <w:r w:rsidR="0079087E" w:rsidRPr="00356FE1">
              <w:rPr>
                <w:rFonts w:eastAsia="SimSun"/>
                <w:lang w:val="fr-FR"/>
              </w:rPr>
              <w:t>point 5</w:t>
            </w:r>
            <w:r w:rsidRPr="00356FE1">
              <w:rPr>
                <w:rFonts w:eastAsia="SimSun"/>
                <w:lang w:val="fr-FR"/>
              </w:rPr>
              <w:t>.b).  Les listes d</w:t>
            </w:r>
            <w:r w:rsidR="0079087E" w:rsidRPr="00356FE1">
              <w:rPr>
                <w:rFonts w:eastAsia="SimSun"/>
                <w:lang w:val="fr-FR"/>
              </w:rPr>
              <w:t>’</w:t>
            </w:r>
            <w:r w:rsidRPr="00356FE1">
              <w:rPr>
                <w:rFonts w:eastAsia="SimSun"/>
                <w:lang w:val="fr-FR"/>
              </w:rPr>
              <w:t xml:space="preserve">États visées aux </w:t>
            </w:r>
            <w:r w:rsidR="0079087E" w:rsidRPr="00356FE1">
              <w:rPr>
                <w:rFonts w:eastAsia="SimSun"/>
                <w:lang w:val="fr-FR"/>
              </w:rPr>
              <w:t>points 5</w:t>
            </w:r>
            <w:r w:rsidRPr="00356FE1">
              <w:rPr>
                <w:rFonts w:eastAsia="SimSun"/>
                <w:lang w:val="fr-FR"/>
              </w:rPr>
              <w:t>.a) et 5.b)</w:t>
            </w:r>
            <w:r w:rsidRPr="00356FE1">
              <w:rPr>
                <w:rStyle w:val="FootnoteReference"/>
                <w:rFonts w:eastAsia="SimSun"/>
                <w:lang w:val="fr-FR"/>
              </w:rPr>
              <w:footnoteReference w:id="4"/>
            </w:r>
            <w:r w:rsidRPr="00356FE1">
              <w:rPr>
                <w:rFonts w:eastAsia="SimSun"/>
                <w:lang w:val="fr-FR"/>
              </w:rPr>
              <w:t xml:space="preserve"> sont mises à jour par le Directeur général au moins tous les cinq</w:t>
            </w:r>
            <w:r w:rsidR="008D3670" w:rsidRPr="00356FE1">
              <w:rPr>
                <w:rFonts w:eastAsia="SimSun"/>
                <w:lang w:val="fr-FR"/>
              </w:rPr>
              <w:t> </w:t>
            </w:r>
            <w:r w:rsidRPr="00356FE1">
              <w:rPr>
                <w:rFonts w:eastAsia="SimSun"/>
                <w:lang w:val="fr-FR"/>
              </w:rPr>
              <w:t>ans conformément aux directives données par l</w:t>
            </w:r>
            <w:r w:rsidR="0079087E" w:rsidRPr="00356FE1">
              <w:rPr>
                <w:rFonts w:eastAsia="SimSun"/>
                <w:lang w:val="fr-FR"/>
              </w:rPr>
              <w:t>’</w:t>
            </w:r>
            <w:r w:rsidRPr="00356FE1">
              <w:rPr>
                <w:rFonts w:eastAsia="SimSun"/>
                <w:lang w:val="fr-FR"/>
              </w:rPr>
              <w:t>Assembl</w:t>
            </w:r>
            <w:r w:rsidR="00292D08" w:rsidRPr="00356FE1">
              <w:rPr>
                <w:rFonts w:eastAsia="SimSun"/>
                <w:lang w:val="fr-FR"/>
              </w:rPr>
              <w:t>ée.  Le</w:t>
            </w:r>
            <w:r w:rsidRPr="00356FE1">
              <w:rPr>
                <w:rFonts w:eastAsia="SimSun"/>
                <w:lang w:val="fr-FR"/>
              </w:rPr>
              <w:t xml:space="preserve">s critères énoncés aux </w:t>
            </w:r>
            <w:r w:rsidR="0079087E" w:rsidRPr="00356FE1">
              <w:rPr>
                <w:rFonts w:eastAsia="SimSun"/>
                <w:lang w:val="fr-FR"/>
              </w:rPr>
              <w:t>points 5</w:t>
            </w:r>
            <w:r w:rsidRPr="00356FE1">
              <w:rPr>
                <w:rFonts w:eastAsia="SimSun"/>
                <w:lang w:val="fr-FR"/>
              </w:rPr>
              <w:t>.a) et 5.b) sont réexaminés par l</w:t>
            </w:r>
            <w:r w:rsidR="0079087E" w:rsidRPr="00356FE1">
              <w:rPr>
                <w:rFonts w:eastAsia="SimSun"/>
                <w:lang w:val="fr-FR"/>
              </w:rPr>
              <w:t>’</w:t>
            </w:r>
            <w:r w:rsidRPr="00356FE1">
              <w:rPr>
                <w:rFonts w:eastAsia="SimSun"/>
                <w:lang w:val="fr-FR"/>
              </w:rPr>
              <w:t>Assemblée au moins tous les cinq</w:t>
            </w:r>
            <w:r w:rsidR="008D3670" w:rsidRPr="00356FE1">
              <w:rPr>
                <w:rFonts w:eastAsia="SimSun"/>
                <w:lang w:val="fr-FR"/>
              </w:rPr>
              <w:t> </w:t>
            </w:r>
            <w:r w:rsidRPr="00356FE1">
              <w:rPr>
                <w:rFonts w:eastAsia="SimSun"/>
                <w:lang w:val="fr-FR"/>
              </w:rPr>
              <w:t>ans.</w:t>
            </w:r>
          </w:p>
        </w:tc>
      </w:tr>
    </w:tbl>
    <w:p w:rsidR="00B010B9" w:rsidRPr="00356FE1" w:rsidRDefault="00B010B9" w:rsidP="000648F8">
      <w:pPr>
        <w:pStyle w:val="Endofdocument-Annex"/>
        <w:rPr>
          <w:lang w:val="fr-FR"/>
        </w:rPr>
      </w:pPr>
    </w:p>
    <w:p w:rsidR="00B010B9" w:rsidRPr="00356FE1" w:rsidRDefault="00B010B9" w:rsidP="000648F8">
      <w:pPr>
        <w:pStyle w:val="Endofdocument-Annex"/>
        <w:rPr>
          <w:lang w:val="fr-FR"/>
        </w:rPr>
      </w:pPr>
    </w:p>
    <w:p w:rsidR="00934C37" w:rsidRPr="00356FE1" w:rsidRDefault="00934C37" w:rsidP="000648F8">
      <w:pPr>
        <w:pStyle w:val="Endofdocument-Annex"/>
        <w:rPr>
          <w:lang w:val="fr-FR"/>
        </w:rPr>
      </w:pPr>
      <w:r w:rsidRPr="00356FE1">
        <w:rPr>
          <w:lang w:val="fr-FR"/>
        </w:rPr>
        <w:t>[Fin de l</w:t>
      </w:r>
      <w:r w:rsidR="0079087E" w:rsidRPr="00356FE1">
        <w:rPr>
          <w:lang w:val="fr-FR"/>
        </w:rPr>
        <w:t>’</w:t>
      </w:r>
      <w:r w:rsidRPr="00356FE1">
        <w:rPr>
          <w:lang w:val="fr-FR"/>
        </w:rPr>
        <w:t>annexe et du document]</w:t>
      </w:r>
    </w:p>
    <w:sectPr w:rsidR="00934C37" w:rsidRPr="00356FE1" w:rsidSect="00B010B9">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37" w:rsidRDefault="00934C37">
      <w:r>
        <w:separator/>
      </w:r>
    </w:p>
  </w:endnote>
  <w:endnote w:type="continuationSeparator" w:id="0">
    <w:p w:rsidR="00934C37" w:rsidRPr="009D30E6" w:rsidRDefault="00934C37" w:rsidP="00D45252">
      <w:pPr>
        <w:rPr>
          <w:sz w:val="17"/>
          <w:szCs w:val="17"/>
        </w:rPr>
      </w:pPr>
      <w:r w:rsidRPr="009D30E6">
        <w:rPr>
          <w:sz w:val="17"/>
          <w:szCs w:val="17"/>
        </w:rPr>
        <w:separator/>
      </w:r>
    </w:p>
    <w:p w:rsidR="00934C37" w:rsidRPr="009D30E6" w:rsidRDefault="00934C37" w:rsidP="00D45252">
      <w:pPr>
        <w:spacing w:after="60"/>
        <w:rPr>
          <w:sz w:val="17"/>
          <w:szCs w:val="17"/>
        </w:rPr>
      </w:pPr>
      <w:r w:rsidRPr="009D30E6">
        <w:rPr>
          <w:sz w:val="17"/>
          <w:szCs w:val="17"/>
        </w:rPr>
        <w:t>[Suite de la note de la page précédente]</w:t>
      </w:r>
    </w:p>
  </w:endnote>
  <w:endnote w:type="continuationNotice" w:id="1">
    <w:p w:rsidR="00934C37" w:rsidRPr="009D30E6" w:rsidRDefault="00934C3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08" w:rsidRPr="00292D08" w:rsidRDefault="00292D08" w:rsidP="00292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37" w:rsidRDefault="00934C37">
      <w:r>
        <w:separator/>
      </w:r>
    </w:p>
  </w:footnote>
  <w:footnote w:type="continuationSeparator" w:id="0">
    <w:p w:rsidR="00934C37" w:rsidRDefault="00934C37" w:rsidP="007461F1">
      <w:r>
        <w:separator/>
      </w:r>
    </w:p>
    <w:p w:rsidR="00934C37" w:rsidRPr="009D30E6" w:rsidRDefault="00934C37" w:rsidP="007461F1">
      <w:pPr>
        <w:spacing w:after="60"/>
        <w:rPr>
          <w:sz w:val="17"/>
          <w:szCs w:val="17"/>
        </w:rPr>
      </w:pPr>
      <w:r w:rsidRPr="009D30E6">
        <w:rPr>
          <w:sz w:val="17"/>
          <w:szCs w:val="17"/>
        </w:rPr>
        <w:t>[Suite de la note de la page précédente]</w:t>
      </w:r>
    </w:p>
  </w:footnote>
  <w:footnote w:type="continuationNotice" w:id="1">
    <w:p w:rsidR="00934C37" w:rsidRPr="009D30E6" w:rsidRDefault="00934C37" w:rsidP="007461F1">
      <w:pPr>
        <w:spacing w:before="60"/>
        <w:jc w:val="right"/>
        <w:rPr>
          <w:sz w:val="17"/>
          <w:szCs w:val="17"/>
        </w:rPr>
      </w:pPr>
      <w:r w:rsidRPr="009D30E6">
        <w:rPr>
          <w:sz w:val="17"/>
          <w:szCs w:val="17"/>
        </w:rPr>
        <w:t>[Suite de la note page suivante]</w:t>
      </w:r>
    </w:p>
  </w:footnote>
  <w:footnote w:id="2">
    <w:p w:rsidR="00934C37" w:rsidRPr="00356FE1" w:rsidRDefault="00934C37" w:rsidP="00356FE1">
      <w:pPr>
        <w:pStyle w:val="FootnoteText"/>
      </w:pPr>
      <w:r w:rsidRPr="00356FE1">
        <w:rPr>
          <w:rStyle w:val="FootnoteReference"/>
        </w:rPr>
        <w:footnoteRef/>
      </w:r>
      <w:r w:rsidRPr="00356FE1">
        <w:t xml:space="preserve"> </w:t>
      </w:r>
      <w:r w:rsidRPr="00356FE1">
        <w:tab/>
      </w:r>
      <w:r w:rsidR="005431C6" w:rsidRPr="00356FE1">
        <w:t>P</w:t>
      </w:r>
      <w:r w:rsidRPr="00356FE1">
        <w:t>ériode test au cours de laquelle le délai de 30</w:t>
      </w:r>
      <w:r w:rsidR="00B010B9" w:rsidRPr="00356FE1">
        <w:t> </w:t>
      </w:r>
      <w:r w:rsidRPr="00356FE1">
        <w:t xml:space="preserve">mois à compter de la date de priorité pour demander un changement au titre de la </w:t>
      </w:r>
      <w:r w:rsidR="00BD3ABF" w:rsidRPr="00356FE1">
        <w:t>règle 9</w:t>
      </w:r>
      <w:r w:rsidRPr="00356FE1">
        <w:t>2</w:t>
      </w:r>
      <w:r w:rsidRPr="00356FE1">
        <w:rPr>
          <w:i/>
        </w:rPr>
        <w:t>bis</w:t>
      </w:r>
      <w:r w:rsidRPr="00356FE1">
        <w:t xml:space="preserve"> a expiré pour la quasi</w:t>
      </w:r>
      <w:r w:rsidR="00B010B9" w:rsidRPr="00356FE1">
        <w:noBreakHyphen/>
      </w:r>
      <w:r w:rsidRPr="00356FE1">
        <w:t>totalité de la population.</w:t>
      </w:r>
    </w:p>
  </w:footnote>
  <w:footnote w:id="3">
    <w:p w:rsidR="00934C37" w:rsidRPr="00356FE1" w:rsidRDefault="00934C37" w:rsidP="00356FE1">
      <w:pPr>
        <w:pStyle w:val="FootnoteText"/>
      </w:pPr>
      <w:r w:rsidRPr="00356FE1">
        <w:rPr>
          <w:rStyle w:val="FootnoteReference"/>
        </w:rPr>
        <w:footnoteRef/>
      </w:r>
      <w:r w:rsidRPr="00356FE1">
        <w:t xml:space="preserve"> </w:t>
      </w:r>
      <w:r w:rsidRPr="00356FE1">
        <w:tab/>
        <w:t>Le texte qu</w:t>
      </w:r>
      <w:r w:rsidR="00BD3ABF" w:rsidRPr="00356FE1">
        <w:t>’</w:t>
      </w:r>
      <w:r w:rsidRPr="00356FE1">
        <w:t>il est proposé d</w:t>
      </w:r>
      <w:r w:rsidR="00BD3ABF" w:rsidRPr="00356FE1">
        <w:t>’</w:t>
      </w:r>
      <w:r w:rsidRPr="00356FE1">
        <w:t>ajouter est souligné et le texte qu</w:t>
      </w:r>
      <w:r w:rsidR="00BD3ABF" w:rsidRPr="00356FE1">
        <w:t>’</w:t>
      </w:r>
      <w:r w:rsidRPr="00356FE1">
        <w:t>il est proposé de supprimer est biffé.</w:t>
      </w:r>
    </w:p>
  </w:footnote>
  <w:footnote w:id="4">
    <w:p w:rsidR="00934C37" w:rsidRPr="00356FE1" w:rsidRDefault="00934C37" w:rsidP="00356FE1">
      <w:pPr>
        <w:pStyle w:val="FootnoteText"/>
      </w:pPr>
      <w:r w:rsidRPr="00356FE1">
        <w:rPr>
          <w:rStyle w:val="FootnoteReference"/>
        </w:rPr>
        <w:footnoteRef/>
      </w:r>
      <w:r w:rsidRPr="00356FE1">
        <w:t xml:space="preserve"> </w:t>
      </w:r>
      <w:r w:rsidRPr="00356FE1">
        <w:tab/>
        <w:t>Note de l</w:t>
      </w:r>
      <w:r w:rsidR="00BD3ABF" w:rsidRPr="00356FE1">
        <w:t>’</w:t>
      </w:r>
      <w:r w:rsidRPr="00356FE1">
        <w:t>éditeur</w:t>
      </w:r>
      <w:r w:rsidR="00BD3ABF" w:rsidRPr="00356FE1">
        <w:t> :</w:t>
      </w:r>
      <w:r w:rsidRPr="00356FE1">
        <w:t xml:space="preserve"> les premières listes des États figurent à la </w:t>
      </w:r>
      <w:r w:rsidR="00BD3ABF" w:rsidRPr="00356FE1">
        <w:t>page 3</w:t>
      </w:r>
      <w:r w:rsidRPr="00356FE1">
        <w:t>7 de la Gazette</w:t>
      </w:r>
      <w:r w:rsidR="00BD3ABF" w:rsidRPr="00356FE1">
        <w:t xml:space="preserve"> du PCT</w:t>
      </w:r>
      <w:r w:rsidRPr="00356FE1">
        <w:t xml:space="preserve"> du 1</w:t>
      </w:r>
      <w:r w:rsidR="00BD3ABF" w:rsidRPr="00356FE1">
        <w:t>2 février 20</w:t>
      </w:r>
      <w:r w:rsidRPr="00356FE1">
        <w:t>15 (voir www.wipo.int/pct/fr/official_notices/index.html).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37" w:rsidRDefault="00934C37" w:rsidP="00477D6B">
    <w:pPr>
      <w:jc w:val="right"/>
    </w:pPr>
    <w:r>
      <w:t>PCT/WG/10/8</w:t>
    </w:r>
  </w:p>
  <w:p w:rsidR="00934C37" w:rsidRDefault="00934C37" w:rsidP="00477D6B">
    <w:pPr>
      <w:jc w:val="right"/>
    </w:pPr>
    <w:proofErr w:type="gramStart"/>
    <w:r>
      <w:t>page</w:t>
    </w:r>
    <w:proofErr w:type="gramEnd"/>
    <w:r w:rsidR="00B010B9">
      <w:t> </w:t>
    </w:r>
    <w:r>
      <w:fldChar w:fldCharType="begin"/>
    </w:r>
    <w:r>
      <w:instrText xml:space="preserve"> PAGE  \* MERGEFORMAT </w:instrText>
    </w:r>
    <w:r>
      <w:fldChar w:fldCharType="separate"/>
    </w:r>
    <w:r w:rsidR="00415FC9">
      <w:rPr>
        <w:noProof/>
      </w:rPr>
      <w:t>4</w:t>
    </w:r>
    <w:r>
      <w:fldChar w:fldCharType="end"/>
    </w:r>
  </w:p>
  <w:p w:rsidR="00934C37" w:rsidRDefault="00934C3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934C37" w:rsidP="00477D6B">
    <w:pPr>
      <w:jc w:val="right"/>
    </w:pPr>
    <w:bookmarkStart w:id="10" w:name="Code2"/>
    <w:bookmarkEnd w:id="10"/>
    <w:r>
      <w:t>PCT/WG/10/8</w:t>
    </w:r>
  </w:p>
  <w:p w:rsidR="00F16975" w:rsidRDefault="00B010B9" w:rsidP="00477D6B">
    <w:pPr>
      <w:jc w:val="right"/>
    </w:pPr>
    <w:r>
      <w:t xml:space="preserve">Annexe, </w:t>
    </w:r>
    <w:r w:rsidR="00F16975">
      <w:t>page</w:t>
    </w:r>
    <w:r>
      <w:t> </w:t>
    </w:r>
    <w:r w:rsidR="00F16975">
      <w:fldChar w:fldCharType="begin"/>
    </w:r>
    <w:r w:rsidR="00F16975">
      <w:instrText xml:space="preserve"> PAGE  \* MERGEFORMAT </w:instrText>
    </w:r>
    <w:r w:rsidR="00F16975">
      <w:fldChar w:fldCharType="separate"/>
    </w:r>
    <w:r w:rsidR="00A951E0">
      <w:rPr>
        <w:noProof/>
      </w:rPr>
      <w:t>1</w:t>
    </w:r>
    <w:r w:rsidR="00F16975">
      <w:fldChar w:fldCharType="end"/>
    </w:r>
  </w:p>
  <w:p w:rsidR="00F16975" w:rsidRDefault="00F1697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B9" w:rsidRDefault="00B010B9" w:rsidP="00B010B9">
    <w:pPr>
      <w:jc w:val="right"/>
    </w:pPr>
    <w:r>
      <w:t>PCT/WG/10/8</w:t>
    </w:r>
  </w:p>
  <w:p w:rsidR="00B010B9" w:rsidRDefault="00B010B9" w:rsidP="00B010B9">
    <w:pPr>
      <w:jc w:val="right"/>
    </w:pPr>
    <w:r>
      <w:t>ANNEXE</w:t>
    </w:r>
  </w:p>
  <w:p w:rsidR="00B010B9" w:rsidRDefault="00B010B9" w:rsidP="00B010B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2FDC67E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37"/>
    <w:rsid w:val="00011B7D"/>
    <w:rsid w:val="000648F8"/>
    <w:rsid w:val="00075432"/>
    <w:rsid w:val="0009458A"/>
    <w:rsid w:val="000F5E56"/>
    <w:rsid w:val="001362EE"/>
    <w:rsid w:val="001832A6"/>
    <w:rsid w:val="00195C6E"/>
    <w:rsid w:val="001B266A"/>
    <w:rsid w:val="001D3D56"/>
    <w:rsid w:val="00240654"/>
    <w:rsid w:val="002634C4"/>
    <w:rsid w:val="00292D08"/>
    <w:rsid w:val="002E4D1A"/>
    <w:rsid w:val="002F16BC"/>
    <w:rsid w:val="002F4E68"/>
    <w:rsid w:val="00322C0B"/>
    <w:rsid w:val="00356FE1"/>
    <w:rsid w:val="003845C1"/>
    <w:rsid w:val="003A67A3"/>
    <w:rsid w:val="004008A2"/>
    <w:rsid w:val="004025DF"/>
    <w:rsid w:val="00415FC9"/>
    <w:rsid w:val="00423E3E"/>
    <w:rsid w:val="00427AF4"/>
    <w:rsid w:val="004647DA"/>
    <w:rsid w:val="00477D6B"/>
    <w:rsid w:val="004D6471"/>
    <w:rsid w:val="0051455D"/>
    <w:rsid w:val="00525B63"/>
    <w:rsid w:val="00536FA3"/>
    <w:rsid w:val="00541348"/>
    <w:rsid w:val="005421DD"/>
    <w:rsid w:val="005431C6"/>
    <w:rsid w:val="00567A4C"/>
    <w:rsid w:val="00576B58"/>
    <w:rsid w:val="00595F07"/>
    <w:rsid w:val="005E6516"/>
    <w:rsid w:val="00605827"/>
    <w:rsid w:val="00616671"/>
    <w:rsid w:val="00674B9B"/>
    <w:rsid w:val="006B0DB5"/>
    <w:rsid w:val="007461F1"/>
    <w:rsid w:val="0079087E"/>
    <w:rsid w:val="007D6961"/>
    <w:rsid w:val="007F07CB"/>
    <w:rsid w:val="00810CEF"/>
    <w:rsid w:val="0081208D"/>
    <w:rsid w:val="008B2CC1"/>
    <w:rsid w:val="008D3670"/>
    <w:rsid w:val="008E7930"/>
    <w:rsid w:val="0090731E"/>
    <w:rsid w:val="00934C37"/>
    <w:rsid w:val="00966A22"/>
    <w:rsid w:val="00974B69"/>
    <w:rsid w:val="00974CD6"/>
    <w:rsid w:val="009D30E6"/>
    <w:rsid w:val="009D7389"/>
    <w:rsid w:val="009E3F6F"/>
    <w:rsid w:val="009F499F"/>
    <w:rsid w:val="00A73D5E"/>
    <w:rsid w:val="00A951E0"/>
    <w:rsid w:val="00AC0AE4"/>
    <w:rsid w:val="00AD61DB"/>
    <w:rsid w:val="00B010B9"/>
    <w:rsid w:val="00B35AF5"/>
    <w:rsid w:val="00BC6C3D"/>
    <w:rsid w:val="00BD3ABF"/>
    <w:rsid w:val="00C664C8"/>
    <w:rsid w:val="00CF0460"/>
    <w:rsid w:val="00D43E0F"/>
    <w:rsid w:val="00D45252"/>
    <w:rsid w:val="00D71B4D"/>
    <w:rsid w:val="00D75C1E"/>
    <w:rsid w:val="00D93D55"/>
    <w:rsid w:val="00DB7845"/>
    <w:rsid w:val="00DD6A16"/>
    <w:rsid w:val="00DF1D0B"/>
    <w:rsid w:val="00E0091A"/>
    <w:rsid w:val="00E203AA"/>
    <w:rsid w:val="00E527A5"/>
    <w:rsid w:val="00E76456"/>
    <w:rsid w:val="00EA5C77"/>
    <w:rsid w:val="00EE71CB"/>
    <w:rsid w:val="00F16975"/>
    <w:rsid w:val="00F17F6D"/>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locked/>
    <w:rsid w:val="00934C37"/>
    <w:rPr>
      <w:rFonts w:ascii="Arial" w:eastAsia="SimSun" w:hAnsi="Arial" w:cs="Arial"/>
      <w:sz w:val="22"/>
      <w:lang w:val="fr-CH" w:eastAsia="zh-CN"/>
    </w:rPr>
  </w:style>
  <w:style w:type="character" w:styleId="FootnoteReference">
    <w:name w:val="footnote reference"/>
    <w:basedOn w:val="DefaultParagraphFont"/>
    <w:rsid w:val="00934C37"/>
    <w:rPr>
      <w:vertAlign w:val="superscript"/>
    </w:rPr>
  </w:style>
  <w:style w:type="character" w:customStyle="1" w:styleId="FootnoteTextChar">
    <w:name w:val="Footnote Text Char"/>
    <w:basedOn w:val="DefaultParagraphFont"/>
    <w:link w:val="FootnoteText"/>
    <w:semiHidden/>
    <w:rsid w:val="00934C37"/>
    <w:rPr>
      <w:rFonts w:ascii="Arial" w:eastAsia="SimSun" w:hAnsi="Arial" w:cs="Arial"/>
      <w:sz w:val="18"/>
      <w:lang w:val="fr-CH" w:eastAsia="zh-CN"/>
    </w:rPr>
  </w:style>
  <w:style w:type="paragraph" w:customStyle="1" w:styleId="LegTitle">
    <w:name w:val="Leg # Title"/>
    <w:basedOn w:val="Normal"/>
    <w:next w:val="Normal"/>
    <w:rsid w:val="00934C37"/>
    <w:pPr>
      <w:keepNext/>
      <w:keepLines/>
      <w:suppressAutoHyphens/>
      <w:spacing w:before="240"/>
      <w:jc w:val="center"/>
    </w:pPr>
    <w:rPr>
      <w:rFonts w:eastAsia="Times New Roman" w:cs="Times New Roman"/>
      <w:b/>
      <w:lang w:val="en-US" w:eastAsia="ja-JP"/>
    </w:rPr>
  </w:style>
  <w:style w:type="paragraph" w:customStyle="1" w:styleId="LegBasic">
    <w:name w:val="Leg Basic"/>
    <w:rsid w:val="00934C37"/>
    <w:pPr>
      <w:spacing w:after="480" w:line="480" w:lineRule="auto"/>
    </w:pPr>
    <w:rPr>
      <w:rFonts w:ascii="Arial" w:hAnsi="Arial"/>
      <w:snapToGrid w:val="0"/>
      <w:sz w:val="22"/>
    </w:rPr>
  </w:style>
  <w:style w:type="character" w:customStyle="1" w:styleId="Heading1Char">
    <w:name w:val="Heading 1 Char"/>
    <w:basedOn w:val="DefaultParagraphFont"/>
    <w:link w:val="Heading1"/>
    <w:rsid w:val="00934C37"/>
    <w:rPr>
      <w:rFonts w:ascii="Arial" w:eastAsia="SimSun" w:hAnsi="Arial" w:cs="Arial"/>
      <w:b/>
      <w:bCs/>
      <w:caps/>
      <w:kern w:val="32"/>
      <w:sz w:val="22"/>
      <w:szCs w:val="32"/>
      <w:lang w:val="fr-CH" w:eastAsia="zh-CN"/>
    </w:rPr>
  </w:style>
  <w:style w:type="character" w:styleId="Hyperlink">
    <w:name w:val="Hyperlink"/>
    <w:basedOn w:val="DefaultParagraphFont"/>
    <w:rsid w:val="00292D08"/>
    <w:rPr>
      <w:color w:val="0000FF" w:themeColor="hyperlink"/>
      <w:u w:val="single"/>
    </w:rPr>
  </w:style>
  <w:style w:type="character" w:customStyle="1" w:styleId="HeaderChar">
    <w:name w:val="Header Char"/>
    <w:basedOn w:val="DefaultParagraphFont"/>
    <w:link w:val="Header"/>
    <w:semiHidden/>
    <w:rsid w:val="00B010B9"/>
    <w:rPr>
      <w:rFonts w:ascii="Arial" w:eastAsia="SimSun" w:hAnsi="Arial" w:cs="Arial"/>
      <w:sz w:val="22"/>
      <w:lang w:val="fr-CH" w:eastAsia="zh-CN"/>
    </w:rPr>
  </w:style>
  <w:style w:type="paragraph" w:styleId="BalloonText">
    <w:name w:val="Balloon Text"/>
    <w:basedOn w:val="Normal"/>
    <w:link w:val="BalloonTextChar"/>
    <w:rsid w:val="00536FA3"/>
    <w:rPr>
      <w:rFonts w:ascii="Tahoma" w:hAnsi="Tahoma" w:cs="Tahoma"/>
      <w:sz w:val="16"/>
      <w:szCs w:val="16"/>
    </w:rPr>
  </w:style>
  <w:style w:type="character" w:customStyle="1" w:styleId="BalloonTextChar">
    <w:name w:val="Balloon Text Char"/>
    <w:basedOn w:val="DefaultParagraphFont"/>
    <w:link w:val="BalloonText"/>
    <w:rsid w:val="00536FA3"/>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locked/>
    <w:rsid w:val="00934C37"/>
    <w:rPr>
      <w:rFonts w:ascii="Arial" w:eastAsia="SimSun" w:hAnsi="Arial" w:cs="Arial"/>
      <w:sz w:val="22"/>
      <w:lang w:val="fr-CH" w:eastAsia="zh-CN"/>
    </w:rPr>
  </w:style>
  <w:style w:type="character" w:styleId="FootnoteReference">
    <w:name w:val="footnote reference"/>
    <w:basedOn w:val="DefaultParagraphFont"/>
    <w:rsid w:val="00934C37"/>
    <w:rPr>
      <w:vertAlign w:val="superscript"/>
    </w:rPr>
  </w:style>
  <w:style w:type="character" w:customStyle="1" w:styleId="FootnoteTextChar">
    <w:name w:val="Footnote Text Char"/>
    <w:basedOn w:val="DefaultParagraphFont"/>
    <w:link w:val="FootnoteText"/>
    <w:semiHidden/>
    <w:rsid w:val="00934C37"/>
    <w:rPr>
      <w:rFonts w:ascii="Arial" w:eastAsia="SimSun" w:hAnsi="Arial" w:cs="Arial"/>
      <w:sz w:val="18"/>
      <w:lang w:val="fr-CH" w:eastAsia="zh-CN"/>
    </w:rPr>
  </w:style>
  <w:style w:type="paragraph" w:customStyle="1" w:styleId="LegTitle">
    <w:name w:val="Leg # Title"/>
    <w:basedOn w:val="Normal"/>
    <w:next w:val="Normal"/>
    <w:rsid w:val="00934C37"/>
    <w:pPr>
      <w:keepNext/>
      <w:keepLines/>
      <w:suppressAutoHyphens/>
      <w:spacing w:before="240"/>
      <w:jc w:val="center"/>
    </w:pPr>
    <w:rPr>
      <w:rFonts w:eastAsia="Times New Roman" w:cs="Times New Roman"/>
      <w:b/>
      <w:lang w:val="en-US" w:eastAsia="ja-JP"/>
    </w:rPr>
  </w:style>
  <w:style w:type="paragraph" w:customStyle="1" w:styleId="LegBasic">
    <w:name w:val="Leg Basic"/>
    <w:rsid w:val="00934C37"/>
    <w:pPr>
      <w:spacing w:after="480" w:line="480" w:lineRule="auto"/>
    </w:pPr>
    <w:rPr>
      <w:rFonts w:ascii="Arial" w:hAnsi="Arial"/>
      <w:snapToGrid w:val="0"/>
      <w:sz w:val="22"/>
    </w:rPr>
  </w:style>
  <w:style w:type="character" w:customStyle="1" w:styleId="Heading1Char">
    <w:name w:val="Heading 1 Char"/>
    <w:basedOn w:val="DefaultParagraphFont"/>
    <w:link w:val="Heading1"/>
    <w:rsid w:val="00934C37"/>
    <w:rPr>
      <w:rFonts w:ascii="Arial" w:eastAsia="SimSun" w:hAnsi="Arial" w:cs="Arial"/>
      <w:b/>
      <w:bCs/>
      <w:caps/>
      <w:kern w:val="32"/>
      <w:sz w:val="22"/>
      <w:szCs w:val="32"/>
      <w:lang w:val="fr-CH" w:eastAsia="zh-CN"/>
    </w:rPr>
  </w:style>
  <w:style w:type="character" w:styleId="Hyperlink">
    <w:name w:val="Hyperlink"/>
    <w:basedOn w:val="DefaultParagraphFont"/>
    <w:rsid w:val="00292D08"/>
    <w:rPr>
      <w:color w:val="0000FF" w:themeColor="hyperlink"/>
      <w:u w:val="single"/>
    </w:rPr>
  </w:style>
  <w:style w:type="character" w:customStyle="1" w:styleId="HeaderChar">
    <w:name w:val="Header Char"/>
    <w:basedOn w:val="DefaultParagraphFont"/>
    <w:link w:val="Header"/>
    <w:semiHidden/>
    <w:rsid w:val="00B010B9"/>
    <w:rPr>
      <w:rFonts w:ascii="Arial" w:eastAsia="SimSun" w:hAnsi="Arial" w:cs="Arial"/>
      <w:sz w:val="22"/>
      <w:lang w:val="fr-CH" w:eastAsia="zh-CN"/>
    </w:rPr>
  </w:style>
  <w:style w:type="paragraph" w:styleId="BalloonText">
    <w:name w:val="Balloon Text"/>
    <w:basedOn w:val="Normal"/>
    <w:link w:val="BalloonTextChar"/>
    <w:rsid w:val="00536FA3"/>
    <w:rPr>
      <w:rFonts w:ascii="Tahoma" w:hAnsi="Tahoma" w:cs="Tahoma"/>
      <w:sz w:val="16"/>
      <w:szCs w:val="16"/>
    </w:rPr>
  </w:style>
  <w:style w:type="character" w:customStyle="1" w:styleId="BalloonTextChar">
    <w:name w:val="Balloon Text Char"/>
    <w:basedOn w:val="DefaultParagraphFont"/>
    <w:link w:val="BalloonText"/>
    <w:rsid w:val="00536FA3"/>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A68E-4770-41A3-8BA4-B67889AF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(F)</Template>
  <TotalTime>2</TotalTime>
  <Pages>5</Pages>
  <Words>2314</Words>
  <Characters>12169</Characters>
  <Application>Microsoft Office Word</Application>
  <DocSecurity>0</DocSecurity>
  <Lines>579</Lines>
  <Paragraphs>438</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PCT/WG/10/8</dc:title>
  <dc:subject>Fee Reductions for Certain Applicants from Certain Countries, Notably Developing and Least Developed Countries</dc:subject>
  <dc:creator>OLIVIÉ Karen</dc:creator>
  <cp:keywords>LC/ko</cp:keywords>
  <cp:lastModifiedBy>MARLOW Thomas</cp:lastModifiedBy>
  <cp:revision>3</cp:revision>
  <cp:lastPrinted>2017-04-11T14:07:00Z</cp:lastPrinted>
  <dcterms:created xsi:type="dcterms:W3CDTF">2017-04-11T14:57:00Z</dcterms:created>
  <dcterms:modified xsi:type="dcterms:W3CDTF">2017-04-11T14:58:00Z</dcterms:modified>
</cp:coreProperties>
</file>