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A50A2" w:rsidRPr="00403B14" w:rsidTr="00014DDB">
        <w:tc>
          <w:tcPr>
            <w:tcW w:w="4513" w:type="dxa"/>
            <w:tcBorders>
              <w:bottom w:val="single" w:sz="4" w:space="0" w:color="auto"/>
            </w:tcBorders>
            <w:tcMar>
              <w:bottom w:w="170" w:type="dxa"/>
            </w:tcMar>
          </w:tcPr>
          <w:p w:rsidR="004A50A2" w:rsidRPr="00403B14" w:rsidRDefault="004A50A2" w:rsidP="00014DDB">
            <w:pPr>
              <w:rPr>
                <w:lang w:val="fr-FR"/>
              </w:rPr>
            </w:pPr>
            <w:bookmarkStart w:id="0" w:name="TitleOfDoc"/>
            <w:bookmarkEnd w:id="0"/>
          </w:p>
        </w:tc>
        <w:tc>
          <w:tcPr>
            <w:tcW w:w="4337" w:type="dxa"/>
            <w:tcBorders>
              <w:bottom w:val="single" w:sz="4" w:space="0" w:color="auto"/>
            </w:tcBorders>
            <w:tcMar>
              <w:left w:w="0" w:type="dxa"/>
              <w:right w:w="0" w:type="dxa"/>
            </w:tcMar>
          </w:tcPr>
          <w:p w:rsidR="004A50A2" w:rsidRPr="00403B14" w:rsidRDefault="004A50A2" w:rsidP="00014DDB">
            <w:pPr>
              <w:rPr>
                <w:lang w:val="fr-FR"/>
              </w:rPr>
            </w:pPr>
            <w:r w:rsidRPr="00403B14">
              <w:rPr>
                <w:noProof/>
                <w:lang w:eastAsia="en-US"/>
              </w:rPr>
              <w:drawing>
                <wp:inline distT="0" distB="0" distL="0" distR="0" wp14:anchorId="14FF3631" wp14:editId="1DCEA77B">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A50A2" w:rsidRPr="00403B14" w:rsidRDefault="004A50A2" w:rsidP="00014DDB">
            <w:pPr>
              <w:jc w:val="right"/>
              <w:rPr>
                <w:lang w:val="fr-FR"/>
              </w:rPr>
            </w:pPr>
            <w:r w:rsidRPr="00403B14">
              <w:rPr>
                <w:b/>
                <w:sz w:val="40"/>
                <w:szCs w:val="40"/>
                <w:lang w:val="fr-FR"/>
              </w:rPr>
              <w:t>F</w:t>
            </w:r>
          </w:p>
        </w:tc>
      </w:tr>
      <w:tr w:rsidR="004A50A2" w:rsidRPr="00403B14" w:rsidTr="00014DDB">
        <w:trPr>
          <w:trHeight w:hRule="exact" w:val="357"/>
        </w:trPr>
        <w:tc>
          <w:tcPr>
            <w:tcW w:w="9356" w:type="dxa"/>
            <w:gridSpan w:val="3"/>
            <w:tcBorders>
              <w:top w:val="single" w:sz="4" w:space="0" w:color="auto"/>
            </w:tcBorders>
            <w:tcMar>
              <w:top w:w="170" w:type="dxa"/>
              <w:left w:w="0" w:type="dxa"/>
              <w:right w:w="0" w:type="dxa"/>
            </w:tcMar>
            <w:vAlign w:val="bottom"/>
          </w:tcPr>
          <w:p w:rsidR="004A50A2" w:rsidRPr="00403B14" w:rsidRDefault="004A50A2" w:rsidP="00014DDB">
            <w:pPr>
              <w:jc w:val="right"/>
              <w:rPr>
                <w:rFonts w:ascii="Arial Black" w:hAnsi="Arial Black"/>
                <w:caps/>
                <w:sz w:val="15"/>
                <w:lang w:val="fr-FR"/>
              </w:rPr>
            </w:pPr>
            <w:r w:rsidRPr="00403B14">
              <w:rPr>
                <w:rFonts w:ascii="Arial Black" w:hAnsi="Arial Black"/>
                <w:caps/>
                <w:sz w:val="15"/>
                <w:lang w:val="fr-FR"/>
              </w:rPr>
              <w:t>PCT/CTC/30/</w:t>
            </w:r>
            <w:bookmarkStart w:id="1" w:name="Code"/>
            <w:bookmarkEnd w:id="1"/>
            <w:r w:rsidRPr="00403B14">
              <w:rPr>
                <w:rFonts w:ascii="Arial Black" w:hAnsi="Arial Black"/>
                <w:caps/>
                <w:sz w:val="15"/>
                <w:lang w:val="fr-FR"/>
              </w:rPr>
              <w:t>7</w:t>
            </w:r>
          </w:p>
        </w:tc>
      </w:tr>
      <w:tr w:rsidR="004A50A2" w:rsidRPr="00403B14" w:rsidTr="00014DDB">
        <w:trPr>
          <w:trHeight w:hRule="exact" w:val="170"/>
        </w:trPr>
        <w:tc>
          <w:tcPr>
            <w:tcW w:w="9356" w:type="dxa"/>
            <w:gridSpan w:val="3"/>
            <w:noWrap/>
            <w:tcMar>
              <w:left w:w="0" w:type="dxa"/>
              <w:right w:w="0" w:type="dxa"/>
            </w:tcMar>
            <w:vAlign w:val="bottom"/>
          </w:tcPr>
          <w:p w:rsidR="004A50A2" w:rsidRPr="00403B14" w:rsidRDefault="004A50A2" w:rsidP="00014DDB">
            <w:pPr>
              <w:jc w:val="right"/>
              <w:rPr>
                <w:rFonts w:ascii="Arial Black" w:hAnsi="Arial Black"/>
                <w:caps/>
                <w:sz w:val="15"/>
                <w:lang w:val="fr-FR"/>
              </w:rPr>
            </w:pPr>
            <w:r w:rsidRPr="00403B14">
              <w:rPr>
                <w:rFonts w:ascii="Arial Black" w:hAnsi="Arial Black"/>
                <w:caps/>
                <w:sz w:val="15"/>
                <w:lang w:val="fr-FR"/>
              </w:rPr>
              <w:t>ORIGINAL</w:t>
            </w:r>
            <w:r w:rsidR="00D10BFC" w:rsidRPr="00403B14">
              <w:rPr>
                <w:rFonts w:ascii="Arial Black" w:hAnsi="Arial Black"/>
                <w:caps/>
                <w:sz w:val="15"/>
                <w:lang w:val="fr-FR"/>
              </w:rPr>
              <w:t> :</w:t>
            </w:r>
            <w:r w:rsidRPr="00403B14">
              <w:rPr>
                <w:rFonts w:ascii="Arial Black" w:hAnsi="Arial Black"/>
                <w:caps/>
                <w:sz w:val="15"/>
                <w:lang w:val="fr-FR"/>
              </w:rPr>
              <w:t xml:space="preserve"> </w:t>
            </w:r>
            <w:bookmarkStart w:id="2" w:name="Original"/>
            <w:bookmarkEnd w:id="2"/>
            <w:r w:rsidRPr="00403B14">
              <w:rPr>
                <w:rFonts w:ascii="Arial Black" w:hAnsi="Arial Black"/>
                <w:caps/>
                <w:sz w:val="15"/>
                <w:lang w:val="fr-FR"/>
              </w:rPr>
              <w:t>anglais</w:t>
            </w:r>
          </w:p>
        </w:tc>
      </w:tr>
      <w:tr w:rsidR="004A50A2" w:rsidRPr="00403B14" w:rsidTr="00014DDB">
        <w:trPr>
          <w:trHeight w:hRule="exact" w:val="198"/>
        </w:trPr>
        <w:tc>
          <w:tcPr>
            <w:tcW w:w="9356" w:type="dxa"/>
            <w:gridSpan w:val="3"/>
            <w:tcMar>
              <w:left w:w="0" w:type="dxa"/>
              <w:right w:w="0" w:type="dxa"/>
            </w:tcMar>
            <w:vAlign w:val="bottom"/>
          </w:tcPr>
          <w:p w:rsidR="004A50A2" w:rsidRPr="00403B14" w:rsidRDefault="004A50A2" w:rsidP="004A50A2">
            <w:pPr>
              <w:jc w:val="right"/>
              <w:rPr>
                <w:rFonts w:ascii="Arial Black" w:hAnsi="Arial Black"/>
                <w:caps/>
                <w:sz w:val="15"/>
                <w:lang w:val="fr-FR"/>
              </w:rPr>
            </w:pPr>
            <w:r w:rsidRPr="00403B14">
              <w:rPr>
                <w:rFonts w:ascii="Arial Black" w:hAnsi="Arial Black"/>
                <w:caps/>
                <w:sz w:val="15"/>
                <w:lang w:val="fr-FR"/>
              </w:rPr>
              <w:t>DATE</w:t>
            </w:r>
            <w:r w:rsidR="00D10BFC" w:rsidRPr="00403B14">
              <w:rPr>
                <w:rFonts w:ascii="Arial Black" w:hAnsi="Arial Black"/>
                <w:caps/>
                <w:sz w:val="15"/>
                <w:lang w:val="fr-FR"/>
              </w:rPr>
              <w:t> :</w:t>
            </w:r>
            <w:r w:rsidRPr="00403B14">
              <w:rPr>
                <w:rFonts w:ascii="Arial Black" w:hAnsi="Arial Black"/>
                <w:caps/>
                <w:sz w:val="15"/>
                <w:lang w:val="fr-FR"/>
              </w:rPr>
              <w:t xml:space="preserve"> </w:t>
            </w:r>
            <w:bookmarkStart w:id="3" w:name="Date"/>
            <w:bookmarkEnd w:id="3"/>
            <w:r w:rsidRPr="00403B14">
              <w:rPr>
                <w:rFonts w:ascii="Arial Black" w:hAnsi="Arial Black"/>
                <w:caps/>
                <w:sz w:val="15"/>
                <w:lang w:val="fr-FR"/>
              </w:rPr>
              <w:t>16 mars 2017</w:t>
            </w:r>
          </w:p>
        </w:tc>
      </w:tr>
    </w:tbl>
    <w:p w:rsidR="004A50A2" w:rsidRPr="00403B14" w:rsidRDefault="004A50A2" w:rsidP="004A50A2">
      <w:pPr>
        <w:rPr>
          <w:lang w:val="fr-FR"/>
        </w:rPr>
      </w:pPr>
    </w:p>
    <w:p w:rsidR="004A50A2" w:rsidRPr="00403B14" w:rsidRDefault="004A50A2" w:rsidP="004A50A2">
      <w:pPr>
        <w:rPr>
          <w:lang w:val="fr-FR"/>
        </w:rPr>
      </w:pPr>
    </w:p>
    <w:p w:rsidR="004A50A2" w:rsidRPr="00403B14" w:rsidRDefault="004A50A2" w:rsidP="004A50A2">
      <w:pPr>
        <w:rPr>
          <w:lang w:val="fr-FR"/>
        </w:rPr>
      </w:pPr>
    </w:p>
    <w:p w:rsidR="004A50A2" w:rsidRPr="00403B14" w:rsidRDefault="004A50A2" w:rsidP="004A50A2">
      <w:pPr>
        <w:rPr>
          <w:lang w:val="fr-FR"/>
        </w:rPr>
      </w:pPr>
    </w:p>
    <w:p w:rsidR="004A50A2" w:rsidRPr="00403B14" w:rsidRDefault="004A50A2" w:rsidP="004A50A2">
      <w:pPr>
        <w:rPr>
          <w:lang w:val="fr-FR"/>
        </w:rPr>
      </w:pPr>
    </w:p>
    <w:p w:rsidR="004A50A2" w:rsidRPr="00403B14" w:rsidRDefault="004A50A2" w:rsidP="004A50A2">
      <w:pPr>
        <w:rPr>
          <w:b/>
          <w:sz w:val="28"/>
          <w:szCs w:val="28"/>
          <w:lang w:val="fr-FR"/>
        </w:rPr>
      </w:pPr>
      <w:r w:rsidRPr="00403B14">
        <w:rPr>
          <w:b/>
          <w:sz w:val="28"/>
          <w:szCs w:val="28"/>
          <w:lang w:val="fr-FR"/>
        </w:rPr>
        <w:t>Traité de coopération en matière de brevets (PCT)</w:t>
      </w:r>
    </w:p>
    <w:p w:rsidR="004A50A2" w:rsidRPr="00403B14" w:rsidRDefault="004A50A2" w:rsidP="004A50A2">
      <w:pPr>
        <w:rPr>
          <w:b/>
          <w:sz w:val="28"/>
          <w:szCs w:val="28"/>
          <w:lang w:val="fr-FR"/>
        </w:rPr>
      </w:pPr>
      <w:r w:rsidRPr="00403B14">
        <w:rPr>
          <w:b/>
          <w:sz w:val="28"/>
          <w:szCs w:val="28"/>
          <w:lang w:val="fr-FR"/>
        </w:rPr>
        <w:t>Comité de coopération technique</w:t>
      </w:r>
    </w:p>
    <w:p w:rsidR="004A50A2" w:rsidRPr="00403B14" w:rsidRDefault="004A50A2" w:rsidP="004A50A2">
      <w:pPr>
        <w:rPr>
          <w:lang w:val="fr-FR"/>
        </w:rPr>
      </w:pPr>
    </w:p>
    <w:p w:rsidR="004A50A2" w:rsidRPr="00403B14" w:rsidRDefault="004A50A2" w:rsidP="004A50A2">
      <w:pPr>
        <w:rPr>
          <w:lang w:val="fr-FR"/>
        </w:rPr>
      </w:pPr>
    </w:p>
    <w:p w:rsidR="004A50A2" w:rsidRPr="00403B14" w:rsidRDefault="004A50A2" w:rsidP="004A50A2">
      <w:pPr>
        <w:rPr>
          <w:b/>
          <w:sz w:val="24"/>
          <w:szCs w:val="24"/>
          <w:lang w:val="fr-FR"/>
        </w:rPr>
      </w:pPr>
      <w:r w:rsidRPr="00403B14">
        <w:rPr>
          <w:b/>
          <w:sz w:val="24"/>
          <w:szCs w:val="24"/>
          <w:lang w:val="fr-FR"/>
        </w:rPr>
        <w:t>Trent</w:t>
      </w:r>
      <w:r w:rsidR="00D10BFC" w:rsidRPr="00403B14">
        <w:rPr>
          <w:b/>
          <w:sz w:val="24"/>
          <w:szCs w:val="24"/>
          <w:lang w:val="fr-FR"/>
        </w:rPr>
        <w:t>ième session</w:t>
      </w:r>
    </w:p>
    <w:p w:rsidR="004A50A2" w:rsidRPr="00403B14" w:rsidRDefault="004A50A2" w:rsidP="004A50A2">
      <w:pPr>
        <w:rPr>
          <w:b/>
          <w:sz w:val="24"/>
          <w:szCs w:val="24"/>
          <w:lang w:val="fr-FR"/>
        </w:rPr>
      </w:pPr>
      <w:r w:rsidRPr="00403B14">
        <w:rPr>
          <w:b/>
          <w:sz w:val="24"/>
          <w:szCs w:val="24"/>
          <w:lang w:val="fr-FR"/>
        </w:rPr>
        <w:t>Genève, 8 – 1</w:t>
      </w:r>
      <w:r w:rsidR="00D10BFC" w:rsidRPr="00403B14">
        <w:rPr>
          <w:b/>
          <w:sz w:val="24"/>
          <w:szCs w:val="24"/>
          <w:lang w:val="fr-FR"/>
        </w:rPr>
        <w:t>2 mai 20</w:t>
      </w:r>
      <w:r w:rsidRPr="00403B14">
        <w:rPr>
          <w:b/>
          <w:sz w:val="24"/>
          <w:szCs w:val="24"/>
          <w:lang w:val="fr-FR"/>
        </w:rPr>
        <w:t>17</w:t>
      </w:r>
    </w:p>
    <w:p w:rsidR="004A50A2" w:rsidRPr="00403B14" w:rsidRDefault="004A50A2" w:rsidP="004A50A2">
      <w:pPr>
        <w:rPr>
          <w:lang w:val="fr-FR"/>
        </w:rPr>
      </w:pPr>
    </w:p>
    <w:p w:rsidR="004A50A2" w:rsidRPr="00403B14" w:rsidRDefault="004A50A2" w:rsidP="004A50A2">
      <w:pPr>
        <w:rPr>
          <w:lang w:val="fr-FR"/>
        </w:rPr>
      </w:pPr>
    </w:p>
    <w:p w:rsidR="004A50A2" w:rsidRPr="00403B14" w:rsidRDefault="004A50A2" w:rsidP="004A50A2">
      <w:pPr>
        <w:rPr>
          <w:lang w:val="fr-FR"/>
        </w:rPr>
      </w:pPr>
    </w:p>
    <w:p w:rsidR="00342BCA" w:rsidRPr="009349C2" w:rsidRDefault="00E63F6F" w:rsidP="009349C2">
      <w:pPr>
        <w:rPr>
          <w:caps/>
          <w:sz w:val="24"/>
          <w:lang w:val="fr-FR"/>
        </w:rPr>
      </w:pPr>
      <w:r w:rsidRPr="009349C2">
        <w:rPr>
          <w:caps/>
          <w:sz w:val="24"/>
          <w:lang w:val="fr-FR"/>
        </w:rPr>
        <w:t>Prolongation de la nomination de l</w:t>
      </w:r>
      <w:r w:rsidR="00D10BFC" w:rsidRPr="009349C2">
        <w:rPr>
          <w:caps/>
          <w:sz w:val="24"/>
          <w:lang w:val="fr-FR"/>
        </w:rPr>
        <w:t>’</w:t>
      </w:r>
      <w:r w:rsidRPr="009349C2">
        <w:rPr>
          <w:caps/>
          <w:sz w:val="24"/>
          <w:lang w:val="fr-FR"/>
        </w:rPr>
        <w:t>Institut national de la propriété industrielle du Chili en qualité d</w:t>
      </w:r>
      <w:r w:rsidR="00D10BFC" w:rsidRPr="009349C2">
        <w:rPr>
          <w:caps/>
          <w:sz w:val="24"/>
          <w:lang w:val="fr-FR"/>
        </w:rPr>
        <w:t>’</w:t>
      </w:r>
      <w:r w:rsidRPr="009349C2">
        <w:rPr>
          <w:caps/>
          <w:sz w:val="24"/>
          <w:lang w:val="fr-FR"/>
        </w:rPr>
        <w:t>administration chargée de la recherche internationale et de l</w:t>
      </w:r>
      <w:r w:rsidR="00D10BFC" w:rsidRPr="009349C2">
        <w:rPr>
          <w:caps/>
          <w:sz w:val="24"/>
          <w:lang w:val="fr-FR"/>
        </w:rPr>
        <w:t>’</w:t>
      </w:r>
      <w:r w:rsidRPr="009349C2">
        <w:rPr>
          <w:caps/>
          <w:sz w:val="24"/>
          <w:lang w:val="fr-FR"/>
        </w:rPr>
        <w:t>examen préliminaire international selon</w:t>
      </w:r>
      <w:r w:rsidR="00D10BFC" w:rsidRPr="009349C2">
        <w:rPr>
          <w:caps/>
          <w:sz w:val="24"/>
          <w:lang w:val="fr-FR"/>
        </w:rPr>
        <w:t xml:space="preserve"> le PCT</w:t>
      </w:r>
    </w:p>
    <w:p w:rsidR="00342BCA" w:rsidRPr="009349C2" w:rsidRDefault="00342BCA" w:rsidP="009349C2">
      <w:pPr>
        <w:rPr>
          <w:lang w:val="fr-FR"/>
        </w:rPr>
      </w:pPr>
    </w:p>
    <w:p w:rsidR="00342BCA" w:rsidRPr="009349C2" w:rsidRDefault="00E63F6F" w:rsidP="009349C2">
      <w:pPr>
        <w:rPr>
          <w:i/>
          <w:lang w:val="fr-FR"/>
        </w:rPr>
      </w:pPr>
      <w:bookmarkStart w:id="4" w:name="Prepared"/>
      <w:bookmarkEnd w:id="4"/>
      <w:r w:rsidRPr="009349C2">
        <w:rPr>
          <w:i/>
          <w:lang w:val="fr-FR"/>
        </w:rPr>
        <w:t>Document établi par le Bureau international</w:t>
      </w:r>
    </w:p>
    <w:p w:rsidR="00342BCA" w:rsidRPr="009349C2" w:rsidRDefault="00342BCA" w:rsidP="009349C2">
      <w:pPr>
        <w:rPr>
          <w:lang w:val="fr-FR"/>
        </w:rPr>
      </w:pPr>
    </w:p>
    <w:p w:rsidR="00342BCA" w:rsidRPr="009349C2" w:rsidRDefault="00342BCA" w:rsidP="009349C2">
      <w:pPr>
        <w:rPr>
          <w:lang w:val="fr-FR"/>
        </w:rPr>
      </w:pPr>
    </w:p>
    <w:p w:rsidR="00342BCA" w:rsidRPr="009349C2" w:rsidRDefault="00342BCA" w:rsidP="009349C2">
      <w:pPr>
        <w:rPr>
          <w:lang w:val="fr-FR"/>
        </w:rPr>
      </w:pPr>
    </w:p>
    <w:p w:rsidR="00342BCA" w:rsidRPr="009349C2" w:rsidRDefault="00342BCA" w:rsidP="009349C2">
      <w:pPr>
        <w:rPr>
          <w:lang w:val="fr-FR"/>
        </w:rPr>
      </w:pPr>
    </w:p>
    <w:p w:rsidR="00342BCA" w:rsidRPr="009349C2" w:rsidRDefault="00E63F6F" w:rsidP="009349C2">
      <w:pPr>
        <w:pStyle w:val="ONUME"/>
        <w:rPr>
          <w:lang w:val="fr-FR"/>
        </w:rPr>
      </w:pPr>
      <w:bookmarkStart w:id="5" w:name="_Ref447032909"/>
      <w:r w:rsidRPr="009349C2">
        <w:rPr>
          <w:lang w:val="fr-FR"/>
        </w:rPr>
        <w:t>Toutes les administrations internationales existantes ont été nommées par l</w:t>
      </w:r>
      <w:r w:rsidR="00D10BFC" w:rsidRPr="009349C2">
        <w:rPr>
          <w:lang w:val="fr-FR"/>
        </w:rPr>
        <w:t>’</w:t>
      </w:r>
      <w:r w:rsidRPr="009349C2">
        <w:rPr>
          <w:lang w:val="fr-FR"/>
        </w:rPr>
        <w:t>Assemblée de l</w:t>
      </w:r>
      <w:r w:rsidR="00D10BFC" w:rsidRPr="009349C2">
        <w:rPr>
          <w:lang w:val="fr-FR"/>
        </w:rPr>
        <w:t>’</w:t>
      </w:r>
      <w:r w:rsidRPr="009349C2">
        <w:rPr>
          <w:lang w:val="fr-FR"/>
        </w:rPr>
        <w:t>Union</w:t>
      </w:r>
      <w:r w:rsidR="00D10BFC" w:rsidRPr="009349C2">
        <w:rPr>
          <w:lang w:val="fr-FR"/>
        </w:rPr>
        <w:t xml:space="preserve"> du PCT</w:t>
      </w:r>
      <w:r w:rsidRPr="009349C2">
        <w:rPr>
          <w:lang w:val="fr-FR"/>
        </w:rPr>
        <w:t xml:space="preserve"> pour une période s</w:t>
      </w:r>
      <w:r w:rsidR="00D10BFC" w:rsidRPr="009349C2">
        <w:rPr>
          <w:lang w:val="fr-FR"/>
        </w:rPr>
        <w:t>’</w:t>
      </w:r>
      <w:r w:rsidRPr="009349C2">
        <w:rPr>
          <w:lang w:val="fr-FR"/>
        </w:rPr>
        <w:t>achevant le 3</w:t>
      </w:r>
      <w:r w:rsidR="00D10BFC" w:rsidRPr="009349C2">
        <w:rPr>
          <w:lang w:val="fr-FR"/>
        </w:rPr>
        <w:t>1 décembre 20</w:t>
      </w:r>
      <w:r w:rsidRPr="009349C2">
        <w:rPr>
          <w:lang w:val="fr-FR"/>
        </w:rPr>
        <w:t>17.</w:t>
      </w:r>
      <w:r w:rsidR="005C40A3" w:rsidRPr="009349C2">
        <w:rPr>
          <w:lang w:val="fr-FR"/>
        </w:rPr>
        <w:t xml:space="preserve">  </w:t>
      </w:r>
      <w:bookmarkEnd w:id="5"/>
      <w:r w:rsidR="00D10BFC" w:rsidRPr="009349C2">
        <w:rPr>
          <w:lang w:val="fr-FR"/>
        </w:rPr>
        <w:t>En 2017</w:t>
      </w:r>
      <w:r w:rsidRPr="009349C2">
        <w:rPr>
          <w:lang w:val="fr-FR"/>
        </w:rPr>
        <w:t>, l</w:t>
      </w:r>
      <w:r w:rsidR="00D10BFC" w:rsidRPr="009349C2">
        <w:rPr>
          <w:lang w:val="fr-FR"/>
        </w:rPr>
        <w:t>’</w:t>
      </w:r>
      <w:r w:rsidRPr="009349C2">
        <w:rPr>
          <w:lang w:val="fr-FR"/>
        </w:rPr>
        <w:t>assemblée devra donc prendre une décision en ce qui concerne la prolongation de la nomination de chaque administration internationale existante qui souhaite demander une telle prolongation, après avoir sollicité l</w:t>
      </w:r>
      <w:r w:rsidR="00D10BFC" w:rsidRPr="009349C2">
        <w:rPr>
          <w:lang w:val="fr-FR"/>
        </w:rPr>
        <w:t>’</w:t>
      </w:r>
      <w:r w:rsidRPr="009349C2">
        <w:rPr>
          <w:lang w:val="fr-FR"/>
        </w:rPr>
        <w:t xml:space="preserve">avis du comité (voir les </w:t>
      </w:r>
      <w:r w:rsidR="00D10BFC" w:rsidRPr="009349C2">
        <w:rPr>
          <w:lang w:val="fr-FR"/>
        </w:rPr>
        <w:t>articles 1</w:t>
      </w:r>
      <w:r w:rsidR="009349C2">
        <w:rPr>
          <w:lang w:val="fr-FR"/>
        </w:rPr>
        <w:t>6.3)e) et </w:t>
      </w:r>
      <w:r w:rsidRPr="009349C2">
        <w:rPr>
          <w:lang w:val="fr-FR"/>
        </w:rPr>
        <w:t>32</w:t>
      </w:r>
      <w:r w:rsidR="009349C2">
        <w:rPr>
          <w:lang w:val="fr-FR"/>
        </w:rPr>
        <w:t>.</w:t>
      </w:r>
      <w:r w:rsidRPr="009349C2">
        <w:rPr>
          <w:lang w:val="fr-FR"/>
        </w:rPr>
        <w:t>3)</w:t>
      </w:r>
      <w:r w:rsidR="00D10BFC" w:rsidRPr="009349C2">
        <w:rPr>
          <w:lang w:val="fr-FR"/>
        </w:rPr>
        <w:t xml:space="preserve"> du PCT</w:t>
      </w:r>
      <w:r w:rsidRPr="009349C2">
        <w:rPr>
          <w:lang w:val="fr-FR"/>
        </w:rPr>
        <w:t>).</w:t>
      </w:r>
      <w:r w:rsidR="0035027E" w:rsidRPr="009349C2">
        <w:rPr>
          <w:lang w:val="fr-FR"/>
        </w:rPr>
        <w:t xml:space="preserve">  </w:t>
      </w:r>
      <w:r w:rsidR="00244325" w:rsidRPr="009349C2">
        <w:rPr>
          <w:lang w:val="fr-FR"/>
        </w:rPr>
        <w:t>On trouvera d</w:t>
      </w:r>
      <w:r w:rsidR="0076025D" w:rsidRPr="009349C2">
        <w:rPr>
          <w:lang w:val="fr-FR"/>
        </w:rPr>
        <w:t xml:space="preserve">es informations </w:t>
      </w:r>
      <w:r w:rsidR="00244325" w:rsidRPr="009349C2">
        <w:rPr>
          <w:lang w:val="fr-FR"/>
        </w:rPr>
        <w:t xml:space="preserve">concernant la </w:t>
      </w:r>
      <w:r w:rsidR="0076025D" w:rsidRPr="009349C2">
        <w:rPr>
          <w:lang w:val="fr-FR"/>
        </w:rPr>
        <w:t xml:space="preserve">procédure </w:t>
      </w:r>
      <w:r w:rsidR="00244325" w:rsidRPr="009349C2">
        <w:rPr>
          <w:lang w:val="fr-FR"/>
        </w:rPr>
        <w:t xml:space="preserve">applicable et le </w:t>
      </w:r>
      <w:r w:rsidR="0076025D" w:rsidRPr="009349C2">
        <w:rPr>
          <w:lang w:val="fr-FR"/>
        </w:rPr>
        <w:t>rôle du comité dans le document PCT/CTC/30/INF/1.</w:t>
      </w:r>
    </w:p>
    <w:p w:rsidR="00342BCA" w:rsidRPr="009349C2" w:rsidRDefault="0076025D" w:rsidP="009349C2">
      <w:pPr>
        <w:pStyle w:val="ONUME"/>
        <w:rPr>
          <w:lang w:val="fr-FR"/>
        </w:rPr>
      </w:pPr>
      <w:r w:rsidRPr="009349C2">
        <w:rPr>
          <w:lang w:val="fr-FR"/>
        </w:rPr>
        <w:t xml:space="preserve">Le </w:t>
      </w:r>
      <w:r w:rsidR="004C204E">
        <w:rPr>
          <w:lang w:val="fr-FR"/>
        </w:rPr>
        <w:t>1</w:t>
      </w:r>
      <w:r w:rsidR="004C204E" w:rsidRPr="004C204E">
        <w:rPr>
          <w:vertAlign w:val="superscript"/>
          <w:lang w:val="fr-FR"/>
        </w:rPr>
        <w:t>er</w:t>
      </w:r>
      <w:r w:rsidR="00D10BFC" w:rsidRPr="009349C2">
        <w:rPr>
          <w:lang w:val="fr-FR"/>
        </w:rPr>
        <w:t> mars 20</w:t>
      </w:r>
      <w:r w:rsidRPr="009349C2">
        <w:rPr>
          <w:lang w:val="fr-FR"/>
        </w:rPr>
        <w:t xml:space="preserve">17, </w:t>
      </w:r>
      <w:r w:rsidR="00A3794F" w:rsidRPr="009349C2">
        <w:rPr>
          <w:lang w:val="fr-FR"/>
        </w:rPr>
        <w:t>Institut national de la propriété industrielle du Chili</w:t>
      </w:r>
      <w:r w:rsidRPr="009349C2">
        <w:rPr>
          <w:lang w:val="fr-FR"/>
        </w:rPr>
        <w:t xml:space="preserve"> a </w:t>
      </w:r>
      <w:r w:rsidR="00244325" w:rsidRPr="009349C2">
        <w:rPr>
          <w:lang w:val="fr-FR"/>
        </w:rPr>
        <w:t>présenté</w:t>
      </w:r>
      <w:r w:rsidRPr="009349C2">
        <w:rPr>
          <w:lang w:val="fr-FR"/>
        </w:rPr>
        <w:t xml:space="preserve"> une demande </w:t>
      </w:r>
      <w:r w:rsidR="00244325" w:rsidRPr="009349C2">
        <w:rPr>
          <w:lang w:val="fr-FR"/>
        </w:rPr>
        <w:t>de prolongation de</w:t>
      </w:r>
      <w:r w:rsidRPr="009349C2">
        <w:rPr>
          <w:lang w:val="fr-FR"/>
        </w:rPr>
        <w:t xml:space="preserve"> sa nomination en qualité d</w:t>
      </w:r>
      <w:r w:rsidR="00D10BFC" w:rsidRPr="009349C2">
        <w:rPr>
          <w:lang w:val="fr-FR"/>
        </w:rPr>
        <w:t>’</w:t>
      </w:r>
      <w:r w:rsidRPr="009349C2">
        <w:rPr>
          <w:lang w:val="fr-FR"/>
        </w:rPr>
        <w:t xml:space="preserve">administration chargée de la recherche internationale et </w:t>
      </w:r>
      <w:r w:rsidR="00244325" w:rsidRPr="009349C2">
        <w:rPr>
          <w:lang w:val="fr-FR"/>
        </w:rPr>
        <w:t xml:space="preserve">d’administration chargée </w:t>
      </w:r>
      <w:r w:rsidRPr="009349C2">
        <w:rPr>
          <w:lang w:val="fr-FR"/>
        </w:rPr>
        <w:t>de l</w:t>
      </w:r>
      <w:r w:rsidR="00D10BFC" w:rsidRPr="009349C2">
        <w:rPr>
          <w:lang w:val="fr-FR"/>
        </w:rPr>
        <w:t>’</w:t>
      </w:r>
      <w:r w:rsidRPr="009349C2">
        <w:rPr>
          <w:lang w:val="fr-FR"/>
        </w:rPr>
        <w:t>examen préliminaire international selon</w:t>
      </w:r>
      <w:r w:rsidR="00D10BFC" w:rsidRPr="009349C2">
        <w:rPr>
          <w:lang w:val="fr-FR"/>
        </w:rPr>
        <w:t xml:space="preserve"> le </w:t>
      </w:r>
      <w:r w:rsidR="00403B14" w:rsidRPr="009349C2">
        <w:rPr>
          <w:lang w:val="fr-FR"/>
        </w:rPr>
        <w:t>PCT.  Ce</w:t>
      </w:r>
      <w:r w:rsidRPr="009349C2">
        <w:rPr>
          <w:lang w:val="fr-FR"/>
        </w:rPr>
        <w:t xml:space="preserve">tte demande est reproduite </w:t>
      </w:r>
      <w:r w:rsidR="00244325" w:rsidRPr="009349C2">
        <w:rPr>
          <w:lang w:val="fr-FR"/>
        </w:rPr>
        <w:t>à</w:t>
      </w:r>
      <w:r w:rsidRPr="009349C2">
        <w:rPr>
          <w:lang w:val="fr-FR"/>
        </w:rPr>
        <w:t xml:space="preserve"> l</w:t>
      </w:r>
      <w:r w:rsidR="00D10BFC" w:rsidRPr="009349C2">
        <w:rPr>
          <w:lang w:val="fr-FR"/>
        </w:rPr>
        <w:t>’</w:t>
      </w:r>
      <w:r w:rsidRPr="009349C2">
        <w:rPr>
          <w:lang w:val="fr-FR"/>
        </w:rPr>
        <w:t>annexe du présent document.</w:t>
      </w:r>
    </w:p>
    <w:p w:rsidR="00342BCA" w:rsidRPr="009349C2" w:rsidRDefault="0076025D" w:rsidP="009349C2">
      <w:pPr>
        <w:pStyle w:val="ONUME"/>
        <w:tabs>
          <w:tab w:val="left" w:pos="6096"/>
        </w:tabs>
        <w:ind w:left="5533"/>
        <w:rPr>
          <w:i/>
          <w:lang w:val="fr-FR"/>
        </w:rPr>
      </w:pPr>
      <w:r w:rsidRPr="009349C2">
        <w:rPr>
          <w:i/>
          <w:lang w:val="fr-FR"/>
        </w:rPr>
        <w:t xml:space="preserve">Le comité est invité à </w:t>
      </w:r>
      <w:r w:rsidR="00244325" w:rsidRPr="009349C2">
        <w:rPr>
          <w:i/>
          <w:lang w:val="fr-FR"/>
        </w:rPr>
        <w:t>faire part de</w:t>
      </w:r>
      <w:r w:rsidRPr="009349C2">
        <w:rPr>
          <w:i/>
          <w:lang w:val="fr-FR"/>
        </w:rPr>
        <w:t xml:space="preserve"> son avis sur cette question.</w:t>
      </w:r>
    </w:p>
    <w:p w:rsidR="00342BCA" w:rsidRPr="00A3794F" w:rsidRDefault="00342BCA" w:rsidP="009349C2">
      <w:pPr>
        <w:rPr>
          <w:lang w:val="fr-FR"/>
        </w:rPr>
      </w:pPr>
    </w:p>
    <w:p w:rsidR="00014DDB" w:rsidRPr="00A3794F" w:rsidRDefault="00014DDB" w:rsidP="009349C2">
      <w:pPr>
        <w:rPr>
          <w:lang w:val="fr-FR"/>
        </w:rPr>
      </w:pPr>
    </w:p>
    <w:p w:rsidR="00AA5F79" w:rsidRPr="009349C2" w:rsidRDefault="0076025D" w:rsidP="009349C2">
      <w:pPr>
        <w:pStyle w:val="ONUME"/>
        <w:numPr>
          <w:ilvl w:val="0"/>
          <w:numId w:val="0"/>
        </w:numPr>
        <w:ind w:left="5533"/>
        <w:rPr>
          <w:lang w:val="fr-FR"/>
        </w:rPr>
        <w:sectPr w:rsidR="00AA5F79" w:rsidRPr="009349C2" w:rsidSect="00D10BFC">
          <w:headerReference w:type="default" r:id="rId10"/>
          <w:endnotePr>
            <w:numFmt w:val="decimal"/>
          </w:endnotePr>
          <w:pgSz w:w="11907" w:h="16840" w:code="9"/>
          <w:pgMar w:top="567" w:right="1134" w:bottom="1418" w:left="1418" w:header="510" w:footer="1021" w:gutter="0"/>
          <w:cols w:space="720"/>
          <w:titlePg/>
          <w:docGrid w:linePitch="299"/>
        </w:sectPr>
      </w:pPr>
      <w:r w:rsidRPr="009349C2">
        <w:rPr>
          <w:lang w:val="fr-FR"/>
        </w:rPr>
        <w:t>[L</w:t>
      </w:r>
      <w:r w:rsidR="00D10BFC" w:rsidRPr="009349C2">
        <w:rPr>
          <w:lang w:val="fr-FR"/>
        </w:rPr>
        <w:t>’</w:t>
      </w:r>
      <w:r w:rsidRPr="009349C2">
        <w:rPr>
          <w:lang w:val="fr-FR"/>
        </w:rPr>
        <w:t>annexe suit]</w:t>
      </w:r>
    </w:p>
    <w:p w:rsidR="00342BCA" w:rsidRPr="009349C2" w:rsidRDefault="0076025D" w:rsidP="009349C2">
      <w:pPr>
        <w:pStyle w:val="ONUME"/>
        <w:numPr>
          <w:ilvl w:val="0"/>
          <w:numId w:val="0"/>
        </w:numPr>
        <w:jc w:val="center"/>
        <w:rPr>
          <w:caps/>
          <w:lang w:val="fr-FR"/>
        </w:rPr>
      </w:pPr>
      <w:r w:rsidRPr="009349C2">
        <w:rPr>
          <w:caps/>
          <w:lang w:val="fr-FR"/>
        </w:rPr>
        <w:lastRenderedPageBreak/>
        <w:t xml:space="preserve">DEMANDE </w:t>
      </w:r>
      <w:r w:rsidR="00C50FA7" w:rsidRPr="009349C2">
        <w:rPr>
          <w:caps/>
          <w:lang w:val="fr-FR"/>
        </w:rPr>
        <w:t>de prolongation de la nomination de</w:t>
      </w:r>
      <w:r w:rsidR="00F1173E" w:rsidRPr="009349C2">
        <w:rPr>
          <w:caps/>
          <w:lang w:val="fr-FR"/>
        </w:rPr>
        <w:t xml:space="preserve"> </w:t>
      </w:r>
      <w:r w:rsidRPr="009349C2">
        <w:rPr>
          <w:caps/>
          <w:lang w:val="fr-FR"/>
        </w:rPr>
        <w:t>l</w:t>
      </w:r>
      <w:r w:rsidR="00D10BFC" w:rsidRPr="009349C2">
        <w:rPr>
          <w:caps/>
          <w:lang w:val="fr-FR"/>
        </w:rPr>
        <w:t>’</w:t>
      </w:r>
      <w:r w:rsidRPr="009349C2">
        <w:rPr>
          <w:caps/>
          <w:lang w:val="fr-FR"/>
        </w:rPr>
        <w:t>Institut national de la propriÉtÉ industrielle du Chili (INAPI) EN QUALITÉ D</w:t>
      </w:r>
      <w:r w:rsidR="00D10BFC" w:rsidRPr="009349C2">
        <w:rPr>
          <w:caps/>
          <w:lang w:val="fr-FR"/>
        </w:rPr>
        <w:t>’</w:t>
      </w:r>
      <w:r w:rsidRPr="009349C2">
        <w:rPr>
          <w:caps/>
          <w:lang w:val="fr-FR"/>
        </w:rPr>
        <w:t>ADMINISTRATION CHARGÉE DE LA RECHERCHE INTERNATIONALE ET DE L</w:t>
      </w:r>
      <w:r w:rsidR="00D10BFC" w:rsidRPr="009349C2">
        <w:rPr>
          <w:caps/>
          <w:lang w:val="fr-FR"/>
        </w:rPr>
        <w:t>’</w:t>
      </w:r>
      <w:r w:rsidRPr="009349C2">
        <w:rPr>
          <w:caps/>
          <w:lang w:val="fr-FR"/>
        </w:rPr>
        <w:t>EXAMEN PRÉLIMINAIRE INTERNATIONAL SELON LE PCT</w:t>
      </w:r>
    </w:p>
    <w:p w:rsidR="00342BCA" w:rsidRPr="009349C2" w:rsidRDefault="00342BCA" w:rsidP="009349C2">
      <w:pPr>
        <w:pStyle w:val="ONUME"/>
        <w:numPr>
          <w:ilvl w:val="0"/>
          <w:numId w:val="0"/>
        </w:numPr>
        <w:rPr>
          <w:lang w:val="fr-FR"/>
        </w:rPr>
      </w:pPr>
    </w:p>
    <w:p w:rsidR="00342BCA" w:rsidRPr="009349C2" w:rsidRDefault="0076025D" w:rsidP="009349C2">
      <w:pPr>
        <w:pStyle w:val="SectionHeading"/>
        <w:rPr>
          <w:lang w:val="fr-FR"/>
        </w:rPr>
      </w:pPr>
      <w:r w:rsidRPr="009349C2">
        <w:rPr>
          <w:lang w:val="fr-FR"/>
        </w:rPr>
        <w:t>1</w:t>
      </w:r>
      <w:r w:rsidR="00D10BFC" w:rsidRPr="009349C2">
        <w:rPr>
          <w:lang w:val="fr-FR"/>
        </w:rPr>
        <w:t xml:space="preserve"> – </w:t>
      </w:r>
      <w:r w:rsidR="00860367">
        <w:rPr>
          <w:lang w:val="fr-FR"/>
        </w:rPr>
        <w:t>Informations générales</w:t>
      </w:r>
    </w:p>
    <w:p w:rsidR="00D10BFC" w:rsidRPr="009349C2" w:rsidRDefault="0076025D" w:rsidP="009349C2">
      <w:pPr>
        <w:rPr>
          <w:b/>
          <w:bCs/>
          <w:szCs w:val="22"/>
          <w:lang w:val="fr-FR"/>
        </w:rPr>
      </w:pPr>
      <w:r w:rsidRPr="009349C2">
        <w:rPr>
          <w:b/>
          <w:bCs/>
          <w:szCs w:val="22"/>
          <w:lang w:val="fr-FR"/>
        </w:rPr>
        <w:t>Nom de l</w:t>
      </w:r>
      <w:r w:rsidR="00D10BFC" w:rsidRPr="009349C2">
        <w:rPr>
          <w:b/>
          <w:bCs/>
          <w:szCs w:val="22"/>
          <w:lang w:val="fr-FR"/>
        </w:rPr>
        <w:t>’</w:t>
      </w:r>
      <w:r w:rsidRPr="009349C2">
        <w:rPr>
          <w:b/>
          <w:bCs/>
          <w:szCs w:val="22"/>
          <w:lang w:val="fr-FR"/>
        </w:rPr>
        <w:t>office national ou de l</w:t>
      </w:r>
      <w:r w:rsidR="00D10BFC" w:rsidRPr="009349C2">
        <w:rPr>
          <w:b/>
          <w:bCs/>
          <w:szCs w:val="22"/>
          <w:lang w:val="fr-FR"/>
        </w:rPr>
        <w:t>’</w:t>
      </w:r>
      <w:r w:rsidRPr="009349C2">
        <w:rPr>
          <w:b/>
          <w:bCs/>
          <w:szCs w:val="22"/>
          <w:lang w:val="fr-FR"/>
        </w:rPr>
        <w:t>organisation intergouvernementale</w:t>
      </w:r>
      <w:r w:rsidR="00D10BFC" w:rsidRPr="009349C2">
        <w:rPr>
          <w:b/>
          <w:bCs/>
          <w:szCs w:val="22"/>
          <w:lang w:val="fr-FR"/>
        </w:rPr>
        <w:t> :</w:t>
      </w:r>
    </w:p>
    <w:p w:rsidR="00342BCA" w:rsidRPr="009349C2" w:rsidRDefault="0076025D" w:rsidP="009349C2">
      <w:pPr>
        <w:rPr>
          <w:lang w:val="fr-FR"/>
        </w:rPr>
      </w:pPr>
      <w:proofErr w:type="spellStart"/>
      <w:r w:rsidRPr="009349C2">
        <w:rPr>
          <w:lang w:val="fr-FR"/>
        </w:rPr>
        <w:t>Instituto</w:t>
      </w:r>
      <w:proofErr w:type="spellEnd"/>
      <w:r w:rsidRPr="009349C2">
        <w:rPr>
          <w:lang w:val="fr-FR"/>
        </w:rPr>
        <w:t xml:space="preserve"> </w:t>
      </w:r>
      <w:proofErr w:type="spellStart"/>
      <w:r w:rsidRPr="009349C2">
        <w:rPr>
          <w:lang w:val="fr-FR"/>
        </w:rPr>
        <w:t>Nacional</w:t>
      </w:r>
      <w:proofErr w:type="spellEnd"/>
      <w:r w:rsidRPr="009349C2">
        <w:rPr>
          <w:lang w:val="fr-FR"/>
        </w:rPr>
        <w:t xml:space="preserve"> de </w:t>
      </w:r>
      <w:proofErr w:type="spellStart"/>
      <w:r w:rsidRPr="009349C2">
        <w:rPr>
          <w:lang w:val="fr-FR"/>
        </w:rPr>
        <w:t>Propiedad</w:t>
      </w:r>
      <w:proofErr w:type="spellEnd"/>
      <w:r w:rsidRPr="009349C2">
        <w:rPr>
          <w:lang w:val="fr-FR"/>
        </w:rPr>
        <w:t xml:space="preserve"> </w:t>
      </w:r>
      <w:proofErr w:type="spellStart"/>
      <w:r w:rsidRPr="009349C2">
        <w:rPr>
          <w:lang w:val="fr-FR"/>
        </w:rPr>
        <w:t>Industrial</w:t>
      </w:r>
      <w:proofErr w:type="spellEnd"/>
      <w:r w:rsidRPr="009349C2">
        <w:rPr>
          <w:lang w:val="fr-FR"/>
        </w:rPr>
        <w:t xml:space="preserve"> de Chile / Institut national de la propriété industrielle du Chili</w:t>
      </w:r>
    </w:p>
    <w:p w:rsidR="00342BCA" w:rsidRPr="009349C2" w:rsidRDefault="00342BCA" w:rsidP="009349C2">
      <w:pPr>
        <w:rPr>
          <w:lang w:val="fr-FR"/>
        </w:rPr>
      </w:pPr>
    </w:p>
    <w:p w:rsidR="00D10BFC" w:rsidRPr="009349C2" w:rsidRDefault="0076025D" w:rsidP="009349C2">
      <w:pPr>
        <w:rPr>
          <w:lang w:val="fr-FR"/>
        </w:rPr>
      </w:pPr>
      <w:r w:rsidRPr="009349C2">
        <w:rPr>
          <w:lang w:val="fr-FR"/>
        </w:rPr>
        <w:t>L</w:t>
      </w:r>
      <w:r w:rsidR="00D10BFC" w:rsidRPr="009349C2">
        <w:rPr>
          <w:lang w:val="fr-FR"/>
        </w:rPr>
        <w:t>’</w:t>
      </w:r>
      <w:r w:rsidRPr="009349C2">
        <w:rPr>
          <w:lang w:val="fr-FR"/>
        </w:rPr>
        <w:t>Institut national de la propriété industrielle du Chili (INAPI) est un service public décentralisé qui est responsable sur les plans technique et juridique de la prestation et de l</w:t>
      </w:r>
      <w:r w:rsidR="00D10BFC" w:rsidRPr="009349C2">
        <w:rPr>
          <w:lang w:val="fr-FR"/>
        </w:rPr>
        <w:t>’</w:t>
      </w:r>
      <w:r w:rsidRPr="009349C2">
        <w:rPr>
          <w:lang w:val="fr-FR"/>
        </w:rPr>
        <w:t>administration de tous les services de propriété industrielle au Chili.</w:t>
      </w:r>
      <w:r w:rsidR="00A80A18" w:rsidRPr="009349C2">
        <w:rPr>
          <w:lang w:val="fr-FR"/>
        </w:rPr>
        <w:t xml:space="preserve">  </w:t>
      </w:r>
      <w:r w:rsidRPr="009349C2">
        <w:rPr>
          <w:lang w:val="fr-FR"/>
        </w:rPr>
        <w:t>L</w:t>
      </w:r>
      <w:r w:rsidR="00D10BFC" w:rsidRPr="009349C2">
        <w:rPr>
          <w:lang w:val="fr-FR"/>
        </w:rPr>
        <w:t>’</w:t>
      </w:r>
      <w:r w:rsidRPr="009349C2">
        <w:rPr>
          <w:lang w:val="fr-FR"/>
        </w:rPr>
        <w:t xml:space="preserve">INAPI est </w:t>
      </w:r>
      <w:proofErr w:type="gramStart"/>
      <w:r w:rsidRPr="009349C2">
        <w:rPr>
          <w:lang w:val="fr-FR"/>
        </w:rPr>
        <w:t>chargé</w:t>
      </w:r>
      <w:proofErr w:type="gramEnd"/>
      <w:r w:rsidRPr="009349C2">
        <w:rPr>
          <w:lang w:val="fr-FR"/>
        </w:rPr>
        <w:t xml:space="preserve"> de promouvoir la protection conférée par la propriété industrielle et de diffuser l</w:t>
      </w:r>
      <w:r w:rsidR="00D10BFC" w:rsidRPr="009349C2">
        <w:rPr>
          <w:lang w:val="fr-FR"/>
        </w:rPr>
        <w:t>’</w:t>
      </w:r>
      <w:r w:rsidRPr="009349C2">
        <w:rPr>
          <w:lang w:val="fr-FR"/>
        </w:rPr>
        <w:t>information et les connaissances techniqu</w:t>
      </w:r>
      <w:r w:rsidR="00403B14" w:rsidRPr="009349C2">
        <w:rPr>
          <w:lang w:val="fr-FR"/>
        </w:rPr>
        <w:t>es.  En</w:t>
      </w:r>
      <w:r w:rsidRPr="009349C2">
        <w:rPr>
          <w:lang w:val="fr-FR"/>
        </w:rPr>
        <w:t>tre autres attributions, il conseille le Président sur des questions liées à la propriété industrielle aux niveaux national et international, et fait office de tribunal de première instance pour les procédures en opposition et en nullité.</w:t>
      </w:r>
    </w:p>
    <w:p w:rsidR="00342BCA" w:rsidRPr="009349C2" w:rsidRDefault="00342BCA" w:rsidP="009349C2">
      <w:pPr>
        <w:rPr>
          <w:lang w:val="fr-FR"/>
        </w:rPr>
      </w:pPr>
    </w:p>
    <w:p w:rsidR="00D10BFC" w:rsidRPr="009349C2" w:rsidRDefault="0076025D" w:rsidP="009349C2">
      <w:pPr>
        <w:rPr>
          <w:lang w:val="fr-FR"/>
        </w:rPr>
      </w:pPr>
      <w:r w:rsidRPr="009349C2">
        <w:rPr>
          <w:lang w:val="fr-FR"/>
        </w:rPr>
        <w:t>L</w:t>
      </w:r>
      <w:r w:rsidR="00D10BFC" w:rsidRPr="009349C2">
        <w:rPr>
          <w:lang w:val="fr-FR"/>
        </w:rPr>
        <w:t>’</w:t>
      </w:r>
      <w:r w:rsidRPr="009349C2">
        <w:rPr>
          <w:lang w:val="fr-FR"/>
        </w:rPr>
        <w:t>INAPI a débuté ses activités en janvier 2009, en remplacement de l</w:t>
      </w:r>
      <w:r w:rsidR="00D10BFC" w:rsidRPr="009349C2">
        <w:rPr>
          <w:lang w:val="fr-FR"/>
        </w:rPr>
        <w:t>’</w:t>
      </w:r>
      <w:r w:rsidRPr="009349C2">
        <w:rPr>
          <w:lang w:val="fr-FR"/>
        </w:rPr>
        <w:t xml:space="preserve">ancien Département de la propriété industrielle du </w:t>
      </w:r>
      <w:r w:rsidR="00450A58" w:rsidRPr="009349C2">
        <w:rPr>
          <w:lang w:val="fr-FR"/>
        </w:rPr>
        <w:t>Ministère</w:t>
      </w:r>
      <w:r w:rsidRPr="009349C2">
        <w:rPr>
          <w:lang w:val="fr-FR"/>
        </w:rPr>
        <w:t xml:space="preserve"> de l</w:t>
      </w:r>
      <w:r w:rsidR="00D10BFC" w:rsidRPr="009349C2">
        <w:rPr>
          <w:lang w:val="fr-FR"/>
        </w:rPr>
        <w:t>’</w:t>
      </w:r>
      <w:r w:rsidR="00403B14" w:rsidRPr="009349C2">
        <w:rPr>
          <w:lang w:val="fr-FR"/>
        </w:rPr>
        <w:t>é</w:t>
      </w:r>
      <w:r w:rsidRPr="009349C2">
        <w:rPr>
          <w:lang w:val="fr-FR"/>
        </w:rPr>
        <w:t>conom</w:t>
      </w:r>
      <w:r w:rsidR="00403B14" w:rsidRPr="009349C2">
        <w:rPr>
          <w:lang w:val="fr-FR"/>
        </w:rPr>
        <w:t>ie.  La</w:t>
      </w:r>
      <w:r w:rsidRPr="009349C2">
        <w:rPr>
          <w:lang w:val="fr-FR"/>
        </w:rPr>
        <w:t xml:space="preserve"> création de l</w:t>
      </w:r>
      <w:r w:rsidR="00D10BFC" w:rsidRPr="009349C2">
        <w:rPr>
          <w:lang w:val="fr-FR"/>
        </w:rPr>
        <w:t>’</w:t>
      </w:r>
      <w:r w:rsidRPr="009349C2">
        <w:rPr>
          <w:lang w:val="fr-FR"/>
        </w:rPr>
        <w:t>INAPI a constitué un jalon dans le système d</w:t>
      </w:r>
      <w:r w:rsidR="00D10BFC" w:rsidRPr="009349C2">
        <w:rPr>
          <w:lang w:val="fr-FR"/>
        </w:rPr>
        <w:t>’</w:t>
      </w:r>
      <w:r w:rsidRPr="009349C2">
        <w:rPr>
          <w:lang w:val="fr-FR"/>
        </w:rPr>
        <w:t>innovation chilien et l</w:t>
      </w:r>
      <w:r w:rsidR="00D10BFC" w:rsidRPr="009349C2">
        <w:rPr>
          <w:lang w:val="fr-FR"/>
        </w:rPr>
        <w:t>’</w:t>
      </w:r>
      <w:r w:rsidRPr="009349C2">
        <w:rPr>
          <w:lang w:val="fr-FR"/>
        </w:rPr>
        <w:t>une des mesures cruciales prises par le Gouvernement chilien pour montrer son engagement en faveur de la promotion de l</w:t>
      </w:r>
      <w:r w:rsidR="00D10BFC" w:rsidRPr="009349C2">
        <w:rPr>
          <w:lang w:val="fr-FR"/>
        </w:rPr>
        <w:t>’</w:t>
      </w:r>
      <w:r w:rsidRPr="009349C2">
        <w:rPr>
          <w:lang w:val="fr-FR"/>
        </w:rPr>
        <w:t>innovation, de la concurrence et de l</w:t>
      </w:r>
      <w:r w:rsidR="00D10BFC" w:rsidRPr="009349C2">
        <w:rPr>
          <w:lang w:val="fr-FR"/>
        </w:rPr>
        <w:t>’</w:t>
      </w:r>
      <w:r w:rsidRPr="009349C2">
        <w:rPr>
          <w:lang w:val="fr-FR"/>
        </w:rPr>
        <w:t>esprit d</w:t>
      </w:r>
      <w:r w:rsidR="00D10BFC" w:rsidRPr="009349C2">
        <w:rPr>
          <w:lang w:val="fr-FR"/>
        </w:rPr>
        <w:t>’</w:t>
      </w:r>
      <w:r w:rsidRPr="009349C2">
        <w:rPr>
          <w:lang w:val="fr-FR"/>
        </w:rPr>
        <w:t>entreprise au moyen de la propriété intellectuelle.</w:t>
      </w:r>
    </w:p>
    <w:p w:rsidR="00342BCA" w:rsidRPr="009349C2" w:rsidRDefault="00342BCA" w:rsidP="009349C2">
      <w:pPr>
        <w:rPr>
          <w:lang w:val="fr-FR"/>
        </w:rPr>
      </w:pPr>
    </w:p>
    <w:p w:rsidR="00342BCA" w:rsidRPr="009349C2" w:rsidRDefault="00207248" w:rsidP="009349C2">
      <w:pPr>
        <w:rPr>
          <w:lang w:val="fr-FR"/>
        </w:rPr>
      </w:pPr>
      <w:r w:rsidRPr="009349C2">
        <w:rPr>
          <w:lang w:val="fr-FR"/>
        </w:rPr>
        <w:t>Pour s</w:t>
      </w:r>
      <w:r w:rsidR="00D10BFC" w:rsidRPr="009349C2">
        <w:rPr>
          <w:lang w:val="fr-FR"/>
        </w:rPr>
        <w:t>’</w:t>
      </w:r>
      <w:r w:rsidRPr="009349C2">
        <w:rPr>
          <w:lang w:val="fr-FR"/>
        </w:rPr>
        <w:t>acquitter de ses fonctions, l</w:t>
      </w:r>
      <w:r w:rsidR="00D10BFC" w:rsidRPr="009349C2">
        <w:rPr>
          <w:lang w:val="fr-FR"/>
        </w:rPr>
        <w:t>’</w:t>
      </w:r>
      <w:r w:rsidRPr="009349C2">
        <w:rPr>
          <w:lang w:val="fr-FR"/>
        </w:rPr>
        <w:t>INAPI est organisé en trois</w:t>
      </w:r>
      <w:r w:rsidR="00450A58" w:rsidRPr="009349C2">
        <w:rPr>
          <w:lang w:val="fr-FR"/>
        </w:rPr>
        <w:t> </w:t>
      </w:r>
      <w:r w:rsidRPr="009349C2">
        <w:rPr>
          <w:lang w:val="fr-FR"/>
        </w:rPr>
        <w:t>grands secteurs</w:t>
      </w:r>
      <w:r w:rsidR="00D10BFC" w:rsidRPr="009349C2">
        <w:rPr>
          <w:lang w:val="fr-FR"/>
        </w:rPr>
        <w:t> :</w:t>
      </w:r>
      <w:r w:rsidRPr="009349C2">
        <w:rPr>
          <w:lang w:val="fr-FR"/>
        </w:rPr>
        <w:t xml:space="preserve"> marques, brevets et transfert des connaissances (les autres secteurs sont les Divisions jur</w:t>
      </w:r>
      <w:r w:rsidR="00C7767C" w:rsidRPr="009349C2">
        <w:rPr>
          <w:lang w:val="fr-FR"/>
        </w:rPr>
        <w:t xml:space="preserve">idique et administrative et </w:t>
      </w:r>
      <w:r w:rsidRPr="009349C2">
        <w:rPr>
          <w:lang w:val="fr-FR"/>
        </w:rPr>
        <w:t>des opérations et des financ</w:t>
      </w:r>
      <w:r w:rsidR="00403B14" w:rsidRPr="009349C2">
        <w:rPr>
          <w:lang w:val="fr-FR"/>
        </w:rPr>
        <w:t>es).  Ce</w:t>
      </w:r>
      <w:r w:rsidRPr="009349C2">
        <w:rPr>
          <w:lang w:val="fr-FR"/>
        </w:rPr>
        <w:t>s secteurs sont desservis par un groupe d</w:t>
      </w:r>
      <w:r w:rsidR="00D10BFC" w:rsidRPr="009349C2">
        <w:rPr>
          <w:lang w:val="fr-FR"/>
        </w:rPr>
        <w:t>’</w:t>
      </w:r>
      <w:r w:rsidRPr="009349C2">
        <w:rPr>
          <w:lang w:val="fr-FR"/>
        </w:rPr>
        <w:t>experts conseillers auprès du directeur national dans différents services de politique générale (départements de la politique législative, de la politique internationale et des politiques générales).</w:t>
      </w:r>
    </w:p>
    <w:p w:rsidR="00342BCA" w:rsidRPr="009349C2" w:rsidRDefault="00342BCA" w:rsidP="009349C2">
      <w:pPr>
        <w:rPr>
          <w:lang w:val="fr-FR"/>
        </w:rPr>
      </w:pPr>
    </w:p>
    <w:p w:rsidR="00D10BFC" w:rsidRPr="009349C2" w:rsidRDefault="0070740D" w:rsidP="009349C2">
      <w:pPr>
        <w:rPr>
          <w:lang w:val="fr-FR"/>
        </w:rPr>
      </w:pPr>
      <w:r w:rsidRPr="009349C2">
        <w:rPr>
          <w:lang w:val="fr-FR"/>
        </w:rPr>
        <w:t>Dans les principaux secteurs d</w:t>
      </w:r>
      <w:r w:rsidR="00D10BFC" w:rsidRPr="009349C2">
        <w:rPr>
          <w:lang w:val="fr-FR"/>
        </w:rPr>
        <w:t>’</w:t>
      </w:r>
      <w:r w:rsidRPr="009349C2">
        <w:rPr>
          <w:lang w:val="fr-FR"/>
        </w:rPr>
        <w:t>activité de l</w:t>
      </w:r>
      <w:r w:rsidR="00D10BFC" w:rsidRPr="009349C2">
        <w:rPr>
          <w:lang w:val="fr-FR"/>
        </w:rPr>
        <w:t>’</w:t>
      </w:r>
      <w:r w:rsidRPr="009349C2">
        <w:rPr>
          <w:lang w:val="fr-FR"/>
        </w:rPr>
        <w:t xml:space="preserve">institut, </w:t>
      </w:r>
      <w:r w:rsidR="00D10BFC" w:rsidRPr="009349C2">
        <w:rPr>
          <w:lang w:val="fr-FR"/>
        </w:rPr>
        <w:t>à savoir</w:t>
      </w:r>
      <w:r w:rsidRPr="009349C2">
        <w:rPr>
          <w:lang w:val="fr-FR"/>
        </w:rPr>
        <w:t xml:space="preserve"> les brevets et les marques, les juristes, les examinateurs et les membres du personnel technique et administratif examinent toutes les demandes pour déterminer s</w:t>
      </w:r>
      <w:r w:rsidR="00D10BFC" w:rsidRPr="009349C2">
        <w:rPr>
          <w:lang w:val="fr-FR"/>
        </w:rPr>
        <w:t>’</w:t>
      </w:r>
      <w:r w:rsidRPr="009349C2">
        <w:rPr>
          <w:lang w:val="fr-FR"/>
        </w:rPr>
        <w:t>il y a lieu de délivrer un tit</w:t>
      </w:r>
      <w:r w:rsidR="00403B14" w:rsidRPr="009349C2">
        <w:rPr>
          <w:lang w:val="fr-FR"/>
        </w:rPr>
        <w:t>re.  Pa</w:t>
      </w:r>
      <w:r w:rsidRPr="009349C2">
        <w:rPr>
          <w:lang w:val="fr-FR"/>
        </w:rPr>
        <w:t>r l</w:t>
      </w:r>
      <w:r w:rsidR="00D10BFC" w:rsidRPr="009349C2">
        <w:rPr>
          <w:lang w:val="fr-FR"/>
        </w:rPr>
        <w:t>’</w:t>
      </w:r>
      <w:r w:rsidRPr="009349C2">
        <w:rPr>
          <w:lang w:val="fr-FR"/>
        </w:rPr>
        <w:t>intermédiaire de sa Division du transfert des connaissances, l</w:t>
      </w:r>
      <w:r w:rsidR="00D10BFC" w:rsidRPr="009349C2">
        <w:rPr>
          <w:lang w:val="fr-FR"/>
        </w:rPr>
        <w:t>’</w:t>
      </w:r>
      <w:r w:rsidRPr="009349C2">
        <w:rPr>
          <w:lang w:val="fr-FR"/>
        </w:rPr>
        <w:t>INAPI favorise et encourage l</w:t>
      </w:r>
      <w:r w:rsidR="00D10BFC" w:rsidRPr="009349C2">
        <w:rPr>
          <w:lang w:val="fr-FR"/>
        </w:rPr>
        <w:t>’</w:t>
      </w:r>
      <w:r w:rsidRPr="009349C2">
        <w:rPr>
          <w:lang w:val="fr-FR"/>
        </w:rPr>
        <w:t>utilisation de la propriété industrielle et le transfert des connaissanc</w:t>
      </w:r>
      <w:r w:rsidR="00403B14" w:rsidRPr="009349C2">
        <w:rPr>
          <w:lang w:val="fr-FR"/>
        </w:rPr>
        <w:t>es.  Au</w:t>
      </w:r>
      <w:r w:rsidRPr="009349C2">
        <w:rPr>
          <w:lang w:val="fr-FR"/>
        </w:rPr>
        <w:t xml:space="preserve"> début de 2012, il a lancé dans ce but </w:t>
      </w:r>
      <w:r w:rsidRPr="009349C2">
        <w:rPr>
          <w:i/>
          <w:lang w:val="fr-FR"/>
        </w:rPr>
        <w:t>INAPI</w:t>
      </w:r>
      <w:r w:rsidR="00D10BFC" w:rsidRPr="009349C2">
        <w:rPr>
          <w:i/>
          <w:lang w:val="fr-FR"/>
        </w:rPr>
        <w:t>-</w:t>
      </w:r>
      <w:proofErr w:type="spellStart"/>
      <w:r w:rsidRPr="009349C2">
        <w:rPr>
          <w:i/>
          <w:lang w:val="fr-FR"/>
        </w:rPr>
        <w:t>Proyecta</w:t>
      </w:r>
      <w:proofErr w:type="spellEnd"/>
      <w:r w:rsidRPr="009349C2">
        <w:rPr>
          <w:lang w:val="fr-FR"/>
        </w:rPr>
        <w:t xml:space="preserve"> (www.inapiproyecta.cl), une </w:t>
      </w:r>
      <w:r w:rsidR="00450A58" w:rsidRPr="009349C2">
        <w:rPr>
          <w:lang w:val="fr-FR"/>
        </w:rPr>
        <w:t>plateforme</w:t>
      </w:r>
      <w:r w:rsidRPr="009349C2">
        <w:rPr>
          <w:lang w:val="fr-FR"/>
        </w:rPr>
        <w:t xml:space="preserve"> créée conjointement avec l</w:t>
      </w:r>
      <w:r w:rsidR="00D10BFC" w:rsidRPr="009349C2">
        <w:rPr>
          <w:lang w:val="fr-FR"/>
        </w:rPr>
        <w:t>’</w:t>
      </w:r>
      <w:r w:rsidRPr="009349C2">
        <w:rPr>
          <w:lang w:val="fr-FR"/>
        </w:rPr>
        <w:t>Union européenne qui vise à faciliter l</w:t>
      </w:r>
      <w:r w:rsidR="00D10BFC" w:rsidRPr="009349C2">
        <w:rPr>
          <w:lang w:val="fr-FR"/>
        </w:rPr>
        <w:t>’</w:t>
      </w:r>
      <w:r w:rsidRPr="009349C2">
        <w:rPr>
          <w:lang w:val="fr-FR"/>
        </w:rPr>
        <w:t>accès à l</w:t>
      </w:r>
      <w:r w:rsidR="00D10BFC" w:rsidRPr="009349C2">
        <w:rPr>
          <w:lang w:val="fr-FR"/>
        </w:rPr>
        <w:t>’</w:t>
      </w:r>
      <w:r w:rsidRPr="009349C2">
        <w:rPr>
          <w:lang w:val="fr-FR"/>
        </w:rPr>
        <w:t>information technique, à fournir des outils pour faire un meilleur usage des droits de propriété industrielle et à faire mieux connaître la propriété intellectuelle au moyen de cours en ligne.</w:t>
      </w:r>
    </w:p>
    <w:p w:rsidR="00342BCA" w:rsidRPr="009349C2" w:rsidRDefault="00342BCA" w:rsidP="009349C2">
      <w:pPr>
        <w:rPr>
          <w:lang w:val="fr-FR"/>
        </w:rPr>
      </w:pPr>
    </w:p>
    <w:p w:rsidR="00342BCA" w:rsidRPr="009349C2" w:rsidRDefault="0070740D" w:rsidP="009349C2">
      <w:pPr>
        <w:rPr>
          <w:lang w:val="fr-FR"/>
        </w:rPr>
      </w:pPr>
      <w:r w:rsidRPr="009349C2">
        <w:rPr>
          <w:lang w:val="fr-FR"/>
        </w:rPr>
        <w:t xml:space="preserve">Dans la continuité de </w:t>
      </w:r>
      <w:r w:rsidR="00B96093" w:rsidRPr="009349C2">
        <w:rPr>
          <w:lang w:val="fr-FR"/>
        </w:rPr>
        <w:t>ce programme</w:t>
      </w:r>
      <w:r w:rsidRPr="009349C2">
        <w:rPr>
          <w:lang w:val="fr-FR"/>
        </w:rPr>
        <w:t>, l</w:t>
      </w:r>
      <w:r w:rsidR="00D10BFC" w:rsidRPr="009349C2">
        <w:rPr>
          <w:lang w:val="fr-FR"/>
        </w:rPr>
        <w:t>’</w:t>
      </w:r>
      <w:r w:rsidRPr="009349C2">
        <w:rPr>
          <w:lang w:val="fr-FR"/>
        </w:rPr>
        <w:t>INAPI a lancé deux</w:t>
      </w:r>
      <w:r w:rsidR="00450A58" w:rsidRPr="009349C2">
        <w:rPr>
          <w:lang w:val="fr-FR"/>
        </w:rPr>
        <w:t> </w:t>
      </w:r>
      <w:r w:rsidRPr="009349C2">
        <w:rPr>
          <w:lang w:val="fr-FR"/>
        </w:rPr>
        <w:t xml:space="preserve">nouveaux services Web </w:t>
      </w:r>
      <w:r w:rsidR="00D10BFC" w:rsidRPr="009349C2">
        <w:rPr>
          <w:lang w:val="fr-FR"/>
        </w:rPr>
        <w:t>en 2016</w:t>
      </w:r>
      <w:r w:rsidRPr="009349C2">
        <w:rPr>
          <w:lang w:val="fr-FR"/>
        </w:rPr>
        <w:t xml:space="preserve"> pour encourager le public à utiliser la propriété intellectuel</w:t>
      </w:r>
      <w:r w:rsidR="00403B14" w:rsidRPr="009349C2">
        <w:rPr>
          <w:lang w:val="fr-FR"/>
        </w:rPr>
        <w:t>le.  Le</w:t>
      </w:r>
      <w:r w:rsidR="00402884" w:rsidRPr="009349C2">
        <w:rPr>
          <w:lang w:val="fr-FR"/>
        </w:rPr>
        <w:t xml:space="preserve"> premier, appelé INAPI </w:t>
      </w:r>
      <w:proofErr w:type="spellStart"/>
      <w:r w:rsidR="00402884" w:rsidRPr="009349C2">
        <w:rPr>
          <w:lang w:val="fr-FR"/>
        </w:rPr>
        <w:t>Conecta</w:t>
      </w:r>
      <w:proofErr w:type="spellEnd"/>
      <w:r w:rsidR="00402884" w:rsidRPr="009349C2">
        <w:rPr>
          <w:lang w:val="fr-FR"/>
        </w:rPr>
        <w:t xml:space="preserve"> (www.inapiconecta.cl), est un service Web permettant au déposant de transférer autant d</w:t>
      </w:r>
      <w:r w:rsidR="00D10BFC" w:rsidRPr="009349C2">
        <w:rPr>
          <w:lang w:val="fr-FR"/>
        </w:rPr>
        <w:t>’</w:t>
      </w:r>
      <w:r w:rsidR="00402884" w:rsidRPr="009349C2">
        <w:rPr>
          <w:lang w:val="fr-FR"/>
        </w:rPr>
        <w:t>informations qu</w:t>
      </w:r>
      <w:r w:rsidR="00D10BFC" w:rsidRPr="009349C2">
        <w:rPr>
          <w:lang w:val="fr-FR"/>
        </w:rPr>
        <w:t>’</w:t>
      </w:r>
      <w:r w:rsidR="00402884" w:rsidRPr="009349C2">
        <w:rPr>
          <w:lang w:val="fr-FR"/>
        </w:rPr>
        <w:t>il le souhaite sur sa demande afin d</w:t>
      </w:r>
      <w:r w:rsidR="00D10BFC" w:rsidRPr="009349C2">
        <w:rPr>
          <w:lang w:val="fr-FR"/>
        </w:rPr>
        <w:t>’</w:t>
      </w:r>
      <w:r w:rsidR="00402884" w:rsidRPr="009349C2">
        <w:rPr>
          <w:lang w:val="fr-FR"/>
        </w:rPr>
        <w:t>entrer e</w:t>
      </w:r>
      <w:r w:rsidR="00FC49C6" w:rsidRPr="009349C2">
        <w:rPr>
          <w:lang w:val="fr-FR"/>
        </w:rPr>
        <w:t>n contact avec d</w:t>
      </w:r>
      <w:r w:rsidR="00D10BFC" w:rsidRPr="009349C2">
        <w:rPr>
          <w:lang w:val="fr-FR"/>
        </w:rPr>
        <w:t>’</w:t>
      </w:r>
      <w:r w:rsidR="00FC49C6" w:rsidRPr="009349C2">
        <w:rPr>
          <w:lang w:val="fr-FR"/>
        </w:rPr>
        <w:t>éventuels investisseur</w:t>
      </w:r>
      <w:r w:rsidR="00014DDB" w:rsidRPr="009349C2">
        <w:rPr>
          <w:lang w:val="fr-FR"/>
        </w:rPr>
        <w:t>s,</w:t>
      </w:r>
      <w:r w:rsidR="00402884" w:rsidRPr="009349C2">
        <w:rPr>
          <w:lang w:val="fr-FR"/>
        </w:rPr>
        <w:t xml:space="preserve"> lesquels sont également enregistrés sur cette </w:t>
      </w:r>
      <w:r w:rsidR="00D10BFC" w:rsidRPr="009349C2">
        <w:rPr>
          <w:lang w:val="fr-FR"/>
        </w:rPr>
        <w:t>page W</w:t>
      </w:r>
      <w:r w:rsidR="00402884" w:rsidRPr="009349C2">
        <w:rPr>
          <w:lang w:val="fr-FR"/>
        </w:rPr>
        <w:t>eb et peuvent donc accéder aux informations publiées sur ce si</w:t>
      </w:r>
      <w:r w:rsidR="00403B14" w:rsidRPr="009349C2">
        <w:rPr>
          <w:lang w:val="fr-FR"/>
        </w:rPr>
        <w:t>te.  Ai</w:t>
      </w:r>
      <w:r w:rsidR="00DE038A" w:rsidRPr="009349C2">
        <w:rPr>
          <w:lang w:val="fr-FR"/>
        </w:rPr>
        <w:t>ns</w:t>
      </w:r>
      <w:r w:rsidR="001E31BC" w:rsidRPr="009349C2">
        <w:rPr>
          <w:lang w:val="fr-FR"/>
        </w:rPr>
        <w:t>i</w:t>
      </w:r>
      <w:r w:rsidR="00DE038A" w:rsidRPr="009349C2">
        <w:rPr>
          <w:lang w:val="fr-FR"/>
        </w:rPr>
        <w:t xml:space="preserve">, INAPI </w:t>
      </w:r>
      <w:proofErr w:type="spellStart"/>
      <w:r w:rsidR="00DE038A" w:rsidRPr="009349C2">
        <w:rPr>
          <w:lang w:val="fr-FR"/>
        </w:rPr>
        <w:t>Conecta</w:t>
      </w:r>
      <w:proofErr w:type="spellEnd"/>
      <w:r w:rsidR="00DE038A" w:rsidRPr="009349C2">
        <w:rPr>
          <w:lang w:val="fr-FR"/>
        </w:rPr>
        <w:t xml:space="preserve"> offre un service de mise en relation entre déposants et investisseurs potentiels, leur permettant de planifier une stratégie de concession de licences, d</w:t>
      </w:r>
      <w:r w:rsidR="00D10BFC" w:rsidRPr="009349C2">
        <w:rPr>
          <w:lang w:val="fr-FR"/>
        </w:rPr>
        <w:t>’</w:t>
      </w:r>
      <w:r w:rsidR="00DE038A" w:rsidRPr="009349C2">
        <w:rPr>
          <w:lang w:val="fr-FR"/>
        </w:rPr>
        <w:t>attributions ou tout autre service commercial qu</w:t>
      </w:r>
      <w:r w:rsidR="00D10BFC" w:rsidRPr="009349C2">
        <w:rPr>
          <w:lang w:val="fr-FR"/>
        </w:rPr>
        <w:t>’</w:t>
      </w:r>
      <w:r w:rsidR="00DE038A" w:rsidRPr="009349C2">
        <w:rPr>
          <w:lang w:val="fr-FR"/>
        </w:rPr>
        <w:t xml:space="preserve">ils souhaitent mettre en œuvre en </w:t>
      </w:r>
      <w:r w:rsidR="001E31BC" w:rsidRPr="009349C2">
        <w:rPr>
          <w:lang w:val="fr-FR"/>
        </w:rPr>
        <w:t>rapport</w:t>
      </w:r>
      <w:r w:rsidR="00DE038A" w:rsidRPr="009349C2">
        <w:rPr>
          <w:lang w:val="fr-FR"/>
        </w:rPr>
        <w:t xml:space="preserve"> avec leur droit de propriété intellectuelle.</w:t>
      </w:r>
    </w:p>
    <w:p w:rsidR="00342BCA" w:rsidRPr="009349C2" w:rsidRDefault="00342BCA" w:rsidP="009349C2">
      <w:pPr>
        <w:rPr>
          <w:lang w:val="fr-FR"/>
        </w:rPr>
      </w:pPr>
    </w:p>
    <w:p w:rsidR="00342BCA" w:rsidRPr="009349C2" w:rsidRDefault="00FC49C6" w:rsidP="009349C2">
      <w:pPr>
        <w:rPr>
          <w:lang w:val="fr-FR"/>
        </w:rPr>
      </w:pPr>
      <w:r w:rsidRPr="009349C2">
        <w:rPr>
          <w:lang w:val="fr-FR"/>
        </w:rPr>
        <w:t>Un autre service Web récemment créé à l</w:t>
      </w:r>
      <w:r w:rsidR="00D10BFC" w:rsidRPr="009349C2">
        <w:rPr>
          <w:lang w:val="fr-FR"/>
        </w:rPr>
        <w:t>’</w:t>
      </w:r>
      <w:r w:rsidRPr="009349C2">
        <w:rPr>
          <w:lang w:val="fr-FR"/>
        </w:rPr>
        <w:t>INAPI s</w:t>
      </w:r>
      <w:r w:rsidR="00D10BFC" w:rsidRPr="009349C2">
        <w:rPr>
          <w:lang w:val="fr-FR"/>
        </w:rPr>
        <w:t>’</w:t>
      </w:r>
      <w:r w:rsidRPr="009349C2">
        <w:rPr>
          <w:lang w:val="fr-FR"/>
        </w:rPr>
        <w:t xml:space="preserve">appelle INAPI </w:t>
      </w:r>
      <w:proofErr w:type="spellStart"/>
      <w:r w:rsidRPr="009349C2">
        <w:rPr>
          <w:lang w:val="fr-FR"/>
        </w:rPr>
        <w:t>Analiza</w:t>
      </w:r>
      <w:proofErr w:type="spellEnd"/>
      <w:r w:rsidRPr="009349C2">
        <w:rPr>
          <w:lang w:val="fr-FR"/>
        </w:rPr>
        <w:t xml:space="preserve"> (http://www.inapi.cl/portal/publicaciones/608/w3</w:t>
      </w:r>
      <w:r w:rsidR="00D10BFC" w:rsidRPr="009349C2">
        <w:rPr>
          <w:lang w:val="fr-FR"/>
        </w:rPr>
        <w:t>-</w:t>
      </w:r>
      <w:r w:rsidRPr="009349C2">
        <w:rPr>
          <w:lang w:val="fr-FR"/>
        </w:rPr>
        <w:t>propertyvalue</w:t>
      </w:r>
      <w:r w:rsidR="00D10BFC" w:rsidRPr="009349C2">
        <w:rPr>
          <w:lang w:val="fr-FR"/>
        </w:rPr>
        <w:t>-</w:t>
      </w:r>
      <w:r w:rsidRPr="009349C2">
        <w:rPr>
          <w:lang w:val="fr-FR"/>
        </w:rPr>
        <w:t>12030.html), un outil statistique permettant de récupérer des informations concernant 25</w:t>
      </w:r>
      <w:r w:rsidR="00014DDB" w:rsidRPr="009349C2">
        <w:rPr>
          <w:lang w:val="fr-FR"/>
        </w:rPr>
        <w:t> </w:t>
      </w:r>
      <w:r w:rsidRPr="009349C2">
        <w:rPr>
          <w:lang w:val="fr-FR"/>
        </w:rPr>
        <w:t>années de demandes déposées auprès de l</w:t>
      </w:r>
      <w:r w:rsidR="00D10BFC" w:rsidRPr="009349C2">
        <w:rPr>
          <w:lang w:val="fr-FR"/>
        </w:rPr>
        <w:t>’</w:t>
      </w:r>
      <w:r w:rsidRPr="009349C2">
        <w:rPr>
          <w:lang w:val="fr-FR"/>
        </w:rPr>
        <w:t>INAPI, ainsi que des statistiques relatives aux déposants chiliens à l</w:t>
      </w:r>
      <w:r w:rsidR="00D10BFC" w:rsidRPr="009349C2">
        <w:rPr>
          <w:lang w:val="fr-FR"/>
        </w:rPr>
        <w:t>’</w:t>
      </w:r>
      <w:r w:rsidRPr="009349C2">
        <w:rPr>
          <w:lang w:val="fr-FR"/>
        </w:rPr>
        <w:t>étrang</w:t>
      </w:r>
      <w:r w:rsidR="00403B14" w:rsidRPr="009349C2">
        <w:rPr>
          <w:lang w:val="fr-FR"/>
        </w:rPr>
        <w:t>er.  Ce</w:t>
      </w:r>
      <w:r w:rsidR="00C434DF" w:rsidRPr="009349C2">
        <w:rPr>
          <w:lang w:val="fr-FR"/>
        </w:rPr>
        <w:t xml:space="preserve"> service Web fournit notamment des informations sur la base du pays d</w:t>
      </w:r>
      <w:r w:rsidR="00D10BFC" w:rsidRPr="009349C2">
        <w:rPr>
          <w:lang w:val="fr-FR"/>
        </w:rPr>
        <w:t>’</w:t>
      </w:r>
      <w:r w:rsidR="00C434DF" w:rsidRPr="009349C2">
        <w:rPr>
          <w:lang w:val="fr-FR"/>
        </w:rPr>
        <w:t>origine et du classement des demandes déposé</w:t>
      </w:r>
      <w:r w:rsidR="00403B14" w:rsidRPr="009349C2">
        <w:rPr>
          <w:lang w:val="fr-FR"/>
        </w:rPr>
        <w:t>es.  Il</w:t>
      </w:r>
      <w:r w:rsidR="00C434DF" w:rsidRPr="009349C2">
        <w:rPr>
          <w:lang w:val="fr-FR"/>
        </w:rPr>
        <w:t xml:space="preserve"> établit une distinction en ce qui concerne l</w:t>
      </w:r>
      <w:r w:rsidR="00D10BFC" w:rsidRPr="009349C2">
        <w:rPr>
          <w:lang w:val="fr-FR"/>
        </w:rPr>
        <w:t>’</w:t>
      </w:r>
      <w:r w:rsidR="00C434DF" w:rsidRPr="009349C2">
        <w:rPr>
          <w:lang w:val="fr-FR"/>
        </w:rPr>
        <w:t>année de dépôt, permettant à l</w:t>
      </w:r>
      <w:r w:rsidR="00D10BFC" w:rsidRPr="009349C2">
        <w:rPr>
          <w:lang w:val="fr-FR"/>
        </w:rPr>
        <w:t>’</w:t>
      </w:r>
      <w:r w:rsidR="00C434DF" w:rsidRPr="009349C2">
        <w:rPr>
          <w:lang w:val="fr-FR"/>
        </w:rPr>
        <w:t>utilisateur d</w:t>
      </w:r>
      <w:r w:rsidR="00D10BFC" w:rsidRPr="009349C2">
        <w:rPr>
          <w:lang w:val="fr-FR"/>
        </w:rPr>
        <w:t>’</w:t>
      </w:r>
      <w:r w:rsidR="00C434DF" w:rsidRPr="009349C2">
        <w:rPr>
          <w:lang w:val="fr-FR"/>
        </w:rPr>
        <w:t>analyser les évolutions technologiques au fil des a</w:t>
      </w:r>
      <w:r w:rsidR="00403B14" w:rsidRPr="009349C2">
        <w:rPr>
          <w:lang w:val="fr-FR"/>
        </w:rPr>
        <w:t>ns.  Ce</w:t>
      </w:r>
      <w:r w:rsidR="009A4E02" w:rsidRPr="009349C2">
        <w:rPr>
          <w:lang w:val="fr-FR"/>
        </w:rPr>
        <w:t>t outil couvre les statistiques</w:t>
      </w:r>
      <w:r w:rsidR="00D10BFC" w:rsidRPr="009349C2">
        <w:rPr>
          <w:lang w:val="fr-FR"/>
        </w:rPr>
        <w:t xml:space="preserve"> du PCT</w:t>
      </w:r>
      <w:r w:rsidR="009A4E02" w:rsidRPr="009349C2">
        <w:rPr>
          <w:lang w:val="fr-FR"/>
        </w:rPr>
        <w:t>, tant pour l</w:t>
      </w:r>
      <w:r w:rsidR="00D10BFC" w:rsidRPr="009349C2">
        <w:rPr>
          <w:lang w:val="fr-FR"/>
        </w:rPr>
        <w:t>’</w:t>
      </w:r>
      <w:r w:rsidR="009A4E02" w:rsidRPr="009349C2">
        <w:rPr>
          <w:lang w:val="fr-FR"/>
        </w:rPr>
        <w:t>office récepteur que pour l</w:t>
      </w:r>
      <w:r w:rsidR="00D10BFC" w:rsidRPr="009349C2">
        <w:rPr>
          <w:lang w:val="fr-FR"/>
        </w:rPr>
        <w:t>’</w:t>
      </w:r>
      <w:r w:rsidR="009A4E02" w:rsidRPr="009349C2">
        <w:rPr>
          <w:lang w:val="fr-FR"/>
        </w:rPr>
        <w:t>INAPI en qualité d</w:t>
      </w:r>
      <w:r w:rsidR="00D10BFC" w:rsidRPr="009349C2">
        <w:rPr>
          <w:lang w:val="fr-FR"/>
        </w:rPr>
        <w:t>’</w:t>
      </w:r>
      <w:r w:rsidR="009A4E02" w:rsidRPr="009349C2">
        <w:rPr>
          <w:lang w:val="fr-FR"/>
        </w:rPr>
        <w:t>administration internationale, d</w:t>
      </w:r>
      <w:r w:rsidR="00D10BFC" w:rsidRPr="009349C2">
        <w:rPr>
          <w:lang w:val="fr-FR"/>
        </w:rPr>
        <w:t>’</w:t>
      </w:r>
      <w:r w:rsidR="009A4E02" w:rsidRPr="009349C2">
        <w:rPr>
          <w:lang w:val="fr-FR"/>
        </w:rPr>
        <w:t>où la récupération d</w:t>
      </w:r>
      <w:r w:rsidR="00D10BFC" w:rsidRPr="009349C2">
        <w:rPr>
          <w:lang w:val="fr-FR"/>
        </w:rPr>
        <w:t>’</w:t>
      </w:r>
      <w:r w:rsidR="009A4E02" w:rsidRPr="009349C2">
        <w:rPr>
          <w:lang w:val="fr-FR"/>
        </w:rPr>
        <w:t>informations concernant le pays d</w:t>
      </w:r>
      <w:r w:rsidR="00D10BFC" w:rsidRPr="009349C2">
        <w:rPr>
          <w:lang w:val="fr-FR"/>
        </w:rPr>
        <w:t>’</w:t>
      </w:r>
      <w:r w:rsidR="009A4E02" w:rsidRPr="009349C2">
        <w:rPr>
          <w:lang w:val="fr-FR"/>
        </w:rPr>
        <w:t>origine, le type de déposant, le domaine technique des demandes déposées ainsi que leur voie de dépôt, entre autres informations d</w:t>
      </w:r>
      <w:r w:rsidR="00D10BFC" w:rsidRPr="009349C2">
        <w:rPr>
          <w:lang w:val="fr-FR"/>
        </w:rPr>
        <w:t>’</w:t>
      </w:r>
      <w:r w:rsidR="009A4E02" w:rsidRPr="009349C2">
        <w:rPr>
          <w:lang w:val="fr-FR"/>
        </w:rPr>
        <w:t>intérêt.</w:t>
      </w:r>
    </w:p>
    <w:p w:rsidR="00342BCA" w:rsidRPr="009349C2" w:rsidRDefault="00342BCA" w:rsidP="009349C2">
      <w:pPr>
        <w:rPr>
          <w:lang w:val="fr-FR"/>
        </w:rPr>
      </w:pPr>
    </w:p>
    <w:p w:rsidR="00D10BFC" w:rsidRPr="009349C2" w:rsidRDefault="009A4E02" w:rsidP="009349C2">
      <w:pPr>
        <w:rPr>
          <w:lang w:val="fr-FR"/>
        </w:rPr>
      </w:pPr>
      <w:r w:rsidRPr="009349C2">
        <w:rPr>
          <w:lang w:val="fr-FR"/>
        </w:rPr>
        <w:t>Quant aux services de politique générale, l</w:t>
      </w:r>
      <w:r w:rsidR="00D10BFC" w:rsidRPr="009349C2">
        <w:rPr>
          <w:lang w:val="fr-FR"/>
        </w:rPr>
        <w:t>’</w:t>
      </w:r>
      <w:r w:rsidRPr="009349C2">
        <w:rPr>
          <w:lang w:val="fr-FR"/>
        </w:rPr>
        <w:t>INAPI emploie des spécialistes de la propriété intellectuelle chargés d</w:t>
      </w:r>
      <w:r w:rsidR="00D10BFC" w:rsidRPr="009349C2">
        <w:rPr>
          <w:lang w:val="fr-FR"/>
        </w:rPr>
        <w:t>’</w:t>
      </w:r>
      <w:r w:rsidRPr="009349C2">
        <w:rPr>
          <w:lang w:val="fr-FR"/>
        </w:rPr>
        <w:t>élaborer une nouvelle législation relative à la propriété industrielle, dont un projet de loi soumis au Congrès en vue d</w:t>
      </w:r>
      <w:r w:rsidR="00D10BFC" w:rsidRPr="009349C2">
        <w:rPr>
          <w:lang w:val="fr-FR"/>
        </w:rPr>
        <w:t>’</w:t>
      </w:r>
      <w:r w:rsidRPr="009349C2">
        <w:rPr>
          <w:lang w:val="fr-FR"/>
        </w:rPr>
        <w:t>une nouvelle loi sur la propriété industrielle, de rendre des avis techniques sur diverses questions internationales et de prodiguer à d</w:t>
      </w:r>
      <w:r w:rsidR="00D10BFC" w:rsidRPr="009349C2">
        <w:rPr>
          <w:lang w:val="fr-FR"/>
        </w:rPr>
        <w:t>’</w:t>
      </w:r>
      <w:r w:rsidRPr="009349C2">
        <w:rPr>
          <w:lang w:val="fr-FR"/>
        </w:rPr>
        <w:t>autres services publics des conseils sur des questions de propriété intellectuelle.</w:t>
      </w:r>
    </w:p>
    <w:p w:rsidR="00342BCA" w:rsidRPr="009349C2" w:rsidRDefault="00342BCA" w:rsidP="009349C2">
      <w:pPr>
        <w:rPr>
          <w:lang w:val="fr-FR"/>
        </w:rPr>
      </w:pPr>
    </w:p>
    <w:p w:rsidR="00D10BFC" w:rsidRPr="009349C2" w:rsidRDefault="009A4E02" w:rsidP="009349C2">
      <w:pPr>
        <w:rPr>
          <w:lang w:val="fr-FR"/>
        </w:rPr>
      </w:pPr>
      <w:r w:rsidRPr="009349C2">
        <w:rPr>
          <w:lang w:val="fr-FR"/>
        </w:rPr>
        <w:t>Outre toutes ces activités, l</w:t>
      </w:r>
      <w:r w:rsidR="00D10BFC" w:rsidRPr="009349C2">
        <w:rPr>
          <w:lang w:val="fr-FR"/>
        </w:rPr>
        <w:t>’</w:t>
      </w:r>
      <w:r w:rsidRPr="009349C2">
        <w:rPr>
          <w:lang w:val="fr-FR"/>
        </w:rPr>
        <w:t>INAPI a mené à travers ses services d</w:t>
      </w:r>
      <w:r w:rsidR="00D10BFC" w:rsidRPr="009349C2">
        <w:rPr>
          <w:lang w:val="fr-FR"/>
        </w:rPr>
        <w:t>’</w:t>
      </w:r>
      <w:r w:rsidRPr="009349C2">
        <w:rPr>
          <w:lang w:val="fr-FR"/>
        </w:rPr>
        <w:t xml:space="preserve">appui une série de programmes pour créer une toute nouvelle </w:t>
      </w:r>
      <w:r w:rsidR="00450A58" w:rsidRPr="009349C2">
        <w:rPr>
          <w:lang w:val="fr-FR"/>
        </w:rPr>
        <w:t>plateforme</w:t>
      </w:r>
      <w:r w:rsidRPr="009349C2">
        <w:rPr>
          <w:lang w:val="fr-FR"/>
        </w:rPr>
        <w:t xml:space="preserve"> de services sur le Web, stable et dynamique, qui permet un traitement complet des droits de propriété industrielle en ligne.</w:t>
      </w:r>
    </w:p>
    <w:p w:rsidR="00342BCA" w:rsidRPr="009349C2" w:rsidRDefault="00342BCA" w:rsidP="009349C2">
      <w:pPr>
        <w:rPr>
          <w:lang w:val="fr-FR"/>
        </w:rPr>
      </w:pPr>
    </w:p>
    <w:p w:rsidR="00342BCA" w:rsidRPr="009349C2" w:rsidRDefault="00F1173E" w:rsidP="009349C2">
      <w:pPr>
        <w:rPr>
          <w:lang w:val="fr-FR"/>
        </w:rPr>
      </w:pPr>
      <w:r w:rsidRPr="009349C2">
        <w:rPr>
          <w:b/>
          <w:lang w:val="fr-FR"/>
        </w:rPr>
        <w:t>Date à laquelle le Directeur général a reçu la</w:t>
      </w:r>
      <w:r w:rsidR="009A4E02" w:rsidRPr="009349C2">
        <w:rPr>
          <w:b/>
          <w:lang w:val="fr-FR"/>
        </w:rPr>
        <w:t xml:space="preserve"> demande de </w:t>
      </w:r>
      <w:r w:rsidR="00530EA3" w:rsidRPr="009349C2">
        <w:rPr>
          <w:b/>
          <w:lang w:val="fr-FR"/>
        </w:rPr>
        <w:t>renouvellement</w:t>
      </w:r>
      <w:r w:rsidR="00D10BFC" w:rsidRPr="009349C2">
        <w:rPr>
          <w:b/>
          <w:lang w:val="fr-FR"/>
        </w:rPr>
        <w:t> :</w:t>
      </w:r>
      <w:r w:rsidR="00D10BFC" w:rsidRPr="009349C2">
        <w:rPr>
          <w:lang w:val="fr-FR"/>
        </w:rPr>
        <w:t xml:space="preserve"> 1</w:t>
      </w:r>
      <w:r w:rsidR="00D10BFC" w:rsidRPr="009349C2">
        <w:rPr>
          <w:vertAlign w:val="superscript"/>
          <w:lang w:val="fr-FR"/>
        </w:rPr>
        <w:t>er</w:t>
      </w:r>
      <w:r w:rsidR="00D10BFC" w:rsidRPr="009349C2">
        <w:rPr>
          <w:lang w:val="fr-FR"/>
        </w:rPr>
        <w:t> mars 20</w:t>
      </w:r>
      <w:r w:rsidR="009A4E02" w:rsidRPr="009349C2">
        <w:rPr>
          <w:lang w:val="fr-FR"/>
        </w:rPr>
        <w:t>17</w:t>
      </w:r>
    </w:p>
    <w:p w:rsidR="00342BCA" w:rsidRPr="009349C2" w:rsidRDefault="00342BCA" w:rsidP="009349C2">
      <w:pPr>
        <w:rPr>
          <w:lang w:val="fr-FR"/>
        </w:rPr>
      </w:pPr>
    </w:p>
    <w:p w:rsidR="00342BCA" w:rsidRPr="009349C2" w:rsidRDefault="00EC4A41" w:rsidP="009349C2">
      <w:pPr>
        <w:rPr>
          <w:lang w:val="fr-FR"/>
        </w:rPr>
      </w:pPr>
      <w:r w:rsidRPr="009349C2">
        <w:rPr>
          <w:b/>
          <w:lang w:val="fr-FR"/>
        </w:rPr>
        <w:t>Session de l</w:t>
      </w:r>
      <w:r w:rsidR="00D10BFC" w:rsidRPr="009349C2">
        <w:rPr>
          <w:b/>
          <w:lang w:val="fr-FR"/>
        </w:rPr>
        <w:t>’</w:t>
      </w:r>
      <w:r w:rsidRPr="009349C2">
        <w:rPr>
          <w:b/>
          <w:lang w:val="fr-FR"/>
        </w:rPr>
        <w:t>assemblée à laquelle le renouvellement sera demandé</w:t>
      </w:r>
      <w:r w:rsidR="00D10BFC" w:rsidRPr="009349C2">
        <w:rPr>
          <w:b/>
          <w:lang w:val="fr-FR"/>
        </w:rPr>
        <w:t> :</w:t>
      </w:r>
      <w:r w:rsidR="00B75756" w:rsidRPr="009349C2">
        <w:rPr>
          <w:lang w:val="fr-FR"/>
        </w:rPr>
        <w:t xml:space="preserve"> </w:t>
      </w:r>
      <w:r w:rsidRPr="009349C2">
        <w:rPr>
          <w:lang w:val="fr-FR"/>
        </w:rPr>
        <w:t>Assemblée de l</w:t>
      </w:r>
      <w:r w:rsidR="00D10BFC" w:rsidRPr="009349C2">
        <w:rPr>
          <w:lang w:val="fr-FR"/>
        </w:rPr>
        <w:t>’</w:t>
      </w:r>
      <w:r w:rsidRPr="009349C2">
        <w:rPr>
          <w:lang w:val="fr-FR"/>
        </w:rPr>
        <w:t>Union</w:t>
      </w:r>
      <w:r w:rsidR="00D10BFC" w:rsidRPr="009349C2">
        <w:rPr>
          <w:lang w:val="fr-FR"/>
        </w:rPr>
        <w:t xml:space="preserve"> du PCT</w:t>
      </w:r>
      <w:r w:rsidR="00014DDB" w:rsidRPr="009349C2">
        <w:rPr>
          <w:lang w:val="fr-FR"/>
        </w:rPr>
        <w:t> </w:t>
      </w:r>
      <w:r w:rsidR="00B75756" w:rsidRPr="009349C2">
        <w:rPr>
          <w:lang w:val="fr-FR"/>
        </w:rPr>
        <w:t>2017.</w:t>
      </w:r>
    </w:p>
    <w:p w:rsidR="00342BCA" w:rsidRPr="009349C2" w:rsidRDefault="00342BCA" w:rsidP="009349C2">
      <w:pPr>
        <w:rPr>
          <w:lang w:val="fr-FR"/>
        </w:rPr>
      </w:pPr>
    </w:p>
    <w:p w:rsidR="00342BCA" w:rsidRPr="009349C2" w:rsidRDefault="00A738B5" w:rsidP="009349C2">
      <w:pPr>
        <w:rPr>
          <w:b/>
          <w:lang w:val="fr-FR"/>
        </w:rPr>
      </w:pPr>
      <w:r w:rsidRPr="009349C2">
        <w:rPr>
          <w:b/>
          <w:bCs/>
          <w:lang w:val="fr-FR"/>
        </w:rPr>
        <w:t>Date à laquelle l</w:t>
      </w:r>
      <w:r w:rsidR="00D10BFC" w:rsidRPr="009349C2">
        <w:rPr>
          <w:b/>
          <w:bCs/>
          <w:lang w:val="fr-FR"/>
        </w:rPr>
        <w:t>’</w:t>
      </w:r>
      <w:r w:rsidRPr="009349C2">
        <w:rPr>
          <w:b/>
          <w:bCs/>
          <w:lang w:val="fr-FR"/>
        </w:rPr>
        <w:t>office pourrait commencer à agir en qualité d</w:t>
      </w:r>
      <w:r w:rsidR="00D10BFC" w:rsidRPr="009349C2">
        <w:rPr>
          <w:b/>
          <w:bCs/>
          <w:lang w:val="fr-FR"/>
        </w:rPr>
        <w:t>’</w:t>
      </w:r>
      <w:r w:rsidRPr="009349C2">
        <w:rPr>
          <w:b/>
          <w:bCs/>
          <w:lang w:val="fr-FR"/>
        </w:rPr>
        <w:t>administration chargée de la recherche internationale et de l</w:t>
      </w:r>
      <w:r w:rsidR="00D10BFC" w:rsidRPr="009349C2">
        <w:rPr>
          <w:b/>
          <w:bCs/>
          <w:lang w:val="fr-FR"/>
        </w:rPr>
        <w:t>’</w:t>
      </w:r>
      <w:r w:rsidRPr="009349C2">
        <w:rPr>
          <w:b/>
          <w:bCs/>
          <w:lang w:val="fr-FR"/>
        </w:rPr>
        <w:t>examen préliminaire international</w:t>
      </w:r>
      <w:r w:rsidR="00D10BFC" w:rsidRPr="009349C2">
        <w:rPr>
          <w:b/>
          <w:bCs/>
          <w:lang w:val="fr-FR"/>
        </w:rPr>
        <w:t> :</w:t>
      </w:r>
      <w:r w:rsidR="00B75756" w:rsidRPr="009349C2">
        <w:rPr>
          <w:lang w:val="fr-FR"/>
        </w:rPr>
        <w:t xml:space="preserve"> </w:t>
      </w:r>
      <w:r w:rsidR="00902B1B" w:rsidRPr="009349C2">
        <w:rPr>
          <w:lang w:val="fr-FR"/>
        </w:rPr>
        <w:t>a</w:t>
      </w:r>
      <w:r w:rsidR="00EC4A41" w:rsidRPr="009349C2">
        <w:rPr>
          <w:lang w:val="fr-FR"/>
        </w:rPr>
        <w:t>git déjà en qualité d</w:t>
      </w:r>
      <w:r w:rsidR="00D10BFC" w:rsidRPr="009349C2">
        <w:rPr>
          <w:lang w:val="fr-FR"/>
        </w:rPr>
        <w:t>’</w:t>
      </w:r>
      <w:r w:rsidR="00EC4A41" w:rsidRPr="009349C2">
        <w:rPr>
          <w:lang w:val="fr-FR"/>
        </w:rPr>
        <w:t>administration chargée de la recherche international</w:t>
      </w:r>
      <w:r w:rsidR="001260A2" w:rsidRPr="009349C2">
        <w:rPr>
          <w:lang w:val="fr-FR"/>
        </w:rPr>
        <w:t>e</w:t>
      </w:r>
      <w:r w:rsidR="00EC4A41" w:rsidRPr="009349C2">
        <w:rPr>
          <w:lang w:val="fr-FR"/>
        </w:rPr>
        <w:t xml:space="preserve"> et d</w:t>
      </w:r>
      <w:r w:rsidR="00D10BFC" w:rsidRPr="009349C2">
        <w:rPr>
          <w:lang w:val="fr-FR"/>
        </w:rPr>
        <w:t>’</w:t>
      </w:r>
      <w:r w:rsidR="00EC4A41" w:rsidRPr="009349C2">
        <w:rPr>
          <w:lang w:val="fr-FR"/>
        </w:rPr>
        <w:t>administration chargée de l</w:t>
      </w:r>
      <w:r w:rsidR="00D10BFC" w:rsidRPr="009349C2">
        <w:rPr>
          <w:lang w:val="fr-FR"/>
        </w:rPr>
        <w:t>’</w:t>
      </w:r>
      <w:r w:rsidR="00EC4A41" w:rsidRPr="009349C2">
        <w:rPr>
          <w:lang w:val="fr-FR"/>
        </w:rPr>
        <w:t>examen préliminaire international depuis le 2</w:t>
      </w:r>
      <w:r w:rsidR="00D10BFC" w:rsidRPr="009349C2">
        <w:rPr>
          <w:lang w:val="fr-FR"/>
        </w:rPr>
        <w:t>2 octobre 20</w:t>
      </w:r>
      <w:r w:rsidR="00EC4A41" w:rsidRPr="009349C2">
        <w:rPr>
          <w:lang w:val="fr-FR"/>
        </w:rPr>
        <w:t>14.</w:t>
      </w:r>
    </w:p>
    <w:p w:rsidR="00342BCA" w:rsidRPr="009349C2" w:rsidRDefault="00902B1B" w:rsidP="009349C2">
      <w:pPr>
        <w:pStyle w:val="SectionHeading"/>
        <w:rPr>
          <w:lang w:val="fr-FR"/>
        </w:rPr>
      </w:pPr>
      <w:r w:rsidRPr="009349C2">
        <w:rPr>
          <w:lang w:val="fr-FR"/>
        </w:rPr>
        <w:t>2 – Critères matériels : exigences minimales applicables à la nomination</w:t>
      </w:r>
    </w:p>
    <w:p w:rsidR="00342BCA" w:rsidRPr="009349C2" w:rsidRDefault="00342BCA" w:rsidP="009349C2">
      <w:pPr>
        <w:rPr>
          <w:lang w:val="fr-FR"/>
        </w:rPr>
      </w:pPr>
    </w:p>
    <w:p w:rsidR="00342BCA" w:rsidRPr="009349C2" w:rsidRDefault="00902B1B" w:rsidP="009349C2">
      <w:pPr>
        <w:pStyle w:val="SectionHeading"/>
        <w:spacing w:before="0"/>
        <w:rPr>
          <w:lang w:val="fr-FR"/>
        </w:rPr>
      </w:pPr>
      <w:r w:rsidRPr="009349C2">
        <w:rPr>
          <w:lang w:val="fr-FR"/>
        </w:rPr>
        <w:t>2.1 – Capacité en matière de recherche et d’examen</w:t>
      </w:r>
    </w:p>
    <w:p w:rsidR="00342BCA" w:rsidRPr="009349C2" w:rsidRDefault="00D10BFC" w:rsidP="009349C2">
      <w:pPr>
        <w:rPr>
          <w:b/>
          <w:i/>
          <w:lang w:val="fr-FR"/>
        </w:rPr>
      </w:pPr>
      <w:r w:rsidRPr="009349C2">
        <w:rPr>
          <w:b/>
          <w:i/>
          <w:lang w:val="fr-FR"/>
        </w:rPr>
        <w:t>Règles 3</w:t>
      </w:r>
      <w:r w:rsidR="0042082B" w:rsidRPr="009349C2">
        <w:rPr>
          <w:b/>
          <w:i/>
          <w:lang w:val="fr-FR"/>
        </w:rPr>
        <w:t>6.1.i) et 63.1.i)</w:t>
      </w:r>
      <w:r w:rsidRPr="009349C2">
        <w:rPr>
          <w:b/>
          <w:i/>
          <w:lang w:val="fr-FR"/>
        </w:rPr>
        <w:t> :</w:t>
      </w:r>
      <w:r w:rsidR="0042082B" w:rsidRPr="009349C2">
        <w:rPr>
          <w:b/>
          <w:i/>
          <w:lang w:val="fr-FR"/>
        </w:rPr>
        <w:t xml:space="preserve"> </w:t>
      </w:r>
      <w:r w:rsidR="00902B1B" w:rsidRPr="009349C2">
        <w:rPr>
          <w:b/>
          <w:i/>
          <w:lang w:val="fr-FR"/>
        </w:rPr>
        <w:t>l</w:t>
      </w:r>
      <w:r w:rsidRPr="009349C2">
        <w:rPr>
          <w:b/>
          <w:i/>
          <w:lang w:val="fr-FR"/>
        </w:rPr>
        <w:t>’</w:t>
      </w:r>
      <w:r w:rsidR="0042082B" w:rsidRPr="009349C2">
        <w:rPr>
          <w:b/>
          <w:i/>
          <w:lang w:val="fr-FR"/>
        </w:rPr>
        <w:t>office national ou l</w:t>
      </w:r>
      <w:r w:rsidRPr="009349C2">
        <w:rPr>
          <w:b/>
          <w:i/>
          <w:lang w:val="fr-FR"/>
        </w:rPr>
        <w:t>’</w:t>
      </w:r>
      <w:r w:rsidR="0042082B" w:rsidRPr="009349C2">
        <w:rPr>
          <w:b/>
          <w:i/>
          <w:lang w:val="fr-FR"/>
        </w:rPr>
        <w:t xml:space="preserve">organisation intergouvernementale doit avoir au moins cent employés à plein temps possédant des qualifications techniques suffisantes pour procéder </w:t>
      </w:r>
      <w:r w:rsidR="00C50FA7" w:rsidRPr="009349C2">
        <w:rPr>
          <w:b/>
          <w:i/>
          <w:lang w:val="fr-FR"/>
        </w:rPr>
        <w:t>à la</w:t>
      </w:r>
      <w:r w:rsidR="0042082B" w:rsidRPr="009349C2">
        <w:rPr>
          <w:b/>
          <w:i/>
          <w:lang w:val="fr-FR"/>
        </w:rPr>
        <w:t xml:space="preserve"> recherche et </w:t>
      </w:r>
      <w:r w:rsidR="00C50FA7" w:rsidRPr="009349C2">
        <w:rPr>
          <w:b/>
          <w:i/>
          <w:lang w:val="fr-FR"/>
        </w:rPr>
        <w:t>à l’</w:t>
      </w:r>
      <w:r w:rsidR="0042082B" w:rsidRPr="009349C2">
        <w:rPr>
          <w:b/>
          <w:i/>
          <w:lang w:val="fr-FR"/>
        </w:rPr>
        <w:t>examen.</w:t>
      </w:r>
    </w:p>
    <w:p w:rsidR="00342BCA" w:rsidRPr="009349C2" w:rsidRDefault="00342BCA" w:rsidP="009349C2">
      <w:pPr>
        <w:keepNext/>
        <w:keepLines/>
        <w:rPr>
          <w:b/>
          <w:bCs/>
          <w:szCs w:val="22"/>
          <w:lang w:val="fr-FR"/>
        </w:rPr>
      </w:pPr>
    </w:p>
    <w:p w:rsidR="00D10BFC" w:rsidRPr="009349C2" w:rsidRDefault="0042082B" w:rsidP="009349C2">
      <w:pPr>
        <w:keepNext/>
        <w:keepLines/>
        <w:rPr>
          <w:b/>
          <w:szCs w:val="22"/>
          <w:lang w:val="fr-FR"/>
        </w:rPr>
      </w:pPr>
      <w:r w:rsidRPr="009349C2">
        <w:rPr>
          <w:b/>
          <w:szCs w:val="22"/>
          <w:lang w:val="fr-FR"/>
        </w:rPr>
        <w:t xml:space="preserve">Employés qualifiés pour procéder </w:t>
      </w:r>
      <w:r w:rsidR="00C50FA7" w:rsidRPr="009349C2">
        <w:rPr>
          <w:b/>
          <w:szCs w:val="22"/>
          <w:lang w:val="fr-FR"/>
        </w:rPr>
        <w:t>à la</w:t>
      </w:r>
      <w:r w:rsidRPr="009349C2">
        <w:rPr>
          <w:b/>
          <w:szCs w:val="22"/>
          <w:lang w:val="fr-FR"/>
        </w:rPr>
        <w:t xml:space="preserve"> recherche et </w:t>
      </w:r>
      <w:r w:rsidR="00C50FA7" w:rsidRPr="009349C2">
        <w:rPr>
          <w:b/>
          <w:szCs w:val="22"/>
          <w:lang w:val="fr-FR"/>
        </w:rPr>
        <w:t>à l’</w:t>
      </w:r>
      <w:r w:rsidRPr="009349C2">
        <w:rPr>
          <w:b/>
          <w:szCs w:val="22"/>
          <w:lang w:val="fr-FR"/>
        </w:rPr>
        <w:t>examen</w:t>
      </w:r>
      <w:r w:rsidR="00D10BFC" w:rsidRPr="009349C2">
        <w:rPr>
          <w:b/>
          <w:szCs w:val="22"/>
          <w:lang w:val="fr-FR"/>
        </w:rPr>
        <w:t> :</w:t>
      </w:r>
    </w:p>
    <w:p w:rsidR="00B75756" w:rsidRPr="009349C2" w:rsidRDefault="00B75756" w:rsidP="009349C2">
      <w:pPr>
        <w:keepNext/>
        <w:keepLines/>
        <w:rPr>
          <w:szCs w:val="22"/>
          <w:lang w:val="fr-FR"/>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625"/>
        <w:gridCol w:w="1965"/>
        <w:gridCol w:w="1674"/>
      </w:tblGrid>
      <w:tr w:rsidR="009349C2"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42082B" w:rsidP="009349C2">
            <w:pPr>
              <w:keepNext/>
              <w:keepLines/>
              <w:suppressAutoHyphens/>
              <w:rPr>
                <w:rFonts w:eastAsia="Times New Roman"/>
                <w:b/>
                <w:bCs/>
                <w:szCs w:val="22"/>
                <w:lang w:val="fr-FR" w:eastAsia="en-US" w:bidi="he-IL"/>
              </w:rPr>
            </w:pPr>
            <w:r w:rsidRPr="009349C2">
              <w:rPr>
                <w:rFonts w:eastAsia="Times New Roman"/>
                <w:b/>
                <w:bCs/>
                <w:szCs w:val="22"/>
                <w:lang w:val="fr-FR" w:eastAsia="en-US" w:bidi="he-IL"/>
              </w:rPr>
              <w:t>Domaine technique</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42082B" w:rsidP="009349C2">
            <w:pPr>
              <w:keepNext/>
              <w:keepLines/>
              <w:suppressAutoHyphens/>
              <w:rPr>
                <w:rFonts w:eastAsia="Times New Roman"/>
                <w:b/>
                <w:bCs/>
                <w:szCs w:val="22"/>
                <w:lang w:val="fr-FR" w:eastAsia="en-US" w:bidi="he-IL"/>
              </w:rPr>
            </w:pPr>
            <w:r w:rsidRPr="009349C2">
              <w:rPr>
                <w:rFonts w:eastAsia="Times New Roman"/>
                <w:b/>
                <w:bCs/>
                <w:szCs w:val="22"/>
                <w:lang w:val="fr-FR" w:eastAsia="en-US" w:bidi="he-IL"/>
              </w:rPr>
              <w:t>Nombre (équivalent plein</w:t>
            </w:r>
            <w:r w:rsidR="0080323C" w:rsidRPr="009349C2">
              <w:rPr>
                <w:rFonts w:eastAsia="Times New Roman"/>
                <w:b/>
                <w:bCs/>
                <w:szCs w:val="22"/>
                <w:lang w:val="fr-FR" w:eastAsia="en-US" w:bidi="he-IL"/>
              </w:rPr>
              <w:t xml:space="preserve"> temps</w:t>
            </w:r>
            <w:r w:rsidRPr="009349C2">
              <w:rPr>
                <w:rFonts w:eastAsia="Times New Roman"/>
                <w:b/>
                <w:bCs/>
                <w:szCs w:val="22"/>
                <w:lang w:val="fr-FR" w:eastAsia="en-US" w:bidi="he-IL"/>
              </w:rPr>
              <w:t>)</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42082B" w:rsidP="009349C2">
            <w:pPr>
              <w:suppressAutoHyphens/>
              <w:rPr>
                <w:rFonts w:eastAsia="Times New Roman"/>
                <w:b/>
                <w:bCs/>
                <w:szCs w:val="24"/>
                <w:lang w:val="fr-FR" w:eastAsia="en-US" w:bidi="he-IL"/>
              </w:rPr>
            </w:pPr>
            <w:r w:rsidRPr="009349C2">
              <w:rPr>
                <w:rFonts w:eastAsia="Times New Roman"/>
                <w:b/>
                <w:bCs/>
                <w:szCs w:val="24"/>
                <w:lang w:val="fr-FR" w:eastAsia="en-US" w:bidi="he-IL"/>
              </w:rPr>
              <w:t>Expérience moyenne en tant qu</w:t>
            </w:r>
            <w:r w:rsidR="00D10BFC" w:rsidRPr="009349C2">
              <w:rPr>
                <w:rFonts w:eastAsia="Times New Roman"/>
                <w:b/>
                <w:bCs/>
                <w:szCs w:val="24"/>
                <w:lang w:val="fr-FR" w:eastAsia="en-US" w:bidi="he-IL"/>
              </w:rPr>
              <w:t>’</w:t>
            </w:r>
            <w:r w:rsidRPr="009349C2">
              <w:rPr>
                <w:rFonts w:eastAsia="Times New Roman"/>
                <w:b/>
                <w:bCs/>
                <w:szCs w:val="24"/>
                <w:lang w:val="fr-FR" w:eastAsia="en-US" w:bidi="he-IL"/>
              </w:rPr>
              <w:t>examinateur</w:t>
            </w:r>
            <w:r w:rsidR="003C04F9" w:rsidRPr="009349C2">
              <w:rPr>
                <w:rFonts w:eastAsia="Times New Roman"/>
                <w:b/>
                <w:bCs/>
                <w:szCs w:val="24"/>
                <w:lang w:val="fr-FR" w:eastAsia="en-US" w:bidi="he-IL"/>
              </w:rPr>
              <w:t>s</w:t>
            </w:r>
            <w:r w:rsidRPr="009349C2">
              <w:rPr>
                <w:rFonts w:eastAsia="Times New Roman"/>
                <w:b/>
                <w:bCs/>
                <w:szCs w:val="24"/>
                <w:lang w:val="fr-FR" w:eastAsia="en-US" w:bidi="he-IL"/>
              </w:rPr>
              <w:t xml:space="preserve"> (années)</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6568C" w:rsidP="009349C2">
            <w:pPr>
              <w:suppressAutoHyphens/>
              <w:rPr>
                <w:rFonts w:eastAsia="Times New Roman"/>
                <w:b/>
                <w:bCs/>
                <w:szCs w:val="24"/>
                <w:lang w:val="fr-FR" w:eastAsia="en-US" w:bidi="he-IL"/>
              </w:rPr>
            </w:pPr>
            <w:r w:rsidRPr="009349C2">
              <w:rPr>
                <w:rFonts w:eastAsia="Times New Roman"/>
                <w:b/>
                <w:bCs/>
                <w:szCs w:val="24"/>
                <w:lang w:val="fr-FR" w:eastAsia="en-US" w:bidi="he-IL"/>
              </w:rPr>
              <w:t>Répartition</w:t>
            </w:r>
            <w:r w:rsidR="0042082B" w:rsidRPr="009349C2">
              <w:rPr>
                <w:rFonts w:eastAsia="Times New Roman"/>
                <w:b/>
                <w:bCs/>
                <w:szCs w:val="24"/>
                <w:lang w:val="fr-FR" w:eastAsia="en-US" w:bidi="he-IL"/>
              </w:rPr>
              <w:t xml:space="preserve"> des qualifications</w:t>
            </w:r>
          </w:p>
        </w:tc>
      </w:tr>
      <w:tr w:rsidR="009349C2"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42082B" w:rsidP="009349C2">
            <w:pPr>
              <w:keepNext/>
              <w:keepLines/>
              <w:suppressAutoHyphens/>
              <w:rPr>
                <w:rFonts w:eastAsia="Times New Roman"/>
                <w:szCs w:val="22"/>
                <w:lang w:val="fr-FR" w:eastAsia="en-US" w:bidi="he-IL"/>
              </w:rPr>
            </w:pPr>
            <w:r w:rsidRPr="009349C2">
              <w:rPr>
                <w:rFonts w:eastAsia="Times New Roman"/>
                <w:szCs w:val="22"/>
                <w:lang w:val="fr-FR" w:eastAsia="en-US" w:bidi="he-IL"/>
              </w:rPr>
              <w:t>Mécanique</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459"/>
              <w:jc w:val="right"/>
              <w:rPr>
                <w:lang w:val="fr-FR"/>
              </w:rPr>
            </w:pPr>
            <w:r w:rsidRPr="009349C2">
              <w:rPr>
                <w:lang w:val="fr-FR"/>
              </w:rPr>
              <w:t>29</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42082B" w:rsidP="009349C2">
            <w:pPr>
              <w:ind w:right="459"/>
              <w:jc w:val="right"/>
              <w:rPr>
                <w:lang w:val="fr-FR"/>
              </w:rPr>
            </w:pPr>
            <w:r w:rsidRPr="009349C2">
              <w:rPr>
                <w:lang w:val="fr-FR"/>
              </w:rPr>
              <w:t>10,3</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D10BFC" w:rsidP="009349C2">
            <w:pPr>
              <w:keepNext/>
              <w:keepLines/>
              <w:suppressAutoHyphens/>
              <w:jc w:val="center"/>
              <w:rPr>
                <w:rFonts w:eastAsia="Times New Roman"/>
                <w:color w:val="0000FF"/>
                <w:szCs w:val="22"/>
                <w:lang w:val="fr-FR" w:eastAsia="en-US" w:bidi="he-IL"/>
              </w:rPr>
            </w:pPr>
            <w:r w:rsidRPr="009349C2">
              <w:rPr>
                <w:rFonts w:eastAsia="Times New Roman"/>
                <w:color w:val="0000FF"/>
                <w:szCs w:val="22"/>
                <w:lang w:val="fr-FR" w:eastAsia="en-US" w:bidi="he-IL"/>
              </w:rPr>
              <w:t>-</w:t>
            </w:r>
          </w:p>
        </w:tc>
      </w:tr>
      <w:tr w:rsidR="009349C2"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42082B" w:rsidP="009349C2">
            <w:pPr>
              <w:keepNext/>
              <w:keepLines/>
              <w:suppressAutoHyphens/>
              <w:rPr>
                <w:rFonts w:eastAsia="Times New Roman"/>
                <w:szCs w:val="22"/>
                <w:lang w:val="fr-FR" w:eastAsia="en-US" w:bidi="he-IL"/>
              </w:rPr>
            </w:pPr>
            <w:r w:rsidRPr="009349C2">
              <w:rPr>
                <w:rFonts w:eastAsia="Times New Roman"/>
                <w:szCs w:val="22"/>
                <w:lang w:val="fr-FR" w:eastAsia="en-US" w:bidi="he-IL"/>
              </w:rPr>
              <w:t>Électricité/électronique</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459"/>
              <w:jc w:val="right"/>
              <w:rPr>
                <w:lang w:val="fr-FR"/>
              </w:rPr>
            </w:pPr>
            <w:r w:rsidRPr="009349C2">
              <w:rPr>
                <w:lang w:val="fr-FR"/>
              </w:rPr>
              <w:t>12</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42082B" w:rsidP="009349C2">
            <w:pPr>
              <w:ind w:right="459"/>
              <w:jc w:val="right"/>
              <w:rPr>
                <w:lang w:val="fr-FR"/>
              </w:rPr>
            </w:pPr>
            <w:r w:rsidRPr="009349C2">
              <w:rPr>
                <w:lang w:val="fr-FR"/>
              </w:rPr>
              <w:t>8,5</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D10BFC" w:rsidP="009349C2">
            <w:pPr>
              <w:keepNext/>
              <w:keepLines/>
              <w:suppressAutoHyphens/>
              <w:jc w:val="center"/>
              <w:rPr>
                <w:rFonts w:eastAsia="Times New Roman"/>
                <w:color w:val="0000FF"/>
                <w:szCs w:val="22"/>
                <w:lang w:val="fr-FR" w:eastAsia="en-US" w:bidi="he-IL"/>
              </w:rPr>
            </w:pPr>
            <w:r w:rsidRPr="009349C2">
              <w:rPr>
                <w:rFonts w:eastAsia="Times New Roman"/>
                <w:color w:val="0000FF"/>
                <w:szCs w:val="22"/>
                <w:lang w:val="fr-FR" w:eastAsia="en-US" w:bidi="he-IL"/>
              </w:rPr>
              <w:t>-</w:t>
            </w:r>
          </w:p>
        </w:tc>
      </w:tr>
      <w:tr w:rsidR="009349C2"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keepNext/>
              <w:keepLines/>
              <w:suppressAutoHyphens/>
              <w:rPr>
                <w:szCs w:val="22"/>
                <w:lang w:val="fr-FR" w:eastAsia="en-US" w:bidi="he-IL"/>
              </w:rPr>
            </w:pPr>
            <w:r w:rsidRPr="009349C2">
              <w:rPr>
                <w:szCs w:val="22"/>
                <w:lang w:val="fr-FR" w:eastAsia="en-US" w:bidi="he-IL"/>
              </w:rPr>
              <w:t>Pharmaceutique</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459"/>
              <w:jc w:val="right"/>
              <w:rPr>
                <w:lang w:val="fr-FR"/>
              </w:rPr>
            </w:pPr>
            <w:r w:rsidRPr="009349C2">
              <w:rPr>
                <w:lang w:val="fr-FR"/>
              </w:rPr>
              <w:t>29</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ind w:right="459"/>
              <w:jc w:val="right"/>
              <w:rPr>
                <w:lang w:val="fr-FR"/>
              </w:rPr>
            </w:pPr>
            <w:r w:rsidRPr="009349C2">
              <w:rPr>
                <w:lang w:val="fr-FR"/>
              </w:rPr>
              <w:t>12,6</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D10BFC" w:rsidP="009349C2">
            <w:pPr>
              <w:keepNext/>
              <w:keepLines/>
              <w:suppressAutoHyphens/>
              <w:jc w:val="center"/>
              <w:rPr>
                <w:rFonts w:eastAsia="Times New Roman"/>
                <w:color w:val="0000FF"/>
                <w:szCs w:val="22"/>
                <w:lang w:val="fr-FR" w:eastAsia="en-US" w:bidi="he-IL"/>
              </w:rPr>
            </w:pPr>
            <w:r w:rsidRPr="009349C2">
              <w:rPr>
                <w:rFonts w:eastAsia="Times New Roman"/>
                <w:color w:val="0000FF"/>
                <w:szCs w:val="22"/>
                <w:lang w:val="fr-FR" w:eastAsia="en-US" w:bidi="he-IL"/>
              </w:rPr>
              <w:t>-</w:t>
            </w:r>
          </w:p>
        </w:tc>
      </w:tr>
      <w:tr w:rsidR="009349C2"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keepNext/>
              <w:keepLines/>
              <w:suppressAutoHyphens/>
              <w:rPr>
                <w:rFonts w:eastAsia="Times New Roman"/>
                <w:szCs w:val="22"/>
                <w:lang w:val="fr-FR" w:eastAsia="en-US" w:bidi="he-IL"/>
              </w:rPr>
            </w:pPr>
            <w:r w:rsidRPr="009349C2">
              <w:rPr>
                <w:rFonts w:eastAsia="Times New Roman"/>
                <w:szCs w:val="22"/>
                <w:lang w:val="fr-FR" w:eastAsia="en-US" w:bidi="he-IL"/>
              </w:rPr>
              <w:t>Chimie</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459"/>
              <w:jc w:val="right"/>
              <w:rPr>
                <w:lang w:val="fr-FR"/>
              </w:rPr>
            </w:pPr>
            <w:r w:rsidRPr="009349C2">
              <w:rPr>
                <w:lang w:val="fr-FR"/>
              </w:rPr>
              <w:t>24</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ind w:right="459"/>
              <w:jc w:val="right"/>
              <w:rPr>
                <w:lang w:val="fr-FR"/>
              </w:rPr>
            </w:pPr>
            <w:r w:rsidRPr="009349C2">
              <w:rPr>
                <w:lang w:val="fr-FR"/>
              </w:rPr>
              <w:t>10,6</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D10BFC" w:rsidP="009349C2">
            <w:pPr>
              <w:keepNext/>
              <w:keepLines/>
              <w:suppressAutoHyphens/>
              <w:jc w:val="center"/>
              <w:rPr>
                <w:rFonts w:eastAsia="Times New Roman"/>
                <w:color w:val="0000FF"/>
                <w:szCs w:val="22"/>
                <w:lang w:val="fr-FR" w:eastAsia="en-US" w:bidi="he-IL"/>
              </w:rPr>
            </w:pPr>
            <w:r w:rsidRPr="009349C2">
              <w:rPr>
                <w:rFonts w:eastAsia="Times New Roman"/>
                <w:color w:val="0000FF"/>
                <w:szCs w:val="22"/>
                <w:lang w:val="fr-FR" w:eastAsia="en-US" w:bidi="he-IL"/>
              </w:rPr>
              <w:t>-</w:t>
            </w:r>
          </w:p>
        </w:tc>
      </w:tr>
      <w:tr w:rsidR="009349C2"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B6568C" w:rsidP="009349C2">
            <w:pPr>
              <w:keepNext/>
              <w:keepLines/>
              <w:suppressAutoHyphens/>
              <w:rPr>
                <w:rFonts w:eastAsia="Times New Roman"/>
                <w:szCs w:val="22"/>
                <w:lang w:val="fr-FR" w:eastAsia="en-US" w:bidi="he-IL"/>
              </w:rPr>
            </w:pPr>
            <w:r w:rsidRPr="009349C2">
              <w:rPr>
                <w:rFonts w:eastAsia="Times New Roman"/>
                <w:szCs w:val="22"/>
                <w:lang w:val="fr-FR" w:eastAsia="en-US" w:bidi="he-IL"/>
              </w:rPr>
              <w:t>Biotechnologie</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459"/>
              <w:jc w:val="right"/>
              <w:rPr>
                <w:lang w:val="fr-FR"/>
              </w:rPr>
            </w:pPr>
            <w:r w:rsidRPr="009349C2">
              <w:rPr>
                <w:lang w:val="fr-FR"/>
              </w:rPr>
              <w:t>30</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ind w:right="459"/>
              <w:jc w:val="right"/>
              <w:rPr>
                <w:lang w:val="fr-FR"/>
              </w:rPr>
            </w:pPr>
            <w:r w:rsidRPr="009349C2">
              <w:rPr>
                <w:lang w:val="fr-FR"/>
              </w:rPr>
              <w:t>7,4</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D10BFC" w:rsidP="009349C2">
            <w:pPr>
              <w:keepNext/>
              <w:keepLines/>
              <w:suppressAutoHyphens/>
              <w:jc w:val="center"/>
              <w:rPr>
                <w:rFonts w:eastAsia="Times New Roman"/>
                <w:color w:val="0000FF"/>
                <w:szCs w:val="22"/>
                <w:lang w:val="fr-FR" w:eastAsia="en-US" w:bidi="he-IL"/>
              </w:rPr>
            </w:pPr>
            <w:r w:rsidRPr="009349C2">
              <w:rPr>
                <w:rFonts w:eastAsia="Times New Roman"/>
                <w:color w:val="0000FF"/>
                <w:szCs w:val="22"/>
                <w:lang w:val="fr-FR" w:eastAsia="en-US" w:bidi="he-IL"/>
              </w:rPr>
              <w:t>-</w:t>
            </w:r>
          </w:p>
        </w:tc>
      </w:tr>
      <w:tr w:rsidR="009349C2"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suppressAutoHyphens/>
              <w:rPr>
                <w:iCs/>
                <w:szCs w:val="22"/>
                <w:lang w:val="fr-FR" w:eastAsia="en-US" w:bidi="he-IL"/>
              </w:rPr>
            </w:pPr>
            <w:r w:rsidRPr="009349C2">
              <w:rPr>
                <w:iCs/>
                <w:szCs w:val="22"/>
                <w:lang w:val="fr-FR" w:eastAsia="en-US" w:bidi="he-IL"/>
              </w:rPr>
              <w:t>Dessins et modèles industriels</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459"/>
              <w:jc w:val="right"/>
              <w:rPr>
                <w:lang w:val="fr-FR"/>
              </w:rPr>
            </w:pPr>
            <w:r w:rsidRPr="009349C2">
              <w:rPr>
                <w:lang w:val="fr-FR"/>
              </w:rPr>
              <w:t>5</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ind w:right="459"/>
              <w:jc w:val="right"/>
              <w:rPr>
                <w:lang w:val="fr-FR"/>
              </w:rPr>
            </w:pPr>
            <w:r w:rsidRPr="009349C2">
              <w:rPr>
                <w:lang w:val="fr-FR"/>
              </w:rPr>
              <w:t>17,7</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D10BFC" w:rsidP="009349C2">
            <w:pPr>
              <w:suppressAutoHyphens/>
              <w:jc w:val="center"/>
              <w:rPr>
                <w:rFonts w:eastAsia="Times New Roman"/>
                <w:i/>
                <w:iCs/>
                <w:color w:val="0000FF"/>
                <w:szCs w:val="22"/>
                <w:lang w:val="fr-FR" w:eastAsia="en-US" w:bidi="he-IL"/>
              </w:rPr>
            </w:pPr>
            <w:r w:rsidRPr="009349C2">
              <w:rPr>
                <w:rFonts w:eastAsia="Times New Roman"/>
                <w:i/>
                <w:iCs/>
                <w:color w:val="0000FF"/>
                <w:szCs w:val="22"/>
                <w:lang w:val="fr-FR" w:eastAsia="en-US" w:bidi="he-IL"/>
              </w:rPr>
              <w:t>-</w:t>
            </w:r>
          </w:p>
        </w:tc>
      </w:tr>
      <w:tr w:rsidR="00B75756" w:rsidRPr="009349C2" w:rsidTr="005E0219">
        <w:trPr>
          <w:cantSplit/>
        </w:trPr>
        <w:tc>
          <w:tcPr>
            <w:tcW w:w="3527"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suppressAutoHyphens/>
              <w:rPr>
                <w:rFonts w:eastAsia="Times New Roman"/>
                <w:i/>
                <w:iCs/>
                <w:szCs w:val="22"/>
                <w:lang w:val="fr-FR" w:eastAsia="en-US" w:bidi="he-IL"/>
              </w:rPr>
            </w:pPr>
            <w:r w:rsidRPr="009349C2">
              <w:rPr>
                <w:rFonts w:eastAsia="Times New Roman"/>
                <w:i/>
                <w:iCs/>
                <w:szCs w:val="22"/>
                <w:lang w:val="fr-FR"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459"/>
              <w:jc w:val="right"/>
              <w:rPr>
                <w:lang w:val="fr-FR"/>
              </w:rPr>
            </w:pPr>
            <w:r w:rsidRPr="009349C2">
              <w:rPr>
                <w:lang w:val="fr-FR"/>
              </w:rPr>
              <w:t>129</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FA193A" w:rsidP="009349C2">
            <w:pPr>
              <w:ind w:right="459"/>
              <w:jc w:val="right"/>
              <w:rPr>
                <w:lang w:val="fr-FR"/>
              </w:rPr>
            </w:pPr>
            <w:r w:rsidRPr="009349C2">
              <w:rPr>
                <w:lang w:val="fr-FR"/>
              </w:rPr>
              <w:t>10,3</w:t>
            </w:r>
          </w:p>
        </w:tc>
        <w:tc>
          <w:tcPr>
            <w:tcW w:w="1684" w:type="dxa"/>
            <w:tcBorders>
              <w:top w:val="single" w:sz="4" w:space="0" w:color="auto"/>
              <w:left w:val="single" w:sz="4" w:space="0" w:color="auto"/>
              <w:bottom w:val="single" w:sz="4" w:space="0" w:color="auto"/>
              <w:right w:val="single" w:sz="4" w:space="0" w:color="auto"/>
            </w:tcBorders>
          </w:tcPr>
          <w:p w:rsidR="00B75756" w:rsidRPr="009349C2" w:rsidRDefault="00D10BFC" w:rsidP="009349C2">
            <w:pPr>
              <w:suppressAutoHyphens/>
              <w:jc w:val="center"/>
              <w:rPr>
                <w:rFonts w:eastAsia="Times New Roman"/>
                <w:i/>
                <w:iCs/>
                <w:color w:val="0000FF"/>
                <w:szCs w:val="22"/>
                <w:lang w:val="fr-FR" w:eastAsia="en-US" w:bidi="he-IL"/>
              </w:rPr>
            </w:pPr>
            <w:r w:rsidRPr="009349C2">
              <w:rPr>
                <w:rFonts w:eastAsia="Times New Roman"/>
                <w:i/>
                <w:iCs/>
                <w:color w:val="0000FF"/>
                <w:szCs w:val="22"/>
                <w:lang w:val="fr-FR" w:eastAsia="en-US" w:bidi="he-IL"/>
              </w:rPr>
              <w:t>-</w:t>
            </w:r>
          </w:p>
        </w:tc>
      </w:tr>
    </w:tbl>
    <w:p w:rsidR="00342BCA" w:rsidRPr="009349C2" w:rsidRDefault="00342BCA" w:rsidP="009349C2">
      <w:pPr>
        <w:rPr>
          <w:lang w:val="fr-FR"/>
        </w:rPr>
      </w:pPr>
    </w:p>
    <w:p w:rsidR="00342BCA" w:rsidRPr="009349C2" w:rsidRDefault="00FA193A" w:rsidP="00E263A3">
      <w:pPr>
        <w:keepLines/>
        <w:rPr>
          <w:lang w:val="fr-FR"/>
        </w:rPr>
      </w:pPr>
      <w:r w:rsidRPr="009349C2">
        <w:rPr>
          <w:lang w:val="fr-FR"/>
        </w:rPr>
        <w:t>L</w:t>
      </w:r>
      <w:r w:rsidR="00D10BFC" w:rsidRPr="009349C2">
        <w:rPr>
          <w:lang w:val="fr-FR"/>
        </w:rPr>
        <w:t>’</w:t>
      </w:r>
      <w:r w:rsidRPr="009349C2">
        <w:rPr>
          <w:lang w:val="fr-FR"/>
        </w:rPr>
        <w:t xml:space="preserve">office fait intervenir des experts internes et externes formés et qualifiés pour effectuer </w:t>
      </w:r>
      <w:r w:rsidR="00904447" w:rsidRPr="009349C2">
        <w:rPr>
          <w:lang w:val="fr-FR"/>
        </w:rPr>
        <w:t>une</w:t>
      </w:r>
      <w:r w:rsidRPr="009349C2">
        <w:rPr>
          <w:lang w:val="fr-FR"/>
        </w:rPr>
        <w:t xml:space="preserve"> recherche et </w:t>
      </w:r>
      <w:r w:rsidR="00904447" w:rsidRPr="009349C2">
        <w:rPr>
          <w:lang w:val="fr-FR"/>
        </w:rPr>
        <w:t xml:space="preserve">un </w:t>
      </w:r>
      <w:r w:rsidRPr="009349C2">
        <w:rPr>
          <w:lang w:val="fr-FR"/>
        </w:rPr>
        <w:t xml:space="preserve">examen </w:t>
      </w:r>
      <w:r w:rsidR="00904447" w:rsidRPr="009349C2">
        <w:rPr>
          <w:lang w:val="fr-FR"/>
        </w:rPr>
        <w:t xml:space="preserve">efficaces </w:t>
      </w:r>
      <w:r w:rsidRPr="009349C2">
        <w:rPr>
          <w:lang w:val="fr-FR"/>
        </w:rPr>
        <w:t>de</w:t>
      </w:r>
      <w:r w:rsidR="00904447" w:rsidRPr="009349C2">
        <w:rPr>
          <w:lang w:val="fr-FR"/>
        </w:rPr>
        <w:t>s</w:t>
      </w:r>
      <w:r w:rsidRPr="009349C2">
        <w:rPr>
          <w:lang w:val="fr-FR"/>
        </w:rPr>
        <w:t xml:space="preserve"> demand</w:t>
      </w:r>
      <w:r w:rsidR="00403B14" w:rsidRPr="009349C2">
        <w:rPr>
          <w:lang w:val="fr-FR"/>
        </w:rPr>
        <w:t>es.  Le</w:t>
      </w:r>
      <w:r w:rsidRPr="009349C2">
        <w:rPr>
          <w:lang w:val="fr-FR"/>
        </w:rPr>
        <w:t>s experts externes interviennent pour la plupart dans le cadre de demandes national</w:t>
      </w:r>
      <w:r w:rsidR="00403B14" w:rsidRPr="009349C2">
        <w:rPr>
          <w:lang w:val="fr-FR"/>
        </w:rPr>
        <w:t>es.  Le</w:t>
      </w:r>
      <w:r w:rsidR="00590C5F" w:rsidRPr="009349C2">
        <w:rPr>
          <w:lang w:val="fr-FR"/>
        </w:rPr>
        <w:t>s experts internes se concentrent spécialement sur les demandes PCT dans la phase internationale, mais sont également chargés d</w:t>
      </w:r>
      <w:r w:rsidR="00D10BFC" w:rsidRPr="009349C2">
        <w:rPr>
          <w:lang w:val="fr-FR"/>
        </w:rPr>
        <w:t>’</w:t>
      </w:r>
      <w:r w:rsidR="00590C5F" w:rsidRPr="009349C2">
        <w:rPr>
          <w:lang w:val="fr-FR"/>
        </w:rPr>
        <w:t>examiner les demandes nationales lorsqu</w:t>
      </w:r>
      <w:r w:rsidR="00D10BFC" w:rsidRPr="009349C2">
        <w:rPr>
          <w:lang w:val="fr-FR"/>
        </w:rPr>
        <w:t>’</w:t>
      </w:r>
      <w:r w:rsidR="00590C5F" w:rsidRPr="009349C2">
        <w:rPr>
          <w:lang w:val="fr-FR"/>
        </w:rPr>
        <w:t>il s</w:t>
      </w:r>
      <w:r w:rsidR="00D10BFC" w:rsidRPr="009349C2">
        <w:rPr>
          <w:lang w:val="fr-FR"/>
        </w:rPr>
        <w:t>’</w:t>
      </w:r>
      <w:r w:rsidR="00590C5F" w:rsidRPr="009349C2">
        <w:rPr>
          <w:lang w:val="fr-FR"/>
        </w:rPr>
        <w:t>agit de recommander la délivrance ou le refus de ces demandes.</w:t>
      </w:r>
    </w:p>
    <w:p w:rsidR="00342BCA" w:rsidRPr="009349C2" w:rsidRDefault="00342BCA" w:rsidP="009349C2">
      <w:pPr>
        <w:rPr>
          <w:lang w:val="fr-FR"/>
        </w:rPr>
      </w:pPr>
    </w:p>
    <w:p w:rsidR="00342BCA" w:rsidRPr="009349C2" w:rsidRDefault="00063B2E" w:rsidP="009349C2">
      <w:pPr>
        <w:rPr>
          <w:lang w:val="fr-FR"/>
        </w:rPr>
      </w:pPr>
      <w:r w:rsidRPr="009349C2">
        <w:rPr>
          <w:lang w:val="fr-FR"/>
        </w:rPr>
        <w:t xml:space="preserve">En ce qui concerne la subdivision des qualifications, nos spécialistes sont suffisamment qualifiés pour </w:t>
      </w:r>
      <w:r w:rsidR="00F1173E" w:rsidRPr="009349C2">
        <w:rPr>
          <w:lang w:val="fr-FR"/>
        </w:rPr>
        <w:t>procéder aux</w:t>
      </w:r>
      <w:r w:rsidRPr="009349C2">
        <w:rPr>
          <w:lang w:val="fr-FR"/>
        </w:rPr>
        <w:t xml:space="preserve"> recherche</w:t>
      </w:r>
      <w:r w:rsidR="00F1173E" w:rsidRPr="009349C2">
        <w:rPr>
          <w:lang w:val="fr-FR"/>
        </w:rPr>
        <w:t>s</w:t>
      </w:r>
      <w:r w:rsidRPr="009349C2">
        <w:rPr>
          <w:lang w:val="fr-FR"/>
        </w:rPr>
        <w:t xml:space="preserve"> et </w:t>
      </w:r>
      <w:r w:rsidR="00F1173E" w:rsidRPr="009349C2">
        <w:rPr>
          <w:lang w:val="fr-FR"/>
        </w:rPr>
        <w:t>aux</w:t>
      </w:r>
      <w:r w:rsidRPr="009349C2">
        <w:rPr>
          <w:lang w:val="fr-FR"/>
        </w:rPr>
        <w:t xml:space="preserve"> examen</w:t>
      </w:r>
      <w:r w:rsidR="00F1173E" w:rsidRPr="009349C2">
        <w:rPr>
          <w:lang w:val="fr-FR"/>
        </w:rPr>
        <w:t>s</w:t>
      </w:r>
      <w:r w:rsidRPr="009349C2">
        <w:rPr>
          <w:lang w:val="fr-FR"/>
        </w:rPr>
        <w:t xml:space="preserve"> dans chaque section de la classification concernant la mécanique, l</w:t>
      </w:r>
      <w:r w:rsidR="00D10BFC" w:rsidRPr="009349C2">
        <w:rPr>
          <w:lang w:val="fr-FR"/>
        </w:rPr>
        <w:t>’</w:t>
      </w:r>
      <w:r w:rsidRPr="009349C2">
        <w:rPr>
          <w:lang w:val="fr-FR"/>
        </w:rPr>
        <w:t>électronique, les produits pharmaceutiques, la chimie et la biotechnologie, comme présenté dans le tableau ci</w:t>
      </w:r>
      <w:r w:rsidR="00D10BFC" w:rsidRPr="009349C2">
        <w:rPr>
          <w:lang w:val="fr-FR"/>
        </w:rPr>
        <w:t>-</w:t>
      </w:r>
      <w:r w:rsidRPr="009349C2">
        <w:rPr>
          <w:lang w:val="fr-FR"/>
        </w:rPr>
        <w:t>dessus.</w:t>
      </w:r>
    </w:p>
    <w:p w:rsidR="00342BCA" w:rsidRPr="009349C2" w:rsidRDefault="00342BCA" w:rsidP="009349C2">
      <w:pPr>
        <w:rPr>
          <w:szCs w:val="22"/>
          <w:lang w:val="fr-FR"/>
        </w:rPr>
      </w:pPr>
    </w:p>
    <w:p w:rsidR="00342BCA" w:rsidRPr="009349C2" w:rsidRDefault="00063B2E" w:rsidP="009349C2">
      <w:pPr>
        <w:jc w:val="both"/>
        <w:rPr>
          <w:b/>
          <w:bCs/>
          <w:szCs w:val="24"/>
          <w:lang w:val="fr-FR"/>
        </w:rPr>
      </w:pPr>
      <w:r w:rsidRPr="009349C2">
        <w:rPr>
          <w:b/>
          <w:bCs/>
          <w:szCs w:val="24"/>
          <w:lang w:val="fr-FR"/>
        </w:rPr>
        <w:t>Programmes de formation</w:t>
      </w:r>
    </w:p>
    <w:p w:rsidR="00342BCA" w:rsidRPr="009349C2" w:rsidRDefault="00342BCA" w:rsidP="009349C2">
      <w:pPr>
        <w:rPr>
          <w:lang w:val="fr-FR"/>
        </w:rPr>
      </w:pPr>
    </w:p>
    <w:p w:rsidR="00342BCA" w:rsidRPr="009349C2" w:rsidRDefault="00063B2E" w:rsidP="009349C2">
      <w:pPr>
        <w:rPr>
          <w:lang w:val="fr-FR"/>
        </w:rPr>
      </w:pPr>
      <w:r w:rsidRPr="009349C2">
        <w:rPr>
          <w:lang w:val="fr-FR"/>
        </w:rPr>
        <w:t>Le recrutement de nouveaux spécialistes débute par le recensement des besoins dans les domaines techniques et l</w:t>
      </w:r>
      <w:r w:rsidR="00D10BFC" w:rsidRPr="009349C2">
        <w:rPr>
          <w:lang w:val="fr-FR"/>
        </w:rPr>
        <w:t>’</w:t>
      </w:r>
      <w:r w:rsidRPr="009349C2">
        <w:rPr>
          <w:lang w:val="fr-FR"/>
        </w:rPr>
        <w:t>établissement de descriptions de post</w:t>
      </w:r>
      <w:r w:rsidR="00403B14" w:rsidRPr="009349C2">
        <w:rPr>
          <w:lang w:val="fr-FR"/>
        </w:rPr>
        <w:t>es.  Un</w:t>
      </w:r>
      <w:r w:rsidRPr="009349C2">
        <w:rPr>
          <w:lang w:val="fr-FR"/>
        </w:rPr>
        <w:t xml:space="preserve"> appel à candidatures public décrivant les qualifications est alors lancé, à l</w:t>
      </w:r>
      <w:r w:rsidR="00D10BFC" w:rsidRPr="009349C2">
        <w:rPr>
          <w:lang w:val="fr-FR"/>
        </w:rPr>
        <w:t>’</w:t>
      </w:r>
      <w:r w:rsidRPr="009349C2">
        <w:rPr>
          <w:lang w:val="fr-FR"/>
        </w:rPr>
        <w:t>issue duquel des candidats sont sélectionn</w:t>
      </w:r>
      <w:r w:rsidR="00403B14" w:rsidRPr="009349C2">
        <w:rPr>
          <w:lang w:val="fr-FR"/>
        </w:rPr>
        <w:t>és.  Ce</w:t>
      </w:r>
      <w:r w:rsidRPr="009349C2">
        <w:rPr>
          <w:lang w:val="fr-FR"/>
        </w:rPr>
        <w:t>ux</w:t>
      </w:r>
      <w:r w:rsidR="00D10BFC" w:rsidRPr="009349C2">
        <w:rPr>
          <w:lang w:val="fr-FR"/>
        </w:rPr>
        <w:t>-</w:t>
      </w:r>
      <w:r w:rsidRPr="009349C2">
        <w:rPr>
          <w:lang w:val="fr-FR"/>
        </w:rPr>
        <w:t>ci font l</w:t>
      </w:r>
      <w:r w:rsidR="00D10BFC" w:rsidRPr="009349C2">
        <w:rPr>
          <w:lang w:val="fr-FR"/>
        </w:rPr>
        <w:t>’</w:t>
      </w:r>
      <w:r w:rsidRPr="009349C2">
        <w:rPr>
          <w:lang w:val="fr-FR"/>
        </w:rPr>
        <w:t>objet d</w:t>
      </w:r>
      <w:r w:rsidR="00D10BFC" w:rsidRPr="009349C2">
        <w:rPr>
          <w:lang w:val="fr-FR"/>
        </w:rPr>
        <w:t>’</w:t>
      </w:r>
      <w:r w:rsidRPr="009349C2">
        <w:rPr>
          <w:lang w:val="fr-FR"/>
        </w:rPr>
        <w:t>une formation et d</w:t>
      </w:r>
      <w:r w:rsidR="00D10BFC" w:rsidRPr="009349C2">
        <w:rPr>
          <w:lang w:val="fr-FR"/>
        </w:rPr>
        <w:t>’</w:t>
      </w:r>
      <w:r w:rsidRPr="009349C2">
        <w:rPr>
          <w:lang w:val="fr-FR"/>
        </w:rPr>
        <w:t>une sélection approfondies se déroulant en deux étapes, à commencer par un cours d</w:t>
      </w:r>
      <w:r w:rsidR="00D10BFC" w:rsidRPr="009349C2">
        <w:rPr>
          <w:lang w:val="fr-FR"/>
        </w:rPr>
        <w:t>’</w:t>
      </w:r>
      <w:r w:rsidRPr="009349C2">
        <w:rPr>
          <w:lang w:val="fr-FR"/>
        </w:rPr>
        <w:t>“initiation” qui vise à dispenser des connaissances et des compétences générales sur les brevets et la propriété industriel</w:t>
      </w:r>
      <w:r w:rsidR="00403B14" w:rsidRPr="009349C2">
        <w:rPr>
          <w:lang w:val="fr-FR"/>
        </w:rPr>
        <w:t>le.  Un</w:t>
      </w:r>
      <w:r w:rsidRPr="009349C2">
        <w:rPr>
          <w:lang w:val="fr-FR"/>
        </w:rPr>
        <w:t>e deuxième étape correspond à la formation elle</w:t>
      </w:r>
      <w:r w:rsidR="00D10BFC" w:rsidRPr="009349C2">
        <w:rPr>
          <w:lang w:val="fr-FR"/>
        </w:rPr>
        <w:t>-</w:t>
      </w:r>
      <w:r w:rsidRPr="009349C2">
        <w:rPr>
          <w:lang w:val="fr-FR"/>
        </w:rPr>
        <w:t>mê</w:t>
      </w:r>
      <w:r w:rsidR="00403B14" w:rsidRPr="009349C2">
        <w:rPr>
          <w:lang w:val="fr-FR"/>
        </w:rPr>
        <w:t>me.  Pe</w:t>
      </w:r>
      <w:r w:rsidRPr="009349C2">
        <w:rPr>
          <w:lang w:val="fr-FR"/>
        </w:rPr>
        <w:t>ndant cette période, le candidat travaille sous la direction d</w:t>
      </w:r>
      <w:r w:rsidR="00D10BFC" w:rsidRPr="009349C2">
        <w:rPr>
          <w:lang w:val="fr-FR"/>
        </w:rPr>
        <w:t>’</w:t>
      </w:r>
      <w:r w:rsidRPr="009349C2">
        <w:rPr>
          <w:lang w:val="fr-FR"/>
        </w:rPr>
        <w:t>experts de l</w:t>
      </w:r>
      <w:r w:rsidR="00D10BFC" w:rsidRPr="009349C2">
        <w:rPr>
          <w:lang w:val="fr-FR"/>
        </w:rPr>
        <w:t>’</w:t>
      </w:r>
      <w:r w:rsidRPr="009349C2">
        <w:rPr>
          <w:lang w:val="fr-FR"/>
        </w:rPr>
        <w:t>INAPI à l</w:t>
      </w:r>
      <w:r w:rsidR="00D10BFC" w:rsidRPr="009349C2">
        <w:rPr>
          <w:lang w:val="fr-FR"/>
        </w:rPr>
        <w:t>’</w:t>
      </w:r>
      <w:r w:rsidRPr="009349C2">
        <w:rPr>
          <w:lang w:val="fr-FR"/>
        </w:rPr>
        <w:t>examen de demandes de brevet en conditions réelles</w:t>
      </w:r>
      <w:r w:rsidR="00B75756" w:rsidRPr="009349C2">
        <w:rPr>
          <w:lang w:val="fr-FR"/>
        </w:rPr>
        <w:t>.</w:t>
      </w:r>
    </w:p>
    <w:p w:rsidR="00342BCA" w:rsidRPr="009349C2" w:rsidRDefault="00342BCA" w:rsidP="009349C2">
      <w:pPr>
        <w:rPr>
          <w:lang w:val="fr-FR"/>
        </w:rPr>
      </w:pPr>
    </w:p>
    <w:p w:rsidR="00342BCA" w:rsidRPr="009349C2" w:rsidRDefault="00575361" w:rsidP="009349C2">
      <w:pPr>
        <w:rPr>
          <w:lang w:val="fr-FR"/>
        </w:rPr>
      </w:pPr>
      <w:r w:rsidRPr="009349C2">
        <w:rPr>
          <w:lang w:val="fr-FR"/>
        </w:rPr>
        <w:t>Ce processus, d</w:t>
      </w:r>
      <w:r w:rsidR="00D10BFC" w:rsidRPr="009349C2">
        <w:rPr>
          <w:lang w:val="fr-FR"/>
        </w:rPr>
        <w:t>’</w:t>
      </w:r>
      <w:r w:rsidRPr="009349C2">
        <w:rPr>
          <w:lang w:val="fr-FR"/>
        </w:rPr>
        <w:t>une durée totale de quatre mois environ, est supervisé par les responsables des différents domaines techniques du Département de l</w:t>
      </w:r>
      <w:r w:rsidR="00D10BFC" w:rsidRPr="009349C2">
        <w:rPr>
          <w:lang w:val="fr-FR"/>
        </w:rPr>
        <w:t>’</w:t>
      </w:r>
      <w:r w:rsidRPr="009349C2">
        <w:rPr>
          <w:lang w:val="fr-FR"/>
        </w:rPr>
        <w:t>examen des brevets, qui évaluent les capacités des candidats et la qualité de leur travail afin de retenir ceux qui répondent aux exigences fixées par l</w:t>
      </w:r>
      <w:r w:rsidR="00D10BFC" w:rsidRPr="009349C2">
        <w:rPr>
          <w:lang w:val="fr-FR"/>
        </w:rPr>
        <w:t>’</w:t>
      </w:r>
      <w:r w:rsidRPr="009349C2">
        <w:rPr>
          <w:lang w:val="fr-FR"/>
        </w:rPr>
        <w:t>INAPI.</w:t>
      </w:r>
    </w:p>
    <w:p w:rsidR="00342BCA" w:rsidRPr="009349C2" w:rsidRDefault="00342BCA" w:rsidP="009349C2">
      <w:pPr>
        <w:rPr>
          <w:lang w:val="fr-FR"/>
        </w:rPr>
      </w:pPr>
    </w:p>
    <w:p w:rsidR="00342BCA" w:rsidRPr="009349C2" w:rsidRDefault="00575361" w:rsidP="009349C2">
      <w:pPr>
        <w:rPr>
          <w:lang w:val="fr-FR"/>
        </w:rPr>
      </w:pPr>
      <w:r w:rsidRPr="009349C2">
        <w:rPr>
          <w:lang w:val="fr-FR"/>
        </w:rPr>
        <w:t>Enfin, une fois les candidats engagés par l</w:t>
      </w:r>
      <w:r w:rsidR="00D10BFC" w:rsidRPr="009349C2">
        <w:rPr>
          <w:lang w:val="fr-FR"/>
        </w:rPr>
        <w:t>’</w:t>
      </w:r>
      <w:r w:rsidRPr="009349C2">
        <w:rPr>
          <w:lang w:val="fr-FR"/>
        </w:rPr>
        <w:t>INAPI, chacun d</w:t>
      </w:r>
      <w:r w:rsidR="00D10BFC" w:rsidRPr="009349C2">
        <w:rPr>
          <w:lang w:val="fr-FR"/>
        </w:rPr>
        <w:t>’</w:t>
      </w:r>
      <w:r w:rsidRPr="009349C2">
        <w:rPr>
          <w:lang w:val="fr-FR"/>
        </w:rPr>
        <w:t>entre eux est placé sous la supervision d</w:t>
      </w:r>
      <w:r w:rsidR="00D10BFC" w:rsidRPr="009349C2">
        <w:rPr>
          <w:lang w:val="fr-FR"/>
        </w:rPr>
        <w:t>’</w:t>
      </w:r>
      <w:r w:rsidRPr="009349C2">
        <w:rPr>
          <w:lang w:val="fr-FR"/>
        </w:rPr>
        <w:t>un formateur qui l</w:t>
      </w:r>
      <w:r w:rsidR="00D10BFC" w:rsidRPr="009349C2">
        <w:rPr>
          <w:lang w:val="fr-FR"/>
        </w:rPr>
        <w:t>’</w:t>
      </w:r>
      <w:r w:rsidRPr="009349C2">
        <w:rPr>
          <w:lang w:val="fr-FR"/>
        </w:rPr>
        <w:t>aide à élaborer ses premiers rappor</w:t>
      </w:r>
      <w:r w:rsidR="00403B14" w:rsidRPr="009349C2">
        <w:rPr>
          <w:lang w:val="fr-FR"/>
        </w:rPr>
        <w:t>ts.  Ce</w:t>
      </w:r>
      <w:r w:rsidRPr="009349C2">
        <w:rPr>
          <w:lang w:val="fr-FR"/>
        </w:rPr>
        <w:t>t encadrement se poursuit pendant une année et fait intervenir différents superviseurs d</w:t>
      </w:r>
      <w:r w:rsidR="00D10BFC" w:rsidRPr="009349C2">
        <w:rPr>
          <w:lang w:val="fr-FR"/>
        </w:rPr>
        <w:t>’</w:t>
      </w:r>
      <w:r w:rsidRPr="009349C2">
        <w:rPr>
          <w:lang w:val="fr-FR"/>
        </w:rPr>
        <w:t>un même domaine techniq</w:t>
      </w:r>
      <w:r w:rsidR="00403B14" w:rsidRPr="009349C2">
        <w:rPr>
          <w:lang w:val="fr-FR"/>
        </w:rPr>
        <w:t>ue.  Le</w:t>
      </w:r>
      <w:r w:rsidRPr="009349C2">
        <w:rPr>
          <w:lang w:val="fr-FR"/>
        </w:rPr>
        <w:t xml:space="preserve"> travail des nouveaux collaborateurs est évalué tous les quatre mo</w:t>
      </w:r>
      <w:r w:rsidR="00403B14" w:rsidRPr="009349C2">
        <w:rPr>
          <w:lang w:val="fr-FR"/>
        </w:rPr>
        <w:t>is.  Si</w:t>
      </w:r>
      <w:r w:rsidR="00F167FF" w:rsidRPr="009349C2">
        <w:rPr>
          <w:lang w:val="fr-FR"/>
        </w:rPr>
        <w:t>, après un an (ou moins), le candidat a acquis les compétences et les capacités nécessaires pour établir des rapports de recherche et d</w:t>
      </w:r>
      <w:r w:rsidR="00D10BFC" w:rsidRPr="009349C2">
        <w:rPr>
          <w:lang w:val="fr-FR"/>
        </w:rPr>
        <w:t>’</w:t>
      </w:r>
      <w:r w:rsidR="00F167FF" w:rsidRPr="009349C2">
        <w:rPr>
          <w:lang w:val="fr-FR"/>
        </w:rPr>
        <w:t>examen, il peut commencer à travailler de manière indépendan</w:t>
      </w:r>
      <w:r w:rsidR="00403B14" w:rsidRPr="009349C2">
        <w:rPr>
          <w:lang w:val="fr-FR"/>
        </w:rPr>
        <w:t>te.  L’o</w:t>
      </w:r>
      <w:r w:rsidR="00173DB5" w:rsidRPr="009349C2">
        <w:rPr>
          <w:lang w:val="fr-FR"/>
        </w:rPr>
        <w:t>bjectif de ce système est de faire en sorte que, en l</w:t>
      </w:r>
      <w:r w:rsidR="00D10BFC" w:rsidRPr="009349C2">
        <w:rPr>
          <w:lang w:val="fr-FR"/>
        </w:rPr>
        <w:t>’</w:t>
      </w:r>
      <w:r w:rsidR="00173DB5" w:rsidRPr="009349C2">
        <w:rPr>
          <w:lang w:val="fr-FR"/>
        </w:rPr>
        <w:t>espace de 18 mois, tous les nouveaux experts externes soient en mesure d</w:t>
      </w:r>
      <w:r w:rsidR="00D10BFC" w:rsidRPr="009349C2">
        <w:rPr>
          <w:lang w:val="fr-FR"/>
        </w:rPr>
        <w:t>’</w:t>
      </w:r>
      <w:r w:rsidR="00173DB5" w:rsidRPr="009349C2">
        <w:rPr>
          <w:lang w:val="fr-FR"/>
        </w:rPr>
        <w:t>effectuer les travaux de recherche et d</w:t>
      </w:r>
      <w:r w:rsidR="00D10BFC" w:rsidRPr="009349C2">
        <w:rPr>
          <w:lang w:val="fr-FR"/>
        </w:rPr>
        <w:t>’</w:t>
      </w:r>
      <w:r w:rsidR="00173DB5" w:rsidRPr="009349C2">
        <w:rPr>
          <w:lang w:val="fr-FR"/>
        </w:rPr>
        <w:t>examen sur les demandes de brevet sans l</w:t>
      </w:r>
      <w:r w:rsidR="00D10BFC" w:rsidRPr="009349C2">
        <w:rPr>
          <w:lang w:val="fr-FR"/>
        </w:rPr>
        <w:t>’</w:t>
      </w:r>
      <w:r w:rsidR="00173DB5" w:rsidRPr="009349C2">
        <w:rPr>
          <w:lang w:val="fr-FR"/>
        </w:rPr>
        <w:t>aide d</w:t>
      </w:r>
      <w:r w:rsidR="00D10BFC" w:rsidRPr="009349C2">
        <w:rPr>
          <w:lang w:val="fr-FR"/>
        </w:rPr>
        <w:t>’</w:t>
      </w:r>
      <w:r w:rsidR="00173DB5" w:rsidRPr="009349C2">
        <w:rPr>
          <w:lang w:val="fr-FR"/>
        </w:rPr>
        <w:t>un formateur, sur la base de la législation, de la réglementation et des directives.</w:t>
      </w:r>
    </w:p>
    <w:p w:rsidR="00342BCA" w:rsidRPr="009349C2" w:rsidRDefault="00342BCA" w:rsidP="009349C2">
      <w:pPr>
        <w:rPr>
          <w:lang w:val="fr-FR"/>
        </w:rPr>
      </w:pPr>
    </w:p>
    <w:p w:rsidR="00D10BFC" w:rsidRPr="009349C2" w:rsidRDefault="00173DB5" w:rsidP="009349C2">
      <w:pPr>
        <w:rPr>
          <w:lang w:val="fr-FR"/>
        </w:rPr>
      </w:pPr>
      <w:r w:rsidRPr="009349C2">
        <w:rPr>
          <w:lang w:val="fr-FR"/>
        </w:rPr>
        <w:t>Le processus de recrutement et de formation a été conçu et mis en place de façon à ne pas compromettre la productivité de l</w:t>
      </w:r>
      <w:r w:rsidR="00D10BFC" w:rsidRPr="009349C2">
        <w:rPr>
          <w:lang w:val="fr-FR"/>
        </w:rPr>
        <w:t>’</w:t>
      </w:r>
      <w:r w:rsidRPr="009349C2">
        <w:rPr>
          <w:lang w:val="fr-FR"/>
        </w:rPr>
        <w:t>offi</w:t>
      </w:r>
      <w:r w:rsidR="00403B14" w:rsidRPr="009349C2">
        <w:rPr>
          <w:lang w:val="fr-FR"/>
        </w:rPr>
        <w:t>ce.  Ce</w:t>
      </w:r>
      <w:r w:rsidRPr="009349C2">
        <w:rPr>
          <w:lang w:val="fr-FR"/>
        </w:rPr>
        <w:t>la s</w:t>
      </w:r>
      <w:r w:rsidR="00D10BFC" w:rsidRPr="009349C2">
        <w:rPr>
          <w:lang w:val="fr-FR"/>
        </w:rPr>
        <w:t>’</w:t>
      </w:r>
      <w:r w:rsidRPr="009349C2">
        <w:rPr>
          <w:lang w:val="fr-FR"/>
        </w:rPr>
        <w:t>est traduit ces dernières années par une réduction rapide du nombre de demandes en instance.</w:t>
      </w:r>
    </w:p>
    <w:p w:rsidR="00342BCA" w:rsidRPr="009349C2" w:rsidRDefault="00342BCA" w:rsidP="009349C2">
      <w:pPr>
        <w:rPr>
          <w:lang w:val="fr-FR"/>
        </w:rPr>
      </w:pPr>
    </w:p>
    <w:p w:rsidR="00342BCA" w:rsidRPr="009349C2" w:rsidRDefault="00D10BFC" w:rsidP="009349C2">
      <w:pPr>
        <w:jc w:val="both"/>
        <w:rPr>
          <w:b/>
          <w:bCs/>
          <w:i/>
          <w:szCs w:val="24"/>
          <w:lang w:val="fr-FR"/>
        </w:rPr>
      </w:pPr>
      <w:r w:rsidRPr="009349C2">
        <w:rPr>
          <w:b/>
          <w:bCs/>
          <w:i/>
          <w:szCs w:val="24"/>
          <w:lang w:val="fr-FR"/>
        </w:rPr>
        <w:t>Règles 3</w:t>
      </w:r>
      <w:r w:rsidR="00173DB5" w:rsidRPr="009349C2">
        <w:rPr>
          <w:b/>
          <w:bCs/>
          <w:i/>
          <w:szCs w:val="24"/>
          <w:lang w:val="fr-FR"/>
        </w:rPr>
        <w:t>6.1.ii) et 63.1.ii)</w:t>
      </w:r>
      <w:r w:rsidRPr="009349C2">
        <w:rPr>
          <w:b/>
          <w:bCs/>
          <w:i/>
          <w:szCs w:val="24"/>
          <w:lang w:val="fr-FR"/>
        </w:rPr>
        <w:t> :</w:t>
      </w:r>
      <w:r w:rsidR="00173DB5" w:rsidRPr="009349C2">
        <w:rPr>
          <w:b/>
          <w:bCs/>
          <w:i/>
          <w:szCs w:val="24"/>
          <w:lang w:val="fr-FR"/>
        </w:rPr>
        <w:t xml:space="preserve"> </w:t>
      </w:r>
      <w:r w:rsidR="00902B1B" w:rsidRPr="009349C2">
        <w:rPr>
          <w:b/>
          <w:bCs/>
          <w:i/>
          <w:szCs w:val="24"/>
          <w:lang w:val="fr-FR"/>
        </w:rPr>
        <w:t>c</w:t>
      </w:r>
      <w:r w:rsidR="00173DB5" w:rsidRPr="009349C2">
        <w:rPr>
          <w:b/>
          <w:bCs/>
          <w:i/>
          <w:szCs w:val="24"/>
          <w:lang w:val="fr-FR"/>
        </w:rPr>
        <w:t xml:space="preserve">et office ou cette organisation doit avoir en sa possession au moins la documentation minimale de la </w:t>
      </w:r>
      <w:r w:rsidRPr="009349C2">
        <w:rPr>
          <w:b/>
          <w:bCs/>
          <w:i/>
          <w:szCs w:val="24"/>
          <w:lang w:val="fr-FR"/>
        </w:rPr>
        <w:t>règle 3</w:t>
      </w:r>
      <w:r w:rsidR="00173DB5" w:rsidRPr="009349C2">
        <w:rPr>
          <w:b/>
          <w:bCs/>
          <w:i/>
          <w:szCs w:val="24"/>
          <w:lang w:val="fr-FR"/>
        </w:rPr>
        <w:t>4, ou avoir accès à cette documentation minimale, laquelle doit être disposée d</w:t>
      </w:r>
      <w:r w:rsidRPr="009349C2">
        <w:rPr>
          <w:b/>
          <w:bCs/>
          <w:i/>
          <w:szCs w:val="24"/>
          <w:lang w:val="fr-FR"/>
        </w:rPr>
        <w:t>’</w:t>
      </w:r>
      <w:r w:rsidR="00173DB5" w:rsidRPr="009349C2">
        <w:rPr>
          <w:b/>
          <w:bCs/>
          <w:i/>
          <w:szCs w:val="24"/>
          <w:lang w:val="fr-FR"/>
        </w:rPr>
        <w:t>une manière adéquate aux fins de la recherche et se présenter sur papier, sur microforme ou sur un support électronique.</w:t>
      </w:r>
    </w:p>
    <w:p w:rsidR="00342BCA" w:rsidRPr="009349C2" w:rsidRDefault="00342BCA" w:rsidP="009349C2">
      <w:pPr>
        <w:jc w:val="both"/>
        <w:rPr>
          <w:szCs w:val="22"/>
          <w:lang w:val="fr-FR"/>
        </w:rPr>
      </w:pPr>
    </w:p>
    <w:p w:rsidR="00D10BFC" w:rsidRPr="009349C2" w:rsidRDefault="001B2D5D" w:rsidP="009349C2">
      <w:pPr>
        <w:keepNext/>
        <w:jc w:val="both"/>
        <w:rPr>
          <w:b/>
          <w:szCs w:val="22"/>
          <w:lang w:val="fr-FR"/>
        </w:rPr>
      </w:pPr>
      <w:r w:rsidRPr="009349C2">
        <w:rPr>
          <w:b/>
          <w:szCs w:val="22"/>
          <w:lang w:val="fr-FR"/>
        </w:rPr>
        <w:t>Accès à la documentation minimale aux fins de la recherche</w:t>
      </w:r>
      <w:r w:rsidR="00D10BFC" w:rsidRPr="009349C2">
        <w:rPr>
          <w:b/>
          <w:szCs w:val="22"/>
          <w:lang w:val="fr-FR"/>
        </w:rPr>
        <w:t> :</w:t>
      </w:r>
    </w:p>
    <w:p w:rsidR="00342BCA" w:rsidRPr="009349C2" w:rsidRDefault="00B75756" w:rsidP="009349C2">
      <w:pPr>
        <w:rPr>
          <w:lang w:val="fr-FR"/>
        </w:rPr>
      </w:pPr>
      <w:r w:rsidRPr="009349C2">
        <w:rPr>
          <w:lang w:val="fr-FR"/>
        </w:rPr>
        <w:t>(X)</w:t>
      </w:r>
      <w:r w:rsidRPr="009349C2">
        <w:rPr>
          <w:lang w:val="fr-FR"/>
        </w:rPr>
        <w:tab/>
      </w:r>
      <w:r w:rsidR="001B2D5D" w:rsidRPr="009349C2">
        <w:rPr>
          <w:lang w:val="fr-FR"/>
        </w:rPr>
        <w:t>Accès complet</w:t>
      </w:r>
    </w:p>
    <w:p w:rsidR="00342BCA" w:rsidRPr="009349C2" w:rsidRDefault="00342BCA" w:rsidP="009349C2">
      <w:pPr>
        <w:jc w:val="both"/>
        <w:rPr>
          <w:szCs w:val="22"/>
          <w:lang w:val="fr-FR"/>
        </w:rPr>
      </w:pPr>
    </w:p>
    <w:p w:rsidR="00342BCA" w:rsidRPr="009349C2" w:rsidRDefault="001B2D5D" w:rsidP="009349C2">
      <w:pPr>
        <w:rPr>
          <w:szCs w:val="22"/>
          <w:lang w:val="fr-FR"/>
        </w:rPr>
      </w:pPr>
      <w:r w:rsidRPr="009349C2">
        <w:rPr>
          <w:b/>
          <w:bCs/>
          <w:szCs w:val="22"/>
          <w:lang w:val="fr-FR"/>
        </w:rPr>
        <w:t>Systèmes de recherche</w:t>
      </w:r>
      <w:r w:rsidR="00D10BFC" w:rsidRPr="009349C2">
        <w:rPr>
          <w:b/>
          <w:bCs/>
          <w:szCs w:val="22"/>
          <w:lang w:val="fr-FR"/>
        </w:rPr>
        <w:t> :</w:t>
      </w:r>
    </w:p>
    <w:p w:rsidR="00342BCA" w:rsidRPr="009349C2" w:rsidRDefault="00342BCA" w:rsidP="009349C2">
      <w:pPr>
        <w:rPr>
          <w:lang w:val="fr-FR"/>
        </w:rPr>
      </w:pPr>
    </w:p>
    <w:p w:rsidR="00342BCA" w:rsidRPr="009349C2" w:rsidRDefault="005E5DCB" w:rsidP="009349C2">
      <w:pPr>
        <w:rPr>
          <w:lang w:val="fr-FR"/>
        </w:rPr>
      </w:pPr>
      <w:r w:rsidRPr="009349C2">
        <w:rPr>
          <w:lang w:val="fr-FR"/>
        </w:rPr>
        <w:t>Actuellement, l</w:t>
      </w:r>
      <w:r w:rsidR="00D10BFC" w:rsidRPr="009349C2">
        <w:rPr>
          <w:lang w:val="fr-FR"/>
        </w:rPr>
        <w:t>’</w:t>
      </w:r>
      <w:r w:rsidRPr="009349C2">
        <w:rPr>
          <w:lang w:val="fr-FR"/>
        </w:rPr>
        <w:t xml:space="preserve">INAPI a accès aux principales bases de données qui renferment un énorme corpus de documents de </w:t>
      </w:r>
      <w:r w:rsidR="00450A58" w:rsidRPr="009349C2">
        <w:rPr>
          <w:lang w:val="fr-FR"/>
        </w:rPr>
        <w:t>brevet</w:t>
      </w:r>
      <w:r w:rsidRPr="009349C2">
        <w:rPr>
          <w:lang w:val="fr-FR"/>
        </w:rPr>
        <w:t xml:space="preserve"> et de littérature non</w:t>
      </w:r>
      <w:r w:rsidR="00D10BFC" w:rsidRPr="009349C2">
        <w:rPr>
          <w:lang w:val="fr-FR"/>
        </w:rPr>
        <w:t>-</w:t>
      </w:r>
      <w:r w:rsidRPr="009349C2">
        <w:rPr>
          <w:lang w:val="fr-FR"/>
        </w:rPr>
        <w:t>brevet à des fins de recherc</w:t>
      </w:r>
      <w:r w:rsidR="00403B14" w:rsidRPr="009349C2">
        <w:rPr>
          <w:lang w:val="fr-FR"/>
        </w:rPr>
        <w:t>he.  Ce</w:t>
      </w:r>
      <w:r w:rsidRPr="009349C2">
        <w:rPr>
          <w:lang w:val="fr-FR"/>
        </w:rPr>
        <w:t xml:space="preserve">s bases de données incluent des bases de données gratuitement accessibles, telles que </w:t>
      </w:r>
      <w:proofErr w:type="spellStart"/>
      <w:r w:rsidRPr="009349C2">
        <w:rPr>
          <w:lang w:val="fr-FR"/>
        </w:rPr>
        <w:t>Patentscope</w:t>
      </w:r>
      <w:proofErr w:type="spellEnd"/>
      <w:r w:rsidRPr="009349C2">
        <w:rPr>
          <w:lang w:val="fr-FR"/>
        </w:rPr>
        <w:t xml:space="preserve">, </w:t>
      </w:r>
      <w:proofErr w:type="spellStart"/>
      <w:r w:rsidRPr="009349C2">
        <w:rPr>
          <w:lang w:val="fr-FR"/>
        </w:rPr>
        <w:t>Espacenet</w:t>
      </w:r>
      <w:proofErr w:type="spellEnd"/>
      <w:r w:rsidRPr="009349C2">
        <w:rPr>
          <w:lang w:val="fr-FR"/>
        </w:rPr>
        <w:t xml:space="preserve">, </w:t>
      </w:r>
      <w:proofErr w:type="spellStart"/>
      <w:r w:rsidRPr="009349C2">
        <w:rPr>
          <w:lang w:val="fr-FR"/>
        </w:rPr>
        <w:t>Latipat</w:t>
      </w:r>
      <w:proofErr w:type="spellEnd"/>
      <w:r w:rsidRPr="009349C2">
        <w:rPr>
          <w:lang w:val="fr-FR"/>
        </w:rPr>
        <w:t xml:space="preserve"> et les collections disponibles sur les </w:t>
      </w:r>
      <w:r w:rsidR="00D10BFC" w:rsidRPr="009349C2">
        <w:rPr>
          <w:lang w:val="fr-FR"/>
        </w:rPr>
        <w:t>pages W</w:t>
      </w:r>
      <w:r w:rsidRPr="009349C2">
        <w:rPr>
          <w:lang w:val="fr-FR"/>
        </w:rPr>
        <w:t>eb des différents offices de propriété intellectuelle (par exemple, INAPI, SPTO, USPTO, JPO</w:t>
      </w:r>
      <w:r w:rsidR="00D10BFC" w:rsidRPr="009349C2">
        <w:rPr>
          <w:lang w:val="fr-FR"/>
        </w:rPr>
        <w:t>-</w:t>
      </w:r>
      <w:r w:rsidRPr="009349C2">
        <w:rPr>
          <w:lang w:val="fr-FR"/>
        </w:rPr>
        <w:t>AIPN</w:t>
      </w:r>
      <w:r w:rsidR="00D10BFC" w:rsidRPr="009349C2">
        <w:rPr>
          <w:lang w:val="fr-FR"/>
        </w:rPr>
        <w:t>-</w:t>
      </w:r>
      <w:r w:rsidRPr="009349C2">
        <w:rPr>
          <w:lang w:val="fr-FR"/>
        </w:rPr>
        <w:t>, KIPO (K</w:t>
      </w:r>
      <w:r w:rsidR="00D10BFC" w:rsidRPr="009349C2">
        <w:rPr>
          <w:lang w:val="fr-FR"/>
        </w:rPr>
        <w:t>-</w:t>
      </w:r>
      <w:r w:rsidRPr="009349C2">
        <w:rPr>
          <w:lang w:val="fr-FR"/>
        </w:rPr>
        <w:t>Pion), SIPO, etc.).</w:t>
      </w:r>
    </w:p>
    <w:p w:rsidR="00342BCA" w:rsidRPr="009349C2" w:rsidRDefault="00342BCA" w:rsidP="009349C2">
      <w:pPr>
        <w:rPr>
          <w:lang w:val="fr-FR"/>
        </w:rPr>
      </w:pPr>
    </w:p>
    <w:p w:rsidR="00342BCA" w:rsidRPr="009349C2" w:rsidRDefault="00DB2101" w:rsidP="009349C2">
      <w:pPr>
        <w:rPr>
          <w:lang w:val="fr-FR"/>
        </w:rPr>
      </w:pPr>
      <w:r w:rsidRPr="009349C2">
        <w:rPr>
          <w:lang w:val="fr-FR"/>
        </w:rPr>
        <w:t xml:space="preserve">Par ailleurs, nous avons également accès à des bases de données privées spécialement conçues pour collecter et rendre accessibles des documents de </w:t>
      </w:r>
      <w:r w:rsidR="00450A58" w:rsidRPr="009349C2">
        <w:rPr>
          <w:lang w:val="fr-FR"/>
        </w:rPr>
        <w:t>brevet</w:t>
      </w:r>
      <w:r w:rsidRPr="009349C2">
        <w:rPr>
          <w:lang w:val="fr-FR"/>
        </w:rPr>
        <w:t xml:space="preserve"> ainsi que de la littérature non</w:t>
      </w:r>
      <w:r w:rsidR="00D10BFC" w:rsidRPr="009349C2">
        <w:rPr>
          <w:lang w:val="fr-FR"/>
        </w:rPr>
        <w:t>-</w:t>
      </w:r>
      <w:r w:rsidRPr="009349C2">
        <w:rPr>
          <w:lang w:val="fr-FR"/>
        </w:rPr>
        <w:t>brev</w:t>
      </w:r>
      <w:r w:rsidR="00403B14" w:rsidRPr="009349C2">
        <w:rPr>
          <w:lang w:val="fr-FR"/>
        </w:rPr>
        <w:t>et.  Ai</w:t>
      </w:r>
      <w:r w:rsidR="0099551D" w:rsidRPr="009349C2">
        <w:rPr>
          <w:lang w:val="fr-FR"/>
        </w:rPr>
        <w:t xml:space="preserve">nsi, nous avons accès à </w:t>
      </w:r>
      <w:proofErr w:type="spellStart"/>
      <w:r w:rsidR="0099551D" w:rsidRPr="009349C2">
        <w:rPr>
          <w:lang w:val="fr-FR"/>
        </w:rPr>
        <w:t>EpoqueNet</w:t>
      </w:r>
      <w:proofErr w:type="spellEnd"/>
      <w:r w:rsidR="0099551D" w:rsidRPr="009349C2">
        <w:rPr>
          <w:lang w:val="fr-FR"/>
        </w:rPr>
        <w:t xml:space="preserve">, Thomson Innovation (désormais </w:t>
      </w:r>
      <w:proofErr w:type="spellStart"/>
      <w:r w:rsidR="0099551D" w:rsidRPr="009349C2">
        <w:rPr>
          <w:lang w:val="fr-FR"/>
        </w:rPr>
        <w:t>Clarivate</w:t>
      </w:r>
      <w:proofErr w:type="spellEnd"/>
      <w:r w:rsidR="0099551D" w:rsidRPr="009349C2">
        <w:rPr>
          <w:lang w:val="fr-FR"/>
        </w:rPr>
        <w:t xml:space="preserve"> </w:t>
      </w:r>
      <w:proofErr w:type="spellStart"/>
      <w:r w:rsidR="0099551D" w:rsidRPr="009349C2">
        <w:rPr>
          <w:lang w:val="fr-FR"/>
        </w:rPr>
        <w:t>Analytics</w:t>
      </w:r>
      <w:proofErr w:type="spellEnd"/>
      <w:r w:rsidR="0099551D" w:rsidRPr="009349C2">
        <w:rPr>
          <w:lang w:val="fr-FR"/>
        </w:rPr>
        <w:t xml:space="preserve">), IEEE, STN </w:t>
      </w:r>
      <w:proofErr w:type="spellStart"/>
      <w:r w:rsidR="0099551D" w:rsidRPr="009349C2">
        <w:rPr>
          <w:lang w:val="fr-FR"/>
        </w:rPr>
        <w:t>Proquest</w:t>
      </w:r>
      <w:proofErr w:type="spellEnd"/>
      <w:r w:rsidR="0099551D" w:rsidRPr="009349C2">
        <w:rPr>
          <w:lang w:val="fr-FR"/>
        </w:rPr>
        <w:t xml:space="preserve"> </w:t>
      </w:r>
      <w:proofErr w:type="spellStart"/>
      <w:r w:rsidR="0099551D" w:rsidRPr="009349C2">
        <w:rPr>
          <w:lang w:val="fr-FR"/>
        </w:rPr>
        <w:t>Dialog</w:t>
      </w:r>
      <w:proofErr w:type="spellEnd"/>
      <w:r w:rsidR="0099551D" w:rsidRPr="009349C2">
        <w:rPr>
          <w:lang w:val="fr-FR"/>
        </w:rPr>
        <w:t xml:space="preserve">, </w:t>
      </w:r>
      <w:proofErr w:type="spellStart"/>
      <w:r w:rsidR="0099551D" w:rsidRPr="009349C2">
        <w:rPr>
          <w:lang w:val="fr-FR"/>
        </w:rPr>
        <w:t>Genome</w:t>
      </w:r>
      <w:proofErr w:type="spellEnd"/>
      <w:r w:rsidR="0099551D" w:rsidRPr="009349C2">
        <w:rPr>
          <w:lang w:val="fr-FR"/>
        </w:rPr>
        <w:t xml:space="preserve"> </w:t>
      </w:r>
      <w:proofErr w:type="spellStart"/>
      <w:r w:rsidR="0099551D" w:rsidRPr="009349C2">
        <w:rPr>
          <w:lang w:val="fr-FR"/>
        </w:rPr>
        <w:t>Quest</w:t>
      </w:r>
      <w:proofErr w:type="spellEnd"/>
      <w:r w:rsidR="0099551D" w:rsidRPr="009349C2">
        <w:rPr>
          <w:lang w:val="fr-FR"/>
        </w:rPr>
        <w:t xml:space="preserve"> et la bibliothèque électronique d</w:t>
      </w:r>
      <w:r w:rsidR="00D10BFC" w:rsidRPr="009349C2">
        <w:rPr>
          <w:lang w:val="fr-FR"/>
        </w:rPr>
        <w:t>’</w:t>
      </w:r>
      <w:r w:rsidR="0099551D" w:rsidRPr="009349C2">
        <w:rPr>
          <w:lang w:val="fr-FR"/>
        </w:rPr>
        <w:t xml:space="preserve">information scientifique (BEIC), un outil de recherche développé par la Commission nationale pour la recherche </w:t>
      </w:r>
      <w:r w:rsidR="0099551D" w:rsidRPr="009349C2">
        <w:rPr>
          <w:i/>
          <w:lang w:val="fr-FR"/>
        </w:rPr>
        <w:t>scientifique</w:t>
      </w:r>
      <w:r w:rsidR="0099551D" w:rsidRPr="009349C2">
        <w:rPr>
          <w:lang w:val="fr-FR"/>
        </w:rPr>
        <w:t xml:space="preserve"> et technologique (CONICYT) et permettant d</w:t>
      </w:r>
      <w:r w:rsidR="00D10BFC" w:rsidRPr="009349C2">
        <w:rPr>
          <w:lang w:val="fr-FR"/>
        </w:rPr>
        <w:t>’</w:t>
      </w:r>
      <w:r w:rsidR="0099551D" w:rsidRPr="009349C2">
        <w:rPr>
          <w:lang w:val="fr-FR"/>
        </w:rPr>
        <w:t xml:space="preserve">effectuer des recherches dans les publications scientifiques, notamment Oxford </w:t>
      </w:r>
      <w:proofErr w:type="spellStart"/>
      <w:r w:rsidR="0099551D" w:rsidRPr="009349C2">
        <w:rPr>
          <w:lang w:val="fr-FR"/>
        </w:rPr>
        <w:t>University</w:t>
      </w:r>
      <w:proofErr w:type="spellEnd"/>
      <w:r w:rsidR="0099551D" w:rsidRPr="009349C2">
        <w:rPr>
          <w:lang w:val="fr-FR"/>
        </w:rPr>
        <w:t xml:space="preserve"> </w:t>
      </w:r>
      <w:proofErr w:type="spellStart"/>
      <w:r w:rsidR="0099551D" w:rsidRPr="009349C2">
        <w:rPr>
          <w:lang w:val="fr-FR"/>
        </w:rPr>
        <w:t>Press</w:t>
      </w:r>
      <w:proofErr w:type="spellEnd"/>
      <w:r w:rsidR="0099551D" w:rsidRPr="009349C2">
        <w:rPr>
          <w:lang w:val="fr-FR"/>
        </w:rPr>
        <w:t xml:space="preserve">, Elsevier, AAAS, American Chemical Society, </w:t>
      </w:r>
      <w:proofErr w:type="spellStart"/>
      <w:r w:rsidR="0099551D" w:rsidRPr="009349C2">
        <w:rPr>
          <w:lang w:val="fr-FR"/>
        </w:rPr>
        <w:t>Annual</w:t>
      </w:r>
      <w:proofErr w:type="spellEnd"/>
      <w:r w:rsidR="0099551D" w:rsidRPr="009349C2">
        <w:rPr>
          <w:lang w:val="fr-FR"/>
        </w:rPr>
        <w:t xml:space="preserve"> </w:t>
      </w:r>
      <w:proofErr w:type="spellStart"/>
      <w:r w:rsidR="0099551D" w:rsidRPr="009349C2">
        <w:rPr>
          <w:lang w:val="fr-FR"/>
        </w:rPr>
        <w:t>Reviews</w:t>
      </w:r>
      <w:proofErr w:type="spellEnd"/>
      <w:r w:rsidR="0099551D" w:rsidRPr="009349C2">
        <w:rPr>
          <w:lang w:val="fr-FR"/>
        </w:rPr>
        <w:t xml:space="preserve">, Nature, Springer Links et </w:t>
      </w:r>
      <w:proofErr w:type="spellStart"/>
      <w:r w:rsidR="0099551D" w:rsidRPr="009349C2">
        <w:rPr>
          <w:lang w:val="fr-FR"/>
        </w:rPr>
        <w:t>Wiley</w:t>
      </w:r>
      <w:r w:rsidR="00D10BFC" w:rsidRPr="009349C2">
        <w:rPr>
          <w:lang w:val="fr-FR"/>
        </w:rPr>
        <w:t>-</w:t>
      </w:r>
      <w:r w:rsidR="0099551D" w:rsidRPr="009349C2">
        <w:rPr>
          <w:lang w:val="fr-FR"/>
        </w:rPr>
        <w:t>Blackwe</w:t>
      </w:r>
      <w:r w:rsidR="00403B14" w:rsidRPr="009349C2">
        <w:rPr>
          <w:lang w:val="fr-FR"/>
        </w:rPr>
        <w:t>ll</w:t>
      </w:r>
      <w:proofErr w:type="spellEnd"/>
      <w:r w:rsidR="00403B14" w:rsidRPr="009349C2">
        <w:rPr>
          <w:lang w:val="fr-FR"/>
        </w:rPr>
        <w:t>.  La</w:t>
      </w:r>
      <w:r w:rsidR="0099551D" w:rsidRPr="009349C2">
        <w:rPr>
          <w:lang w:val="fr-FR"/>
        </w:rPr>
        <w:t xml:space="preserve"> création de cette </w:t>
      </w:r>
      <w:r w:rsidR="00450A58" w:rsidRPr="009349C2">
        <w:rPr>
          <w:lang w:val="fr-FR"/>
        </w:rPr>
        <w:t>plateforme</w:t>
      </w:r>
      <w:r w:rsidR="0099551D" w:rsidRPr="009349C2">
        <w:rPr>
          <w:lang w:val="fr-FR"/>
        </w:rPr>
        <w:t xml:space="preserve"> a représenté un coût important pour le </w:t>
      </w:r>
      <w:r w:rsidR="00450A58" w:rsidRPr="009349C2">
        <w:rPr>
          <w:lang w:val="fr-FR"/>
        </w:rPr>
        <w:t>gouvernement</w:t>
      </w:r>
      <w:r w:rsidR="0099551D" w:rsidRPr="009349C2">
        <w:rPr>
          <w:lang w:val="fr-FR"/>
        </w:rPr>
        <w:t>, les dépenses correspondantes ayant dépassé 1</w:t>
      </w:r>
      <w:r w:rsidR="00D10BFC" w:rsidRPr="009349C2">
        <w:rPr>
          <w:lang w:val="fr-FR"/>
        </w:rPr>
        <w:t>0 million</w:t>
      </w:r>
      <w:r w:rsidR="0099551D" w:rsidRPr="009349C2">
        <w:rPr>
          <w:lang w:val="fr-FR"/>
        </w:rPr>
        <w:t>s de dollars</w:t>
      </w:r>
      <w:r w:rsidR="00450A58" w:rsidRPr="009349C2">
        <w:rPr>
          <w:lang w:val="fr-FR"/>
        </w:rPr>
        <w:t> </w:t>
      </w:r>
      <w:r w:rsidR="0099551D" w:rsidRPr="009349C2">
        <w:rPr>
          <w:lang w:val="fr-FR"/>
        </w:rPr>
        <w:t>É.</w:t>
      </w:r>
      <w:r w:rsidR="00D10BFC" w:rsidRPr="009349C2">
        <w:rPr>
          <w:lang w:val="fr-FR"/>
        </w:rPr>
        <w:t>-</w:t>
      </w:r>
      <w:r w:rsidR="0099551D" w:rsidRPr="009349C2">
        <w:rPr>
          <w:lang w:val="fr-FR"/>
        </w:rPr>
        <w:t>U.</w:t>
      </w:r>
    </w:p>
    <w:p w:rsidR="00342BCA" w:rsidRPr="009349C2" w:rsidRDefault="00342BCA" w:rsidP="009349C2">
      <w:pPr>
        <w:rPr>
          <w:lang w:val="fr-FR"/>
        </w:rPr>
      </w:pPr>
    </w:p>
    <w:p w:rsidR="00342BCA" w:rsidRPr="009349C2" w:rsidRDefault="007F6094" w:rsidP="009349C2">
      <w:pPr>
        <w:rPr>
          <w:lang w:val="fr-FR"/>
        </w:rPr>
      </w:pPr>
      <w:r w:rsidRPr="009349C2">
        <w:rPr>
          <w:lang w:val="fr-FR"/>
        </w:rPr>
        <w:t>De plus, nous avons signé des accords avec le Conseil de recherche scientifique et industrielle de l</w:t>
      </w:r>
      <w:r w:rsidR="00D10BFC" w:rsidRPr="009349C2">
        <w:rPr>
          <w:lang w:val="fr-FR"/>
        </w:rPr>
        <w:t>’</w:t>
      </w:r>
      <w:r w:rsidRPr="009349C2">
        <w:rPr>
          <w:lang w:val="fr-FR"/>
        </w:rPr>
        <w:t>Inde pour avoir accès à</w:t>
      </w:r>
      <w:r w:rsidR="00D10BFC" w:rsidRPr="009349C2">
        <w:rPr>
          <w:lang w:val="fr-FR"/>
        </w:rPr>
        <w:t xml:space="preserve"> la BNS</w:t>
      </w:r>
      <w:r w:rsidRPr="009349C2">
        <w:rPr>
          <w:lang w:val="fr-FR"/>
        </w:rPr>
        <w:t>T, ainsi que des accords avec</w:t>
      </w:r>
      <w:r w:rsidR="00D10BFC" w:rsidRPr="009349C2">
        <w:rPr>
          <w:lang w:val="fr-FR"/>
        </w:rPr>
        <w:t xml:space="preserve"> le SIP</w:t>
      </w:r>
      <w:r w:rsidRPr="009349C2">
        <w:rPr>
          <w:lang w:val="fr-FR"/>
        </w:rPr>
        <w:t>O,</w:t>
      </w:r>
      <w:r w:rsidR="00D10BFC" w:rsidRPr="009349C2">
        <w:rPr>
          <w:lang w:val="fr-FR"/>
        </w:rPr>
        <w:t xml:space="preserve"> le KIP</w:t>
      </w:r>
      <w:r w:rsidRPr="009349C2">
        <w:rPr>
          <w:lang w:val="fr-FR"/>
        </w:rPr>
        <w:t>O et</w:t>
      </w:r>
      <w:r w:rsidR="00D10BFC" w:rsidRPr="009349C2">
        <w:rPr>
          <w:lang w:val="fr-FR"/>
        </w:rPr>
        <w:t xml:space="preserve"> le JPO</w:t>
      </w:r>
      <w:r w:rsidRPr="009349C2">
        <w:rPr>
          <w:lang w:val="fr-FR"/>
        </w:rPr>
        <w:t xml:space="preserve"> pour avoir accès aux bases de données spécifiques de ces offices.</w:t>
      </w:r>
    </w:p>
    <w:p w:rsidR="00342BCA" w:rsidRPr="009349C2" w:rsidRDefault="00342BCA" w:rsidP="009349C2">
      <w:pPr>
        <w:rPr>
          <w:lang w:val="fr-FR"/>
        </w:rPr>
      </w:pPr>
    </w:p>
    <w:p w:rsidR="00342BCA" w:rsidRPr="009349C2" w:rsidRDefault="00D10BFC" w:rsidP="009349C2">
      <w:pPr>
        <w:keepNext/>
        <w:keepLines/>
        <w:jc w:val="both"/>
        <w:rPr>
          <w:b/>
          <w:bCs/>
          <w:i/>
          <w:szCs w:val="24"/>
          <w:lang w:val="fr-FR"/>
        </w:rPr>
      </w:pPr>
      <w:r w:rsidRPr="009349C2">
        <w:rPr>
          <w:b/>
          <w:bCs/>
          <w:i/>
          <w:szCs w:val="24"/>
          <w:lang w:val="fr-FR"/>
        </w:rPr>
        <w:t>Règles 3</w:t>
      </w:r>
      <w:r w:rsidR="007F6094" w:rsidRPr="009349C2">
        <w:rPr>
          <w:b/>
          <w:bCs/>
          <w:i/>
          <w:szCs w:val="24"/>
          <w:lang w:val="fr-FR"/>
        </w:rPr>
        <w:t>6.1.iii) et 63.1.iii)</w:t>
      </w:r>
      <w:r w:rsidRPr="009349C2">
        <w:rPr>
          <w:b/>
          <w:bCs/>
          <w:i/>
          <w:szCs w:val="24"/>
          <w:lang w:val="fr-FR"/>
        </w:rPr>
        <w:t> :</w:t>
      </w:r>
      <w:r w:rsidR="007F6094" w:rsidRPr="009349C2">
        <w:rPr>
          <w:b/>
          <w:bCs/>
          <w:i/>
          <w:szCs w:val="24"/>
          <w:lang w:val="fr-FR"/>
        </w:rPr>
        <w:t xml:space="preserve"> </w:t>
      </w:r>
      <w:r w:rsidR="00902B1B" w:rsidRPr="009349C2">
        <w:rPr>
          <w:b/>
          <w:bCs/>
          <w:i/>
          <w:szCs w:val="24"/>
          <w:lang w:val="fr-FR"/>
        </w:rPr>
        <w:t>c</w:t>
      </w:r>
      <w:r w:rsidR="007F6094" w:rsidRPr="009349C2">
        <w:rPr>
          <w:b/>
          <w:bCs/>
          <w:i/>
          <w:szCs w:val="24"/>
          <w:lang w:val="fr-FR"/>
        </w:rPr>
        <w:t>et office ou cette organisation doit disposer d</w:t>
      </w:r>
      <w:r w:rsidRPr="009349C2">
        <w:rPr>
          <w:b/>
          <w:bCs/>
          <w:i/>
          <w:szCs w:val="24"/>
          <w:lang w:val="fr-FR"/>
        </w:rPr>
        <w:t>’</w:t>
      </w:r>
      <w:r w:rsidR="007F6094" w:rsidRPr="009349C2">
        <w:rPr>
          <w:b/>
          <w:bCs/>
          <w:i/>
          <w:szCs w:val="24"/>
          <w:lang w:val="fr-FR"/>
        </w:rPr>
        <w:t>un personnel capable de procéder à la recherche et à l</w:t>
      </w:r>
      <w:r w:rsidRPr="009349C2">
        <w:rPr>
          <w:b/>
          <w:bCs/>
          <w:i/>
          <w:szCs w:val="24"/>
          <w:lang w:val="fr-FR"/>
        </w:rPr>
        <w:t>’</w:t>
      </w:r>
      <w:r w:rsidR="007F6094" w:rsidRPr="009349C2">
        <w:rPr>
          <w:b/>
          <w:bCs/>
          <w:i/>
          <w:szCs w:val="24"/>
          <w:lang w:val="fr-FR"/>
        </w:rPr>
        <w:t xml:space="preserve">examen dans les domaines techniques sur lesquels la recherche doit porter et possédant les connaissances linguistiques nécessaires à la compréhension au moins des langues dans lesquelles la documentation minimale de la </w:t>
      </w:r>
      <w:r w:rsidRPr="009349C2">
        <w:rPr>
          <w:b/>
          <w:bCs/>
          <w:i/>
          <w:szCs w:val="24"/>
          <w:lang w:val="fr-FR"/>
        </w:rPr>
        <w:t>règle 3</w:t>
      </w:r>
      <w:r w:rsidR="007F6094" w:rsidRPr="009349C2">
        <w:rPr>
          <w:b/>
          <w:bCs/>
          <w:i/>
          <w:szCs w:val="24"/>
          <w:lang w:val="fr-FR"/>
        </w:rPr>
        <w:t>4 est rédigée ou traduite.</w:t>
      </w:r>
    </w:p>
    <w:p w:rsidR="00342BCA" w:rsidRPr="009349C2" w:rsidRDefault="00342BCA" w:rsidP="009349C2">
      <w:pPr>
        <w:keepNext/>
        <w:keepLines/>
        <w:rPr>
          <w:szCs w:val="22"/>
          <w:lang w:val="fr-FR"/>
        </w:rPr>
      </w:pPr>
    </w:p>
    <w:p w:rsidR="00D10BFC" w:rsidRPr="009349C2" w:rsidRDefault="007F6094" w:rsidP="009349C2">
      <w:pPr>
        <w:rPr>
          <w:b/>
          <w:szCs w:val="22"/>
          <w:lang w:val="fr-FR"/>
        </w:rPr>
      </w:pPr>
      <w:r w:rsidRPr="009349C2">
        <w:rPr>
          <w:b/>
          <w:szCs w:val="22"/>
          <w:lang w:val="fr-FR"/>
        </w:rPr>
        <w:t>Langues dans lesquelles les demandes nationales peuvent être déposées et traitées</w:t>
      </w:r>
      <w:r w:rsidR="00D10BFC" w:rsidRPr="009349C2">
        <w:rPr>
          <w:b/>
          <w:szCs w:val="22"/>
          <w:lang w:val="fr-FR"/>
        </w:rPr>
        <w:t> :</w:t>
      </w:r>
    </w:p>
    <w:p w:rsidR="00342BCA" w:rsidRPr="009349C2" w:rsidRDefault="00342BCA" w:rsidP="009349C2">
      <w:pPr>
        <w:rPr>
          <w:lang w:val="fr-FR"/>
        </w:rPr>
      </w:pPr>
    </w:p>
    <w:p w:rsidR="00342BCA" w:rsidRPr="009349C2" w:rsidRDefault="007F6094" w:rsidP="009349C2">
      <w:pPr>
        <w:rPr>
          <w:lang w:val="fr-FR"/>
        </w:rPr>
      </w:pPr>
      <w:r w:rsidRPr="009349C2">
        <w:rPr>
          <w:lang w:val="fr-FR"/>
        </w:rPr>
        <w:t>L</w:t>
      </w:r>
      <w:r w:rsidR="00D10BFC" w:rsidRPr="009349C2">
        <w:rPr>
          <w:lang w:val="fr-FR"/>
        </w:rPr>
        <w:t>’</w:t>
      </w:r>
      <w:r w:rsidRPr="009349C2">
        <w:rPr>
          <w:lang w:val="fr-FR"/>
        </w:rPr>
        <w:t>INAPI n</w:t>
      </w:r>
      <w:r w:rsidR="00D10BFC" w:rsidRPr="009349C2">
        <w:rPr>
          <w:lang w:val="fr-FR"/>
        </w:rPr>
        <w:t>’</w:t>
      </w:r>
      <w:r w:rsidRPr="009349C2">
        <w:rPr>
          <w:lang w:val="fr-FR"/>
        </w:rPr>
        <w:t>accepte que les demandes déposées en espagn</w:t>
      </w:r>
      <w:r w:rsidR="00403B14" w:rsidRPr="009349C2">
        <w:rPr>
          <w:lang w:val="fr-FR"/>
        </w:rPr>
        <w:t>ol.  To</w:t>
      </w:r>
      <w:r w:rsidR="00094502" w:rsidRPr="009349C2">
        <w:rPr>
          <w:lang w:val="fr-FR"/>
        </w:rPr>
        <w:t>ute demande déposée dans une autre langue doit être correctement traduite avant d</w:t>
      </w:r>
      <w:r w:rsidR="00D10BFC" w:rsidRPr="009349C2">
        <w:rPr>
          <w:lang w:val="fr-FR"/>
        </w:rPr>
        <w:t>’</w:t>
      </w:r>
      <w:r w:rsidR="00094502" w:rsidRPr="009349C2">
        <w:rPr>
          <w:lang w:val="fr-FR"/>
        </w:rPr>
        <w:t>être soumise à une recherche et à un examen.</w:t>
      </w:r>
    </w:p>
    <w:p w:rsidR="00342BCA" w:rsidRPr="009349C2" w:rsidRDefault="00342BCA" w:rsidP="009349C2">
      <w:pPr>
        <w:rPr>
          <w:lang w:val="fr-FR"/>
        </w:rPr>
      </w:pPr>
    </w:p>
    <w:p w:rsidR="00D10BFC" w:rsidRPr="009349C2" w:rsidRDefault="00094502" w:rsidP="009349C2">
      <w:pPr>
        <w:rPr>
          <w:b/>
          <w:szCs w:val="22"/>
          <w:lang w:val="fr-FR"/>
        </w:rPr>
      </w:pPr>
      <w:r w:rsidRPr="009349C2">
        <w:rPr>
          <w:b/>
          <w:szCs w:val="22"/>
          <w:lang w:val="fr-FR"/>
        </w:rPr>
        <w:t>Autres langues dans lesquelles de nombreux examinateurs sont compétents</w:t>
      </w:r>
      <w:r w:rsidR="00D10BFC" w:rsidRPr="009349C2">
        <w:rPr>
          <w:b/>
          <w:szCs w:val="22"/>
          <w:lang w:val="fr-FR"/>
        </w:rPr>
        <w:t> :</w:t>
      </w:r>
    </w:p>
    <w:p w:rsidR="00342BCA" w:rsidRPr="009349C2" w:rsidRDefault="00342BCA" w:rsidP="009349C2">
      <w:pPr>
        <w:rPr>
          <w:lang w:val="fr-FR"/>
        </w:rPr>
      </w:pPr>
    </w:p>
    <w:p w:rsidR="00342BCA" w:rsidRPr="009349C2" w:rsidRDefault="00E31D5A" w:rsidP="009349C2">
      <w:pPr>
        <w:rPr>
          <w:lang w:val="fr-FR"/>
        </w:rPr>
      </w:pPr>
      <w:r w:rsidRPr="009349C2">
        <w:rPr>
          <w:lang w:val="fr-FR"/>
        </w:rPr>
        <w:t>Nos examinateurs sont compétents en anglais (environ 80% d</w:t>
      </w:r>
      <w:r w:rsidR="00D10BFC" w:rsidRPr="009349C2">
        <w:rPr>
          <w:lang w:val="fr-FR"/>
        </w:rPr>
        <w:t>’</w:t>
      </w:r>
      <w:r w:rsidRPr="009349C2">
        <w:rPr>
          <w:lang w:val="fr-FR"/>
        </w:rPr>
        <w:t>entre eux ont un excellent niveau d</w:t>
      </w:r>
      <w:r w:rsidR="00D10BFC" w:rsidRPr="009349C2">
        <w:rPr>
          <w:lang w:val="fr-FR"/>
        </w:rPr>
        <w:t>’</w:t>
      </w:r>
      <w:r w:rsidRPr="009349C2">
        <w:rPr>
          <w:lang w:val="fr-FR"/>
        </w:rPr>
        <w:t xml:space="preserve">anglais et suivent régulièrement des cours pour </w:t>
      </w:r>
      <w:r w:rsidR="002E45EB" w:rsidRPr="009349C2">
        <w:rPr>
          <w:lang w:val="fr-FR"/>
        </w:rPr>
        <w:t>parfaire</w:t>
      </w:r>
      <w:r w:rsidRPr="009349C2">
        <w:rPr>
          <w:lang w:val="fr-FR"/>
        </w:rPr>
        <w:t xml:space="preserve"> leurs connaissances dans cette langue) et ont un bon niveau en français et en allemand.</w:t>
      </w:r>
    </w:p>
    <w:p w:rsidR="00342BCA" w:rsidRPr="009349C2" w:rsidRDefault="00342BCA" w:rsidP="009349C2">
      <w:pPr>
        <w:rPr>
          <w:lang w:val="fr-FR"/>
        </w:rPr>
      </w:pPr>
    </w:p>
    <w:p w:rsidR="00D10BFC" w:rsidRPr="009349C2" w:rsidRDefault="002E45EB" w:rsidP="009349C2">
      <w:pPr>
        <w:rPr>
          <w:b/>
          <w:szCs w:val="22"/>
          <w:lang w:val="fr-FR"/>
        </w:rPr>
      </w:pPr>
      <w:r w:rsidRPr="009349C2">
        <w:rPr>
          <w:b/>
          <w:szCs w:val="22"/>
          <w:lang w:val="fr-FR"/>
        </w:rPr>
        <w:t>Services proposés pour faciliter la recherche ou mieux comprendre l</w:t>
      </w:r>
      <w:r w:rsidR="00D10BFC" w:rsidRPr="009349C2">
        <w:rPr>
          <w:b/>
          <w:szCs w:val="22"/>
          <w:lang w:val="fr-FR"/>
        </w:rPr>
        <w:t>’</w:t>
      </w:r>
      <w:r w:rsidRPr="009349C2">
        <w:rPr>
          <w:b/>
          <w:szCs w:val="22"/>
          <w:lang w:val="fr-FR"/>
        </w:rPr>
        <w:t>état de la technique dans d</w:t>
      </w:r>
      <w:r w:rsidR="00D10BFC" w:rsidRPr="009349C2">
        <w:rPr>
          <w:b/>
          <w:szCs w:val="22"/>
          <w:lang w:val="fr-FR"/>
        </w:rPr>
        <w:t>’</w:t>
      </w:r>
      <w:r w:rsidRPr="009349C2">
        <w:rPr>
          <w:b/>
          <w:szCs w:val="22"/>
          <w:lang w:val="fr-FR"/>
        </w:rPr>
        <w:t>autres langues</w:t>
      </w:r>
      <w:r w:rsidR="00D10BFC" w:rsidRPr="009349C2">
        <w:rPr>
          <w:b/>
          <w:szCs w:val="22"/>
          <w:lang w:val="fr-FR"/>
        </w:rPr>
        <w:t> :</w:t>
      </w:r>
    </w:p>
    <w:p w:rsidR="00342BCA" w:rsidRPr="009349C2" w:rsidRDefault="00342BCA" w:rsidP="009349C2">
      <w:pPr>
        <w:rPr>
          <w:lang w:val="fr-FR"/>
        </w:rPr>
      </w:pPr>
    </w:p>
    <w:p w:rsidR="00D10BFC" w:rsidRPr="009349C2" w:rsidRDefault="00A7541B" w:rsidP="009349C2">
      <w:pPr>
        <w:rPr>
          <w:lang w:val="fr-FR"/>
        </w:rPr>
      </w:pPr>
      <w:r w:rsidRPr="009349C2">
        <w:rPr>
          <w:lang w:val="fr-FR"/>
        </w:rPr>
        <w:t>Comme susmentionné, les cours d</w:t>
      </w:r>
      <w:r w:rsidR="00D10BFC" w:rsidRPr="009349C2">
        <w:rPr>
          <w:lang w:val="fr-FR"/>
        </w:rPr>
        <w:t>’</w:t>
      </w:r>
      <w:r w:rsidRPr="009349C2">
        <w:rPr>
          <w:lang w:val="fr-FR"/>
        </w:rPr>
        <w:t>anglais font partie du programme annuel de formation pour notre personnel et constituent un outil efficace pour les aider à avoir un meilleur aperçu lors de la recherche et à mieux comprendre l</w:t>
      </w:r>
      <w:r w:rsidR="00D10BFC" w:rsidRPr="009349C2">
        <w:rPr>
          <w:lang w:val="fr-FR"/>
        </w:rPr>
        <w:t>’</w:t>
      </w:r>
      <w:r w:rsidRPr="009349C2">
        <w:rPr>
          <w:lang w:val="fr-FR"/>
        </w:rPr>
        <w:t>état de la technique dans d</w:t>
      </w:r>
      <w:r w:rsidR="00D10BFC" w:rsidRPr="009349C2">
        <w:rPr>
          <w:lang w:val="fr-FR"/>
        </w:rPr>
        <w:t>’</w:t>
      </w:r>
      <w:r w:rsidRPr="009349C2">
        <w:rPr>
          <w:lang w:val="fr-FR"/>
        </w:rPr>
        <w:t>autres langues.</w:t>
      </w:r>
    </w:p>
    <w:p w:rsidR="00342BCA" w:rsidRPr="009349C2" w:rsidRDefault="00342BCA" w:rsidP="009349C2">
      <w:pPr>
        <w:rPr>
          <w:lang w:val="fr-FR"/>
        </w:rPr>
      </w:pPr>
    </w:p>
    <w:p w:rsidR="00D10BFC" w:rsidRPr="009349C2" w:rsidRDefault="00A7541B" w:rsidP="009349C2">
      <w:pPr>
        <w:rPr>
          <w:szCs w:val="22"/>
          <w:lang w:val="fr-FR"/>
        </w:rPr>
      </w:pPr>
      <w:r w:rsidRPr="009349C2">
        <w:rPr>
          <w:szCs w:val="22"/>
          <w:lang w:val="fr-FR"/>
        </w:rPr>
        <w:t>De plus, certaines de nos bases de données sont dotées d</w:t>
      </w:r>
      <w:r w:rsidR="00D10BFC" w:rsidRPr="009349C2">
        <w:rPr>
          <w:szCs w:val="22"/>
          <w:lang w:val="fr-FR"/>
        </w:rPr>
        <w:t>’</w:t>
      </w:r>
      <w:r w:rsidRPr="009349C2">
        <w:rPr>
          <w:szCs w:val="22"/>
          <w:lang w:val="fr-FR"/>
        </w:rPr>
        <w:t>une fonction de traduction automatique alors que d</w:t>
      </w:r>
      <w:r w:rsidR="00D10BFC" w:rsidRPr="009349C2">
        <w:rPr>
          <w:szCs w:val="22"/>
          <w:lang w:val="fr-FR"/>
        </w:rPr>
        <w:t>’</w:t>
      </w:r>
      <w:r w:rsidRPr="009349C2">
        <w:rPr>
          <w:szCs w:val="22"/>
          <w:lang w:val="fr-FR"/>
        </w:rPr>
        <w:t>autres proposent une traduction humaine (par exemple, Thomson Innovation) en vue d</w:t>
      </w:r>
      <w:r w:rsidR="00D10BFC" w:rsidRPr="009349C2">
        <w:rPr>
          <w:szCs w:val="22"/>
          <w:lang w:val="fr-FR"/>
        </w:rPr>
        <w:t>’</w:t>
      </w:r>
      <w:r w:rsidRPr="009349C2">
        <w:rPr>
          <w:szCs w:val="22"/>
          <w:lang w:val="fr-FR"/>
        </w:rPr>
        <w:t>une précision accrue, notamment lorsqu</w:t>
      </w:r>
      <w:r w:rsidR="00D10BFC" w:rsidRPr="009349C2">
        <w:rPr>
          <w:szCs w:val="22"/>
          <w:lang w:val="fr-FR"/>
        </w:rPr>
        <w:t>’</w:t>
      </w:r>
      <w:r w:rsidRPr="009349C2">
        <w:rPr>
          <w:szCs w:val="22"/>
          <w:lang w:val="fr-FR"/>
        </w:rPr>
        <w:t>il s</w:t>
      </w:r>
      <w:r w:rsidR="00D10BFC" w:rsidRPr="009349C2">
        <w:rPr>
          <w:szCs w:val="22"/>
          <w:lang w:val="fr-FR"/>
        </w:rPr>
        <w:t>’</w:t>
      </w:r>
      <w:r w:rsidRPr="009349C2">
        <w:rPr>
          <w:szCs w:val="22"/>
          <w:lang w:val="fr-FR"/>
        </w:rPr>
        <w:t>agit de documents asiatiques pour lesquels la traduction machine peut parfois être difficile à comprendre.</w:t>
      </w:r>
    </w:p>
    <w:p w:rsidR="00342BCA" w:rsidRPr="009349C2" w:rsidRDefault="00902B1B" w:rsidP="00E263A3">
      <w:pPr>
        <w:pStyle w:val="SectionHeading"/>
        <w:rPr>
          <w:lang w:val="fr-FR"/>
        </w:rPr>
      </w:pPr>
      <w:r w:rsidRPr="009349C2">
        <w:rPr>
          <w:lang w:val="fr-FR"/>
        </w:rPr>
        <w:t>2.2 – Gestion de la qualité</w:t>
      </w:r>
    </w:p>
    <w:p w:rsidR="00342BCA" w:rsidRPr="009349C2" w:rsidRDefault="008669CD" w:rsidP="00E263A3">
      <w:pPr>
        <w:keepNext/>
        <w:jc w:val="both"/>
        <w:rPr>
          <w:b/>
          <w:bCs/>
          <w:i/>
          <w:lang w:val="fr-FR"/>
        </w:rPr>
      </w:pPr>
      <w:r w:rsidRPr="009349C2">
        <w:rPr>
          <w:b/>
          <w:bCs/>
          <w:i/>
          <w:lang w:val="fr-FR"/>
        </w:rPr>
        <w:t>R</w:t>
      </w:r>
      <w:r w:rsidR="00014DDB" w:rsidRPr="009349C2">
        <w:rPr>
          <w:b/>
          <w:bCs/>
          <w:i/>
          <w:lang w:val="fr-FR"/>
        </w:rPr>
        <w:t>ègles</w:t>
      </w:r>
      <w:r w:rsidR="00902B1B" w:rsidRPr="009349C2">
        <w:rPr>
          <w:b/>
          <w:bCs/>
          <w:i/>
          <w:lang w:val="fr-FR"/>
        </w:rPr>
        <w:t xml:space="preserve"> 36.1.iv) et </w:t>
      </w:r>
      <w:r w:rsidRPr="009349C2">
        <w:rPr>
          <w:b/>
          <w:bCs/>
          <w:i/>
          <w:lang w:val="fr-FR"/>
        </w:rPr>
        <w:t>63.1.iv)</w:t>
      </w:r>
      <w:r w:rsidR="00D10BFC" w:rsidRPr="009349C2">
        <w:rPr>
          <w:b/>
          <w:bCs/>
          <w:i/>
          <w:lang w:val="fr-FR"/>
        </w:rPr>
        <w:t> :</w:t>
      </w:r>
      <w:r w:rsidR="00902B1B" w:rsidRPr="009349C2">
        <w:rPr>
          <w:b/>
          <w:bCs/>
          <w:i/>
          <w:lang w:val="fr-FR"/>
        </w:rPr>
        <w:t xml:space="preserve"> c</w:t>
      </w:r>
      <w:r w:rsidRPr="009349C2">
        <w:rPr>
          <w:b/>
          <w:bCs/>
          <w:i/>
          <w:lang w:val="fr-FR"/>
        </w:rPr>
        <w:t>et office ou cette organisation doit disposer d</w:t>
      </w:r>
      <w:r w:rsidR="00D10BFC" w:rsidRPr="009349C2">
        <w:rPr>
          <w:b/>
          <w:bCs/>
          <w:i/>
          <w:lang w:val="fr-FR"/>
        </w:rPr>
        <w:t>’</w:t>
      </w:r>
      <w:r w:rsidRPr="009349C2">
        <w:rPr>
          <w:b/>
          <w:bCs/>
          <w:i/>
          <w:lang w:val="fr-FR"/>
        </w:rPr>
        <w:t>un système de gestion de la qualité et de dispositions internes en matière d</w:t>
      </w:r>
      <w:r w:rsidR="00D10BFC" w:rsidRPr="009349C2">
        <w:rPr>
          <w:b/>
          <w:bCs/>
          <w:i/>
          <w:lang w:val="fr-FR"/>
        </w:rPr>
        <w:t>’</w:t>
      </w:r>
      <w:r w:rsidRPr="009349C2">
        <w:rPr>
          <w:b/>
          <w:bCs/>
          <w:i/>
          <w:lang w:val="fr-FR"/>
        </w:rPr>
        <w:t>évaluation conformément aux règles communes de la recherche internationale.</w:t>
      </w:r>
    </w:p>
    <w:p w:rsidR="00342BCA" w:rsidRPr="009349C2" w:rsidRDefault="00342BCA" w:rsidP="00E263A3">
      <w:pPr>
        <w:keepNext/>
        <w:jc w:val="both"/>
        <w:rPr>
          <w:b/>
          <w:bCs/>
          <w:szCs w:val="22"/>
          <w:lang w:val="fr-FR"/>
        </w:rPr>
      </w:pPr>
    </w:p>
    <w:p w:rsidR="00D10BFC" w:rsidRPr="009349C2" w:rsidRDefault="008669CD" w:rsidP="00E263A3">
      <w:pPr>
        <w:keepNext/>
        <w:jc w:val="both"/>
        <w:rPr>
          <w:szCs w:val="22"/>
          <w:lang w:val="fr-FR"/>
        </w:rPr>
      </w:pPr>
      <w:r w:rsidRPr="009349C2">
        <w:rPr>
          <w:b/>
          <w:i/>
          <w:szCs w:val="22"/>
          <w:lang w:val="fr-FR"/>
        </w:rPr>
        <w:t>Système national de gestion de la qualité</w:t>
      </w:r>
    </w:p>
    <w:p w:rsidR="00342BCA" w:rsidRPr="009349C2" w:rsidRDefault="00342BCA" w:rsidP="00E263A3">
      <w:pPr>
        <w:keepNext/>
        <w:rPr>
          <w:lang w:val="fr-FR"/>
        </w:rPr>
      </w:pPr>
    </w:p>
    <w:p w:rsidR="00342BCA" w:rsidRPr="009349C2" w:rsidRDefault="008669CD" w:rsidP="00E263A3">
      <w:pPr>
        <w:keepNext/>
        <w:rPr>
          <w:lang w:val="fr-FR"/>
        </w:rPr>
      </w:pPr>
      <w:r w:rsidRPr="009349C2">
        <w:rPr>
          <w:lang w:val="fr-FR"/>
        </w:rPr>
        <w:t>L</w:t>
      </w:r>
      <w:r w:rsidR="00D10BFC" w:rsidRPr="009349C2">
        <w:rPr>
          <w:lang w:val="fr-FR"/>
        </w:rPr>
        <w:t>’</w:t>
      </w:r>
      <w:r w:rsidRPr="009349C2">
        <w:rPr>
          <w:lang w:val="fr-FR"/>
        </w:rPr>
        <w:t>INSAPI est dotée d</w:t>
      </w:r>
      <w:r w:rsidR="00D10BFC" w:rsidRPr="009349C2">
        <w:rPr>
          <w:lang w:val="fr-FR"/>
        </w:rPr>
        <w:t>’</w:t>
      </w:r>
      <w:r w:rsidRPr="009349C2">
        <w:rPr>
          <w:lang w:val="fr-FR"/>
        </w:rPr>
        <w:t xml:space="preserve">un système de gestion de la qualité remplissant les conditions du </w:t>
      </w:r>
      <w:r w:rsidR="00D10BFC" w:rsidRPr="009349C2">
        <w:rPr>
          <w:lang w:val="fr-FR"/>
        </w:rPr>
        <w:t>chapitre 2</w:t>
      </w:r>
      <w:r w:rsidRPr="009349C2">
        <w:rPr>
          <w:lang w:val="fr-FR"/>
        </w:rPr>
        <w:t>1 des Directives concernant la recherche internationale et l</w:t>
      </w:r>
      <w:r w:rsidR="00D10BFC" w:rsidRPr="009349C2">
        <w:rPr>
          <w:lang w:val="fr-FR"/>
        </w:rPr>
        <w:t>’</w:t>
      </w:r>
      <w:r w:rsidRPr="009349C2">
        <w:rPr>
          <w:lang w:val="fr-FR"/>
        </w:rPr>
        <w:t>examen préliminaire international selon</w:t>
      </w:r>
      <w:r w:rsidR="00D10BFC" w:rsidRPr="009349C2">
        <w:rPr>
          <w:lang w:val="fr-FR"/>
        </w:rPr>
        <w:t xml:space="preserve"> le </w:t>
      </w:r>
      <w:r w:rsidR="00403B14" w:rsidRPr="009349C2">
        <w:rPr>
          <w:lang w:val="fr-FR"/>
        </w:rPr>
        <w:t>PCT.  Se</w:t>
      </w:r>
      <w:r w:rsidRPr="009349C2">
        <w:rPr>
          <w:lang w:val="fr-FR"/>
        </w:rPr>
        <w:t xml:space="preserve">s rapports annuels selon ces directives </w:t>
      </w:r>
      <w:r w:rsidR="00D10BFC" w:rsidRPr="009349C2">
        <w:rPr>
          <w:lang w:val="fr-FR"/>
        </w:rPr>
        <w:t>depuis 2013</w:t>
      </w:r>
      <w:r w:rsidRPr="009349C2">
        <w:rPr>
          <w:lang w:val="fr-FR"/>
        </w:rPr>
        <w:t xml:space="preserve"> sont disponibles sur le site</w:t>
      </w:r>
      <w:r w:rsidR="00450A58" w:rsidRPr="009349C2">
        <w:rPr>
          <w:lang w:val="fr-FR"/>
        </w:rPr>
        <w:t> </w:t>
      </w:r>
      <w:r w:rsidRPr="009349C2">
        <w:rPr>
          <w:lang w:val="fr-FR"/>
        </w:rPr>
        <w:t>Web de l</w:t>
      </w:r>
      <w:r w:rsidR="00D10BFC" w:rsidRPr="009349C2">
        <w:rPr>
          <w:lang w:val="fr-FR"/>
        </w:rPr>
        <w:t>’</w:t>
      </w:r>
      <w:r w:rsidRPr="009349C2">
        <w:rPr>
          <w:lang w:val="fr-FR"/>
        </w:rPr>
        <w:t>OMPI à l</w:t>
      </w:r>
      <w:r w:rsidR="00D10BFC" w:rsidRPr="009349C2">
        <w:rPr>
          <w:lang w:val="fr-FR"/>
        </w:rPr>
        <w:t>’</w:t>
      </w:r>
      <w:r w:rsidRPr="009349C2">
        <w:rPr>
          <w:lang w:val="fr-FR"/>
        </w:rPr>
        <w:t>adresse http://www.wipo.int/pct/en/quality/authorities.html.</w:t>
      </w:r>
    </w:p>
    <w:p w:rsidR="00342BCA" w:rsidRPr="009349C2" w:rsidRDefault="00342BCA" w:rsidP="00E263A3">
      <w:pPr>
        <w:keepNext/>
        <w:rPr>
          <w:lang w:val="fr-FR"/>
        </w:rPr>
      </w:pPr>
    </w:p>
    <w:p w:rsidR="00D10BFC" w:rsidRPr="009349C2" w:rsidRDefault="00087F23" w:rsidP="009349C2">
      <w:pPr>
        <w:rPr>
          <w:lang w:val="fr-FR"/>
        </w:rPr>
      </w:pPr>
      <w:r w:rsidRPr="009349C2">
        <w:rPr>
          <w:lang w:val="fr-FR"/>
        </w:rPr>
        <w:t>Certes, les activités de l</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examen préliminaire international n</w:t>
      </w:r>
      <w:r w:rsidR="00D10BFC" w:rsidRPr="009349C2">
        <w:rPr>
          <w:lang w:val="fr-FR"/>
        </w:rPr>
        <w:t>’</w:t>
      </w:r>
      <w:r w:rsidRPr="009349C2">
        <w:rPr>
          <w:lang w:val="fr-FR"/>
        </w:rPr>
        <w:t>ont pas encore été certifiées</w:t>
      </w:r>
      <w:r w:rsidR="005E0219" w:rsidRPr="009349C2">
        <w:rPr>
          <w:lang w:val="fr-FR"/>
        </w:rPr>
        <w:t xml:space="preserve"> selon la norme</w:t>
      </w:r>
      <w:r w:rsidR="00450A58" w:rsidRPr="009349C2">
        <w:rPr>
          <w:lang w:val="fr-FR"/>
        </w:rPr>
        <w:t> </w:t>
      </w:r>
      <w:r w:rsidRPr="009349C2">
        <w:rPr>
          <w:lang w:val="fr-FR"/>
        </w:rPr>
        <w:t>ISO</w:t>
      </w:r>
      <w:r w:rsidR="00014DDB" w:rsidRPr="009349C2">
        <w:rPr>
          <w:lang w:val="fr-FR"/>
        </w:rPr>
        <w:t> </w:t>
      </w:r>
      <w:r w:rsidRPr="009349C2">
        <w:rPr>
          <w:lang w:val="fr-FR"/>
        </w:rPr>
        <w:t xml:space="preserve">9001, contrairement à </w:t>
      </w:r>
      <w:r w:rsidR="005E0219" w:rsidRPr="009349C2">
        <w:rPr>
          <w:lang w:val="fr-FR"/>
        </w:rPr>
        <w:t>nos activités</w:t>
      </w:r>
      <w:r w:rsidRPr="009349C2">
        <w:rPr>
          <w:lang w:val="fr-FR"/>
        </w:rPr>
        <w:t xml:space="preserve"> </w:t>
      </w:r>
      <w:r w:rsidR="005E0219" w:rsidRPr="009349C2">
        <w:rPr>
          <w:lang w:val="fr-FR"/>
        </w:rPr>
        <w:t>en tant qu</w:t>
      </w:r>
      <w:r w:rsidR="00D10BFC" w:rsidRPr="009349C2">
        <w:rPr>
          <w:lang w:val="fr-FR"/>
        </w:rPr>
        <w:t>’</w:t>
      </w:r>
      <w:r w:rsidRPr="009349C2">
        <w:rPr>
          <w:lang w:val="fr-FR"/>
        </w:rPr>
        <w:t>office récepteur, mais nous avons l</w:t>
      </w:r>
      <w:r w:rsidR="00D10BFC" w:rsidRPr="009349C2">
        <w:rPr>
          <w:lang w:val="fr-FR"/>
        </w:rPr>
        <w:t>’</w:t>
      </w:r>
      <w:r w:rsidRPr="009349C2">
        <w:rPr>
          <w:lang w:val="fr-FR"/>
        </w:rPr>
        <w:t xml:space="preserve">intention de les inclure </w:t>
      </w:r>
      <w:r w:rsidR="005E0219" w:rsidRPr="009349C2">
        <w:rPr>
          <w:lang w:val="fr-FR"/>
        </w:rPr>
        <w:t xml:space="preserve">toutes </w:t>
      </w:r>
      <w:r w:rsidRPr="009349C2">
        <w:rPr>
          <w:lang w:val="fr-FR"/>
        </w:rPr>
        <w:t xml:space="preserve">ensemble </w:t>
      </w:r>
      <w:r w:rsidR="00DB77BF" w:rsidRPr="009349C2">
        <w:rPr>
          <w:lang w:val="fr-FR"/>
        </w:rPr>
        <w:t>lors</w:t>
      </w:r>
      <w:r w:rsidRPr="009349C2">
        <w:rPr>
          <w:lang w:val="fr-FR"/>
        </w:rPr>
        <w:t xml:space="preserve"> </w:t>
      </w:r>
      <w:r w:rsidR="00DB77BF" w:rsidRPr="009349C2">
        <w:rPr>
          <w:lang w:val="fr-FR"/>
        </w:rPr>
        <w:t>du</w:t>
      </w:r>
      <w:r w:rsidRPr="009349C2">
        <w:rPr>
          <w:lang w:val="fr-FR"/>
        </w:rPr>
        <w:t xml:space="preserve"> renouvellement de la certification </w:t>
      </w:r>
      <w:r w:rsidR="00D10BFC" w:rsidRPr="009349C2">
        <w:rPr>
          <w:lang w:val="fr-FR"/>
        </w:rPr>
        <w:t>en 2018</w:t>
      </w:r>
      <w:r w:rsidRPr="009349C2">
        <w:rPr>
          <w:lang w:val="fr-FR"/>
        </w:rPr>
        <w:t xml:space="preserve"> (avec la transition logique vers la version ISO</w:t>
      </w:r>
      <w:r w:rsidR="00014DDB" w:rsidRPr="009349C2">
        <w:rPr>
          <w:lang w:val="fr-FR"/>
        </w:rPr>
        <w:t> </w:t>
      </w:r>
      <w:r w:rsidRPr="009349C2">
        <w:rPr>
          <w:lang w:val="fr-FR"/>
        </w:rPr>
        <w:t xml:space="preserve">9001:2015).  </w:t>
      </w:r>
      <w:r w:rsidR="002003E4" w:rsidRPr="009349C2">
        <w:rPr>
          <w:lang w:val="fr-FR"/>
        </w:rPr>
        <w:t>C</w:t>
      </w:r>
      <w:r w:rsidRPr="009349C2">
        <w:rPr>
          <w:lang w:val="fr-FR"/>
        </w:rPr>
        <w:t xml:space="preserve">haque </w:t>
      </w:r>
      <w:r w:rsidR="005E0219" w:rsidRPr="009349C2">
        <w:rPr>
          <w:lang w:val="fr-FR"/>
        </w:rPr>
        <w:t>activité</w:t>
      </w:r>
      <w:r w:rsidRPr="009349C2">
        <w:rPr>
          <w:lang w:val="fr-FR"/>
        </w:rPr>
        <w:t xml:space="preserve"> </w:t>
      </w:r>
      <w:r w:rsidR="002003E4" w:rsidRPr="009349C2">
        <w:rPr>
          <w:lang w:val="fr-FR"/>
        </w:rPr>
        <w:t>liée à la procédure menée par l</w:t>
      </w:r>
      <w:r w:rsidR="00D10BFC" w:rsidRPr="009349C2">
        <w:rPr>
          <w:lang w:val="fr-FR"/>
        </w:rPr>
        <w:t>’</w:t>
      </w:r>
      <w:r w:rsidR="002003E4" w:rsidRPr="009349C2">
        <w:rPr>
          <w:lang w:val="fr-FR"/>
        </w:rPr>
        <w:t>administration</w:t>
      </w:r>
      <w:r w:rsidRPr="009349C2">
        <w:rPr>
          <w:lang w:val="fr-FR"/>
        </w:rPr>
        <w:t xml:space="preserve"> </w:t>
      </w:r>
      <w:r w:rsidR="002003E4" w:rsidRPr="009349C2">
        <w:rPr>
          <w:lang w:val="fr-FR"/>
        </w:rPr>
        <w:t xml:space="preserve">chargée de la </w:t>
      </w:r>
      <w:r w:rsidRPr="009349C2">
        <w:rPr>
          <w:lang w:val="fr-FR"/>
        </w:rPr>
        <w:t>recherche internationa</w:t>
      </w:r>
      <w:r w:rsidR="00DB77BF" w:rsidRPr="009349C2">
        <w:rPr>
          <w:lang w:val="fr-FR"/>
        </w:rPr>
        <w:t>le et d</w:t>
      </w:r>
      <w:r w:rsidR="002003E4" w:rsidRPr="009349C2">
        <w:rPr>
          <w:lang w:val="fr-FR"/>
        </w:rPr>
        <w:t>e l</w:t>
      </w:r>
      <w:r w:rsidR="00D10BFC" w:rsidRPr="009349C2">
        <w:rPr>
          <w:lang w:val="fr-FR"/>
        </w:rPr>
        <w:t>’</w:t>
      </w:r>
      <w:r w:rsidRPr="009349C2">
        <w:rPr>
          <w:lang w:val="fr-FR"/>
        </w:rPr>
        <w:t xml:space="preserve">examen préliminaire international a </w:t>
      </w:r>
      <w:r w:rsidR="002003E4" w:rsidRPr="009349C2">
        <w:rPr>
          <w:lang w:val="fr-FR"/>
        </w:rPr>
        <w:t xml:space="preserve">donc </w:t>
      </w:r>
      <w:r w:rsidRPr="009349C2">
        <w:rPr>
          <w:lang w:val="fr-FR"/>
        </w:rPr>
        <w:t xml:space="preserve">été </w:t>
      </w:r>
      <w:r w:rsidR="005E0219" w:rsidRPr="009349C2">
        <w:rPr>
          <w:lang w:val="fr-FR"/>
        </w:rPr>
        <w:t>élaborée</w:t>
      </w:r>
      <w:r w:rsidR="00DB77BF" w:rsidRPr="009349C2">
        <w:rPr>
          <w:lang w:val="fr-FR"/>
        </w:rPr>
        <w:t xml:space="preserve"> en conséquence, </w:t>
      </w:r>
      <w:r w:rsidR="00D10BFC" w:rsidRPr="009349C2">
        <w:rPr>
          <w:lang w:val="fr-FR"/>
        </w:rPr>
        <w:t>y compris</w:t>
      </w:r>
      <w:r w:rsidR="002003E4" w:rsidRPr="009349C2">
        <w:rPr>
          <w:lang w:val="fr-FR"/>
        </w:rPr>
        <w:t xml:space="preserve"> en ce qui concerne</w:t>
      </w:r>
      <w:r w:rsidR="005E0219" w:rsidRPr="009349C2">
        <w:rPr>
          <w:lang w:val="fr-FR"/>
        </w:rPr>
        <w:t xml:space="preserve"> l</w:t>
      </w:r>
      <w:r w:rsidR="00D10BFC" w:rsidRPr="009349C2">
        <w:rPr>
          <w:lang w:val="fr-FR"/>
        </w:rPr>
        <w:t>’</w:t>
      </w:r>
      <w:r w:rsidR="005E0219" w:rsidRPr="009349C2">
        <w:rPr>
          <w:lang w:val="fr-FR"/>
        </w:rPr>
        <w:t>établissement</w:t>
      </w:r>
      <w:r w:rsidR="00DB77BF" w:rsidRPr="009349C2">
        <w:rPr>
          <w:lang w:val="fr-FR"/>
        </w:rPr>
        <w:t xml:space="preserve"> des </w:t>
      </w:r>
      <w:r w:rsidR="005E0219" w:rsidRPr="009349C2">
        <w:rPr>
          <w:lang w:val="fr-FR"/>
        </w:rPr>
        <w:t>dossiers</w:t>
      </w:r>
      <w:r w:rsidRPr="009349C2">
        <w:rPr>
          <w:lang w:val="fr-FR"/>
        </w:rPr>
        <w:t xml:space="preserve"> nécessaires et les mesures préventives et </w:t>
      </w:r>
      <w:r w:rsidR="005E0219" w:rsidRPr="009349C2">
        <w:rPr>
          <w:lang w:val="fr-FR"/>
        </w:rPr>
        <w:t>correctrices</w:t>
      </w:r>
      <w:r w:rsidRPr="009349C2">
        <w:rPr>
          <w:lang w:val="fr-FR"/>
        </w:rPr>
        <w:t xml:space="preserve">, </w:t>
      </w:r>
      <w:r w:rsidR="002003E4" w:rsidRPr="009349C2">
        <w:rPr>
          <w:lang w:val="fr-FR"/>
        </w:rPr>
        <w:t>de même que</w:t>
      </w:r>
      <w:r w:rsidR="00DB77BF" w:rsidRPr="009349C2">
        <w:rPr>
          <w:lang w:val="fr-FR"/>
        </w:rPr>
        <w:t xml:space="preserve"> la logique d</w:t>
      </w:r>
      <w:r w:rsidR="00D10BFC" w:rsidRPr="009349C2">
        <w:rPr>
          <w:lang w:val="fr-FR"/>
        </w:rPr>
        <w:t>’</w:t>
      </w:r>
      <w:r w:rsidRPr="009349C2">
        <w:rPr>
          <w:lang w:val="fr-FR"/>
        </w:rPr>
        <w:t xml:space="preserve">amélioration continue </w:t>
      </w:r>
      <w:r w:rsidR="005E0219" w:rsidRPr="009349C2">
        <w:rPr>
          <w:lang w:val="fr-FR"/>
        </w:rPr>
        <w:t>qui sous</w:t>
      </w:r>
      <w:r w:rsidR="00D10BFC" w:rsidRPr="009349C2">
        <w:rPr>
          <w:lang w:val="fr-FR"/>
        </w:rPr>
        <w:t>-</w:t>
      </w:r>
      <w:r w:rsidR="005E0219" w:rsidRPr="009349C2">
        <w:rPr>
          <w:lang w:val="fr-FR"/>
        </w:rPr>
        <w:t>tend la</w:t>
      </w:r>
      <w:r w:rsidRPr="009349C2">
        <w:rPr>
          <w:lang w:val="fr-FR"/>
        </w:rPr>
        <w:t xml:space="preserve"> norme</w:t>
      </w:r>
      <w:r w:rsidR="00450A58" w:rsidRPr="009349C2">
        <w:rPr>
          <w:lang w:val="fr-FR"/>
        </w:rPr>
        <w:t> </w:t>
      </w:r>
      <w:r w:rsidRPr="009349C2">
        <w:rPr>
          <w:lang w:val="fr-FR"/>
        </w:rPr>
        <w:t>ISO</w:t>
      </w:r>
      <w:r w:rsidR="00014DDB" w:rsidRPr="009349C2">
        <w:rPr>
          <w:lang w:val="fr-FR"/>
        </w:rPr>
        <w:t> </w:t>
      </w:r>
      <w:r w:rsidRPr="009349C2">
        <w:rPr>
          <w:lang w:val="fr-FR"/>
        </w:rPr>
        <w:t>9001.</w:t>
      </w:r>
      <w:r w:rsidR="00A80A18" w:rsidRPr="009349C2">
        <w:rPr>
          <w:lang w:val="fr-FR"/>
        </w:rPr>
        <w:t xml:space="preserve">  </w:t>
      </w:r>
      <w:r w:rsidR="006935A4" w:rsidRPr="009349C2">
        <w:rPr>
          <w:lang w:val="fr-FR"/>
        </w:rPr>
        <w:t xml:space="preserve">Ce système a commencé à fonctionner </w:t>
      </w:r>
      <w:r w:rsidR="002003E4" w:rsidRPr="009349C2">
        <w:rPr>
          <w:lang w:val="fr-FR"/>
        </w:rPr>
        <w:t>dès le début de notre mandat</w:t>
      </w:r>
      <w:r w:rsidR="006935A4" w:rsidRPr="009349C2">
        <w:rPr>
          <w:lang w:val="fr-FR"/>
        </w:rPr>
        <w:t xml:space="preserve"> en qualité d</w:t>
      </w:r>
      <w:r w:rsidR="00D10BFC" w:rsidRPr="009349C2">
        <w:rPr>
          <w:lang w:val="fr-FR"/>
        </w:rPr>
        <w:t>’</w:t>
      </w:r>
      <w:r w:rsidR="006935A4" w:rsidRPr="009349C2">
        <w:rPr>
          <w:lang w:val="fr-FR"/>
        </w:rPr>
        <w:t>administration chargée de la recherche internationale et de l</w:t>
      </w:r>
      <w:r w:rsidR="00D10BFC" w:rsidRPr="009349C2">
        <w:rPr>
          <w:lang w:val="fr-FR"/>
        </w:rPr>
        <w:t>’</w:t>
      </w:r>
      <w:r w:rsidR="006935A4" w:rsidRPr="009349C2">
        <w:rPr>
          <w:lang w:val="fr-FR"/>
        </w:rPr>
        <w:t>examen préliminaire international</w:t>
      </w:r>
      <w:r w:rsidR="005E0219" w:rsidRPr="009349C2">
        <w:rPr>
          <w:lang w:val="fr-FR"/>
        </w:rPr>
        <w:t>,</w:t>
      </w:r>
      <w:r w:rsidR="006935A4" w:rsidRPr="009349C2">
        <w:rPr>
          <w:lang w:val="fr-FR"/>
        </w:rPr>
        <w:t xml:space="preserve"> en </w:t>
      </w:r>
      <w:r w:rsidR="00D10BFC" w:rsidRPr="009349C2">
        <w:rPr>
          <w:lang w:val="fr-FR"/>
        </w:rPr>
        <w:t>octobre 20</w:t>
      </w:r>
      <w:r w:rsidR="006935A4" w:rsidRPr="009349C2">
        <w:rPr>
          <w:lang w:val="fr-FR"/>
        </w:rPr>
        <w:t xml:space="preserve">14, sachant que </w:t>
      </w:r>
      <w:r w:rsidR="002003E4" w:rsidRPr="009349C2">
        <w:rPr>
          <w:lang w:val="fr-FR"/>
        </w:rPr>
        <w:t>la procédure</w:t>
      </w:r>
      <w:r w:rsidR="006935A4" w:rsidRPr="009349C2">
        <w:rPr>
          <w:lang w:val="fr-FR"/>
        </w:rPr>
        <w:t xml:space="preserve"> </w:t>
      </w:r>
      <w:r w:rsidR="00EA2E77" w:rsidRPr="009349C2">
        <w:rPr>
          <w:lang w:val="fr-FR"/>
        </w:rPr>
        <w:t>relevait</w:t>
      </w:r>
      <w:r w:rsidR="006935A4" w:rsidRPr="009349C2">
        <w:rPr>
          <w:lang w:val="fr-FR"/>
        </w:rPr>
        <w:t xml:space="preserve"> initialement </w:t>
      </w:r>
      <w:r w:rsidR="00EA2E77" w:rsidRPr="009349C2">
        <w:rPr>
          <w:lang w:val="fr-FR"/>
        </w:rPr>
        <w:t>de</w:t>
      </w:r>
      <w:r w:rsidR="006935A4" w:rsidRPr="009349C2">
        <w:rPr>
          <w:lang w:val="fr-FR"/>
        </w:rPr>
        <w:t xml:space="preserve"> la logique ISO.</w:t>
      </w:r>
    </w:p>
    <w:p w:rsidR="00342BCA" w:rsidRPr="009349C2" w:rsidRDefault="00902B1B" w:rsidP="009349C2">
      <w:pPr>
        <w:pStyle w:val="SectionHeading"/>
        <w:rPr>
          <w:lang w:val="fr-FR"/>
        </w:rPr>
      </w:pPr>
      <w:r w:rsidRPr="009349C2">
        <w:rPr>
          <w:lang w:val="fr-FR"/>
        </w:rPr>
        <w:t>3 – Champ d’application visé</w:t>
      </w:r>
    </w:p>
    <w:p w:rsidR="00342BCA" w:rsidRPr="009349C2" w:rsidRDefault="008B12E8" w:rsidP="009349C2">
      <w:pPr>
        <w:jc w:val="both"/>
        <w:rPr>
          <w:b/>
          <w:bCs/>
          <w:szCs w:val="22"/>
          <w:lang w:val="fr-FR"/>
        </w:rPr>
      </w:pPr>
      <w:r w:rsidRPr="009349C2">
        <w:rPr>
          <w:b/>
          <w:bCs/>
          <w:szCs w:val="22"/>
          <w:lang w:val="fr-FR"/>
        </w:rPr>
        <w:t xml:space="preserve">Langue dans laquelle </w:t>
      </w:r>
      <w:r w:rsidR="006935A4" w:rsidRPr="009349C2">
        <w:rPr>
          <w:b/>
          <w:bCs/>
          <w:szCs w:val="22"/>
          <w:lang w:val="fr-FR"/>
        </w:rPr>
        <w:t>les services seraient offerts</w:t>
      </w:r>
      <w:r w:rsidR="00D10BFC" w:rsidRPr="009349C2">
        <w:rPr>
          <w:b/>
          <w:bCs/>
          <w:szCs w:val="22"/>
          <w:lang w:val="fr-FR"/>
        </w:rPr>
        <w:t> :</w:t>
      </w:r>
      <w:r w:rsidR="006935A4" w:rsidRPr="009349C2">
        <w:rPr>
          <w:bCs/>
          <w:szCs w:val="22"/>
          <w:lang w:val="fr-FR"/>
        </w:rPr>
        <w:t xml:space="preserve"> espagnol</w:t>
      </w:r>
    </w:p>
    <w:p w:rsidR="00342BCA" w:rsidRPr="009349C2" w:rsidRDefault="00342BCA" w:rsidP="009349C2">
      <w:pPr>
        <w:rPr>
          <w:szCs w:val="22"/>
          <w:lang w:val="fr-FR"/>
        </w:rPr>
      </w:pPr>
    </w:p>
    <w:p w:rsidR="00342BCA" w:rsidRPr="009349C2" w:rsidRDefault="008B12E8" w:rsidP="009349C2">
      <w:pPr>
        <w:rPr>
          <w:bCs/>
          <w:szCs w:val="22"/>
          <w:lang w:val="fr-FR"/>
        </w:rPr>
      </w:pPr>
      <w:r w:rsidRPr="009349C2">
        <w:rPr>
          <w:b/>
          <w:lang w:val="fr-FR"/>
        </w:rPr>
        <w:t>États ou offices récepteurs pour lesquels l</w:t>
      </w:r>
      <w:r w:rsidR="00D10BFC" w:rsidRPr="009349C2">
        <w:rPr>
          <w:b/>
          <w:lang w:val="fr-FR"/>
        </w:rPr>
        <w:t>’</w:t>
      </w:r>
      <w:r w:rsidRPr="009349C2">
        <w:rPr>
          <w:b/>
          <w:lang w:val="fr-FR"/>
        </w:rPr>
        <w:t>administration serait compétente</w:t>
      </w:r>
      <w:r w:rsidR="00D10BFC" w:rsidRPr="009349C2">
        <w:rPr>
          <w:b/>
          <w:lang w:val="fr-FR"/>
        </w:rPr>
        <w:t> :</w:t>
      </w:r>
      <w:r w:rsidR="00902B1B" w:rsidRPr="009349C2">
        <w:rPr>
          <w:lang w:val="fr-FR"/>
        </w:rPr>
        <w:t xml:space="preserve"> p</w:t>
      </w:r>
      <w:r w:rsidRPr="009349C2">
        <w:rPr>
          <w:lang w:val="fr-FR"/>
        </w:rPr>
        <w:t>ays d</w:t>
      </w:r>
      <w:r w:rsidR="00D10BFC" w:rsidRPr="009349C2">
        <w:rPr>
          <w:lang w:val="fr-FR"/>
        </w:rPr>
        <w:t>’</w:t>
      </w:r>
      <w:r w:rsidRPr="009349C2">
        <w:rPr>
          <w:lang w:val="fr-FR"/>
        </w:rPr>
        <w:t>Amérique latine et des Caraïb</w:t>
      </w:r>
      <w:r w:rsidR="00403B14" w:rsidRPr="009349C2">
        <w:rPr>
          <w:lang w:val="fr-FR"/>
        </w:rPr>
        <w:t>es.  Ac</w:t>
      </w:r>
      <w:r w:rsidRPr="009349C2">
        <w:rPr>
          <w:lang w:val="fr-FR"/>
        </w:rPr>
        <w:t>tuellement, l</w:t>
      </w:r>
      <w:r w:rsidR="00D10BFC" w:rsidRPr="009349C2">
        <w:rPr>
          <w:lang w:val="fr-FR"/>
        </w:rPr>
        <w:t>’</w:t>
      </w:r>
      <w:r w:rsidRPr="009349C2">
        <w:rPr>
          <w:lang w:val="fr-FR"/>
        </w:rPr>
        <w:t>INAPI a été désignée comme</w:t>
      </w:r>
      <w:r w:rsidR="00663702" w:rsidRPr="009349C2">
        <w:rPr>
          <w:lang w:val="fr-FR"/>
        </w:rPr>
        <w:t xml:space="preserve"> organisme</w:t>
      </w:r>
      <w:r w:rsidRPr="009349C2">
        <w:rPr>
          <w:lang w:val="fr-FR"/>
        </w:rPr>
        <w:t xml:space="preserve"> pouvant agir en qualité d</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examen préliminaire international pour 11 pays</w:t>
      </w:r>
      <w:r w:rsidR="00D10BFC" w:rsidRPr="009349C2">
        <w:rPr>
          <w:lang w:val="fr-FR"/>
        </w:rPr>
        <w:t> :</w:t>
      </w:r>
      <w:r w:rsidRPr="009349C2">
        <w:rPr>
          <w:lang w:val="fr-FR"/>
        </w:rPr>
        <w:t xml:space="preserve"> Chili, Pérou, Équateur, Colombie, Panama, Cuba, République dominicaine, Guatemala, Costa Rica, </w:t>
      </w:r>
      <w:r w:rsidR="00902B1B" w:rsidRPr="009349C2">
        <w:rPr>
          <w:lang w:val="fr-FR"/>
        </w:rPr>
        <w:t>El </w:t>
      </w:r>
      <w:r w:rsidRPr="009349C2">
        <w:rPr>
          <w:lang w:val="fr-FR"/>
        </w:rPr>
        <w:t>Salvador et Mexique.</w:t>
      </w:r>
    </w:p>
    <w:p w:rsidR="00342BCA" w:rsidRPr="009349C2" w:rsidRDefault="00342BCA" w:rsidP="009349C2">
      <w:pPr>
        <w:rPr>
          <w:szCs w:val="22"/>
          <w:lang w:val="fr-FR"/>
        </w:rPr>
      </w:pPr>
    </w:p>
    <w:p w:rsidR="00D10BFC" w:rsidRPr="009349C2" w:rsidRDefault="008B12E8" w:rsidP="009349C2">
      <w:pPr>
        <w:rPr>
          <w:lang w:val="fr-FR"/>
        </w:rPr>
      </w:pPr>
      <w:r w:rsidRPr="009349C2">
        <w:rPr>
          <w:b/>
          <w:lang w:val="fr-FR"/>
        </w:rPr>
        <w:t>Limitations du champ d</w:t>
      </w:r>
      <w:r w:rsidR="00D10BFC" w:rsidRPr="009349C2">
        <w:rPr>
          <w:b/>
          <w:lang w:val="fr-FR"/>
        </w:rPr>
        <w:t>’</w:t>
      </w:r>
      <w:r w:rsidRPr="009349C2">
        <w:rPr>
          <w:b/>
          <w:lang w:val="fr-FR"/>
        </w:rPr>
        <w:t>application</w:t>
      </w:r>
      <w:r w:rsidR="00D10BFC" w:rsidRPr="009349C2">
        <w:rPr>
          <w:b/>
          <w:lang w:val="fr-FR"/>
        </w:rPr>
        <w:t> :</w:t>
      </w:r>
      <w:r w:rsidR="00902B1B" w:rsidRPr="009349C2">
        <w:rPr>
          <w:lang w:val="fr-FR"/>
        </w:rPr>
        <w:t xml:space="preserve"> l</w:t>
      </w:r>
      <w:r w:rsidR="00D10BFC" w:rsidRPr="009349C2">
        <w:rPr>
          <w:lang w:val="fr-FR"/>
        </w:rPr>
        <w:t>’</w:t>
      </w:r>
      <w:r w:rsidRPr="009349C2">
        <w:rPr>
          <w:lang w:val="fr-FR"/>
        </w:rPr>
        <w:t>INAPI n</w:t>
      </w:r>
      <w:r w:rsidR="00D10BFC" w:rsidRPr="009349C2">
        <w:rPr>
          <w:lang w:val="fr-FR"/>
        </w:rPr>
        <w:t>’</w:t>
      </w:r>
      <w:r w:rsidRPr="009349C2">
        <w:rPr>
          <w:lang w:val="fr-FR"/>
        </w:rPr>
        <w:t xml:space="preserve">effectue pas de recherche internationale </w:t>
      </w:r>
      <w:r w:rsidR="00663702" w:rsidRPr="009349C2">
        <w:rPr>
          <w:lang w:val="fr-FR"/>
        </w:rPr>
        <w:t xml:space="preserve">ni </w:t>
      </w:r>
      <w:r w:rsidRPr="009349C2">
        <w:rPr>
          <w:lang w:val="fr-FR"/>
        </w:rPr>
        <w:t>d</w:t>
      </w:r>
      <w:r w:rsidR="00D10BFC" w:rsidRPr="009349C2">
        <w:rPr>
          <w:lang w:val="fr-FR"/>
        </w:rPr>
        <w:t>’</w:t>
      </w:r>
      <w:r w:rsidRPr="009349C2">
        <w:rPr>
          <w:lang w:val="fr-FR"/>
        </w:rPr>
        <w:t>examen préliminaire pour des demandes déposées dans des langues autres que l</w:t>
      </w:r>
      <w:r w:rsidR="00D10BFC" w:rsidRPr="009349C2">
        <w:rPr>
          <w:lang w:val="fr-FR"/>
        </w:rPr>
        <w:t>’</w:t>
      </w:r>
      <w:r w:rsidRPr="009349C2">
        <w:rPr>
          <w:lang w:val="fr-FR"/>
        </w:rPr>
        <w:t>espagnol.</w:t>
      </w:r>
    </w:p>
    <w:p w:rsidR="00342BCA" w:rsidRPr="009349C2" w:rsidRDefault="00342BCA" w:rsidP="009349C2">
      <w:pPr>
        <w:rPr>
          <w:lang w:val="fr-FR"/>
        </w:rPr>
      </w:pPr>
    </w:p>
    <w:p w:rsidR="00342BCA" w:rsidRPr="009349C2" w:rsidRDefault="008B12E8" w:rsidP="009349C2">
      <w:pPr>
        <w:rPr>
          <w:lang w:val="fr-FR"/>
        </w:rPr>
      </w:pPr>
      <w:r w:rsidRPr="009349C2">
        <w:rPr>
          <w:lang w:val="fr-FR"/>
        </w:rPr>
        <w:t>Quant à l</w:t>
      </w:r>
      <w:r w:rsidR="00D10BFC" w:rsidRPr="009349C2">
        <w:rPr>
          <w:lang w:val="fr-FR"/>
        </w:rPr>
        <w:t>’</w:t>
      </w:r>
      <w:r w:rsidRPr="009349C2">
        <w:rPr>
          <w:lang w:val="fr-FR"/>
        </w:rPr>
        <w:t>objet non exclu de la recherche ou de l</w:t>
      </w:r>
      <w:r w:rsidR="00D10BFC" w:rsidRPr="009349C2">
        <w:rPr>
          <w:lang w:val="fr-FR"/>
        </w:rPr>
        <w:t>’</w:t>
      </w:r>
      <w:r w:rsidRPr="009349C2">
        <w:rPr>
          <w:lang w:val="fr-FR"/>
        </w:rPr>
        <w:t>examen, il se rapport</w:t>
      </w:r>
      <w:r w:rsidR="00663702" w:rsidRPr="009349C2">
        <w:rPr>
          <w:lang w:val="fr-FR"/>
        </w:rPr>
        <w:t>e</w:t>
      </w:r>
      <w:r w:rsidRPr="009349C2">
        <w:rPr>
          <w:lang w:val="fr-FR"/>
        </w:rPr>
        <w:t xml:space="preserve"> à tout objet </w:t>
      </w:r>
      <w:r w:rsidR="00E37A4B" w:rsidRPr="009349C2">
        <w:rPr>
          <w:lang w:val="fr-FR"/>
        </w:rPr>
        <w:t>soumis à une</w:t>
      </w:r>
      <w:r w:rsidRPr="009349C2">
        <w:rPr>
          <w:lang w:val="fr-FR"/>
        </w:rPr>
        <w:t xml:space="preserve"> recherche ou </w:t>
      </w:r>
      <w:r w:rsidR="00E37A4B" w:rsidRPr="009349C2">
        <w:rPr>
          <w:lang w:val="fr-FR"/>
        </w:rPr>
        <w:t xml:space="preserve">à </w:t>
      </w:r>
      <w:r w:rsidRPr="009349C2">
        <w:rPr>
          <w:lang w:val="fr-FR"/>
        </w:rPr>
        <w:t xml:space="preserve">un examen dans </w:t>
      </w:r>
      <w:r w:rsidR="00E37A4B" w:rsidRPr="009349C2">
        <w:rPr>
          <w:lang w:val="fr-FR"/>
        </w:rPr>
        <w:t>le cadre de</w:t>
      </w:r>
      <w:r w:rsidRPr="009349C2">
        <w:rPr>
          <w:lang w:val="fr-FR"/>
        </w:rPr>
        <w:t xml:space="preserve"> demandes nationales chiliennes.</w:t>
      </w:r>
    </w:p>
    <w:p w:rsidR="00342BCA" w:rsidRPr="009349C2" w:rsidRDefault="008B12E8" w:rsidP="009349C2">
      <w:pPr>
        <w:pStyle w:val="SectionHeading"/>
        <w:rPr>
          <w:lang w:val="fr-FR"/>
        </w:rPr>
      </w:pPr>
      <w:r w:rsidRPr="009349C2">
        <w:rPr>
          <w:lang w:val="fr-FR"/>
        </w:rPr>
        <w:t>4 – Énoncé des motivations</w:t>
      </w:r>
    </w:p>
    <w:p w:rsidR="00D10BFC" w:rsidRPr="009349C2" w:rsidRDefault="00EB00DE" w:rsidP="009349C2">
      <w:pPr>
        <w:rPr>
          <w:lang w:val="fr-FR"/>
        </w:rPr>
      </w:pPr>
      <w:r w:rsidRPr="009349C2">
        <w:rPr>
          <w:lang w:val="fr-FR"/>
        </w:rPr>
        <w:t>La création de l</w:t>
      </w:r>
      <w:r w:rsidR="00D10BFC" w:rsidRPr="009349C2">
        <w:rPr>
          <w:lang w:val="fr-FR"/>
        </w:rPr>
        <w:t>’</w:t>
      </w:r>
      <w:r w:rsidRPr="009349C2">
        <w:rPr>
          <w:lang w:val="fr-FR"/>
        </w:rPr>
        <w:t xml:space="preserve">INAPI, tout comme les travaux </w:t>
      </w:r>
      <w:r w:rsidR="00DD4FB8" w:rsidRPr="009349C2">
        <w:rPr>
          <w:lang w:val="fr-FR"/>
        </w:rPr>
        <w:t>menés</w:t>
      </w:r>
      <w:r w:rsidRPr="009349C2">
        <w:rPr>
          <w:lang w:val="fr-FR"/>
        </w:rPr>
        <w:t xml:space="preserve"> depuis son établissement, ont contribué à franchir une nouvelle étape dans le processus de transformation du système de la propriété intellectuelle au Chi</w:t>
      </w:r>
      <w:r w:rsidR="00403B14" w:rsidRPr="009349C2">
        <w:rPr>
          <w:lang w:val="fr-FR"/>
        </w:rPr>
        <w:t>li.  Da</w:t>
      </w:r>
      <w:r w:rsidR="00E37A4B" w:rsidRPr="009349C2">
        <w:rPr>
          <w:lang w:val="fr-FR"/>
        </w:rPr>
        <w:t>ns ce contexte, l</w:t>
      </w:r>
      <w:r w:rsidR="00D10BFC" w:rsidRPr="009349C2">
        <w:rPr>
          <w:lang w:val="fr-FR"/>
        </w:rPr>
        <w:t>’</w:t>
      </w:r>
      <w:r w:rsidR="00E37A4B" w:rsidRPr="009349C2">
        <w:rPr>
          <w:lang w:val="fr-FR"/>
        </w:rPr>
        <w:t>INAPI est devenu un office moderne et efficace capable non seulement de fournir des services de qualité, mais aussi d</w:t>
      </w:r>
      <w:r w:rsidR="00D10BFC" w:rsidRPr="009349C2">
        <w:rPr>
          <w:lang w:val="fr-FR"/>
        </w:rPr>
        <w:t>’</w:t>
      </w:r>
      <w:r w:rsidR="00E37A4B" w:rsidRPr="009349C2">
        <w:rPr>
          <w:lang w:val="fr-FR"/>
        </w:rPr>
        <w:t>interagir de manière constructive avec le système international de la propriété intellectuelle dans son ensemble.</w:t>
      </w:r>
    </w:p>
    <w:p w:rsidR="00342BCA" w:rsidRPr="009349C2" w:rsidRDefault="00342BCA" w:rsidP="009349C2">
      <w:pPr>
        <w:rPr>
          <w:lang w:val="fr-FR"/>
        </w:rPr>
      </w:pPr>
    </w:p>
    <w:p w:rsidR="00D10BFC" w:rsidRPr="009349C2" w:rsidRDefault="00E37A4B" w:rsidP="009349C2">
      <w:pPr>
        <w:rPr>
          <w:lang w:val="fr-FR"/>
        </w:rPr>
      </w:pPr>
      <w:r w:rsidRPr="009349C2">
        <w:rPr>
          <w:lang w:val="fr-FR"/>
        </w:rPr>
        <w:t>L</w:t>
      </w:r>
      <w:r w:rsidR="00D10BFC" w:rsidRPr="009349C2">
        <w:rPr>
          <w:lang w:val="fr-FR"/>
        </w:rPr>
        <w:t>’</w:t>
      </w:r>
      <w:r w:rsidRPr="009349C2">
        <w:rPr>
          <w:lang w:val="fr-FR"/>
        </w:rPr>
        <w:t xml:space="preserve">INAPI est fermement </w:t>
      </w:r>
      <w:proofErr w:type="gramStart"/>
      <w:r w:rsidRPr="009349C2">
        <w:rPr>
          <w:lang w:val="fr-FR"/>
        </w:rPr>
        <w:t>convaincu</w:t>
      </w:r>
      <w:proofErr w:type="gramEnd"/>
      <w:r w:rsidRPr="009349C2">
        <w:rPr>
          <w:lang w:val="fr-FR"/>
        </w:rPr>
        <w:t xml:space="preserve"> de l</w:t>
      </w:r>
      <w:r w:rsidR="00D10BFC" w:rsidRPr="009349C2">
        <w:rPr>
          <w:lang w:val="fr-FR"/>
        </w:rPr>
        <w:t>’</w:t>
      </w:r>
      <w:r w:rsidRPr="009349C2">
        <w:rPr>
          <w:lang w:val="fr-FR"/>
        </w:rPr>
        <w:t>importance du système international de la propriété intellectuelle pour promouvoir l</w:t>
      </w:r>
      <w:r w:rsidR="00D10BFC" w:rsidRPr="009349C2">
        <w:rPr>
          <w:lang w:val="fr-FR"/>
        </w:rPr>
        <w:t>’</w:t>
      </w:r>
      <w:r w:rsidRPr="009349C2">
        <w:rPr>
          <w:lang w:val="fr-FR"/>
        </w:rPr>
        <w:t>innovation et l</w:t>
      </w:r>
      <w:r w:rsidR="00D10BFC" w:rsidRPr="009349C2">
        <w:rPr>
          <w:lang w:val="fr-FR"/>
        </w:rPr>
        <w:t>’</w:t>
      </w:r>
      <w:r w:rsidRPr="009349C2">
        <w:rPr>
          <w:lang w:val="fr-FR"/>
        </w:rPr>
        <w:t>esprit d</w:t>
      </w:r>
      <w:r w:rsidR="00D10BFC" w:rsidRPr="009349C2">
        <w:rPr>
          <w:lang w:val="fr-FR"/>
        </w:rPr>
        <w:t>’</w:t>
      </w:r>
      <w:r w:rsidRPr="009349C2">
        <w:rPr>
          <w:lang w:val="fr-FR"/>
        </w:rPr>
        <w:t>entrepri</w:t>
      </w:r>
      <w:r w:rsidR="00403B14" w:rsidRPr="009349C2">
        <w:rPr>
          <w:lang w:val="fr-FR"/>
        </w:rPr>
        <w:t>se.  Le</w:t>
      </w:r>
      <w:r w:rsidRPr="009349C2">
        <w:rPr>
          <w:lang w:val="fr-FR"/>
        </w:rPr>
        <w:t xml:space="preserve"> Traité de coopération en matière de brevets (PCT) jouant un rôle clé dans ce contexte, l</w:t>
      </w:r>
      <w:r w:rsidR="00D10BFC" w:rsidRPr="009349C2">
        <w:rPr>
          <w:lang w:val="fr-FR"/>
        </w:rPr>
        <w:t>’</w:t>
      </w:r>
      <w:r w:rsidRPr="009349C2">
        <w:rPr>
          <w:lang w:val="fr-FR"/>
        </w:rPr>
        <w:t>INAPI a fait de sa mise en œuvre une priorité stratégique depuis l</w:t>
      </w:r>
      <w:r w:rsidR="00D10BFC" w:rsidRPr="009349C2">
        <w:rPr>
          <w:lang w:val="fr-FR"/>
        </w:rPr>
        <w:t>’</w:t>
      </w:r>
      <w:r w:rsidRPr="009349C2">
        <w:rPr>
          <w:lang w:val="fr-FR"/>
        </w:rPr>
        <w:t>entrée en vigueur du traité au Chili.</w:t>
      </w:r>
    </w:p>
    <w:p w:rsidR="00342BCA" w:rsidRPr="009349C2" w:rsidRDefault="00342BCA" w:rsidP="009349C2">
      <w:pPr>
        <w:rPr>
          <w:lang w:val="fr-FR"/>
        </w:rPr>
      </w:pPr>
    </w:p>
    <w:p w:rsidR="00D10BFC" w:rsidRPr="009349C2" w:rsidRDefault="00E37A4B" w:rsidP="009349C2">
      <w:pPr>
        <w:rPr>
          <w:lang w:val="fr-FR"/>
        </w:rPr>
      </w:pPr>
      <w:r w:rsidRPr="009349C2">
        <w:rPr>
          <w:lang w:val="fr-FR"/>
        </w:rPr>
        <w:t>Le Gouvernement chilien voit dans le PCT une possibilité concrète pour les États membres d</w:t>
      </w:r>
      <w:r w:rsidR="00D10BFC" w:rsidRPr="009349C2">
        <w:rPr>
          <w:lang w:val="fr-FR"/>
        </w:rPr>
        <w:t>’</w:t>
      </w:r>
      <w:r w:rsidRPr="009349C2">
        <w:rPr>
          <w:lang w:val="fr-FR"/>
        </w:rPr>
        <w:t>interagir et d</w:t>
      </w:r>
      <w:r w:rsidR="00D10BFC" w:rsidRPr="009349C2">
        <w:rPr>
          <w:lang w:val="fr-FR"/>
        </w:rPr>
        <w:t>’</w:t>
      </w:r>
      <w:r w:rsidRPr="009349C2">
        <w:rPr>
          <w:lang w:val="fr-FR"/>
        </w:rPr>
        <w:t>apporter une contribution réelle au système, en le rendant plus attrayant et plus accessible pour tous les utilisateu</w:t>
      </w:r>
      <w:r w:rsidR="00403B14" w:rsidRPr="009349C2">
        <w:rPr>
          <w:lang w:val="fr-FR"/>
        </w:rPr>
        <w:t>rs.  Il</w:t>
      </w:r>
      <w:r w:rsidRPr="009349C2">
        <w:rPr>
          <w:lang w:val="fr-FR"/>
        </w:rPr>
        <w:t xml:space="preserve"> est d</w:t>
      </w:r>
      <w:r w:rsidR="00D10BFC" w:rsidRPr="009349C2">
        <w:rPr>
          <w:lang w:val="fr-FR"/>
        </w:rPr>
        <w:t>’</w:t>
      </w:r>
      <w:r w:rsidRPr="009349C2">
        <w:rPr>
          <w:lang w:val="fr-FR"/>
        </w:rPr>
        <w:t>avis que renouveler la nomination de l</w:t>
      </w:r>
      <w:r w:rsidR="00D10BFC" w:rsidRPr="009349C2">
        <w:rPr>
          <w:lang w:val="fr-FR"/>
        </w:rPr>
        <w:t>’</w:t>
      </w:r>
      <w:r w:rsidRPr="009349C2">
        <w:rPr>
          <w:lang w:val="fr-FR"/>
        </w:rPr>
        <w:t>INAPI en qualité d</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examen préliminaire international pourrait contribuer au développement du système dans la région, tout en encourageant les dépôts de demandes selon le PCT en Amérique lati</w:t>
      </w:r>
      <w:r w:rsidR="00403B14" w:rsidRPr="009349C2">
        <w:rPr>
          <w:lang w:val="fr-FR"/>
        </w:rPr>
        <w:t>ne.  Ce</w:t>
      </w:r>
      <w:r w:rsidRPr="009349C2">
        <w:rPr>
          <w:lang w:val="fr-FR"/>
        </w:rPr>
        <w:t>la est d</w:t>
      </w:r>
      <w:r w:rsidR="00D10BFC" w:rsidRPr="009349C2">
        <w:rPr>
          <w:lang w:val="fr-FR"/>
        </w:rPr>
        <w:t>’</w:t>
      </w:r>
      <w:r w:rsidRPr="009349C2">
        <w:rPr>
          <w:lang w:val="fr-FR"/>
        </w:rPr>
        <w:t>autant plus important que les nouveaux dépôts n</w:t>
      </w:r>
      <w:r w:rsidR="00D10BFC" w:rsidRPr="009349C2">
        <w:rPr>
          <w:lang w:val="fr-FR"/>
        </w:rPr>
        <w:t>’</w:t>
      </w:r>
      <w:r w:rsidRPr="009349C2">
        <w:rPr>
          <w:lang w:val="fr-FR"/>
        </w:rPr>
        <w:t>ont augmenté que de 4,8% entre 2005 et 2010, taux nettement inférieur à celui d</w:t>
      </w:r>
      <w:r w:rsidR="00D10BFC" w:rsidRPr="009349C2">
        <w:rPr>
          <w:lang w:val="fr-FR"/>
        </w:rPr>
        <w:t>’</w:t>
      </w:r>
      <w:r w:rsidRPr="009349C2">
        <w:rPr>
          <w:lang w:val="fr-FR"/>
        </w:rPr>
        <w:t>autres régions comme l</w:t>
      </w:r>
      <w:r w:rsidR="00D10BFC" w:rsidRPr="009349C2">
        <w:rPr>
          <w:lang w:val="fr-FR"/>
        </w:rPr>
        <w:t>’</w:t>
      </w:r>
      <w:r w:rsidRPr="009349C2">
        <w:rPr>
          <w:lang w:val="fr-FR"/>
        </w:rPr>
        <w:t>Asie, où le nombre de dépôts selon le PCT s</w:t>
      </w:r>
      <w:r w:rsidR="00D10BFC" w:rsidRPr="009349C2">
        <w:rPr>
          <w:lang w:val="fr-FR"/>
        </w:rPr>
        <w:t>’</w:t>
      </w:r>
      <w:r w:rsidRPr="009349C2">
        <w:rPr>
          <w:lang w:val="fr-FR"/>
        </w:rPr>
        <w:t>est accru de 10,9% pendant la même période.</w:t>
      </w:r>
    </w:p>
    <w:p w:rsidR="00342BCA" w:rsidRPr="009349C2" w:rsidRDefault="00342BCA" w:rsidP="009349C2">
      <w:pPr>
        <w:rPr>
          <w:lang w:val="fr-FR"/>
        </w:rPr>
      </w:pPr>
    </w:p>
    <w:p w:rsidR="00D10BFC" w:rsidRPr="009349C2" w:rsidRDefault="00E37A4B" w:rsidP="009349C2">
      <w:pPr>
        <w:rPr>
          <w:lang w:val="fr-FR"/>
        </w:rPr>
      </w:pPr>
      <w:r w:rsidRPr="009349C2">
        <w:rPr>
          <w:lang w:val="fr-FR"/>
        </w:rPr>
        <w:t>L</w:t>
      </w:r>
      <w:r w:rsidR="00D10BFC" w:rsidRPr="009349C2">
        <w:rPr>
          <w:lang w:val="fr-FR"/>
        </w:rPr>
        <w:t>’</w:t>
      </w:r>
      <w:r w:rsidRPr="009349C2">
        <w:rPr>
          <w:lang w:val="fr-FR"/>
        </w:rPr>
        <w:t>INAPI estime par ailleurs que, en tant qu</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examen préliminaire international de langue espagnole, il joue un rôle utile auprès des pays de la région de l</w:t>
      </w:r>
      <w:r w:rsidR="00D10BFC" w:rsidRPr="009349C2">
        <w:rPr>
          <w:lang w:val="fr-FR"/>
        </w:rPr>
        <w:t>’</w:t>
      </w:r>
      <w:r w:rsidRPr="009349C2">
        <w:rPr>
          <w:lang w:val="fr-FR"/>
        </w:rPr>
        <w:t>Amérique latine qui n</w:t>
      </w:r>
      <w:r w:rsidR="00D10BFC" w:rsidRPr="009349C2">
        <w:rPr>
          <w:lang w:val="fr-FR"/>
        </w:rPr>
        <w:t>’</w:t>
      </w:r>
      <w:r w:rsidRPr="009349C2">
        <w:rPr>
          <w:lang w:val="fr-FR"/>
        </w:rPr>
        <w:t>ont pas encore adhéré au Traité ou qui envisagent de le fai</w:t>
      </w:r>
      <w:r w:rsidR="00403B14" w:rsidRPr="009349C2">
        <w:rPr>
          <w:lang w:val="fr-FR"/>
        </w:rPr>
        <w:t>re.  La</w:t>
      </w:r>
      <w:r w:rsidRPr="009349C2">
        <w:rPr>
          <w:lang w:val="fr-FR"/>
        </w:rPr>
        <w:t xml:space="preserve"> participation active de l</w:t>
      </w:r>
      <w:r w:rsidR="00D10BFC" w:rsidRPr="009349C2">
        <w:rPr>
          <w:lang w:val="fr-FR"/>
        </w:rPr>
        <w:t>’</w:t>
      </w:r>
      <w:r w:rsidRPr="009349C2">
        <w:rPr>
          <w:lang w:val="fr-FR"/>
        </w:rPr>
        <w:t>INAPI dans toutes les instances du système du PCT lui permet de partager son expérience et d</w:t>
      </w:r>
      <w:r w:rsidR="00D10BFC" w:rsidRPr="009349C2">
        <w:rPr>
          <w:lang w:val="fr-FR"/>
        </w:rPr>
        <w:t>’</w:t>
      </w:r>
      <w:r w:rsidRPr="009349C2">
        <w:rPr>
          <w:lang w:val="fr-FR"/>
        </w:rPr>
        <w:t>aider les pays qui mettent en œuvre le système ou qui souhaitent y adhér</w:t>
      </w:r>
      <w:r w:rsidR="00403B14" w:rsidRPr="009349C2">
        <w:rPr>
          <w:lang w:val="fr-FR"/>
        </w:rPr>
        <w:t>er.  Do</w:t>
      </w:r>
      <w:r w:rsidRPr="009349C2">
        <w:rPr>
          <w:lang w:val="fr-FR"/>
        </w:rPr>
        <w:t>ter la région d</w:t>
      </w:r>
      <w:r w:rsidR="00D10BFC" w:rsidRPr="009349C2">
        <w:rPr>
          <w:lang w:val="fr-FR"/>
        </w:rPr>
        <w:t>’</w:t>
      </w:r>
      <w:r w:rsidRPr="009349C2">
        <w:rPr>
          <w:lang w:val="fr-FR"/>
        </w:rPr>
        <w:t>une administration de langue espagnole habilitée à effectuer des recherches internationales et des examens préliminaire</w:t>
      </w:r>
      <w:r w:rsidR="00014DDB" w:rsidRPr="009349C2">
        <w:rPr>
          <w:lang w:val="fr-FR"/>
        </w:rPr>
        <w:t xml:space="preserve">s </w:t>
      </w:r>
      <w:r w:rsidRPr="009349C2">
        <w:rPr>
          <w:lang w:val="fr-FR"/>
        </w:rPr>
        <w:t>internationaux profite sans aucun doute au système tout entier.</w:t>
      </w:r>
    </w:p>
    <w:p w:rsidR="00342BCA" w:rsidRPr="009349C2" w:rsidRDefault="00342BCA" w:rsidP="009349C2">
      <w:pPr>
        <w:rPr>
          <w:lang w:val="fr-FR"/>
        </w:rPr>
      </w:pPr>
    </w:p>
    <w:p w:rsidR="00D10BFC" w:rsidRPr="009349C2" w:rsidRDefault="00E37A4B" w:rsidP="009349C2">
      <w:pPr>
        <w:rPr>
          <w:lang w:val="fr-FR"/>
        </w:rPr>
      </w:pPr>
      <w:r w:rsidRPr="009349C2">
        <w:rPr>
          <w:lang w:val="fr-FR"/>
        </w:rPr>
        <w:t>En ce sens, et dans l</w:t>
      </w:r>
      <w:r w:rsidR="00D10BFC" w:rsidRPr="009349C2">
        <w:rPr>
          <w:lang w:val="fr-FR"/>
        </w:rPr>
        <w:t>’</w:t>
      </w:r>
      <w:r w:rsidRPr="009349C2">
        <w:rPr>
          <w:lang w:val="fr-FR"/>
        </w:rPr>
        <w:t>objectif stratégique de promouvoir l</w:t>
      </w:r>
      <w:r w:rsidR="00D10BFC" w:rsidRPr="009349C2">
        <w:rPr>
          <w:lang w:val="fr-FR"/>
        </w:rPr>
        <w:t>’</w:t>
      </w:r>
      <w:r w:rsidRPr="009349C2">
        <w:rPr>
          <w:lang w:val="fr-FR"/>
        </w:rPr>
        <w:t>utilisation du système dans son ensemble, le Gouvernement chilien considère que l</w:t>
      </w:r>
      <w:r w:rsidR="00D10BFC" w:rsidRPr="009349C2">
        <w:rPr>
          <w:lang w:val="fr-FR"/>
        </w:rPr>
        <w:t>’</w:t>
      </w:r>
      <w:r w:rsidRPr="009349C2">
        <w:rPr>
          <w:lang w:val="fr-FR"/>
        </w:rPr>
        <w:t>existence d</w:t>
      </w:r>
      <w:r w:rsidR="00D10BFC" w:rsidRPr="009349C2">
        <w:rPr>
          <w:lang w:val="fr-FR"/>
        </w:rPr>
        <w:t>’</w:t>
      </w:r>
      <w:r w:rsidRPr="009349C2">
        <w:rPr>
          <w:lang w:val="fr-FR"/>
        </w:rPr>
        <w:t>une administration chargée de la recherche internationale et de l</w:t>
      </w:r>
      <w:r w:rsidR="00D10BFC" w:rsidRPr="009349C2">
        <w:rPr>
          <w:lang w:val="fr-FR"/>
        </w:rPr>
        <w:t>’</w:t>
      </w:r>
      <w:r w:rsidRPr="009349C2">
        <w:rPr>
          <w:lang w:val="fr-FR"/>
        </w:rPr>
        <w:t>examen préliminaire international dans la région de l</w:t>
      </w:r>
      <w:r w:rsidR="00D10BFC" w:rsidRPr="009349C2">
        <w:rPr>
          <w:lang w:val="fr-FR"/>
        </w:rPr>
        <w:t>’</w:t>
      </w:r>
      <w:r w:rsidRPr="009349C2">
        <w:rPr>
          <w:lang w:val="fr-FR"/>
        </w:rPr>
        <w:t>Amérique latine est actuellement cruciale pour éviter d</w:t>
      </w:r>
      <w:r w:rsidR="00D10BFC" w:rsidRPr="009349C2">
        <w:rPr>
          <w:lang w:val="fr-FR"/>
        </w:rPr>
        <w:t>’</w:t>
      </w:r>
      <w:r w:rsidRPr="009349C2">
        <w:rPr>
          <w:lang w:val="fr-FR"/>
        </w:rPr>
        <w:t>éventuels retards dans le traitement des demandes internationales selon le PCT imputables à une surcharge de travail dans certains offic</w:t>
      </w:r>
      <w:r w:rsidR="00403B14" w:rsidRPr="009349C2">
        <w:rPr>
          <w:lang w:val="fr-FR"/>
        </w:rPr>
        <w:t>es.  De</w:t>
      </w:r>
      <w:r w:rsidRPr="009349C2">
        <w:rPr>
          <w:lang w:val="fr-FR"/>
        </w:rPr>
        <w:t xml:space="preserve"> plus, nous sommes d</w:t>
      </w:r>
      <w:r w:rsidR="00D10BFC" w:rsidRPr="009349C2">
        <w:rPr>
          <w:lang w:val="fr-FR"/>
        </w:rPr>
        <w:t>’</w:t>
      </w:r>
      <w:r w:rsidRPr="009349C2">
        <w:rPr>
          <w:lang w:val="fr-FR"/>
        </w:rPr>
        <w:t>avis qu</w:t>
      </w:r>
      <w:r w:rsidR="00D10BFC" w:rsidRPr="009349C2">
        <w:rPr>
          <w:lang w:val="fr-FR"/>
        </w:rPr>
        <w:t>’</w:t>
      </w:r>
      <w:r w:rsidRPr="009349C2">
        <w:rPr>
          <w:lang w:val="fr-FR"/>
        </w:rPr>
        <w:t>il serait bon de répartir les ressources en matière de recherche dans différentes régions du monde pour en faire une utilisation plus efficace.</w:t>
      </w:r>
    </w:p>
    <w:p w:rsidR="00342BCA" w:rsidRPr="009349C2" w:rsidRDefault="00342BCA" w:rsidP="009349C2">
      <w:pPr>
        <w:rPr>
          <w:lang w:val="fr-FR"/>
        </w:rPr>
      </w:pPr>
    </w:p>
    <w:p w:rsidR="00D10BFC" w:rsidRPr="009349C2" w:rsidRDefault="00EA3522" w:rsidP="009349C2">
      <w:pPr>
        <w:keepLines/>
        <w:rPr>
          <w:lang w:val="fr-FR"/>
        </w:rPr>
      </w:pPr>
      <w:r w:rsidRPr="009349C2">
        <w:rPr>
          <w:lang w:val="fr-FR"/>
        </w:rPr>
        <w:t>Étant donné la volonté du Chili de promouvoir l</w:t>
      </w:r>
      <w:r w:rsidR="00D10BFC" w:rsidRPr="009349C2">
        <w:rPr>
          <w:lang w:val="fr-FR"/>
        </w:rPr>
        <w:t>’</w:t>
      </w:r>
      <w:r w:rsidRPr="009349C2">
        <w:rPr>
          <w:lang w:val="fr-FR"/>
        </w:rPr>
        <w:t>innovation et l</w:t>
      </w:r>
      <w:r w:rsidR="00D10BFC" w:rsidRPr="009349C2">
        <w:rPr>
          <w:lang w:val="fr-FR"/>
        </w:rPr>
        <w:t>’</w:t>
      </w:r>
      <w:r w:rsidRPr="009349C2">
        <w:rPr>
          <w:lang w:val="fr-FR"/>
        </w:rPr>
        <w:t>esprit d</w:t>
      </w:r>
      <w:r w:rsidR="00D10BFC" w:rsidRPr="009349C2">
        <w:rPr>
          <w:lang w:val="fr-FR"/>
        </w:rPr>
        <w:t>’</w:t>
      </w:r>
      <w:r w:rsidRPr="009349C2">
        <w:rPr>
          <w:lang w:val="fr-FR"/>
        </w:rPr>
        <w:t>entreprise, et compte tenu de l</w:t>
      </w:r>
      <w:r w:rsidR="00D10BFC" w:rsidRPr="009349C2">
        <w:rPr>
          <w:lang w:val="fr-FR"/>
        </w:rPr>
        <w:t>’</w:t>
      </w:r>
      <w:r w:rsidRPr="009349C2">
        <w:rPr>
          <w:lang w:val="fr-FR"/>
        </w:rPr>
        <w:t>importance du système international des brevets pour atteindre ces objectifs, nous estimons qu</w:t>
      </w:r>
      <w:r w:rsidR="00D10BFC" w:rsidRPr="009349C2">
        <w:rPr>
          <w:lang w:val="fr-FR"/>
        </w:rPr>
        <w:t>’</w:t>
      </w:r>
      <w:r w:rsidRPr="009349C2">
        <w:rPr>
          <w:lang w:val="fr-FR"/>
        </w:rPr>
        <w:t>il serait judicieux de renouveler la nomination de l</w:t>
      </w:r>
      <w:r w:rsidR="00D10BFC" w:rsidRPr="009349C2">
        <w:rPr>
          <w:lang w:val="fr-FR"/>
        </w:rPr>
        <w:t>’</w:t>
      </w:r>
      <w:r w:rsidRPr="009349C2">
        <w:rPr>
          <w:lang w:val="fr-FR"/>
        </w:rPr>
        <w:t>INAPI en qualité d</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examen préliminaire internation</w:t>
      </w:r>
      <w:r w:rsidR="00403B14" w:rsidRPr="009349C2">
        <w:rPr>
          <w:lang w:val="fr-FR"/>
        </w:rPr>
        <w:t>al.  L’i</w:t>
      </w:r>
      <w:r w:rsidRPr="009349C2">
        <w:rPr>
          <w:lang w:val="fr-FR"/>
        </w:rPr>
        <w:t>nstitut remplit les conditions techniques requises pour offrir ses services de recherche et d</w:t>
      </w:r>
      <w:r w:rsidR="00D10BFC" w:rsidRPr="009349C2">
        <w:rPr>
          <w:lang w:val="fr-FR"/>
        </w:rPr>
        <w:t>’</w:t>
      </w:r>
      <w:r w:rsidRPr="009349C2">
        <w:rPr>
          <w:lang w:val="fr-FR"/>
        </w:rPr>
        <w:t>examen à ses nationaux et aux ressortissants des autres pays parties au PCT, en particulier les déposants des États contractants du PCT de l</w:t>
      </w:r>
      <w:r w:rsidR="00D10BFC" w:rsidRPr="009349C2">
        <w:rPr>
          <w:lang w:val="fr-FR"/>
        </w:rPr>
        <w:t>’</w:t>
      </w:r>
      <w:r w:rsidRPr="009349C2">
        <w:rPr>
          <w:lang w:val="fr-FR"/>
        </w:rPr>
        <w:t>Amérique latine, afin d</w:t>
      </w:r>
      <w:r w:rsidR="00D10BFC" w:rsidRPr="009349C2">
        <w:rPr>
          <w:lang w:val="fr-FR"/>
        </w:rPr>
        <w:t>’</w:t>
      </w:r>
      <w:r w:rsidRPr="009349C2">
        <w:rPr>
          <w:lang w:val="fr-FR"/>
        </w:rPr>
        <w:t>encourager et de renforcer l</w:t>
      </w:r>
      <w:r w:rsidR="00D10BFC" w:rsidRPr="009349C2">
        <w:rPr>
          <w:lang w:val="fr-FR"/>
        </w:rPr>
        <w:t>’</w:t>
      </w:r>
      <w:r w:rsidRPr="009349C2">
        <w:rPr>
          <w:lang w:val="fr-FR"/>
        </w:rPr>
        <w:t>utilisation du système dans la région.</w:t>
      </w:r>
    </w:p>
    <w:p w:rsidR="00342BCA" w:rsidRPr="009349C2" w:rsidRDefault="00342BCA" w:rsidP="009349C2">
      <w:pPr>
        <w:rPr>
          <w:lang w:val="fr-FR"/>
        </w:rPr>
      </w:pPr>
    </w:p>
    <w:p w:rsidR="00342BCA" w:rsidRPr="009349C2" w:rsidRDefault="009D63D0" w:rsidP="009349C2">
      <w:pPr>
        <w:rPr>
          <w:lang w:val="fr-FR"/>
        </w:rPr>
      </w:pPr>
      <w:r w:rsidRPr="009349C2">
        <w:rPr>
          <w:lang w:val="fr-FR"/>
        </w:rPr>
        <w:t>Au fil des années pendant lesquelles l</w:t>
      </w:r>
      <w:r w:rsidR="00D10BFC" w:rsidRPr="009349C2">
        <w:rPr>
          <w:lang w:val="fr-FR"/>
        </w:rPr>
        <w:t>’</w:t>
      </w:r>
      <w:r w:rsidRPr="009349C2">
        <w:rPr>
          <w:lang w:val="fr-FR"/>
        </w:rPr>
        <w:t>INAPI a agi en qualité d</w:t>
      </w:r>
      <w:r w:rsidR="00D10BFC" w:rsidRPr="009349C2">
        <w:rPr>
          <w:lang w:val="fr-FR"/>
        </w:rPr>
        <w:t>’</w:t>
      </w:r>
      <w:r w:rsidRPr="009349C2">
        <w:rPr>
          <w:lang w:val="fr-FR"/>
        </w:rPr>
        <w:t>administration internationale, nous avons observé une augmentation importante du nombre de dépôts de demandes selon</w:t>
      </w:r>
      <w:r w:rsidR="00D10BFC" w:rsidRPr="009349C2">
        <w:rPr>
          <w:lang w:val="fr-FR"/>
        </w:rPr>
        <w:t xml:space="preserve"> le PCT</w:t>
      </w:r>
      <w:r w:rsidRPr="009349C2">
        <w:rPr>
          <w:lang w:val="fr-FR"/>
        </w:rPr>
        <w:t>, non seulement par des déposants chiliens, mais également par des déposants de pays de la région tels que le Mexique, la Colombie, le Pérou, l</w:t>
      </w:r>
      <w:r w:rsidR="00D10BFC" w:rsidRPr="009349C2">
        <w:rPr>
          <w:lang w:val="fr-FR"/>
        </w:rPr>
        <w:t>’</w:t>
      </w:r>
      <w:r w:rsidRPr="009349C2">
        <w:rPr>
          <w:lang w:val="fr-FR"/>
        </w:rPr>
        <w:t>Équateur et El Salvad</w:t>
      </w:r>
      <w:r w:rsidR="00403B14" w:rsidRPr="009349C2">
        <w:rPr>
          <w:lang w:val="fr-FR"/>
        </w:rPr>
        <w:t>or.  Ce</w:t>
      </w:r>
      <w:r w:rsidRPr="009349C2">
        <w:rPr>
          <w:lang w:val="fr-FR"/>
        </w:rPr>
        <w:t>la confirme notre déclaration selon laquelle une administration chargée de la recherche internationale et de l</w:t>
      </w:r>
      <w:r w:rsidR="00D10BFC" w:rsidRPr="009349C2">
        <w:rPr>
          <w:lang w:val="fr-FR"/>
        </w:rPr>
        <w:t>’</w:t>
      </w:r>
      <w:r w:rsidRPr="009349C2">
        <w:rPr>
          <w:lang w:val="fr-FR"/>
        </w:rPr>
        <w:t>examen préliminaire international encouragerait l</w:t>
      </w:r>
      <w:r w:rsidR="00D10BFC" w:rsidRPr="009349C2">
        <w:rPr>
          <w:lang w:val="fr-FR"/>
        </w:rPr>
        <w:t>’</w:t>
      </w:r>
      <w:r w:rsidRPr="009349C2">
        <w:rPr>
          <w:lang w:val="fr-FR"/>
        </w:rPr>
        <w:t>utilisation</w:t>
      </w:r>
      <w:r w:rsidR="00D10BFC" w:rsidRPr="009349C2">
        <w:rPr>
          <w:lang w:val="fr-FR"/>
        </w:rPr>
        <w:t xml:space="preserve"> du PCT</w:t>
      </w:r>
      <w:r w:rsidRPr="009349C2">
        <w:rPr>
          <w:lang w:val="fr-FR"/>
        </w:rPr>
        <w:t xml:space="preserve"> dans les pays d</w:t>
      </w:r>
      <w:r w:rsidR="00D10BFC" w:rsidRPr="009349C2">
        <w:rPr>
          <w:lang w:val="fr-FR"/>
        </w:rPr>
        <w:t>’</w:t>
      </w:r>
      <w:r w:rsidRPr="009349C2">
        <w:rPr>
          <w:lang w:val="fr-FR"/>
        </w:rPr>
        <w:t>Amérique lati</w:t>
      </w:r>
      <w:r w:rsidR="00403B14" w:rsidRPr="009349C2">
        <w:rPr>
          <w:lang w:val="fr-FR"/>
        </w:rPr>
        <w:t>ne.  Pl</w:t>
      </w:r>
      <w:r w:rsidRPr="009349C2">
        <w:rPr>
          <w:lang w:val="fr-FR"/>
        </w:rPr>
        <w:t>us particulièrement, l</w:t>
      </w:r>
      <w:r w:rsidR="00D10BFC" w:rsidRPr="009349C2">
        <w:rPr>
          <w:lang w:val="fr-FR"/>
        </w:rPr>
        <w:t>’</w:t>
      </w:r>
      <w:r w:rsidRPr="009349C2">
        <w:rPr>
          <w:lang w:val="fr-FR"/>
        </w:rPr>
        <w:t>INAPI a reçu 136</w:t>
      </w:r>
      <w:r w:rsidR="00014DDB" w:rsidRPr="009349C2">
        <w:rPr>
          <w:lang w:val="fr-FR"/>
        </w:rPr>
        <w:t> </w:t>
      </w:r>
      <w:r w:rsidRPr="009349C2">
        <w:rPr>
          <w:lang w:val="fr-FR"/>
        </w:rPr>
        <w:t>demandes selon</w:t>
      </w:r>
      <w:r w:rsidR="00D10BFC" w:rsidRPr="009349C2">
        <w:rPr>
          <w:lang w:val="fr-FR"/>
        </w:rPr>
        <w:t xml:space="preserve"> le PCT</w:t>
      </w:r>
      <w:r w:rsidRPr="009349C2">
        <w:rPr>
          <w:lang w:val="fr-FR"/>
        </w:rPr>
        <w:t xml:space="preserve"> </w:t>
      </w:r>
      <w:r w:rsidR="00D10BFC" w:rsidRPr="009349C2">
        <w:rPr>
          <w:lang w:val="fr-FR"/>
        </w:rPr>
        <w:t>en 2015</w:t>
      </w:r>
      <w:r w:rsidRPr="009349C2">
        <w:rPr>
          <w:lang w:val="fr-FR"/>
        </w:rPr>
        <w:t xml:space="preserve"> et 163 </w:t>
      </w:r>
      <w:r w:rsidR="00D10BFC" w:rsidRPr="009349C2">
        <w:rPr>
          <w:lang w:val="fr-FR"/>
        </w:rPr>
        <w:t>en 2016</w:t>
      </w:r>
      <w:r w:rsidRPr="009349C2">
        <w:rPr>
          <w:lang w:val="fr-FR"/>
        </w:rPr>
        <w:t>.</w:t>
      </w:r>
      <w:r w:rsidR="00A80A18" w:rsidRPr="009349C2">
        <w:rPr>
          <w:lang w:val="fr-FR"/>
        </w:rPr>
        <w:t xml:space="preserve">  </w:t>
      </w:r>
      <w:r w:rsidR="00E10B82" w:rsidRPr="009349C2">
        <w:rPr>
          <w:lang w:val="fr-FR"/>
        </w:rPr>
        <w:t>Ce nombre devrait croître au fil des ans et témoigne d</w:t>
      </w:r>
      <w:r w:rsidR="00D10BFC" w:rsidRPr="009349C2">
        <w:rPr>
          <w:lang w:val="fr-FR"/>
        </w:rPr>
        <w:t>’</w:t>
      </w:r>
      <w:r w:rsidR="00E10B82" w:rsidRPr="009349C2">
        <w:rPr>
          <w:lang w:val="fr-FR"/>
        </w:rPr>
        <w:t>une forte augmentation de l</w:t>
      </w:r>
      <w:r w:rsidR="00D10BFC" w:rsidRPr="009349C2">
        <w:rPr>
          <w:lang w:val="fr-FR"/>
        </w:rPr>
        <w:t>’</w:t>
      </w:r>
      <w:r w:rsidR="00E10B82" w:rsidRPr="009349C2">
        <w:rPr>
          <w:lang w:val="fr-FR"/>
        </w:rPr>
        <w:t>utilisation</w:t>
      </w:r>
      <w:r w:rsidR="00D10BFC" w:rsidRPr="009349C2">
        <w:rPr>
          <w:lang w:val="fr-FR"/>
        </w:rPr>
        <w:t xml:space="preserve"> du PCT</w:t>
      </w:r>
      <w:r w:rsidR="00E10B82" w:rsidRPr="009349C2">
        <w:rPr>
          <w:lang w:val="fr-FR"/>
        </w:rPr>
        <w:t>, notamment si l</w:t>
      </w:r>
      <w:r w:rsidR="00D10BFC" w:rsidRPr="009349C2">
        <w:rPr>
          <w:lang w:val="fr-FR"/>
        </w:rPr>
        <w:t>’</w:t>
      </w:r>
      <w:r w:rsidR="00E10B82" w:rsidRPr="009349C2">
        <w:rPr>
          <w:lang w:val="fr-FR"/>
        </w:rPr>
        <w:t xml:space="preserve">on tient compte du fait que le nombre de demandes déposées </w:t>
      </w:r>
      <w:r w:rsidR="00D10BFC" w:rsidRPr="009349C2">
        <w:rPr>
          <w:lang w:val="fr-FR"/>
        </w:rPr>
        <w:t>en 2014</w:t>
      </w:r>
      <w:r w:rsidR="00E10B82" w:rsidRPr="009349C2">
        <w:rPr>
          <w:lang w:val="fr-FR"/>
        </w:rPr>
        <w:t xml:space="preserve"> auprès de l</w:t>
      </w:r>
      <w:r w:rsidR="00D10BFC" w:rsidRPr="009349C2">
        <w:rPr>
          <w:lang w:val="fr-FR"/>
        </w:rPr>
        <w:t>’</w:t>
      </w:r>
      <w:r w:rsidR="00E10B82" w:rsidRPr="009349C2">
        <w:rPr>
          <w:lang w:val="fr-FR"/>
        </w:rPr>
        <w:t>INAPI en sa qualité d</w:t>
      </w:r>
      <w:r w:rsidR="00D10BFC" w:rsidRPr="009349C2">
        <w:rPr>
          <w:lang w:val="fr-FR"/>
        </w:rPr>
        <w:t>’</w:t>
      </w:r>
      <w:r w:rsidR="00E10B82" w:rsidRPr="009349C2">
        <w:rPr>
          <w:lang w:val="fr-FR"/>
        </w:rPr>
        <w:t>office récepteur a difficilement atteint la barre des 90.</w:t>
      </w:r>
    </w:p>
    <w:p w:rsidR="00342BCA" w:rsidRPr="009349C2" w:rsidRDefault="00342BCA" w:rsidP="009349C2">
      <w:pPr>
        <w:rPr>
          <w:lang w:val="fr-FR"/>
        </w:rPr>
      </w:pPr>
    </w:p>
    <w:p w:rsidR="00342BCA" w:rsidRPr="009349C2" w:rsidRDefault="0080323C" w:rsidP="009349C2">
      <w:pPr>
        <w:rPr>
          <w:lang w:val="fr-FR"/>
        </w:rPr>
      </w:pPr>
      <w:r w:rsidRPr="009349C2">
        <w:rPr>
          <w:lang w:val="fr-FR"/>
        </w:rPr>
        <w:t>En ce qui concerne les</w:t>
      </w:r>
      <w:r w:rsidR="00E10B82" w:rsidRPr="009349C2">
        <w:rPr>
          <w:lang w:val="fr-FR"/>
        </w:rPr>
        <w:t xml:space="preserve"> activités en </w:t>
      </w:r>
      <w:r w:rsidRPr="009349C2">
        <w:rPr>
          <w:lang w:val="fr-FR"/>
        </w:rPr>
        <w:t>tant</w:t>
      </w:r>
      <w:r w:rsidR="00E10B82" w:rsidRPr="009349C2">
        <w:rPr>
          <w:lang w:val="fr-FR"/>
        </w:rPr>
        <w:t xml:space="preserve"> </w:t>
      </w:r>
      <w:r w:rsidRPr="009349C2">
        <w:rPr>
          <w:lang w:val="fr-FR"/>
        </w:rPr>
        <w:t>qu</w:t>
      </w:r>
      <w:r w:rsidR="00D10BFC" w:rsidRPr="009349C2">
        <w:rPr>
          <w:lang w:val="fr-FR"/>
        </w:rPr>
        <w:t>’</w:t>
      </w:r>
      <w:r w:rsidR="00E10B82" w:rsidRPr="009349C2">
        <w:rPr>
          <w:lang w:val="fr-FR"/>
        </w:rPr>
        <w:t>administration chargée de la recherche internationale au sein de l</w:t>
      </w:r>
      <w:r w:rsidR="00D10BFC" w:rsidRPr="009349C2">
        <w:rPr>
          <w:lang w:val="fr-FR"/>
        </w:rPr>
        <w:t>’</w:t>
      </w:r>
      <w:r w:rsidR="00E10B82" w:rsidRPr="009349C2">
        <w:rPr>
          <w:lang w:val="fr-FR"/>
        </w:rPr>
        <w:t>INAPI, pendant la première année de notre mandat, nous avons été désignés pour procéder à la recherche internationale dans le cadre de 182</w:t>
      </w:r>
      <w:r w:rsidR="00014DDB" w:rsidRPr="009349C2">
        <w:rPr>
          <w:lang w:val="fr-FR"/>
        </w:rPr>
        <w:t> </w:t>
      </w:r>
      <w:r w:rsidR="00E10B82" w:rsidRPr="009349C2">
        <w:rPr>
          <w:lang w:val="fr-FR"/>
        </w:rPr>
        <w:t xml:space="preserve">demandes, ce nombre </w:t>
      </w:r>
      <w:r w:rsidRPr="009349C2">
        <w:rPr>
          <w:lang w:val="fr-FR"/>
        </w:rPr>
        <w:t>étant passé</w:t>
      </w:r>
      <w:r w:rsidR="00E10B82" w:rsidRPr="009349C2">
        <w:rPr>
          <w:lang w:val="fr-FR"/>
        </w:rPr>
        <w:t xml:space="preserve"> à 219 </w:t>
      </w:r>
      <w:r w:rsidR="00D10BFC" w:rsidRPr="009349C2">
        <w:rPr>
          <w:lang w:val="fr-FR"/>
        </w:rPr>
        <w:t>en 2016</w:t>
      </w:r>
      <w:r w:rsidR="00E10B82" w:rsidRPr="009349C2">
        <w:rPr>
          <w:lang w:val="fr-FR"/>
        </w:rPr>
        <w:t>.</w:t>
      </w:r>
    </w:p>
    <w:p w:rsidR="00342BCA" w:rsidRPr="009349C2" w:rsidRDefault="00342BCA" w:rsidP="009349C2">
      <w:pPr>
        <w:rPr>
          <w:lang w:val="fr-FR"/>
        </w:rPr>
      </w:pPr>
    </w:p>
    <w:p w:rsidR="00342BCA" w:rsidRPr="009349C2" w:rsidRDefault="001B6025" w:rsidP="00E263A3">
      <w:pPr>
        <w:keepLines/>
        <w:rPr>
          <w:lang w:val="fr-FR"/>
        </w:rPr>
      </w:pPr>
      <w:r w:rsidRPr="009349C2">
        <w:rPr>
          <w:lang w:val="fr-FR"/>
        </w:rPr>
        <w:t>Par ailleurs, il nous est apparu que de nombreux déposants avaient déposé plus d</w:t>
      </w:r>
      <w:r w:rsidR="00D10BFC" w:rsidRPr="009349C2">
        <w:rPr>
          <w:lang w:val="fr-FR"/>
        </w:rPr>
        <w:t>’</w:t>
      </w:r>
      <w:r w:rsidRPr="009349C2">
        <w:rPr>
          <w:lang w:val="fr-FR"/>
        </w:rPr>
        <w:t>une demande en choisissant l</w:t>
      </w:r>
      <w:r w:rsidR="00D10BFC" w:rsidRPr="009349C2">
        <w:rPr>
          <w:lang w:val="fr-FR"/>
        </w:rPr>
        <w:t>’</w:t>
      </w:r>
      <w:r w:rsidRPr="009349C2">
        <w:rPr>
          <w:lang w:val="fr-FR"/>
        </w:rPr>
        <w:t>INAPI comme administration chargée de la recherche internationale, ce qui témoigne de leur confiance dans la qualité de notre travail et de la reconnaissance de notre efficacité lors de l</w:t>
      </w:r>
      <w:r w:rsidR="00D10BFC" w:rsidRPr="009349C2">
        <w:rPr>
          <w:lang w:val="fr-FR"/>
        </w:rPr>
        <w:t>’</w:t>
      </w:r>
      <w:r w:rsidRPr="009349C2">
        <w:rPr>
          <w:lang w:val="fr-FR"/>
        </w:rPr>
        <w:t>exécution d</w:t>
      </w:r>
      <w:r w:rsidR="00D10BFC" w:rsidRPr="009349C2">
        <w:rPr>
          <w:lang w:val="fr-FR"/>
        </w:rPr>
        <w:t>’</w:t>
      </w:r>
      <w:r w:rsidRPr="009349C2">
        <w:rPr>
          <w:lang w:val="fr-FR"/>
        </w:rPr>
        <w:t>une recherche internationale.</w:t>
      </w:r>
    </w:p>
    <w:p w:rsidR="00342BCA" w:rsidRPr="009349C2" w:rsidRDefault="00342BCA" w:rsidP="009349C2">
      <w:pPr>
        <w:rPr>
          <w:lang w:val="fr-FR"/>
        </w:rPr>
      </w:pPr>
    </w:p>
    <w:p w:rsidR="00342BCA" w:rsidRPr="009349C2" w:rsidRDefault="00A80E72" w:rsidP="009349C2">
      <w:pPr>
        <w:rPr>
          <w:lang w:val="fr-FR"/>
        </w:rPr>
      </w:pPr>
      <w:r w:rsidRPr="009349C2">
        <w:rPr>
          <w:lang w:val="fr-FR"/>
        </w:rPr>
        <w:t>En outre, le rôle de l</w:t>
      </w:r>
      <w:r w:rsidR="00D10BFC" w:rsidRPr="009349C2">
        <w:rPr>
          <w:lang w:val="fr-FR"/>
        </w:rPr>
        <w:t>’</w:t>
      </w:r>
      <w:r w:rsidRPr="009349C2">
        <w:rPr>
          <w:lang w:val="fr-FR"/>
        </w:rPr>
        <w:t>INAPI en qualité d</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 xml:space="preserve">examen préliminaire international </w:t>
      </w:r>
      <w:r w:rsidR="00B22489" w:rsidRPr="009349C2">
        <w:rPr>
          <w:lang w:val="fr-FR"/>
        </w:rPr>
        <w:t>a apporté des avantages supplémentaires à</w:t>
      </w:r>
      <w:r w:rsidR="00C23E87" w:rsidRPr="009349C2">
        <w:rPr>
          <w:lang w:val="fr-FR"/>
        </w:rPr>
        <w:t xml:space="preserve"> n</w:t>
      </w:r>
      <w:r w:rsidRPr="009349C2">
        <w:rPr>
          <w:lang w:val="fr-FR"/>
        </w:rPr>
        <w:t xml:space="preserve">os utilisateurs du fait de </w:t>
      </w:r>
      <w:r w:rsidR="00B22489" w:rsidRPr="009349C2">
        <w:rPr>
          <w:lang w:val="fr-FR"/>
        </w:rPr>
        <w:t>l</w:t>
      </w:r>
      <w:r w:rsidRPr="009349C2">
        <w:rPr>
          <w:lang w:val="fr-FR"/>
        </w:rPr>
        <w:t xml:space="preserve">a reconnaissance </w:t>
      </w:r>
      <w:r w:rsidR="00B22489" w:rsidRPr="009349C2">
        <w:rPr>
          <w:lang w:val="fr-FR"/>
        </w:rPr>
        <w:t xml:space="preserve">de cet organisme </w:t>
      </w:r>
      <w:r w:rsidRPr="009349C2">
        <w:rPr>
          <w:lang w:val="fr-FR"/>
        </w:rPr>
        <w:t>par le Gouvernement chilien, lequel a remis à l</w:t>
      </w:r>
      <w:r w:rsidR="00D10BFC" w:rsidRPr="009349C2">
        <w:rPr>
          <w:lang w:val="fr-FR"/>
        </w:rPr>
        <w:t>’</w:t>
      </w:r>
      <w:r w:rsidRPr="009349C2">
        <w:rPr>
          <w:lang w:val="fr-FR"/>
        </w:rPr>
        <w:t>INAPI le Prix national pour l</w:t>
      </w:r>
      <w:r w:rsidR="00D10BFC" w:rsidRPr="009349C2">
        <w:rPr>
          <w:lang w:val="fr-FR"/>
        </w:rPr>
        <w:t>’</w:t>
      </w:r>
      <w:r w:rsidRPr="009349C2">
        <w:rPr>
          <w:lang w:val="fr-FR"/>
        </w:rPr>
        <w:t>excellence en matière de service public, ce qui a fait figurer l</w:t>
      </w:r>
      <w:r w:rsidR="00D10BFC" w:rsidRPr="009349C2">
        <w:rPr>
          <w:lang w:val="fr-FR"/>
        </w:rPr>
        <w:t>’</w:t>
      </w:r>
      <w:r w:rsidRPr="009349C2">
        <w:rPr>
          <w:lang w:val="fr-FR"/>
        </w:rPr>
        <w:t>INAPI parmi les trois</w:t>
      </w:r>
      <w:r w:rsidR="00450A58" w:rsidRPr="009349C2">
        <w:rPr>
          <w:lang w:val="fr-FR"/>
        </w:rPr>
        <w:t> </w:t>
      </w:r>
      <w:r w:rsidRPr="009349C2">
        <w:rPr>
          <w:lang w:val="fr-FR"/>
        </w:rPr>
        <w:t>meilleures institutions publiques du pa</w:t>
      </w:r>
      <w:r w:rsidR="00403B14" w:rsidRPr="009349C2">
        <w:rPr>
          <w:lang w:val="fr-FR"/>
        </w:rPr>
        <w:t>ys.  Ce</w:t>
      </w:r>
      <w:r w:rsidR="00493E18" w:rsidRPr="009349C2">
        <w:rPr>
          <w:lang w:val="fr-FR"/>
        </w:rPr>
        <w:t xml:space="preserve"> prix est octroyé aux institutions nationales qui </w:t>
      </w:r>
      <w:r w:rsidR="00F3073C" w:rsidRPr="009349C2">
        <w:rPr>
          <w:lang w:val="fr-FR"/>
        </w:rPr>
        <w:t>œuvrent</w:t>
      </w:r>
      <w:r w:rsidR="00493E18" w:rsidRPr="009349C2">
        <w:rPr>
          <w:lang w:val="fr-FR"/>
        </w:rPr>
        <w:t xml:space="preserve"> à l</w:t>
      </w:r>
      <w:r w:rsidR="00D10BFC" w:rsidRPr="009349C2">
        <w:rPr>
          <w:lang w:val="fr-FR"/>
        </w:rPr>
        <w:t>’</w:t>
      </w:r>
      <w:r w:rsidR="00493E18" w:rsidRPr="009349C2">
        <w:rPr>
          <w:lang w:val="fr-FR"/>
        </w:rPr>
        <w:t>amélioration de la qualité de vie de leurs utilisateurs, notamment en les sensibilisant au système de la propriété intellectuelle et aux avantages du dépôt de demandes de brevet à l</w:t>
      </w:r>
      <w:r w:rsidR="00D10BFC" w:rsidRPr="009349C2">
        <w:rPr>
          <w:lang w:val="fr-FR"/>
        </w:rPr>
        <w:t>’</w:t>
      </w:r>
      <w:r w:rsidR="00493E18" w:rsidRPr="009349C2">
        <w:rPr>
          <w:lang w:val="fr-FR"/>
        </w:rPr>
        <w:t>étranger dans notre c</w:t>
      </w:r>
      <w:r w:rsidR="00403B14" w:rsidRPr="009349C2">
        <w:rPr>
          <w:lang w:val="fr-FR"/>
        </w:rPr>
        <w:t>as.  Da</w:t>
      </w:r>
      <w:r w:rsidR="00F07B85" w:rsidRPr="009349C2">
        <w:rPr>
          <w:lang w:val="fr-FR"/>
        </w:rPr>
        <w:t>ns les faits, depuis que nous avons commencé à agir en qualité d</w:t>
      </w:r>
      <w:r w:rsidR="00D10BFC" w:rsidRPr="009349C2">
        <w:rPr>
          <w:lang w:val="fr-FR"/>
        </w:rPr>
        <w:t>’</w:t>
      </w:r>
      <w:r w:rsidR="00F07B85" w:rsidRPr="009349C2">
        <w:rPr>
          <w:lang w:val="fr-FR"/>
        </w:rPr>
        <w:t>administration internationale, le nombre de dépôt</w:t>
      </w:r>
      <w:r w:rsidR="00014DDB" w:rsidRPr="009349C2">
        <w:rPr>
          <w:lang w:val="fr-FR"/>
        </w:rPr>
        <w:t xml:space="preserve">s </w:t>
      </w:r>
      <w:r w:rsidR="00F07B85" w:rsidRPr="009349C2">
        <w:rPr>
          <w:lang w:val="fr-FR"/>
        </w:rPr>
        <w:t>de demandes internationales a considérablement augmenté et une multitude de déposants qui ne connaissaient pas le système de la propriété intellectuelle ont demandé des informations sur l</w:t>
      </w:r>
      <w:r w:rsidR="00D10BFC" w:rsidRPr="009349C2">
        <w:rPr>
          <w:lang w:val="fr-FR"/>
        </w:rPr>
        <w:t>’</w:t>
      </w:r>
      <w:r w:rsidR="00F07B85" w:rsidRPr="009349C2">
        <w:rPr>
          <w:lang w:val="fr-FR"/>
        </w:rPr>
        <w:t>utilisation du traité, ce qui a renforcé la participation à ce système.</w:t>
      </w:r>
    </w:p>
    <w:p w:rsidR="00342BCA" w:rsidRPr="009349C2" w:rsidRDefault="00902B1B" w:rsidP="009349C2">
      <w:pPr>
        <w:pStyle w:val="SectionHeading"/>
        <w:rPr>
          <w:lang w:val="fr-FR"/>
        </w:rPr>
      </w:pPr>
      <w:r w:rsidRPr="009349C2">
        <w:rPr>
          <w:lang w:val="fr-FR"/>
        </w:rPr>
        <w:t>5 – État candidat</w:t>
      </w:r>
    </w:p>
    <w:p w:rsidR="00B75756" w:rsidRPr="009349C2" w:rsidRDefault="00F07B85" w:rsidP="009349C2">
      <w:pPr>
        <w:rPr>
          <w:b/>
          <w:bCs/>
          <w:szCs w:val="22"/>
          <w:lang w:val="fr-FR"/>
        </w:rPr>
      </w:pPr>
      <w:r w:rsidRPr="009349C2">
        <w:rPr>
          <w:b/>
          <w:bCs/>
          <w:szCs w:val="22"/>
          <w:lang w:val="fr-FR"/>
        </w:rPr>
        <w:t>Emplacement géographique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tblGrid>
      <w:tr w:rsidR="009349C2" w:rsidRPr="009349C2" w:rsidTr="008D478E">
        <w:trPr>
          <w:trHeight w:val="3936"/>
          <w:jc w:val="center"/>
        </w:trPr>
        <w:tc>
          <w:tcPr>
            <w:tcW w:w="3858"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suppressAutoHyphens/>
              <w:rPr>
                <w:rFonts w:eastAsia="Times New Roman"/>
                <w:szCs w:val="22"/>
                <w:lang w:val="fr-FR" w:eastAsia="en-US" w:bidi="he-IL"/>
              </w:rPr>
            </w:pPr>
            <w:r w:rsidRPr="009349C2">
              <w:rPr>
                <w:noProof/>
                <w:lang w:eastAsia="en-US"/>
              </w:rPr>
              <mc:AlternateContent>
                <mc:Choice Requires="wps">
                  <w:drawing>
                    <wp:anchor distT="0" distB="0" distL="114300" distR="114300" simplePos="0" relativeHeight="251659264" behindDoc="0" locked="0" layoutInCell="1" allowOverlap="1" wp14:anchorId="616AB278" wp14:editId="554D83B4">
                      <wp:simplePos x="0" y="0"/>
                      <wp:positionH relativeFrom="column">
                        <wp:posOffset>843280</wp:posOffset>
                      </wp:positionH>
                      <wp:positionV relativeFrom="paragraph">
                        <wp:posOffset>1447800</wp:posOffset>
                      </wp:positionV>
                      <wp:extent cx="533400" cy="171450"/>
                      <wp:effectExtent l="0" t="133350" r="0" b="9525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2194">
                                <a:off x="0" y="0"/>
                                <a:ext cx="533400" cy="171450"/>
                              </a:xfrm>
                              <a:prstGeom prst="rightArrow">
                                <a:avLst>
                                  <a:gd name="adj1" fmla="val 50000"/>
                                  <a:gd name="adj2" fmla="val 77778"/>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66.4pt;margin-top:114pt;width:42pt;height:13.5pt;rotation:241630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vNSQIAAKIEAAAOAAAAZHJzL2Uyb0RvYy54bWysVNuO0zAQfUfiHyy/0zTZtNtGTVerLkVI&#10;C6xY+ADXdhKDb9hu0+7XM3bT0sILQuTB8njGZ87M8WRxt1cS7bjzwuga56MxRlxTw4Rua/z1y/rN&#10;DCMfiGZEGs1rfOAe3y1fv1r0tuKF6Yxk3CEA0b7qbY27EGyVZZ52XBE/MpZrcDbGKRLAdG3GHOkB&#10;XcmsGI+nWW8cs85Q7j2cPhydeJnwm4bT8KlpPA9I1hi4hbS6tG7imi0XpGodsZ2gAw3yDywUERqS&#10;nqEeSCBo68QfUEpQZ7xpwogalZmmEZSnGqCafPxbNc8dsTzVAs3x9twm//9g6cfdk0OC1XiKkSYK&#10;JPos2i6ge+dMj6axQb31FcQ92ycXS/T20dDvHmmz6ohueYrsOGFAK4/x2dWFaHi4ijb9B8MAn2yD&#10;Sb3aN04hZ0CTosiLfF6mU+gJ2ieBDmeB+D4gCoeTm5tyDDJScOW3eTlJAmakilCRm3U+vONGobip&#10;sYulJH4JmuwefUgqsaFWwr7lGDVKgug7ItFkDN/wKC5iisuYW/hmqU5SDYjA4JQ5dchIwdZCymS4&#10;drOSDgF8jdfrUwK44i/DpEZ9jeeTYpKoXvn830EoEWCWpFA1nsU0QyFRmreapZceiJDHPeSXetAq&#10;ynOUeWPYAaRKokCfYbChi51xLxj1MCQ19j+2xHGM5HsNcs/zsoxTlYxycluA4S49m0sP0RSgahww&#10;Om5X4TiJW5uEis8ndkybe3gijQint3RkNZCFQYDd1aRd2inq169l+RMAAP//AwBQSwMEFAAGAAgA&#10;AAAhADaAuUPeAAAACwEAAA8AAABkcnMvZG93bnJldi54bWxMj8FOwzAQRO9I/IO1SFwQdWpoVYU4&#10;FQL1AidSxNm1TRwRryPbrVO+nuUEt53d0eybZjv7kZ1sTENACctFBcyiDmbAXsL7fne7AZayQqPG&#10;gFbC2SbYtpcXjapNKPhmT13uGYVgqpUEl/NUc560s16lRZgs0u0zRK8yydhzE1WhcD9yUVVr7tWA&#10;9MGpyT45q7+6o5dwb+JNFs+4K3v9+uI+dDl/d0XK66v58QFYtnP+M8MvPqFDS0yHcEST2Ej6ThB6&#10;liDEhkqRQyzXtDnQsFpVwNuG/+/Q/gAAAP//AwBQSwECLQAUAAYACAAAACEAtoM4kv4AAADhAQAA&#10;EwAAAAAAAAAAAAAAAAAAAAAAW0NvbnRlbnRfVHlwZXNdLnhtbFBLAQItABQABgAIAAAAIQA4/SH/&#10;1gAAAJQBAAALAAAAAAAAAAAAAAAAAC8BAABfcmVscy8ucmVsc1BLAQItABQABgAIAAAAIQCZfwvN&#10;SQIAAKIEAAAOAAAAAAAAAAAAAAAAAC4CAABkcnMvZTJvRG9jLnhtbFBLAQItABQABgAIAAAAIQA2&#10;gLlD3gAAAAsBAAAPAAAAAAAAAAAAAAAAAKMEAABkcnMvZG93bnJldi54bWxQSwUGAAAAAAQABADz&#10;AAAArgUAAAAA&#10;" fillcolor="red" strokecolor="red"/>
                  </w:pict>
                </mc:Fallback>
              </mc:AlternateContent>
            </w:r>
            <w:r w:rsidR="008D478E" w:rsidRPr="009349C2">
              <w:rPr>
                <w:lang w:val="fr-FR"/>
              </w:rPr>
              <w:object w:dxaOrig="339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95pt;height:217.5pt" o:ole="">
                  <v:imagedata r:id="rId11" o:title=""/>
                </v:shape>
                <o:OLEObject Type="Embed" ProgID="PBrush" ShapeID="_x0000_i1025" DrawAspect="Content" ObjectID="_1552286517" r:id="rId12"/>
              </w:object>
            </w:r>
          </w:p>
        </w:tc>
      </w:tr>
    </w:tbl>
    <w:p w:rsidR="00342BCA" w:rsidRPr="009349C2" w:rsidRDefault="00B75756" w:rsidP="009349C2">
      <w:pPr>
        <w:jc w:val="center"/>
        <w:rPr>
          <w:rFonts w:eastAsia="Times New Roman"/>
          <w:i/>
          <w:iCs/>
          <w:szCs w:val="22"/>
          <w:lang w:val="fr-FR"/>
        </w:rPr>
      </w:pPr>
      <w:r w:rsidRPr="009349C2">
        <w:rPr>
          <w:i/>
          <w:iCs/>
          <w:szCs w:val="22"/>
          <w:lang w:val="fr-FR"/>
        </w:rPr>
        <w:t>[</w:t>
      </w:r>
      <w:r w:rsidR="00F07B85" w:rsidRPr="009349C2">
        <w:rPr>
          <w:i/>
          <w:iCs/>
          <w:szCs w:val="22"/>
          <w:lang w:val="fr-FR"/>
        </w:rPr>
        <w:t xml:space="preserve">Carte montrant </w:t>
      </w:r>
      <w:r w:rsidR="00F3073C" w:rsidRPr="009349C2">
        <w:rPr>
          <w:i/>
          <w:iCs/>
          <w:szCs w:val="22"/>
          <w:lang w:val="fr-FR"/>
        </w:rPr>
        <w:t>l</w:t>
      </w:r>
      <w:r w:rsidR="00D10BFC" w:rsidRPr="009349C2">
        <w:rPr>
          <w:i/>
          <w:iCs/>
          <w:szCs w:val="22"/>
          <w:lang w:val="fr-FR"/>
        </w:rPr>
        <w:t>’</w:t>
      </w:r>
      <w:r w:rsidR="00F07B85" w:rsidRPr="009349C2">
        <w:rPr>
          <w:i/>
          <w:iCs/>
          <w:szCs w:val="22"/>
          <w:lang w:val="fr-FR"/>
        </w:rPr>
        <w:t xml:space="preserve">État et </w:t>
      </w:r>
      <w:r w:rsidR="00F3073C" w:rsidRPr="009349C2">
        <w:rPr>
          <w:i/>
          <w:iCs/>
          <w:szCs w:val="22"/>
          <w:lang w:val="fr-FR"/>
        </w:rPr>
        <w:t xml:space="preserve">les </w:t>
      </w:r>
      <w:r w:rsidR="00F07B85" w:rsidRPr="009349C2">
        <w:rPr>
          <w:i/>
          <w:iCs/>
          <w:szCs w:val="22"/>
          <w:lang w:val="fr-FR"/>
        </w:rPr>
        <w:t>États voisins</w:t>
      </w:r>
      <w:r w:rsidRPr="009349C2">
        <w:rPr>
          <w:i/>
          <w:iCs/>
          <w:szCs w:val="22"/>
          <w:lang w:val="fr-FR"/>
        </w:rPr>
        <w:t>]</w:t>
      </w:r>
    </w:p>
    <w:p w:rsidR="00342BCA" w:rsidRPr="009349C2" w:rsidRDefault="00342BCA" w:rsidP="009349C2">
      <w:pPr>
        <w:rPr>
          <w:b/>
          <w:bCs/>
          <w:szCs w:val="22"/>
          <w:lang w:val="fr-FR"/>
        </w:rPr>
      </w:pPr>
    </w:p>
    <w:p w:rsidR="00D10BFC" w:rsidRPr="009349C2" w:rsidRDefault="00F07B85" w:rsidP="009349C2">
      <w:pPr>
        <w:rPr>
          <w:szCs w:val="22"/>
          <w:lang w:val="fr-FR"/>
        </w:rPr>
      </w:pPr>
      <w:r w:rsidRPr="009349C2">
        <w:rPr>
          <w:b/>
          <w:bCs/>
          <w:szCs w:val="22"/>
          <w:lang w:val="fr-FR"/>
        </w:rPr>
        <w:t>Appartenance à des organisations régionales</w:t>
      </w:r>
      <w:r w:rsidR="00D10BFC" w:rsidRPr="009349C2">
        <w:rPr>
          <w:b/>
          <w:bCs/>
          <w:szCs w:val="22"/>
          <w:lang w:val="fr-FR"/>
        </w:rPr>
        <w:t> :</w:t>
      </w:r>
    </w:p>
    <w:p w:rsidR="00342BCA" w:rsidRPr="009349C2" w:rsidRDefault="00342BCA" w:rsidP="009349C2">
      <w:pPr>
        <w:rPr>
          <w:szCs w:val="22"/>
          <w:lang w:val="fr-FR"/>
        </w:rPr>
      </w:pPr>
    </w:p>
    <w:p w:rsidR="00D10BFC" w:rsidRPr="009349C2" w:rsidRDefault="008D478E" w:rsidP="009349C2">
      <w:pPr>
        <w:ind w:left="1134" w:hanging="567"/>
        <w:rPr>
          <w:lang w:val="fr-FR"/>
        </w:rPr>
      </w:pPr>
      <w:r w:rsidRPr="009349C2">
        <w:rPr>
          <w:lang w:val="fr-FR"/>
        </w:rPr>
        <w:t>–</w:t>
      </w:r>
      <w:r w:rsidRPr="009349C2">
        <w:rPr>
          <w:lang w:val="fr-FR"/>
        </w:rPr>
        <w:tab/>
      </w:r>
      <w:proofErr w:type="spellStart"/>
      <w:r w:rsidR="00B75756" w:rsidRPr="009349C2">
        <w:rPr>
          <w:lang w:val="fr-FR"/>
        </w:rPr>
        <w:t>Prosur</w:t>
      </w:r>
      <w:proofErr w:type="spellEnd"/>
      <w:r w:rsidR="00450A58" w:rsidRPr="009349C2">
        <w:rPr>
          <w:lang w:val="fr-FR"/>
        </w:rPr>
        <w:t> </w:t>
      </w:r>
      <w:r w:rsidR="00B75756" w:rsidRPr="009349C2">
        <w:rPr>
          <w:lang w:val="fr-FR"/>
        </w:rPr>
        <w:t>:</w:t>
      </w:r>
      <w:r w:rsidRPr="009349C2">
        <w:rPr>
          <w:lang w:val="fr-FR"/>
        </w:rPr>
        <w:t xml:space="preserve"> </w:t>
      </w:r>
      <w:r w:rsidR="00902B1B" w:rsidRPr="009349C2">
        <w:rPr>
          <w:lang w:val="fr-FR"/>
        </w:rPr>
        <w:t>i</w:t>
      </w:r>
      <w:r w:rsidR="00B96093" w:rsidRPr="009349C2">
        <w:rPr>
          <w:lang w:val="fr-FR"/>
        </w:rPr>
        <w:t>l s</w:t>
      </w:r>
      <w:r w:rsidR="00D10BFC" w:rsidRPr="009349C2">
        <w:rPr>
          <w:lang w:val="fr-FR"/>
        </w:rPr>
        <w:t>’</w:t>
      </w:r>
      <w:r w:rsidR="00B96093" w:rsidRPr="009349C2">
        <w:rPr>
          <w:lang w:val="fr-FR"/>
        </w:rPr>
        <w:t>agit d</w:t>
      </w:r>
      <w:r w:rsidR="00D10BFC" w:rsidRPr="009349C2">
        <w:rPr>
          <w:lang w:val="fr-FR"/>
        </w:rPr>
        <w:t>’</w:t>
      </w:r>
      <w:r w:rsidR="00B96093" w:rsidRPr="009349C2">
        <w:rPr>
          <w:lang w:val="fr-FR"/>
        </w:rPr>
        <w:t>un programme</w:t>
      </w:r>
      <w:r w:rsidR="003F4FB0" w:rsidRPr="009349C2">
        <w:rPr>
          <w:lang w:val="fr-FR"/>
        </w:rPr>
        <w:t xml:space="preserve"> rassemblant les offices de propriété industrielle d</w:t>
      </w:r>
      <w:r w:rsidR="00D10BFC" w:rsidRPr="009349C2">
        <w:rPr>
          <w:lang w:val="fr-FR"/>
        </w:rPr>
        <w:t>’</w:t>
      </w:r>
      <w:r w:rsidR="003F4FB0" w:rsidRPr="009349C2">
        <w:rPr>
          <w:lang w:val="fr-FR"/>
        </w:rPr>
        <w:t>Amérique latine en vue de renforcer l</w:t>
      </w:r>
      <w:r w:rsidR="00D10BFC" w:rsidRPr="009349C2">
        <w:rPr>
          <w:lang w:val="fr-FR"/>
        </w:rPr>
        <w:t>’</w:t>
      </w:r>
      <w:r w:rsidR="003F4FB0" w:rsidRPr="009349C2">
        <w:rPr>
          <w:lang w:val="fr-FR"/>
        </w:rPr>
        <w:t>utilisation du système de la propriété intellectuelle et d</w:t>
      </w:r>
      <w:r w:rsidR="00D10BFC" w:rsidRPr="009349C2">
        <w:rPr>
          <w:lang w:val="fr-FR"/>
        </w:rPr>
        <w:t>’</w:t>
      </w:r>
      <w:r w:rsidR="003F4FB0" w:rsidRPr="009349C2">
        <w:rPr>
          <w:lang w:val="fr-FR"/>
        </w:rPr>
        <w:t>encourager le partage des tâches entre ces offic</w:t>
      </w:r>
      <w:r w:rsidR="00403B14" w:rsidRPr="009349C2">
        <w:rPr>
          <w:lang w:val="fr-FR"/>
        </w:rPr>
        <w:t>es.  Le</w:t>
      </w:r>
      <w:r w:rsidR="003F4FB0" w:rsidRPr="009349C2">
        <w:rPr>
          <w:lang w:val="fr-FR"/>
        </w:rPr>
        <w:t xml:space="preserve">s pays participant à </w:t>
      </w:r>
      <w:r w:rsidR="00B96093" w:rsidRPr="009349C2">
        <w:rPr>
          <w:lang w:val="fr-FR"/>
        </w:rPr>
        <w:t>ce programme</w:t>
      </w:r>
      <w:r w:rsidR="003F4FB0" w:rsidRPr="009349C2">
        <w:rPr>
          <w:lang w:val="fr-FR"/>
        </w:rPr>
        <w:t xml:space="preserve"> sont l</w:t>
      </w:r>
      <w:r w:rsidR="00D10BFC" w:rsidRPr="009349C2">
        <w:rPr>
          <w:lang w:val="fr-FR"/>
        </w:rPr>
        <w:t>’</w:t>
      </w:r>
      <w:r w:rsidR="003F4FB0" w:rsidRPr="009349C2">
        <w:rPr>
          <w:lang w:val="fr-FR"/>
        </w:rPr>
        <w:t>Argentine, le Brésil, le Chili, la Colombie, le Costa Rica, l</w:t>
      </w:r>
      <w:r w:rsidR="00D10BFC" w:rsidRPr="009349C2">
        <w:rPr>
          <w:lang w:val="fr-FR"/>
        </w:rPr>
        <w:t>’</w:t>
      </w:r>
      <w:r w:rsidR="003F4FB0" w:rsidRPr="009349C2">
        <w:rPr>
          <w:lang w:val="fr-FR"/>
        </w:rPr>
        <w:t>Équateur, le Paraguay, le Pérou et l</w:t>
      </w:r>
      <w:r w:rsidR="00D10BFC" w:rsidRPr="009349C2">
        <w:rPr>
          <w:lang w:val="fr-FR"/>
        </w:rPr>
        <w:t>’</w:t>
      </w:r>
      <w:r w:rsidR="003F4FB0" w:rsidRPr="009349C2">
        <w:rPr>
          <w:lang w:val="fr-FR"/>
        </w:rPr>
        <w:t>Uruguay.</w:t>
      </w:r>
    </w:p>
    <w:p w:rsidR="00342BCA" w:rsidRPr="009349C2" w:rsidRDefault="00342BCA" w:rsidP="009349C2">
      <w:pPr>
        <w:ind w:left="1134" w:hanging="567"/>
        <w:rPr>
          <w:lang w:val="fr-FR"/>
        </w:rPr>
      </w:pPr>
    </w:p>
    <w:p w:rsidR="00342BCA" w:rsidRPr="009349C2" w:rsidRDefault="003F4FB0" w:rsidP="009349C2">
      <w:pPr>
        <w:ind w:left="1134" w:hanging="567"/>
        <w:rPr>
          <w:lang w:val="fr-FR"/>
        </w:rPr>
      </w:pPr>
      <w:r w:rsidRPr="009349C2">
        <w:rPr>
          <w:lang w:val="fr-FR"/>
        </w:rPr>
        <w:t>–</w:t>
      </w:r>
      <w:r w:rsidR="00902B1B" w:rsidRPr="009349C2">
        <w:rPr>
          <w:lang w:val="fr-FR"/>
        </w:rPr>
        <w:tab/>
      </w:r>
      <w:proofErr w:type="spellStart"/>
      <w:r w:rsidRPr="009349C2">
        <w:rPr>
          <w:lang w:val="fr-FR"/>
        </w:rPr>
        <w:t>Alianza</w:t>
      </w:r>
      <w:proofErr w:type="spellEnd"/>
      <w:r w:rsidRPr="009349C2">
        <w:rPr>
          <w:lang w:val="fr-FR"/>
        </w:rPr>
        <w:t xml:space="preserve"> del </w:t>
      </w:r>
      <w:proofErr w:type="spellStart"/>
      <w:r w:rsidRPr="009349C2">
        <w:rPr>
          <w:lang w:val="fr-FR"/>
        </w:rPr>
        <w:t>Pacífico</w:t>
      </w:r>
      <w:proofErr w:type="spellEnd"/>
      <w:r w:rsidR="00450A58" w:rsidRPr="009349C2">
        <w:rPr>
          <w:lang w:val="fr-FR"/>
        </w:rPr>
        <w:t> </w:t>
      </w:r>
      <w:r w:rsidRPr="009349C2">
        <w:rPr>
          <w:lang w:val="fr-FR"/>
        </w:rPr>
        <w:t xml:space="preserve">: </w:t>
      </w:r>
      <w:r w:rsidR="00902B1B" w:rsidRPr="009349C2">
        <w:rPr>
          <w:lang w:val="fr-FR"/>
        </w:rPr>
        <w:t>c</w:t>
      </w:r>
      <w:r w:rsidR="00B96093" w:rsidRPr="009349C2">
        <w:rPr>
          <w:lang w:val="fr-FR"/>
        </w:rPr>
        <w:t>e programme gouvernemental</w:t>
      </w:r>
      <w:r w:rsidRPr="009349C2">
        <w:rPr>
          <w:lang w:val="fr-FR"/>
        </w:rPr>
        <w:t xml:space="preserve"> vise à faciliter le commerce et à favoriser le développement et la croissance entre États membres (Chili, Colombie, Mexique et Pérou).</w:t>
      </w:r>
    </w:p>
    <w:p w:rsidR="00342BCA" w:rsidRPr="009349C2" w:rsidRDefault="00342BCA" w:rsidP="009349C2">
      <w:pPr>
        <w:rPr>
          <w:lang w:val="fr-FR"/>
        </w:rPr>
      </w:pPr>
    </w:p>
    <w:p w:rsidR="00342BCA" w:rsidRPr="009349C2" w:rsidRDefault="00F340BE" w:rsidP="00E263A3">
      <w:pPr>
        <w:keepLines/>
        <w:rPr>
          <w:lang w:val="fr-FR"/>
        </w:rPr>
      </w:pPr>
      <w:r w:rsidRPr="009349C2">
        <w:rPr>
          <w:lang w:val="fr-FR"/>
        </w:rPr>
        <w:t xml:space="preserve">En tant que membre de </w:t>
      </w:r>
      <w:proofErr w:type="spellStart"/>
      <w:r w:rsidRPr="009349C2">
        <w:rPr>
          <w:lang w:val="fr-FR"/>
        </w:rPr>
        <w:t>Prosur</w:t>
      </w:r>
      <w:proofErr w:type="spellEnd"/>
      <w:r w:rsidRPr="009349C2">
        <w:rPr>
          <w:lang w:val="fr-FR"/>
        </w:rPr>
        <w:t xml:space="preserve"> et d</w:t>
      </w:r>
      <w:r w:rsidR="00D10BFC" w:rsidRPr="009349C2">
        <w:rPr>
          <w:lang w:val="fr-FR"/>
        </w:rPr>
        <w:t>’</w:t>
      </w:r>
      <w:proofErr w:type="spellStart"/>
      <w:r w:rsidRPr="009349C2">
        <w:rPr>
          <w:lang w:val="fr-FR"/>
        </w:rPr>
        <w:t>Alianza</w:t>
      </w:r>
      <w:proofErr w:type="spellEnd"/>
      <w:r w:rsidRPr="009349C2">
        <w:rPr>
          <w:lang w:val="fr-FR"/>
        </w:rPr>
        <w:t xml:space="preserve"> del </w:t>
      </w:r>
      <w:proofErr w:type="spellStart"/>
      <w:r w:rsidRPr="009349C2">
        <w:rPr>
          <w:lang w:val="fr-FR"/>
        </w:rPr>
        <w:t>Pacífico</w:t>
      </w:r>
      <w:proofErr w:type="spellEnd"/>
      <w:r w:rsidRPr="009349C2">
        <w:rPr>
          <w:lang w:val="fr-FR"/>
        </w:rPr>
        <w:t>, l</w:t>
      </w:r>
      <w:r w:rsidR="00D10BFC" w:rsidRPr="009349C2">
        <w:rPr>
          <w:lang w:val="fr-FR"/>
        </w:rPr>
        <w:t>’</w:t>
      </w:r>
      <w:r w:rsidRPr="009349C2">
        <w:rPr>
          <w:lang w:val="fr-FR"/>
        </w:rPr>
        <w:t xml:space="preserve">INAPI a signé des accords relatifs au </w:t>
      </w:r>
      <w:bookmarkStart w:id="7" w:name="_GoBack"/>
      <w:r w:rsidRPr="009349C2">
        <w:rPr>
          <w:lang w:val="fr-FR"/>
        </w:rPr>
        <w:t xml:space="preserve">Patent </w:t>
      </w:r>
      <w:proofErr w:type="spellStart"/>
      <w:r w:rsidRPr="009349C2">
        <w:rPr>
          <w:lang w:val="fr-FR"/>
        </w:rPr>
        <w:t>Prosecution</w:t>
      </w:r>
      <w:proofErr w:type="spellEnd"/>
      <w:r w:rsidRPr="009349C2">
        <w:rPr>
          <w:lang w:val="fr-FR"/>
        </w:rPr>
        <w:t xml:space="preserve"> </w:t>
      </w:r>
      <w:proofErr w:type="spellStart"/>
      <w:r w:rsidRPr="009349C2">
        <w:rPr>
          <w:lang w:val="fr-FR"/>
        </w:rPr>
        <w:t>Highway</w:t>
      </w:r>
      <w:proofErr w:type="spellEnd"/>
      <w:r w:rsidRPr="009349C2">
        <w:rPr>
          <w:lang w:val="fr-FR"/>
        </w:rPr>
        <w:t xml:space="preserve"> </w:t>
      </w:r>
      <w:bookmarkEnd w:id="7"/>
      <w:r w:rsidRPr="009349C2">
        <w:rPr>
          <w:lang w:val="fr-FR"/>
        </w:rPr>
        <w:t xml:space="preserve">(PPH) </w:t>
      </w:r>
      <w:r w:rsidR="00D10BFC" w:rsidRPr="009349C2">
        <w:rPr>
          <w:lang w:val="fr-FR"/>
        </w:rPr>
        <w:t>en 2016</w:t>
      </w:r>
      <w:r w:rsidRPr="009349C2">
        <w:rPr>
          <w:lang w:val="fr-FR"/>
        </w:rPr>
        <w:t xml:space="preserve"> afin de donner accès à ses normes de qualité en tant qu</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examen préliminaire international et de renforcer l</w:t>
      </w:r>
      <w:r w:rsidR="00D10BFC" w:rsidRPr="009349C2">
        <w:rPr>
          <w:lang w:val="fr-FR"/>
        </w:rPr>
        <w:t>’</w:t>
      </w:r>
      <w:r w:rsidRPr="009349C2">
        <w:rPr>
          <w:lang w:val="fr-FR"/>
        </w:rPr>
        <w:t xml:space="preserve">utilité de </w:t>
      </w:r>
      <w:r w:rsidR="00105D40" w:rsidRPr="009349C2">
        <w:rPr>
          <w:lang w:val="fr-FR"/>
        </w:rPr>
        <w:t>ses</w:t>
      </w:r>
      <w:r w:rsidRPr="009349C2">
        <w:rPr>
          <w:lang w:val="fr-FR"/>
        </w:rPr>
        <w:t xml:space="preserve"> activités en tant qu</w:t>
      </w:r>
      <w:r w:rsidR="00D10BFC" w:rsidRPr="009349C2">
        <w:rPr>
          <w:lang w:val="fr-FR"/>
        </w:rPr>
        <w:t>’</w:t>
      </w:r>
      <w:r w:rsidRPr="009349C2">
        <w:rPr>
          <w:lang w:val="fr-FR"/>
        </w:rPr>
        <w:t xml:space="preserve">administration internationale, </w:t>
      </w:r>
      <w:r w:rsidR="00105D40" w:rsidRPr="009349C2">
        <w:rPr>
          <w:lang w:val="fr-FR"/>
        </w:rPr>
        <w:t>ce qui bénéficie à</w:t>
      </w:r>
      <w:r w:rsidRPr="009349C2">
        <w:rPr>
          <w:lang w:val="fr-FR"/>
        </w:rPr>
        <w:t xml:space="preserve"> toute la région.</w:t>
      </w:r>
    </w:p>
    <w:p w:rsidR="00342BCA" w:rsidRPr="009349C2" w:rsidRDefault="00342BCA" w:rsidP="009349C2">
      <w:pPr>
        <w:rPr>
          <w:szCs w:val="22"/>
          <w:lang w:val="fr-FR"/>
        </w:rPr>
      </w:pPr>
    </w:p>
    <w:p w:rsidR="00342BCA" w:rsidRPr="009349C2" w:rsidRDefault="00F340BE" w:rsidP="009349C2">
      <w:pPr>
        <w:rPr>
          <w:lang w:val="fr-FR"/>
        </w:rPr>
      </w:pPr>
      <w:r w:rsidRPr="009349C2">
        <w:rPr>
          <w:b/>
          <w:lang w:val="fr-FR"/>
        </w:rPr>
        <w:t>Population</w:t>
      </w:r>
      <w:r w:rsidR="00D10BFC" w:rsidRPr="009349C2">
        <w:rPr>
          <w:b/>
          <w:lang w:val="fr-FR"/>
        </w:rPr>
        <w:t> :</w:t>
      </w:r>
      <w:r w:rsidRPr="009349C2">
        <w:rPr>
          <w:lang w:val="fr-FR"/>
        </w:rPr>
        <w:t xml:space="preserve"> 17,9</w:t>
      </w:r>
      <w:r w:rsidR="00D10BFC" w:rsidRPr="009349C2">
        <w:rPr>
          <w:lang w:val="fr-FR"/>
        </w:rPr>
        <w:t>5 million</w:t>
      </w:r>
      <w:r w:rsidRPr="009349C2">
        <w:rPr>
          <w:lang w:val="fr-FR"/>
        </w:rPr>
        <w:t xml:space="preserve">s </w:t>
      </w:r>
      <w:r w:rsidRPr="009349C2">
        <w:rPr>
          <w:i/>
          <w:lang w:val="fr-FR"/>
        </w:rPr>
        <w:t>(</w:t>
      </w:r>
      <w:r w:rsidR="00D617EA" w:rsidRPr="009349C2">
        <w:rPr>
          <w:i/>
          <w:lang w:val="fr-FR"/>
        </w:rPr>
        <w:t>données de</w:t>
      </w:r>
      <w:r w:rsidRPr="009349C2">
        <w:rPr>
          <w:i/>
          <w:lang w:val="fr-FR"/>
        </w:rPr>
        <w:t xml:space="preserve"> la Banque mondiale)</w:t>
      </w:r>
    </w:p>
    <w:p w:rsidR="00342BCA" w:rsidRPr="009349C2" w:rsidRDefault="00342BCA" w:rsidP="009349C2">
      <w:pPr>
        <w:rPr>
          <w:szCs w:val="22"/>
          <w:lang w:val="fr-FR"/>
        </w:rPr>
      </w:pPr>
    </w:p>
    <w:p w:rsidR="00342BCA" w:rsidRPr="009349C2" w:rsidRDefault="00D617EA" w:rsidP="009349C2">
      <w:pPr>
        <w:rPr>
          <w:lang w:val="fr-FR"/>
        </w:rPr>
      </w:pPr>
      <w:r w:rsidRPr="009349C2">
        <w:rPr>
          <w:b/>
          <w:lang w:val="fr-FR"/>
        </w:rPr>
        <w:t>PIB par habitant</w:t>
      </w:r>
      <w:r w:rsidR="00D10BFC" w:rsidRPr="009349C2">
        <w:rPr>
          <w:b/>
          <w:lang w:val="fr-FR"/>
        </w:rPr>
        <w:t> :</w:t>
      </w:r>
      <w:r w:rsidRPr="009349C2">
        <w:rPr>
          <w:lang w:val="fr-FR"/>
        </w:rPr>
        <w:t xml:space="preserve"> 22</w:t>
      </w:r>
      <w:r w:rsidR="00450A58" w:rsidRPr="009349C2">
        <w:rPr>
          <w:lang w:val="fr-FR"/>
        </w:rPr>
        <w:t> </w:t>
      </w:r>
      <w:r w:rsidRPr="009349C2">
        <w:rPr>
          <w:lang w:val="fr-FR"/>
        </w:rPr>
        <w:t>37</w:t>
      </w:r>
      <w:r w:rsidR="00D10BFC" w:rsidRPr="009349C2">
        <w:rPr>
          <w:lang w:val="fr-FR"/>
        </w:rPr>
        <w:t>0 dollar</w:t>
      </w:r>
      <w:r w:rsidRPr="009349C2">
        <w:rPr>
          <w:lang w:val="fr-FR"/>
        </w:rPr>
        <w:t>s</w:t>
      </w:r>
      <w:r w:rsidR="00450A58" w:rsidRPr="009349C2">
        <w:rPr>
          <w:lang w:val="fr-FR"/>
        </w:rPr>
        <w:t> </w:t>
      </w:r>
      <w:r w:rsidRPr="009349C2">
        <w:rPr>
          <w:lang w:val="fr-FR"/>
        </w:rPr>
        <w:t>É.</w:t>
      </w:r>
      <w:r w:rsidR="00D10BFC" w:rsidRPr="009349C2">
        <w:rPr>
          <w:lang w:val="fr-FR"/>
        </w:rPr>
        <w:t>-</w:t>
      </w:r>
      <w:r w:rsidRPr="009349C2">
        <w:rPr>
          <w:lang w:val="fr-FR"/>
        </w:rPr>
        <w:t>U.</w:t>
      </w:r>
      <w:r w:rsidR="00450A58" w:rsidRPr="009349C2">
        <w:rPr>
          <w:lang w:val="fr-FR"/>
        </w:rPr>
        <w:t> </w:t>
      </w:r>
      <w:r w:rsidRPr="009349C2">
        <w:rPr>
          <w:lang w:val="fr-FR"/>
        </w:rPr>
        <w:t>(</w:t>
      </w:r>
      <w:proofErr w:type="gramStart"/>
      <w:r w:rsidRPr="009349C2">
        <w:rPr>
          <w:lang w:val="fr-FR"/>
        </w:rPr>
        <w:t>année</w:t>
      </w:r>
      <w:proofErr w:type="gramEnd"/>
      <w:r w:rsidR="00014DDB" w:rsidRPr="009349C2">
        <w:rPr>
          <w:lang w:val="fr-FR"/>
        </w:rPr>
        <w:t> </w:t>
      </w:r>
      <w:r w:rsidRPr="009349C2">
        <w:rPr>
          <w:lang w:val="fr-FR"/>
        </w:rPr>
        <w:t xml:space="preserve">2015) (PPA) </w:t>
      </w:r>
      <w:r w:rsidRPr="009349C2">
        <w:rPr>
          <w:i/>
          <w:lang w:val="fr-FR"/>
        </w:rPr>
        <w:t>(</w:t>
      </w:r>
      <w:proofErr w:type="gramStart"/>
      <w:r w:rsidRPr="009349C2">
        <w:rPr>
          <w:i/>
          <w:lang w:val="fr-FR"/>
        </w:rPr>
        <w:t>données</w:t>
      </w:r>
      <w:proofErr w:type="gramEnd"/>
      <w:r w:rsidRPr="009349C2">
        <w:rPr>
          <w:i/>
          <w:lang w:val="fr-FR"/>
        </w:rPr>
        <w:t xml:space="preserve"> de la Banque mondiale)</w:t>
      </w:r>
    </w:p>
    <w:p w:rsidR="00342BCA" w:rsidRPr="009349C2" w:rsidRDefault="00342BCA" w:rsidP="009349C2">
      <w:pPr>
        <w:rPr>
          <w:szCs w:val="22"/>
          <w:lang w:val="fr-FR"/>
        </w:rPr>
      </w:pPr>
    </w:p>
    <w:p w:rsidR="00342BCA" w:rsidRPr="009349C2" w:rsidRDefault="00D617EA" w:rsidP="009349C2">
      <w:pPr>
        <w:rPr>
          <w:lang w:val="fr-FR"/>
        </w:rPr>
      </w:pPr>
      <w:r w:rsidRPr="009349C2">
        <w:rPr>
          <w:b/>
          <w:lang w:val="fr-FR"/>
        </w:rPr>
        <w:t>Estimation des dépenses nationales en recherche</w:t>
      </w:r>
      <w:r w:rsidR="00D10BFC" w:rsidRPr="009349C2">
        <w:rPr>
          <w:b/>
          <w:lang w:val="fr-FR"/>
        </w:rPr>
        <w:t>-</w:t>
      </w:r>
      <w:r w:rsidRPr="009349C2">
        <w:rPr>
          <w:b/>
          <w:lang w:val="fr-FR"/>
        </w:rPr>
        <w:t>développement (%</w:t>
      </w:r>
      <w:r w:rsidR="00D10BFC" w:rsidRPr="009349C2">
        <w:rPr>
          <w:b/>
          <w:lang w:val="fr-FR"/>
        </w:rPr>
        <w:t xml:space="preserve"> du PIB</w:t>
      </w:r>
      <w:r w:rsidRPr="009349C2">
        <w:rPr>
          <w:b/>
          <w:lang w:val="fr-FR"/>
        </w:rPr>
        <w:t>)</w:t>
      </w:r>
      <w:r w:rsidR="00D10BFC" w:rsidRPr="009349C2">
        <w:rPr>
          <w:b/>
          <w:lang w:val="fr-FR"/>
        </w:rPr>
        <w:t> :</w:t>
      </w:r>
      <w:r w:rsidRPr="009349C2">
        <w:rPr>
          <w:lang w:val="fr-FR"/>
        </w:rPr>
        <w:t xml:space="preserve"> 0,39 (année</w:t>
      </w:r>
      <w:r w:rsidR="00014DDB" w:rsidRPr="009349C2">
        <w:rPr>
          <w:lang w:val="fr-FR"/>
        </w:rPr>
        <w:t> </w:t>
      </w:r>
      <w:r w:rsidRPr="009349C2">
        <w:rPr>
          <w:lang w:val="fr-FR"/>
        </w:rPr>
        <w:t xml:space="preserve">2015) </w:t>
      </w:r>
      <w:r w:rsidRPr="009349C2">
        <w:rPr>
          <w:i/>
          <w:lang w:val="fr-FR"/>
        </w:rPr>
        <w:t>(données de la Banque mondiale)</w:t>
      </w:r>
    </w:p>
    <w:p w:rsidR="00342BCA" w:rsidRPr="009349C2" w:rsidRDefault="00342BCA" w:rsidP="009349C2">
      <w:pPr>
        <w:rPr>
          <w:szCs w:val="22"/>
          <w:lang w:val="fr-FR"/>
        </w:rPr>
      </w:pPr>
    </w:p>
    <w:p w:rsidR="00342BCA" w:rsidRPr="009349C2" w:rsidRDefault="00D617EA" w:rsidP="009349C2">
      <w:pPr>
        <w:rPr>
          <w:lang w:val="fr-FR"/>
        </w:rPr>
      </w:pPr>
      <w:r w:rsidRPr="009349C2">
        <w:rPr>
          <w:b/>
          <w:lang w:val="fr-FR"/>
        </w:rPr>
        <w:t>Nombre d</w:t>
      </w:r>
      <w:r w:rsidR="00D10BFC" w:rsidRPr="009349C2">
        <w:rPr>
          <w:b/>
          <w:lang w:val="fr-FR"/>
        </w:rPr>
        <w:t>’</w:t>
      </w:r>
      <w:r w:rsidRPr="009349C2">
        <w:rPr>
          <w:b/>
          <w:lang w:val="fr-FR"/>
        </w:rPr>
        <w:t>universités de recherche</w:t>
      </w:r>
      <w:r w:rsidR="00D10BFC" w:rsidRPr="009349C2">
        <w:rPr>
          <w:b/>
          <w:lang w:val="fr-FR"/>
        </w:rPr>
        <w:t> :</w:t>
      </w:r>
      <w:r w:rsidRPr="009349C2">
        <w:rPr>
          <w:lang w:val="fr-FR"/>
        </w:rPr>
        <w:t xml:space="preserve"> le Chili compte 25</w:t>
      </w:r>
      <w:r w:rsidR="00014DDB" w:rsidRPr="009349C2">
        <w:rPr>
          <w:lang w:val="fr-FR"/>
        </w:rPr>
        <w:t> </w:t>
      </w:r>
      <w:r w:rsidRPr="009349C2">
        <w:rPr>
          <w:lang w:val="fr-FR"/>
        </w:rPr>
        <w:t>universités qui sont membres du Conseil des recteurs et qui sont publiqu</w:t>
      </w:r>
      <w:r w:rsidR="00403B14" w:rsidRPr="009349C2">
        <w:rPr>
          <w:lang w:val="fr-FR"/>
        </w:rPr>
        <w:t>es.  En</w:t>
      </w:r>
      <w:r w:rsidR="0001646C" w:rsidRPr="009349C2">
        <w:rPr>
          <w:lang w:val="fr-FR"/>
        </w:rPr>
        <w:t xml:space="preserve"> outre, le pays compte 31</w:t>
      </w:r>
      <w:r w:rsidR="00014DDB" w:rsidRPr="009349C2">
        <w:rPr>
          <w:lang w:val="fr-FR"/>
        </w:rPr>
        <w:t> </w:t>
      </w:r>
      <w:r w:rsidR="0001646C" w:rsidRPr="009349C2">
        <w:rPr>
          <w:lang w:val="fr-FR"/>
        </w:rPr>
        <w:t>universités privé</w:t>
      </w:r>
      <w:r w:rsidR="00403B14" w:rsidRPr="009349C2">
        <w:rPr>
          <w:lang w:val="fr-FR"/>
        </w:rPr>
        <w:t>es.  To</w:t>
      </w:r>
      <w:r w:rsidR="0001646C" w:rsidRPr="009349C2">
        <w:rPr>
          <w:lang w:val="fr-FR"/>
        </w:rPr>
        <w:t>utes les universités du pays doivent mener des travaux de recherc</w:t>
      </w:r>
      <w:r w:rsidR="00403B14" w:rsidRPr="009349C2">
        <w:rPr>
          <w:lang w:val="fr-FR"/>
        </w:rPr>
        <w:t>he.  C’e</w:t>
      </w:r>
      <w:r w:rsidR="0001646C" w:rsidRPr="009349C2">
        <w:rPr>
          <w:lang w:val="fr-FR"/>
        </w:rPr>
        <w:t>st l</w:t>
      </w:r>
      <w:r w:rsidR="00D10BFC" w:rsidRPr="009349C2">
        <w:rPr>
          <w:lang w:val="fr-FR"/>
        </w:rPr>
        <w:t>’</w:t>
      </w:r>
      <w:r w:rsidR="0001646C" w:rsidRPr="009349C2">
        <w:rPr>
          <w:lang w:val="fr-FR"/>
        </w:rPr>
        <w:t>un des critères qu</w:t>
      </w:r>
      <w:r w:rsidR="00D10BFC" w:rsidRPr="009349C2">
        <w:rPr>
          <w:lang w:val="fr-FR"/>
        </w:rPr>
        <w:t>’</w:t>
      </w:r>
      <w:r w:rsidR="0001646C" w:rsidRPr="009349C2">
        <w:rPr>
          <w:lang w:val="fr-FR"/>
        </w:rPr>
        <w:t>elles doivent remplir pour être reconnues comme établissement d</w:t>
      </w:r>
      <w:r w:rsidR="00D10BFC" w:rsidRPr="009349C2">
        <w:rPr>
          <w:lang w:val="fr-FR"/>
        </w:rPr>
        <w:t>’</w:t>
      </w:r>
      <w:r w:rsidR="0001646C" w:rsidRPr="009349C2">
        <w:rPr>
          <w:lang w:val="fr-FR"/>
        </w:rPr>
        <w:t xml:space="preserve">enseignement par le </w:t>
      </w:r>
      <w:r w:rsidR="00450A58" w:rsidRPr="009349C2">
        <w:rPr>
          <w:lang w:val="fr-FR"/>
        </w:rPr>
        <w:t>gouvernement</w:t>
      </w:r>
      <w:r w:rsidR="0001646C" w:rsidRPr="009349C2">
        <w:rPr>
          <w:lang w:val="fr-FR"/>
        </w:rPr>
        <w:t>.</w:t>
      </w:r>
    </w:p>
    <w:p w:rsidR="00342BCA" w:rsidRPr="009349C2" w:rsidRDefault="00342BCA" w:rsidP="009349C2">
      <w:pPr>
        <w:rPr>
          <w:szCs w:val="22"/>
          <w:lang w:val="fr-FR"/>
        </w:rPr>
      </w:pPr>
    </w:p>
    <w:p w:rsidR="00342BCA" w:rsidRPr="009349C2" w:rsidRDefault="00D03F87" w:rsidP="009349C2">
      <w:pPr>
        <w:rPr>
          <w:lang w:val="fr-FR"/>
        </w:rPr>
      </w:pPr>
      <w:r w:rsidRPr="009349C2">
        <w:rPr>
          <w:b/>
          <w:bCs/>
          <w:lang w:val="fr-FR"/>
        </w:rPr>
        <w:t xml:space="preserve">Présentation du réseau national </w:t>
      </w:r>
      <w:r w:rsidRPr="009349C2">
        <w:rPr>
          <w:rStyle w:val="st1"/>
          <w:b/>
          <w:bCs/>
          <w:lang w:val="fr-FR"/>
        </w:rPr>
        <w:t>de centres</w:t>
      </w:r>
      <w:r w:rsidRPr="009349C2">
        <w:rPr>
          <w:b/>
          <w:bCs/>
          <w:lang w:val="fr-FR"/>
        </w:rPr>
        <w:t xml:space="preserve"> d</w:t>
      </w:r>
      <w:r w:rsidR="00D10BFC" w:rsidRPr="009349C2">
        <w:rPr>
          <w:b/>
          <w:bCs/>
          <w:lang w:val="fr-FR"/>
        </w:rPr>
        <w:t>’</w:t>
      </w:r>
      <w:r w:rsidRPr="009349C2">
        <w:rPr>
          <w:b/>
          <w:bCs/>
          <w:lang w:val="fr-FR"/>
        </w:rPr>
        <w:t>information en matière de brevets (par exemple, bibliothèques de brevets et centres d</w:t>
      </w:r>
      <w:r w:rsidR="00D10BFC" w:rsidRPr="009349C2">
        <w:rPr>
          <w:b/>
          <w:bCs/>
          <w:lang w:val="fr-FR"/>
        </w:rPr>
        <w:t>’</w:t>
      </w:r>
      <w:r w:rsidRPr="009349C2">
        <w:rPr>
          <w:b/>
          <w:bCs/>
          <w:lang w:val="fr-FR"/>
        </w:rPr>
        <w:t>appui à la technologie et à l</w:t>
      </w:r>
      <w:r w:rsidR="00D10BFC" w:rsidRPr="009349C2">
        <w:rPr>
          <w:b/>
          <w:bCs/>
          <w:lang w:val="fr-FR"/>
        </w:rPr>
        <w:t>’</w:t>
      </w:r>
      <w:r w:rsidRPr="009349C2">
        <w:rPr>
          <w:b/>
          <w:bCs/>
          <w:lang w:val="fr-FR"/>
        </w:rPr>
        <w:t>innovation)</w:t>
      </w:r>
      <w:r w:rsidR="00D10BFC" w:rsidRPr="009349C2">
        <w:rPr>
          <w:b/>
          <w:bCs/>
          <w:lang w:val="fr-FR"/>
        </w:rPr>
        <w:t> :</w:t>
      </w:r>
      <w:r w:rsidR="00A80A18" w:rsidRPr="009349C2">
        <w:rPr>
          <w:bCs/>
          <w:lang w:val="fr-FR"/>
        </w:rPr>
        <w:t xml:space="preserve"> </w:t>
      </w:r>
      <w:r w:rsidR="00902B1B" w:rsidRPr="009349C2">
        <w:rPr>
          <w:bCs/>
          <w:lang w:val="fr-FR"/>
        </w:rPr>
        <w:t>l</w:t>
      </w:r>
      <w:r w:rsidR="00D10BFC" w:rsidRPr="009349C2">
        <w:rPr>
          <w:bCs/>
          <w:lang w:val="fr-FR"/>
        </w:rPr>
        <w:t>’</w:t>
      </w:r>
      <w:r w:rsidR="00B96093" w:rsidRPr="009349C2">
        <w:rPr>
          <w:bCs/>
          <w:lang w:val="fr-FR"/>
        </w:rPr>
        <w:t>élaboration d</w:t>
      </w:r>
      <w:r w:rsidR="00D10BFC" w:rsidRPr="009349C2">
        <w:rPr>
          <w:bCs/>
          <w:lang w:val="fr-FR"/>
        </w:rPr>
        <w:t>’</w:t>
      </w:r>
      <w:r w:rsidR="00B96093" w:rsidRPr="009349C2">
        <w:rPr>
          <w:bCs/>
          <w:lang w:val="fr-FR"/>
        </w:rPr>
        <w:t>une documentation pertinente pour les déposants et les utilisateurs du système des brevets est un point essentiel pour l</w:t>
      </w:r>
      <w:r w:rsidR="00D10BFC" w:rsidRPr="009349C2">
        <w:rPr>
          <w:bCs/>
          <w:lang w:val="fr-FR"/>
        </w:rPr>
        <w:t>’</w:t>
      </w:r>
      <w:r w:rsidR="00B96093" w:rsidRPr="009349C2">
        <w:rPr>
          <w:bCs/>
          <w:lang w:val="fr-FR"/>
        </w:rPr>
        <w:t>IN</w:t>
      </w:r>
      <w:r w:rsidR="00403B14" w:rsidRPr="009349C2">
        <w:rPr>
          <w:bCs/>
          <w:lang w:val="fr-FR"/>
        </w:rPr>
        <w:t>API.  No</w:t>
      </w:r>
      <w:r w:rsidR="00B96093" w:rsidRPr="009349C2">
        <w:rPr>
          <w:bCs/>
          <w:lang w:val="fr-FR"/>
        </w:rPr>
        <w:t>tre institution participe désormais au Programme des bibliothèques dépositaires de l</w:t>
      </w:r>
      <w:r w:rsidR="00D10BFC" w:rsidRPr="009349C2">
        <w:rPr>
          <w:bCs/>
          <w:lang w:val="fr-FR"/>
        </w:rPr>
        <w:t>’</w:t>
      </w:r>
      <w:r w:rsidR="00B96093" w:rsidRPr="009349C2">
        <w:rPr>
          <w:bCs/>
          <w:lang w:val="fr-FR"/>
        </w:rPr>
        <w:t>O</w:t>
      </w:r>
      <w:r w:rsidR="00403B14" w:rsidRPr="009349C2">
        <w:rPr>
          <w:bCs/>
          <w:lang w:val="fr-FR"/>
        </w:rPr>
        <w:t xml:space="preserve">MPI.  </w:t>
      </w:r>
      <w:r w:rsidR="00403B14" w:rsidRPr="009349C2">
        <w:rPr>
          <w:lang w:val="fr-FR"/>
        </w:rPr>
        <w:t>On</w:t>
      </w:r>
      <w:r w:rsidR="00B96093" w:rsidRPr="009349C2">
        <w:rPr>
          <w:lang w:val="fr-FR"/>
        </w:rPr>
        <w:t xml:space="preserve"> trouvera ces informations à l</w:t>
      </w:r>
      <w:r w:rsidR="00D10BFC" w:rsidRPr="009349C2">
        <w:rPr>
          <w:lang w:val="fr-FR"/>
        </w:rPr>
        <w:t>’</w:t>
      </w:r>
      <w:r w:rsidR="00B96093" w:rsidRPr="009349C2">
        <w:rPr>
          <w:lang w:val="fr-FR"/>
        </w:rPr>
        <w:t>adresse suivante</w:t>
      </w:r>
      <w:r w:rsidR="00D10BFC" w:rsidRPr="009349C2">
        <w:rPr>
          <w:lang w:val="fr-FR"/>
        </w:rPr>
        <w:t> :</w:t>
      </w:r>
      <w:r w:rsidR="00B96093" w:rsidRPr="009349C2">
        <w:rPr>
          <w:lang w:val="fr-FR"/>
        </w:rPr>
        <w:t xml:space="preserve"> http://www.wipo.int/library/en/depository_libraries.j</w:t>
      </w:r>
      <w:r w:rsidR="00403B14" w:rsidRPr="009349C2">
        <w:rPr>
          <w:lang w:val="fr-FR"/>
        </w:rPr>
        <w:t>sp.  Ac</w:t>
      </w:r>
      <w:r w:rsidR="00C71DE9" w:rsidRPr="009349C2">
        <w:rPr>
          <w:lang w:val="fr-FR"/>
        </w:rPr>
        <w:t>tuellement, seul notre personnel peut accéder à la documentation fournie par l</w:t>
      </w:r>
      <w:r w:rsidR="00D10BFC" w:rsidRPr="009349C2">
        <w:rPr>
          <w:lang w:val="fr-FR"/>
        </w:rPr>
        <w:t>’</w:t>
      </w:r>
      <w:r w:rsidR="00C71DE9" w:rsidRPr="009349C2">
        <w:rPr>
          <w:lang w:val="fr-FR"/>
        </w:rPr>
        <w:t>OMPI, mais nous travaillons à la mise en place d</w:t>
      </w:r>
      <w:r w:rsidR="00D10BFC" w:rsidRPr="009349C2">
        <w:rPr>
          <w:lang w:val="fr-FR"/>
        </w:rPr>
        <w:t>’</w:t>
      </w:r>
      <w:r w:rsidR="00C71DE9" w:rsidRPr="009349C2">
        <w:rPr>
          <w:lang w:val="fr-FR"/>
        </w:rPr>
        <w:t>un espace approprié permettant à tous les utilisateurs d</w:t>
      </w:r>
      <w:r w:rsidR="00D10BFC" w:rsidRPr="009349C2">
        <w:rPr>
          <w:lang w:val="fr-FR"/>
        </w:rPr>
        <w:t>’</w:t>
      </w:r>
      <w:r w:rsidR="00C71DE9" w:rsidRPr="009349C2">
        <w:rPr>
          <w:lang w:val="fr-FR"/>
        </w:rPr>
        <w:t>accéder à ces informations importantes.</w:t>
      </w:r>
    </w:p>
    <w:p w:rsidR="00342BCA" w:rsidRPr="009349C2" w:rsidRDefault="00342BCA" w:rsidP="009349C2">
      <w:pPr>
        <w:rPr>
          <w:lang w:val="fr-FR"/>
        </w:rPr>
      </w:pPr>
    </w:p>
    <w:p w:rsidR="00342BCA" w:rsidRPr="009349C2" w:rsidRDefault="00C71DE9" w:rsidP="009349C2">
      <w:pPr>
        <w:rPr>
          <w:lang w:val="fr-FR"/>
        </w:rPr>
      </w:pPr>
      <w:r w:rsidRPr="009349C2">
        <w:rPr>
          <w:lang w:val="fr-FR"/>
        </w:rPr>
        <w:t>Par ailleurs, complémentairement au projet de bibliothèque de l</w:t>
      </w:r>
      <w:r w:rsidR="00D10BFC" w:rsidRPr="009349C2">
        <w:rPr>
          <w:lang w:val="fr-FR"/>
        </w:rPr>
        <w:t>’</w:t>
      </w:r>
      <w:r w:rsidRPr="009349C2">
        <w:rPr>
          <w:lang w:val="fr-FR"/>
        </w:rPr>
        <w:t>OMPI, nous finalisons notre demande de participation au programme de l</w:t>
      </w:r>
      <w:r w:rsidR="00D10BFC" w:rsidRPr="009349C2">
        <w:rPr>
          <w:lang w:val="fr-FR"/>
        </w:rPr>
        <w:t>’</w:t>
      </w:r>
      <w:r w:rsidRPr="009349C2">
        <w:rPr>
          <w:lang w:val="fr-FR"/>
        </w:rPr>
        <w:t>OMPI relatif aux centres d</w:t>
      </w:r>
      <w:r w:rsidR="00D10BFC" w:rsidRPr="009349C2">
        <w:rPr>
          <w:lang w:val="fr-FR"/>
        </w:rPr>
        <w:t>’</w:t>
      </w:r>
      <w:r w:rsidRPr="009349C2">
        <w:rPr>
          <w:lang w:val="fr-FR"/>
        </w:rPr>
        <w:t>appui à la technologie et à l</w:t>
      </w:r>
      <w:r w:rsidR="00D10BFC" w:rsidRPr="009349C2">
        <w:rPr>
          <w:lang w:val="fr-FR"/>
        </w:rPr>
        <w:t>’</w:t>
      </w:r>
      <w:r w:rsidRPr="009349C2">
        <w:rPr>
          <w:lang w:val="fr-FR"/>
        </w:rPr>
        <w:t>innovation (CATI).</w:t>
      </w:r>
    </w:p>
    <w:p w:rsidR="00342BCA" w:rsidRPr="009349C2" w:rsidRDefault="00342BCA" w:rsidP="009349C2">
      <w:pPr>
        <w:rPr>
          <w:lang w:val="fr-FR"/>
        </w:rPr>
      </w:pPr>
    </w:p>
    <w:p w:rsidR="00342BCA" w:rsidRPr="009349C2" w:rsidRDefault="00A67017" w:rsidP="009349C2">
      <w:pPr>
        <w:rPr>
          <w:bCs/>
          <w:lang w:val="fr-FR"/>
        </w:rPr>
      </w:pPr>
      <w:r w:rsidRPr="009349C2">
        <w:rPr>
          <w:b/>
          <w:bCs/>
          <w:lang w:val="fr-FR"/>
        </w:rPr>
        <w:t>Principales industries locales</w:t>
      </w:r>
      <w:r w:rsidR="00D10BFC" w:rsidRPr="009349C2">
        <w:rPr>
          <w:b/>
          <w:bCs/>
          <w:lang w:val="fr-FR"/>
        </w:rPr>
        <w:t> :</w:t>
      </w:r>
      <w:r w:rsidR="0084454B" w:rsidRPr="009349C2">
        <w:rPr>
          <w:bCs/>
          <w:lang w:val="fr-FR"/>
        </w:rPr>
        <w:t xml:space="preserve"> </w:t>
      </w:r>
      <w:r w:rsidR="00902B1B" w:rsidRPr="009349C2">
        <w:rPr>
          <w:bCs/>
          <w:lang w:val="fr-FR"/>
        </w:rPr>
        <w:t>e</w:t>
      </w:r>
      <w:r w:rsidR="0084454B" w:rsidRPr="009349C2">
        <w:rPr>
          <w:bCs/>
          <w:lang w:val="fr-FR"/>
        </w:rPr>
        <w:t>xploitation minière, bois d</w:t>
      </w:r>
      <w:r w:rsidR="00D10BFC" w:rsidRPr="009349C2">
        <w:rPr>
          <w:bCs/>
          <w:lang w:val="fr-FR"/>
        </w:rPr>
        <w:t>’</w:t>
      </w:r>
      <w:r w:rsidR="0084454B" w:rsidRPr="009349C2">
        <w:rPr>
          <w:bCs/>
          <w:lang w:val="fr-FR"/>
        </w:rPr>
        <w:t>œuvre/cellulose, viticulture, agriculture.</w:t>
      </w:r>
    </w:p>
    <w:p w:rsidR="00342BCA" w:rsidRPr="009349C2" w:rsidRDefault="00342BCA" w:rsidP="009349C2">
      <w:pPr>
        <w:rPr>
          <w:lang w:val="fr-FR"/>
        </w:rPr>
      </w:pPr>
    </w:p>
    <w:p w:rsidR="00342BCA" w:rsidRPr="009349C2" w:rsidRDefault="00A67017" w:rsidP="009349C2">
      <w:pPr>
        <w:rPr>
          <w:bCs/>
          <w:lang w:val="fr-FR"/>
        </w:rPr>
      </w:pPr>
      <w:r w:rsidRPr="009349C2">
        <w:rPr>
          <w:b/>
          <w:bCs/>
          <w:lang w:val="fr-FR"/>
        </w:rPr>
        <w:t>Principaux partenaires commerciaux</w:t>
      </w:r>
      <w:r w:rsidR="00D10BFC" w:rsidRPr="009349C2">
        <w:rPr>
          <w:b/>
          <w:bCs/>
          <w:lang w:val="fr-FR"/>
        </w:rPr>
        <w:t> :</w:t>
      </w:r>
      <w:r w:rsidR="0084454B" w:rsidRPr="009349C2">
        <w:rPr>
          <w:bCs/>
          <w:lang w:val="fr-FR"/>
        </w:rPr>
        <w:t xml:space="preserve"> Chine, États</w:t>
      </w:r>
      <w:r w:rsidR="00D10BFC" w:rsidRPr="009349C2">
        <w:rPr>
          <w:bCs/>
          <w:lang w:val="fr-FR"/>
        </w:rPr>
        <w:t>-</w:t>
      </w:r>
      <w:r w:rsidR="0084454B" w:rsidRPr="009349C2">
        <w:rPr>
          <w:bCs/>
          <w:lang w:val="fr-FR"/>
        </w:rPr>
        <w:t>Unis</w:t>
      </w:r>
      <w:r w:rsidR="00450A58" w:rsidRPr="009349C2">
        <w:rPr>
          <w:bCs/>
          <w:lang w:val="fr-FR"/>
        </w:rPr>
        <w:t xml:space="preserve"> d’Amérique</w:t>
      </w:r>
      <w:r w:rsidR="0084454B" w:rsidRPr="009349C2">
        <w:rPr>
          <w:bCs/>
          <w:lang w:val="fr-FR"/>
        </w:rPr>
        <w:t xml:space="preserve">, Japon, </w:t>
      </w:r>
      <w:r w:rsidR="00450A58" w:rsidRPr="009349C2">
        <w:rPr>
          <w:bCs/>
          <w:lang w:val="fr-FR"/>
        </w:rPr>
        <w:t xml:space="preserve">République de </w:t>
      </w:r>
      <w:r w:rsidR="0084454B" w:rsidRPr="009349C2">
        <w:rPr>
          <w:bCs/>
          <w:lang w:val="fr-FR"/>
        </w:rPr>
        <w:t>Corée, Brésil, Pérou, Espagne, Mexique, Colombie, Argentine.</w:t>
      </w:r>
    </w:p>
    <w:p w:rsidR="00342BCA" w:rsidRPr="009349C2" w:rsidRDefault="00342BCA" w:rsidP="009349C2">
      <w:pPr>
        <w:rPr>
          <w:lang w:val="fr-FR"/>
        </w:rPr>
      </w:pPr>
    </w:p>
    <w:p w:rsidR="00D10BFC" w:rsidRPr="009349C2" w:rsidRDefault="00A67017" w:rsidP="009349C2">
      <w:pPr>
        <w:rPr>
          <w:b/>
          <w:lang w:val="fr-FR"/>
        </w:rPr>
      </w:pPr>
      <w:r w:rsidRPr="009349C2">
        <w:rPr>
          <w:b/>
          <w:lang w:val="fr-FR"/>
        </w:rPr>
        <w:t>Autres informations essentielles</w:t>
      </w:r>
      <w:r w:rsidR="00D10BFC" w:rsidRPr="009349C2">
        <w:rPr>
          <w:b/>
          <w:lang w:val="fr-FR"/>
        </w:rPr>
        <w:t> :</w:t>
      </w:r>
    </w:p>
    <w:p w:rsidR="00342BCA" w:rsidRPr="009349C2" w:rsidRDefault="00342BCA" w:rsidP="009349C2">
      <w:pPr>
        <w:rPr>
          <w:lang w:val="fr-FR"/>
        </w:rPr>
      </w:pPr>
    </w:p>
    <w:p w:rsidR="00342BCA" w:rsidRPr="009349C2" w:rsidRDefault="00D10BFC" w:rsidP="009349C2">
      <w:pPr>
        <w:rPr>
          <w:lang w:val="fr-FR"/>
        </w:rPr>
      </w:pPr>
      <w:r w:rsidRPr="009349C2">
        <w:rPr>
          <w:lang w:val="fr-FR"/>
        </w:rPr>
        <w:t>En 2016</w:t>
      </w:r>
      <w:r w:rsidR="0084454B" w:rsidRPr="009349C2">
        <w:rPr>
          <w:lang w:val="fr-FR"/>
        </w:rPr>
        <w:t>, le Gouvernement chilien a lancé la stratégie nationale de propriété industrielle, élaborée et rédigée par l</w:t>
      </w:r>
      <w:r w:rsidRPr="009349C2">
        <w:rPr>
          <w:lang w:val="fr-FR"/>
        </w:rPr>
        <w:t>’</w:t>
      </w:r>
      <w:r w:rsidR="0084454B" w:rsidRPr="009349C2">
        <w:rPr>
          <w:lang w:val="fr-FR"/>
        </w:rPr>
        <w:t>IN</w:t>
      </w:r>
      <w:r w:rsidR="00403B14" w:rsidRPr="009349C2">
        <w:rPr>
          <w:lang w:val="fr-FR"/>
        </w:rPr>
        <w:t>API.  Ce</w:t>
      </w:r>
      <w:r w:rsidR="0084454B" w:rsidRPr="009349C2">
        <w:rPr>
          <w:lang w:val="fr-FR"/>
        </w:rPr>
        <w:t>tte stratégie inclut des sujets tels que l</w:t>
      </w:r>
      <w:r w:rsidRPr="009349C2">
        <w:rPr>
          <w:lang w:val="fr-FR"/>
        </w:rPr>
        <w:t>’</w:t>
      </w:r>
      <w:r w:rsidR="0084454B" w:rsidRPr="009349C2">
        <w:rPr>
          <w:lang w:val="fr-FR"/>
        </w:rPr>
        <w:t>utilisation</w:t>
      </w:r>
      <w:r w:rsidRPr="009349C2">
        <w:rPr>
          <w:lang w:val="fr-FR"/>
        </w:rPr>
        <w:t xml:space="preserve"> du PCT</w:t>
      </w:r>
      <w:r w:rsidR="0084454B" w:rsidRPr="009349C2">
        <w:rPr>
          <w:lang w:val="fr-FR"/>
        </w:rPr>
        <w:t xml:space="preserve"> et la participation des Chiliens au système des brevets à l</w:t>
      </w:r>
      <w:r w:rsidRPr="009349C2">
        <w:rPr>
          <w:lang w:val="fr-FR"/>
        </w:rPr>
        <w:t>’</w:t>
      </w:r>
      <w:r w:rsidR="0084454B" w:rsidRPr="009349C2">
        <w:rPr>
          <w:lang w:val="fr-FR"/>
        </w:rPr>
        <w:t>étranger.</w:t>
      </w:r>
    </w:p>
    <w:p w:rsidR="00342BCA" w:rsidRPr="009349C2" w:rsidRDefault="00342BCA" w:rsidP="009349C2">
      <w:pPr>
        <w:jc w:val="both"/>
        <w:rPr>
          <w:szCs w:val="22"/>
          <w:lang w:val="fr-FR"/>
        </w:rPr>
      </w:pPr>
    </w:p>
    <w:p w:rsidR="00342BCA" w:rsidRPr="009349C2" w:rsidRDefault="0084454B" w:rsidP="009349C2">
      <w:pPr>
        <w:rPr>
          <w:lang w:val="fr-FR"/>
        </w:rPr>
      </w:pPr>
      <w:r w:rsidRPr="009349C2">
        <w:rPr>
          <w:lang w:val="fr-FR"/>
        </w:rPr>
        <w:t>Des informations sur cette stratégie peuvent être obtenues à l</w:t>
      </w:r>
      <w:r w:rsidR="00D10BFC" w:rsidRPr="009349C2">
        <w:rPr>
          <w:lang w:val="fr-FR"/>
        </w:rPr>
        <w:t>’</w:t>
      </w:r>
      <w:r w:rsidRPr="009349C2">
        <w:rPr>
          <w:lang w:val="fr-FR"/>
        </w:rPr>
        <w:t>adresse suivante (en espagnol)</w:t>
      </w:r>
      <w:r w:rsidR="00D10BFC" w:rsidRPr="009349C2">
        <w:rPr>
          <w:lang w:val="fr-FR"/>
        </w:rPr>
        <w:t> :</w:t>
      </w:r>
    </w:p>
    <w:p w:rsidR="00342BCA" w:rsidRPr="009349C2" w:rsidRDefault="0084454B" w:rsidP="009349C2">
      <w:pPr>
        <w:jc w:val="both"/>
        <w:rPr>
          <w:szCs w:val="22"/>
          <w:lang w:val="fr-FR"/>
        </w:rPr>
      </w:pPr>
      <w:r w:rsidRPr="009349C2">
        <w:rPr>
          <w:szCs w:val="22"/>
          <w:lang w:val="fr-FR"/>
        </w:rPr>
        <w:t>http://www.inapi.cl/portal/publicaciones/608/articles</w:t>
      </w:r>
      <w:r w:rsidR="00D10BFC" w:rsidRPr="009349C2">
        <w:rPr>
          <w:szCs w:val="22"/>
          <w:lang w:val="fr-FR"/>
        </w:rPr>
        <w:t>-</w:t>
      </w:r>
      <w:r w:rsidRPr="009349C2">
        <w:rPr>
          <w:szCs w:val="22"/>
          <w:lang w:val="fr-FR"/>
        </w:rPr>
        <w:t>9870_recurso_1.pdf</w:t>
      </w:r>
    </w:p>
    <w:p w:rsidR="00342BCA" w:rsidRPr="009349C2" w:rsidRDefault="00902B1B" w:rsidP="009349C2">
      <w:pPr>
        <w:pStyle w:val="SectionHeading"/>
        <w:rPr>
          <w:lang w:val="fr-FR"/>
        </w:rPr>
      </w:pPr>
      <w:r w:rsidRPr="009349C2">
        <w:rPr>
          <w:lang w:val="fr-FR"/>
        </w:rPr>
        <w:t>6 – Profil des demandes de brevet</w:t>
      </w:r>
    </w:p>
    <w:p w:rsidR="00342BCA" w:rsidRPr="009349C2" w:rsidRDefault="0084454B" w:rsidP="009349C2">
      <w:pPr>
        <w:keepNext/>
        <w:keepLines/>
        <w:rPr>
          <w:b/>
          <w:bCs/>
          <w:szCs w:val="22"/>
          <w:lang w:val="fr-FR"/>
        </w:rPr>
      </w:pPr>
      <w:r w:rsidRPr="009349C2">
        <w:rPr>
          <w:b/>
          <w:bCs/>
          <w:szCs w:val="22"/>
          <w:lang w:val="fr-FR"/>
        </w:rPr>
        <w:t>Nombre de demandes internationales reçues</w:t>
      </w:r>
      <w:r w:rsidR="00D10BFC" w:rsidRPr="009349C2">
        <w:rPr>
          <w:b/>
          <w:bCs/>
          <w:szCs w:val="22"/>
          <w:lang w:val="fr-FR"/>
        </w:rPr>
        <w:t xml:space="preserve"> – </w:t>
      </w:r>
      <w:r w:rsidRPr="009349C2">
        <w:rPr>
          <w:b/>
          <w:bCs/>
          <w:szCs w:val="22"/>
          <w:lang w:val="fr-FR"/>
        </w:rPr>
        <w:t>par domaine technique</w:t>
      </w:r>
    </w:p>
    <w:p w:rsidR="00B75756" w:rsidRPr="009349C2" w:rsidRDefault="00B75756" w:rsidP="009349C2">
      <w:pPr>
        <w:keepNext/>
        <w:keepLines/>
        <w:rPr>
          <w:szCs w:val="22"/>
          <w:lang w:val="fr-FR"/>
        </w:rPr>
      </w:pPr>
    </w:p>
    <w:tbl>
      <w:tblPr>
        <w:tblW w:w="7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356"/>
        <w:gridCol w:w="1356"/>
        <w:gridCol w:w="1356"/>
        <w:gridCol w:w="1356"/>
      </w:tblGrid>
      <w:tr w:rsidR="009349C2" w:rsidRPr="009349C2" w:rsidTr="005E0219">
        <w:trPr>
          <w:cantSplit/>
        </w:trPr>
        <w:tc>
          <w:tcPr>
            <w:tcW w:w="2410" w:type="dxa"/>
            <w:tcBorders>
              <w:top w:val="single" w:sz="4" w:space="0" w:color="auto"/>
              <w:left w:val="single" w:sz="4" w:space="0" w:color="auto"/>
              <w:bottom w:val="single" w:sz="4" w:space="0" w:color="auto"/>
              <w:right w:val="single" w:sz="4" w:space="0" w:color="auto"/>
              <w:tl2br w:val="single" w:sz="4" w:space="0" w:color="auto"/>
            </w:tcBorders>
          </w:tcPr>
          <w:p w:rsidR="00342BCA" w:rsidRPr="009349C2" w:rsidRDefault="00342BCA" w:rsidP="009349C2">
            <w:pPr>
              <w:keepNext/>
              <w:jc w:val="right"/>
              <w:rPr>
                <w:rFonts w:eastAsia="Times New Roman"/>
                <w:b/>
                <w:bCs/>
                <w:szCs w:val="22"/>
                <w:lang w:val="fr-FR" w:eastAsia="en-US" w:bidi="he-IL"/>
              </w:rPr>
            </w:pPr>
          </w:p>
          <w:p w:rsidR="00342BCA" w:rsidRPr="009349C2" w:rsidRDefault="0084454B" w:rsidP="009349C2">
            <w:pPr>
              <w:keepNext/>
              <w:jc w:val="right"/>
              <w:rPr>
                <w:b/>
                <w:bCs/>
                <w:szCs w:val="22"/>
                <w:lang w:val="fr-FR" w:eastAsia="en-US" w:bidi="he-IL"/>
              </w:rPr>
            </w:pPr>
            <w:r w:rsidRPr="009349C2">
              <w:rPr>
                <w:b/>
                <w:bCs/>
                <w:szCs w:val="22"/>
                <w:lang w:val="fr-FR" w:eastAsia="en-US" w:bidi="he-IL"/>
              </w:rPr>
              <w:t>Année</w:t>
            </w:r>
            <w:r w:rsidR="00902B1B" w:rsidRPr="009349C2">
              <w:rPr>
                <w:rStyle w:val="FootnoteReference"/>
                <w:szCs w:val="22"/>
                <w:lang w:eastAsia="en-US" w:bidi="he-IL"/>
              </w:rPr>
              <w:footnoteReference w:id="2"/>
            </w:r>
          </w:p>
          <w:p w:rsidR="00B75756" w:rsidRPr="009349C2" w:rsidRDefault="0084454B" w:rsidP="009349C2">
            <w:pPr>
              <w:keepNext/>
              <w:suppressAutoHyphens/>
              <w:rPr>
                <w:rFonts w:eastAsia="Times New Roman"/>
                <w:b/>
                <w:bCs/>
                <w:szCs w:val="22"/>
                <w:lang w:val="fr-FR" w:eastAsia="en-US" w:bidi="he-IL"/>
              </w:rPr>
            </w:pPr>
            <w:r w:rsidRPr="009349C2">
              <w:rPr>
                <w:rFonts w:eastAsia="Times New Roman"/>
                <w:b/>
                <w:bCs/>
                <w:szCs w:val="22"/>
                <w:lang w:val="fr-FR" w:eastAsia="en-US" w:bidi="he-IL"/>
              </w:rPr>
              <w:t>Domaine</w:t>
            </w:r>
            <w:r w:rsidR="00902B1B" w:rsidRPr="009349C2">
              <w:rPr>
                <w:rFonts w:eastAsia="Times New Roman"/>
                <w:b/>
                <w:bCs/>
                <w:szCs w:val="22"/>
                <w:lang w:val="fr-FR" w:eastAsia="en-US" w:bidi="he-IL"/>
              </w:rPr>
              <w:br/>
            </w:r>
            <w:r w:rsidRPr="009349C2">
              <w:rPr>
                <w:rFonts w:eastAsia="Times New Roman"/>
                <w:b/>
                <w:bCs/>
                <w:szCs w:val="22"/>
                <w:lang w:val="fr-FR" w:eastAsia="en-US" w:bidi="he-IL"/>
              </w:rPr>
              <w:t>technique</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suppressAutoHyphens/>
              <w:jc w:val="center"/>
              <w:rPr>
                <w:rFonts w:eastAsia="Times New Roman"/>
                <w:szCs w:val="22"/>
                <w:lang w:val="fr-FR" w:eastAsia="en-US" w:bidi="he-IL"/>
              </w:rPr>
            </w:pPr>
            <w:r w:rsidRPr="009349C2">
              <w:rPr>
                <w:szCs w:val="22"/>
                <w:lang w:val="fr-FR"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suppressAutoHyphens/>
              <w:jc w:val="center"/>
              <w:rPr>
                <w:rFonts w:eastAsia="Times New Roman"/>
                <w:szCs w:val="22"/>
                <w:lang w:val="fr-FR" w:eastAsia="en-US" w:bidi="he-IL"/>
              </w:rPr>
            </w:pPr>
            <w:r w:rsidRPr="009349C2">
              <w:rPr>
                <w:szCs w:val="22"/>
                <w:lang w:val="fr-FR"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suppressAutoHyphens/>
              <w:jc w:val="center"/>
              <w:rPr>
                <w:rFonts w:eastAsia="Times New Roman"/>
                <w:szCs w:val="22"/>
                <w:lang w:val="fr-FR" w:eastAsia="en-US" w:bidi="he-IL"/>
              </w:rPr>
            </w:pPr>
            <w:r w:rsidRPr="009349C2">
              <w:rPr>
                <w:szCs w:val="22"/>
                <w:lang w:val="fr-FR"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suppressAutoHyphens/>
              <w:jc w:val="center"/>
              <w:rPr>
                <w:rFonts w:eastAsia="Times New Roman"/>
                <w:szCs w:val="22"/>
                <w:lang w:val="fr-FR" w:eastAsia="en-US" w:bidi="he-IL"/>
              </w:rPr>
            </w:pPr>
            <w:r w:rsidRPr="009349C2">
              <w:rPr>
                <w:szCs w:val="22"/>
                <w:lang w:val="fr-FR" w:eastAsia="en-US" w:bidi="he-IL"/>
              </w:rPr>
              <w:t>2016</w:t>
            </w:r>
          </w:p>
        </w:tc>
      </w:tr>
      <w:tr w:rsidR="009349C2" w:rsidRPr="009349C2" w:rsidTr="005E0219">
        <w:trPr>
          <w:cantSplit/>
        </w:trPr>
        <w:tc>
          <w:tcPr>
            <w:tcW w:w="2410"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keepNext/>
              <w:suppressAutoHyphens/>
              <w:rPr>
                <w:rFonts w:eastAsia="Times New Roman"/>
                <w:szCs w:val="22"/>
                <w:lang w:val="fr-FR" w:eastAsia="en-US" w:bidi="he-IL"/>
              </w:rPr>
            </w:pPr>
            <w:r w:rsidRPr="009349C2">
              <w:rPr>
                <w:rFonts w:eastAsia="Times New Roman"/>
                <w:szCs w:val="22"/>
                <w:lang w:val="fr-FR" w:eastAsia="en-US" w:bidi="he-IL"/>
              </w:rPr>
              <w:t>Mécanique</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ind w:right="261"/>
              <w:jc w:val="right"/>
              <w:rPr>
                <w:lang w:val="fr-FR"/>
              </w:rPr>
            </w:pPr>
            <w:r w:rsidRPr="009349C2">
              <w:rPr>
                <w:lang w:val="fr-FR"/>
              </w:rPr>
              <w:t>1 118</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ind w:right="261"/>
              <w:jc w:val="right"/>
              <w:rPr>
                <w:lang w:val="fr-FR"/>
              </w:rPr>
            </w:pPr>
            <w:r w:rsidRPr="009349C2">
              <w:rPr>
                <w:lang w:val="fr-FR"/>
              </w:rPr>
              <w:t>1 291</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ind w:right="261"/>
              <w:jc w:val="right"/>
              <w:rPr>
                <w:lang w:val="fr-FR"/>
              </w:rPr>
            </w:pPr>
            <w:r w:rsidRPr="009349C2">
              <w:rPr>
                <w:lang w:val="fr-FR"/>
              </w:rPr>
              <w:t>1 221</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ind w:right="261"/>
              <w:jc w:val="right"/>
              <w:rPr>
                <w:lang w:val="fr-FR"/>
              </w:rPr>
            </w:pPr>
            <w:r w:rsidRPr="009349C2">
              <w:rPr>
                <w:lang w:val="fr-FR"/>
              </w:rPr>
              <w:t>1 050</w:t>
            </w:r>
          </w:p>
        </w:tc>
      </w:tr>
      <w:tr w:rsidR="009349C2" w:rsidRPr="009349C2" w:rsidTr="005E0219">
        <w:trPr>
          <w:cantSplit/>
        </w:trPr>
        <w:tc>
          <w:tcPr>
            <w:tcW w:w="2410"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keepNext/>
              <w:suppressAutoHyphens/>
              <w:rPr>
                <w:rFonts w:eastAsia="Times New Roman"/>
                <w:szCs w:val="22"/>
                <w:lang w:val="fr-FR" w:eastAsia="en-US" w:bidi="he-IL"/>
              </w:rPr>
            </w:pPr>
            <w:r w:rsidRPr="009349C2">
              <w:rPr>
                <w:rFonts w:eastAsia="Times New Roman"/>
                <w:szCs w:val="22"/>
                <w:lang w:val="fr-FR" w:eastAsia="en-US" w:bidi="he-IL"/>
              </w:rPr>
              <w:t>Électricité/électronique</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313</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420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391</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372</w:t>
            </w:r>
          </w:p>
        </w:tc>
      </w:tr>
      <w:tr w:rsidR="009349C2" w:rsidRPr="009349C2" w:rsidTr="005E0219">
        <w:trPr>
          <w:cantSplit/>
        </w:trPr>
        <w:tc>
          <w:tcPr>
            <w:tcW w:w="2410"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keepNext/>
              <w:suppressAutoHyphens/>
              <w:rPr>
                <w:szCs w:val="22"/>
                <w:lang w:val="fr-FR" w:eastAsia="en-US" w:bidi="he-IL"/>
              </w:rPr>
            </w:pPr>
            <w:r w:rsidRPr="009349C2">
              <w:rPr>
                <w:szCs w:val="22"/>
                <w:lang w:val="fr-FR" w:eastAsia="en-US" w:bidi="he-IL"/>
              </w:rPr>
              <w:t>Produits pharmaceutiques</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660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355</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562</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476</w:t>
            </w:r>
          </w:p>
        </w:tc>
      </w:tr>
      <w:tr w:rsidR="009349C2" w:rsidRPr="009349C2" w:rsidTr="005E0219">
        <w:trPr>
          <w:cantSplit/>
        </w:trPr>
        <w:tc>
          <w:tcPr>
            <w:tcW w:w="2410"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keepNext/>
              <w:suppressAutoHyphens/>
              <w:rPr>
                <w:rFonts w:eastAsia="Times New Roman"/>
                <w:szCs w:val="22"/>
                <w:lang w:val="fr-FR" w:eastAsia="en-US" w:bidi="he-IL"/>
              </w:rPr>
            </w:pPr>
            <w:r w:rsidRPr="009349C2">
              <w:rPr>
                <w:rFonts w:eastAsia="Times New Roman"/>
                <w:szCs w:val="22"/>
                <w:lang w:val="fr-FR" w:eastAsia="en-US" w:bidi="he-IL"/>
              </w:rPr>
              <w:t>Industrie chimique</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809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516</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644</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544</w:t>
            </w:r>
          </w:p>
        </w:tc>
      </w:tr>
      <w:tr w:rsidR="009349C2" w:rsidRPr="009349C2" w:rsidTr="005E0219">
        <w:trPr>
          <w:cantSplit/>
        </w:trPr>
        <w:tc>
          <w:tcPr>
            <w:tcW w:w="2410"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keepNext/>
              <w:suppressAutoHyphens/>
              <w:rPr>
                <w:rFonts w:eastAsia="Times New Roman"/>
                <w:szCs w:val="22"/>
                <w:lang w:val="fr-FR" w:eastAsia="en-US" w:bidi="he-IL"/>
              </w:rPr>
            </w:pPr>
            <w:r w:rsidRPr="009349C2">
              <w:rPr>
                <w:rFonts w:eastAsia="Times New Roman"/>
                <w:szCs w:val="22"/>
                <w:lang w:val="fr-FR" w:eastAsia="en-US" w:bidi="he-IL"/>
              </w:rPr>
              <w:t>Biotechnologie</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259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645</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559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577</w:t>
            </w:r>
          </w:p>
        </w:tc>
      </w:tr>
      <w:tr w:rsidR="00B75756" w:rsidRPr="009349C2" w:rsidTr="005E0219">
        <w:trPr>
          <w:cantSplit/>
        </w:trPr>
        <w:tc>
          <w:tcPr>
            <w:tcW w:w="2410"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suppressAutoHyphens/>
              <w:rPr>
                <w:rFonts w:eastAsia="Times New Roman"/>
                <w:i/>
                <w:iCs/>
                <w:szCs w:val="22"/>
                <w:lang w:val="fr-FR" w:eastAsia="en-US" w:bidi="he-IL"/>
              </w:rPr>
            </w:pPr>
            <w:r w:rsidRPr="009349C2">
              <w:rPr>
                <w:rFonts w:eastAsia="Times New Roman"/>
                <w:i/>
                <w:iCs/>
                <w:szCs w:val="22"/>
                <w:lang w:val="fr-FR" w:eastAsia="en-US" w:bidi="he-IL"/>
              </w:rPr>
              <w:t>Total</w:t>
            </w:r>
            <w:r w:rsidR="00902B1B" w:rsidRPr="009349C2">
              <w:rPr>
                <w:rStyle w:val="FootnoteReference"/>
                <w:i/>
                <w:iCs/>
                <w:szCs w:val="22"/>
                <w:lang w:eastAsia="en-US" w:bidi="he-IL"/>
              </w:rPr>
              <w:footnoteReference w:id="3"/>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ind w:right="261"/>
              <w:jc w:val="right"/>
              <w:rPr>
                <w:lang w:val="fr-FR"/>
              </w:rPr>
            </w:pPr>
            <w:r w:rsidRPr="009349C2">
              <w:rPr>
                <w:lang w:val="fr-FR"/>
              </w:rPr>
              <w:t>3 159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3</w:t>
            </w:r>
            <w:r w:rsidR="00902B1B" w:rsidRPr="009349C2">
              <w:rPr>
                <w:lang w:val="fr-FR"/>
              </w:rPr>
              <w:t> </w:t>
            </w:r>
            <w:r w:rsidRPr="009349C2">
              <w:rPr>
                <w:lang w:val="fr-FR"/>
              </w:rPr>
              <w:t>227</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3</w:t>
            </w:r>
            <w:r w:rsidR="00902B1B" w:rsidRPr="009349C2">
              <w:rPr>
                <w:lang w:val="fr-FR"/>
              </w:rPr>
              <w:t> </w:t>
            </w:r>
            <w:r w:rsidRPr="009349C2">
              <w:rPr>
                <w:lang w:val="fr-FR"/>
              </w:rPr>
              <w:t>377</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3</w:t>
            </w:r>
            <w:r w:rsidR="00902B1B" w:rsidRPr="009349C2">
              <w:rPr>
                <w:lang w:val="fr-FR"/>
              </w:rPr>
              <w:t> </w:t>
            </w:r>
            <w:r w:rsidRPr="009349C2">
              <w:rPr>
                <w:lang w:val="fr-FR"/>
              </w:rPr>
              <w:t>019</w:t>
            </w:r>
          </w:p>
        </w:tc>
      </w:tr>
    </w:tbl>
    <w:p w:rsidR="00342BCA" w:rsidRPr="009349C2" w:rsidRDefault="00342BCA" w:rsidP="009349C2">
      <w:pPr>
        <w:rPr>
          <w:b/>
          <w:bCs/>
          <w:szCs w:val="22"/>
          <w:lang w:val="fr-FR"/>
        </w:rPr>
      </w:pPr>
    </w:p>
    <w:p w:rsidR="00342BCA" w:rsidRPr="009349C2" w:rsidRDefault="0084454B" w:rsidP="009349C2">
      <w:pPr>
        <w:keepNext/>
        <w:keepLines/>
        <w:rPr>
          <w:b/>
          <w:bCs/>
          <w:szCs w:val="22"/>
          <w:lang w:val="fr-FR"/>
        </w:rPr>
      </w:pPr>
      <w:r w:rsidRPr="009349C2">
        <w:rPr>
          <w:b/>
          <w:bCs/>
          <w:szCs w:val="22"/>
          <w:lang w:val="fr-FR"/>
        </w:rPr>
        <w:t>Nombre de demandes nationales reçues</w:t>
      </w:r>
      <w:r w:rsidR="00D10BFC" w:rsidRPr="009349C2">
        <w:rPr>
          <w:b/>
          <w:bCs/>
          <w:szCs w:val="22"/>
          <w:lang w:val="fr-FR"/>
        </w:rPr>
        <w:t xml:space="preserve"> – </w:t>
      </w:r>
      <w:r w:rsidRPr="009349C2">
        <w:rPr>
          <w:b/>
          <w:bCs/>
          <w:szCs w:val="22"/>
          <w:lang w:val="fr-FR"/>
        </w:rPr>
        <w:t>par voie de dépôt</w:t>
      </w:r>
    </w:p>
    <w:p w:rsidR="00B75756" w:rsidRPr="009349C2" w:rsidRDefault="00B75756" w:rsidP="009349C2">
      <w:pPr>
        <w:keepNext/>
        <w:keepLines/>
        <w:rPr>
          <w:szCs w:val="22"/>
          <w:lang w:val="fr-FR"/>
        </w:rPr>
      </w:pP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1"/>
        <w:gridCol w:w="1361"/>
        <w:gridCol w:w="1361"/>
        <w:gridCol w:w="1361"/>
      </w:tblGrid>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342BCA" w:rsidRPr="009349C2" w:rsidRDefault="00342BCA" w:rsidP="009349C2">
            <w:pPr>
              <w:keepNext/>
              <w:keepLines/>
              <w:jc w:val="right"/>
              <w:rPr>
                <w:rFonts w:eastAsia="Times New Roman"/>
                <w:b/>
                <w:bCs/>
                <w:szCs w:val="22"/>
                <w:lang w:val="fr-FR" w:eastAsia="en-US" w:bidi="he-IL"/>
              </w:rPr>
            </w:pPr>
          </w:p>
          <w:p w:rsidR="00342BCA" w:rsidRPr="009349C2" w:rsidRDefault="0084454B" w:rsidP="009349C2">
            <w:pPr>
              <w:keepNext/>
              <w:keepLines/>
              <w:jc w:val="right"/>
              <w:rPr>
                <w:b/>
                <w:bCs/>
                <w:szCs w:val="22"/>
                <w:lang w:val="fr-FR" w:eastAsia="en-US" w:bidi="he-IL"/>
              </w:rPr>
            </w:pPr>
            <w:r w:rsidRPr="009349C2">
              <w:rPr>
                <w:b/>
                <w:bCs/>
                <w:szCs w:val="22"/>
                <w:lang w:val="fr-FR" w:eastAsia="en-US" w:bidi="he-IL"/>
              </w:rPr>
              <w:t>Année</w:t>
            </w:r>
          </w:p>
          <w:p w:rsidR="00B75756" w:rsidRPr="009349C2" w:rsidRDefault="0084454B" w:rsidP="009349C2">
            <w:pPr>
              <w:keepNext/>
              <w:keepLines/>
              <w:suppressAutoHyphens/>
              <w:rPr>
                <w:rFonts w:eastAsia="Times New Roman"/>
                <w:b/>
                <w:bCs/>
                <w:szCs w:val="22"/>
                <w:lang w:val="fr-FR" w:eastAsia="en-US" w:bidi="he-IL"/>
              </w:rPr>
            </w:pPr>
            <w:r w:rsidRPr="009349C2">
              <w:rPr>
                <w:rFonts w:eastAsia="Times New Roman"/>
                <w:b/>
                <w:bCs/>
                <w:szCs w:val="22"/>
                <w:lang w:val="fr-FR" w:eastAsia="en-US" w:bidi="he-IL"/>
              </w:rPr>
              <w:t>Voie</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keepLines/>
              <w:suppressAutoHyphens/>
              <w:jc w:val="center"/>
              <w:rPr>
                <w:rFonts w:eastAsia="Times New Roman"/>
                <w:szCs w:val="22"/>
                <w:lang w:val="fr-FR" w:eastAsia="en-US" w:bidi="he-IL"/>
              </w:rPr>
            </w:pPr>
            <w:r w:rsidRPr="009349C2">
              <w:rPr>
                <w:szCs w:val="22"/>
                <w:lang w:val="fr-FR"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keepLines/>
              <w:suppressAutoHyphens/>
              <w:jc w:val="center"/>
              <w:rPr>
                <w:rFonts w:eastAsia="Times New Roman"/>
                <w:szCs w:val="22"/>
                <w:lang w:val="fr-FR" w:eastAsia="en-US" w:bidi="he-IL"/>
              </w:rPr>
            </w:pPr>
            <w:r w:rsidRPr="009349C2">
              <w:rPr>
                <w:szCs w:val="22"/>
                <w:lang w:val="fr-FR"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keepLines/>
              <w:suppressAutoHyphens/>
              <w:jc w:val="center"/>
              <w:rPr>
                <w:rFonts w:eastAsia="Times New Roman"/>
                <w:szCs w:val="22"/>
                <w:lang w:val="fr-FR" w:eastAsia="en-US" w:bidi="he-IL"/>
              </w:rPr>
            </w:pPr>
            <w:r w:rsidRPr="009349C2">
              <w:rPr>
                <w:szCs w:val="22"/>
                <w:lang w:val="fr-FR"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keepLines/>
              <w:suppressAutoHyphens/>
              <w:jc w:val="center"/>
              <w:rPr>
                <w:rFonts w:eastAsia="Times New Roman"/>
                <w:szCs w:val="22"/>
                <w:lang w:val="fr-FR" w:eastAsia="en-US" w:bidi="he-IL"/>
              </w:rPr>
            </w:pPr>
            <w:r w:rsidRPr="009349C2">
              <w:rPr>
                <w:szCs w:val="22"/>
                <w:lang w:val="fr-FR" w:eastAsia="en-US" w:bidi="he-IL"/>
              </w:rPr>
              <w:t>2016</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suppressAutoHyphens/>
              <w:rPr>
                <w:rFonts w:eastAsia="Times New Roman"/>
                <w:szCs w:val="22"/>
                <w:lang w:val="fr-FR" w:eastAsia="en-US" w:bidi="he-IL"/>
              </w:rPr>
            </w:pPr>
            <w:r w:rsidRPr="009349C2">
              <w:rPr>
                <w:rFonts w:eastAsia="Times New Roman"/>
                <w:szCs w:val="22"/>
                <w:lang w:val="fr-FR" w:eastAsia="en-US" w:bidi="he-IL"/>
              </w:rPr>
              <w:t>Premier dépôt national/priorité interne</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418</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534</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510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460</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84454B" w:rsidP="009349C2">
            <w:pPr>
              <w:suppressAutoHyphens/>
              <w:rPr>
                <w:rFonts w:eastAsia="Times New Roman"/>
                <w:szCs w:val="22"/>
                <w:lang w:val="fr-FR" w:eastAsia="en-US" w:bidi="he-IL"/>
              </w:rPr>
            </w:pPr>
            <w:r w:rsidRPr="009349C2">
              <w:rPr>
                <w:rFonts w:eastAsia="Times New Roman"/>
                <w:szCs w:val="22"/>
                <w:lang w:val="fr-FR" w:eastAsia="en-US" w:bidi="he-IL"/>
              </w:rPr>
              <w:t>Priorité selon la Convention de Paris</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241</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223</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159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1"/>
              <w:jc w:val="right"/>
              <w:rPr>
                <w:lang w:val="fr-FR"/>
              </w:rPr>
            </w:pPr>
            <w:r w:rsidRPr="009349C2">
              <w:rPr>
                <w:lang w:val="fr-FR"/>
              </w:rPr>
              <w:t>148</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rFonts w:eastAsia="Times New Roman"/>
                <w:szCs w:val="22"/>
                <w:lang w:val="fr-FR" w:eastAsia="en-US" w:bidi="he-IL"/>
              </w:rPr>
            </w:pPr>
            <w:r w:rsidRPr="009349C2">
              <w:rPr>
                <w:rFonts w:eastAsia="Times New Roman"/>
                <w:szCs w:val="22"/>
                <w:lang w:val="fr-FR" w:eastAsia="en-US" w:bidi="he-IL"/>
              </w:rPr>
              <w:t>Entrée dans la phase nationale PCT</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2 500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2 470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2 708</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2 411</w:t>
            </w:r>
          </w:p>
        </w:tc>
      </w:tr>
      <w:tr w:rsidR="00B75756"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rFonts w:eastAsia="Times New Roman"/>
                <w:i/>
                <w:iCs/>
                <w:szCs w:val="22"/>
                <w:lang w:val="fr-FR" w:eastAsia="en-US" w:bidi="he-IL"/>
              </w:rPr>
            </w:pPr>
            <w:r w:rsidRPr="009349C2">
              <w:rPr>
                <w:rFonts w:eastAsia="Times New Roman"/>
                <w:i/>
                <w:iCs/>
                <w:szCs w:val="22"/>
                <w:lang w:val="fr-FR" w:eastAsia="en-US" w:bidi="he-IL"/>
              </w:rPr>
              <w:t>Total</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3 159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3 227</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3 377</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ind w:right="261"/>
              <w:jc w:val="right"/>
              <w:rPr>
                <w:lang w:val="fr-FR"/>
              </w:rPr>
            </w:pPr>
            <w:r w:rsidRPr="009349C2">
              <w:rPr>
                <w:lang w:val="fr-FR"/>
              </w:rPr>
              <w:t>3 019</w:t>
            </w:r>
          </w:p>
        </w:tc>
      </w:tr>
    </w:tbl>
    <w:p w:rsidR="00342BCA" w:rsidRPr="009349C2" w:rsidRDefault="00342BCA" w:rsidP="009349C2">
      <w:pPr>
        <w:rPr>
          <w:b/>
          <w:bCs/>
          <w:szCs w:val="22"/>
          <w:lang w:val="fr-FR"/>
        </w:rPr>
      </w:pPr>
    </w:p>
    <w:p w:rsidR="00342BCA" w:rsidRPr="009349C2" w:rsidRDefault="00056BA0" w:rsidP="009349C2">
      <w:pPr>
        <w:rPr>
          <w:b/>
          <w:bCs/>
          <w:szCs w:val="22"/>
          <w:lang w:val="fr-FR"/>
        </w:rPr>
      </w:pPr>
      <w:r w:rsidRPr="009349C2">
        <w:rPr>
          <w:b/>
          <w:bCs/>
          <w:szCs w:val="22"/>
          <w:lang w:val="fr-FR"/>
        </w:rPr>
        <w:t>Nombre de demandes internationales reçues en tant qu</w:t>
      </w:r>
      <w:r w:rsidR="00D10BFC" w:rsidRPr="009349C2">
        <w:rPr>
          <w:b/>
          <w:bCs/>
          <w:szCs w:val="22"/>
          <w:lang w:val="fr-FR"/>
        </w:rPr>
        <w:t>’</w:t>
      </w:r>
      <w:r w:rsidRPr="009349C2">
        <w:rPr>
          <w:b/>
          <w:bCs/>
          <w:szCs w:val="22"/>
          <w:lang w:val="fr-FR"/>
        </w:rPr>
        <w:t>office récepteur</w:t>
      </w:r>
    </w:p>
    <w:p w:rsidR="00B75756" w:rsidRPr="009349C2" w:rsidRDefault="00B75756" w:rsidP="009349C2">
      <w:pPr>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342BCA" w:rsidRPr="009349C2" w:rsidRDefault="00342BCA" w:rsidP="009349C2">
            <w:pPr>
              <w:jc w:val="right"/>
              <w:rPr>
                <w:rFonts w:eastAsia="Times New Roman"/>
                <w:b/>
                <w:bCs/>
                <w:szCs w:val="22"/>
                <w:lang w:val="fr-FR" w:eastAsia="en-US" w:bidi="he-IL"/>
              </w:rPr>
            </w:pPr>
          </w:p>
          <w:p w:rsidR="00342BCA" w:rsidRPr="009349C2" w:rsidRDefault="00056BA0" w:rsidP="009349C2">
            <w:pPr>
              <w:jc w:val="right"/>
              <w:rPr>
                <w:b/>
                <w:bCs/>
                <w:szCs w:val="22"/>
                <w:lang w:val="fr-FR" w:eastAsia="en-US" w:bidi="he-IL"/>
              </w:rPr>
            </w:pPr>
            <w:r w:rsidRPr="009349C2">
              <w:rPr>
                <w:b/>
                <w:bCs/>
                <w:szCs w:val="22"/>
                <w:lang w:val="fr-FR" w:eastAsia="en-US" w:bidi="he-IL"/>
              </w:rPr>
              <w:t>Année</w:t>
            </w:r>
          </w:p>
          <w:p w:rsidR="00B75756" w:rsidRPr="009349C2" w:rsidRDefault="00902B1B" w:rsidP="009349C2">
            <w:pPr>
              <w:suppressAutoHyphens/>
              <w:rPr>
                <w:rFonts w:eastAsia="Times New Roman"/>
                <w:b/>
                <w:bCs/>
                <w:szCs w:val="22"/>
                <w:lang w:val="fr-FR" w:eastAsia="en-US" w:bidi="he-IL"/>
              </w:rPr>
            </w:pPr>
            <w:r w:rsidRPr="009349C2">
              <w:rPr>
                <w:rFonts w:eastAsia="Times New Roman"/>
                <w:b/>
                <w:bCs/>
                <w:szCs w:val="22"/>
                <w:lang w:val="fr-FR" w:eastAsia="en-US" w:bidi="he-IL"/>
              </w:rPr>
              <w:t>Domaine</w:t>
            </w:r>
            <w:r w:rsidRPr="009349C2">
              <w:rPr>
                <w:rFonts w:eastAsia="Times New Roman"/>
                <w:b/>
                <w:bCs/>
                <w:szCs w:val="22"/>
                <w:lang w:val="fr-FR" w:eastAsia="en-US" w:bidi="he-IL"/>
              </w:rPr>
              <w:br/>
            </w:r>
            <w:r w:rsidR="00056BA0" w:rsidRPr="009349C2">
              <w:rPr>
                <w:rFonts w:eastAsia="Times New Roman"/>
                <w:b/>
                <w:bCs/>
                <w:szCs w:val="22"/>
                <w:lang w:val="fr-FR" w:eastAsia="en-US" w:bidi="he-IL"/>
              </w:rPr>
              <w:t>technique</w:t>
            </w:r>
          </w:p>
        </w:tc>
        <w:tc>
          <w:tcPr>
            <w:tcW w:w="1360"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suppressAutoHyphens/>
              <w:jc w:val="center"/>
              <w:rPr>
                <w:rFonts w:eastAsia="Times New Roman"/>
                <w:szCs w:val="22"/>
                <w:lang w:val="fr-FR" w:eastAsia="en-US" w:bidi="he-IL"/>
              </w:rPr>
            </w:pPr>
            <w:r w:rsidRPr="009349C2">
              <w:rPr>
                <w:szCs w:val="22"/>
                <w:lang w:val="fr-FR" w:eastAsia="en-US" w:bidi="he-IL"/>
              </w:rPr>
              <w:t>2012</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suppressAutoHyphens/>
              <w:jc w:val="center"/>
              <w:rPr>
                <w:rFonts w:eastAsia="Times New Roman"/>
                <w:szCs w:val="22"/>
                <w:lang w:val="fr-FR" w:eastAsia="en-US" w:bidi="he-IL"/>
              </w:rPr>
            </w:pPr>
            <w:r w:rsidRPr="009349C2">
              <w:rPr>
                <w:szCs w:val="22"/>
                <w:lang w:val="fr-FR"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suppressAutoHyphens/>
              <w:jc w:val="center"/>
              <w:rPr>
                <w:rFonts w:eastAsia="Times New Roman"/>
                <w:szCs w:val="22"/>
                <w:lang w:val="fr-FR" w:eastAsia="en-US" w:bidi="he-IL"/>
              </w:rPr>
            </w:pPr>
            <w:r w:rsidRPr="009349C2">
              <w:rPr>
                <w:szCs w:val="22"/>
                <w:lang w:val="fr-FR"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suppressAutoHyphens/>
              <w:jc w:val="center"/>
              <w:rPr>
                <w:rFonts w:eastAsia="Times New Roman"/>
                <w:szCs w:val="22"/>
                <w:lang w:val="fr-FR" w:eastAsia="en-US" w:bidi="he-IL"/>
              </w:rPr>
            </w:pPr>
            <w:r w:rsidRPr="009349C2">
              <w:rPr>
                <w:szCs w:val="22"/>
                <w:lang w:val="fr-FR"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suppressAutoHyphens/>
              <w:jc w:val="center"/>
              <w:rPr>
                <w:rFonts w:eastAsia="Times New Roman"/>
                <w:szCs w:val="22"/>
                <w:lang w:val="fr-FR" w:eastAsia="en-US" w:bidi="he-IL"/>
              </w:rPr>
            </w:pPr>
            <w:r w:rsidRPr="009349C2">
              <w:rPr>
                <w:szCs w:val="22"/>
                <w:lang w:val="fr-FR" w:eastAsia="en-US" w:bidi="he-IL"/>
              </w:rPr>
              <w:t>2016</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rFonts w:eastAsia="Times New Roman"/>
                <w:szCs w:val="22"/>
                <w:lang w:val="fr-FR" w:eastAsia="en-US" w:bidi="he-IL"/>
              </w:rPr>
            </w:pPr>
            <w:r w:rsidRPr="009349C2">
              <w:rPr>
                <w:rFonts w:eastAsia="Times New Roman"/>
                <w:szCs w:val="22"/>
                <w:lang w:val="fr-FR" w:eastAsia="en-US" w:bidi="he-IL"/>
              </w:rPr>
              <w:t>Mécanique</w:t>
            </w:r>
          </w:p>
        </w:tc>
        <w:tc>
          <w:tcPr>
            <w:tcW w:w="1360"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36</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63</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45</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57</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81</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rFonts w:eastAsia="Times New Roman"/>
                <w:szCs w:val="22"/>
                <w:lang w:val="fr-FR" w:eastAsia="en-US" w:bidi="he-IL"/>
              </w:rPr>
            </w:pPr>
            <w:r w:rsidRPr="009349C2">
              <w:rPr>
                <w:rFonts w:eastAsia="Times New Roman"/>
                <w:szCs w:val="22"/>
                <w:lang w:val="fr-FR" w:eastAsia="en-US" w:bidi="he-IL"/>
              </w:rPr>
              <w:t>Électricité/électronique</w:t>
            </w:r>
          </w:p>
        </w:tc>
        <w:tc>
          <w:tcPr>
            <w:tcW w:w="1360"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13</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4</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11</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26</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23</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szCs w:val="22"/>
                <w:lang w:val="fr-FR" w:eastAsia="en-US" w:bidi="he-IL"/>
              </w:rPr>
            </w:pPr>
            <w:r w:rsidRPr="009349C2">
              <w:rPr>
                <w:szCs w:val="22"/>
                <w:lang w:val="fr-FR" w:eastAsia="en-US" w:bidi="he-IL"/>
              </w:rPr>
              <w:t>Produits pharmaceutiques</w:t>
            </w:r>
          </w:p>
        </w:tc>
        <w:tc>
          <w:tcPr>
            <w:tcW w:w="1360"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3</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3</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4</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8</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7</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rFonts w:eastAsia="Times New Roman"/>
                <w:szCs w:val="22"/>
                <w:lang w:val="fr-FR" w:eastAsia="en-US" w:bidi="he-IL"/>
              </w:rPr>
            </w:pPr>
            <w:r w:rsidRPr="009349C2">
              <w:rPr>
                <w:rFonts w:eastAsia="Times New Roman"/>
                <w:szCs w:val="22"/>
                <w:lang w:val="fr-FR" w:eastAsia="en-US" w:bidi="he-IL"/>
              </w:rPr>
              <w:t>Chimie</w:t>
            </w:r>
          </w:p>
        </w:tc>
        <w:tc>
          <w:tcPr>
            <w:tcW w:w="1360"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11</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20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21</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25</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22</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rFonts w:eastAsia="Times New Roman"/>
                <w:szCs w:val="22"/>
                <w:lang w:val="fr-FR" w:eastAsia="en-US" w:bidi="he-IL"/>
              </w:rPr>
            </w:pPr>
            <w:r w:rsidRPr="009349C2">
              <w:rPr>
                <w:rFonts w:eastAsia="Times New Roman"/>
                <w:szCs w:val="22"/>
                <w:lang w:val="fr-FR" w:eastAsia="en-US" w:bidi="he-IL"/>
              </w:rPr>
              <w:t>Biotechnologie</w:t>
            </w:r>
          </w:p>
        </w:tc>
        <w:tc>
          <w:tcPr>
            <w:tcW w:w="1360"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16</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12</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20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30</w:t>
            </w:r>
          </w:p>
        </w:tc>
      </w:tr>
      <w:tr w:rsidR="00B75756" w:rsidRPr="009349C2" w:rsidTr="005E0219">
        <w:trPr>
          <w:cantSplit/>
        </w:trPr>
        <w:tc>
          <w:tcPr>
            <w:tcW w:w="2518" w:type="dxa"/>
            <w:tcBorders>
              <w:top w:val="single" w:sz="4" w:space="0" w:color="auto"/>
              <w:left w:val="single" w:sz="4" w:space="0" w:color="auto"/>
              <w:bottom w:val="single" w:sz="4" w:space="0" w:color="auto"/>
              <w:right w:val="single" w:sz="4" w:space="0" w:color="auto"/>
            </w:tcBorders>
          </w:tcPr>
          <w:p w:rsidR="00B75756" w:rsidRPr="009349C2" w:rsidRDefault="00056BA0" w:rsidP="009349C2">
            <w:pPr>
              <w:suppressAutoHyphens/>
              <w:rPr>
                <w:rFonts w:eastAsia="Times New Roman"/>
                <w:i/>
                <w:iCs/>
                <w:szCs w:val="22"/>
                <w:lang w:val="fr-FR" w:eastAsia="en-US" w:bidi="he-IL"/>
              </w:rPr>
            </w:pPr>
            <w:r w:rsidRPr="009349C2">
              <w:rPr>
                <w:rFonts w:eastAsia="Times New Roman"/>
                <w:i/>
                <w:iCs/>
                <w:szCs w:val="22"/>
                <w:lang w:val="fr-FR"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79</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102</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90</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136</w:t>
            </w:r>
          </w:p>
        </w:tc>
        <w:tc>
          <w:tcPr>
            <w:tcW w:w="1361"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260"/>
              <w:jc w:val="right"/>
              <w:rPr>
                <w:lang w:val="fr-FR"/>
              </w:rPr>
            </w:pPr>
            <w:r w:rsidRPr="009349C2">
              <w:rPr>
                <w:lang w:val="fr-FR"/>
              </w:rPr>
              <w:t>163</w:t>
            </w:r>
          </w:p>
        </w:tc>
      </w:tr>
    </w:tbl>
    <w:p w:rsidR="00342BCA" w:rsidRPr="009349C2" w:rsidRDefault="00342BCA" w:rsidP="009349C2">
      <w:pPr>
        <w:rPr>
          <w:b/>
          <w:bCs/>
          <w:szCs w:val="22"/>
          <w:lang w:val="fr-FR"/>
        </w:rPr>
      </w:pPr>
    </w:p>
    <w:p w:rsidR="00342BCA" w:rsidRPr="009349C2" w:rsidRDefault="00FC23A3" w:rsidP="009349C2">
      <w:pPr>
        <w:keepNext/>
        <w:rPr>
          <w:b/>
          <w:szCs w:val="22"/>
          <w:lang w:val="fr-FR"/>
        </w:rPr>
      </w:pPr>
      <w:r w:rsidRPr="009349C2">
        <w:rPr>
          <w:b/>
          <w:szCs w:val="22"/>
          <w:lang w:val="fr-FR"/>
        </w:rPr>
        <w:t>Délai</w:t>
      </w:r>
      <w:r w:rsidR="00056BA0" w:rsidRPr="009349C2">
        <w:rPr>
          <w:b/>
          <w:szCs w:val="22"/>
          <w:lang w:val="fr-FR"/>
        </w:rPr>
        <w:t xml:space="preserve"> moyen </w:t>
      </w:r>
      <w:r w:rsidRPr="009349C2">
        <w:rPr>
          <w:b/>
          <w:szCs w:val="22"/>
          <w:lang w:val="fr-FR"/>
        </w:rPr>
        <w:t xml:space="preserve">d’instruction des demandes de </w:t>
      </w:r>
      <w:r w:rsidR="00056BA0" w:rsidRPr="009349C2">
        <w:rPr>
          <w:b/>
          <w:szCs w:val="22"/>
          <w:lang w:val="fr-FR"/>
        </w:rPr>
        <w:t>brevet national</w:t>
      </w:r>
      <w:r w:rsidRPr="009349C2">
        <w:rPr>
          <w:b/>
          <w:szCs w:val="22"/>
          <w:lang w:val="fr-FR"/>
        </w:rPr>
        <w:t>es</w:t>
      </w:r>
    </w:p>
    <w:p w:rsidR="00B75756" w:rsidRPr="009349C2" w:rsidRDefault="00B75756" w:rsidP="009349C2">
      <w:pPr>
        <w:keepNext/>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Pr="009349C2" w:rsidRDefault="00056BA0" w:rsidP="009349C2">
            <w:pPr>
              <w:keepNext/>
              <w:keepLines/>
              <w:suppressAutoHyphens/>
              <w:jc w:val="center"/>
              <w:rPr>
                <w:rFonts w:eastAsia="Times New Roman"/>
                <w:b/>
                <w:bCs/>
                <w:szCs w:val="22"/>
                <w:lang w:val="fr-FR" w:eastAsia="en-US" w:bidi="he-IL"/>
              </w:rPr>
            </w:pPr>
            <w:r w:rsidRPr="009349C2">
              <w:rPr>
                <w:rFonts w:eastAsia="Times New Roman"/>
                <w:b/>
                <w:bCs/>
                <w:szCs w:val="22"/>
                <w:lang w:val="fr-FR" w:eastAsia="en-US" w:bidi="he-IL"/>
              </w:rPr>
              <w:t>Indicateur</w:t>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9349C2" w:rsidRDefault="00F44428" w:rsidP="009349C2">
            <w:pPr>
              <w:keepNext/>
              <w:keepLines/>
              <w:suppressAutoHyphens/>
              <w:jc w:val="center"/>
              <w:rPr>
                <w:rFonts w:eastAsia="Times New Roman"/>
                <w:b/>
                <w:bCs/>
                <w:szCs w:val="22"/>
                <w:lang w:val="fr-FR" w:eastAsia="en-US" w:bidi="he-IL"/>
              </w:rPr>
            </w:pPr>
            <w:r w:rsidRPr="009349C2">
              <w:rPr>
                <w:rFonts w:eastAsia="Times New Roman"/>
                <w:b/>
                <w:bCs/>
                <w:szCs w:val="22"/>
                <w:lang w:val="fr-FR" w:eastAsia="en-US" w:bidi="he-IL"/>
              </w:rPr>
              <w:t>À compter d</w:t>
            </w:r>
            <w:r w:rsidR="008116F1" w:rsidRPr="009349C2">
              <w:rPr>
                <w:rFonts w:eastAsia="Times New Roman"/>
                <w:b/>
                <w:bCs/>
                <w:szCs w:val="22"/>
                <w:lang w:val="fr-FR" w:eastAsia="en-US" w:bidi="he-IL"/>
              </w:rPr>
              <w:t>u</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9349C2" w:rsidRDefault="00056BA0" w:rsidP="009349C2">
            <w:pPr>
              <w:keepNext/>
              <w:keepLines/>
              <w:suppressAutoHyphens/>
              <w:jc w:val="center"/>
              <w:rPr>
                <w:rFonts w:eastAsia="Times New Roman"/>
                <w:b/>
                <w:bCs/>
                <w:szCs w:val="22"/>
                <w:lang w:val="fr-FR" w:eastAsia="en-US" w:bidi="he-IL"/>
              </w:rPr>
            </w:pPr>
            <w:r w:rsidRPr="009349C2">
              <w:rPr>
                <w:rFonts w:eastAsia="Times New Roman"/>
                <w:b/>
                <w:bCs/>
                <w:szCs w:val="22"/>
                <w:lang w:val="fr-FR" w:eastAsia="en-US" w:bidi="he-IL"/>
              </w:rPr>
              <w:t>Délai (mois)</w:t>
            </w:r>
          </w:p>
        </w:tc>
      </w:tr>
      <w:tr w:rsidR="009349C2" w:rsidRPr="009349C2" w:rsidTr="005E0219">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Pr="009349C2" w:rsidRDefault="00056BA0" w:rsidP="009349C2">
            <w:pPr>
              <w:keepNext/>
              <w:keepLines/>
              <w:suppressAutoHyphens/>
              <w:jc w:val="center"/>
              <w:rPr>
                <w:rFonts w:eastAsia="Times New Roman"/>
                <w:szCs w:val="22"/>
                <w:lang w:val="fr-FR" w:eastAsia="en-US" w:bidi="he-IL"/>
              </w:rPr>
            </w:pPr>
            <w:r w:rsidRPr="009349C2">
              <w:rPr>
                <w:szCs w:val="22"/>
                <w:lang w:val="fr-FR" w:eastAsia="en-US" w:bidi="he-IL"/>
              </w:rPr>
              <w:t>Jusqu</w:t>
            </w:r>
            <w:r w:rsidR="00D10BFC" w:rsidRPr="009349C2">
              <w:rPr>
                <w:szCs w:val="22"/>
                <w:lang w:val="fr-FR" w:eastAsia="en-US" w:bidi="he-IL"/>
              </w:rPr>
              <w:t>’</w:t>
            </w:r>
            <w:r w:rsidRPr="009349C2">
              <w:rPr>
                <w:szCs w:val="22"/>
                <w:lang w:val="fr-FR" w:eastAsia="en-US" w:bidi="he-IL"/>
              </w:rPr>
              <w:t>à la recherche et au premier examen</w:t>
            </w:r>
            <w:r w:rsidR="00B75756" w:rsidRPr="009349C2">
              <w:rPr>
                <w:rStyle w:val="FootnoteReference"/>
                <w:szCs w:val="22"/>
                <w:lang w:val="fr-FR" w:eastAsia="en-US" w:bidi="he-IL"/>
              </w:rPr>
              <w:footnoteReference w:id="4"/>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9349C2" w:rsidRDefault="00056BA0" w:rsidP="009349C2">
            <w:pPr>
              <w:keepNext/>
              <w:jc w:val="center"/>
              <w:rPr>
                <w:lang w:val="fr-FR"/>
              </w:rPr>
            </w:pPr>
            <w:r w:rsidRPr="009349C2">
              <w:rPr>
                <w:lang w:val="fr-FR"/>
              </w:rPr>
              <w:t>Dépôt de la demande</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jc w:val="center"/>
              <w:rPr>
                <w:lang w:val="fr-FR"/>
              </w:rPr>
            </w:pPr>
            <w:r w:rsidRPr="009349C2">
              <w:rPr>
                <w:lang w:val="fr-FR"/>
              </w:rPr>
              <w:t>24</w:t>
            </w:r>
          </w:p>
        </w:tc>
      </w:tr>
      <w:tr w:rsidR="00B75756" w:rsidRPr="009349C2" w:rsidTr="005E0219">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Pr="009349C2" w:rsidRDefault="00056BA0" w:rsidP="009349C2">
            <w:pPr>
              <w:keepNext/>
              <w:keepLines/>
              <w:suppressAutoHyphens/>
              <w:jc w:val="center"/>
              <w:rPr>
                <w:rFonts w:eastAsia="Times New Roman"/>
                <w:szCs w:val="22"/>
                <w:lang w:val="fr-FR" w:eastAsia="en-US" w:bidi="he-IL"/>
              </w:rPr>
            </w:pPr>
            <w:r w:rsidRPr="009349C2">
              <w:rPr>
                <w:szCs w:val="22"/>
                <w:lang w:val="fr-FR" w:eastAsia="en-US" w:bidi="he-IL"/>
              </w:rPr>
              <w:t>Jusqu</w:t>
            </w:r>
            <w:r w:rsidR="00D10BFC" w:rsidRPr="009349C2">
              <w:rPr>
                <w:szCs w:val="22"/>
                <w:lang w:val="fr-FR" w:eastAsia="en-US" w:bidi="he-IL"/>
              </w:rPr>
              <w:t>’</w:t>
            </w:r>
            <w:r w:rsidRPr="009349C2">
              <w:rPr>
                <w:szCs w:val="22"/>
                <w:lang w:val="fr-FR" w:eastAsia="en-US" w:bidi="he-IL"/>
              </w:rPr>
              <w:t>à la délivrance</w:t>
            </w:r>
            <w:r w:rsidR="00B75756" w:rsidRPr="009349C2">
              <w:rPr>
                <w:rStyle w:val="FootnoteReference"/>
                <w:szCs w:val="22"/>
                <w:lang w:val="fr-FR" w:eastAsia="en-US" w:bidi="he-IL"/>
              </w:rPr>
              <w:footnoteReference w:id="5"/>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9349C2" w:rsidRDefault="00056BA0" w:rsidP="009349C2">
            <w:pPr>
              <w:keepNext/>
              <w:jc w:val="center"/>
              <w:rPr>
                <w:lang w:val="fr-FR"/>
              </w:rPr>
            </w:pPr>
            <w:r w:rsidRPr="009349C2">
              <w:rPr>
                <w:lang w:val="fr-FR"/>
              </w:rPr>
              <w:t>Dépôt de la demande</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9349C2" w:rsidRDefault="00B75756" w:rsidP="009349C2">
            <w:pPr>
              <w:keepNext/>
              <w:jc w:val="center"/>
              <w:rPr>
                <w:lang w:val="fr-FR"/>
              </w:rPr>
            </w:pPr>
            <w:r w:rsidRPr="009349C2">
              <w:rPr>
                <w:lang w:val="fr-FR"/>
              </w:rPr>
              <w:t>48</w:t>
            </w:r>
          </w:p>
        </w:tc>
      </w:tr>
    </w:tbl>
    <w:p w:rsidR="00342BCA" w:rsidRPr="009349C2" w:rsidRDefault="00342BCA" w:rsidP="009349C2">
      <w:pPr>
        <w:keepLines/>
        <w:jc w:val="both"/>
        <w:rPr>
          <w:szCs w:val="22"/>
          <w:lang w:val="fr-FR"/>
        </w:rPr>
      </w:pPr>
    </w:p>
    <w:p w:rsidR="00342BCA" w:rsidRPr="009349C2" w:rsidRDefault="00283D11" w:rsidP="009349C2">
      <w:pPr>
        <w:keepNext/>
        <w:keepLines/>
        <w:rPr>
          <w:b/>
          <w:bCs/>
          <w:szCs w:val="22"/>
          <w:lang w:val="fr-FR"/>
        </w:rPr>
      </w:pPr>
      <w:r w:rsidRPr="009349C2">
        <w:rPr>
          <w:b/>
          <w:bCs/>
          <w:szCs w:val="22"/>
          <w:lang w:val="fr-FR"/>
        </w:rPr>
        <w:t xml:space="preserve">Demandes nationales en </w:t>
      </w:r>
      <w:r w:rsidR="00244AF2" w:rsidRPr="009349C2">
        <w:rPr>
          <w:b/>
          <w:bCs/>
          <w:szCs w:val="22"/>
          <w:lang w:val="fr-FR"/>
        </w:rPr>
        <w:t>attente</w:t>
      </w:r>
      <w:r w:rsidR="00FC23A3" w:rsidRPr="009349C2">
        <w:rPr>
          <w:b/>
          <w:bCs/>
          <w:szCs w:val="22"/>
          <w:lang w:val="fr-FR"/>
        </w:rPr>
        <w:t xml:space="preserve"> de traitement</w:t>
      </w:r>
    </w:p>
    <w:p w:rsidR="00B75756" w:rsidRPr="009349C2" w:rsidRDefault="00B75756" w:rsidP="009349C2">
      <w:pPr>
        <w:keepNext/>
        <w:keepLines/>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9349C2" w:rsidRPr="009349C2" w:rsidTr="005E0219">
        <w:trPr>
          <w:cantSplit/>
        </w:trPr>
        <w:tc>
          <w:tcPr>
            <w:tcW w:w="4643" w:type="dxa"/>
            <w:tcBorders>
              <w:top w:val="single" w:sz="4" w:space="0" w:color="auto"/>
              <w:left w:val="single" w:sz="4" w:space="0" w:color="auto"/>
              <w:bottom w:val="single" w:sz="4" w:space="0" w:color="auto"/>
              <w:right w:val="single" w:sz="4" w:space="0" w:color="auto"/>
            </w:tcBorders>
          </w:tcPr>
          <w:p w:rsidR="00B75756" w:rsidRPr="009349C2" w:rsidRDefault="00283D11" w:rsidP="009349C2">
            <w:pPr>
              <w:keepNext/>
              <w:keepLines/>
              <w:suppressAutoHyphens/>
              <w:rPr>
                <w:rFonts w:eastAsia="Times New Roman"/>
                <w:b/>
                <w:bCs/>
                <w:szCs w:val="22"/>
                <w:lang w:val="fr-FR" w:eastAsia="en-US" w:bidi="he-IL"/>
              </w:rPr>
            </w:pPr>
            <w:r w:rsidRPr="009349C2">
              <w:rPr>
                <w:b/>
                <w:bCs/>
                <w:szCs w:val="22"/>
                <w:lang w:val="fr-FR" w:eastAsia="en-US" w:bidi="he-IL"/>
              </w:rPr>
              <w:t>Évaluation</w:t>
            </w:r>
          </w:p>
        </w:tc>
        <w:tc>
          <w:tcPr>
            <w:tcW w:w="3403" w:type="dxa"/>
            <w:tcBorders>
              <w:top w:val="single" w:sz="4" w:space="0" w:color="auto"/>
              <w:left w:val="single" w:sz="4" w:space="0" w:color="auto"/>
              <w:bottom w:val="single" w:sz="4" w:space="0" w:color="auto"/>
              <w:right w:val="single" w:sz="4" w:space="0" w:color="auto"/>
            </w:tcBorders>
          </w:tcPr>
          <w:p w:rsidR="00B75756" w:rsidRPr="009349C2" w:rsidRDefault="00283D11" w:rsidP="009349C2">
            <w:pPr>
              <w:keepNext/>
              <w:keepLines/>
              <w:suppressAutoHyphens/>
              <w:rPr>
                <w:rFonts w:eastAsia="Times New Roman"/>
                <w:b/>
                <w:bCs/>
                <w:szCs w:val="22"/>
                <w:lang w:val="fr-FR" w:eastAsia="en-US" w:bidi="he-IL"/>
              </w:rPr>
            </w:pPr>
            <w:r w:rsidRPr="009349C2">
              <w:rPr>
                <w:b/>
                <w:bCs/>
                <w:szCs w:val="22"/>
                <w:lang w:val="fr-FR" w:eastAsia="en-US" w:bidi="he-IL"/>
              </w:rPr>
              <w:t>Nombre de demandes</w:t>
            </w:r>
          </w:p>
        </w:tc>
      </w:tr>
      <w:tr w:rsidR="009349C2" w:rsidRPr="009349C2" w:rsidTr="005E0219">
        <w:trPr>
          <w:cantSplit/>
        </w:trPr>
        <w:tc>
          <w:tcPr>
            <w:tcW w:w="4643" w:type="dxa"/>
            <w:tcBorders>
              <w:top w:val="single" w:sz="4" w:space="0" w:color="auto"/>
              <w:left w:val="single" w:sz="4" w:space="0" w:color="auto"/>
              <w:bottom w:val="single" w:sz="4" w:space="0" w:color="auto"/>
              <w:right w:val="single" w:sz="4" w:space="0" w:color="auto"/>
            </w:tcBorders>
          </w:tcPr>
          <w:p w:rsidR="00B75756" w:rsidRPr="009349C2" w:rsidRDefault="00283D11" w:rsidP="009349C2">
            <w:pPr>
              <w:keepNext/>
              <w:keepLines/>
              <w:suppressAutoHyphens/>
              <w:rPr>
                <w:rFonts w:eastAsia="Times New Roman"/>
                <w:szCs w:val="22"/>
                <w:lang w:val="fr-FR" w:eastAsia="en-US" w:bidi="he-IL"/>
              </w:rPr>
            </w:pPr>
            <w:r w:rsidRPr="009349C2">
              <w:rPr>
                <w:szCs w:val="22"/>
                <w:lang w:val="fr-FR" w:eastAsia="en-US" w:bidi="he-IL"/>
              </w:rPr>
              <w:t>Toutes les demandes en instance</w:t>
            </w:r>
          </w:p>
        </w:tc>
        <w:tc>
          <w:tcPr>
            <w:tcW w:w="3403" w:type="dxa"/>
            <w:tcBorders>
              <w:top w:val="single" w:sz="4" w:space="0" w:color="auto"/>
              <w:left w:val="single" w:sz="4" w:space="0" w:color="auto"/>
              <w:bottom w:val="single" w:sz="4" w:space="0" w:color="auto"/>
              <w:right w:val="single" w:sz="4" w:space="0" w:color="auto"/>
            </w:tcBorders>
          </w:tcPr>
          <w:p w:rsidR="00B75756" w:rsidRPr="009349C2" w:rsidRDefault="00A70B16" w:rsidP="009349C2">
            <w:pPr>
              <w:ind w:right="1309"/>
              <w:jc w:val="right"/>
              <w:rPr>
                <w:lang w:val="fr-FR"/>
              </w:rPr>
            </w:pPr>
            <w:r w:rsidRPr="009349C2">
              <w:rPr>
                <w:lang w:val="fr-FR"/>
              </w:rPr>
              <w:t>13</w:t>
            </w:r>
            <w:r w:rsidR="00902B1B" w:rsidRPr="009349C2">
              <w:rPr>
                <w:lang w:val="fr-FR"/>
              </w:rPr>
              <w:t> </w:t>
            </w:r>
            <w:r w:rsidR="00B75756" w:rsidRPr="009349C2">
              <w:rPr>
                <w:lang w:val="fr-FR"/>
              </w:rPr>
              <w:t>565</w:t>
            </w:r>
          </w:p>
        </w:tc>
      </w:tr>
      <w:tr w:rsidR="00B75756" w:rsidRPr="009349C2" w:rsidTr="005E0219">
        <w:trPr>
          <w:cantSplit/>
        </w:trPr>
        <w:tc>
          <w:tcPr>
            <w:tcW w:w="4643" w:type="dxa"/>
            <w:tcBorders>
              <w:top w:val="single" w:sz="4" w:space="0" w:color="auto"/>
              <w:left w:val="single" w:sz="4" w:space="0" w:color="auto"/>
              <w:bottom w:val="single" w:sz="4" w:space="0" w:color="auto"/>
              <w:right w:val="single" w:sz="4" w:space="0" w:color="auto"/>
            </w:tcBorders>
          </w:tcPr>
          <w:p w:rsidR="00B75756" w:rsidRPr="009349C2" w:rsidRDefault="00283D11" w:rsidP="009349C2">
            <w:pPr>
              <w:keepNext/>
              <w:keepLines/>
              <w:suppressAutoHyphens/>
              <w:rPr>
                <w:rFonts w:eastAsia="Times New Roman"/>
                <w:szCs w:val="22"/>
                <w:lang w:val="fr-FR" w:eastAsia="en-US" w:bidi="he-IL"/>
              </w:rPr>
            </w:pPr>
            <w:r w:rsidRPr="009349C2">
              <w:rPr>
                <w:lang w:val="fr-FR"/>
              </w:rPr>
              <w:t>Demandes en attente de la recherche et de l</w:t>
            </w:r>
            <w:r w:rsidR="00D10BFC" w:rsidRPr="009349C2">
              <w:rPr>
                <w:lang w:val="fr-FR"/>
              </w:rPr>
              <w:t>’</w:t>
            </w:r>
            <w:r w:rsidRPr="009349C2">
              <w:rPr>
                <w:lang w:val="fr-FR"/>
              </w:rPr>
              <w:t>examen (taxes correspondantes payées)</w:t>
            </w:r>
          </w:p>
        </w:tc>
        <w:tc>
          <w:tcPr>
            <w:tcW w:w="3403" w:type="dxa"/>
            <w:tcBorders>
              <w:top w:val="single" w:sz="4" w:space="0" w:color="auto"/>
              <w:left w:val="single" w:sz="4" w:space="0" w:color="auto"/>
              <w:bottom w:val="single" w:sz="4" w:space="0" w:color="auto"/>
              <w:right w:val="single" w:sz="4" w:space="0" w:color="auto"/>
            </w:tcBorders>
          </w:tcPr>
          <w:p w:rsidR="00B75756" w:rsidRPr="009349C2" w:rsidRDefault="00B75756" w:rsidP="009349C2">
            <w:pPr>
              <w:ind w:right="1309"/>
              <w:jc w:val="right"/>
              <w:rPr>
                <w:lang w:val="fr-FR"/>
              </w:rPr>
            </w:pPr>
            <w:r w:rsidRPr="009349C2">
              <w:rPr>
                <w:lang w:val="fr-FR"/>
              </w:rPr>
              <w:t>1</w:t>
            </w:r>
            <w:r w:rsidR="00902B1B" w:rsidRPr="009349C2">
              <w:rPr>
                <w:lang w:val="fr-FR"/>
              </w:rPr>
              <w:t> </w:t>
            </w:r>
            <w:r w:rsidRPr="009349C2">
              <w:rPr>
                <w:lang w:val="fr-FR"/>
              </w:rPr>
              <w:t>171</w:t>
            </w:r>
          </w:p>
        </w:tc>
      </w:tr>
    </w:tbl>
    <w:p w:rsidR="00342BCA" w:rsidRPr="009349C2" w:rsidRDefault="00342BCA" w:rsidP="009349C2">
      <w:pPr>
        <w:rPr>
          <w:rFonts w:eastAsia="Times New Roman"/>
          <w:szCs w:val="24"/>
          <w:lang w:val="fr-FR"/>
        </w:rPr>
      </w:pPr>
    </w:p>
    <w:p w:rsidR="00342BCA" w:rsidRPr="009349C2" w:rsidRDefault="00490DCA" w:rsidP="009349C2">
      <w:pPr>
        <w:rPr>
          <w:lang w:val="fr-FR"/>
        </w:rPr>
      </w:pPr>
      <w:r w:rsidRPr="009349C2">
        <w:rPr>
          <w:lang w:val="fr-FR"/>
        </w:rPr>
        <w:t>Il est à noter que, même si l</w:t>
      </w:r>
      <w:r w:rsidR="00D10BFC" w:rsidRPr="009349C2">
        <w:rPr>
          <w:lang w:val="fr-FR"/>
        </w:rPr>
        <w:t>’</w:t>
      </w:r>
      <w:r w:rsidRPr="009349C2">
        <w:rPr>
          <w:lang w:val="fr-FR"/>
        </w:rPr>
        <w:t>INAPI a commencé à agir en qualité d</w:t>
      </w:r>
      <w:r w:rsidR="00D10BFC" w:rsidRPr="009349C2">
        <w:rPr>
          <w:lang w:val="fr-FR"/>
        </w:rPr>
        <w:t>’</w:t>
      </w:r>
      <w:r w:rsidRPr="009349C2">
        <w:rPr>
          <w:lang w:val="fr-FR"/>
        </w:rPr>
        <w:t>administration internationale, le nombre total de demandes en instance a été en constante diminution ces dernières anné</w:t>
      </w:r>
      <w:r w:rsidR="00403B14" w:rsidRPr="009349C2">
        <w:rPr>
          <w:lang w:val="fr-FR"/>
        </w:rPr>
        <w:t>es.  Ce</w:t>
      </w:r>
      <w:r w:rsidR="00244AF2" w:rsidRPr="009349C2">
        <w:rPr>
          <w:lang w:val="fr-FR"/>
        </w:rPr>
        <w:t>la témoigne d</w:t>
      </w:r>
      <w:r w:rsidR="00D10BFC" w:rsidRPr="009349C2">
        <w:rPr>
          <w:lang w:val="fr-FR"/>
        </w:rPr>
        <w:t>’</w:t>
      </w:r>
      <w:r w:rsidR="00244AF2" w:rsidRPr="009349C2">
        <w:rPr>
          <w:lang w:val="fr-FR"/>
        </w:rPr>
        <w:t>une amélioration sensible de l</w:t>
      </w:r>
      <w:r w:rsidR="00D10BFC" w:rsidRPr="009349C2">
        <w:rPr>
          <w:lang w:val="fr-FR"/>
        </w:rPr>
        <w:t>’</w:t>
      </w:r>
      <w:r w:rsidR="00244AF2" w:rsidRPr="009349C2">
        <w:rPr>
          <w:lang w:val="fr-FR"/>
        </w:rPr>
        <w:t xml:space="preserve">efficacité et de la qualité </w:t>
      </w:r>
      <w:r w:rsidR="00AB5F4D" w:rsidRPr="009349C2">
        <w:rPr>
          <w:lang w:val="fr-FR"/>
        </w:rPr>
        <w:t>de nos procédur</w:t>
      </w:r>
      <w:r w:rsidR="00403B14" w:rsidRPr="009349C2">
        <w:rPr>
          <w:lang w:val="fr-FR"/>
        </w:rPr>
        <w:t xml:space="preserve">es.  À </w:t>
      </w:r>
      <w:r w:rsidR="00244AF2" w:rsidRPr="009349C2">
        <w:rPr>
          <w:lang w:val="fr-FR"/>
        </w:rPr>
        <w:t>l</w:t>
      </w:r>
      <w:r w:rsidR="00D10BFC" w:rsidRPr="009349C2">
        <w:rPr>
          <w:lang w:val="fr-FR"/>
        </w:rPr>
        <w:t>’</w:t>
      </w:r>
      <w:r w:rsidR="00244AF2" w:rsidRPr="009349C2">
        <w:rPr>
          <w:lang w:val="fr-FR"/>
        </w:rPr>
        <w:t>heure actuelle, le nombre de demandes en cours de résolution (délivrance ou refus) est plus élevé que le nombre de demandes déposées, ce qui permet de réduire le nombre de demandes en attente.</w:t>
      </w:r>
    </w:p>
    <w:p w:rsidR="00342BCA" w:rsidRPr="009349C2" w:rsidRDefault="00902B1B" w:rsidP="009349C2">
      <w:pPr>
        <w:pStyle w:val="SectionHeading"/>
        <w:rPr>
          <w:lang w:val="fr-FR"/>
        </w:rPr>
      </w:pPr>
      <w:r w:rsidRPr="009349C2">
        <w:rPr>
          <w:lang w:val="fr-FR"/>
        </w:rPr>
        <w:t>7 – Appui nécessaire</w:t>
      </w:r>
    </w:p>
    <w:p w:rsidR="00D10BFC" w:rsidRPr="009349C2" w:rsidRDefault="007A0280" w:rsidP="009349C2">
      <w:pPr>
        <w:rPr>
          <w:lang w:val="fr-FR"/>
        </w:rPr>
      </w:pPr>
      <w:r w:rsidRPr="009349C2">
        <w:rPr>
          <w:lang w:val="fr-FR"/>
        </w:rPr>
        <w:t>L</w:t>
      </w:r>
      <w:r w:rsidR="00D10BFC" w:rsidRPr="009349C2">
        <w:rPr>
          <w:lang w:val="fr-FR"/>
        </w:rPr>
        <w:t>’</w:t>
      </w:r>
      <w:r w:rsidR="0072789F" w:rsidRPr="009349C2">
        <w:rPr>
          <w:lang w:val="fr-FR"/>
        </w:rPr>
        <w:t>INAPI est un office autonome qui</w:t>
      </w:r>
      <w:r w:rsidRPr="009349C2">
        <w:rPr>
          <w:lang w:val="fr-FR"/>
        </w:rPr>
        <w:t xml:space="preserve"> </w:t>
      </w:r>
      <w:r w:rsidR="0072789F" w:rsidRPr="009349C2">
        <w:rPr>
          <w:lang w:val="fr-FR"/>
        </w:rPr>
        <w:t>n</w:t>
      </w:r>
      <w:r w:rsidR="00D10BFC" w:rsidRPr="009349C2">
        <w:rPr>
          <w:lang w:val="fr-FR"/>
        </w:rPr>
        <w:t>’</w:t>
      </w:r>
      <w:r w:rsidR="0072789F" w:rsidRPr="009349C2">
        <w:rPr>
          <w:lang w:val="fr-FR"/>
        </w:rPr>
        <w:t>a besoin d</w:t>
      </w:r>
      <w:r w:rsidR="00D10BFC" w:rsidRPr="009349C2">
        <w:rPr>
          <w:lang w:val="fr-FR"/>
        </w:rPr>
        <w:t>’</w:t>
      </w:r>
      <w:r w:rsidR="0072789F" w:rsidRPr="009349C2">
        <w:rPr>
          <w:lang w:val="fr-FR"/>
        </w:rPr>
        <w:t xml:space="preserve">aucune aide </w:t>
      </w:r>
      <w:r w:rsidRPr="009349C2">
        <w:rPr>
          <w:lang w:val="fr-FR"/>
        </w:rPr>
        <w:t>extérieure</w:t>
      </w:r>
      <w:r w:rsidR="0072789F" w:rsidRPr="009349C2">
        <w:rPr>
          <w:lang w:val="fr-FR"/>
        </w:rPr>
        <w:t xml:space="preserve"> pour continuer à agir aussi efficacement en qualité qu</w:t>
      </w:r>
      <w:r w:rsidR="00D10BFC" w:rsidRPr="009349C2">
        <w:rPr>
          <w:lang w:val="fr-FR"/>
        </w:rPr>
        <w:t>’</w:t>
      </w:r>
      <w:r w:rsidR="0072789F" w:rsidRPr="009349C2">
        <w:rPr>
          <w:lang w:val="fr-FR"/>
        </w:rPr>
        <w:t>administration chargée de la recherche internationale et de l</w:t>
      </w:r>
      <w:r w:rsidR="00D10BFC" w:rsidRPr="009349C2">
        <w:rPr>
          <w:lang w:val="fr-FR"/>
        </w:rPr>
        <w:t>’</w:t>
      </w:r>
      <w:r w:rsidR="0072789F" w:rsidRPr="009349C2">
        <w:rPr>
          <w:lang w:val="fr-FR"/>
        </w:rPr>
        <w:t>examen préliminaire internation</w:t>
      </w:r>
      <w:r w:rsidR="00403B14" w:rsidRPr="009349C2">
        <w:rPr>
          <w:lang w:val="fr-FR"/>
        </w:rPr>
        <w:t>al.  Ce</w:t>
      </w:r>
      <w:r w:rsidR="000B2152" w:rsidRPr="009349C2">
        <w:rPr>
          <w:lang w:val="fr-FR"/>
        </w:rPr>
        <w:t>pendant, il</w:t>
      </w:r>
      <w:r w:rsidR="0072789F" w:rsidRPr="009349C2">
        <w:rPr>
          <w:lang w:val="fr-FR"/>
        </w:rPr>
        <w:t xml:space="preserve"> </w:t>
      </w:r>
      <w:r w:rsidR="00244AF2" w:rsidRPr="009349C2">
        <w:rPr>
          <w:lang w:val="fr-FR"/>
        </w:rPr>
        <w:t>investit régulièrement dans le</w:t>
      </w:r>
      <w:r w:rsidR="0072789F" w:rsidRPr="009349C2">
        <w:rPr>
          <w:lang w:val="fr-FR"/>
        </w:rPr>
        <w:t xml:space="preserve"> </w:t>
      </w:r>
      <w:r w:rsidR="008A0115" w:rsidRPr="009349C2">
        <w:rPr>
          <w:lang w:val="fr-FR"/>
        </w:rPr>
        <w:t xml:space="preserve">perfectionnement de </w:t>
      </w:r>
      <w:r w:rsidR="0072789F" w:rsidRPr="009349C2">
        <w:rPr>
          <w:lang w:val="fr-FR"/>
        </w:rPr>
        <w:t xml:space="preserve">son personnel </w:t>
      </w:r>
      <w:r w:rsidR="00244AF2" w:rsidRPr="009349C2">
        <w:rPr>
          <w:lang w:val="fr-FR"/>
        </w:rPr>
        <w:t>afin qu</w:t>
      </w:r>
      <w:r w:rsidR="00D10BFC" w:rsidRPr="009349C2">
        <w:rPr>
          <w:lang w:val="fr-FR"/>
        </w:rPr>
        <w:t>’</w:t>
      </w:r>
      <w:r w:rsidR="00244AF2" w:rsidRPr="009349C2">
        <w:rPr>
          <w:lang w:val="fr-FR"/>
        </w:rPr>
        <w:t>il s</w:t>
      </w:r>
      <w:r w:rsidR="00D10BFC" w:rsidRPr="009349C2">
        <w:rPr>
          <w:lang w:val="fr-FR"/>
        </w:rPr>
        <w:t>’</w:t>
      </w:r>
      <w:r w:rsidR="00244AF2" w:rsidRPr="009349C2">
        <w:rPr>
          <w:lang w:val="fr-FR"/>
        </w:rPr>
        <w:t>acquitte au mieux de ses fonctions</w:t>
      </w:r>
      <w:r w:rsidR="008A0115" w:rsidRPr="009349C2">
        <w:rPr>
          <w:lang w:val="fr-FR"/>
        </w:rPr>
        <w:t xml:space="preserve"> en tant qu</w:t>
      </w:r>
      <w:r w:rsidR="00D10BFC" w:rsidRPr="009349C2">
        <w:rPr>
          <w:lang w:val="fr-FR"/>
        </w:rPr>
        <w:t>’</w:t>
      </w:r>
      <w:r w:rsidR="0072789F" w:rsidRPr="009349C2">
        <w:rPr>
          <w:lang w:val="fr-FR"/>
        </w:rPr>
        <w:t>administration internationale.</w:t>
      </w:r>
    </w:p>
    <w:p w:rsidR="00342BCA" w:rsidRPr="009349C2" w:rsidRDefault="00342BCA" w:rsidP="009349C2">
      <w:pPr>
        <w:rPr>
          <w:lang w:val="fr-FR"/>
        </w:rPr>
      </w:pPr>
    </w:p>
    <w:p w:rsidR="00342BCA" w:rsidRPr="009349C2" w:rsidRDefault="00EE3827" w:rsidP="009349C2">
      <w:pPr>
        <w:rPr>
          <w:lang w:val="fr-FR"/>
        </w:rPr>
      </w:pPr>
      <w:r w:rsidRPr="009349C2">
        <w:rPr>
          <w:lang w:val="fr-FR"/>
        </w:rPr>
        <w:t xml:space="preserve">À cet égard, pendant </w:t>
      </w:r>
      <w:r w:rsidR="002123EE" w:rsidRPr="009349C2">
        <w:rPr>
          <w:lang w:val="fr-FR"/>
        </w:rPr>
        <w:t>s</w:t>
      </w:r>
      <w:r w:rsidRPr="009349C2">
        <w:rPr>
          <w:lang w:val="fr-FR"/>
        </w:rPr>
        <w:t xml:space="preserve">es premières années </w:t>
      </w:r>
      <w:r w:rsidR="002123EE" w:rsidRPr="009349C2">
        <w:rPr>
          <w:lang w:val="fr-FR"/>
        </w:rPr>
        <w:t>de fonctionnement et au début de son mandat</w:t>
      </w:r>
      <w:r w:rsidRPr="009349C2">
        <w:rPr>
          <w:lang w:val="fr-FR"/>
        </w:rPr>
        <w:t>, l</w:t>
      </w:r>
      <w:r w:rsidR="00D10BFC" w:rsidRPr="009349C2">
        <w:rPr>
          <w:lang w:val="fr-FR"/>
        </w:rPr>
        <w:t>’</w:t>
      </w:r>
      <w:r w:rsidRPr="009349C2">
        <w:rPr>
          <w:lang w:val="fr-FR"/>
        </w:rPr>
        <w:t>INAPI a sollic</w:t>
      </w:r>
      <w:r w:rsidR="002123EE" w:rsidRPr="009349C2">
        <w:rPr>
          <w:lang w:val="fr-FR"/>
        </w:rPr>
        <w:t>ité et</w:t>
      </w:r>
      <w:r w:rsidRPr="009349C2">
        <w:rPr>
          <w:lang w:val="fr-FR"/>
        </w:rPr>
        <w:t xml:space="preserve"> reçu un appui de la part d</w:t>
      </w:r>
      <w:r w:rsidR="00D10BFC" w:rsidRPr="009349C2">
        <w:rPr>
          <w:lang w:val="fr-FR"/>
        </w:rPr>
        <w:t>’</w:t>
      </w:r>
      <w:r w:rsidRPr="009349C2">
        <w:rPr>
          <w:lang w:val="fr-FR"/>
        </w:rPr>
        <w:t xml:space="preserve">autres offices qui agissaient déjà depuis longtemps en </w:t>
      </w:r>
      <w:r w:rsidR="002123EE" w:rsidRPr="009349C2">
        <w:rPr>
          <w:lang w:val="fr-FR"/>
        </w:rPr>
        <w:t>tant qu</w:t>
      </w:r>
      <w:r w:rsidR="00D10BFC" w:rsidRPr="009349C2">
        <w:rPr>
          <w:lang w:val="fr-FR"/>
        </w:rPr>
        <w:t>’</w:t>
      </w:r>
      <w:r w:rsidRPr="009349C2">
        <w:rPr>
          <w:lang w:val="fr-FR"/>
        </w:rPr>
        <w:t>administrati</w:t>
      </w:r>
      <w:r w:rsidR="00403B14" w:rsidRPr="009349C2">
        <w:rPr>
          <w:lang w:val="fr-FR"/>
        </w:rPr>
        <w:t>on.  Ce</w:t>
      </w:r>
      <w:r w:rsidRPr="009349C2">
        <w:rPr>
          <w:lang w:val="fr-FR"/>
        </w:rPr>
        <w:t>la a considérablement bénéficié à l</w:t>
      </w:r>
      <w:r w:rsidR="00D10BFC" w:rsidRPr="009349C2">
        <w:rPr>
          <w:lang w:val="fr-FR"/>
        </w:rPr>
        <w:t>’</w:t>
      </w:r>
      <w:r w:rsidRPr="009349C2">
        <w:rPr>
          <w:lang w:val="fr-FR"/>
        </w:rPr>
        <w:t>office en sa qualité d</w:t>
      </w:r>
      <w:r w:rsidR="00D10BFC" w:rsidRPr="009349C2">
        <w:rPr>
          <w:lang w:val="fr-FR"/>
        </w:rPr>
        <w:t>’</w:t>
      </w:r>
      <w:r w:rsidRPr="009349C2">
        <w:rPr>
          <w:lang w:val="fr-FR"/>
        </w:rPr>
        <w:t>administration</w:t>
      </w:r>
      <w:r w:rsidR="00812B7C" w:rsidRPr="009349C2">
        <w:rPr>
          <w:lang w:val="fr-FR"/>
        </w:rPr>
        <w:t>,</w:t>
      </w:r>
      <w:r w:rsidRPr="009349C2">
        <w:rPr>
          <w:lang w:val="fr-FR"/>
        </w:rPr>
        <w:t xml:space="preserve"> sans qu</w:t>
      </w:r>
      <w:r w:rsidR="00D10BFC" w:rsidRPr="009349C2">
        <w:rPr>
          <w:lang w:val="fr-FR"/>
        </w:rPr>
        <w:t>’</w:t>
      </w:r>
      <w:r w:rsidRPr="009349C2">
        <w:rPr>
          <w:lang w:val="fr-FR"/>
        </w:rPr>
        <w:t>aucun appui spécifique n</w:t>
      </w:r>
      <w:r w:rsidR="00D10BFC" w:rsidRPr="009349C2">
        <w:rPr>
          <w:lang w:val="fr-FR"/>
        </w:rPr>
        <w:t>’</w:t>
      </w:r>
      <w:r w:rsidR="00812B7C" w:rsidRPr="009349C2">
        <w:rPr>
          <w:lang w:val="fr-FR"/>
        </w:rPr>
        <w:t>ait été nécessaire, l</w:t>
      </w:r>
      <w:r w:rsidR="00D10BFC" w:rsidRPr="009349C2">
        <w:rPr>
          <w:lang w:val="fr-FR"/>
        </w:rPr>
        <w:t>’</w:t>
      </w:r>
      <w:r w:rsidR="00812B7C" w:rsidRPr="009349C2">
        <w:rPr>
          <w:lang w:val="fr-FR"/>
        </w:rPr>
        <w:t>office étant conscient que la collaboration avec d</w:t>
      </w:r>
      <w:r w:rsidR="00D10BFC" w:rsidRPr="009349C2">
        <w:rPr>
          <w:lang w:val="fr-FR"/>
        </w:rPr>
        <w:t>’</w:t>
      </w:r>
      <w:r w:rsidR="00812B7C" w:rsidRPr="009349C2">
        <w:rPr>
          <w:lang w:val="fr-FR"/>
        </w:rPr>
        <w:t xml:space="preserve">autres offices peut </w:t>
      </w:r>
      <w:r w:rsidR="002123EE" w:rsidRPr="009349C2">
        <w:rPr>
          <w:lang w:val="fr-FR"/>
        </w:rPr>
        <w:t xml:space="preserve">être </w:t>
      </w:r>
      <w:r w:rsidR="00812B7C" w:rsidRPr="009349C2">
        <w:rPr>
          <w:lang w:val="fr-FR"/>
        </w:rPr>
        <w:t>mutuellement avantageuse et favoriser la qualité des travaux de recherche et d</w:t>
      </w:r>
      <w:r w:rsidR="00D10BFC" w:rsidRPr="009349C2">
        <w:rPr>
          <w:lang w:val="fr-FR"/>
        </w:rPr>
        <w:t>’</w:t>
      </w:r>
      <w:r w:rsidR="00812B7C" w:rsidRPr="009349C2">
        <w:rPr>
          <w:lang w:val="fr-FR"/>
        </w:rPr>
        <w:t>examen effectués dans le cadre</w:t>
      </w:r>
      <w:r w:rsidR="00D10BFC" w:rsidRPr="009349C2">
        <w:rPr>
          <w:lang w:val="fr-FR"/>
        </w:rPr>
        <w:t xml:space="preserve"> du PCT</w:t>
      </w:r>
      <w:r w:rsidR="00812B7C" w:rsidRPr="009349C2">
        <w:rPr>
          <w:lang w:val="fr-FR"/>
        </w:rPr>
        <w:t>.</w:t>
      </w:r>
    </w:p>
    <w:p w:rsidR="00342BCA" w:rsidRPr="009349C2" w:rsidRDefault="00342BCA" w:rsidP="009349C2">
      <w:pPr>
        <w:rPr>
          <w:lang w:val="fr-FR"/>
        </w:rPr>
      </w:pPr>
    </w:p>
    <w:p w:rsidR="00342BCA" w:rsidRPr="009349C2" w:rsidRDefault="00070BDA" w:rsidP="009349C2">
      <w:pPr>
        <w:rPr>
          <w:lang w:val="fr-FR"/>
        </w:rPr>
      </w:pPr>
      <w:r w:rsidRPr="009349C2">
        <w:rPr>
          <w:lang w:val="fr-FR"/>
        </w:rPr>
        <w:t>L</w:t>
      </w:r>
      <w:r w:rsidR="00D10BFC" w:rsidRPr="009349C2">
        <w:rPr>
          <w:lang w:val="fr-FR"/>
        </w:rPr>
        <w:t>’</w:t>
      </w:r>
      <w:r w:rsidRPr="009349C2">
        <w:rPr>
          <w:lang w:val="fr-FR"/>
        </w:rPr>
        <w:t>OMPI a prêté son assistance dans les activités de coordination avec l</w:t>
      </w:r>
      <w:r w:rsidR="00D10BFC" w:rsidRPr="009349C2">
        <w:rPr>
          <w:lang w:val="fr-FR"/>
        </w:rPr>
        <w:t>’</w:t>
      </w:r>
      <w:r w:rsidRPr="009349C2">
        <w:rPr>
          <w:lang w:val="fr-FR"/>
        </w:rPr>
        <w:t>Office des brevets et des marques des États</w:t>
      </w:r>
      <w:r w:rsidR="00D10BFC" w:rsidRPr="009349C2">
        <w:rPr>
          <w:lang w:val="fr-FR"/>
        </w:rPr>
        <w:t>-</w:t>
      </w:r>
      <w:r w:rsidRPr="009349C2">
        <w:rPr>
          <w:lang w:val="fr-FR"/>
        </w:rPr>
        <w:t>Unis d</w:t>
      </w:r>
      <w:r w:rsidR="00D10BFC" w:rsidRPr="009349C2">
        <w:rPr>
          <w:lang w:val="fr-FR"/>
        </w:rPr>
        <w:t>’</w:t>
      </w:r>
      <w:r w:rsidRPr="009349C2">
        <w:rPr>
          <w:lang w:val="fr-FR"/>
        </w:rPr>
        <w:t>Amérique (USPTO) et l</w:t>
      </w:r>
      <w:r w:rsidR="00D10BFC" w:rsidRPr="009349C2">
        <w:rPr>
          <w:lang w:val="fr-FR"/>
        </w:rPr>
        <w:t>’</w:t>
      </w:r>
      <w:r w:rsidRPr="009349C2">
        <w:rPr>
          <w:lang w:val="fr-FR"/>
        </w:rPr>
        <w:t xml:space="preserve">Office de la propriété intellectuelle du Canada (OPIC) </w:t>
      </w:r>
      <w:r w:rsidR="00D10BFC" w:rsidRPr="009349C2">
        <w:rPr>
          <w:lang w:val="fr-FR"/>
        </w:rPr>
        <w:t>en 2013</w:t>
      </w:r>
      <w:r w:rsidRPr="009349C2">
        <w:rPr>
          <w:lang w:val="fr-FR"/>
        </w:rPr>
        <w:t xml:space="preserve"> et avec IP</w:t>
      </w:r>
      <w:r w:rsidR="00450A58" w:rsidRPr="009349C2">
        <w:rPr>
          <w:lang w:val="fr-FR"/>
        </w:rPr>
        <w:t> </w:t>
      </w:r>
      <w:proofErr w:type="spellStart"/>
      <w:r w:rsidRPr="009349C2">
        <w:rPr>
          <w:lang w:val="fr-FR"/>
        </w:rPr>
        <w:t>Australia</w:t>
      </w:r>
      <w:proofErr w:type="spellEnd"/>
      <w:r w:rsidRPr="009349C2">
        <w:rPr>
          <w:lang w:val="fr-FR"/>
        </w:rPr>
        <w:t xml:space="preserve"> </w:t>
      </w:r>
      <w:r w:rsidR="00D10BFC" w:rsidRPr="009349C2">
        <w:rPr>
          <w:lang w:val="fr-FR"/>
        </w:rPr>
        <w:t>en 2014</w:t>
      </w:r>
      <w:r w:rsidRPr="009349C2">
        <w:rPr>
          <w:lang w:val="fr-FR"/>
        </w:rPr>
        <w:t>.</w:t>
      </w:r>
    </w:p>
    <w:p w:rsidR="00342BCA" w:rsidRPr="009349C2" w:rsidRDefault="00342BCA" w:rsidP="009349C2">
      <w:pPr>
        <w:rPr>
          <w:lang w:val="fr-FR"/>
        </w:rPr>
      </w:pPr>
    </w:p>
    <w:p w:rsidR="00342BCA" w:rsidRPr="009349C2" w:rsidRDefault="00F118EB" w:rsidP="009349C2">
      <w:pPr>
        <w:rPr>
          <w:lang w:val="fr-FR"/>
        </w:rPr>
      </w:pPr>
      <w:r w:rsidRPr="009349C2">
        <w:rPr>
          <w:lang w:val="fr-FR"/>
        </w:rPr>
        <w:t>Outre ces activités, l</w:t>
      </w:r>
      <w:r w:rsidR="00D10BFC" w:rsidRPr="009349C2">
        <w:rPr>
          <w:lang w:val="fr-FR"/>
        </w:rPr>
        <w:t>’</w:t>
      </w:r>
      <w:r w:rsidRPr="009349C2">
        <w:rPr>
          <w:lang w:val="fr-FR"/>
        </w:rPr>
        <w:t>INAPI a organisé des formations conjointement avec l</w:t>
      </w:r>
      <w:r w:rsidR="00D10BFC" w:rsidRPr="009349C2">
        <w:rPr>
          <w:lang w:val="fr-FR"/>
        </w:rPr>
        <w:t>’</w:t>
      </w:r>
      <w:r w:rsidRPr="009349C2">
        <w:rPr>
          <w:lang w:val="fr-FR"/>
        </w:rPr>
        <w:t>Office des brevets d</w:t>
      </w:r>
      <w:r w:rsidR="00D10BFC" w:rsidRPr="009349C2">
        <w:rPr>
          <w:lang w:val="fr-FR"/>
        </w:rPr>
        <w:t>’</w:t>
      </w:r>
      <w:r w:rsidRPr="009349C2">
        <w:rPr>
          <w:lang w:val="fr-FR"/>
        </w:rPr>
        <w:t>Israël (ILPO), l</w:t>
      </w:r>
      <w:r w:rsidR="00D10BFC" w:rsidRPr="009349C2">
        <w:rPr>
          <w:lang w:val="fr-FR"/>
        </w:rPr>
        <w:t>’</w:t>
      </w:r>
      <w:r w:rsidR="00342BCA" w:rsidRPr="009349C2">
        <w:rPr>
          <w:lang w:val="fr-FR"/>
        </w:rPr>
        <w:t>OPIC</w:t>
      </w:r>
      <w:r w:rsidRPr="009349C2">
        <w:rPr>
          <w:lang w:val="fr-FR"/>
        </w:rPr>
        <w:t xml:space="preserve"> et IP</w:t>
      </w:r>
      <w:r w:rsidR="00450A58" w:rsidRPr="009349C2">
        <w:rPr>
          <w:lang w:val="fr-FR"/>
        </w:rPr>
        <w:t> </w:t>
      </w:r>
      <w:proofErr w:type="spellStart"/>
      <w:r w:rsidRPr="009349C2">
        <w:rPr>
          <w:lang w:val="fr-FR"/>
        </w:rPr>
        <w:t>Australia</w:t>
      </w:r>
      <w:proofErr w:type="spellEnd"/>
      <w:r w:rsidRPr="009349C2">
        <w:rPr>
          <w:lang w:val="fr-FR"/>
        </w:rPr>
        <w:t xml:space="preserve"> </w:t>
      </w:r>
      <w:r w:rsidR="00D10BFC" w:rsidRPr="009349C2">
        <w:rPr>
          <w:lang w:val="fr-FR"/>
        </w:rPr>
        <w:t>en 2013</w:t>
      </w:r>
      <w:r w:rsidRPr="009349C2">
        <w:rPr>
          <w:lang w:val="fr-FR"/>
        </w:rPr>
        <w:t>, activités qui étaient coordonnées par les deux</w:t>
      </w:r>
      <w:r w:rsidR="00450A58" w:rsidRPr="009349C2">
        <w:rPr>
          <w:lang w:val="fr-FR"/>
        </w:rPr>
        <w:t> </w:t>
      </w:r>
      <w:r w:rsidRPr="009349C2">
        <w:rPr>
          <w:lang w:val="fr-FR"/>
        </w:rPr>
        <w:t>offices participant au programme, dans un effort de travail collaboratif appelé à créer des activités auparavant inexistant</w:t>
      </w:r>
      <w:r w:rsidR="00403B14" w:rsidRPr="009349C2">
        <w:rPr>
          <w:lang w:val="fr-FR"/>
        </w:rPr>
        <w:t>es.  En</w:t>
      </w:r>
      <w:r w:rsidR="00D10BFC" w:rsidRPr="009349C2">
        <w:rPr>
          <w:lang w:val="fr-FR"/>
        </w:rPr>
        <w:t> 2015</w:t>
      </w:r>
      <w:r w:rsidR="00342BCA" w:rsidRPr="009349C2">
        <w:rPr>
          <w:lang w:val="fr-FR"/>
        </w:rPr>
        <w:t>, l</w:t>
      </w:r>
      <w:r w:rsidR="00D10BFC" w:rsidRPr="009349C2">
        <w:rPr>
          <w:lang w:val="fr-FR"/>
        </w:rPr>
        <w:t>’</w:t>
      </w:r>
      <w:r w:rsidR="00342BCA" w:rsidRPr="009349C2">
        <w:rPr>
          <w:lang w:val="fr-FR"/>
        </w:rPr>
        <w:t>Office japonais des brevets (JPO) a également contribué à la mise en place d</w:t>
      </w:r>
      <w:r w:rsidR="00D10BFC" w:rsidRPr="009349C2">
        <w:rPr>
          <w:lang w:val="fr-FR"/>
        </w:rPr>
        <w:t>’</w:t>
      </w:r>
      <w:r w:rsidR="00342BCA" w:rsidRPr="009349C2">
        <w:rPr>
          <w:lang w:val="fr-FR"/>
        </w:rPr>
        <w:t>une activité au Chi</w:t>
      </w:r>
      <w:r w:rsidR="00403B14" w:rsidRPr="009349C2">
        <w:rPr>
          <w:lang w:val="fr-FR"/>
        </w:rPr>
        <w:t>li.  Il</w:t>
      </w:r>
      <w:r w:rsidR="00342BCA" w:rsidRPr="009349C2">
        <w:rPr>
          <w:lang w:val="fr-FR"/>
        </w:rPr>
        <w:t xml:space="preserve"> a par ailleurs régulièrement proposé de nouvelles activités de formation au Japon, au moins 6</w:t>
      </w:r>
      <w:r w:rsidR="00014DDB" w:rsidRPr="009349C2">
        <w:rPr>
          <w:lang w:val="fr-FR"/>
        </w:rPr>
        <w:t> </w:t>
      </w:r>
      <w:r w:rsidR="00342BCA" w:rsidRPr="009349C2">
        <w:rPr>
          <w:lang w:val="fr-FR"/>
        </w:rPr>
        <w:t>examinateurs y ayant pris part avec beaucoup de succ</w:t>
      </w:r>
      <w:r w:rsidR="00403B14" w:rsidRPr="009349C2">
        <w:rPr>
          <w:lang w:val="fr-FR"/>
        </w:rPr>
        <w:t>ès.  De</w:t>
      </w:r>
      <w:r w:rsidR="00342BCA" w:rsidRPr="009349C2">
        <w:rPr>
          <w:lang w:val="fr-FR"/>
        </w:rPr>
        <w:t xml:space="preserve"> plus, l</w:t>
      </w:r>
      <w:r w:rsidR="00D10BFC" w:rsidRPr="009349C2">
        <w:rPr>
          <w:lang w:val="fr-FR"/>
        </w:rPr>
        <w:t>’</w:t>
      </w:r>
      <w:r w:rsidR="00342BCA" w:rsidRPr="009349C2">
        <w:rPr>
          <w:lang w:val="fr-FR"/>
        </w:rPr>
        <w:t>OPIC a également proposé à l</w:t>
      </w:r>
      <w:r w:rsidR="00D10BFC" w:rsidRPr="009349C2">
        <w:rPr>
          <w:lang w:val="fr-FR"/>
        </w:rPr>
        <w:t>’</w:t>
      </w:r>
      <w:r w:rsidR="00342BCA" w:rsidRPr="009349C2">
        <w:rPr>
          <w:lang w:val="fr-FR"/>
        </w:rPr>
        <w:t>INAPI de participer aux ateliers pour l</w:t>
      </w:r>
      <w:r w:rsidR="00D10BFC" w:rsidRPr="009349C2">
        <w:rPr>
          <w:lang w:val="fr-FR"/>
        </w:rPr>
        <w:t>’</w:t>
      </w:r>
      <w:r w:rsidR="00342BCA" w:rsidRPr="009349C2">
        <w:rPr>
          <w:lang w:val="fr-FR"/>
        </w:rPr>
        <w:t>échange de meilleures pratiques entre offices.</w:t>
      </w:r>
    </w:p>
    <w:p w:rsidR="00342BCA" w:rsidRPr="009349C2" w:rsidRDefault="00342BCA" w:rsidP="009349C2">
      <w:pPr>
        <w:rPr>
          <w:lang w:val="fr-FR"/>
        </w:rPr>
      </w:pPr>
    </w:p>
    <w:p w:rsidR="00342BCA" w:rsidRPr="009349C2" w:rsidRDefault="00D10BFC" w:rsidP="009349C2">
      <w:pPr>
        <w:rPr>
          <w:lang w:val="fr-FR"/>
        </w:rPr>
      </w:pPr>
      <w:r w:rsidRPr="009349C2">
        <w:rPr>
          <w:lang w:val="fr-FR"/>
        </w:rPr>
        <w:t>En 2014</w:t>
      </w:r>
      <w:r w:rsidR="00342BCA" w:rsidRPr="009349C2">
        <w:rPr>
          <w:lang w:val="fr-FR"/>
        </w:rPr>
        <w:t>, l</w:t>
      </w:r>
      <w:r w:rsidRPr="009349C2">
        <w:rPr>
          <w:lang w:val="fr-FR"/>
        </w:rPr>
        <w:t>’</w:t>
      </w:r>
      <w:r w:rsidR="00342BCA" w:rsidRPr="009349C2">
        <w:rPr>
          <w:lang w:val="fr-FR"/>
        </w:rPr>
        <w:t xml:space="preserve">Office européen des brevets (OEB) a proposé un cours de formation à </w:t>
      </w:r>
      <w:proofErr w:type="spellStart"/>
      <w:r w:rsidR="00342BCA" w:rsidRPr="009349C2">
        <w:rPr>
          <w:lang w:val="fr-FR"/>
        </w:rPr>
        <w:t>EpoqueNet</w:t>
      </w:r>
      <w:proofErr w:type="spellEnd"/>
      <w:r w:rsidR="00342BCA" w:rsidRPr="009349C2">
        <w:rPr>
          <w:lang w:val="fr-FR"/>
        </w:rPr>
        <w:t xml:space="preserve"> aux examinateurs.</w:t>
      </w:r>
    </w:p>
    <w:p w:rsidR="00342BCA" w:rsidRPr="009349C2" w:rsidRDefault="00342BCA" w:rsidP="009349C2">
      <w:pPr>
        <w:rPr>
          <w:lang w:val="fr-FR"/>
        </w:rPr>
      </w:pPr>
    </w:p>
    <w:p w:rsidR="00342BCA" w:rsidRPr="009349C2" w:rsidRDefault="005E0219" w:rsidP="009349C2">
      <w:pPr>
        <w:rPr>
          <w:lang w:val="fr-FR"/>
        </w:rPr>
      </w:pPr>
      <w:r w:rsidRPr="009349C2">
        <w:rPr>
          <w:lang w:val="fr-FR"/>
        </w:rPr>
        <w:t xml:space="preserve">En </w:t>
      </w:r>
      <w:r w:rsidR="00D10BFC" w:rsidRPr="009349C2">
        <w:rPr>
          <w:lang w:val="fr-FR"/>
        </w:rPr>
        <w:t>novembre 20</w:t>
      </w:r>
      <w:r w:rsidRPr="009349C2">
        <w:rPr>
          <w:lang w:val="fr-FR"/>
        </w:rPr>
        <w:t>16, l</w:t>
      </w:r>
      <w:r w:rsidR="00D10BFC" w:rsidRPr="009349C2">
        <w:rPr>
          <w:lang w:val="fr-FR"/>
        </w:rPr>
        <w:t>’</w:t>
      </w:r>
      <w:r w:rsidRPr="009349C2">
        <w:rPr>
          <w:lang w:val="fr-FR"/>
        </w:rPr>
        <w:t>OMPI a organisé une activité commune entre l</w:t>
      </w:r>
      <w:r w:rsidR="00D10BFC" w:rsidRPr="009349C2">
        <w:rPr>
          <w:lang w:val="fr-FR"/>
        </w:rPr>
        <w:t>’</w:t>
      </w:r>
      <w:r w:rsidRPr="009349C2">
        <w:rPr>
          <w:lang w:val="fr-FR"/>
        </w:rPr>
        <w:t>INAPI et l</w:t>
      </w:r>
      <w:r w:rsidR="00D10BFC" w:rsidRPr="009349C2">
        <w:rPr>
          <w:lang w:val="fr-FR"/>
        </w:rPr>
        <w:t>’</w:t>
      </w:r>
      <w:r w:rsidRPr="009349C2">
        <w:rPr>
          <w:lang w:val="fr-FR"/>
        </w:rPr>
        <w:t>Office autrichien des brevets, destinée à l</w:t>
      </w:r>
      <w:r w:rsidR="00D10BFC" w:rsidRPr="009349C2">
        <w:rPr>
          <w:lang w:val="fr-FR"/>
        </w:rPr>
        <w:t>’</w:t>
      </w:r>
      <w:r w:rsidRPr="009349C2">
        <w:rPr>
          <w:lang w:val="fr-FR"/>
        </w:rPr>
        <w:t>échange de meilleures pratiques entre offices, en vue d</w:t>
      </w:r>
      <w:r w:rsidR="00D10BFC" w:rsidRPr="009349C2">
        <w:rPr>
          <w:lang w:val="fr-FR"/>
        </w:rPr>
        <w:t>’</w:t>
      </w:r>
      <w:r w:rsidRPr="009349C2">
        <w:rPr>
          <w:lang w:val="fr-FR"/>
        </w:rPr>
        <w:t>une mise en conformité avec les principes d</w:t>
      </w:r>
      <w:r w:rsidR="00D10BFC" w:rsidRPr="009349C2">
        <w:rPr>
          <w:lang w:val="fr-FR"/>
        </w:rPr>
        <w:t>’</w:t>
      </w:r>
      <w:r w:rsidRPr="009349C2">
        <w:rPr>
          <w:lang w:val="fr-FR"/>
        </w:rPr>
        <w:t>amélioration continue et d</w:t>
      </w:r>
      <w:r w:rsidR="00D10BFC" w:rsidRPr="009349C2">
        <w:rPr>
          <w:lang w:val="fr-FR"/>
        </w:rPr>
        <w:t>’</w:t>
      </w:r>
      <w:r w:rsidRPr="009349C2">
        <w:rPr>
          <w:lang w:val="fr-FR"/>
        </w:rPr>
        <w:t>adoption de normes de qualité en tant qu</w:t>
      </w:r>
      <w:r w:rsidR="00D10BFC" w:rsidRPr="009349C2">
        <w:rPr>
          <w:lang w:val="fr-FR"/>
        </w:rPr>
        <w:t>’</w:t>
      </w:r>
      <w:r w:rsidRPr="009349C2">
        <w:rPr>
          <w:lang w:val="fr-FR"/>
        </w:rPr>
        <w:t>administration chargée de la recherche internationale et de l</w:t>
      </w:r>
      <w:r w:rsidR="00D10BFC" w:rsidRPr="009349C2">
        <w:rPr>
          <w:lang w:val="fr-FR"/>
        </w:rPr>
        <w:t>’</w:t>
      </w:r>
      <w:r w:rsidRPr="009349C2">
        <w:rPr>
          <w:lang w:val="fr-FR"/>
        </w:rPr>
        <w:t>examen préliminaire international.</w:t>
      </w:r>
    </w:p>
    <w:p w:rsidR="00342BCA" w:rsidRPr="009349C2" w:rsidRDefault="002D316F" w:rsidP="009349C2">
      <w:pPr>
        <w:pStyle w:val="SectionHeading"/>
        <w:rPr>
          <w:lang w:val="fr-FR"/>
        </w:rPr>
      </w:pPr>
      <w:r w:rsidRPr="009349C2">
        <w:rPr>
          <w:lang w:val="fr-FR"/>
        </w:rPr>
        <w:t>8 – Autres</w:t>
      </w:r>
    </w:p>
    <w:p w:rsidR="00342BCA" w:rsidRPr="009349C2" w:rsidRDefault="00C50FA7" w:rsidP="009349C2">
      <w:pPr>
        <w:rPr>
          <w:lang w:val="fr-FR"/>
        </w:rPr>
      </w:pPr>
      <w:r w:rsidRPr="009349C2">
        <w:rPr>
          <w:lang w:val="fr-FR"/>
        </w:rPr>
        <w:t>Sans objet</w:t>
      </w:r>
      <w:r w:rsidR="005E0219" w:rsidRPr="009349C2">
        <w:rPr>
          <w:lang w:val="fr-FR"/>
        </w:rPr>
        <w:t>.</w:t>
      </w:r>
    </w:p>
    <w:p w:rsidR="00342BCA" w:rsidRPr="009349C2" w:rsidRDefault="00342BCA" w:rsidP="009349C2">
      <w:pPr>
        <w:rPr>
          <w:szCs w:val="22"/>
          <w:lang w:val="fr-FR"/>
        </w:rPr>
      </w:pPr>
    </w:p>
    <w:p w:rsidR="00342BCA" w:rsidRPr="009349C2" w:rsidRDefault="005E0219" w:rsidP="009349C2">
      <w:pPr>
        <w:pStyle w:val="SectionHeading"/>
        <w:rPr>
          <w:lang w:val="fr-FR"/>
        </w:rPr>
      </w:pPr>
      <w:r w:rsidRPr="009349C2">
        <w:rPr>
          <w:lang w:val="fr-FR"/>
        </w:rPr>
        <w:t>9</w:t>
      </w:r>
      <w:r w:rsidR="00D10BFC" w:rsidRPr="009349C2">
        <w:rPr>
          <w:lang w:val="fr-FR"/>
        </w:rPr>
        <w:t xml:space="preserve"> – </w:t>
      </w:r>
      <w:r w:rsidRPr="009349C2">
        <w:rPr>
          <w:lang w:val="fr-FR"/>
        </w:rPr>
        <w:t>Évaluation par d</w:t>
      </w:r>
      <w:r w:rsidR="00D10BFC" w:rsidRPr="009349C2">
        <w:rPr>
          <w:lang w:val="fr-FR"/>
        </w:rPr>
        <w:t>’</w:t>
      </w:r>
      <w:r w:rsidRPr="009349C2">
        <w:rPr>
          <w:lang w:val="fr-FR"/>
        </w:rPr>
        <w:t>autres administrations</w:t>
      </w:r>
    </w:p>
    <w:p w:rsidR="00342BCA" w:rsidRPr="009349C2" w:rsidRDefault="00C50FA7" w:rsidP="009349C2">
      <w:pPr>
        <w:rPr>
          <w:lang w:val="fr-FR"/>
        </w:rPr>
      </w:pPr>
      <w:r w:rsidRPr="009349C2">
        <w:rPr>
          <w:lang w:val="fr-FR"/>
        </w:rPr>
        <w:t>Sans objet</w:t>
      </w:r>
      <w:r w:rsidR="005E0219" w:rsidRPr="009349C2">
        <w:rPr>
          <w:lang w:val="fr-FR"/>
        </w:rPr>
        <w:t>.</w:t>
      </w:r>
    </w:p>
    <w:p w:rsidR="00342BCA" w:rsidRPr="009349C2" w:rsidRDefault="00342BCA" w:rsidP="009349C2">
      <w:pPr>
        <w:rPr>
          <w:lang w:val="fr-FR"/>
        </w:rPr>
      </w:pPr>
    </w:p>
    <w:p w:rsidR="00342BCA" w:rsidRPr="009349C2" w:rsidRDefault="00342BCA" w:rsidP="009349C2">
      <w:pPr>
        <w:rPr>
          <w:lang w:val="fr-FR"/>
        </w:rPr>
      </w:pPr>
    </w:p>
    <w:p w:rsidR="00403B14" w:rsidRPr="009349C2" w:rsidRDefault="00403B14" w:rsidP="009349C2">
      <w:pPr>
        <w:rPr>
          <w:lang w:val="fr-FR"/>
        </w:rPr>
      </w:pPr>
    </w:p>
    <w:p w:rsidR="00342BCA" w:rsidRPr="009349C2" w:rsidRDefault="005E0219" w:rsidP="009349C2">
      <w:pPr>
        <w:pStyle w:val="Endofdocument-Annex"/>
        <w:rPr>
          <w:lang w:val="fr-FR"/>
        </w:rPr>
      </w:pPr>
      <w:r w:rsidRPr="009349C2">
        <w:rPr>
          <w:lang w:val="fr-FR"/>
        </w:rPr>
        <w:t>[Fin de l</w:t>
      </w:r>
      <w:r w:rsidR="00D10BFC" w:rsidRPr="009349C2">
        <w:rPr>
          <w:lang w:val="fr-FR"/>
        </w:rPr>
        <w:t>’</w:t>
      </w:r>
      <w:r w:rsidRPr="009349C2">
        <w:rPr>
          <w:lang w:val="fr-FR"/>
        </w:rPr>
        <w:t>annexe et du document]</w:t>
      </w:r>
    </w:p>
    <w:sectPr w:rsidR="00342BCA" w:rsidRPr="009349C2" w:rsidSect="00D10BFC">
      <w:headerReference w:type="default" r:id="rId13"/>
      <w:headerReference w:type="first" r:id="rId14"/>
      <w:endnotePr>
        <w:numFmt w:val="decimal"/>
      </w:endnotePr>
      <w:pgSz w:w="11907" w:h="16840" w:code="9"/>
      <w:pgMar w:top="567" w:right="1134" w:bottom="1077"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DB" w:rsidRDefault="00014DDB">
      <w:r>
        <w:separator/>
      </w:r>
    </w:p>
  </w:endnote>
  <w:endnote w:type="continuationSeparator" w:id="0">
    <w:p w:rsidR="00014DDB" w:rsidRDefault="00014DDB" w:rsidP="003B38C1">
      <w:r>
        <w:separator/>
      </w:r>
    </w:p>
    <w:p w:rsidR="00014DDB" w:rsidRPr="003B38C1" w:rsidRDefault="00014DDB" w:rsidP="003B38C1">
      <w:pPr>
        <w:spacing w:after="60"/>
        <w:rPr>
          <w:sz w:val="17"/>
        </w:rPr>
      </w:pPr>
      <w:r>
        <w:rPr>
          <w:sz w:val="17"/>
        </w:rPr>
        <w:t>[Endnote continued from previous page]</w:t>
      </w:r>
    </w:p>
  </w:endnote>
  <w:endnote w:type="continuationNotice" w:id="1">
    <w:p w:rsidR="00014DDB" w:rsidRPr="003B38C1" w:rsidRDefault="00014D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DB" w:rsidRDefault="00014DDB">
      <w:r>
        <w:separator/>
      </w:r>
    </w:p>
  </w:footnote>
  <w:footnote w:type="continuationSeparator" w:id="0">
    <w:p w:rsidR="00014DDB" w:rsidRDefault="00014DDB" w:rsidP="008B60B2">
      <w:r>
        <w:separator/>
      </w:r>
    </w:p>
    <w:p w:rsidR="00014DDB" w:rsidRPr="00ED77FB" w:rsidRDefault="00014DDB" w:rsidP="008B60B2">
      <w:pPr>
        <w:spacing w:after="60"/>
        <w:rPr>
          <w:sz w:val="17"/>
          <w:szCs w:val="17"/>
        </w:rPr>
      </w:pPr>
      <w:r w:rsidRPr="00ED77FB">
        <w:rPr>
          <w:sz w:val="17"/>
          <w:szCs w:val="17"/>
        </w:rPr>
        <w:t>[Footnote continued from previous page]</w:t>
      </w:r>
    </w:p>
  </w:footnote>
  <w:footnote w:type="continuationNotice" w:id="1">
    <w:p w:rsidR="00014DDB" w:rsidRPr="00ED77FB" w:rsidRDefault="00014DDB" w:rsidP="008B60B2">
      <w:pPr>
        <w:spacing w:before="60"/>
        <w:jc w:val="right"/>
        <w:rPr>
          <w:sz w:val="17"/>
          <w:szCs w:val="17"/>
        </w:rPr>
      </w:pPr>
      <w:r w:rsidRPr="00ED77FB">
        <w:rPr>
          <w:sz w:val="17"/>
          <w:szCs w:val="17"/>
        </w:rPr>
        <w:t>[Footnote continued on next page]</w:t>
      </w:r>
    </w:p>
  </w:footnote>
  <w:footnote w:id="2">
    <w:p w:rsidR="00902B1B" w:rsidRPr="00A3794F" w:rsidRDefault="00902B1B" w:rsidP="00902B1B">
      <w:pPr>
        <w:pStyle w:val="FootnoteText"/>
        <w:jc w:val="both"/>
        <w:rPr>
          <w:szCs w:val="18"/>
          <w:lang w:val="fr-FR"/>
        </w:rPr>
      </w:pPr>
      <w:r w:rsidRPr="00105F28">
        <w:rPr>
          <w:szCs w:val="18"/>
          <w:vertAlign w:val="superscript"/>
        </w:rPr>
        <w:footnoteRef/>
      </w:r>
      <w:r w:rsidRPr="00A3794F">
        <w:rPr>
          <w:szCs w:val="18"/>
          <w:lang w:val="fr-FR"/>
        </w:rPr>
        <w:t xml:space="preserve"> </w:t>
      </w:r>
      <w:r w:rsidRPr="00A3794F">
        <w:rPr>
          <w:szCs w:val="18"/>
          <w:lang w:val="fr-FR"/>
        </w:rPr>
        <w:tab/>
      </w:r>
      <w:r w:rsidR="00105F28" w:rsidRPr="00105F28">
        <w:rPr>
          <w:szCs w:val="18"/>
          <w:lang w:val="fr-FR"/>
        </w:rPr>
        <w:t>Dans certains tableaux, l’année</w:t>
      </w:r>
      <w:r w:rsidR="00105F28" w:rsidRPr="00A3794F">
        <w:rPr>
          <w:szCs w:val="18"/>
          <w:lang w:val="fr-FR"/>
        </w:rPr>
        <w:t> </w:t>
      </w:r>
      <w:r w:rsidR="00105F28" w:rsidRPr="00105F28">
        <w:rPr>
          <w:szCs w:val="18"/>
          <w:lang w:val="fr-FR"/>
        </w:rPr>
        <w:t>2012 n’a pas été prise en considération étant donné que ce n’est qu’en 2013 que le système IPAS est devenu pleinement opérationnel et accessible pour l’extraction de données.  Par conséquent, il a été décidé d’utiliser une source d’information plus précise contenue dans une base de données unique plutôt que de collecter les données auprès de plusieurs systèmes différents qui étaient actifs avant la mise en œuvre de ce système informatique à l’INAPI.</w:t>
      </w:r>
    </w:p>
  </w:footnote>
  <w:footnote w:id="3">
    <w:p w:rsidR="00902B1B" w:rsidRPr="00A3794F" w:rsidRDefault="00902B1B" w:rsidP="00902B1B">
      <w:pPr>
        <w:pStyle w:val="FootnoteText"/>
        <w:jc w:val="both"/>
        <w:rPr>
          <w:szCs w:val="18"/>
          <w:lang w:val="fr-FR"/>
        </w:rPr>
      </w:pPr>
      <w:r w:rsidRPr="00105F28">
        <w:rPr>
          <w:szCs w:val="18"/>
          <w:vertAlign w:val="superscript"/>
        </w:rPr>
        <w:footnoteRef/>
      </w:r>
      <w:r w:rsidRPr="00A3794F">
        <w:rPr>
          <w:szCs w:val="18"/>
          <w:lang w:val="fr-FR"/>
        </w:rPr>
        <w:t xml:space="preserve"> </w:t>
      </w:r>
      <w:r w:rsidRPr="00A3794F">
        <w:rPr>
          <w:szCs w:val="18"/>
          <w:lang w:val="fr-FR"/>
        </w:rPr>
        <w:tab/>
      </w:r>
      <w:r w:rsidR="00105F28" w:rsidRPr="00105F28">
        <w:rPr>
          <w:szCs w:val="18"/>
          <w:lang w:val="fr-FR"/>
        </w:rPr>
        <w:t>Le nombre total de demandes n’inclut pas les demandes déposées pour les dessins et modèles industriels ainsi que les schémas, même si ces demandes sont considérées comme faisant partie de la division des brevets et examinées en conséquence.</w:t>
      </w:r>
    </w:p>
  </w:footnote>
  <w:footnote w:id="4">
    <w:p w:rsidR="00014DDB" w:rsidRPr="00AA70C8" w:rsidRDefault="00014DDB" w:rsidP="00AA70C8">
      <w:pPr>
        <w:pStyle w:val="FootnoteText"/>
        <w:jc w:val="both"/>
        <w:rPr>
          <w:lang w:val="fr-CH"/>
        </w:rPr>
      </w:pPr>
      <w:r w:rsidRPr="00A70B16">
        <w:rPr>
          <w:vertAlign w:val="superscript"/>
        </w:rPr>
        <w:footnoteRef/>
      </w:r>
      <w:r w:rsidRPr="00AA70C8">
        <w:rPr>
          <w:lang w:val="fr-CH"/>
        </w:rPr>
        <w:t xml:space="preserve"> </w:t>
      </w:r>
      <w:r w:rsidRPr="00AA70C8">
        <w:rPr>
          <w:lang w:val="fr-CH"/>
        </w:rPr>
        <w:tab/>
      </w:r>
      <w:r w:rsidRPr="00AA70C8">
        <w:rPr>
          <w:color w:val="000000"/>
          <w:lang w:val="fr-CH"/>
        </w:rPr>
        <w:t>Actuellement, l</w:t>
      </w:r>
      <w:r>
        <w:rPr>
          <w:color w:val="000000"/>
          <w:lang w:val="fr-CH"/>
        </w:rPr>
        <w:t>’</w:t>
      </w:r>
      <w:r w:rsidRPr="00AA70C8">
        <w:rPr>
          <w:color w:val="000000"/>
          <w:lang w:val="fr-CH"/>
        </w:rPr>
        <w:t>INAPI ne considère pas la recherche et l</w:t>
      </w:r>
      <w:r>
        <w:rPr>
          <w:color w:val="000000"/>
          <w:lang w:val="fr-CH"/>
        </w:rPr>
        <w:t>’</w:t>
      </w:r>
      <w:r w:rsidRPr="00AA70C8">
        <w:rPr>
          <w:color w:val="000000"/>
          <w:lang w:val="fr-CH"/>
        </w:rPr>
        <w:t>examen comme deux</w:t>
      </w:r>
      <w:r>
        <w:rPr>
          <w:color w:val="000000"/>
          <w:lang w:val="fr-CH"/>
        </w:rPr>
        <w:t> </w:t>
      </w:r>
      <w:r w:rsidRPr="00AA70C8">
        <w:rPr>
          <w:color w:val="000000"/>
          <w:lang w:val="fr-CH"/>
        </w:rPr>
        <w:t>activités différentes, mais les effectue simultanément, les résultats étant soumis au déposant dans un rapport unique rassemblant toutes les informations sur les résultats de la recherche et l</w:t>
      </w:r>
      <w:r>
        <w:rPr>
          <w:color w:val="000000"/>
          <w:lang w:val="fr-CH"/>
        </w:rPr>
        <w:t>’</w:t>
      </w:r>
      <w:r w:rsidRPr="00AA70C8">
        <w:rPr>
          <w:color w:val="000000"/>
          <w:lang w:val="fr-CH"/>
        </w:rPr>
        <w:t>opinion concernant les exigences juri</w:t>
      </w:r>
      <w:r>
        <w:rPr>
          <w:color w:val="000000"/>
          <w:lang w:val="fr-CH"/>
        </w:rPr>
        <w:t>di</w:t>
      </w:r>
      <w:r w:rsidRPr="00AA70C8">
        <w:rPr>
          <w:color w:val="000000"/>
          <w:lang w:val="fr-CH"/>
        </w:rPr>
        <w:t>ques.</w:t>
      </w:r>
      <w:r w:rsidRPr="00403B14">
        <w:rPr>
          <w:color w:val="000000"/>
          <w:lang w:val="fr-CH"/>
        </w:rPr>
        <w:t xml:space="preserve">  </w:t>
      </w:r>
      <w:r w:rsidRPr="00AA70C8">
        <w:rPr>
          <w:color w:val="000000"/>
          <w:lang w:val="fr-CH"/>
        </w:rPr>
        <w:t>Ce temps moyen a commencé à être évalué en</w:t>
      </w:r>
      <w:r>
        <w:rPr>
          <w:color w:val="000000"/>
          <w:lang w:val="fr-CH"/>
        </w:rPr>
        <w:t> </w:t>
      </w:r>
      <w:r w:rsidRPr="00AA70C8">
        <w:rPr>
          <w:color w:val="000000"/>
          <w:lang w:val="fr-CH"/>
        </w:rPr>
        <w:t>2009, année au cours de laquelle l</w:t>
      </w:r>
      <w:r>
        <w:rPr>
          <w:color w:val="000000"/>
          <w:lang w:val="fr-CH"/>
        </w:rPr>
        <w:t>’</w:t>
      </w:r>
      <w:r w:rsidRPr="00AA70C8">
        <w:rPr>
          <w:color w:val="000000"/>
          <w:lang w:val="fr-CH"/>
        </w:rPr>
        <w:t>INAPI a été créé et une nouvelle procédure de recherche et d</w:t>
      </w:r>
      <w:r>
        <w:rPr>
          <w:color w:val="000000"/>
          <w:lang w:val="fr-CH"/>
        </w:rPr>
        <w:t>’</w:t>
      </w:r>
      <w:r w:rsidRPr="00AA70C8">
        <w:rPr>
          <w:color w:val="000000"/>
          <w:lang w:val="fr-CH"/>
        </w:rPr>
        <w:t>examen a été élaborée en vue d</w:t>
      </w:r>
      <w:r>
        <w:rPr>
          <w:color w:val="000000"/>
          <w:lang w:val="fr-CH"/>
        </w:rPr>
        <w:t>’</w:t>
      </w:r>
      <w:r w:rsidRPr="00AA70C8">
        <w:rPr>
          <w:color w:val="000000"/>
          <w:lang w:val="fr-CH"/>
        </w:rPr>
        <w:t>une efficacité accrue.</w:t>
      </w:r>
    </w:p>
  </w:footnote>
  <w:footnote w:id="5">
    <w:p w:rsidR="00014DDB" w:rsidRPr="00014DDB" w:rsidRDefault="00014DDB" w:rsidP="00B75756">
      <w:pPr>
        <w:pStyle w:val="FootnoteText"/>
        <w:rPr>
          <w:lang w:val="fr-CH"/>
        </w:rPr>
      </w:pPr>
      <w:r w:rsidRPr="00A70B16">
        <w:rPr>
          <w:vertAlign w:val="superscript"/>
        </w:rPr>
        <w:footnoteRef/>
      </w:r>
      <w:r w:rsidRPr="00AA70C8">
        <w:rPr>
          <w:lang w:val="fr-CH"/>
        </w:rPr>
        <w:t xml:space="preserve"> </w:t>
      </w:r>
      <w:r w:rsidRPr="00AA70C8">
        <w:rPr>
          <w:lang w:val="fr-CH"/>
        </w:rPr>
        <w:tab/>
      </w:r>
      <w:r w:rsidRPr="00AA70C8">
        <w:rPr>
          <w:color w:val="000000"/>
          <w:lang w:val="fr-CH"/>
        </w:rPr>
        <w:t>Ces informations concernent les demandes selon</w:t>
      </w:r>
      <w:r w:rsidRPr="007A30C3">
        <w:rPr>
          <w:color w:val="000000"/>
          <w:lang w:val="fr-CH"/>
        </w:rPr>
        <w:t xml:space="preserve"> le PCT</w:t>
      </w:r>
      <w:r w:rsidRPr="00AA70C8">
        <w:rPr>
          <w:color w:val="000000"/>
          <w:lang w:val="fr-CH"/>
        </w:rPr>
        <w:t xml:space="preserve"> déposées auprès de l</w:t>
      </w:r>
      <w:r>
        <w:rPr>
          <w:color w:val="000000"/>
          <w:lang w:val="fr-CH"/>
        </w:rPr>
        <w:t>’</w:t>
      </w:r>
      <w:r w:rsidRPr="00AA70C8">
        <w:rPr>
          <w:color w:val="000000"/>
          <w:lang w:val="fr-CH"/>
        </w:rPr>
        <w:t>INAPI (phase nationale</w:t>
      </w:r>
      <w:r w:rsidRPr="00014DDB">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DB" w:rsidRDefault="00014DDB" w:rsidP="00477D6B">
    <w:pPr>
      <w:jc w:val="right"/>
    </w:pPr>
    <w:bookmarkStart w:id="6" w:name="Code2"/>
    <w:bookmarkEnd w:id="6"/>
    <w:r>
      <w:t>PCT/CTC/30/7</w:t>
    </w:r>
  </w:p>
  <w:p w:rsidR="00014DDB" w:rsidRDefault="00014DDB" w:rsidP="00477D6B">
    <w:pPr>
      <w:jc w:val="right"/>
    </w:pPr>
    <w:proofErr w:type="gramStart"/>
    <w:r>
      <w:t>page</w:t>
    </w:r>
    <w:proofErr w:type="gramEnd"/>
    <w:r>
      <w:t> </w:t>
    </w:r>
    <w:r>
      <w:fldChar w:fldCharType="begin"/>
    </w:r>
    <w:r>
      <w:instrText xml:space="preserve"> PAGE  \* MERGEFORMAT </w:instrText>
    </w:r>
    <w:r>
      <w:fldChar w:fldCharType="separate"/>
    </w:r>
    <w:r w:rsidR="009349C2">
      <w:rPr>
        <w:noProof/>
      </w:rPr>
      <w:t>2</w:t>
    </w:r>
    <w:r>
      <w:fldChar w:fldCharType="end"/>
    </w:r>
  </w:p>
  <w:p w:rsidR="00014DDB" w:rsidRDefault="00014DD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DB" w:rsidRPr="00AA5F79" w:rsidRDefault="00014DDB" w:rsidP="00477D6B">
    <w:pPr>
      <w:jc w:val="right"/>
      <w:rPr>
        <w:lang w:val="fr-FR"/>
      </w:rPr>
    </w:pPr>
    <w:r w:rsidRPr="00AA5F79">
      <w:rPr>
        <w:lang w:val="fr-FR"/>
      </w:rPr>
      <w:t>PCT/CTC/30</w:t>
    </w:r>
    <w:r>
      <w:rPr>
        <w:lang w:val="fr-FR"/>
      </w:rPr>
      <w:t>/7</w:t>
    </w:r>
  </w:p>
  <w:p w:rsidR="00014DDB" w:rsidRPr="00AA5F79" w:rsidRDefault="00014DDB" w:rsidP="00477D6B">
    <w:pPr>
      <w:jc w:val="right"/>
      <w:rPr>
        <w:lang w:val="fr-FR"/>
      </w:rPr>
    </w:pPr>
    <w:r w:rsidRPr="00AA5F79">
      <w:rPr>
        <w:lang w:val="fr-FR"/>
      </w:rPr>
      <w:t>Annex</w:t>
    </w:r>
    <w:r w:rsidR="002D316F">
      <w:rPr>
        <w:lang w:val="fr-FR"/>
      </w:rPr>
      <w:t>e</w:t>
    </w:r>
    <w:r w:rsidRPr="00AA5F79">
      <w:rPr>
        <w:lang w:val="fr-FR"/>
      </w:rPr>
      <w:t>, page</w:t>
    </w:r>
    <w:r w:rsidR="002D316F">
      <w:rPr>
        <w:lang w:val="fr-FR"/>
      </w:rPr>
      <w:t> </w:t>
    </w:r>
    <w:r>
      <w:fldChar w:fldCharType="begin"/>
    </w:r>
    <w:r w:rsidRPr="00AA5F79">
      <w:rPr>
        <w:lang w:val="fr-FR"/>
      </w:rPr>
      <w:instrText xml:space="preserve"> PAGE  \* MERGEFORMAT </w:instrText>
    </w:r>
    <w:r>
      <w:fldChar w:fldCharType="separate"/>
    </w:r>
    <w:r w:rsidR="00E263A3">
      <w:rPr>
        <w:noProof/>
        <w:lang w:val="fr-FR"/>
      </w:rPr>
      <w:t>11</w:t>
    </w:r>
    <w:r>
      <w:fldChar w:fldCharType="end"/>
    </w:r>
  </w:p>
  <w:p w:rsidR="00014DDB" w:rsidRPr="00AA5F79" w:rsidRDefault="00014DDB"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DB" w:rsidRDefault="00014DDB" w:rsidP="00AA5F79">
    <w:pPr>
      <w:pStyle w:val="Header"/>
      <w:jc w:val="right"/>
    </w:pPr>
    <w:r>
      <w:t>PCT/CTC/30/7</w:t>
    </w:r>
  </w:p>
  <w:p w:rsidR="00014DDB" w:rsidRDefault="00014DDB" w:rsidP="00AA5F79">
    <w:pPr>
      <w:pStyle w:val="Header"/>
      <w:jc w:val="right"/>
    </w:pPr>
    <w:r>
      <w:t>ANNEXE</w:t>
    </w:r>
  </w:p>
  <w:p w:rsidR="00014DDB" w:rsidRDefault="00014DDB" w:rsidP="00014D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D1C28E6"/>
    <w:multiLevelType w:val="hybridMultilevel"/>
    <w:tmpl w:val="7B3C18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R_TermBase|FTS_Glossary|Licenc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650A4"/>
    <w:rsid w:val="00011582"/>
    <w:rsid w:val="00014DDB"/>
    <w:rsid w:val="0001646C"/>
    <w:rsid w:val="00043CAA"/>
    <w:rsid w:val="00056BA0"/>
    <w:rsid w:val="00063B2E"/>
    <w:rsid w:val="00070BDA"/>
    <w:rsid w:val="00075432"/>
    <w:rsid w:val="00087F23"/>
    <w:rsid w:val="00094502"/>
    <w:rsid w:val="000968ED"/>
    <w:rsid w:val="000B2152"/>
    <w:rsid w:val="000F5E56"/>
    <w:rsid w:val="00105D40"/>
    <w:rsid w:val="00105F28"/>
    <w:rsid w:val="00117846"/>
    <w:rsid w:val="001260A2"/>
    <w:rsid w:val="001362EE"/>
    <w:rsid w:val="00151F5E"/>
    <w:rsid w:val="00164EF7"/>
    <w:rsid w:val="00173DB5"/>
    <w:rsid w:val="001832A6"/>
    <w:rsid w:val="001B2D5D"/>
    <w:rsid w:val="001B6025"/>
    <w:rsid w:val="001E31BC"/>
    <w:rsid w:val="002003E4"/>
    <w:rsid w:val="00207248"/>
    <w:rsid w:val="0021217E"/>
    <w:rsid w:val="002123EE"/>
    <w:rsid w:val="00244325"/>
    <w:rsid w:val="00244AF2"/>
    <w:rsid w:val="002634C4"/>
    <w:rsid w:val="002711B2"/>
    <w:rsid w:val="00283D11"/>
    <w:rsid w:val="002928D3"/>
    <w:rsid w:val="002D316F"/>
    <w:rsid w:val="002E45EB"/>
    <w:rsid w:val="002F1FE6"/>
    <w:rsid w:val="002F4E68"/>
    <w:rsid w:val="00312F7F"/>
    <w:rsid w:val="00342BCA"/>
    <w:rsid w:val="0035027E"/>
    <w:rsid w:val="00354386"/>
    <w:rsid w:val="00361450"/>
    <w:rsid w:val="003673CF"/>
    <w:rsid w:val="00383B59"/>
    <w:rsid w:val="003845C1"/>
    <w:rsid w:val="003A6F89"/>
    <w:rsid w:val="003B38C1"/>
    <w:rsid w:val="003C04F9"/>
    <w:rsid w:val="003F4FB0"/>
    <w:rsid w:val="00402884"/>
    <w:rsid w:val="00403B14"/>
    <w:rsid w:val="0042082B"/>
    <w:rsid w:val="00423E3E"/>
    <w:rsid w:val="00427AF4"/>
    <w:rsid w:val="004361B4"/>
    <w:rsid w:val="00450A58"/>
    <w:rsid w:val="0046136A"/>
    <w:rsid w:val="004647DA"/>
    <w:rsid w:val="00474062"/>
    <w:rsid w:val="00477D6B"/>
    <w:rsid w:val="00490DCA"/>
    <w:rsid w:val="00493E18"/>
    <w:rsid w:val="004A50A2"/>
    <w:rsid w:val="004C204E"/>
    <w:rsid w:val="004F74E6"/>
    <w:rsid w:val="005019FF"/>
    <w:rsid w:val="0053057A"/>
    <w:rsid w:val="00530EA3"/>
    <w:rsid w:val="00560A29"/>
    <w:rsid w:val="00575361"/>
    <w:rsid w:val="00590C5F"/>
    <w:rsid w:val="005C40A3"/>
    <w:rsid w:val="005C6649"/>
    <w:rsid w:val="005E0219"/>
    <w:rsid w:val="005E5DCB"/>
    <w:rsid w:val="00605827"/>
    <w:rsid w:val="00646050"/>
    <w:rsid w:val="00663702"/>
    <w:rsid w:val="006713CA"/>
    <w:rsid w:val="00676C5C"/>
    <w:rsid w:val="006935A4"/>
    <w:rsid w:val="0070740D"/>
    <w:rsid w:val="00722084"/>
    <w:rsid w:val="0072789F"/>
    <w:rsid w:val="0076025D"/>
    <w:rsid w:val="007A0280"/>
    <w:rsid w:val="007A30C3"/>
    <w:rsid w:val="007D1613"/>
    <w:rsid w:val="007E4C0E"/>
    <w:rsid w:val="007F6094"/>
    <w:rsid w:val="0080323C"/>
    <w:rsid w:val="008116F1"/>
    <w:rsid w:val="00812B7C"/>
    <w:rsid w:val="00832CE4"/>
    <w:rsid w:val="00837953"/>
    <w:rsid w:val="0084454B"/>
    <w:rsid w:val="00850FD3"/>
    <w:rsid w:val="00860367"/>
    <w:rsid w:val="008669CD"/>
    <w:rsid w:val="00887908"/>
    <w:rsid w:val="008A0115"/>
    <w:rsid w:val="008A5B6A"/>
    <w:rsid w:val="008B12E8"/>
    <w:rsid w:val="008B2CC1"/>
    <w:rsid w:val="008B50A2"/>
    <w:rsid w:val="008B60B2"/>
    <w:rsid w:val="008D478E"/>
    <w:rsid w:val="00902B1B"/>
    <w:rsid w:val="00904447"/>
    <w:rsid w:val="0090731E"/>
    <w:rsid w:val="00916EE2"/>
    <w:rsid w:val="009349C2"/>
    <w:rsid w:val="00966A22"/>
    <w:rsid w:val="0096722F"/>
    <w:rsid w:val="00980843"/>
    <w:rsid w:val="0099551D"/>
    <w:rsid w:val="009A4E02"/>
    <w:rsid w:val="009D63D0"/>
    <w:rsid w:val="009E2791"/>
    <w:rsid w:val="009E3F6F"/>
    <w:rsid w:val="009F499F"/>
    <w:rsid w:val="00A01B1F"/>
    <w:rsid w:val="00A3794F"/>
    <w:rsid w:val="00A42DAF"/>
    <w:rsid w:val="00A45BD8"/>
    <w:rsid w:val="00A67017"/>
    <w:rsid w:val="00A70B16"/>
    <w:rsid w:val="00A738B5"/>
    <w:rsid w:val="00A7541B"/>
    <w:rsid w:val="00A80A18"/>
    <w:rsid w:val="00A80E72"/>
    <w:rsid w:val="00A869B7"/>
    <w:rsid w:val="00A93FC2"/>
    <w:rsid w:val="00AA5F79"/>
    <w:rsid w:val="00AA70C8"/>
    <w:rsid w:val="00AB5F4D"/>
    <w:rsid w:val="00AC205C"/>
    <w:rsid w:val="00AF0A6B"/>
    <w:rsid w:val="00B05A69"/>
    <w:rsid w:val="00B22489"/>
    <w:rsid w:val="00B6568C"/>
    <w:rsid w:val="00B75756"/>
    <w:rsid w:val="00B87017"/>
    <w:rsid w:val="00B96093"/>
    <w:rsid w:val="00B9734B"/>
    <w:rsid w:val="00BA30E2"/>
    <w:rsid w:val="00BD078D"/>
    <w:rsid w:val="00C11BFE"/>
    <w:rsid w:val="00C23E87"/>
    <w:rsid w:val="00C37C03"/>
    <w:rsid w:val="00C434DF"/>
    <w:rsid w:val="00C5068F"/>
    <w:rsid w:val="00C50FA7"/>
    <w:rsid w:val="00C650A4"/>
    <w:rsid w:val="00C71DE9"/>
    <w:rsid w:val="00C7767C"/>
    <w:rsid w:val="00CD04F1"/>
    <w:rsid w:val="00D03F87"/>
    <w:rsid w:val="00D10BFC"/>
    <w:rsid w:val="00D45252"/>
    <w:rsid w:val="00D617EA"/>
    <w:rsid w:val="00D71B4D"/>
    <w:rsid w:val="00D93D55"/>
    <w:rsid w:val="00DB2101"/>
    <w:rsid w:val="00DB77BF"/>
    <w:rsid w:val="00DD4FB8"/>
    <w:rsid w:val="00DE038A"/>
    <w:rsid w:val="00E10B82"/>
    <w:rsid w:val="00E15015"/>
    <w:rsid w:val="00E263A3"/>
    <w:rsid w:val="00E31D5A"/>
    <w:rsid w:val="00E335FE"/>
    <w:rsid w:val="00E37A4B"/>
    <w:rsid w:val="00E63F6F"/>
    <w:rsid w:val="00E82D0C"/>
    <w:rsid w:val="00EA2E77"/>
    <w:rsid w:val="00EA3522"/>
    <w:rsid w:val="00EB00DE"/>
    <w:rsid w:val="00EC4A41"/>
    <w:rsid w:val="00EC4E49"/>
    <w:rsid w:val="00ED77FB"/>
    <w:rsid w:val="00EE0482"/>
    <w:rsid w:val="00EE3827"/>
    <w:rsid w:val="00EE45FA"/>
    <w:rsid w:val="00F07B85"/>
    <w:rsid w:val="00F1173E"/>
    <w:rsid w:val="00F118EB"/>
    <w:rsid w:val="00F167FF"/>
    <w:rsid w:val="00F3073C"/>
    <w:rsid w:val="00F340BE"/>
    <w:rsid w:val="00F44428"/>
    <w:rsid w:val="00F66152"/>
    <w:rsid w:val="00F70C2C"/>
    <w:rsid w:val="00FA193A"/>
    <w:rsid w:val="00FA4CE0"/>
    <w:rsid w:val="00FB1582"/>
    <w:rsid w:val="00FC23A3"/>
    <w:rsid w:val="00FC49C6"/>
    <w:rsid w:val="00FD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basedOn w:val="DefaultParagraphFont"/>
    <w:rsid w:val="00EE0482"/>
  </w:style>
  <w:style w:type="character" w:styleId="FootnoteReference">
    <w:name w:val="footnote reference"/>
    <w:basedOn w:val="DefaultParagraphFont"/>
    <w:uiPriority w:val="99"/>
    <w:rsid w:val="00B75756"/>
    <w:rPr>
      <w:vertAlign w:val="superscript"/>
    </w:rPr>
  </w:style>
  <w:style w:type="character" w:customStyle="1" w:styleId="FootnoteTextChar">
    <w:name w:val="Footnote Text Char"/>
    <w:basedOn w:val="DefaultParagraphFont"/>
    <w:link w:val="FootnoteText"/>
    <w:uiPriority w:val="99"/>
    <w:semiHidden/>
    <w:rsid w:val="00B75756"/>
    <w:rPr>
      <w:rFonts w:ascii="Arial" w:eastAsia="SimSun" w:hAnsi="Arial" w:cs="Arial"/>
      <w:sz w:val="18"/>
      <w:lang w:eastAsia="zh-CN"/>
    </w:rPr>
  </w:style>
  <w:style w:type="character" w:customStyle="1" w:styleId="SectionHeadingChar">
    <w:name w:val="Section Heading Char"/>
    <w:link w:val="SectionHeading"/>
    <w:locked/>
    <w:rsid w:val="008D478E"/>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8D478E"/>
    <w:pPr>
      <w:pBdr>
        <w:top w:val="single" w:sz="4" w:space="1" w:color="auto"/>
        <w:bottom w:val="single" w:sz="4" w:space="1" w:color="auto"/>
      </w:pBdr>
      <w:spacing w:before="360" w:after="240"/>
    </w:pPr>
    <w:rPr>
      <w:rFonts w:eastAsia="Times New Roman"/>
    </w:rPr>
  </w:style>
  <w:style w:type="paragraph" w:customStyle="1" w:styleId="Default">
    <w:name w:val="Default"/>
    <w:rsid w:val="00B75756"/>
    <w:pPr>
      <w:autoSpaceDE w:val="0"/>
      <w:autoSpaceDN w:val="0"/>
      <w:adjustRightInd w:val="0"/>
    </w:pPr>
    <w:rPr>
      <w:rFonts w:ascii="Arial" w:hAnsi="Arial" w:cs="Arial"/>
      <w:color w:val="000000"/>
      <w:sz w:val="24"/>
      <w:szCs w:val="24"/>
      <w:lang w:val="es-CL"/>
    </w:rPr>
  </w:style>
  <w:style w:type="paragraph" w:styleId="ListParagraph">
    <w:name w:val="List Paragraph"/>
    <w:basedOn w:val="Normal"/>
    <w:uiPriority w:val="67"/>
    <w:qFormat/>
    <w:rsid w:val="00B75756"/>
    <w:pPr>
      <w:ind w:left="720"/>
      <w:contextualSpacing/>
    </w:pPr>
  </w:style>
  <w:style w:type="character" w:customStyle="1" w:styleId="apple-converted-space">
    <w:name w:val="apple-converted-space"/>
    <w:basedOn w:val="DefaultParagraphFont"/>
    <w:rsid w:val="00B75756"/>
  </w:style>
  <w:style w:type="character" w:customStyle="1" w:styleId="st1">
    <w:name w:val="st1"/>
    <w:basedOn w:val="DefaultParagraphFont"/>
    <w:rsid w:val="00D0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basedOn w:val="DefaultParagraphFont"/>
    <w:rsid w:val="00EE0482"/>
  </w:style>
  <w:style w:type="character" w:styleId="FootnoteReference">
    <w:name w:val="footnote reference"/>
    <w:basedOn w:val="DefaultParagraphFont"/>
    <w:uiPriority w:val="99"/>
    <w:rsid w:val="00B75756"/>
    <w:rPr>
      <w:vertAlign w:val="superscript"/>
    </w:rPr>
  </w:style>
  <w:style w:type="character" w:customStyle="1" w:styleId="FootnoteTextChar">
    <w:name w:val="Footnote Text Char"/>
    <w:basedOn w:val="DefaultParagraphFont"/>
    <w:link w:val="FootnoteText"/>
    <w:uiPriority w:val="99"/>
    <w:semiHidden/>
    <w:rsid w:val="00B75756"/>
    <w:rPr>
      <w:rFonts w:ascii="Arial" w:eastAsia="SimSun" w:hAnsi="Arial" w:cs="Arial"/>
      <w:sz w:val="18"/>
      <w:lang w:eastAsia="zh-CN"/>
    </w:rPr>
  </w:style>
  <w:style w:type="character" w:customStyle="1" w:styleId="SectionHeadingChar">
    <w:name w:val="Section Heading Char"/>
    <w:link w:val="SectionHeading"/>
    <w:locked/>
    <w:rsid w:val="008D478E"/>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8D478E"/>
    <w:pPr>
      <w:pBdr>
        <w:top w:val="single" w:sz="4" w:space="1" w:color="auto"/>
        <w:bottom w:val="single" w:sz="4" w:space="1" w:color="auto"/>
      </w:pBdr>
      <w:spacing w:before="360" w:after="240"/>
    </w:pPr>
    <w:rPr>
      <w:rFonts w:eastAsia="Times New Roman"/>
    </w:rPr>
  </w:style>
  <w:style w:type="paragraph" w:customStyle="1" w:styleId="Default">
    <w:name w:val="Default"/>
    <w:rsid w:val="00B75756"/>
    <w:pPr>
      <w:autoSpaceDE w:val="0"/>
      <w:autoSpaceDN w:val="0"/>
      <w:adjustRightInd w:val="0"/>
    </w:pPr>
    <w:rPr>
      <w:rFonts w:ascii="Arial" w:hAnsi="Arial" w:cs="Arial"/>
      <w:color w:val="000000"/>
      <w:sz w:val="24"/>
      <w:szCs w:val="24"/>
      <w:lang w:val="es-CL"/>
    </w:rPr>
  </w:style>
  <w:style w:type="paragraph" w:styleId="ListParagraph">
    <w:name w:val="List Paragraph"/>
    <w:basedOn w:val="Normal"/>
    <w:uiPriority w:val="67"/>
    <w:qFormat/>
    <w:rsid w:val="00B75756"/>
    <w:pPr>
      <w:ind w:left="720"/>
      <w:contextualSpacing/>
    </w:pPr>
  </w:style>
  <w:style w:type="character" w:customStyle="1" w:styleId="apple-converted-space">
    <w:name w:val="apple-converted-space"/>
    <w:basedOn w:val="DefaultParagraphFont"/>
    <w:rsid w:val="00B75756"/>
  </w:style>
  <w:style w:type="character" w:customStyle="1" w:styleId="st1">
    <w:name w:val="st1"/>
    <w:basedOn w:val="DefaultParagraphFont"/>
    <w:rsid w:val="00D0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19415">
      <w:bodyDiv w:val="1"/>
      <w:marLeft w:val="0"/>
      <w:marRight w:val="0"/>
      <w:marTop w:val="0"/>
      <w:marBottom w:val="0"/>
      <w:divBdr>
        <w:top w:val="none" w:sz="0" w:space="0" w:color="auto"/>
        <w:left w:val="none" w:sz="0" w:space="0" w:color="auto"/>
        <w:bottom w:val="none" w:sz="0" w:space="0" w:color="auto"/>
        <w:right w:val="none" w:sz="0" w:space="0" w:color="auto"/>
      </w:divBdr>
    </w:div>
    <w:div w:id="21323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F50B-6607-4ECA-8FCE-3041BD91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5</TotalTime>
  <Pages>12</Pages>
  <Words>4645</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PCT/CTC/30/7</vt:lpstr>
    </vt:vector>
  </TitlesOfParts>
  <Company>WIPO</Company>
  <LinksUpToDate>false</LinksUpToDate>
  <CharactersWithSpaces>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PCT/CTC/30/7</dc:title>
  <dc:subject>Extension of Appointment of the National Institute of Industrial Property of Chile as an International Searching and Preliminary Examining Authority Under the PCT</dc:subject>
  <dc:creator>MARLOW Thomas</dc:creator>
  <cp:keywords>YW/ko</cp:keywords>
  <cp:lastModifiedBy>MARLOW Thomas</cp:lastModifiedBy>
  <cp:revision>5</cp:revision>
  <cp:lastPrinted>2017-03-29T07:52:00Z</cp:lastPrinted>
  <dcterms:created xsi:type="dcterms:W3CDTF">2017-03-29T07:51:00Z</dcterms:created>
  <dcterms:modified xsi:type="dcterms:W3CDTF">2017-03-29T07:55:00Z</dcterms:modified>
</cp:coreProperties>
</file>