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94BEF" w:rsidTr="0088395E">
        <w:tc>
          <w:tcPr>
            <w:tcW w:w="4513" w:type="dxa"/>
            <w:tcBorders>
              <w:bottom w:val="single" w:sz="4" w:space="0" w:color="auto"/>
            </w:tcBorders>
            <w:tcMar>
              <w:bottom w:w="170" w:type="dxa"/>
            </w:tcMar>
          </w:tcPr>
          <w:p w:rsidR="00E504E5" w:rsidRPr="00A94BEF"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A94BEF" w:rsidRDefault="003E1936" w:rsidP="00AB613D">
            <w:pPr>
              <w:rPr>
                <w:lang w:val="es-ES_tradnl"/>
              </w:rPr>
            </w:pPr>
            <w:r w:rsidRPr="00A94BEF">
              <w:rPr>
                <w:noProof/>
                <w:lang w:val="en-US" w:eastAsia="en-US"/>
              </w:rPr>
              <w:drawing>
                <wp:inline distT="0" distB="0" distL="0" distR="0" wp14:anchorId="14880B3C" wp14:editId="4223AB4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94BEF" w:rsidRDefault="00E504E5" w:rsidP="00AB613D">
            <w:pPr>
              <w:jc w:val="right"/>
              <w:rPr>
                <w:lang w:val="es-ES_tradnl"/>
              </w:rPr>
            </w:pPr>
            <w:r w:rsidRPr="00A94BEF">
              <w:rPr>
                <w:b/>
                <w:sz w:val="40"/>
                <w:szCs w:val="40"/>
                <w:lang w:val="es-ES_tradnl"/>
              </w:rPr>
              <w:t>S</w:t>
            </w:r>
          </w:p>
        </w:tc>
      </w:tr>
      <w:tr w:rsidR="008B2CC1" w:rsidRPr="00A94BE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94BEF" w:rsidRDefault="00074058" w:rsidP="00AB613D">
            <w:pPr>
              <w:jc w:val="right"/>
              <w:rPr>
                <w:rFonts w:ascii="Arial Black" w:hAnsi="Arial Black"/>
                <w:caps/>
                <w:sz w:val="15"/>
                <w:lang w:val="es-ES_tradnl"/>
              </w:rPr>
            </w:pPr>
            <w:r w:rsidRPr="00A94BEF">
              <w:rPr>
                <w:rFonts w:ascii="Arial Black" w:hAnsi="Arial Black"/>
                <w:caps/>
                <w:sz w:val="15"/>
                <w:lang w:val="es-ES_tradnl"/>
              </w:rPr>
              <w:t>PCT/WG/7/</w:t>
            </w:r>
            <w:bookmarkStart w:id="1" w:name="Code"/>
            <w:bookmarkEnd w:id="1"/>
            <w:r w:rsidR="003B136A" w:rsidRPr="00A94BEF">
              <w:rPr>
                <w:rFonts w:ascii="Arial Black" w:hAnsi="Arial Black"/>
                <w:caps/>
                <w:sz w:val="15"/>
                <w:lang w:val="es-ES_tradnl"/>
              </w:rPr>
              <w:t>6</w:t>
            </w:r>
          </w:p>
        </w:tc>
      </w:tr>
      <w:tr w:rsidR="008B2CC1" w:rsidRPr="00A94BEF" w:rsidTr="00AB613D">
        <w:trPr>
          <w:trHeight w:hRule="exact" w:val="170"/>
        </w:trPr>
        <w:tc>
          <w:tcPr>
            <w:tcW w:w="9356" w:type="dxa"/>
            <w:gridSpan w:val="3"/>
            <w:noWrap/>
            <w:tcMar>
              <w:left w:w="0" w:type="dxa"/>
              <w:right w:w="0" w:type="dxa"/>
            </w:tcMar>
            <w:vAlign w:val="bottom"/>
          </w:tcPr>
          <w:p w:rsidR="008B2CC1" w:rsidRPr="00A94BEF" w:rsidRDefault="008B2CC1" w:rsidP="00AB613D">
            <w:pPr>
              <w:jc w:val="right"/>
              <w:rPr>
                <w:rFonts w:ascii="Arial Black" w:hAnsi="Arial Black"/>
                <w:caps/>
                <w:sz w:val="15"/>
                <w:lang w:val="es-ES_tradnl"/>
              </w:rPr>
            </w:pPr>
            <w:r w:rsidRPr="00A94BEF">
              <w:rPr>
                <w:rFonts w:ascii="Arial Black" w:hAnsi="Arial Black"/>
                <w:caps/>
                <w:sz w:val="15"/>
                <w:lang w:val="es-ES_tradnl"/>
              </w:rPr>
              <w:t>ORIGINAL:</w:t>
            </w:r>
            <w:r w:rsidR="00F84474" w:rsidRPr="00A94BEF">
              <w:rPr>
                <w:rFonts w:ascii="Arial Black" w:hAnsi="Arial Black"/>
                <w:caps/>
                <w:sz w:val="15"/>
                <w:lang w:val="es-ES_tradnl"/>
              </w:rPr>
              <w:t xml:space="preserve"> </w:t>
            </w:r>
            <w:r w:rsidRPr="00A94BEF">
              <w:rPr>
                <w:rFonts w:ascii="Arial Black" w:hAnsi="Arial Black"/>
                <w:caps/>
                <w:sz w:val="15"/>
                <w:lang w:val="es-ES_tradnl"/>
              </w:rPr>
              <w:t xml:space="preserve"> </w:t>
            </w:r>
            <w:bookmarkStart w:id="2" w:name="Original"/>
            <w:bookmarkEnd w:id="2"/>
            <w:r w:rsidR="003B136A" w:rsidRPr="00A94BEF">
              <w:rPr>
                <w:rFonts w:ascii="Arial Black" w:hAnsi="Arial Black"/>
                <w:caps/>
                <w:sz w:val="15"/>
                <w:lang w:val="es-ES_tradnl"/>
              </w:rPr>
              <w:t>INGLÉS</w:t>
            </w:r>
          </w:p>
        </w:tc>
      </w:tr>
      <w:tr w:rsidR="008B2CC1" w:rsidRPr="00A94BEF" w:rsidTr="00AB613D">
        <w:trPr>
          <w:trHeight w:hRule="exact" w:val="198"/>
        </w:trPr>
        <w:tc>
          <w:tcPr>
            <w:tcW w:w="9356" w:type="dxa"/>
            <w:gridSpan w:val="3"/>
            <w:tcMar>
              <w:left w:w="0" w:type="dxa"/>
              <w:right w:w="0" w:type="dxa"/>
            </w:tcMar>
            <w:vAlign w:val="bottom"/>
          </w:tcPr>
          <w:p w:rsidR="008B2CC1" w:rsidRPr="00A94BEF" w:rsidRDefault="00675021" w:rsidP="003B136A">
            <w:pPr>
              <w:jc w:val="right"/>
              <w:rPr>
                <w:rFonts w:ascii="Arial Black" w:hAnsi="Arial Black"/>
                <w:caps/>
                <w:sz w:val="15"/>
                <w:lang w:val="es-ES_tradnl"/>
              </w:rPr>
            </w:pPr>
            <w:r w:rsidRPr="00A94BEF">
              <w:rPr>
                <w:rFonts w:ascii="Arial Black" w:hAnsi="Arial Black"/>
                <w:caps/>
                <w:sz w:val="15"/>
                <w:lang w:val="es-ES_tradnl"/>
              </w:rPr>
              <w:t>fecha</w:t>
            </w:r>
            <w:r w:rsidR="008B2CC1" w:rsidRPr="00A94BEF">
              <w:rPr>
                <w:rFonts w:ascii="Arial Black" w:hAnsi="Arial Black"/>
                <w:caps/>
                <w:sz w:val="15"/>
                <w:lang w:val="es-ES_tradnl"/>
              </w:rPr>
              <w:t>:</w:t>
            </w:r>
            <w:r w:rsidR="00F84474" w:rsidRPr="00A94BEF">
              <w:rPr>
                <w:rFonts w:ascii="Arial Black" w:hAnsi="Arial Black"/>
                <w:caps/>
                <w:sz w:val="15"/>
                <w:lang w:val="es-ES_tradnl"/>
              </w:rPr>
              <w:t xml:space="preserve"> </w:t>
            </w:r>
            <w:r w:rsidR="008B2CC1" w:rsidRPr="00A94BEF">
              <w:rPr>
                <w:rFonts w:ascii="Arial Black" w:hAnsi="Arial Black"/>
                <w:caps/>
                <w:sz w:val="15"/>
                <w:lang w:val="es-ES_tradnl"/>
              </w:rPr>
              <w:t xml:space="preserve"> </w:t>
            </w:r>
            <w:bookmarkStart w:id="3" w:name="Date"/>
            <w:bookmarkEnd w:id="3"/>
            <w:r w:rsidR="003B136A" w:rsidRPr="00A94BEF">
              <w:rPr>
                <w:rFonts w:ascii="Arial Black" w:hAnsi="Arial Black"/>
                <w:caps/>
                <w:sz w:val="15"/>
                <w:lang w:val="es-ES_tradnl"/>
              </w:rPr>
              <w:t>2 DE MAYO DE 2014</w:t>
            </w:r>
          </w:p>
        </w:tc>
      </w:tr>
    </w:tbl>
    <w:p w:rsidR="008B2CC1" w:rsidRPr="00A94BEF" w:rsidRDefault="008B2CC1" w:rsidP="008B2CC1">
      <w:pPr>
        <w:rPr>
          <w:lang w:val="es-ES_tradnl"/>
        </w:rPr>
      </w:pPr>
    </w:p>
    <w:p w:rsidR="008B2CC1" w:rsidRPr="00A94BEF" w:rsidRDefault="008B2CC1" w:rsidP="008B2CC1">
      <w:pPr>
        <w:rPr>
          <w:lang w:val="es-ES_tradnl"/>
        </w:rPr>
      </w:pPr>
    </w:p>
    <w:p w:rsidR="008B2CC1" w:rsidRPr="00A94BEF" w:rsidRDefault="008B2CC1" w:rsidP="008B2CC1">
      <w:pPr>
        <w:rPr>
          <w:lang w:val="es-ES_tradnl"/>
        </w:rPr>
      </w:pPr>
    </w:p>
    <w:p w:rsidR="008B2CC1" w:rsidRPr="00A94BEF" w:rsidRDefault="008B2CC1" w:rsidP="008B2CC1">
      <w:pPr>
        <w:rPr>
          <w:lang w:val="es-ES_tradnl"/>
        </w:rPr>
      </w:pPr>
    </w:p>
    <w:p w:rsidR="008B2CC1" w:rsidRPr="00A94BEF" w:rsidRDefault="008B2CC1" w:rsidP="008B2CC1">
      <w:pPr>
        <w:rPr>
          <w:lang w:val="es-ES_tradnl"/>
        </w:rPr>
      </w:pPr>
    </w:p>
    <w:p w:rsidR="003D3FF6" w:rsidRPr="00A94BEF" w:rsidRDefault="003D3FF6" w:rsidP="003D3FF6">
      <w:pPr>
        <w:rPr>
          <w:b/>
          <w:sz w:val="28"/>
          <w:szCs w:val="28"/>
          <w:lang w:val="es-ES_tradnl"/>
        </w:rPr>
      </w:pPr>
      <w:r w:rsidRPr="00A94BEF">
        <w:rPr>
          <w:b/>
          <w:sz w:val="28"/>
          <w:szCs w:val="28"/>
          <w:lang w:val="es-ES_tradnl"/>
        </w:rPr>
        <w:t>Tratado de Cooperación en materia de Patentes (PCT)</w:t>
      </w:r>
    </w:p>
    <w:p w:rsidR="00B67CDC" w:rsidRPr="00A94BEF" w:rsidRDefault="003D3FF6" w:rsidP="003D3FF6">
      <w:pPr>
        <w:rPr>
          <w:b/>
          <w:sz w:val="28"/>
          <w:szCs w:val="28"/>
          <w:lang w:val="es-ES_tradnl"/>
        </w:rPr>
      </w:pPr>
      <w:r w:rsidRPr="00A94BEF">
        <w:rPr>
          <w:b/>
          <w:sz w:val="28"/>
          <w:szCs w:val="28"/>
          <w:lang w:val="es-ES_tradnl"/>
        </w:rPr>
        <w:t>Grupo de Trabajo</w:t>
      </w:r>
      <w:r w:rsidR="000C144E">
        <w:rPr>
          <w:b/>
          <w:sz w:val="28"/>
          <w:szCs w:val="28"/>
          <w:lang w:val="es-ES_tradnl"/>
        </w:rPr>
        <w:t xml:space="preserve"> </w:t>
      </w:r>
    </w:p>
    <w:p w:rsidR="003845C1" w:rsidRPr="00A94BEF" w:rsidRDefault="003845C1" w:rsidP="003845C1">
      <w:pPr>
        <w:rPr>
          <w:lang w:val="es-ES_tradnl"/>
        </w:rPr>
      </w:pPr>
    </w:p>
    <w:p w:rsidR="003845C1" w:rsidRPr="00A94BEF" w:rsidRDefault="003845C1" w:rsidP="003845C1">
      <w:pPr>
        <w:rPr>
          <w:lang w:val="es-ES_tradnl"/>
        </w:rPr>
      </w:pPr>
    </w:p>
    <w:p w:rsidR="00B67CDC" w:rsidRPr="00A94BEF" w:rsidRDefault="003D3FF6" w:rsidP="00B67CDC">
      <w:pPr>
        <w:rPr>
          <w:b/>
          <w:sz w:val="24"/>
          <w:szCs w:val="24"/>
          <w:lang w:val="es-ES_tradnl"/>
        </w:rPr>
      </w:pPr>
      <w:r w:rsidRPr="00A94BEF">
        <w:rPr>
          <w:b/>
          <w:sz w:val="24"/>
          <w:szCs w:val="24"/>
          <w:lang w:val="es-ES_tradnl"/>
        </w:rPr>
        <w:t xml:space="preserve">Séptima </w:t>
      </w:r>
      <w:r w:rsidR="00CF637F" w:rsidRPr="00A94BEF">
        <w:rPr>
          <w:b/>
          <w:sz w:val="24"/>
          <w:szCs w:val="24"/>
          <w:lang w:val="es-ES_tradnl"/>
        </w:rPr>
        <w:t>reunión</w:t>
      </w:r>
    </w:p>
    <w:p w:rsidR="00B67CDC" w:rsidRPr="00A94BEF" w:rsidRDefault="003D3FF6" w:rsidP="00B67CDC">
      <w:pPr>
        <w:rPr>
          <w:b/>
          <w:sz w:val="24"/>
          <w:szCs w:val="24"/>
          <w:lang w:val="es-ES_tradnl"/>
        </w:rPr>
      </w:pPr>
      <w:r w:rsidRPr="00A94BEF">
        <w:rPr>
          <w:b/>
          <w:sz w:val="24"/>
          <w:szCs w:val="24"/>
          <w:lang w:val="es-ES_tradnl"/>
        </w:rPr>
        <w:t>Ginebra, 10 a 13 de junio de 2014</w:t>
      </w:r>
    </w:p>
    <w:p w:rsidR="00956380" w:rsidRPr="00A94BEF" w:rsidRDefault="00956380" w:rsidP="00956380">
      <w:pPr>
        <w:rPr>
          <w:lang w:val="es-ES_tradnl"/>
        </w:rPr>
      </w:pPr>
    </w:p>
    <w:p w:rsidR="00956380" w:rsidRPr="00A94BEF" w:rsidRDefault="00956380" w:rsidP="00956380">
      <w:pPr>
        <w:rPr>
          <w:lang w:val="es-ES_tradnl"/>
        </w:rPr>
      </w:pPr>
    </w:p>
    <w:p w:rsidR="00956380" w:rsidRPr="00A94BEF" w:rsidRDefault="00956380" w:rsidP="00956380">
      <w:pPr>
        <w:rPr>
          <w:lang w:val="es-ES_tradnl"/>
        </w:rPr>
      </w:pPr>
    </w:p>
    <w:p w:rsidR="00956380" w:rsidRPr="00A94BEF" w:rsidRDefault="00C52352" w:rsidP="00956380">
      <w:pPr>
        <w:rPr>
          <w:caps/>
          <w:sz w:val="24"/>
          <w:szCs w:val="24"/>
          <w:lang w:val="es-ES_tradnl"/>
        </w:rPr>
      </w:pPr>
      <w:bookmarkStart w:id="4" w:name="TitleOfDoc"/>
      <w:bookmarkEnd w:id="4"/>
      <w:r>
        <w:rPr>
          <w:sz w:val="24"/>
          <w:szCs w:val="24"/>
          <w:lang w:val="es-ES_tradnl"/>
        </w:rPr>
        <w:t>ESTIMACIÓN DE</w:t>
      </w:r>
      <w:r w:rsidR="00427C99" w:rsidRPr="00A94BEF">
        <w:rPr>
          <w:sz w:val="24"/>
          <w:szCs w:val="24"/>
          <w:lang w:val="es-ES_tradnl"/>
        </w:rPr>
        <w:t xml:space="preserve"> LA ELASTICIDAD DE </w:t>
      </w:r>
      <w:r>
        <w:rPr>
          <w:sz w:val="24"/>
          <w:szCs w:val="24"/>
          <w:lang w:val="es-ES_tradnl"/>
        </w:rPr>
        <w:t xml:space="preserve">LAS </w:t>
      </w:r>
      <w:r w:rsidR="00427C99" w:rsidRPr="00A94BEF">
        <w:rPr>
          <w:sz w:val="24"/>
          <w:szCs w:val="24"/>
          <w:lang w:val="es-ES_tradnl"/>
        </w:rPr>
        <w:t>TASAS DEL PCT</w:t>
      </w:r>
    </w:p>
    <w:p w:rsidR="00956380" w:rsidRPr="00A94BEF" w:rsidRDefault="00956380" w:rsidP="00956380">
      <w:pPr>
        <w:rPr>
          <w:lang w:val="es-ES_tradnl"/>
        </w:rPr>
      </w:pPr>
    </w:p>
    <w:p w:rsidR="00956380" w:rsidRPr="00A94BEF" w:rsidRDefault="00956380" w:rsidP="00956380">
      <w:pPr>
        <w:rPr>
          <w:i/>
          <w:lang w:val="es-ES_tradnl"/>
        </w:rPr>
      </w:pPr>
      <w:bookmarkStart w:id="5" w:name="Prepared"/>
      <w:bookmarkEnd w:id="5"/>
      <w:r w:rsidRPr="00A94BEF">
        <w:rPr>
          <w:i/>
          <w:lang w:val="es-ES_tradnl"/>
        </w:rPr>
        <w:t>Document</w:t>
      </w:r>
      <w:r w:rsidR="00427C99" w:rsidRPr="00A94BEF">
        <w:rPr>
          <w:i/>
          <w:lang w:val="es-ES_tradnl"/>
        </w:rPr>
        <w:t>o preparado</w:t>
      </w:r>
      <w:r w:rsidRPr="00A94BEF">
        <w:rPr>
          <w:i/>
          <w:lang w:val="es-ES_tradnl"/>
        </w:rPr>
        <w:t xml:space="preserve"> </w:t>
      </w:r>
      <w:r w:rsidR="00427C99" w:rsidRPr="00A94BEF">
        <w:rPr>
          <w:i/>
          <w:lang w:val="es-ES_tradnl"/>
        </w:rPr>
        <w:t>por la Oficina Internac</w:t>
      </w:r>
      <w:r w:rsidRPr="00A94BEF">
        <w:rPr>
          <w:i/>
          <w:lang w:val="es-ES_tradnl"/>
        </w:rPr>
        <w:t xml:space="preserve">ional </w:t>
      </w:r>
    </w:p>
    <w:p w:rsidR="00956380" w:rsidRPr="00A94BEF" w:rsidRDefault="00956380" w:rsidP="00956380">
      <w:pPr>
        <w:rPr>
          <w:lang w:val="es-ES_tradnl"/>
        </w:rPr>
      </w:pPr>
    </w:p>
    <w:p w:rsidR="00956380" w:rsidRPr="00A94BEF" w:rsidRDefault="00956380" w:rsidP="00956380">
      <w:pPr>
        <w:rPr>
          <w:lang w:val="es-ES_tradnl"/>
        </w:rPr>
      </w:pPr>
    </w:p>
    <w:p w:rsidR="00956380" w:rsidRPr="00A94BEF" w:rsidRDefault="00956380" w:rsidP="00956380">
      <w:pPr>
        <w:rPr>
          <w:lang w:val="es-ES_tradnl"/>
        </w:rPr>
      </w:pPr>
    </w:p>
    <w:p w:rsidR="00956380" w:rsidRPr="00A94BEF" w:rsidRDefault="00956380" w:rsidP="00956380">
      <w:pPr>
        <w:rPr>
          <w:lang w:val="es-ES_tradnl"/>
        </w:rPr>
      </w:pPr>
    </w:p>
    <w:p w:rsidR="00956380" w:rsidRPr="00A94BEF" w:rsidRDefault="0036099A" w:rsidP="00956380">
      <w:pPr>
        <w:keepNext/>
        <w:spacing w:before="240" w:after="60"/>
        <w:outlineLvl w:val="0"/>
        <w:rPr>
          <w:b/>
          <w:bCs/>
          <w:caps/>
          <w:kern w:val="32"/>
          <w:szCs w:val="32"/>
          <w:lang w:val="es-ES_tradnl"/>
        </w:rPr>
      </w:pPr>
      <w:r w:rsidRPr="00A94BEF">
        <w:rPr>
          <w:b/>
          <w:bCs/>
          <w:caps/>
          <w:kern w:val="32"/>
          <w:szCs w:val="32"/>
          <w:lang w:val="es-ES_tradnl"/>
        </w:rPr>
        <w:t xml:space="preserve">resumen </w:t>
      </w:r>
    </w:p>
    <w:p w:rsidR="0036099A" w:rsidRPr="00A94BEF" w:rsidRDefault="0036099A" w:rsidP="00956380">
      <w:pPr>
        <w:numPr>
          <w:ilvl w:val="0"/>
          <w:numId w:val="5"/>
        </w:numPr>
        <w:spacing w:after="220"/>
        <w:rPr>
          <w:lang w:val="es-ES_tradnl"/>
        </w:rPr>
      </w:pPr>
      <w:r w:rsidRPr="00A94BEF">
        <w:rPr>
          <w:lang w:val="es-ES_tradnl"/>
        </w:rPr>
        <w:t>En el presente documento se expone el estudio solicitado por el Grupo de Trabajo</w:t>
      </w:r>
      <w:r w:rsidR="00984E6E">
        <w:rPr>
          <w:lang w:val="es-ES_tradnl"/>
        </w:rPr>
        <w:t xml:space="preserve"> para determinar en </w:t>
      </w:r>
      <w:r w:rsidR="00984E6E" w:rsidRPr="00925E79">
        <w:rPr>
          <w:lang w:val="es-ES_tradnl"/>
        </w:rPr>
        <w:t>qué</w:t>
      </w:r>
      <w:r w:rsidRPr="00925E79">
        <w:rPr>
          <w:lang w:val="es-ES_tradnl"/>
        </w:rPr>
        <w:t xml:space="preserve"> </w:t>
      </w:r>
      <w:r w:rsidR="0031424F">
        <w:rPr>
          <w:lang w:val="es-ES_tradnl"/>
        </w:rPr>
        <w:t>medida</w:t>
      </w:r>
      <w:r w:rsidRPr="00925E79">
        <w:rPr>
          <w:lang w:val="es-ES_tradnl"/>
        </w:rPr>
        <w:t xml:space="preserve"> afectan a la</w:t>
      </w:r>
      <w:r w:rsidRPr="00A94BEF">
        <w:rPr>
          <w:lang w:val="es-ES_tradnl"/>
        </w:rPr>
        <w:t xml:space="preserve"> presentación de solicitudes PCT los cambios que se producen en la tasa de presentación internacional.  Al emplear un modelo de elección discreta</w:t>
      </w:r>
      <w:r w:rsidR="006B7C0D">
        <w:rPr>
          <w:lang w:val="es-ES_tradnl"/>
        </w:rPr>
        <w:t xml:space="preserve"> en relación con</w:t>
      </w:r>
      <w:r w:rsidR="00240BFE" w:rsidRPr="00A94BEF">
        <w:rPr>
          <w:lang w:val="es-ES_tradnl"/>
        </w:rPr>
        <w:t xml:space="preserve"> la decisión del solicitante de si ha de presentar la solicitud mediante la vía del PCT o la vía de París, se calcula que</w:t>
      </w:r>
      <w:r w:rsidR="00925E79">
        <w:rPr>
          <w:lang w:val="es-ES_tradnl"/>
        </w:rPr>
        <w:t xml:space="preserve"> </w:t>
      </w:r>
      <w:r w:rsidR="00957238">
        <w:rPr>
          <w:lang w:val="es-ES_tradnl"/>
        </w:rPr>
        <w:t xml:space="preserve">la sensibilidad </w:t>
      </w:r>
      <w:r w:rsidR="00957238" w:rsidRPr="00957238">
        <w:rPr>
          <w:lang w:val="es-ES_tradnl"/>
        </w:rPr>
        <w:t xml:space="preserve">a </w:t>
      </w:r>
      <w:r w:rsidR="00240BFE" w:rsidRPr="00957238">
        <w:rPr>
          <w:lang w:val="es-ES_tradnl"/>
        </w:rPr>
        <w:t>la</w:t>
      </w:r>
      <w:r w:rsidR="00957238" w:rsidRPr="00957238">
        <w:rPr>
          <w:lang w:val="es-ES_tradnl"/>
        </w:rPr>
        <w:t>s</w:t>
      </w:r>
      <w:r w:rsidR="00240BFE" w:rsidRPr="00957238">
        <w:rPr>
          <w:lang w:val="es-ES_tradnl"/>
        </w:rPr>
        <w:t xml:space="preserve"> tasa</w:t>
      </w:r>
      <w:r w:rsidR="00957238" w:rsidRPr="00957238">
        <w:rPr>
          <w:lang w:val="es-ES_tradnl"/>
        </w:rPr>
        <w:t>s es muy inelástica</w:t>
      </w:r>
      <w:r w:rsidR="00240BFE" w:rsidRPr="00957238">
        <w:rPr>
          <w:lang w:val="es-ES_tradnl"/>
        </w:rPr>
        <w:t>,</w:t>
      </w:r>
      <w:r w:rsidR="00240BFE" w:rsidRPr="00A94BEF">
        <w:rPr>
          <w:lang w:val="es-ES_tradnl"/>
        </w:rPr>
        <w:t xml:space="preserve"> pero </w:t>
      </w:r>
      <w:r w:rsidR="00957238">
        <w:rPr>
          <w:lang w:val="es-ES_tradnl"/>
        </w:rPr>
        <w:t>estadísticamente significativa</w:t>
      </w:r>
      <w:r w:rsidR="006B7C0D">
        <w:rPr>
          <w:lang w:val="es-ES_tradnl"/>
        </w:rPr>
        <w:t>.  Además, los resultados de la estimación</w:t>
      </w:r>
      <w:r w:rsidR="00240BFE" w:rsidRPr="00A94BEF">
        <w:rPr>
          <w:lang w:val="es-ES_tradnl"/>
        </w:rPr>
        <w:t xml:space="preserve"> dan a entender que la tasa de presentación internacional influye en mayor medida cuando el solicitante solicita protección por patente en exactamente tres Oficinas extranjeras, y </w:t>
      </w:r>
      <w:r w:rsidR="00C72ED0" w:rsidRPr="00A94BEF">
        <w:rPr>
          <w:lang w:val="es-ES_tradnl"/>
        </w:rPr>
        <w:t>que en cierto sentido los precios afectan en mayor medida a</w:t>
      </w:r>
      <w:r w:rsidR="00240BFE" w:rsidRPr="00A94BEF">
        <w:rPr>
          <w:lang w:val="es-ES_tradnl"/>
        </w:rPr>
        <w:t xml:space="preserve"> las universidades y </w:t>
      </w:r>
      <w:r w:rsidR="00C72ED0" w:rsidRPr="00A94BEF">
        <w:rPr>
          <w:lang w:val="es-ES_tradnl"/>
        </w:rPr>
        <w:t xml:space="preserve">a </w:t>
      </w:r>
      <w:r w:rsidR="00FF2E0C" w:rsidRPr="00A94BEF">
        <w:rPr>
          <w:lang w:val="es-ES_tradnl"/>
        </w:rPr>
        <w:t xml:space="preserve">las </w:t>
      </w:r>
      <w:r w:rsidR="00FF2E0C" w:rsidRPr="009F7A5F">
        <w:rPr>
          <w:lang w:val="es-ES_tradnl"/>
        </w:rPr>
        <w:t xml:space="preserve">instituciones públicas </w:t>
      </w:r>
      <w:r w:rsidR="00240BFE" w:rsidRPr="009F7A5F">
        <w:rPr>
          <w:lang w:val="es-ES_tradnl"/>
        </w:rPr>
        <w:t>de investigación</w:t>
      </w:r>
      <w:r w:rsidR="00C72ED0" w:rsidRPr="009F7A5F">
        <w:rPr>
          <w:lang w:val="es-ES_tradnl"/>
        </w:rPr>
        <w:t>.</w:t>
      </w:r>
    </w:p>
    <w:p w:rsidR="006B7C0D" w:rsidRDefault="008B7C4F" w:rsidP="00956380">
      <w:pPr>
        <w:numPr>
          <w:ilvl w:val="0"/>
          <w:numId w:val="5"/>
        </w:numPr>
        <w:spacing w:after="220"/>
        <w:rPr>
          <w:lang w:val="es-ES_tradnl"/>
        </w:rPr>
      </w:pPr>
      <w:r w:rsidRPr="00A94BEF">
        <w:rPr>
          <w:lang w:val="es-ES_tradnl"/>
        </w:rPr>
        <w:t xml:space="preserve">Además de suministrar datos sobre </w:t>
      </w:r>
      <w:r w:rsidR="00925E79">
        <w:rPr>
          <w:lang w:val="es-ES_tradnl"/>
        </w:rPr>
        <w:t xml:space="preserve">la </w:t>
      </w:r>
      <w:r w:rsidR="00925E79" w:rsidRPr="00957238">
        <w:rPr>
          <w:lang w:val="es-ES_tradnl"/>
        </w:rPr>
        <w:t>sensibilidad a</w:t>
      </w:r>
      <w:r w:rsidRPr="00957238">
        <w:rPr>
          <w:lang w:val="es-ES_tradnl"/>
        </w:rPr>
        <w:t xml:space="preserve"> las tasas</w:t>
      </w:r>
      <w:r w:rsidRPr="00A94BEF">
        <w:rPr>
          <w:lang w:val="es-ES_tradnl"/>
        </w:rPr>
        <w:t xml:space="preserve">, los cálculos empíricos también arrojan luz sobre varios otros determinantes del uso del PCT.  En concreto, indican que los solicitantes suelen recurrir en mayor medida al PCT en épocas de bonanza económica, que es más probable que las instituciones públicas de investigación y especialmente las universidades elijan la vía del PCT y que, en igualdad de condiciones, se suele recurrir en mayor medida al PCT en el caso de los productos farmacéuticos y otras tecnologías de </w:t>
      </w:r>
      <w:r w:rsidRPr="009F7A5F">
        <w:rPr>
          <w:lang w:val="es-ES_tradnl"/>
        </w:rPr>
        <w:t xml:space="preserve">productos </w:t>
      </w:r>
      <w:r w:rsidR="00A621B7" w:rsidRPr="009F7A5F">
        <w:rPr>
          <w:lang w:val="es-ES_tradnl"/>
        </w:rPr>
        <w:t>discretos</w:t>
      </w:r>
      <w:r w:rsidR="001A4950" w:rsidRPr="009F7A5F">
        <w:rPr>
          <w:lang w:val="es-ES_tradnl"/>
        </w:rPr>
        <w:t xml:space="preserve"> </w:t>
      </w:r>
      <w:r w:rsidRPr="009F7A5F">
        <w:rPr>
          <w:lang w:val="es-ES_tradnl"/>
        </w:rPr>
        <w:t>que en el de las tecnologías de productos complejos.</w:t>
      </w:r>
    </w:p>
    <w:p w:rsidR="00956380" w:rsidRPr="009F7A5F" w:rsidRDefault="00956380" w:rsidP="006B7C0D">
      <w:pPr>
        <w:rPr>
          <w:lang w:val="es-ES_tradnl"/>
        </w:rPr>
      </w:pPr>
    </w:p>
    <w:p w:rsidR="00956380" w:rsidRPr="00A94BEF" w:rsidRDefault="000760EE" w:rsidP="000760EE">
      <w:pPr>
        <w:keepNext/>
        <w:keepLines/>
        <w:spacing w:before="240" w:after="60"/>
        <w:outlineLvl w:val="0"/>
        <w:rPr>
          <w:b/>
          <w:bCs/>
          <w:caps/>
          <w:kern w:val="32"/>
          <w:szCs w:val="32"/>
          <w:lang w:val="es-ES_tradnl"/>
        </w:rPr>
      </w:pPr>
      <w:r w:rsidRPr="009F7A5F">
        <w:rPr>
          <w:b/>
          <w:bCs/>
          <w:caps/>
          <w:kern w:val="32"/>
          <w:szCs w:val="32"/>
          <w:lang w:val="es-ES_tradnl"/>
        </w:rPr>
        <w:lastRenderedPageBreak/>
        <w:t>INTRODUCCIÓN</w:t>
      </w:r>
    </w:p>
    <w:p w:rsidR="00956380" w:rsidRPr="00A94BEF" w:rsidRDefault="00A94BEF" w:rsidP="00A94BEF">
      <w:pPr>
        <w:pStyle w:val="ONUME"/>
        <w:rPr>
          <w:lang w:val="es-ES_tradnl"/>
        </w:rPr>
      </w:pPr>
      <w:r w:rsidRPr="00A94BEF">
        <w:rPr>
          <w:lang w:val="es-ES_tradnl"/>
        </w:rPr>
        <w:t xml:space="preserve">En la sexta reunión del Grupo de Trabajo del Tratado de Cooperación en materia de Patentes (PCT), los Estados miembros solicitaron a la División de Economía y Estadística que llevara a cabo un estudio para calcular las elasticidades de tasas del sistema del PCT, especialmente las correspondientes a </w:t>
      </w:r>
      <w:r w:rsidR="000936D1">
        <w:rPr>
          <w:lang w:val="es-ES_tradnl"/>
        </w:rPr>
        <w:t xml:space="preserve">las </w:t>
      </w:r>
      <w:r w:rsidRPr="00A94BEF">
        <w:rPr>
          <w:lang w:val="es-ES_tradnl"/>
        </w:rPr>
        <w:t>universidades e institutos de investigación y, asimismo de ser posible, a las pequeñas y medianas empresas (pymes).</w:t>
      </w:r>
      <w:r w:rsidR="00956380" w:rsidRPr="00A94BEF">
        <w:rPr>
          <w:szCs w:val="22"/>
          <w:vertAlign w:val="superscript"/>
          <w:lang w:val="es-ES_tradnl"/>
        </w:rPr>
        <w:footnoteReference w:id="2"/>
      </w:r>
    </w:p>
    <w:p w:rsidR="00A94BEF" w:rsidRPr="00A94BEF" w:rsidRDefault="00A94BEF" w:rsidP="00956380">
      <w:pPr>
        <w:numPr>
          <w:ilvl w:val="0"/>
          <w:numId w:val="5"/>
        </w:numPr>
        <w:spacing w:after="220"/>
        <w:rPr>
          <w:lang w:val="es-ES_tradnl"/>
        </w:rPr>
      </w:pPr>
      <w:r>
        <w:rPr>
          <w:lang w:val="es-ES_tradnl"/>
        </w:rPr>
        <w:t xml:space="preserve">En Economía, </w:t>
      </w:r>
      <w:r w:rsidR="000936D1">
        <w:rPr>
          <w:lang w:val="es-ES_tradnl"/>
        </w:rPr>
        <w:t xml:space="preserve">mediante </w:t>
      </w:r>
      <w:r>
        <w:rPr>
          <w:lang w:val="es-ES_tradnl"/>
        </w:rPr>
        <w:t xml:space="preserve">la elasticidad </w:t>
      </w:r>
      <w:r w:rsidR="000936D1">
        <w:rPr>
          <w:lang w:val="es-ES_tradnl"/>
        </w:rPr>
        <w:t xml:space="preserve">se </w:t>
      </w:r>
      <w:r>
        <w:rPr>
          <w:lang w:val="es-ES_tradnl"/>
        </w:rPr>
        <w:t xml:space="preserve">mide el grado de </w:t>
      </w:r>
      <w:r w:rsidR="00C26379">
        <w:rPr>
          <w:lang w:val="es-ES_tradnl"/>
        </w:rPr>
        <w:t xml:space="preserve">sensibilidad de una variable a los cambios </w:t>
      </w:r>
      <w:r w:rsidR="000936D1">
        <w:rPr>
          <w:lang w:val="es-ES_tradnl"/>
        </w:rPr>
        <w:t xml:space="preserve">que </w:t>
      </w:r>
      <w:r w:rsidR="007C4435">
        <w:rPr>
          <w:lang w:val="es-ES_tradnl"/>
        </w:rPr>
        <w:t xml:space="preserve">se producen </w:t>
      </w:r>
      <w:r w:rsidR="00C26379">
        <w:rPr>
          <w:lang w:val="es-ES_tradnl"/>
        </w:rPr>
        <w:t xml:space="preserve">en otra variable.  En el contexto específico del sistema de patentes, </w:t>
      </w:r>
      <w:r w:rsidR="007C4435">
        <w:rPr>
          <w:lang w:val="es-ES_tradnl"/>
        </w:rPr>
        <w:t xml:space="preserve">mediante </w:t>
      </w:r>
      <w:r w:rsidR="00C26379">
        <w:rPr>
          <w:lang w:val="es-ES_tradnl"/>
        </w:rPr>
        <w:t>la elasticidad de la</w:t>
      </w:r>
      <w:r w:rsidR="007C4435">
        <w:rPr>
          <w:lang w:val="es-ES_tradnl"/>
        </w:rPr>
        <w:t>s</w:t>
      </w:r>
      <w:r w:rsidR="00C26379">
        <w:rPr>
          <w:lang w:val="es-ES_tradnl"/>
        </w:rPr>
        <w:t xml:space="preserve"> tasa</w:t>
      </w:r>
      <w:r w:rsidR="007C4435">
        <w:rPr>
          <w:lang w:val="es-ES_tradnl"/>
        </w:rPr>
        <w:t>s</w:t>
      </w:r>
      <w:r w:rsidR="00C26379">
        <w:rPr>
          <w:lang w:val="es-ES_tradnl"/>
        </w:rPr>
        <w:t xml:space="preserve"> </w:t>
      </w:r>
      <w:r w:rsidR="007C4435">
        <w:rPr>
          <w:lang w:val="es-ES_tradnl"/>
        </w:rPr>
        <w:t xml:space="preserve">se </w:t>
      </w:r>
      <w:r w:rsidR="00C26379">
        <w:rPr>
          <w:lang w:val="es-ES_tradnl"/>
        </w:rPr>
        <w:t xml:space="preserve">mide el grado </w:t>
      </w:r>
      <w:r w:rsidR="006278E8">
        <w:rPr>
          <w:lang w:val="es-ES_tradnl"/>
        </w:rPr>
        <w:t xml:space="preserve">de sensibilidad de </w:t>
      </w:r>
      <w:r w:rsidR="00C26379">
        <w:rPr>
          <w:lang w:val="es-ES_tradnl"/>
        </w:rPr>
        <w:t xml:space="preserve">los solicitantes </w:t>
      </w:r>
      <w:r w:rsidR="006278E8">
        <w:rPr>
          <w:lang w:val="es-ES_tradnl"/>
        </w:rPr>
        <w:t xml:space="preserve">ante </w:t>
      </w:r>
      <w:r w:rsidR="00C26379">
        <w:rPr>
          <w:lang w:val="es-ES_tradnl"/>
        </w:rPr>
        <w:t xml:space="preserve">los cambios </w:t>
      </w:r>
      <w:r w:rsidR="007C4435">
        <w:rPr>
          <w:lang w:val="es-ES_tradnl"/>
        </w:rPr>
        <w:t xml:space="preserve">producidos </w:t>
      </w:r>
      <w:r w:rsidR="00C26379">
        <w:rPr>
          <w:lang w:val="es-ES_tradnl"/>
        </w:rPr>
        <w:t xml:space="preserve">en la tasa de solicitud.  En concreto, </w:t>
      </w:r>
      <w:r w:rsidR="007C4435">
        <w:rPr>
          <w:lang w:val="es-ES_tradnl"/>
        </w:rPr>
        <w:t xml:space="preserve">se </w:t>
      </w:r>
      <w:r w:rsidR="00C26379">
        <w:rPr>
          <w:lang w:val="es-ES_tradnl"/>
        </w:rPr>
        <w:t>predice qué porcentaje de aumento se producirá en el volumen de solicitudes presentadas, si se reduce la tasa de solicitud conforme a una magnitud determinada.</w:t>
      </w:r>
    </w:p>
    <w:p w:rsidR="00C26379" w:rsidRPr="00C26379" w:rsidRDefault="00C26379" w:rsidP="00C26379">
      <w:pPr>
        <w:numPr>
          <w:ilvl w:val="0"/>
          <w:numId w:val="5"/>
        </w:numPr>
        <w:spacing w:after="220"/>
        <w:rPr>
          <w:lang w:val="es-ES_tradnl"/>
        </w:rPr>
      </w:pPr>
      <w:r>
        <w:rPr>
          <w:lang w:val="es-ES_tradnl"/>
        </w:rPr>
        <w:t xml:space="preserve">Entre otras </w:t>
      </w:r>
      <w:r w:rsidRPr="007C4435">
        <w:rPr>
          <w:lang w:val="es-ES_tradnl"/>
        </w:rPr>
        <w:t>cosas, el cálculo de la elasticidad de la</w:t>
      </w:r>
      <w:r>
        <w:rPr>
          <w:lang w:val="es-ES_tradnl"/>
        </w:rPr>
        <w:t xml:space="preserve"> tasa puede indicar a los encargados de formular decisiones en qué medida </w:t>
      </w:r>
      <w:r w:rsidR="007C4435">
        <w:rPr>
          <w:lang w:val="es-ES_tradnl"/>
        </w:rPr>
        <w:t xml:space="preserve">influyen </w:t>
      </w:r>
      <w:r>
        <w:rPr>
          <w:lang w:val="es-ES_tradnl"/>
        </w:rPr>
        <w:t>los cam</w:t>
      </w:r>
      <w:r w:rsidR="007C4435">
        <w:rPr>
          <w:lang w:val="es-ES_tradnl"/>
        </w:rPr>
        <w:t>bios en las tasas de solicitud en</w:t>
      </w:r>
      <w:r>
        <w:rPr>
          <w:lang w:val="es-ES_tradnl"/>
        </w:rPr>
        <w:t xml:space="preserve"> los futuros niveles de presentación de solicitudes así como </w:t>
      </w:r>
      <w:r w:rsidR="007C4435">
        <w:rPr>
          <w:lang w:val="es-ES_tradnl"/>
        </w:rPr>
        <w:t xml:space="preserve">en </w:t>
      </w:r>
      <w:r>
        <w:rPr>
          <w:lang w:val="es-ES_tradnl"/>
        </w:rPr>
        <w:t xml:space="preserve">los ingresos que generan las solicitudes presentadas.  Un valor reducido de </w:t>
      </w:r>
      <w:r w:rsidR="007C4435">
        <w:rPr>
          <w:lang w:val="es-ES_tradnl"/>
        </w:rPr>
        <w:t xml:space="preserve">la </w:t>
      </w:r>
      <w:r>
        <w:rPr>
          <w:lang w:val="es-ES_tradnl"/>
        </w:rPr>
        <w:t xml:space="preserve">elasticidad de la tasa significa que el cambio en la tasa tendrá escasa incidencia en el volumen de solicitudes presentadas;  </w:t>
      </w:r>
      <w:r w:rsidRPr="00C26379">
        <w:rPr>
          <w:lang w:val="es-ES_tradnl"/>
        </w:rPr>
        <w:t xml:space="preserve">en dicho caso </w:t>
      </w:r>
      <w:r>
        <w:rPr>
          <w:lang w:val="es-ES_tradnl"/>
        </w:rPr>
        <w:t>s</w:t>
      </w:r>
      <w:r w:rsidRPr="00C26379">
        <w:rPr>
          <w:lang w:val="es-ES_tradnl"/>
        </w:rPr>
        <w:t xml:space="preserve">e dice que </w:t>
      </w:r>
      <w:r w:rsidR="0031424F">
        <w:rPr>
          <w:lang w:val="es-ES_tradnl"/>
        </w:rPr>
        <w:t xml:space="preserve">la sensibilidad a </w:t>
      </w:r>
      <w:r>
        <w:rPr>
          <w:lang w:val="es-ES_tradnl"/>
        </w:rPr>
        <w:t>la</w:t>
      </w:r>
      <w:r w:rsidR="0031424F">
        <w:rPr>
          <w:lang w:val="es-ES_tradnl"/>
        </w:rPr>
        <w:t>s</w:t>
      </w:r>
      <w:r>
        <w:rPr>
          <w:lang w:val="es-ES_tradnl"/>
        </w:rPr>
        <w:t xml:space="preserve"> tasa</w:t>
      </w:r>
      <w:r w:rsidR="0031424F">
        <w:rPr>
          <w:lang w:val="es-ES_tradnl"/>
        </w:rPr>
        <w:t>s “no es elástica”</w:t>
      </w:r>
      <w:r>
        <w:rPr>
          <w:lang w:val="es-ES_tradnl"/>
        </w:rPr>
        <w:t xml:space="preserve">.  Un valor elevado de </w:t>
      </w:r>
      <w:r w:rsidR="007C4435">
        <w:rPr>
          <w:lang w:val="es-ES_tradnl"/>
        </w:rPr>
        <w:t xml:space="preserve">la </w:t>
      </w:r>
      <w:r>
        <w:rPr>
          <w:lang w:val="es-ES_tradnl"/>
        </w:rPr>
        <w:t>elasticidad de la tasa supone que un cambio en la tasa tendrá una fuerte incidencia en el volumen de solicitudes presentadas;  en ese caso se considera</w:t>
      </w:r>
      <w:r w:rsidR="0031424F">
        <w:rPr>
          <w:lang w:val="es-ES_tradnl"/>
        </w:rPr>
        <w:t xml:space="preserve"> que</w:t>
      </w:r>
      <w:r w:rsidR="0031424F" w:rsidRPr="0031424F">
        <w:rPr>
          <w:lang w:val="es-ES_tradnl"/>
        </w:rPr>
        <w:t xml:space="preserve"> </w:t>
      </w:r>
      <w:r w:rsidR="0031424F">
        <w:rPr>
          <w:lang w:val="es-ES_tradnl"/>
        </w:rPr>
        <w:t>es “elástica” la sensibilidad a las tasas</w:t>
      </w:r>
      <w:r>
        <w:rPr>
          <w:lang w:val="es-ES_tradnl"/>
        </w:rPr>
        <w:t xml:space="preserve">.  En el primer caso, el aumento (disminución) de la tasa dará lugar a mayores (menores) ingresos.  En el segundo caso, el aumento (disminución) de la tasa tendrá un efecto ambiguo en los ingresos, ya que la caída (el aumento) del volumen de solicitudes presentadas podría </w:t>
      </w:r>
      <w:r w:rsidR="009008F8">
        <w:rPr>
          <w:lang w:val="es-ES_tradnl"/>
        </w:rPr>
        <w:t>ser superior a</w:t>
      </w:r>
      <w:r>
        <w:rPr>
          <w:lang w:val="es-ES_tradnl"/>
        </w:rPr>
        <w:t xml:space="preserve"> la incidencia en los ingresos de </w:t>
      </w:r>
      <w:r w:rsidR="0043008F">
        <w:rPr>
          <w:lang w:val="es-ES_tradnl"/>
        </w:rPr>
        <w:t>mayores (menores) pagos de tasas por unidad.</w:t>
      </w:r>
    </w:p>
    <w:p w:rsidR="00956380" w:rsidRPr="008157A7" w:rsidRDefault="00FB12E5" w:rsidP="008157A7">
      <w:pPr>
        <w:numPr>
          <w:ilvl w:val="0"/>
          <w:numId w:val="5"/>
        </w:numPr>
        <w:spacing w:after="220"/>
        <w:rPr>
          <w:lang w:val="es-ES_tradnl"/>
        </w:rPr>
      </w:pPr>
      <w:r>
        <w:rPr>
          <w:lang w:val="es-ES_tradnl"/>
        </w:rPr>
        <w:t xml:space="preserve">Actualmente no se dispone de </w:t>
      </w:r>
      <w:r w:rsidR="009008F8">
        <w:rPr>
          <w:lang w:val="es-ES_tradnl"/>
        </w:rPr>
        <w:t xml:space="preserve">estimaciones acerca </w:t>
      </w:r>
      <w:r>
        <w:rPr>
          <w:lang w:val="es-ES_tradnl"/>
        </w:rPr>
        <w:t>de la elasticidad de las tasas del PCT.  Existen algunos cálcul</w:t>
      </w:r>
      <w:r w:rsidR="008157A7">
        <w:rPr>
          <w:lang w:val="es-ES_tradnl"/>
        </w:rPr>
        <w:t>os respecto de la elasticidad</w:t>
      </w:r>
      <w:r>
        <w:rPr>
          <w:lang w:val="es-ES_tradnl"/>
        </w:rPr>
        <w:t xml:space="preserve"> de </w:t>
      </w:r>
      <w:r w:rsidR="008157A7">
        <w:rPr>
          <w:lang w:val="es-ES_tradnl"/>
        </w:rPr>
        <w:t xml:space="preserve">la tasa de solicitud inicial y </w:t>
      </w:r>
      <w:r>
        <w:rPr>
          <w:lang w:val="es-ES_tradnl"/>
        </w:rPr>
        <w:t>de las tasas de mantenimiento de las oficinas nacionales y regionales de patentes.</w:t>
      </w:r>
      <w:r w:rsidR="00956380" w:rsidRPr="00A94BEF">
        <w:rPr>
          <w:szCs w:val="22"/>
          <w:vertAlign w:val="superscript"/>
          <w:lang w:val="es-ES_tradnl"/>
        </w:rPr>
        <w:footnoteReference w:id="3"/>
      </w:r>
      <w:r w:rsidR="00956380" w:rsidRPr="00A94BEF">
        <w:rPr>
          <w:lang w:val="es-ES_tradnl"/>
        </w:rPr>
        <w:t xml:space="preserve">  </w:t>
      </w:r>
      <w:r>
        <w:rPr>
          <w:lang w:val="es-ES_tradnl"/>
        </w:rPr>
        <w:t xml:space="preserve">Sin embargo, existen buenas razones para creer que la elasticidad de las tasas del PCT </w:t>
      </w:r>
      <w:r w:rsidR="009008F8">
        <w:rPr>
          <w:lang w:val="es-ES_tradnl"/>
        </w:rPr>
        <w:t>sea</w:t>
      </w:r>
      <w:r>
        <w:rPr>
          <w:lang w:val="es-ES_tradnl"/>
        </w:rPr>
        <w:t xml:space="preserve"> diferente.  Las solicitudes </w:t>
      </w:r>
      <w:r w:rsidR="00332320">
        <w:rPr>
          <w:lang w:val="es-ES_tradnl"/>
        </w:rPr>
        <w:t xml:space="preserve">que se presentan en el marco del </w:t>
      </w:r>
      <w:r>
        <w:rPr>
          <w:lang w:val="es-ES_tradnl"/>
        </w:rPr>
        <w:t xml:space="preserve">PCT </w:t>
      </w:r>
      <w:r w:rsidR="00332320">
        <w:rPr>
          <w:lang w:val="es-ES_tradnl"/>
        </w:rPr>
        <w:t xml:space="preserve">constituyen </w:t>
      </w:r>
      <w:r>
        <w:rPr>
          <w:lang w:val="es-ES_tradnl"/>
        </w:rPr>
        <w:t xml:space="preserve">una serie escogida de solicitudes de patente respecto de las que los solicitantes solicitan protección en más de una jurisdicción.  </w:t>
      </w:r>
      <w:r w:rsidR="00332320">
        <w:rPr>
          <w:lang w:val="es-ES_tradnl"/>
        </w:rPr>
        <w:t xml:space="preserve">Por lo tanto, las tasas del PCT tendrán mayor o menor importancia en el costo global del patentamiento a nivel internacional en comparación con </w:t>
      </w:r>
      <w:r w:rsidR="00293DBE">
        <w:rPr>
          <w:lang w:val="es-ES_tradnl"/>
        </w:rPr>
        <w:t xml:space="preserve">las tasas de las oficinas nacionales </w:t>
      </w:r>
      <w:r w:rsidR="009008F8">
        <w:rPr>
          <w:lang w:val="es-ES_tradnl"/>
        </w:rPr>
        <w:t xml:space="preserve">que se sitúan </w:t>
      </w:r>
      <w:r w:rsidR="00293DBE">
        <w:rPr>
          <w:lang w:val="es-ES_tradnl"/>
        </w:rPr>
        <w:t>en un contexto de pa</w:t>
      </w:r>
      <w:r w:rsidR="008157A7">
        <w:rPr>
          <w:lang w:val="es-ES_tradnl"/>
        </w:rPr>
        <w:t>tentamiento nacional o regional</w:t>
      </w:r>
      <w:r w:rsidR="00956380" w:rsidRPr="008157A7">
        <w:rPr>
          <w:lang w:val="es-ES_tradnl"/>
        </w:rPr>
        <w:t>.</w:t>
      </w:r>
    </w:p>
    <w:p w:rsidR="00956380" w:rsidRPr="00A94BEF" w:rsidRDefault="00D8215E" w:rsidP="00956380">
      <w:pPr>
        <w:keepNext/>
        <w:spacing w:before="240" w:after="60"/>
        <w:outlineLvl w:val="0"/>
        <w:rPr>
          <w:b/>
          <w:bCs/>
          <w:caps/>
          <w:kern w:val="32"/>
          <w:szCs w:val="32"/>
          <w:lang w:val="es-ES_tradnl"/>
        </w:rPr>
      </w:pPr>
      <w:r>
        <w:rPr>
          <w:b/>
          <w:bCs/>
          <w:caps/>
          <w:kern w:val="32"/>
          <w:szCs w:val="32"/>
          <w:lang w:val="es-ES_tradnl"/>
        </w:rPr>
        <w:t>ESTRATEGIA DE CÁLCULO</w:t>
      </w:r>
    </w:p>
    <w:p w:rsidR="00956380" w:rsidRPr="002E2225" w:rsidRDefault="002E2225" w:rsidP="002E2225">
      <w:pPr>
        <w:numPr>
          <w:ilvl w:val="0"/>
          <w:numId w:val="5"/>
        </w:numPr>
        <w:spacing w:after="220"/>
        <w:rPr>
          <w:lang w:val="es-ES_tradnl"/>
        </w:rPr>
      </w:pPr>
      <w:r>
        <w:rPr>
          <w:lang w:val="es-ES_tradnl"/>
        </w:rPr>
        <w:t>A fin de calcular empíricamente la elasticidad de las tasas correspondientes a las solicitudes que se presentan en el marco del PCT, es necesario basarse en la variación histórica de la tasa de presentación internacional que han de abonar los solicitantes.  Para empezar, dicha variación no es evidente.  En 2004, los Estados miembros establecieron una tasa de presentación inicial de 1.400 francos suizos, y esa tasa solo se ha revisado una vez, en 2008, cuando se redujo a 1.330 francos suizos</w:t>
      </w:r>
      <w:r w:rsidR="00956380" w:rsidRPr="002E2225">
        <w:rPr>
          <w:lang w:val="es-ES_tradnl"/>
        </w:rPr>
        <w:t>.</w:t>
      </w:r>
      <w:r w:rsidR="00956380" w:rsidRPr="00A94BEF">
        <w:rPr>
          <w:szCs w:val="22"/>
          <w:vertAlign w:val="superscript"/>
          <w:lang w:val="es-ES_tradnl"/>
        </w:rPr>
        <w:footnoteReference w:id="4"/>
      </w:r>
      <w:r w:rsidR="00956380" w:rsidRPr="002E2225">
        <w:rPr>
          <w:lang w:val="es-ES_tradnl"/>
        </w:rPr>
        <w:t xml:space="preserve">  </w:t>
      </w:r>
      <w:r>
        <w:rPr>
          <w:lang w:val="es-ES_tradnl"/>
        </w:rPr>
        <w:t xml:space="preserve">Además, los solicitantes pagan una tasa de </w:t>
      </w:r>
      <w:r>
        <w:rPr>
          <w:lang w:val="es-ES_tradnl"/>
        </w:rPr>
        <w:lastRenderedPageBreak/>
        <w:t>transmisión, que depende del lugar en el que presentan su solicitud PCT, pero la variación introducid</w:t>
      </w:r>
      <w:r w:rsidR="00BE6D0F">
        <w:rPr>
          <w:lang w:val="es-ES_tradnl"/>
        </w:rPr>
        <w:t>a</w:t>
      </w:r>
      <w:r>
        <w:rPr>
          <w:lang w:val="es-ES_tradnl"/>
        </w:rPr>
        <w:t xml:space="preserve"> por esa tasa adicional es relativamente insignificante</w:t>
      </w:r>
      <w:r w:rsidR="00956380" w:rsidRPr="002E2225">
        <w:rPr>
          <w:lang w:val="es-ES_tradnl"/>
        </w:rPr>
        <w:t>.</w:t>
      </w:r>
      <w:r w:rsidR="00956380" w:rsidRPr="00A94BEF">
        <w:rPr>
          <w:szCs w:val="22"/>
          <w:vertAlign w:val="superscript"/>
          <w:lang w:val="es-ES_tradnl"/>
        </w:rPr>
        <w:footnoteReference w:id="5"/>
      </w:r>
      <w:r w:rsidR="00956380" w:rsidRPr="002E2225">
        <w:rPr>
          <w:vertAlign w:val="superscript"/>
          <w:lang w:val="es-ES_tradnl"/>
        </w:rPr>
        <w:t>,</w:t>
      </w:r>
      <w:r w:rsidR="00956380" w:rsidRPr="00A94BEF">
        <w:rPr>
          <w:szCs w:val="22"/>
          <w:vertAlign w:val="superscript"/>
          <w:lang w:val="es-ES_tradnl"/>
        </w:rPr>
        <w:footnoteReference w:id="6"/>
      </w:r>
    </w:p>
    <w:p w:rsidR="008F0048" w:rsidRPr="008F0048" w:rsidRDefault="008F0048" w:rsidP="00956380">
      <w:pPr>
        <w:keepLines/>
        <w:numPr>
          <w:ilvl w:val="0"/>
          <w:numId w:val="5"/>
        </w:numPr>
        <w:spacing w:after="220"/>
        <w:rPr>
          <w:lang w:val="es-ES_tradnl"/>
        </w:rPr>
      </w:pPr>
      <w:r w:rsidRPr="008F0048">
        <w:rPr>
          <w:lang w:val="es-ES_tradnl"/>
        </w:rPr>
        <w:t xml:space="preserve">Una variación más importante se deriva de la conversión de la tasa de presentación internacional en francos suizos a las </w:t>
      </w:r>
      <w:r w:rsidR="002A3150">
        <w:rPr>
          <w:lang w:val="es-ES_tradnl"/>
        </w:rPr>
        <w:t>monedas</w:t>
      </w:r>
      <w:r w:rsidRPr="008F0048">
        <w:rPr>
          <w:lang w:val="es-ES_tradnl"/>
        </w:rPr>
        <w:t xml:space="preserve"> en las que pagan la tasa de presentación los solicitantes de todo el mundo.  A fin de entender la fuente de esa variación, es importante en primer lugar comprender cómo </w:t>
      </w:r>
      <w:r w:rsidRPr="008B5060">
        <w:rPr>
          <w:lang w:val="es-ES_tradnl"/>
        </w:rPr>
        <w:t xml:space="preserve">funciona el proceso de conversión.  En </w:t>
      </w:r>
      <w:r w:rsidR="00EF7DD4">
        <w:rPr>
          <w:lang w:val="es-ES_tradnl"/>
        </w:rPr>
        <w:t xml:space="preserve">el Reglamento </w:t>
      </w:r>
      <w:r w:rsidRPr="008B5060">
        <w:rPr>
          <w:lang w:val="es-ES_tradnl"/>
        </w:rPr>
        <w:t xml:space="preserve">del PCT se </w:t>
      </w:r>
      <w:r w:rsidR="00EF7DD4">
        <w:rPr>
          <w:lang w:val="es-ES_tradnl"/>
        </w:rPr>
        <w:t>distingue</w:t>
      </w:r>
      <w:r w:rsidRPr="008B5060">
        <w:rPr>
          <w:lang w:val="es-ES_tradnl"/>
        </w:rPr>
        <w:t xml:space="preserve"> entre </w:t>
      </w:r>
      <w:r w:rsidR="002A3150">
        <w:rPr>
          <w:lang w:val="es-ES_tradnl"/>
        </w:rPr>
        <w:t>moneda</w:t>
      </w:r>
      <w:r w:rsidRPr="008B5060">
        <w:rPr>
          <w:lang w:val="es-ES_tradnl"/>
        </w:rPr>
        <w:t xml:space="preserve">s </w:t>
      </w:r>
      <w:r w:rsidR="008B5060" w:rsidRPr="008B5060">
        <w:rPr>
          <w:lang w:val="es-ES_tradnl"/>
        </w:rPr>
        <w:t xml:space="preserve">libremente </w:t>
      </w:r>
      <w:r w:rsidRPr="008B5060">
        <w:rPr>
          <w:lang w:val="es-ES_tradnl"/>
        </w:rPr>
        <w:t>convertibles y otras</w:t>
      </w:r>
      <w:r w:rsidRPr="008F0048">
        <w:rPr>
          <w:lang w:val="es-ES_tradnl"/>
        </w:rPr>
        <w:t xml:space="preserve"> </w:t>
      </w:r>
      <w:r w:rsidR="002A3150">
        <w:rPr>
          <w:lang w:val="es-ES_tradnl"/>
        </w:rPr>
        <w:t>moneda</w:t>
      </w:r>
      <w:r w:rsidRPr="008F0048">
        <w:rPr>
          <w:lang w:val="es-ES_tradnl"/>
        </w:rPr>
        <w:t>s</w:t>
      </w:r>
      <w:r w:rsidR="00956380" w:rsidRPr="008F0048">
        <w:rPr>
          <w:lang w:val="es-ES_tradnl"/>
        </w:rPr>
        <w:t>.</w:t>
      </w:r>
      <w:r w:rsidR="00956380" w:rsidRPr="00A94BEF">
        <w:rPr>
          <w:szCs w:val="22"/>
          <w:vertAlign w:val="superscript"/>
          <w:lang w:val="es-ES_tradnl"/>
        </w:rPr>
        <w:footnoteReference w:id="7"/>
      </w:r>
      <w:r w:rsidR="00956380" w:rsidRPr="008F0048">
        <w:rPr>
          <w:lang w:val="es-ES_tradnl"/>
        </w:rPr>
        <w:t xml:space="preserve">  </w:t>
      </w:r>
      <w:r w:rsidRPr="008F0048">
        <w:rPr>
          <w:lang w:val="es-ES_tradnl"/>
        </w:rPr>
        <w:t xml:space="preserve">En el caso de las </w:t>
      </w:r>
      <w:r w:rsidR="002A3150">
        <w:rPr>
          <w:lang w:val="es-ES_tradnl"/>
        </w:rPr>
        <w:t>moneda</w:t>
      </w:r>
      <w:r w:rsidRPr="008F0048">
        <w:rPr>
          <w:lang w:val="es-ES_tradnl"/>
        </w:rPr>
        <w:t xml:space="preserve">s </w:t>
      </w:r>
      <w:r w:rsidR="008B5060" w:rsidRPr="008F0048">
        <w:rPr>
          <w:lang w:val="es-ES_tradnl"/>
        </w:rPr>
        <w:t xml:space="preserve">libremente </w:t>
      </w:r>
      <w:r w:rsidRPr="008F0048">
        <w:rPr>
          <w:lang w:val="es-ES_tradnl"/>
        </w:rPr>
        <w:t xml:space="preserve">convertibles, la OMPI fija </w:t>
      </w:r>
      <w:r>
        <w:rPr>
          <w:lang w:val="es-ES_tradnl"/>
        </w:rPr>
        <w:t xml:space="preserve">importes equivalentes con efecto a partir del 1 de enero de cada año que reflejan los tipos de cambio corrientes </w:t>
      </w:r>
      <w:r w:rsidR="008B5060">
        <w:rPr>
          <w:lang w:val="es-ES_tradnl"/>
        </w:rPr>
        <w:t xml:space="preserve">en relación con el franco suizo prevalente el primer lunes de octubre del año anterior.  Además, si a lo largo del año el tipo de cambio de una </w:t>
      </w:r>
      <w:r w:rsidR="002A3150">
        <w:rPr>
          <w:lang w:val="es-ES_tradnl"/>
        </w:rPr>
        <w:t>moneda</w:t>
      </w:r>
      <w:r w:rsidR="008B5060">
        <w:rPr>
          <w:lang w:val="es-ES_tradnl"/>
        </w:rPr>
        <w:t xml:space="preserve"> en relación con el franco suizo es, durante más de cuatro viernes consecutivos, inferior o superior en un cinco por ciento al tipo de cambio aplicado anteriormente, la OMPI establece un nuevo importe equivalente para esa </w:t>
      </w:r>
      <w:r w:rsidR="002A3150">
        <w:rPr>
          <w:lang w:val="es-ES_tradnl"/>
        </w:rPr>
        <w:t>moneda</w:t>
      </w:r>
      <w:r w:rsidR="008B5060">
        <w:rPr>
          <w:lang w:val="es-ES_tradnl"/>
        </w:rPr>
        <w:t xml:space="preserve">, que </w:t>
      </w:r>
      <w:r w:rsidR="00EF7DD4">
        <w:rPr>
          <w:lang w:val="es-ES_tradnl"/>
        </w:rPr>
        <w:t>se hace efectiva al cabo de unos dos meses.</w:t>
      </w:r>
    </w:p>
    <w:p w:rsidR="00227E73" w:rsidRPr="00A94BEF" w:rsidRDefault="00227E73" w:rsidP="00956380">
      <w:pPr>
        <w:numPr>
          <w:ilvl w:val="0"/>
          <w:numId w:val="5"/>
        </w:numPr>
        <w:spacing w:after="220"/>
        <w:rPr>
          <w:lang w:val="es-ES_tradnl"/>
        </w:rPr>
      </w:pPr>
      <w:r>
        <w:rPr>
          <w:lang w:val="es-ES_tradnl"/>
        </w:rPr>
        <w:t xml:space="preserve">Las oficinas nacionales y regionales de patentes que reciben solicitudes PCT (“Oficinas receptoras”) determinan la </w:t>
      </w:r>
      <w:r w:rsidR="002A3150">
        <w:rPr>
          <w:lang w:val="es-ES_tradnl"/>
        </w:rPr>
        <w:t>moneda</w:t>
      </w:r>
      <w:r>
        <w:rPr>
          <w:lang w:val="es-ES_tradnl"/>
        </w:rPr>
        <w:t xml:space="preserve"> en la que aceptan el pago de las solicitudes presentadas.  Las Oficinas receptoras de jurisdicciones dotadas de </w:t>
      </w:r>
      <w:r w:rsidR="002A3150">
        <w:rPr>
          <w:lang w:val="es-ES_tradnl"/>
        </w:rPr>
        <w:t>moneda</w:t>
      </w:r>
      <w:r>
        <w:rPr>
          <w:lang w:val="es-ES_tradnl"/>
        </w:rPr>
        <w:t xml:space="preserve">s libremente convertibles exigen habitualmente el pago de las tasas en su </w:t>
      </w:r>
      <w:r w:rsidR="002A3150">
        <w:rPr>
          <w:lang w:val="es-ES_tradnl"/>
        </w:rPr>
        <w:t>moneda</w:t>
      </w:r>
      <w:r>
        <w:rPr>
          <w:lang w:val="es-ES_tradnl"/>
        </w:rPr>
        <w:t xml:space="preserve"> local.  Las Oficinas receptoras de otras jurisdicciones adoptan uno de los dos enfoques siguientes:  o bien exigen el pago en una de las </w:t>
      </w:r>
      <w:r w:rsidR="002A3150">
        <w:rPr>
          <w:lang w:val="es-ES_tradnl"/>
        </w:rPr>
        <w:t>moneda</w:t>
      </w:r>
      <w:r>
        <w:rPr>
          <w:lang w:val="es-ES_tradnl"/>
        </w:rPr>
        <w:t xml:space="preserve">s libremente convertibles, en la práctica, el euro, el franco suizo o el dólar de los EE.UU.;  o bien exigen el pago en la </w:t>
      </w:r>
      <w:r w:rsidR="002A3150">
        <w:rPr>
          <w:lang w:val="es-ES_tradnl"/>
        </w:rPr>
        <w:t>moneda</w:t>
      </w:r>
      <w:r>
        <w:rPr>
          <w:lang w:val="es-ES_tradnl"/>
        </w:rPr>
        <w:t xml:space="preserve"> local por un importe que, en la fecha de presentación, equivalga a la tasa en francos suizos.  En cualquier caso, los solicitantes de estas últimas oficinas </w:t>
      </w:r>
      <w:r w:rsidR="00B1540A">
        <w:rPr>
          <w:lang w:val="es-ES_tradnl"/>
        </w:rPr>
        <w:t xml:space="preserve">tienen que abonar </w:t>
      </w:r>
      <w:r>
        <w:rPr>
          <w:lang w:val="es-ES_tradnl"/>
        </w:rPr>
        <w:t xml:space="preserve">el pago de una tasa que, en la </w:t>
      </w:r>
      <w:r w:rsidR="002A3150">
        <w:rPr>
          <w:lang w:val="es-ES_tradnl"/>
        </w:rPr>
        <w:t>moneda</w:t>
      </w:r>
      <w:r>
        <w:rPr>
          <w:lang w:val="es-ES_tradnl"/>
        </w:rPr>
        <w:t xml:space="preserve"> local, depende </w:t>
      </w:r>
      <w:r w:rsidR="00B1540A">
        <w:rPr>
          <w:lang w:val="es-ES_tradnl"/>
        </w:rPr>
        <w:t>d</w:t>
      </w:r>
      <w:r>
        <w:rPr>
          <w:lang w:val="es-ES_tradnl"/>
        </w:rPr>
        <w:t xml:space="preserve">el tipo de cambio existente en relación con el franco suizo u otra </w:t>
      </w:r>
      <w:r w:rsidR="002A3150">
        <w:rPr>
          <w:lang w:val="es-ES_tradnl"/>
        </w:rPr>
        <w:t>moneda</w:t>
      </w:r>
      <w:r>
        <w:rPr>
          <w:lang w:val="es-ES_tradnl"/>
        </w:rPr>
        <w:t xml:space="preserve"> libremente convertible.  Por lo tanto, en función del régimen de tipo de cambio en vigor, la tasa de solicitud abonada en </w:t>
      </w:r>
      <w:r w:rsidR="002A3150">
        <w:rPr>
          <w:lang w:val="es-ES_tradnl"/>
        </w:rPr>
        <w:t>moneda</w:t>
      </w:r>
      <w:r>
        <w:rPr>
          <w:lang w:val="es-ES_tradnl"/>
        </w:rPr>
        <w:t xml:space="preserve">s locales podrá variar diariamente. </w:t>
      </w:r>
    </w:p>
    <w:p w:rsidR="00956380" w:rsidRPr="00A94BEF" w:rsidRDefault="000B0705" w:rsidP="00956380">
      <w:pPr>
        <w:numPr>
          <w:ilvl w:val="0"/>
          <w:numId w:val="5"/>
        </w:numPr>
        <w:spacing w:after="220"/>
        <w:rPr>
          <w:lang w:val="es-ES_tradnl"/>
        </w:rPr>
      </w:pPr>
      <w:r>
        <w:rPr>
          <w:lang w:val="es-ES_tradnl"/>
        </w:rPr>
        <w:t xml:space="preserve">El valor en la </w:t>
      </w:r>
      <w:r w:rsidR="002A3150">
        <w:rPr>
          <w:lang w:val="es-ES_tradnl"/>
        </w:rPr>
        <w:t>moneda</w:t>
      </w:r>
      <w:r>
        <w:rPr>
          <w:lang w:val="es-ES_tradnl"/>
        </w:rPr>
        <w:t xml:space="preserve"> local de la </w:t>
      </w:r>
      <w:r w:rsidR="00B1540A">
        <w:rPr>
          <w:lang w:val="es-ES_tradnl"/>
        </w:rPr>
        <w:t>tasa de presentación del PCT, tanto si</w:t>
      </w:r>
      <w:r>
        <w:rPr>
          <w:lang w:val="es-ES_tradnl"/>
        </w:rPr>
        <w:t xml:space="preserve"> se ha establecido mediante importes equivalentes </w:t>
      </w:r>
      <w:r w:rsidR="004E780A">
        <w:rPr>
          <w:lang w:val="es-ES_tradnl"/>
        </w:rPr>
        <w:t xml:space="preserve">como si se ha fijado mediante </w:t>
      </w:r>
      <w:r>
        <w:rPr>
          <w:lang w:val="es-ES_tradnl"/>
        </w:rPr>
        <w:t xml:space="preserve">tipos de cambio corrientes, puede variar de manera considerable. En la Figura 1 se expone la evolución de la tasa de presentación internacional correspondiente a algunas monedas a partir de 2004.  </w:t>
      </w:r>
      <w:r w:rsidR="00DB080B">
        <w:rPr>
          <w:lang w:val="es-ES_tradnl"/>
        </w:rPr>
        <w:t xml:space="preserve">En concreto, se indica la manera en que la fuerte apreciación del franco suizo en relación con la mayoría de las </w:t>
      </w:r>
      <w:r w:rsidR="004E780A">
        <w:rPr>
          <w:lang w:val="es-ES_tradnl"/>
        </w:rPr>
        <w:t>m</w:t>
      </w:r>
      <w:r w:rsidR="00DB080B">
        <w:rPr>
          <w:lang w:val="es-ES_tradnl"/>
        </w:rPr>
        <w:t xml:space="preserve">onedas en el curso de la crisis financiera y posteriormente provocó considerables aumentos de la tasa de presentación, especialmente en el caso del dólar de los EE.UU., la libra esterlina y el won coreano. </w:t>
      </w:r>
    </w:p>
    <w:p w:rsidR="00956380" w:rsidRPr="007E5507" w:rsidRDefault="007E5507" w:rsidP="007E5507">
      <w:pPr>
        <w:numPr>
          <w:ilvl w:val="0"/>
          <w:numId w:val="5"/>
        </w:numPr>
        <w:spacing w:after="220"/>
        <w:rPr>
          <w:lang w:val="es-ES_tradnl"/>
        </w:rPr>
      </w:pPr>
      <w:r w:rsidRPr="007E5507">
        <w:rPr>
          <w:lang w:val="es-ES_tradnl"/>
        </w:rPr>
        <w:t xml:space="preserve">Una vez establecida la variación en la tasa de presentación, la cuestión siguiente es determinar qué modelo econométrico ha de adoptarse.  Un enfoque adoptado en la bibliografía económica consiste en investigar directamente si las variaciones en el volumen de solicitudes recibidas pueden explicarse a partir de las variaciones de tasas. Uno de los inconvenientes de </w:t>
      </w:r>
      <w:r w:rsidRPr="007E5507">
        <w:rPr>
          <w:lang w:val="es-ES_tradnl"/>
        </w:rPr>
        <w:lastRenderedPageBreak/>
        <w:t>ese enfoque es que, como no se observan las decisiones de no presentar solicitudes, se carece de una hipótesis a partir de la cual se puedan comparar las decisiones relativas a la presentación de solicitudes.</w:t>
      </w:r>
      <w:r w:rsidR="00956380" w:rsidRPr="00A94BEF">
        <w:rPr>
          <w:szCs w:val="22"/>
          <w:vertAlign w:val="superscript"/>
          <w:lang w:val="es-ES_tradnl"/>
        </w:rPr>
        <w:footnoteReference w:id="8"/>
      </w:r>
      <w:r w:rsidRPr="007E5507">
        <w:rPr>
          <w:lang w:val="es-ES_tradnl"/>
        </w:rPr>
        <w:t xml:space="preserve">  </w:t>
      </w:r>
      <w:r>
        <w:rPr>
          <w:lang w:val="es-ES_tradnl"/>
        </w:rPr>
        <w:t xml:space="preserve">Sin embargo, dado que las solicitudes PCT, en una abrumadora mayoría de casos, se basan en una solicitud nacional anterior, es posible </w:t>
      </w:r>
      <w:r w:rsidR="004E780A">
        <w:rPr>
          <w:lang w:val="es-ES_tradnl"/>
        </w:rPr>
        <w:t>emplear</w:t>
      </w:r>
      <w:r>
        <w:rPr>
          <w:lang w:val="es-ES_tradnl"/>
        </w:rPr>
        <w:t xml:space="preserve"> dicha hipótesis.  En concreto, se puede calcular la probabilidad de que una solicitud de prioridad se convierta en una solicitud PCT en un marco de elección discreta, mediante el que la tasa de presentación internacional que han de abonar los solicitantes sea una de las variables explicativas.  Dicho de otro modo, el marco de elección discreta se centra en la elección que han de efectuar los solicitantes entre la denominada vía de París y la vía del PCT</w:t>
      </w:r>
      <w:r w:rsidR="00073035" w:rsidRPr="00073035">
        <w:rPr>
          <w:lang w:val="es-ES_tradnl"/>
        </w:rPr>
        <w:t xml:space="preserve"> </w:t>
      </w:r>
      <w:r w:rsidR="00073035">
        <w:rPr>
          <w:lang w:val="es-ES_tradnl"/>
        </w:rPr>
        <w:t>al presentar solicitudes internacionales de patente</w:t>
      </w:r>
      <w:r>
        <w:rPr>
          <w:lang w:val="es-ES_tradnl"/>
        </w:rPr>
        <w:t>.  Ese marco no tiene en cuenta la posibilidad de que la tasa de presentación internacional del PCT influya en la decisión de los solicitantes al determinar si han de solicitar protección por patente más allá de la oficina de presentación de la solicitud de prioridad, cuestión que esperemos poder investigar en el futuro</w:t>
      </w:r>
      <w:r w:rsidR="00956380" w:rsidRPr="007E5507">
        <w:rPr>
          <w:lang w:val="es-ES_tradnl"/>
        </w:rPr>
        <w:t>.</w:t>
      </w:r>
      <w:r w:rsidR="00956380" w:rsidRPr="007E5507">
        <w:rPr>
          <w:szCs w:val="22"/>
          <w:vertAlign w:val="superscript"/>
          <w:lang w:val="es-ES_tradnl"/>
        </w:rPr>
        <w:t xml:space="preserve"> </w:t>
      </w:r>
      <w:r w:rsidR="00956380" w:rsidRPr="00A94BEF">
        <w:rPr>
          <w:szCs w:val="22"/>
          <w:vertAlign w:val="superscript"/>
          <w:lang w:val="es-ES_tradnl"/>
        </w:rPr>
        <w:footnoteReference w:id="9"/>
      </w:r>
    </w:p>
    <w:p w:rsidR="00956380" w:rsidRPr="00A23888" w:rsidRDefault="00DC26EC" w:rsidP="00A23888">
      <w:pPr>
        <w:keepNext/>
        <w:keepLines/>
        <w:numPr>
          <w:ilvl w:val="0"/>
          <w:numId w:val="5"/>
        </w:numPr>
        <w:spacing w:after="220"/>
        <w:rPr>
          <w:lang w:val="es-ES_tradnl"/>
        </w:rPr>
      </w:pPr>
      <w:r>
        <w:rPr>
          <w:lang w:val="es-ES_tradnl"/>
        </w:rPr>
        <w:t>E</w:t>
      </w:r>
      <w:r w:rsidR="00956380" w:rsidRPr="00A94BEF">
        <w:rPr>
          <w:lang w:val="es-ES_tradnl"/>
        </w:rPr>
        <w:t xml:space="preserve">n particular, </w:t>
      </w:r>
      <w:r>
        <w:rPr>
          <w:lang w:val="es-ES_tradnl"/>
        </w:rPr>
        <w:t>al adoptar l</w:t>
      </w:r>
      <w:r w:rsidR="00061885">
        <w:rPr>
          <w:lang w:val="es-ES_tradnl"/>
        </w:rPr>
        <w:t>as familias de patentes como unidad de</w:t>
      </w:r>
      <w:r>
        <w:rPr>
          <w:lang w:val="es-ES_tradnl"/>
        </w:rPr>
        <w:t xml:space="preserve"> análisis, damos por supuesto que la elección de la vía del PCT frente a la vía de París se determina de la manera s</w:t>
      </w:r>
      <w:r w:rsidR="00A23888">
        <w:rPr>
          <w:lang w:val="es-ES_tradnl"/>
        </w:rPr>
        <w:t>iguiente</w:t>
      </w:r>
      <w:r w:rsidR="00956380" w:rsidRPr="00A23888">
        <w:rPr>
          <w:lang w:val="es-ES_tradnl"/>
        </w:rPr>
        <w:t>:</w:t>
      </w:r>
    </w:p>
    <w:p w:rsidR="00956380" w:rsidRPr="00A94BEF" w:rsidRDefault="0007661C" w:rsidP="00956380">
      <w:pPr>
        <w:keepNext/>
        <w:keepLines/>
        <w:spacing w:after="360"/>
        <w:jc w:val="center"/>
        <w:rPr>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pct</m:t>
            </m:r>
          </m:e>
          <m:sub>
            <m:r>
              <w:rPr>
                <w:rFonts w:ascii="Cambria Math" w:hAnsi="Cambria Math"/>
                <w:szCs w:val="22"/>
                <w:lang w:val="es-ES_tradnl"/>
              </w:rPr>
              <m:t>ijt</m:t>
            </m:r>
          </m:sub>
        </m:sSub>
        <m:r>
          <w:rPr>
            <w:rFonts w:ascii="Cambria Math" w:hAnsi="Cambria Math"/>
            <w:szCs w:val="22"/>
            <w:lang w:val="es-ES_tradnl"/>
          </w:rPr>
          <m:t>=</m:t>
        </m:r>
        <m:d>
          <m:dPr>
            <m:begChr m:val="{"/>
            <m:endChr m:val=""/>
            <m:ctrlPr>
              <w:rPr>
                <w:rFonts w:ascii="Cambria Math" w:hAnsi="Cambria Math"/>
                <w:i/>
                <w:szCs w:val="22"/>
                <w:lang w:val="es-ES_tradnl"/>
              </w:rPr>
            </m:ctrlPr>
          </m:dPr>
          <m:e>
            <m:m>
              <m:mPr>
                <m:mcs>
                  <m:mc>
                    <m:mcPr>
                      <m:count m:val="1"/>
                      <m:mcJc m:val="center"/>
                    </m:mcPr>
                  </m:mc>
                </m:mcs>
                <m:ctrlPr>
                  <w:rPr>
                    <w:rFonts w:ascii="Cambria Math" w:hAnsi="Cambria Math"/>
                    <w:i/>
                    <w:szCs w:val="22"/>
                    <w:lang w:val="es-ES_tradnl"/>
                  </w:rPr>
                </m:ctrlPr>
              </m:mPr>
              <m:mr>
                <m:e>
                  <m:r>
                    <w:rPr>
                      <w:rFonts w:ascii="Cambria Math" w:hAnsi="Cambria Math"/>
                      <w:szCs w:val="22"/>
                      <w:lang w:val="es-ES_tradnl"/>
                    </w:rPr>
                    <m:t xml:space="preserve">0 </m:t>
                  </m:r>
                  <m:r>
                    <m:rPr>
                      <m:sty m:val="p"/>
                    </m:rPr>
                    <w:rPr>
                      <w:rFonts w:ascii="Cambria Math" w:hAnsi="Cambria Math"/>
                      <w:szCs w:val="22"/>
                      <w:lang w:val="es-ES_tradnl"/>
                    </w:rPr>
                    <m:t>if</m:t>
                  </m:r>
                  <m:r>
                    <w:rPr>
                      <w:rFonts w:ascii="Cambria Math" w:hAnsi="Cambria Math"/>
                      <w:szCs w:val="22"/>
                      <w:lang w:val="es-ES_tradnl"/>
                    </w:rPr>
                    <m:t xml:space="preserve"> </m:t>
                  </m:r>
                  <m:sSubSup>
                    <m:sSubSupPr>
                      <m:ctrlPr>
                        <w:rPr>
                          <w:rFonts w:ascii="Cambria Math" w:hAnsi="Cambria Math"/>
                          <w:i/>
                          <w:szCs w:val="22"/>
                          <w:lang w:val="es-ES_tradnl"/>
                        </w:rPr>
                      </m:ctrlPr>
                    </m:sSubSupPr>
                    <m:e>
                      <m:r>
                        <w:rPr>
                          <w:rFonts w:ascii="Cambria Math" w:hAnsi="Cambria Math"/>
                          <w:szCs w:val="22"/>
                          <w:lang w:val="es-ES_tradnl"/>
                        </w:rPr>
                        <m:t>pct</m:t>
                      </m:r>
                    </m:e>
                    <m:sub>
                      <m:r>
                        <w:rPr>
                          <w:rFonts w:ascii="Cambria Math" w:hAnsi="Cambria Math"/>
                          <w:szCs w:val="22"/>
                          <w:lang w:val="es-ES_tradnl"/>
                        </w:rPr>
                        <m:t>ijt</m:t>
                      </m:r>
                    </m:sub>
                    <m:sup>
                      <m:r>
                        <w:rPr>
                          <w:rFonts w:ascii="Cambria Math" w:hAnsi="Cambria Math"/>
                          <w:szCs w:val="22"/>
                          <w:lang w:val="es-ES_tradnl"/>
                        </w:rPr>
                        <m:t>*</m:t>
                      </m:r>
                    </m:sup>
                  </m:sSubSup>
                  <m:r>
                    <w:rPr>
                      <w:rFonts w:ascii="Cambria Math" w:hAnsi="Cambria Math"/>
                      <w:szCs w:val="22"/>
                      <w:lang w:val="es-ES_tradnl"/>
                    </w:rPr>
                    <m:t>≤0</m:t>
                  </m:r>
                </m:e>
              </m:mr>
              <m:mr>
                <m:e>
                  <m:r>
                    <w:rPr>
                      <w:rFonts w:ascii="Cambria Math" w:hAnsi="Cambria Math"/>
                      <w:szCs w:val="22"/>
                      <w:lang w:val="es-ES_tradnl"/>
                    </w:rPr>
                    <m:t xml:space="preserve">1 </m:t>
                  </m:r>
                  <m:r>
                    <m:rPr>
                      <m:sty m:val="p"/>
                    </m:rPr>
                    <w:rPr>
                      <w:rFonts w:ascii="Cambria Math" w:hAnsi="Cambria Math"/>
                      <w:szCs w:val="22"/>
                      <w:lang w:val="es-ES_tradnl"/>
                    </w:rPr>
                    <m:t>if</m:t>
                  </m:r>
                  <m:r>
                    <w:rPr>
                      <w:rFonts w:ascii="Cambria Math" w:hAnsi="Cambria Math"/>
                      <w:szCs w:val="22"/>
                      <w:lang w:val="es-ES_tradnl"/>
                    </w:rPr>
                    <m:t xml:space="preserve"> </m:t>
                  </m:r>
                  <m:sSubSup>
                    <m:sSubSupPr>
                      <m:ctrlPr>
                        <w:rPr>
                          <w:rFonts w:ascii="Cambria Math" w:hAnsi="Cambria Math"/>
                          <w:i/>
                          <w:szCs w:val="22"/>
                          <w:lang w:val="es-ES_tradnl"/>
                        </w:rPr>
                      </m:ctrlPr>
                    </m:sSubSupPr>
                    <m:e>
                      <m:r>
                        <w:rPr>
                          <w:rFonts w:ascii="Cambria Math" w:hAnsi="Cambria Math"/>
                          <w:szCs w:val="22"/>
                          <w:lang w:val="es-ES_tradnl"/>
                        </w:rPr>
                        <m:t>pct</m:t>
                      </m:r>
                    </m:e>
                    <m:sub>
                      <m:r>
                        <w:rPr>
                          <w:rFonts w:ascii="Cambria Math" w:hAnsi="Cambria Math"/>
                          <w:szCs w:val="22"/>
                          <w:lang w:val="es-ES_tradnl"/>
                        </w:rPr>
                        <m:t>ijt</m:t>
                      </m:r>
                    </m:sub>
                    <m:sup>
                      <m:r>
                        <w:rPr>
                          <w:rFonts w:ascii="Cambria Math" w:hAnsi="Cambria Math"/>
                          <w:szCs w:val="22"/>
                          <w:lang w:val="es-ES_tradnl"/>
                        </w:rPr>
                        <m:t>*</m:t>
                      </m:r>
                    </m:sup>
                  </m:sSubSup>
                  <m:r>
                    <w:rPr>
                      <w:rFonts w:ascii="Cambria Math" w:hAnsi="Cambria Math"/>
                      <w:szCs w:val="22"/>
                      <w:lang w:val="es-ES_tradnl"/>
                    </w:rPr>
                    <m:t>&gt;0</m:t>
                  </m:r>
                </m:e>
              </m:mr>
            </m:m>
          </m:e>
        </m:d>
      </m:oMath>
      <w:r w:rsidR="00956380" w:rsidRPr="00A94BEF">
        <w:rPr>
          <w:szCs w:val="22"/>
          <w:lang w:val="es-ES_tradnl"/>
        </w:rPr>
        <w:t xml:space="preserve">   , </w:t>
      </w:r>
    </w:p>
    <w:p w:rsidR="00956380" w:rsidRDefault="00A23888" w:rsidP="00956380">
      <w:pPr>
        <w:spacing w:after="220"/>
        <w:rPr>
          <w:rFonts w:eastAsiaTheme="minorEastAsia"/>
          <w:lang w:val="es-ES_tradnl"/>
        </w:rPr>
      </w:pPr>
      <w:r>
        <w:rPr>
          <w:lang w:val="es-ES_tradnl"/>
        </w:rPr>
        <w:t xml:space="preserve">en la que </w:t>
      </w:r>
      <m:oMath>
        <m:sSub>
          <m:sSubPr>
            <m:ctrlPr>
              <w:rPr>
                <w:rFonts w:ascii="Cambria Math" w:hAnsi="Cambria Math"/>
                <w:i/>
                <w:lang w:val="es-ES_tradnl"/>
              </w:rPr>
            </m:ctrlPr>
          </m:sSubPr>
          <m:e>
            <m:r>
              <w:rPr>
                <w:rFonts w:ascii="Cambria Math" w:hAnsi="Cambria Math"/>
                <w:lang w:val="es-ES_tradnl"/>
              </w:rPr>
              <m:t>pct</m:t>
            </m:r>
          </m:e>
          <m:sub>
            <m:r>
              <w:rPr>
                <w:rFonts w:ascii="Cambria Math" w:hAnsi="Cambria Math"/>
                <w:lang w:val="es-ES_tradnl"/>
              </w:rPr>
              <m:t>ijt</m:t>
            </m:r>
          </m:sub>
        </m:sSub>
      </m:oMath>
      <w:r>
        <w:rPr>
          <w:rFonts w:eastAsiaTheme="minorEastAsia"/>
          <w:lang w:val="es-ES_tradnl"/>
        </w:rPr>
        <w:t xml:space="preserve"> equivale</w:t>
      </w:r>
      <w:r w:rsidR="00956380" w:rsidRPr="00A94BEF">
        <w:rPr>
          <w:rFonts w:eastAsiaTheme="minorEastAsia"/>
          <w:lang w:val="es-ES_tradnl"/>
        </w:rPr>
        <w:t xml:space="preserve"> </w:t>
      </w:r>
      <w:r>
        <w:rPr>
          <w:rFonts w:eastAsiaTheme="minorEastAsia"/>
          <w:lang w:val="es-ES_tradnl"/>
        </w:rPr>
        <w:t xml:space="preserve">a </w:t>
      </w:r>
      <w:r w:rsidR="00956380" w:rsidRPr="00A94BEF">
        <w:rPr>
          <w:rFonts w:eastAsiaTheme="minorEastAsia"/>
          <w:lang w:val="es-ES_tradnl"/>
        </w:rPr>
        <w:t xml:space="preserve">1, </w:t>
      </w:r>
      <w:r>
        <w:rPr>
          <w:rFonts w:eastAsiaTheme="minorEastAsia"/>
          <w:lang w:val="es-ES_tradnl"/>
        </w:rPr>
        <w:t xml:space="preserve">si la familia de patentes </w:t>
      </w:r>
      <w:r w:rsidR="00956380" w:rsidRPr="00A94BEF">
        <w:rPr>
          <w:rFonts w:eastAsiaTheme="minorEastAsia"/>
          <w:i/>
          <w:lang w:val="es-ES_tradnl"/>
        </w:rPr>
        <w:t>i</w:t>
      </w:r>
      <w:r w:rsidR="00956380" w:rsidRPr="00A94BEF">
        <w:rPr>
          <w:rFonts w:eastAsiaTheme="minorEastAsia"/>
          <w:lang w:val="es-ES_tradnl"/>
        </w:rPr>
        <w:t xml:space="preserve"> </w:t>
      </w:r>
      <w:r>
        <w:rPr>
          <w:rFonts w:eastAsiaTheme="minorEastAsia"/>
          <w:lang w:val="es-ES_tradnl"/>
        </w:rPr>
        <w:t xml:space="preserve">de origen </w:t>
      </w:r>
      <w:r w:rsidR="00956380" w:rsidRPr="00A94BEF">
        <w:rPr>
          <w:rFonts w:eastAsiaTheme="minorEastAsia"/>
          <w:i/>
          <w:lang w:val="es-ES_tradnl"/>
        </w:rPr>
        <w:t>j</w:t>
      </w:r>
      <w:r>
        <w:rPr>
          <w:rFonts w:eastAsiaTheme="minorEastAsia"/>
          <w:lang w:val="es-ES_tradnl"/>
        </w:rPr>
        <w:t xml:space="preserve"> incluye una solicitud</w:t>
      </w:r>
      <w:r w:rsidR="00956380" w:rsidRPr="00A94BEF">
        <w:rPr>
          <w:rFonts w:eastAsiaTheme="minorEastAsia"/>
          <w:lang w:val="es-ES_tradnl"/>
        </w:rPr>
        <w:t xml:space="preserve"> PCT </w:t>
      </w:r>
      <w:r>
        <w:rPr>
          <w:rFonts w:eastAsiaTheme="minorEastAsia"/>
          <w:lang w:val="es-ES_tradnl"/>
        </w:rPr>
        <w:t xml:space="preserve">presentada durante el mes </w:t>
      </w:r>
      <w:r w:rsidR="00956380" w:rsidRPr="00A94BEF">
        <w:rPr>
          <w:rFonts w:eastAsiaTheme="minorEastAsia"/>
          <w:i/>
          <w:lang w:val="es-ES_tradnl"/>
        </w:rPr>
        <w:t>t</w:t>
      </w:r>
      <w:r w:rsidR="00956380" w:rsidRPr="00A94BEF">
        <w:rPr>
          <w:rFonts w:eastAsiaTheme="minorEastAsia"/>
          <w:lang w:val="es-ES_tradnl"/>
        </w:rPr>
        <w:t xml:space="preserve">, </w:t>
      </w:r>
      <w:r>
        <w:rPr>
          <w:rFonts w:eastAsiaTheme="minorEastAsia"/>
          <w:lang w:val="es-ES_tradnl"/>
        </w:rPr>
        <w:t xml:space="preserve">y </w:t>
      </w:r>
      <w:r w:rsidR="00956380" w:rsidRPr="00A94BEF">
        <w:rPr>
          <w:lang w:val="es-ES_tradnl"/>
        </w:rPr>
        <w:t xml:space="preserve">0 </w:t>
      </w:r>
      <w:r>
        <w:rPr>
          <w:lang w:val="es-ES_tradnl"/>
        </w:rPr>
        <w:t>si se ha optado por la vía de París para presentar las solicitudes relativas a la familia de patentes</w:t>
      </w:r>
      <w:r w:rsidR="00956380" w:rsidRPr="00A94BEF">
        <w:rPr>
          <w:lang w:val="es-ES_tradnl"/>
        </w:rPr>
        <w:t xml:space="preserve">, </w:t>
      </w:r>
      <w:r>
        <w:rPr>
          <w:lang w:val="es-ES_tradnl"/>
        </w:rPr>
        <w:t xml:space="preserve">en la que </w:t>
      </w:r>
      <w:r w:rsidR="00956380" w:rsidRPr="00A94BEF">
        <w:rPr>
          <w:i/>
          <w:lang w:val="es-ES_tradnl"/>
        </w:rPr>
        <w:t>t</w:t>
      </w:r>
      <w:r w:rsidR="00956380" w:rsidRPr="00A94BEF">
        <w:rPr>
          <w:lang w:val="es-ES_tradnl"/>
        </w:rPr>
        <w:t xml:space="preserve"> </w:t>
      </w:r>
      <w:r>
        <w:rPr>
          <w:lang w:val="es-ES_tradnl"/>
        </w:rPr>
        <w:t xml:space="preserve">corresponde de esa manera al mes de la primera presentación hecha con arreglo a la vía de París.  La </w:t>
      </w:r>
      <w:r w:rsidR="00956380" w:rsidRPr="00A94BEF">
        <w:rPr>
          <w:lang w:val="es-ES_tradnl"/>
        </w:rPr>
        <w:t xml:space="preserve">variable  </w:t>
      </w:r>
      <m:oMath>
        <m:sSubSup>
          <m:sSubSupPr>
            <m:ctrlPr>
              <w:rPr>
                <w:rFonts w:ascii="Cambria Math" w:hAnsi="Cambria Math"/>
                <w:i/>
                <w:lang w:val="es-ES_tradnl"/>
              </w:rPr>
            </m:ctrlPr>
          </m:sSubSupPr>
          <m:e>
            <m:r>
              <w:rPr>
                <w:rFonts w:ascii="Cambria Math" w:hAnsi="Cambria Math"/>
                <w:lang w:val="es-ES_tradnl"/>
              </w:rPr>
              <m:t>pct</m:t>
            </m:r>
          </m:e>
          <m:sub>
            <m:r>
              <w:rPr>
                <w:rFonts w:ascii="Cambria Math" w:hAnsi="Cambria Math"/>
                <w:lang w:val="es-ES_tradnl"/>
              </w:rPr>
              <m:t>ijt</m:t>
            </m:r>
          </m:sub>
          <m:sup>
            <m:r>
              <w:rPr>
                <w:rFonts w:ascii="Cambria Math" w:hAnsi="Cambria Math"/>
                <w:lang w:val="es-ES_tradnl"/>
              </w:rPr>
              <m:t>*</m:t>
            </m:r>
          </m:sup>
        </m:sSubSup>
      </m:oMath>
      <w:r>
        <w:rPr>
          <w:rFonts w:eastAsiaTheme="minorEastAsia"/>
          <w:lang w:val="es-ES_tradnl"/>
        </w:rPr>
        <w:t xml:space="preserve"> es una variable no observable</w:t>
      </w:r>
      <w:r w:rsidR="00956380" w:rsidRPr="00A94BEF">
        <w:rPr>
          <w:rFonts w:eastAsiaTheme="minorEastAsia"/>
          <w:lang w:val="es-ES_tradnl"/>
        </w:rPr>
        <w:t xml:space="preserve"> </w:t>
      </w:r>
      <w:r>
        <w:rPr>
          <w:rFonts w:eastAsiaTheme="minorEastAsia"/>
          <w:lang w:val="es-ES_tradnl"/>
        </w:rPr>
        <w:t>y se determina mediante la ecuación</w:t>
      </w:r>
      <w:r w:rsidR="0032385A" w:rsidRPr="0032385A">
        <w:rPr>
          <w:rFonts w:eastAsiaTheme="minorEastAsia"/>
          <w:lang w:val="es-ES_tradnl"/>
        </w:rPr>
        <w:t xml:space="preserve"> </w:t>
      </w:r>
      <w:r w:rsidR="0032385A">
        <w:rPr>
          <w:rFonts w:eastAsiaTheme="minorEastAsia"/>
          <w:lang w:val="es-ES_tradnl"/>
        </w:rPr>
        <w:t>siguiente</w:t>
      </w:r>
      <w:r>
        <w:rPr>
          <w:rFonts w:eastAsiaTheme="minorEastAsia"/>
          <w:lang w:val="es-ES_tradnl"/>
        </w:rPr>
        <w:t>:</w:t>
      </w:r>
    </w:p>
    <w:p w:rsidR="00956380" w:rsidRPr="00A94BEF" w:rsidRDefault="0007661C" w:rsidP="00956380">
      <w:pPr>
        <w:spacing w:after="360"/>
        <w:jc w:val="center"/>
        <w:rPr>
          <w:szCs w:val="22"/>
          <w:lang w:val="es-ES_tradnl"/>
        </w:rPr>
      </w:pPr>
      <m:oMath>
        <m:sSubSup>
          <m:sSubSupPr>
            <m:ctrlPr>
              <w:rPr>
                <w:rFonts w:ascii="Cambria Math" w:hAnsi="Cambria Math"/>
                <w:i/>
                <w:szCs w:val="22"/>
                <w:lang w:val="es-ES_tradnl"/>
              </w:rPr>
            </m:ctrlPr>
          </m:sSubSupPr>
          <m:e>
            <m:r>
              <w:rPr>
                <w:rFonts w:ascii="Cambria Math" w:hAnsi="Cambria Math"/>
                <w:szCs w:val="22"/>
                <w:lang w:val="es-ES_tradnl"/>
              </w:rPr>
              <m:t>pct</m:t>
            </m:r>
          </m:e>
          <m:sub>
            <m:r>
              <w:rPr>
                <w:rFonts w:ascii="Cambria Math" w:hAnsi="Cambria Math"/>
                <w:szCs w:val="22"/>
                <w:lang w:val="es-ES_tradnl"/>
              </w:rPr>
              <m:t>ijt</m:t>
            </m:r>
          </m:sub>
          <m:sup>
            <m:r>
              <w:rPr>
                <w:rFonts w:ascii="Cambria Math" w:hAnsi="Cambria Math"/>
                <w:szCs w:val="22"/>
                <w:lang w:val="es-ES_tradnl"/>
              </w:rPr>
              <m:t>*</m:t>
            </m:r>
          </m:sup>
        </m:sSubSup>
        <m:r>
          <w:rPr>
            <w:rFonts w:ascii="Cambria Math" w:hAnsi="Cambria Math"/>
            <w:szCs w:val="22"/>
            <w:lang w:val="es-ES_tradnl"/>
          </w:rPr>
          <m:t>=α</m:t>
        </m:r>
        <m:sSub>
          <m:sSubPr>
            <m:ctrlPr>
              <w:rPr>
                <w:rFonts w:ascii="Cambria Math" w:hAnsi="Cambria Math"/>
                <w:i/>
                <w:szCs w:val="22"/>
                <w:lang w:val="es-ES_tradnl"/>
              </w:rPr>
            </m:ctrlPr>
          </m:sSubPr>
          <m:e>
            <m:r>
              <m:rPr>
                <m:sty m:val="p"/>
              </m:rPr>
              <w:rPr>
                <w:rFonts w:ascii="Cambria Math" w:hAnsi="Cambria Math"/>
                <w:szCs w:val="22"/>
                <w:lang w:val="es-ES_tradnl"/>
              </w:rPr>
              <m:t xml:space="preserve"> ln</m:t>
            </m:r>
            <m:r>
              <w:rPr>
                <w:rFonts w:ascii="Cambria Math" w:hAnsi="Cambria Math"/>
                <w:szCs w:val="22"/>
                <w:lang w:val="es-ES_tradnl"/>
              </w:rPr>
              <m:t>f</m:t>
            </m:r>
          </m:e>
          <m:sub>
            <m:r>
              <w:rPr>
                <w:rFonts w:ascii="Cambria Math" w:hAnsi="Cambria Math"/>
                <w:szCs w:val="22"/>
                <w:lang w:val="es-ES_tradnl"/>
              </w:rPr>
              <m:t>jt</m:t>
            </m:r>
          </m:sub>
        </m:sSub>
        <m:r>
          <w:rPr>
            <w:rFonts w:ascii="Cambria Math" w:hAnsi="Cambria Math"/>
            <w:szCs w:val="22"/>
            <w:lang w:val="es-ES_tradnl"/>
          </w:rPr>
          <m:t>+</m:t>
        </m:r>
        <m:sSub>
          <m:sSubPr>
            <m:ctrlPr>
              <w:rPr>
                <w:rFonts w:ascii="Cambria Math" w:hAnsi="Cambria Math"/>
                <w:i/>
                <w:szCs w:val="22"/>
                <w:lang w:val="es-ES_tradnl"/>
              </w:rPr>
            </m:ctrlPr>
          </m:sSubPr>
          <m:e>
            <m:r>
              <m:rPr>
                <m:sty m:val="p"/>
              </m:rPr>
              <w:rPr>
                <w:rFonts w:ascii="Cambria Math" w:hAnsi="Cambria Math"/>
                <w:szCs w:val="22"/>
                <w:lang w:val="es-ES_tradnl"/>
              </w:rPr>
              <m:t>β ln</m:t>
            </m:r>
            <m:r>
              <w:rPr>
                <w:rFonts w:ascii="Cambria Math" w:hAnsi="Cambria Math"/>
                <w:szCs w:val="22"/>
                <w:lang w:val="es-ES_tradnl"/>
              </w:rPr>
              <m:t>unemp</m:t>
            </m:r>
          </m:e>
          <m:sub>
            <m:r>
              <w:rPr>
                <w:rFonts w:ascii="Cambria Math" w:hAnsi="Cambria Math"/>
                <w:szCs w:val="22"/>
                <w:lang w:val="es-ES_tradnl"/>
              </w:rPr>
              <m:t>jt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γ mem</m:t>
            </m:r>
          </m:e>
          <m:sub>
            <m:r>
              <w:rPr>
                <w:rFonts w:ascii="Cambria Math" w:hAnsi="Cambria Math"/>
                <w:szCs w:val="22"/>
                <w:lang w:val="es-ES_tradnl"/>
              </w:rPr>
              <m:t>jt</m:t>
            </m:r>
          </m:sub>
        </m:sSub>
        <m:r>
          <w:rPr>
            <w:rFonts w:ascii="Cambria Math" w:hAnsi="Cambria Math"/>
            <w:szCs w:val="22"/>
            <w:lang w:val="es-ES_tradnl"/>
          </w:rPr>
          <m:t xml:space="preserve">+δ </m:t>
        </m:r>
        <m:sSub>
          <m:sSubPr>
            <m:ctrlPr>
              <w:rPr>
                <w:rFonts w:ascii="Cambria Math" w:hAnsi="Cambria Math"/>
                <w:i/>
                <w:szCs w:val="22"/>
                <w:lang w:val="es-ES_tradnl"/>
              </w:rPr>
            </m:ctrlPr>
          </m:sSubPr>
          <m:e>
            <m:r>
              <m:rPr>
                <m:sty m:val="p"/>
              </m:rPr>
              <w:rPr>
                <w:rFonts w:ascii="Cambria Math" w:hAnsi="Cambria Math"/>
                <w:szCs w:val="22"/>
                <w:lang w:val="es-ES_tradnl"/>
              </w:rPr>
              <m:t>Ω</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μ</m:t>
            </m:r>
          </m:e>
          <m:sub>
            <m:r>
              <w:rPr>
                <w:rFonts w:ascii="Cambria Math" w:hAnsi="Cambria Math"/>
                <w:szCs w:val="22"/>
                <w:lang w:val="es-ES_tradnl"/>
              </w:rPr>
              <m:t>j</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θ</m:t>
            </m:r>
          </m:e>
          <m:sub>
            <m:r>
              <w:rPr>
                <w:rFonts w:ascii="Cambria Math" w:hAnsi="Cambria Math"/>
                <w:szCs w:val="22"/>
                <w:lang w:val="es-ES_tradnl"/>
              </w:rPr>
              <m:t>t</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φ mkt</m:t>
            </m:r>
          </m:e>
          <m:sub>
            <m:r>
              <w:rPr>
                <w:rFonts w:ascii="Cambria Math" w:hAnsi="Cambria Math"/>
                <w:szCs w:val="22"/>
                <w:lang w:val="es-ES_tradnl"/>
              </w:rPr>
              <m:t>j(t-12)</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ε</m:t>
            </m:r>
          </m:e>
          <m:sub>
            <m:r>
              <w:rPr>
                <w:rFonts w:ascii="Cambria Math" w:hAnsi="Cambria Math"/>
                <w:szCs w:val="22"/>
                <w:lang w:val="es-ES_tradnl"/>
              </w:rPr>
              <m:t>ijt</m:t>
            </m:r>
          </m:sub>
        </m:sSub>
      </m:oMath>
      <w:r w:rsidR="00956380" w:rsidRPr="00A94BEF">
        <w:rPr>
          <w:rFonts w:eastAsiaTheme="minorEastAsia"/>
          <w:szCs w:val="22"/>
          <w:lang w:val="es-ES_tradnl"/>
        </w:rPr>
        <w:t xml:space="preserve"> ,</w:t>
      </w:r>
    </w:p>
    <w:p w:rsidR="00956380" w:rsidRPr="00A94BEF" w:rsidRDefault="00A23888" w:rsidP="00956380">
      <w:pPr>
        <w:spacing w:after="220"/>
        <w:rPr>
          <w:lang w:val="es-ES_tradnl"/>
        </w:rPr>
      </w:pPr>
      <w:r>
        <w:rPr>
          <w:lang w:val="es-ES_tradnl"/>
        </w:rPr>
        <w:t>en la que</w:t>
      </w:r>
      <w:r w:rsidR="002373A3">
        <w:rPr>
          <w:lang w:val="es-ES_tradnl"/>
        </w:rPr>
        <w:t xml:space="preserve"> mediante</w:t>
      </w:r>
      <w:r>
        <w:rPr>
          <w:lang w:val="es-ES_tradnl"/>
        </w:rPr>
        <w:t xml:space="preserve"> </w:t>
      </w:r>
      <w:r w:rsidR="00956380" w:rsidRPr="00A94BEF">
        <w:rPr>
          <w:i/>
          <w:lang w:val="es-ES_tradnl"/>
        </w:rPr>
        <w:t>f</w:t>
      </w:r>
      <w:r w:rsidR="00956380" w:rsidRPr="00A94BEF">
        <w:rPr>
          <w:vertAlign w:val="subscript"/>
          <w:lang w:val="es-ES_tradnl"/>
        </w:rPr>
        <w:t>jt</w:t>
      </w:r>
      <w:r w:rsidR="0032385A">
        <w:rPr>
          <w:lang w:val="es-ES_tradnl"/>
        </w:rPr>
        <w:t xml:space="preserve"> </w:t>
      </w:r>
      <w:r w:rsidR="002373A3">
        <w:rPr>
          <w:lang w:val="es-ES_tradnl"/>
        </w:rPr>
        <w:t xml:space="preserve">se </w:t>
      </w:r>
      <w:r w:rsidR="00061885">
        <w:rPr>
          <w:lang w:val="es-ES_tradnl"/>
        </w:rPr>
        <w:t>expresa</w:t>
      </w:r>
      <w:r w:rsidR="00956380" w:rsidRPr="00A94BEF">
        <w:rPr>
          <w:lang w:val="es-ES_tradnl"/>
        </w:rPr>
        <w:t xml:space="preserve"> </w:t>
      </w:r>
      <w:r w:rsidR="0032385A">
        <w:rPr>
          <w:lang w:val="es-ES_tradnl"/>
        </w:rPr>
        <w:t xml:space="preserve">la tasa de presentación en moneda local que ha de abonar el solicitante de patente de la familia, que </w:t>
      </w:r>
      <w:r w:rsidR="00F8370A">
        <w:rPr>
          <w:lang w:val="es-ES_tradnl"/>
        </w:rPr>
        <w:t>varía</w:t>
      </w:r>
      <w:r w:rsidR="0032385A">
        <w:rPr>
          <w:lang w:val="es-ES_tradnl"/>
        </w:rPr>
        <w:t xml:space="preserve"> según el origen y el mes</w:t>
      </w:r>
      <w:r w:rsidR="00956380" w:rsidRPr="00A94BEF">
        <w:rPr>
          <w:lang w:val="es-ES_tradnl"/>
        </w:rPr>
        <w:t>;</w:t>
      </w:r>
      <w:r w:rsidR="002373A3">
        <w:rPr>
          <w:lang w:val="es-ES_tradnl"/>
        </w:rPr>
        <w:t xml:space="preserve">  mediante</w:t>
      </w:r>
      <w:r w:rsidR="00956380" w:rsidRPr="00A94BEF">
        <w:rPr>
          <w:lang w:val="es-ES_tradnl"/>
        </w:rPr>
        <w:t xml:space="preserve"> </w:t>
      </w:r>
      <w:r w:rsidR="00956380" w:rsidRPr="00A94BEF">
        <w:rPr>
          <w:i/>
          <w:lang w:val="es-ES_tradnl"/>
        </w:rPr>
        <w:t>unemp</w:t>
      </w:r>
      <w:r w:rsidR="00956380" w:rsidRPr="00A94BEF">
        <w:rPr>
          <w:i/>
          <w:vertAlign w:val="subscript"/>
          <w:lang w:val="es-ES_tradnl"/>
        </w:rPr>
        <w:t>jt</w:t>
      </w:r>
      <w:r w:rsidR="0032385A">
        <w:rPr>
          <w:lang w:val="es-ES_tradnl"/>
        </w:rPr>
        <w:t xml:space="preserve"> </w:t>
      </w:r>
      <w:r w:rsidR="002373A3">
        <w:rPr>
          <w:lang w:val="es-ES_tradnl"/>
        </w:rPr>
        <w:t xml:space="preserve">se </w:t>
      </w:r>
      <w:r w:rsidR="00047F74">
        <w:rPr>
          <w:lang w:val="es-ES_tradnl"/>
        </w:rPr>
        <w:t>expresa</w:t>
      </w:r>
      <w:r w:rsidR="00956380" w:rsidRPr="00A94BEF">
        <w:rPr>
          <w:lang w:val="es-ES_tradnl"/>
        </w:rPr>
        <w:t xml:space="preserve"> </w:t>
      </w:r>
      <w:r w:rsidR="002373A3">
        <w:rPr>
          <w:lang w:val="es-ES_tradnl"/>
        </w:rPr>
        <w:t xml:space="preserve">el estado de la economía en el </w:t>
      </w:r>
      <w:r w:rsidR="00047F74">
        <w:rPr>
          <w:lang w:val="es-ES_tradnl"/>
        </w:rPr>
        <w:t xml:space="preserve">país de </w:t>
      </w:r>
      <w:r w:rsidR="002373A3">
        <w:rPr>
          <w:lang w:val="es-ES_tradnl"/>
        </w:rPr>
        <w:t xml:space="preserve">origen </w:t>
      </w:r>
      <w:r w:rsidR="00956380" w:rsidRPr="00A94BEF">
        <w:rPr>
          <w:i/>
          <w:lang w:val="es-ES_tradnl"/>
        </w:rPr>
        <w:t>j</w:t>
      </w:r>
      <w:r w:rsidR="00956380" w:rsidRPr="00A94BEF">
        <w:rPr>
          <w:lang w:val="es-ES_tradnl"/>
        </w:rPr>
        <w:t xml:space="preserve"> </w:t>
      </w:r>
      <w:r w:rsidR="002373A3">
        <w:rPr>
          <w:lang w:val="es-ES_tradnl"/>
        </w:rPr>
        <w:t xml:space="preserve">y el mes </w:t>
      </w:r>
      <w:r w:rsidR="00956380" w:rsidRPr="00A94BEF">
        <w:rPr>
          <w:i/>
          <w:lang w:val="es-ES_tradnl"/>
        </w:rPr>
        <w:t>t</w:t>
      </w:r>
      <w:r w:rsidR="00956380" w:rsidRPr="00A94BEF">
        <w:rPr>
          <w:lang w:val="es-ES_tradnl"/>
        </w:rPr>
        <w:t xml:space="preserve">, </w:t>
      </w:r>
      <w:r w:rsidR="003D5A1C">
        <w:rPr>
          <w:lang w:val="es-ES_tradnl"/>
        </w:rPr>
        <w:t xml:space="preserve">según </w:t>
      </w:r>
      <w:r w:rsidR="002373A3">
        <w:rPr>
          <w:lang w:val="es-ES_tradnl"/>
        </w:rPr>
        <w:t>la tasa de desempleo</w:t>
      </w:r>
      <w:r w:rsidR="00956380" w:rsidRPr="00A94BEF">
        <w:rPr>
          <w:lang w:val="es-ES_tradnl"/>
        </w:rPr>
        <w:t xml:space="preserve">; </w:t>
      </w:r>
      <w:r w:rsidR="00956380" w:rsidRPr="00A94BEF">
        <w:rPr>
          <w:i/>
          <w:lang w:val="es-ES_tradnl"/>
        </w:rPr>
        <w:t>mem</w:t>
      </w:r>
      <w:r w:rsidR="00956380" w:rsidRPr="00A94BEF">
        <w:rPr>
          <w:vertAlign w:val="subscript"/>
          <w:lang w:val="es-ES_tradnl"/>
        </w:rPr>
        <w:t>jt</w:t>
      </w:r>
      <w:r w:rsidR="002373A3">
        <w:rPr>
          <w:lang w:val="es-ES_tradnl"/>
        </w:rPr>
        <w:t xml:space="preserve"> es una variable ficticia que corresponde a </w:t>
      </w:r>
      <w:r w:rsidR="00956380" w:rsidRPr="00A94BEF">
        <w:rPr>
          <w:lang w:val="es-ES_tradnl"/>
        </w:rPr>
        <w:t xml:space="preserve">1 </w:t>
      </w:r>
      <w:r w:rsidR="002373A3">
        <w:rPr>
          <w:lang w:val="es-ES_tradnl"/>
        </w:rPr>
        <w:t xml:space="preserve">si los residentes del </w:t>
      </w:r>
      <w:r w:rsidR="00047F74">
        <w:rPr>
          <w:lang w:val="es-ES_tradnl"/>
        </w:rPr>
        <w:t xml:space="preserve">país de </w:t>
      </w:r>
      <w:r w:rsidR="002373A3">
        <w:rPr>
          <w:lang w:val="es-ES_tradnl"/>
        </w:rPr>
        <w:t xml:space="preserve">origen </w:t>
      </w:r>
      <w:r w:rsidR="00956380" w:rsidRPr="00A94BEF">
        <w:rPr>
          <w:i/>
          <w:lang w:val="es-ES_tradnl"/>
        </w:rPr>
        <w:t>j</w:t>
      </w:r>
      <w:r w:rsidR="00956380" w:rsidRPr="00A94BEF">
        <w:rPr>
          <w:lang w:val="es-ES_tradnl"/>
        </w:rPr>
        <w:t xml:space="preserve"> </w:t>
      </w:r>
      <w:r w:rsidR="002373A3">
        <w:rPr>
          <w:lang w:val="es-ES_tradnl"/>
        </w:rPr>
        <w:t xml:space="preserve">tuvieran derecho a presentar solicitudes en el marco del PCT en el mes </w:t>
      </w:r>
      <w:r w:rsidR="00956380" w:rsidRPr="00A94BEF">
        <w:rPr>
          <w:i/>
          <w:lang w:val="es-ES_tradnl"/>
        </w:rPr>
        <w:t>t</w:t>
      </w:r>
      <w:r w:rsidR="00956380" w:rsidRPr="00A94BEF">
        <w:rPr>
          <w:lang w:val="es-ES_tradnl"/>
        </w:rPr>
        <w:t xml:space="preserve">, </w:t>
      </w:r>
      <w:r w:rsidR="002373A3">
        <w:rPr>
          <w:lang w:val="es-ES_tradnl"/>
        </w:rPr>
        <w:t>y cero en caso contrario</w:t>
      </w:r>
      <w:r w:rsidR="00956380" w:rsidRPr="00A94BEF">
        <w:rPr>
          <w:lang w:val="es-ES_tradnl"/>
        </w:rPr>
        <w:t xml:space="preserve">; </w:t>
      </w:r>
      <w:r w:rsidR="00956380" w:rsidRPr="00A94BEF">
        <w:rPr>
          <w:i/>
          <w:lang w:val="es-ES_tradnl"/>
        </w:rPr>
        <w:t>Ω</w:t>
      </w:r>
      <w:r w:rsidR="00956380" w:rsidRPr="00A94BEF">
        <w:rPr>
          <w:i/>
          <w:vertAlign w:val="subscript"/>
          <w:lang w:val="es-ES_tradnl"/>
        </w:rPr>
        <w:t>i</w:t>
      </w:r>
      <w:r w:rsidR="00956380" w:rsidRPr="00A94BEF">
        <w:rPr>
          <w:lang w:val="es-ES_tradnl"/>
        </w:rPr>
        <w:t xml:space="preserve"> </w:t>
      </w:r>
      <w:r w:rsidR="002373A3">
        <w:rPr>
          <w:lang w:val="es-ES_tradnl"/>
        </w:rPr>
        <w:t>es un conjunto de controles relacionados con la familia de patentes, entre los que figuran el tamaño de la familia, las variables ficticias para los sectores de la tecnología, y las variables ficticias para distintos tipos de solicitante</w:t>
      </w:r>
      <w:r w:rsidR="00956380" w:rsidRPr="00A94BEF">
        <w:rPr>
          <w:lang w:val="es-ES_tradnl"/>
        </w:rPr>
        <w:t xml:space="preserve">; </w:t>
      </w:r>
      <w:r w:rsidR="00956380" w:rsidRPr="00A94BEF">
        <w:rPr>
          <w:i/>
          <w:lang w:val="es-ES_tradnl"/>
        </w:rPr>
        <w:t>μ</w:t>
      </w:r>
      <w:r w:rsidR="00956380" w:rsidRPr="00A94BEF">
        <w:rPr>
          <w:i/>
          <w:vertAlign w:val="subscript"/>
          <w:lang w:val="es-ES_tradnl"/>
        </w:rPr>
        <w:t>j</w:t>
      </w:r>
      <w:r w:rsidR="00956380" w:rsidRPr="00A94BEF">
        <w:rPr>
          <w:lang w:val="es-ES_tradnl"/>
        </w:rPr>
        <w:t xml:space="preserve"> </w:t>
      </w:r>
      <w:r w:rsidR="002373A3">
        <w:rPr>
          <w:lang w:val="es-ES_tradnl"/>
        </w:rPr>
        <w:t xml:space="preserve"> y </w:t>
      </w:r>
      <w:r w:rsidR="00956380" w:rsidRPr="00A94BEF">
        <w:rPr>
          <w:lang w:val="es-ES_tradnl"/>
        </w:rPr>
        <w:t>θ</w:t>
      </w:r>
      <w:r w:rsidR="00956380" w:rsidRPr="00A94BEF">
        <w:rPr>
          <w:vertAlign w:val="subscript"/>
          <w:lang w:val="es-ES_tradnl"/>
        </w:rPr>
        <w:t>t</w:t>
      </w:r>
      <w:r w:rsidR="002373A3">
        <w:rPr>
          <w:lang w:val="es-ES_tradnl"/>
        </w:rPr>
        <w:t xml:space="preserve"> corresponden a los efectos fijos del origen y el mes, respectivamente;</w:t>
      </w:r>
      <w:r w:rsidR="00956380" w:rsidRPr="00A94BEF">
        <w:rPr>
          <w:lang w:val="es-ES_tradnl"/>
        </w:rPr>
        <w:t xml:space="preserve"> </w:t>
      </w:r>
      <w:r w:rsidR="00956380" w:rsidRPr="00A94BEF">
        <w:rPr>
          <w:i/>
          <w:lang w:val="es-ES_tradnl"/>
        </w:rPr>
        <w:t>mkt</w:t>
      </w:r>
      <w:r w:rsidR="00956380" w:rsidRPr="00A94BEF">
        <w:rPr>
          <w:i/>
          <w:vertAlign w:val="subscript"/>
          <w:lang w:val="es-ES_tradnl"/>
        </w:rPr>
        <w:t>j(t-12)</w:t>
      </w:r>
      <w:r w:rsidR="002373A3">
        <w:rPr>
          <w:lang w:val="es-ES_tradnl"/>
        </w:rPr>
        <w:t xml:space="preserve"> es </w:t>
      </w:r>
      <w:r w:rsidR="003D5A1C">
        <w:rPr>
          <w:lang w:val="es-ES_tradnl"/>
        </w:rPr>
        <w:t xml:space="preserve">el </w:t>
      </w:r>
      <w:r w:rsidR="00EA4452">
        <w:rPr>
          <w:lang w:val="es-ES_tradnl"/>
        </w:rPr>
        <w:t>desfase</w:t>
      </w:r>
      <w:r w:rsidR="003D5A1C">
        <w:rPr>
          <w:lang w:val="es-ES_tradnl"/>
        </w:rPr>
        <w:t xml:space="preserve"> de 12 meses de la media </w:t>
      </w:r>
      <w:r w:rsidR="00EA4452">
        <w:rPr>
          <w:lang w:val="es-ES_tradnl"/>
        </w:rPr>
        <w:t xml:space="preserve">móvil </w:t>
      </w:r>
      <w:r w:rsidR="003D5A1C">
        <w:rPr>
          <w:lang w:val="es-ES_tradnl"/>
        </w:rPr>
        <w:t xml:space="preserve">de la cuota de mercado del PCT </w:t>
      </w:r>
      <w:r w:rsidR="00EA4452">
        <w:rPr>
          <w:lang w:val="es-ES_tradnl"/>
        </w:rPr>
        <w:t>correspondiente al</w:t>
      </w:r>
      <w:r w:rsidR="00047F74">
        <w:rPr>
          <w:lang w:val="es-ES_tradnl"/>
        </w:rPr>
        <w:t xml:space="preserve"> país de </w:t>
      </w:r>
      <w:r w:rsidR="003D5A1C">
        <w:rPr>
          <w:lang w:val="es-ES_tradnl"/>
        </w:rPr>
        <w:t xml:space="preserve">origen </w:t>
      </w:r>
      <w:r w:rsidR="00956380" w:rsidRPr="00A94BEF">
        <w:rPr>
          <w:i/>
          <w:lang w:val="es-ES_tradnl"/>
        </w:rPr>
        <w:t>j</w:t>
      </w:r>
      <w:r w:rsidR="00956380" w:rsidRPr="00A94BEF">
        <w:rPr>
          <w:lang w:val="es-ES_tradnl"/>
        </w:rPr>
        <w:t>;  ε</w:t>
      </w:r>
      <w:r w:rsidR="00956380" w:rsidRPr="00A94BEF">
        <w:rPr>
          <w:vertAlign w:val="subscript"/>
          <w:lang w:val="es-ES_tradnl"/>
        </w:rPr>
        <w:t>ijt</w:t>
      </w:r>
      <w:r w:rsidR="00EA4452">
        <w:rPr>
          <w:lang w:val="es-ES_tradnl"/>
        </w:rPr>
        <w:t xml:space="preserve"> e</w:t>
      </w:r>
      <w:r w:rsidR="00956380" w:rsidRPr="00A94BEF">
        <w:rPr>
          <w:lang w:val="es-ES_tradnl"/>
        </w:rPr>
        <w:t xml:space="preserve">s </w:t>
      </w:r>
      <w:r w:rsidR="00EA4452">
        <w:rPr>
          <w:lang w:val="es-ES_tradnl"/>
        </w:rPr>
        <w:t xml:space="preserve">un término de error </w:t>
      </w:r>
      <w:r w:rsidR="00956380" w:rsidRPr="00A94BEF">
        <w:rPr>
          <w:lang w:val="es-ES_tradnl"/>
        </w:rPr>
        <w:t>i</w:t>
      </w:r>
      <w:r w:rsidR="00047F74">
        <w:rPr>
          <w:lang w:val="es-ES_tradnl"/>
        </w:rPr>
        <w:t>n</w:t>
      </w:r>
      <w:r w:rsidR="00956380" w:rsidRPr="00A94BEF">
        <w:rPr>
          <w:lang w:val="es-ES_tradnl"/>
        </w:rPr>
        <w:t>d</w:t>
      </w:r>
      <w:r w:rsidR="00047F74">
        <w:rPr>
          <w:lang w:val="es-ES_tradnl"/>
        </w:rPr>
        <w:t>ependiente e idénticamente distribuido</w:t>
      </w:r>
      <w:r w:rsidR="00956380" w:rsidRPr="00A94BEF">
        <w:rPr>
          <w:lang w:val="es-ES_tradnl"/>
        </w:rPr>
        <w:t xml:space="preserve">.; </w:t>
      </w:r>
      <w:r w:rsidR="00EA4452">
        <w:rPr>
          <w:lang w:val="es-ES_tradnl"/>
        </w:rPr>
        <w:t xml:space="preserve"> y </w:t>
      </w:r>
      <w:r w:rsidR="00956380" w:rsidRPr="00A94BEF">
        <w:rPr>
          <w:lang w:val="es-ES_tradnl"/>
        </w:rPr>
        <w:t xml:space="preserve">α, β, γ, δ, </w:t>
      </w:r>
      <w:r w:rsidR="00EA4452">
        <w:rPr>
          <w:lang w:val="es-ES_tradnl"/>
        </w:rPr>
        <w:t xml:space="preserve">y </w:t>
      </w:r>
      <w:r w:rsidR="00956380" w:rsidRPr="00A94BEF">
        <w:rPr>
          <w:lang w:val="es-ES_tradnl"/>
        </w:rPr>
        <w:t xml:space="preserve">ϕ </w:t>
      </w:r>
      <w:r w:rsidR="00EA4452">
        <w:rPr>
          <w:lang w:val="es-ES_tradnl"/>
        </w:rPr>
        <w:t>son</w:t>
      </w:r>
      <w:r w:rsidR="00956380" w:rsidRPr="00A94BEF">
        <w:rPr>
          <w:lang w:val="es-ES_tradnl"/>
        </w:rPr>
        <w:t xml:space="preserve"> (vector</w:t>
      </w:r>
      <w:r w:rsidR="00EA4452">
        <w:rPr>
          <w:lang w:val="es-ES_tradnl"/>
        </w:rPr>
        <w:t>e</w:t>
      </w:r>
      <w:r w:rsidR="00956380" w:rsidRPr="00A94BEF">
        <w:rPr>
          <w:lang w:val="es-ES_tradnl"/>
        </w:rPr>
        <w:t xml:space="preserve">s </w:t>
      </w:r>
      <w:r w:rsidR="00EA4452">
        <w:rPr>
          <w:lang w:val="es-ES_tradnl"/>
        </w:rPr>
        <w:t>de</w:t>
      </w:r>
      <w:r w:rsidR="00956380" w:rsidRPr="00A94BEF">
        <w:rPr>
          <w:lang w:val="es-ES_tradnl"/>
        </w:rPr>
        <w:t xml:space="preserve">) </w:t>
      </w:r>
      <w:r w:rsidR="00EA4452">
        <w:rPr>
          <w:lang w:val="es-ES_tradnl"/>
        </w:rPr>
        <w:t>coeficientes que han de calcularse</w:t>
      </w:r>
      <w:r w:rsidR="00956380" w:rsidRPr="00A94BEF">
        <w:rPr>
          <w:lang w:val="es-ES_tradnl"/>
        </w:rPr>
        <w:t>.</w:t>
      </w:r>
      <w:r w:rsidR="00956380" w:rsidRPr="00A94BEF">
        <w:rPr>
          <w:vertAlign w:val="superscript"/>
          <w:lang w:val="es-ES_tradnl"/>
        </w:rPr>
        <w:footnoteReference w:id="10"/>
      </w:r>
      <w:r w:rsidR="00956380" w:rsidRPr="00A94BEF">
        <w:rPr>
          <w:lang w:val="es-ES_tradnl"/>
        </w:rPr>
        <w:t xml:space="preserve"> </w:t>
      </w:r>
    </w:p>
    <w:p w:rsidR="00A83788" w:rsidRDefault="00047F74" w:rsidP="00956380">
      <w:pPr>
        <w:numPr>
          <w:ilvl w:val="0"/>
          <w:numId w:val="5"/>
        </w:numPr>
        <w:spacing w:after="220"/>
        <w:rPr>
          <w:lang w:val="es-ES_tradnl"/>
        </w:rPr>
      </w:pPr>
      <w:r>
        <w:rPr>
          <w:lang w:val="es-ES_tradnl"/>
        </w:rPr>
        <w:t xml:space="preserve">Conviene </w:t>
      </w:r>
      <w:r w:rsidR="00A83788">
        <w:rPr>
          <w:lang w:val="es-ES_tradnl"/>
        </w:rPr>
        <w:t>efectuar tres comentarios explicativos.  En primer lugar</w:t>
      </w:r>
      <w:r w:rsidR="00956380" w:rsidRPr="00A94BEF">
        <w:rPr>
          <w:lang w:val="es-ES_tradnl"/>
        </w:rPr>
        <w:t xml:space="preserve">, </w:t>
      </w:r>
      <w:r w:rsidR="00A83788">
        <w:rPr>
          <w:lang w:val="es-ES_tradnl"/>
        </w:rPr>
        <w:t xml:space="preserve">parece importante tener en cuenta </w:t>
      </w:r>
      <w:r w:rsidR="001B0C56">
        <w:rPr>
          <w:lang w:val="es-ES_tradnl"/>
        </w:rPr>
        <w:t xml:space="preserve">en el cálculo </w:t>
      </w:r>
      <w:r w:rsidR="00A83788">
        <w:rPr>
          <w:lang w:val="es-ES_tradnl"/>
        </w:rPr>
        <w:t xml:space="preserve">el ciclo de operaciones, pero al principio no está claro si el estado </w:t>
      </w:r>
      <w:r w:rsidR="00A83788">
        <w:rPr>
          <w:lang w:val="es-ES_tradnl"/>
        </w:rPr>
        <w:lastRenderedPageBreak/>
        <w:t>de la economía influye positiva o negativamente en la decisión del solicitante a la hora de elegir o no la vía del PCT.  Por otra parte, una economía de bajo rendimiento puede dar lugar a que las empresas rechacen el PCT y abracen la estrategia de la vía de París en la que las familias de patentes son más pequeñas.  Por otra parte, esto también podría empujar a los solicitantes a dar preferencia a la vía del PCT a modo de aplazar los gastos de presentación en el ámbito nacional y regional.</w:t>
      </w:r>
    </w:p>
    <w:p w:rsidR="00A83788" w:rsidRDefault="00A83788" w:rsidP="00956380">
      <w:pPr>
        <w:numPr>
          <w:ilvl w:val="0"/>
          <w:numId w:val="5"/>
        </w:numPr>
        <w:spacing w:after="220"/>
        <w:rPr>
          <w:lang w:val="es-ES_tradnl"/>
        </w:rPr>
      </w:pPr>
      <w:r>
        <w:rPr>
          <w:lang w:val="es-ES_tradnl"/>
        </w:rPr>
        <w:t xml:space="preserve">En segundo lugar, hemos incluido la variable </w:t>
      </w:r>
      <w:r w:rsidR="00F8370A">
        <w:rPr>
          <w:lang w:val="es-ES_tradnl"/>
        </w:rPr>
        <w:t>ficticia</w:t>
      </w:r>
      <w:r>
        <w:rPr>
          <w:lang w:val="es-ES_tradnl"/>
        </w:rPr>
        <w:t xml:space="preserve"> de los miembros del PCT, puesto que es posible que se utilice dicha vía </w:t>
      </w:r>
      <w:r w:rsidR="001B0C56">
        <w:rPr>
          <w:lang w:val="es-ES_tradnl"/>
        </w:rPr>
        <w:t>en el caso de</w:t>
      </w:r>
      <w:r>
        <w:rPr>
          <w:lang w:val="es-ES_tradnl"/>
        </w:rPr>
        <w:t xml:space="preserve"> las familias de patentes procedentes de países que no son miembros del sistema.  En concreto, hemos deducido el origen de una familia de patentes a partir del origen del solicitante nombrado en primer lugar.  Sin embargo, una familia de patentes puede que tenga cosolicitantes de distinto origen y, a fin de poder presentar solicitudes en el marco del PCT, basta con que el país de origen de un solicitante sea miembro del sistema.</w:t>
      </w:r>
    </w:p>
    <w:p w:rsidR="00956380" w:rsidRPr="008F3133" w:rsidRDefault="00A83788" w:rsidP="008F3133">
      <w:pPr>
        <w:numPr>
          <w:ilvl w:val="0"/>
          <w:numId w:val="5"/>
        </w:numPr>
        <w:spacing w:after="220"/>
        <w:rPr>
          <w:lang w:val="es-ES_tradnl"/>
        </w:rPr>
      </w:pPr>
      <w:r>
        <w:rPr>
          <w:lang w:val="es-ES_tradnl"/>
        </w:rPr>
        <w:t xml:space="preserve">En tercer lugar, hemos incluido la variable </w:t>
      </w:r>
      <w:r w:rsidR="00956380" w:rsidRPr="00A83788">
        <w:rPr>
          <w:i/>
          <w:lang w:val="es-ES_tradnl"/>
        </w:rPr>
        <w:t>mkt</w:t>
      </w:r>
      <w:r w:rsidR="00956380" w:rsidRPr="00A83788">
        <w:rPr>
          <w:i/>
          <w:vertAlign w:val="subscript"/>
          <w:lang w:val="es-ES_tradnl"/>
        </w:rPr>
        <w:t>j(t-12)</w:t>
      </w:r>
      <w:r w:rsidR="008F3133">
        <w:rPr>
          <w:lang w:val="es-ES_tradnl"/>
        </w:rPr>
        <w:t xml:space="preserve"> a</w:t>
      </w:r>
      <w:r w:rsidR="008F3133" w:rsidRPr="008F3133">
        <w:rPr>
          <w:lang w:val="es-ES_tradnl"/>
        </w:rPr>
        <w:t xml:space="preserve"> fin de tener en cuenta los cambios </w:t>
      </w:r>
      <w:r w:rsidR="008F3133">
        <w:rPr>
          <w:lang w:val="es-ES_tradnl"/>
        </w:rPr>
        <w:t xml:space="preserve">que se den de por sí </w:t>
      </w:r>
      <w:r w:rsidR="008F3133" w:rsidRPr="008F3133">
        <w:rPr>
          <w:lang w:val="es-ES_tradnl"/>
        </w:rPr>
        <w:t xml:space="preserve">en la propensión a servirse del sistema del PCT a lo largo del tiempo.  </w:t>
      </w:r>
      <w:r w:rsidR="008F3133">
        <w:rPr>
          <w:lang w:val="es-ES_tradnl"/>
        </w:rPr>
        <w:t xml:space="preserve">En concreto, se ha observado un aumento de la cuota de mercado del PCT </w:t>
      </w:r>
      <w:r w:rsidR="001B429B">
        <w:rPr>
          <w:lang w:val="es-ES_tradnl"/>
        </w:rPr>
        <w:t>en la mayoría de los países de or</w:t>
      </w:r>
      <w:r w:rsidR="00F44619">
        <w:rPr>
          <w:lang w:val="es-ES_tradnl"/>
        </w:rPr>
        <w:t>i</w:t>
      </w:r>
      <w:r w:rsidR="001B429B">
        <w:rPr>
          <w:lang w:val="es-ES_tradnl"/>
        </w:rPr>
        <w:t xml:space="preserve">gen </w:t>
      </w:r>
      <w:r w:rsidR="008F3133">
        <w:rPr>
          <w:lang w:val="es-ES_tradnl"/>
        </w:rPr>
        <w:t>debido a los cambios en las estrategias empresariales, el fomento de la sensibilización, un mayor atractivo del sistema gracias al creciente número de miembros que forman parte de él, y posiblemente a otros factores.  En la medida en que esas influencias están vinculadas al origen, no se tienen totalmente en cuenta al incluir los efectos fijos del mes natural. Se aplica el desfase de la variable de la cuota de mercado del PCT en 12 meses, ya que el nivel de la tasa y la tasa de desempleo pueden influir en la cuota de mercado concurrente</w:t>
      </w:r>
      <w:r w:rsidR="00956380" w:rsidRPr="008F3133">
        <w:rPr>
          <w:lang w:val="es-ES_tradnl"/>
        </w:rPr>
        <w:t>.</w:t>
      </w:r>
    </w:p>
    <w:p w:rsidR="00956380" w:rsidRPr="00A94BEF" w:rsidRDefault="00956380" w:rsidP="00956380">
      <w:pPr>
        <w:keepNext/>
        <w:spacing w:before="240" w:after="60"/>
        <w:outlineLvl w:val="0"/>
        <w:rPr>
          <w:b/>
          <w:bCs/>
          <w:caps/>
          <w:kern w:val="32"/>
          <w:szCs w:val="32"/>
          <w:lang w:val="es-ES_tradnl"/>
        </w:rPr>
      </w:pPr>
      <w:r w:rsidRPr="00A94BEF">
        <w:rPr>
          <w:b/>
          <w:bCs/>
          <w:caps/>
          <w:kern w:val="32"/>
          <w:szCs w:val="32"/>
          <w:lang w:val="es-ES_tradnl"/>
        </w:rPr>
        <w:t>Dat</w:t>
      </w:r>
      <w:r w:rsidR="005A7FF6">
        <w:rPr>
          <w:b/>
          <w:bCs/>
          <w:caps/>
          <w:kern w:val="32"/>
          <w:szCs w:val="32"/>
          <w:lang w:val="es-ES_tradnl"/>
        </w:rPr>
        <w:t>OS</w:t>
      </w:r>
    </w:p>
    <w:p w:rsidR="00724E60" w:rsidRDefault="00724E60" w:rsidP="00FC2507">
      <w:pPr>
        <w:numPr>
          <w:ilvl w:val="0"/>
          <w:numId w:val="5"/>
        </w:numPr>
        <w:spacing w:after="220"/>
        <w:rPr>
          <w:lang w:val="es-ES_tradnl"/>
        </w:rPr>
      </w:pPr>
      <w:r>
        <w:rPr>
          <w:lang w:val="es-ES_tradnl"/>
        </w:rPr>
        <w:t xml:space="preserve">Los datos de las familias de patentes proceden de la base de datos </w:t>
      </w:r>
      <w:r w:rsidRPr="00724E60">
        <w:rPr>
          <w:i/>
          <w:lang w:val="es-ES_tradnl"/>
        </w:rPr>
        <w:t>PATSTAT</w:t>
      </w:r>
      <w:r>
        <w:rPr>
          <w:lang w:val="es-ES_tradnl"/>
        </w:rPr>
        <w:t xml:space="preserve"> de la Oficina Europea de Patentes.  En concreto, nos centramos en las familias que tienen equivalentes en dos o más oficinas, o un equivalente más una solicitud PCT presentada.  Dicho de otro modo, no se tienen en cuenta las familias “exclusivamente nacionales” así como las familias “exclusivamente del PCT”, ya que los solicitantes en esos casos no tienen que elegir entre la vía del PCT y la vía de París en que se basa el modelo de elección discreta.  Se extraen todas las familias de patentes que satisfacen esa definición y que tienen una primera fecha de presentación del 1 de enero de 2003 o posterior.  Asimismo, se extrae información sobre el tamaño de la familia de patentes así como de los sectores de la tecnología que abarca la solicitud</w:t>
      </w:r>
      <w:r w:rsidR="00956380" w:rsidRPr="00A94BEF">
        <w:rPr>
          <w:lang w:val="es-ES_tradnl"/>
        </w:rPr>
        <w:t>.</w:t>
      </w:r>
      <w:r w:rsidR="00956380" w:rsidRPr="00A94BEF">
        <w:rPr>
          <w:szCs w:val="22"/>
          <w:vertAlign w:val="superscript"/>
          <w:lang w:val="es-ES_tradnl"/>
        </w:rPr>
        <w:footnoteReference w:id="11"/>
      </w:r>
      <w:r w:rsidR="00956380" w:rsidRPr="00A94BEF">
        <w:rPr>
          <w:lang w:val="es-ES_tradnl"/>
        </w:rPr>
        <w:t xml:space="preserve">  </w:t>
      </w:r>
      <w:r>
        <w:rPr>
          <w:lang w:val="es-ES_tradnl"/>
        </w:rPr>
        <w:t>Por último, se emplea un algoritmo de búsqueda basado en palabras clave para detectar las solicitudes respecto de las que el solicitante nombrado en primer lugar sea una universidad o una institución pública de investigación</w:t>
      </w:r>
      <w:r w:rsidR="00956380" w:rsidRPr="00A94BEF">
        <w:rPr>
          <w:lang w:val="es-ES_tradnl"/>
        </w:rPr>
        <w:t>.</w:t>
      </w:r>
      <w:r w:rsidR="00956380" w:rsidRPr="00A94BEF">
        <w:rPr>
          <w:szCs w:val="22"/>
          <w:vertAlign w:val="superscript"/>
          <w:lang w:val="es-ES_tradnl"/>
        </w:rPr>
        <w:footnoteReference w:id="12"/>
      </w:r>
      <w:r w:rsidR="00956380" w:rsidRPr="00A94BEF">
        <w:rPr>
          <w:lang w:val="es-ES_tradnl"/>
        </w:rPr>
        <w:t xml:space="preserve">  </w:t>
      </w:r>
      <w:r>
        <w:rPr>
          <w:lang w:val="es-ES_tradnl"/>
        </w:rPr>
        <w:t>Por desgracia, no es posible reconocer los solicitantes que representan a las pymes mediante técnicas similares y los documentos de patente generalmente no contienen más información que permita determinar el tamaño de las empresas solicitantes.</w:t>
      </w:r>
    </w:p>
    <w:p w:rsidR="00734FBA" w:rsidRDefault="00724E60" w:rsidP="00734FBA">
      <w:pPr>
        <w:pStyle w:val="ONUME"/>
        <w:rPr>
          <w:lang w:val="es-ES_tradnl"/>
        </w:rPr>
      </w:pPr>
      <w:r>
        <w:rPr>
          <w:lang w:val="es-ES_tradnl"/>
        </w:rPr>
        <w:t xml:space="preserve">Nos basamos en el historial de la tabla de tasas del PCT para obtener las tasas mensuales en monedas locales por origen, de 2004 a 2012.  La tabla de tasas suministra información sobre el importe de la tasa de presentación internacional en francos suizos así como sobre los </w:t>
      </w:r>
      <w:r w:rsidR="00F8370A">
        <w:rPr>
          <w:lang w:val="es-ES_tradnl"/>
        </w:rPr>
        <w:t>importes</w:t>
      </w:r>
      <w:r>
        <w:rPr>
          <w:lang w:val="es-ES_tradnl"/>
        </w:rPr>
        <w:t xml:space="preserve"> equivalentes correspondientes a monedas libremente convertibles.  </w:t>
      </w:r>
      <w:r>
        <w:rPr>
          <w:lang w:val="es-ES_tradnl"/>
        </w:rPr>
        <w:lastRenderedPageBreak/>
        <w:t xml:space="preserve">Esas tasas pueden aplicarse directamente a jurisdicciones dotadas de monedas libremente convertibles.  En el caso de las demás jurisdicciones, se utiliza información sobre la política de tasas de las Oficinas receptoras disponible en la Guía del solicitante del PCT y los tipos de cambio mensuales </w:t>
      </w:r>
      <w:r w:rsidR="003C5152">
        <w:rPr>
          <w:lang w:val="es-ES_tradnl"/>
        </w:rPr>
        <w:t xml:space="preserve">de las </w:t>
      </w:r>
      <w:r w:rsidR="003C5152" w:rsidRPr="003C5152">
        <w:rPr>
          <w:lang w:val="es-ES_tradnl"/>
        </w:rPr>
        <w:t xml:space="preserve">Estadísticas Financieras Internacionales </w:t>
      </w:r>
      <w:r w:rsidR="003C5152">
        <w:rPr>
          <w:lang w:val="es-ES_tradnl"/>
        </w:rPr>
        <w:t>del Fondo Monetario Internacional para calcular las tasas equivalentes en moneda local.</w:t>
      </w:r>
      <w:r w:rsidR="00956380" w:rsidRPr="00A94BEF">
        <w:rPr>
          <w:szCs w:val="22"/>
          <w:vertAlign w:val="superscript"/>
          <w:lang w:val="es-ES_tradnl"/>
        </w:rPr>
        <w:footnoteReference w:id="13"/>
      </w:r>
    </w:p>
    <w:p w:rsidR="007D2117" w:rsidRDefault="00734FBA" w:rsidP="00734FBA">
      <w:pPr>
        <w:pStyle w:val="ONUME"/>
        <w:rPr>
          <w:lang w:val="es-ES_tradnl"/>
        </w:rPr>
      </w:pPr>
      <w:r w:rsidRPr="00734FBA">
        <w:rPr>
          <w:lang w:val="es-ES_tradnl"/>
        </w:rPr>
        <w:t xml:space="preserve">Este enfoque da por supuesto de manera implícita que los solicitantes de cualquier origen dado presentan </w:t>
      </w:r>
      <w:r w:rsidR="00073035">
        <w:rPr>
          <w:lang w:val="es-ES_tradnl"/>
        </w:rPr>
        <w:t>las</w:t>
      </w:r>
      <w:r w:rsidRPr="00734FBA">
        <w:rPr>
          <w:lang w:val="es-ES_tradnl"/>
        </w:rPr>
        <w:t xml:space="preserve"> solicitudes en su Oficina receptora nacional.  En la práctica, no siempre se cumple </w:t>
      </w:r>
      <w:r w:rsidR="00F459A6">
        <w:rPr>
          <w:lang w:val="es-ES_tradnl"/>
        </w:rPr>
        <w:t>esa hipótesis</w:t>
      </w:r>
      <w:r w:rsidRPr="00734FBA">
        <w:rPr>
          <w:lang w:val="es-ES_tradnl"/>
        </w:rPr>
        <w:t xml:space="preserve">, por dos motivos.  En primer lugar, los solicitantes de algunos países de origen europeos tienen la posibilidad de elegir entre la presentación de una solicitud PCT en su oficina nacional o en la Oficina Europea de Patentes.  En la medida en que el solicitante resida en un país miembro de la eurozona, esto no supondrá un problema:  se aplica la misma tasa en euros.  Sin embargo, los solicitantes que residan fuera de la eurozona, por ejemplo, en Suiza o en el Reino Unido, tendrán que pagar la tasa en su moneda local en la oficina nacional o en euros en la OEP.  En esos casos, </w:t>
      </w:r>
      <w:r w:rsidR="00F459A6">
        <w:rPr>
          <w:lang w:val="es-ES_tradnl"/>
        </w:rPr>
        <w:t>en el cálculo se utiliza</w:t>
      </w:r>
      <w:r w:rsidRPr="00734FBA">
        <w:rPr>
          <w:lang w:val="es-ES_tradnl"/>
        </w:rPr>
        <w:t xml:space="preserve"> la tasa en moneda local </w:t>
      </w:r>
      <w:r w:rsidR="00F459A6">
        <w:rPr>
          <w:lang w:val="es-ES_tradnl"/>
        </w:rPr>
        <w:t xml:space="preserve">pagada </w:t>
      </w:r>
      <w:r w:rsidRPr="00734FBA">
        <w:rPr>
          <w:lang w:val="es-ES_tradnl"/>
        </w:rPr>
        <w:t xml:space="preserve">en la oficina nacional, al señalar que el ajuste </w:t>
      </w:r>
      <w:r w:rsidR="00F459A6">
        <w:rPr>
          <w:lang w:val="es-ES_tradnl"/>
        </w:rPr>
        <w:t>periódico</w:t>
      </w:r>
      <w:r w:rsidRPr="00734FBA">
        <w:rPr>
          <w:lang w:val="es-ES_tradnl"/>
        </w:rPr>
        <w:t xml:space="preserve"> de importes equivalentes impide que existan grandes diferencias entre la tasa </w:t>
      </w:r>
      <w:r w:rsidR="00F459A6">
        <w:rPr>
          <w:lang w:val="es-ES_tradnl"/>
        </w:rPr>
        <w:t xml:space="preserve">abonada </w:t>
      </w:r>
      <w:r w:rsidRPr="00734FBA">
        <w:rPr>
          <w:lang w:val="es-ES_tradnl"/>
        </w:rPr>
        <w:t>en moneda local y el equivalente en moneda local de la t</w:t>
      </w:r>
      <w:r w:rsidR="007D2117">
        <w:rPr>
          <w:lang w:val="es-ES_tradnl"/>
        </w:rPr>
        <w:t>asa en euros.</w:t>
      </w:r>
    </w:p>
    <w:p w:rsidR="00734FBA" w:rsidRPr="007D2117" w:rsidRDefault="00734FBA" w:rsidP="00734FBA">
      <w:pPr>
        <w:pStyle w:val="ONUME"/>
        <w:rPr>
          <w:lang w:val="es-ES_tradnl"/>
        </w:rPr>
      </w:pPr>
      <w:r w:rsidRPr="007D2117">
        <w:rPr>
          <w:lang w:val="es-ES_tradnl"/>
        </w:rPr>
        <w:t xml:space="preserve">En segundo lugar, como se ha señalado, </w:t>
      </w:r>
      <w:r w:rsidR="007D2117" w:rsidRPr="007D2117">
        <w:rPr>
          <w:lang w:val="es-ES_tradnl"/>
        </w:rPr>
        <w:t xml:space="preserve">calculamos el </w:t>
      </w:r>
      <w:r w:rsidR="00073035">
        <w:rPr>
          <w:lang w:val="es-ES_tradnl"/>
        </w:rPr>
        <w:t>origen de l</w:t>
      </w:r>
      <w:r w:rsidR="007D2117" w:rsidRPr="007D2117">
        <w:rPr>
          <w:lang w:val="es-ES_tradnl"/>
        </w:rPr>
        <w:t xml:space="preserve">a familia de patentes en función del origen del solicitante nombrado en primer lugar.  Sin embargo, si la familia tiene un cosolicitante de distinto origen, la solicitud podrá presentarse en una oficina distinta de la oficina nacional del solicitante nombrado en primer lugar.  De hecho, ese será siempre el caso cuando el solicitante nombrado en primer lugar no sea nacional o residente de un país miembro del PCT.   En tales casos </w:t>
      </w:r>
      <w:r w:rsidR="00F459A6">
        <w:rPr>
          <w:lang w:val="es-ES_tradnl"/>
        </w:rPr>
        <w:t>usamos</w:t>
      </w:r>
      <w:r w:rsidR="007D2117" w:rsidRPr="007D2117">
        <w:rPr>
          <w:lang w:val="es-ES_tradnl"/>
        </w:rPr>
        <w:t xml:space="preserve">, por las mismas razones, la tasa en moneda local </w:t>
      </w:r>
      <w:r w:rsidR="007E43C4">
        <w:rPr>
          <w:lang w:val="es-ES_tradnl"/>
        </w:rPr>
        <w:t xml:space="preserve">abonada </w:t>
      </w:r>
      <w:r w:rsidR="007D2117" w:rsidRPr="007D2117">
        <w:rPr>
          <w:lang w:val="es-ES_tradnl"/>
        </w:rPr>
        <w:t>en la oficina nacional o, para los países que no son miembros del PCT, el equivalente en moneda local de la tasa en francos suizos.  En cualquier caso, el número de solicitudes que tienen más de un solicitante es relativamente reducido.</w:t>
      </w:r>
    </w:p>
    <w:p w:rsidR="007D2117" w:rsidRDefault="007D2117" w:rsidP="00956380">
      <w:pPr>
        <w:numPr>
          <w:ilvl w:val="0"/>
          <w:numId w:val="5"/>
        </w:numPr>
        <w:spacing w:after="220"/>
        <w:rPr>
          <w:lang w:val="es-ES_tradnl"/>
        </w:rPr>
      </w:pPr>
      <w:r>
        <w:rPr>
          <w:lang w:val="es-ES_tradnl"/>
        </w:rPr>
        <w:t xml:space="preserve">Procedemos a la deflación de las tasas nominales utilizando los datos mensuales del </w:t>
      </w:r>
      <w:r w:rsidR="00686F52">
        <w:rPr>
          <w:lang w:val="es-ES_tradnl"/>
        </w:rPr>
        <w:t>índice de precios al consumidor</w:t>
      </w:r>
      <w:r>
        <w:rPr>
          <w:lang w:val="es-ES_tradnl"/>
        </w:rPr>
        <w:t xml:space="preserve"> </w:t>
      </w:r>
      <w:r w:rsidR="00000AA5">
        <w:rPr>
          <w:lang w:val="es-ES_tradnl"/>
        </w:rPr>
        <w:t xml:space="preserve">(IPC) </w:t>
      </w:r>
      <w:r>
        <w:rPr>
          <w:lang w:val="es-ES_tradnl"/>
        </w:rPr>
        <w:t xml:space="preserve">por origen </w:t>
      </w:r>
      <w:r w:rsidR="00D830BB">
        <w:rPr>
          <w:lang w:val="es-ES_tradnl"/>
        </w:rPr>
        <w:t>a partir de</w:t>
      </w:r>
      <w:r>
        <w:rPr>
          <w:lang w:val="es-ES_tradnl"/>
        </w:rPr>
        <w:t xml:space="preserve"> las Estadísticas Financieras Internacionales del FMI.  Cabe señalar que con esta operación se introduce una variación (menor) en las tasas reales que han de abonar los solicitantes de países miembros de la eurozona.  Por desgracia, </w:t>
      </w:r>
      <w:r w:rsidR="003641B6">
        <w:rPr>
          <w:lang w:val="es-ES_tradnl"/>
        </w:rPr>
        <w:t xml:space="preserve">no se dispone de datos sobre el </w:t>
      </w:r>
      <w:r w:rsidR="00000AA5">
        <w:rPr>
          <w:lang w:val="es-ES_tradnl"/>
        </w:rPr>
        <w:t xml:space="preserve">IPC </w:t>
      </w:r>
      <w:r w:rsidR="003641B6">
        <w:rPr>
          <w:lang w:val="es-ES_tradnl"/>
        </w:rPr>
        <w:t xml:space="preserve">en un número considerable de países de origen, aunque </w:t>
      </w:r>
      <w:r w:rsidR="007E43C4">
        <w:rPr>
          <w:lang w:val="es-ES_tradnl"/>
        </w:rPr>
        <w:t xml:space="preserve">no resulta apreciable </w:t>
      </w:r>
      <w:r w:rsidR="003641B6">
        <w:rPr>
          <w:lang w:val="es-ES_tradnl"/>
        </w:rPr>
        <w:t>la consiguiente reducci</w:t>
      </w:r>
      <w:r w:rsidR="00077504">
        <w:rPr>
          <w:lang w:val="es-ES_tradnl"/>
        </w:rPr>
        <w:t>ón d</w:t>
      </w:r>
      <w:r w:rsidR="003641B6">
        <w:rPr>
          <w:lang w:val="es-ES_tradnl"/>
        </w:rPr>
        <w:t>el tamaño de la muestra</w:t>
      </w:r>
      <w:r w:rsidR="007E43C4">
        <w:rPr>
          <w:lang w:val="es-ES_tradnl"/>
        </w:rPr>
        <w:t>,</w:t>
      </w:r>
      <w:r w:rsidR="003641B6">
        <w:rPr>
          <w:lang w:val="es-ES_tradnl"/>
        </w:rPr>
        <w:t xml:space="preserve"> ya que se dispone de datos sobre dicho índice respecto de los países en que se presenta el mayor número de solicitudes. </w:t>
      </w:r>
    </w:p>
    <w:p w:rsidR="003641B6" w:rsidRPr="003641B6" w:rsidRDefault="003641B6" w:rsidP="003641B6">
      <w:pPr>
        <w:numPr>
          <w:ilvl w:val="0"/>
          <w:numId w:val="5"/>
        </w:numPr>
        <w:spacing w:after="220"/>
        <w:rPr>
          <w:lang w:val="es-ES_tradnl"/>
        </w:rPr>
      </w:pPr>
      <w:r w:rsidRPr="003641B6">
        <w:rPr>
          <w:lang w:val="es-ES_tradnl"/>
        </w:rPr>
        <w:t xml:space="preserve">Por último, </w:t>
      </w:r>
      <w:r>
        <w:rPr>
          <w:lang w:val="es-ES_tradnl"/>
        </w:rPr>
        <w:t xml:space="preserve">se extraen los datos mensuales sobre el índice de desempleo de la base de datos </w:t>
      </w:r>
      <w:r w:rsidRPr="003641B6">
        <w:rPr>
          <w:i/>
          <w:lang w:val="es-ES_tradnl"/>
        </w:rPr>
        <w:t>LABORSTA</w:t>
      </w:r>
      <w:r>
        <w:rPr>
          <w:lang w:val="es-ES_tradnl"/>
        </w:rPr>
        <w:t xml:space="preserve"> de la Organización Internacional del Trabajo (OIT).  </w:t>
      </w:r>
      <w:r w:rsidR="00000AA5">
        <w:rPr>
          <w:lang w:val="es-ES_tradnl"/>
        </w:rPr>
        <w:t>Al igual que en los datos sobre el IPC, no se dispone de datos sobre el desempleo en el caso de numerosos países, aunque</w:t>
      </w:r>
      <w:r w:rsidR="00FC5A4F">
        <w:rPr>
          <w:lang w:val="es-ES_tradnl"/>
        </w:rPr>
        <w:t xml:space="preserve"> en este caso también</w:t>
      </w:r>
      <w:r w:rsidR="00000AA5">
        <w:rPr>
          <w:lang w:val="es-ES_tradnl"/>
        </w:rPr>
        <w:t xml:space="preserve"> es </w:t>
      </w:r>
      <w:r w:rsidR="00D771AF">
        <w:rPr>
          <w:lang w:val="es-ES_tradnl"/>
        </w:rPr>
        <w:t>escasa</w:t>
      </w:r>
      <w:r w:rsidR="00000AA5">
        <w:rPr>
          <w:lang w:val="es-ES_tradnl"/>
        </w:rPr>
        <w:t xml:space="preserve"> la </w:t>
      </w:r>
      <w:r w:rsidR="00D771AF">
        <w:rPr>
          <w:lang w:val="es-ES_tradnl"/>
        </w:rPr>
        <w:t xml:space="preserve">consiguiente </w:t>
      </w:r>
      <w:r w:rsidR="00000AA5">
        <w:rPr>
          <w:lang w:val="es-ES_tradnl"/>
        </w:rPr>
        <w:t xml:space="preserve">reducción </w:t>
      </w:r>
      <w:r w:rsidR="00077504">
        <w:rPr>
          <w:lang w:val="es-ES_tradnl"/>
        </w:rPr>
        <w:t>d</w:t>
      </w:r>
      <w:r w:rsidR="00000AA5">
        <w:rPr>
          <w:lang w:val="es-ES_tradnl"/>
        </w:rPr>
        <w:t>el tamaño de la muestra.</w:t>
      </w:r>
    </w:p>
    <w:p w:rsidR="00956380" w:rsidRPr="00A94BEF" w:rsidRDefault="00956380" w:rsidP="00956380">
      <w:pPr>
        <w:keepNext/>
        <w:spacing w:before="240" w:after="60"/>
        <w:outlineLvl w:val="0"/>
        <w:rPr>
          <w:b/>
          <w:bCs/>
          <w:caps/>
          <w:kern w:val="32"/>
          <w:szCs w:val="32"/>
          <w:lang w:val="es-ES_tradnl"/>
        </w:rPr>
      </w:pPr>
      <w:r w:rsidRPr="00A94BEF">
        <w:rPr>
          <w:b/>
          <w:bCs/>
          <w:caps/>
          <w:kern w:val="32"/>
          <w:szCs w:val="32"/>
          <w:lang w:val="es-ES_tradnl"/>
        </w:rPr>
        <w:t>Result</w:t>
      </w:r>
      <w:r w:rsidR="00000AA5">
        <w:rPr>
          <w:b/>
          <w:bCs/>
          <w:caps/>
          <w:kern w:val="32"/>
          <w:szCs w:val="32"/>
          <w:lang w:val="es-ES_tradnl"/>
        </w:rPr>
        <w:t>ADO</w:t>
      </w:r>
      <w:r w:rsidRPr="00A94BEF">
        <w:rPr>
          <w:b/>
          <w:bCs/>
          <w:caps/>
          <w:kern w:val="32"/>
          <w:szCs w:val="32"/>
          <w:lang w:val="es-ES_tradnl"/>
        </w:rPr>
        <w:t>s</w:t>
      </w:r>
    </w:p>
    <w:p w:rsidR="00EC167A" w:rsidRDefault="007D5538" w:rsidP="00EC167A">
      <w:pPr>
        <w:numPr>
          <w:ilvl w:val="0"/>
          <w:numId w:val="5"/>
        </w:numPr>
        <w:spacing w:after="220"/>
        <w:rPr>
          <w:lang w:val="es-ES_tradnl"/>
        </w:rPr>
      </w:pPr>
      <w:r>
        <w:rPr>
          <w:lang w:val="es-ES_tradnl"/>
        </w:rPr>
        <w:t>Calculamos el modelo de elección discreta descrito en la Sección 2 utilizando el modelo probit de máxima probabilidad.  En el Cuadro 1 del Anexo se exponen los resultados del cálculo principal</w:t>
      </w:r>
      <w:r w:rsidR="00956380" w:rsidRPr="007D5538">
        <w:rPr>
          <w:lang w:val="es-ES_tradnl"/>
        </w:rPr>
        <w:t>.</w:t>
      </w:r>
      <w:r w:rsidR="00956380" w:rsidRPr="00A94BEF">
        <w:rPr>
          <w:szCs w:val="22"/>
          <w:vertAlign w:val="superscript"/>
          <w:lang w:val="es-ES_tradnl"/>
        </w:rPr>
        <w:footnoteReference w:id="14"/>
      </w:r>
      <w:r w:rsidR="00956380" w:rsidRPr="007D5538">
        <w:rPr>
          <w:lang w:val="es-ES_tradnl"/>
        </w:rPr>
        <w:t xml:space="preserve">  </w:t>
      </w:r>
      <w:r>
        <w:rPr>
          <w:lang w:val="es-ES_tradnl"/>
        </w:rPr>
        <w:t xml:space="preserve">En la columna 1), se incluyen todas las variables tipo excepto el índice de desempleo y el tamaño de la familia de patentes.  El cálculo se basa en un total de </w:t>
      </w:r>
      <w:r w:rsidRPr="007D5538">
        <w:rPr>
          <w:lang w:val="es-ES_tradnl"/>
        </w:rPr>
        <w:t>1.</w:t>
      </w:r>
      <w:r w:rsidR="00A07838">
        <w:rPr>
          <w:lang w:val="es-ES_tradnl"/>
        </w:rPr>
        <w:t>375.</w:t>
      </w:r>
      <w:r w:rsidR="00956380" w:rsidRPr="007D5538">
        <w:rPr>
          <w:lang w:val="es-ES_tradnl"/>
        </w:rPr>
        <w:t xml:space="preserve">911 </w:t>
      </w:r>
      <w:r w:rsidRPr="007D5538">
        <w:rPr>
          <w:lang w:val="es-ES_tradnl"/>
        </w:rPr>
        <w:lastRenderedPageBreak/>
        <w:t>familias de patentes</w:t>
      </w:r>
      <w:r w:rsidR="00956380" w:rsidRPr="007D5538">
        <w:rPr>
          <w:lang w:val="es-ES_tradnl"/>
        </w:rPr>
        <w:t xml:space="preserve">.  </w:t>
      </w:r>
      <w:r>
        <w:rPr>
          <w:lang w:val="es-ES_tradnl"/>
        </w:rPr>
        <w:t xml:space="preserve">Los resultados indican un coeficiente negativo </w:t>
      </w:r>
      <w:r w:rsidR="00346235">
        <w:rPr>
          <w:lang w:val="es-ES_tradnl"/>
        </w:rPr>
        <w:t>y</w:t>
      </w:r>
      <w:r>
        <w:rPr>
          <w:lang w:val="es-ES_tradnl"/>
        </w:rPr>
        <w:t xml:space="preserve"> </w:t>
      </w:r>
      <w:r w:rsidR="00346235">
        <w:rPr>
          <w:lang w:val="es-ES_tradnl"/>
        </w:rPr>
        <w:t>estadísticamente significativo</w:t>
      </w:r>
      <w:r>
        <w:rPr>
          <w:lang w:val="es-ES_tradnl"/>
        </w:rPr>
        <w:t xml:space="preserve"> en </w:t>
      </w:r>
      <w:r w:rsidR="0035088A">
        <w:rPr>
          <w:lang w:val="es-ES_tradnl"/>
        </w:rPr>
        <w:t xml:space="preserve">relación con la variable de </w:t>
      </w:r>
      <w:r>
        <w:rPr>
          <w:lang w:val="es-ES_tradnl"/>
        </w:rPr>
        <w:t>ta</w:t>
      </w:r>
      <w:r w:rsidR="00346235">
        <w:rPr>
          <w:lang w:val="es-ES_tradnl"/>
        </w:rPr>
        <w:t>sas y un coeficiente positivo y</w:t>
      </w:r>
      <w:r>
        <w:rPr>
          <w:lang w:val="es-ES_tradnl"/>
        </w:rPr>
        <w:t xml:space="preserve"> </w:t>
      </w:r>
      <w:r w:rsidR="00346235">
        <w:rPr>
          <w:lang w:val="es-ES_tradnl"/>
        </w:rPr>
        <w:t>estadísticamente significativo</w:t>
      </w:r>
      <w:r>
        <w:rPr>
          <w:lang w:val="es-ES_tradnl"/>
        </w:rPr>
        <w:t xml:space="preserve"> en relación con la variable ficticia de miembros del PCT.  Además, las variables ficticias correspondientes a los solicitantes de universidades e instituciones públicas de investigación </w:t>
      </w:r>
      <w:r w:rsidR="00346235">
        <w:rPr>
          <w:lang w:val="es-ES_tradnl"/>
        </w:rPr>
        <w:t>indican un coeficiente positivo y</w:t>
      </w:r>
      <w:r>
        <w:rPr>
          <w:lang w:val="es-ES_tradnl"/>
        </w:rPr>
        <w:t xml:space="preserve"> </w:t>
      </w:r>
      <w:r w:rsidR="00346235">
        <w:rPr>
          <w:lang w:val="es-ES_tradnl"/>
        </w:rPr>
        <w:t>estadísticamente significativo</w:t>
      </w:r>
      <w:r>
        <w:rPr>
          <w:lang w:val="es-ES_tradnl"/>
        </w:rPr>
        <w:t>, con un valor de coeficiente mucho más alto en el caso de los solicitantes de universidades.</w:t>
      </w:r>
      <w:r w:rsidR="00956380" w:rsidRPr="00A94BEF">
        <w:rPr>
          <w:szCs w:val="22"/>
          <w:vertAlign w:val="superscript"/>
          <w:lang w:val="es-ES_tradnl"/>
        </w:rPr>
        <w:footnoteReference w:id="15"/>
      </w:r>
    </w:p>
    <w:p w:rsidR="001B400D" w:rsidRDefault="00EC167A" w:rsidP="007D5538">
      <w:pPr>
        <w:numPr>
          <w:ilvl w:val="0"/>
          <w:numId w:val="5"/>
        </w:numPr>
        <w:spacing w:after="220"/>
        <w:rPr>
          <w:lang w:val="es-ES_tradnl"/>
        </w:rPr>
      </w:pPr>
      <w:r w:rsidRPr="00EC167A">
        <w:rPr>
          <w:lang w:val="es-ES_tradnl"/>
        </w:rPr>
        <w:t>Procedemos a incluir el índice de desempleo en la columna 2) del Cuadro 1.  Debido a los datos que faltan respecto de esa variable, se reduce en cierta medida el tamaño de la muestra pero no cambian los cálculos del coeficiente respecto de la mayoría de las variables</w:t>
      </w:r>
      <w:r w:rsidR="00956380" w:rsidRPr="00EC167A">
        <w:rPr>
          <w:lang w:val="es-ES_tradnl"/>
        </w:rPr>
        <w:t>.</w:t>
      </w:r>
      <w:r w:rsidR="00956380" w:rsidRPr="00A94BEF">
        <w:rPr>
          <w:szCs w:val="22"/>
          <w:vertAlign w:val="superscript"/>
          <w:lang w:val="es-ES_tradnl"/>
        </w:rPr>
        <w:footnoteReference w:id="16"/>
      </w:r>
      <w:r>
        <w:rPr>
          <w:lang w:val="es-ES_tradnl"/>
        </w:rPr>
        <w:t xml:space="preserve">   </w:t>
      </w:r>
      <w:r w:rsidRPr="00EC167A">
        <w:rPr>
          <w:lang w:val="es-ES_tradnl"/>
        </w:rPr>
        <w:t>Una excepción importante es el coeficiente de</w:t>
      </w:r>
      <w:r w:rsidR="007978A7">
        <w:rPr>
          <w:lang w:val="es-ES_tradnl"/>
        </w:rPr>
        <w:t xml:space="preserve"> la</w:t>
      </w:r>
      <w:r w:rsidRPr="00EC167A">
        <w:rPr>
          <w:lang w:val="es-ES_tradnl"/>
        </w:rPr>
        <w:t xml:space="preserve"> tasa, que disminuye de </w:t>
      </w:r>
      <w:r w:rsidR="00A07838">
        <w:rPr>
          <w:lang w:val="es-ES_tradnl"/>
        </w:rPr>
        <w:t>-0,</w:t>
      </w:r>
      <w:r w:rsidR="00956380" w:rsidRPr="00EC167A">
        <w:rPr>
          <w:lang w:val="es-ES_tradnl"/>
        </w:rPr>
        <w:t xml:space="preserve">121 </w:t>
      </w:r>
      <w:r w:rsidRPr="00EC167A">
        <w:rPr>
          <w:lang w:val="es-ES_tradnl"/>
        </w:rPr>
        <w:t xml:space="preserve">a </w:t>
      </w:r>
      <w:r w:rsidR="00A07838">
        <w:rPr>
          <w:lang w:val="es-ES_tradnl"/>
        </w:rPr>
        <w:t>-0,</w:t>
      </w:r>
      <w:r w:rsidR="00956380" w:rsidRPr="00EC167A">
        <w:rPr>
          <w:lang w:val="es-ES_tradnl"/>
        </w:rPr>
        <w:t>077,</w:t>
      </w:r>
      <w:r w:rsidRPr="00EC167A">
        <w:rPr>
          <w:lang w:val="es-ES_tradnl"/>
        </w:rPr>
        <w:t xml:space="preserve"> aunque sigue </w:t>
      </w:r>
      <w:r w:rsidRPr="00447AB6">
        <w:rPr>
          <w:lang w:val="es-ES_tradnl"/>
        </w:rPr>
        <w:t xml:space="preserve">siendo </w:t>
      </w:r>
      <w:r w:rsidR="00346235" w:rsidRPr="00447AB6">
        <w:rPr>
          <w:lang w:val="es-ES_tradnl"/>
        </w:rPr>
        <w:t>estadísticamente significativo</w:t>
      </w:r>
      <w:r w:rsidRPr="00447AB6">
        <w:rPr>
          <w:lang w:val="es-ES_tradnl"/>
        </w:rPr>
        <w:t>.</w:t>
      </w:r>
      <w:r>
        <w:rPr>
          <w:lang w:val="es-ES_tradnl"/>
        </w:rPr>
        <w:t xml:space="preserve">  La disminución del valor del coeficiente se debe a la correlación relativamente fuerte entre el índice de desempleo y la tasa del PCT en moneda local, que refleja la influencia simultánea </w:t>
      </w:r>
      <w:r w:rsidR="001054A9">
        <w:rPr>
          <w:lang w:val="es-ES_tradnl"/>
        </w:rPr>
        <w:t>de los movimientos del tipo de cambio</w:t>
      </w:r>
      <w:r w:rsidR="00956380" w:rsidRPr="001054A9">
        <w:rPr>
          <w:lang w:val="es-ES_tradnl"/>
        </w:rPr>
        <w:t>.</w:t>
      </w:r>
      <w:r w:rsidR="00956380" w:rsidRPr="00A94BEF">
        <w:rPr>
          <w:szCs w:val="22"/>
          <w:vertAlign w:val="superscript"/>
          <w:lang w:val="es-ES_tradnl"/>
        </w:rPr>
        <w:footnoteReference w:id="17"/>
      </w:r>
      <w:r w:rsidR="001054A9">
        <w:rPr>
          <w:lang w:val="es-ES_tradnl"/>
        </w:rPr>
        <w:t xml:space="preserve">  El coeficiente del índice de desempl</w:t>
      </w:r>
      <w:r w:rsidR="00346235">
        <w:rPr>
          <w:lang w:val="es-ES_tradnl"/>
        </w:rPr>
        <w:t>eo en sí es negativo y</w:t>
      </w:r>
      <w:r w:rsidR="001054A9">
        <w:rPr>
          <w:lang w:val="es-ES_tradnl"/>
        </w:rPr>
        <w:t xml:space="preserve"> </w:t>
      </w:r>
      <w:r w:rsidR="00346235">
        <w:rPr>
          <w:lang w:val="es-ES_tradnl"/>
        </w:rPr>
        <w:t>estadísticamente significativo</w:t>
      </w:r>
      <w:r w:rsidR="001054A9">
        <w:rPr>
          <w:lang w:val="es-ES_tradnl"/>
        </w:rPr>
        <w:t>,</w:t>
      </w:r>
      <w:r w:rsidR="00073035">
        <w:rPr>
          <w:lang w:val="es-ES_tradnl"/>
        </w:rPr>
        <w:t xml:space="preserve"> lo que</w:t>
      </w:r>
      <w:r w:rsidR="001054A9">
        <w:rPr>
          <w:lang w:val="es-ES_tradnl"/>
        </w:rPr>
        <w:t xml:space="preserve"> da a entender que una economía de bajo rendimiento</w:t>
      </w:r>
      <w:r w:rsidR="00C855F6">
        <w:rPr>
          <w:lang w:val="es-ES_tradnl"/>
        </w:rPr>
        <w:t xml:space="preserve"> atenúa</w:t>
      </w:r>
      <w:r w:rsidR="001054A9">
        <w:rPr>
          <w:lang w:val="es-ES_tradnl"/>
        </w:rPr>
        <w:t xml:space="preserve"> la posibilidad de que los solicitantes opten por la vía del PCT</w:t>
      </w:r>
      <w:r w:rsidR="00956380" w:rsidRPr="001054A9">
        <w:rPr>
          <w:lang w:val="es-ES_tradnl"/>
        </w:rPr>
        <w:t>.</w:t>
      </w:r>
    </w:p>
    <w:p w:rsidR="00C855F6" w:rsidRPr="001B400D" w:rsidRDefault="00C855F6" w:rsidP="007D5538">
      <w:pPr>
        <w:numPr>
          <w:ilvl w:val="0"/>
          <w:numId w:val="5"/>
        </w:numPr>
        <w:spacing w:after="220"/>
        <w:rPr>
          <w:lang w:val="es-ES_tradnl"/>
        </w:rPr>
      </w:pPr>
      <w:r w:rsidRPr="001B400D">
        <w:rPr>
          <w:lang w:val="es-ES_tradnl"/>
        </w:rPr>
        <w:t>En la columna 3) del Cuadro 1, introducimos en el cálculo el tamaño de la familia de patentes.  Para ello es necesario dejar de lado 211.367 familias que optaron por la vía del PCT, pero que no vieron posteriormente la entrada en la fase nacional, ya que no observamos el tamaño de la familia “previsto” en esos casos</w:t>
      </w:r>
      <w:r w:rsidR="00956380" w:rsidRPr="001B400D">
        <w:rPr>
          <w:lang w:val="es-ES_tradnl"/>
        </w:rPr>
        <w:t>.</w:t>
      </w:r>
      <w:r w:rsidR="00956380" w:rsidRPr="00A94BEF">
        <w:rPr>
          <w:szCs w:val="22"/>
          <w:vertAlign w:val="superscript"/>
          <w:lang w:val="es-ES_tradnl"/>
        </w:rPr>
        <w:footnoteReference w:id="18"/>
      </w:r>
      <w:r w:rsidR="00956380" w:rsidRPr="001B400D">
        <w:rPr>
          <w:lang w:val="es-ES_tradnl"/>
        </w:rPr>
        <w:t xml:space="preserve">  </w:t>
      </w:r>
      <w:r w:rsidRPr="001B400D">
        <w:rPr>
          <w:lang w:val="es-ES_tradnl"/>
        </w:rPr>
        <w:t>Introducimos el tamaño de la familia al incluir variables ficticias para diferentes tamaños, comenzando con los equivalentes en 2 oficinas, 3 oficinas, etc. y terminando con una variable ficticia para familias con equivalentes en 6 o más oficinas.  Este enfoque de variable ficticia permite que el tamaño de la familia tenga una incidencia funcional flexible.  Cabe observar que en el número de oficinas figura la oficina de primera presentación.</w:t>
      </w:r>
    </w:p>
    <w:p w:rsidR="00956380" w:rsidRPr="00A07838" w:rsidRDefault="00A07838" w:rsidP="00A07838">
      <w:pPr>
        <w:numPr>
          <w:ilvl w:val="0"/>
          <w:numId w:val="5"/>
        </w:numPr>
        <w:spacing w:after="220"/>
        <w:rPr>
          <w:lang w:val="es-ES_tradnl"/>
        </w:rPr>
      </w:pPr>
      <w:r>
        <w:rPr>
          <w:lang w:val="es-ES_tradnl"/>
        </w:rPr>
        <w:t>Los resultados del cálculo dan a entender que es más probable que se opte por la vía del PCT en las familias más grandes.  En concreto, los cálculos del coeficiente relativo a variables ficticias aumentan de -0,654 para las familias con dos oficinas únicamente</w:t>
      </w:r>
      <w:r w:rsidR="00956380" w:rsidRPr="00A07838">
        <w:rPr>
          <w:lang w:val="es-ES_tradnl"/>
        </w:rPr>
        <w:t xml:space="preserve"> </w:t>
      </w:r>
      <w:r>
        <w:rPr>
          <w:lang w:val="es-ES_tradnl"/>
        </w:rPr>
        <w:t>a 0,</w:t>
      </w:r>
      <w:r w:rsidR="00956380" w:rsidRPr="00A07838">
        <w:rPr>
          <w:lang w:val="es-ES_tradnl"/>
        </w:rPr>
        <w:t xml:space="preserve">551 </w:t>
      </w:r>
      <w:r>
        <w:rPr>
          <w:lang w:val="es-ES_tradnl"/>
        </w:rPr>
        <w:t>para las familias con 6 o más oficinas</w:t>
      </w:r>
      <w:r w:rsidR="00956380" w:rsidRPr="00A07838">
        <w:rPr>
          <w:lang w:val="es-ES_tradnl"/>
        </w:rPr>
        <w:t xml:space="preserve">.  </w:t>
      </w:r>
    </w:p>
    <w:p w:rsidR="002D39A0" w:rsidRDefault="00D4788A" w:rsidP="002D39A0">
      <w:pPr>
        <w:numPr>
          <w:ilvl w:val="0"/>
          <w:numId w:val="5"/>
        </w:numPr>
        <w:spacing w:after="220"/>
        <w:rPr>
          <w:lang w:val="es-ES_tradnl"/>
        </w:rPr>
      </w:pPr>
      <w:r>
        <w:rPr>
          <w:lang w:val="es-ES_tradnl"/>
        </w:rPr>
        <w:t xml:space="preserve">En las dos </w:t>
      </w:r>
      <w:r w:rsidR="001B400D">
        <w:rPr>
          <w:lang w:val="es-ES_tradnl"/>
        </w:rPr>
        <w:t xml:space="preserve">últimas </w:t>
      </w:r>
      <w:r>
        <w:rPr>
          <w:lang w:val="es-ES_tradnl"/>
        </w:rPr>
        <w:t xml:space="preserve">columnas del Cuadro 1, </w:t>
      </w:r>
      <w:r w:rsidR="00040B00">
        <w:rPr>
          <w:lang w:val="es-ES_tradnl"/>
        </w:rPr>
        <w:t>se estudia en qué medida depende el efecto de la variable de la tasa del tamaño de la familia y del tipo de solicitante.  En concreto, en la columna 4), se procede a la interac</w:t>
      </w:r>
      <w:r w:rsidR="001B400D">
        <w:rPr>
          <w:lang w:val="es-ES_tradnl"/>
        </w:rPr>
        <w:t>ción de la variable de la tasa con</w:t>
      </w:r>
      <w:r w:rsidR="00040B00">
        <w:rPr>
          <w:lang w:val="es-ES_tradnl"/>
        </w:rPr>
        <w:t xml:space="preserve"> las 5 variables ficticias del tamaño, lo que permite obtener distintos coeficientes de la variable de la tasa con arreglo al tamaño de la familia correspondiente.  Los resultados indican en primer lugar un efecto de aumento de la tasa, que aparece de forma más pronunciada en las familias que incluyen 4 oficinas.  A continuación, el efecto de la tasa desciende y el coeficiente deja de ser </w:t>
      </w:r>
      <w:r w:rsidR="00346235">
        <w:rPr>
          <w:lang w:val="es-ES_tradnl"/>
        </w:rPr>
        <w:t>estadísticamente significativo</w:t>
      </w:r>
      <w:r w:rsidR="00040B00">
        <w:rPr>
          <w:lang w:val="es-ES_tradnl"/>
        </w:rPr>
        <w:t xml:space="preserve"> para las familias con equivalentes en 6 o más oficinas.  Una manera de interpretar este resultado es que las vías de París y del PCT se sustituyen entre sí especialmente cuando los solicitantes solicitan protección por patente en exactamente tres oficinas extranjeras, en cuyo caso la tasa de presentación influye en mayor medida en la decisión de los solicitantes.</w:t>
      </w:r>
    </w:p>
    <w:p w:rsidR="00040B00" w:rsidRPr="002D39A0" w:rsidRDefault="00040B00" w:rsidP="002D39A0">
      <w:pPr>
        <w:numPr>
          <w:ilvl w:val="0"/>
          <w:numId w:val="5"/>
        </w:numPr>
        <w:spacing w:after="220"/>
        <w:rPr>
          <w:lang w:val="es-ES_tradnl"/>
        </w:rPr>
      </w:pPr>
      <w:r w:rsidRPr="002D39A0">
        <w:rPr>
          <w:lang w:val="es-ES_tradnl"/>
        </w:rPr>
        <w:lastRenderedPageBreak/>
        <w:t>Por último, en la columna 5) del Cuadro 1, se procede a la interacción de la variable de la tasa y la variable ficticia en el caso de los solicitantes de universidades e instituciones públicas de investigación, así como la variable ficticia correspondiente a los demás solicitantes.  Los resultados indican un efecto mucho mayor de la tasa en el caso de los solicitantes de instituciones públicas de investigación y especialmente de universidades.  Una posible razón de este resultado es que esos tipos de solicitantes afrontan limitaciones presupuestarias más estrictas al gestionar sus carteras de patentes, por lo que el nivel de la tasa de presentación internacional del PCT ejerce una influencia mayor en las decisiones relativas a la presentación.</w:t>
      </w:r>
    </w:p>
    <w:p w:rsidR="006D640F" w:rsidRPr="00E72FB2" w:rsidRDefault="00C16272" w:rsidP="006D640F">
      <w:pPr>
        <w:numPr>
          <w:ilvl w:val="0"/>
          <w:numId w:val="5"/>
        </w:numPr>
        <w:spacing w:after="220"/>
        <w:rPr>
          <w:lang w:val="es-ES_tradnl"/>
        </w:rPr>
      </w:pPr>
      <w:r w:rsidRPr="00E72FB2">
        <w:rPr>
          <w:lang w:val="es-ES_tradnl"/>
        </w:rPr>
        <w:t>¿Hasta dónde llegan los efectos calculados?  En el Cuadro 2 del Anexo se exponen los efectos marginales asociados a las estimaciones del coeficiente probit obtenidas en la columna</w:t>
      </w:r>
      <w:r w:rsidR="007978A7">
        <w:rPr>
          <w:lang w:val="es-ES_tradnl"/>
        </w:rPr>
        <w:t> </w:t>
      </w:r>
      <w:r w:rsidRPr="00E72FB2">
        <w:rPr>
          <w:lang w:val="es-ES_tradnl"/>
        </w:rPr>
        <w:t>3) del Cuadro 1</w:t>
      </w:r>
      <w:r w:rsidR="00956380" w:rsidRPr="00E72FB2">
        <w:rPr>
          <w:lang w:val="es-ES_tradnl"/>
        </w:rPr>
        <w:t>.</w:t>
      </w:r>
      <w:r w:rsidR="00956380" w:rsidRPr="00A94BEF">
        <w:rPr>
          <w:szCs w:val="22"/>
          <w:vertAlign w:val="superscript"/>
          <w:lang w:val="es-ES_tradnl"/>
        </w:rPr>
        <w:footnoteReference w:id="19"/>
      </w:r>
      <w:r w:rsidR="00956380" w:rsidRPr="00E72FB2">
        <w:rPr>
          <w:lang w:val="es-ES_tradnl"/>
        </w:rPr>
        <w:t xml:space="preserve">  </w:t>
      </w:r>
      <w:r w:rsidRPr="00E72FB2">
        <w:rPr>
          <w:lang w:val="es-ES_tradnl"/>
        </w:rPr>
        <w:t>Cabe interpretar esos efectos marginales en tanto que probabilidades de porcentaje de elegir la vía del PCT.  Por lo tanto, el efecto marginal en la variable de la tasa da a entender que una disminución del 10% en la tasa de presentación internacional implicará una disminución del 0,138% en la probabilidad de que se elija la vía del PCT en el caso de una familia de patentes multijurisdiccional</w:t>
      </w:r>
      <w:r w:rsidR="006E1412" w:rsidRPr="00E72FB2">
        <w:rPr>
          <w:lang w:val="es-ES_tradnl"/>
        </w:rPr>
        <w:t>es</w:t>
      </w:r>
      <w:r w:rsidRPr="00E72FB2">
        <w:rPr>
          <w:lang w:val="es-ES_tradnl"/>
        </w:rPr>
        <w:t xml:space="preserve">.  </w:t>
      </w:r>
      <w:r w:rsidR="00226A03" w:rsidRPr="00E72FB2">
        <w:rPr>
          <w:lang w:val="es-ES_tradnl"/>
        </w:rPr>
        <w:t xml:space="preserve">Como la cuota de mercado del PCT se sitúa más o menos en el 50% de la muestra en que se basa la estimación, el valor implícito de la elasticidad de la tasa del PCT es </w:t>
      </w:r>
      <w:r w:rsidR="00956380" w:rsidRPr="00E72FB2">
        <w:rPr>
          <w:lang w:val="es-ES_tradnl"/>
        </w:rPr>
        <w:t>-0</w:t>
      </w:r>
      <w:r w:rsidR="00226A03" w:rsidRPr="00E72FB2">
        <w:rPr>
          <w:lang w:val="es-ES_tradnl"/>
        </w:rPr>
        <w:t>,</w:t>
      </w:r>
      <w:r w:rsidR="00E72FB2" w:rsidRPr="00E72FB2">
        <w:rPr>
          <w:lang w:val="es-ES_tradnl"/>
        </w:rPr>
        <w:t>0278.</w:t>
      </w:r>
      <w:r w:rsidR="00E72FB2">
        <w:rPr>
          <w:lang w:val="es-ES_tradnl"/>
        </w:rPr>
        <w:t xml:space="preserve">  </w:t>
      </w:r>
      <w:r w:rsidR="00226A03" w:rsidRPr="00E72FB2">
        <w:rPr>
          <w:lang w:val="es-ES_tradnl"/>
        </w:rPr>
        <w:t xml:space="preserve">Dicho de otro modo, </w:t>
      </w:r>
      <w:r w:rsidR="006E1412" w:rsidRPr="00E72FB2">
        <w:rPr>
          <w:lang w:val="es-ES_tradnl"/>
        </w:rPr>
        <w:t xml:space="preserve">un aumento del 10% en la tasa de presentación internacional dará lugar a una disminución del </w:t>
      </w:r>
      <w:r w:rsidR="00E72FB2" w:rsidRPr="00E72FB2">
        <w:rPr>
          <w:lang w:val="es-ES_tradnl"/>
        </w:rPr>
        <w:t>0,</w:t>
      </w:r>
      <w:r w:rsidR="00956380" w:rsidRPr="00E72FB2">
        <w:rPr>
          <w:lang w:val="es-ES_tradnl"/>
        </w:rPr>
        <w:t>278</w:t>
      </w:r>
      <w:r w:rsidR="006E1412" w:rsidRPr="00E72FB2">
        <w:rPr>
          <w:lang w:val="es-ES_tradnl"/>
        </w:rPr>
        <w:t xml:space="preserve">% </w:t>
      </w:r>
      <w:r w:rsidR="00956380" w:rsidRPr="00E72FB2">
        <w:rPr>
          <w:lang w:val="es-ES_tradnl"/>
        </w:rPr>
        <w:t xml:space="preserve"> </w:t>
      </w:r>
      <w:r w:rsidR="006D640F" w:rsidRPr="00E72FB2">
        <w:rPr>
          <w:lang w:val="es-ES_tradnl"/>
        </w:rPr>
        <w:t xml:space="preserve">en el volumen de solicitudes presentadas por medio del PCT, lo que da a entender que la </w:t>
      </w:r>
      <w:r w:rsidR="00E72FB2">
        <w:rPr>
          <w:lang w:val="es-ES_tradnl"/>
        </w:rPr>
        <w:t>sensibilidad a las tasas</w:t>
      </w:r>
      <w:r w:rsidR="006D640F" w:rsidRPr="00E72FB2">
        <w:rPr>
          <w:lang w:val="es-ES_tradnl"/>
        </w:rPr>
        <w:t xml:space="preserve"> es muy inelástica.  Los efectos marginales de la tasa en el caso de las universidades e instituciones públicas de investigación, que se derivan de la estimación de la columna 5) del Cuadro 1 y no se indican en el Cuadro 2, adoptan los valores de </w:t>
      </w:r>
      <w:r w:rsidR="00956380" w:rsidRPr="00E72FB2">
        <w:rPr>
          <w:lang w:val="es-ES_tradnl"/>
        </w:rPr>
        <w:t>-0</w:t>
      </w:r>
      <w:r w:rsidR="006D640F" w:rsidRPr="00E72FB2">
        <w:rPr>
          <w:lang w:val="es-ES_tradnl"/>
        </w:rPr>
        <w:t>,</w:t>
      </w:r>
      <w:r w:rsidR="00956380" w:rsidRPr="00E72FB2">
        <w:rPr>
          <w:lang w:val="es-ES_tradnl"/>
        </w:rPr>
        <w:t>0338 and -0</w:t>
      </w:r>
      <w:r w:rsidR="006D640F" w:rsidRPr="00E72FB2">
        <w:rPr>
          <w:lang w:val="es-ES_tradnl"/>
        </w:rPr>
        <w:t>,</w:t>
      </w:r>
      <w:r w:rsidR="00956380" w:rsidRPr="00E72FB2">
        <w:rPr>
          <w:lang w:val="es-ES_tradnl"/>
        </w:rPr>
        <w:t>024</w:t>
      </w:r>
      <w:r w:rsidR="006D640F" w:rsidRPr="00E72FB2">
        <w:rPr>
          <w:lang w:val="es-ES_tradnl"/>
        </w:rPr>
        <w:t>8, respectivamente</w:t>
      </w:r>
      <w:r w:rsidR="00956380" w:rsidRPr="00E72FB2">
        <w:rPr>
          <w:lang w:val="es-ES_tradnl"/>
        </w:rPr>
        <w:t xml:space="preserve">; </w:t>
      </w:r>
      <w:r w:rsidR="006D640F" w:rsidRPr="00E72FB2">
        <w:rPr>
          <w:lang w:val="es-ES_tradnl"/>
        </w:rPr>
        <w:t xml:space="preserve"> dichos datos confirman que las universidades y las instituciones públicas de investigación </w:t>
      </w:r>
      <w:r w:rsidR="0031424F" w:rsidRPr="00E72FB2">
        <w:rPr>
          <w:lang w:val="es-ES_tradnl"/>
        </w:rPr>
        <w:t xml:space="preserve">son más sensibles a </w:t>
      </w:r>
      <w:r w:rsidR="006D640F" w:rsidRPr="00E72FB2">
        <w:rPr>
          <w:lang w:val="es-ES_tradnl"/>
        </w:rPr>
        <w:t xml:space="preserve">los cambios en las tasas, pero incluso esos valores más elevados indican que </w:t>
      </w:r>
      <w:r w:rsidR="0031424F" w:rsidRPr="00E72FB2">
        <w:rPr>
          <w:lang w:val="es-ES_tradnl"/>
        </w:rPr>
        <w:t>la sensibilidad a</w:t>
      </w:r>
      <w:r w:rsidR="006D640F" w:rsidRPr="00E72FB2">
        <w:rPr>
          <w:lang w:val="es-ES_tradnl"/>
        </w:rPr>
        <w:t xml:space="preserve"> la</w:t>
      </w:r>
      <w:r w:rsidR="0031424F" w:rsidRPr="00E72FB2">
        <w:rPr>
          <w:lang w:val="es-ES_tradnl"/>
        </w:rPr>
        <w:t>s</w:t>
      </w:r>
      <w:r w:rsidR="006D640F" w:rsidRPr="00E72FB2">
        <w:rPr>
          <w:lang w:val="es-ES_tradnl"/>
        </w:rPr>
        <w:t xml:space="preserve"> tasa</w:t>
      </w:r>
      <w:r w:rsidR="0031424F" w:rsidRPr="00E72FB2">
        <w:rPr>
          <w:lang w:val="es-ES_tradnl"/>
        </w:rPr>
        <w:t>s</w:t>
      </w:r>
      <w:r w:rsidR="006D640F" w:rsidRPr="00E72FB2">
        <w:rPr>
          <w:lang w:val="es-ES_tradnl"/>
        </w:rPr>
        <w:t xml:space="preserve"> es inelástica</w:t>
      </w:r>
      <w:r w:rsidR="00AA6096" w:rsidRPr="00E72FB2">
        <w:rPr>
          <w:lang w:val="es-ES_tradnl"/>
        </w:rPr>
        <w:t xml:space="preserve"> en general</w:t>
      </w:r>
      <w:r w:rsidR="006D640F" w:rsidRPr="00E72FB2">
        <w:rPr>
          <w:lang w:val="es-ES_tradnl"/>
        </w:rPr>
        <w:t>.</w:t>
      </w:r>
      <w:r w:rsidR="00AA6096" w:rsidRPr="00E72FB2">
        <w:rPr>
          <w:lang w:val="es-ES_tradnl"/>
        </w:rPr>
        <w:t xml:space="preserve"> </w:t>
      </w:r>
    </w:p>
    <w:p w:rsidR="00085EB5" w:rsidRDefault="005246E7" w:rsidP="00085EB5">
      <w:pPr>
        <w:numPr>
          <w:ilvl w:val="0"/>
          <w:numId w:val="5"/>
        </w:numPr>
        <w:spacing w:after="220"/>
        <w:rPr>
          <w:lang w:val="es-ES_tradnl"/>
        </w:rPr>
      </w:pPr>
      <w:r>
        <w:rPr>
          <w:lang w:val="es-ES_tradnl"/>
        </w:rPr>
        <w:t>El efecto marginal en la tasa de desempleo da a entender que existe un efecto más notable del estado de la economía.  Por lo tanto, la duplicación de la tasa de desempleo disminuirá en un 3% la probabilidad de elegir el PCT, lo que supone una disminución de cerca del</w:t>
      </w:r>
      <w:r w:rsidR="00AE2943">
        <w:rPr>
          <w:lang w:val="es-ES_tradnl"/>
        </w:rPr>
        <w:t xml:space="preserve"> </w:t>
      </w:r>
      <w:r>
        <w:rPr>
          <w:lang w:val="es-ES_tradnl"/>
        </w:rPr>
        <w:t>6% en el volumen de solicitudes presentadas</w:t>
      </w:r>
      <w:r w:rsidR="00956380" w:rsidRPr="005246E7">
        <w:rPr>
          <w:lang w:val="es-ES_tradnl"/>
        </w:rPr>
        <w:t>.</w:t>
      </w:r>
      <w:r w:rsidR="00956380" w:rsidRPr="00A94BEF">
        <w:rPr>
          <w:szCs w:val="22"/>
          <w:vertAlign w:val="superscript"/>
          <w:lang w:val="es-ES_tradnl"/>
        </w:rPr>
        <w:footnoteReference w:id="20"/>
      </w:r>
    </w:p>
    <w:p w:rsidR="00085EB5" w:rsidRDefault="00085EB5" w:rsidP="00085EB5">
      <w:pPr>
        <w:numPr>
          <w:ilvl w:val="0"/>
          <w:numId w:val="5"/>
        </w:numPr>
        <w:spacing w:after="220"/>
        <w:rPr>
          <w:lang w:val="es-ES_tradnl"/>
        </w:rPr>
      </w:pPr>
      <w:r w:rsidRPr="00085EB5">
        <w:rPr>
          <w:lang w:val="es-ES_tradnl"/>
        </w:rPr>
        <w:t xml:space="preserve">En cuanto al efecto del tipo de solicitante, se observa que los solicitantes de universidades tienen casi un 25% más de probabilidades de elegir la vía del PCT.  Este elevado cálculo de probabilidad quizá refleje las ventajas especiales que otorga el PCT a las universidades;  en concreto, </w:t>
      </w:r>
      <w:r>
        <w:rPr>
          <w:lang w:val="es-ES_tradnl"/>
        </w:rPr>
        <w:t>la habitual fase internacional de 18 meses</w:t>
      </w:r>
      <w:r w:rsidR="00956380" w:rsidRPr="00085EB5">
        <w:rPr>
          <w:vertAlign w:val="superscript"/>
          <w:lang w:val="es-ES_tradnl"/>
        </w:rPr>
        <w:footnoteReference w:id="21"/>
      </w:r>
      <w:r w:rsidR="00956380" w:rsidRPr="00085EB5">
        <w:rPr>
          <w:lang w:val="es-ES_tradnl"/>
        </w:rPr>
        <w:t xml:space="preserve"> </w:t>
      </w:r>
      <w:r>
        <w:rPr>
          <w:lang w:val="es-ES_tradnl"/>
        </w:rPr>
        <w:t>ofrece a las universidades un tiempo valioso para considerar si desean proceder a la entrada en la fase nacional sobre la base de la información obtenida del informe de búsqueda internacional y las opiniones escritas, y hallar un socio comercial dispuesto a seguir invirtiendo en el proceso de patentamiento y en el desarrollo de la tecnología.  Además, las universidades se dedican principalmente a la innovación “preliminar” y por lo tanto poseen relativamente menos información acerca del potencial comercial de sus invenciones;  esto favorece asimismo la estrategia de “</w:t>
      </w:r>
      <w:r w:rsidR="00A50F04">
        <w:rPr>
          <w:lang w:val="es-ES_tradnl"/>
        </w:rPr>
        <w:t>mantenerse a la expectativa</w:t>
      </w:r>
      <w:r>
        <w:rPr>
          <w:lang w:val="es-ES_tradnl"/>
        </w:rPr>
        <w:t xml:space="preserve">” que ofrece el PCT.  </w:t>
      </w:r>
      <w:r w:rsidR="00A50F04">
        <w:rPr>
          <w:lang w:val="es-ES_tradnl"/>
        </w:rPr>
        <w:t>De manera parecida, es más probable que las instituciones públicas de investigación elijan la vía del PCT, aunque el efecto es cuantitativamente menos importante.</w:t>
      </w:r>
      <w:r>
        <w:rPr>
          <w:lang w:val="es-ES_tradnl"/>
        </w:rPr>
        <w:t xml:space="preserve"> </w:t>
      </w:r>
    </w:p>
    <w:p w:rsidR="00040B00" w:rsidRPr="00A94BEF" w:rsidRDefault="00040B00" w:rsidP="00956380">
      <w:pPr>
        <w:numPr>
          <w:ilvl w:val="0"/>
          <w:numId w:val="5"/>
        </w:numPr>
        <w:spacing w:after="220"/>
        <w:rPr>
          <w:lang w:val="es-ES_tradnl"/>
        </w:rPr>
      </w:pPr>
      <w:r>
        <w:rPr>
          <w:lang w:val="es-ES_tradnl"/>
        </w:rPr>
        <w:t xml:space="preserve">También </w:t>
      </w:r>
      <w:r w:rsidR="00A50F04">
        <w:rPr>
          <w:lang w:val="es-ES_tradnl"/>
        </w:rPr>
        <w:t>tiene importancia</w:t>
      </w:r>
      <w:r>
        <w:rPr>
          <w:lang w:val="es-ES_tradnl"/>
        </w:rPr>
        <w:t xml:space="preserve"> la incidencia del tamaño de la familia.  En igualdad de condiciones, en las familias con equivalentes en solo 2 oficinas es probable que se opte por el </w:t>
      </w:r>
      <w:r>
        <w:rPr>
          <w:lang w:val="es-ES_tradnl"/>
        </w:rPr>
        <w:lastRenderedPageBreak/>
        <w:t>PCT en un 19% menos de casos, mientras que en las familias con equivalentes en 6 o más oficinas es probable que se opte por el PCT en un 16% más de casos.</w:t>
      </w:r>
    </w:p>
    <w:p w:rsidR="00355B30" w:rsidRPr="00690CAE" w:rsidRDefault="00040B00" w:rsidP="00690CAE">
      <w:pPr>
        <w:pStyle w:val="ONUME"/>
        <w:rPr>
          <w:lang w:val="es-ES_tradnl"/>
        </w:rPr>
      </w:pPr>
      <w:r>
        <w:rPr>
          <w:lang w:val="es-ES_tradnl"/>
        </w:rPr>
        <w:t xml:space="preserve">Por último, </w:t>
      </w:r>
      <w:r w:rsidR="00355B30">
        <w:rPr>
          <w:lang w:val="es-ES_tradnl"/>
        </w:rPr>
        <w:t xml:space="preserve">en el cuadro 2 se enumeran los efectos marginales asociados a los efectos fijos de los sectores de la tecnología, </w:t>
      </w:r>
      <w:r w:rsidR="00E72FB2">
        <w:rPr>
          <w:lang w:val="es-ES_tradnl"/>
        </w:rPr>
        <w:t xml:space="preserve">en </w:t>
      </w:r>
      <w:r w:rsidR="00355B30">
        <w:rPr>
          <w:lang w:val="es-ES_tradnl"/>
        </w:rPr>
        <w:t>orden de</w:t>
      </w:r>
      <w:r w:rsidR="00E72FB2">
        <w:rPr>
          <w:lang w:val="es-ES_tradnl"/>
        </w:rPr>
        <w:t>scendente</w:t>
      </w:r>
      <w:r w:rsidR="00355B30">
        <w:rPr>
          <w:lang w:val="es-ES_tradnl"/>
        </w:rPr>
        <w:t xml:space="preserve">.  En este caso, las familias de patentes de productos farmacéuticos son las que probablemente recurran en mayor medida a la vía del PCT, si las demás condiciones son las mismas.  Es interesante el hecho de que los ocho sectores de la tecnología que “tienden a utilizar más el PCT” estén asociados a tecnologías de productos discretos.  </w:t>
      </w:r>
      <w:r w:rsidR="00613D03">
        <w:rPr>
          <w:lang w:val="es-ES_tradnl"/>
        </w:rPr>
        <w:t xml:space="preserve">También resulta interesante la constatación de que </w:t>
      </w:r>
      <w:r w:rsidR="00355B30">
        <w:rPr>
          <w:lang w:val="es-ES_tradnl"/>
        </w:rPr>
        <w:t>los sectores de la tecnología que tienen más solicitudes PCT, especialmente las comunicaciones digitales, la tecnología médica, las m</w:t>
      </w:r>
      <w:r w:rsidR="00355B30" w:rsidRPr="00355B30">
        <w:rPr>
          <w:lang w:val="es-ES_tradnl"/>
        </w:rPr>
        <w:t xml:space="preserve">áquinas y aparatos eléctricos, </w:t>
      </w:r>
      <w:r w:rsidR="00355B30">
        <w:rPr>
          <w:lang w:val="es-ES_tradnl"/>
        </w:rPr>
        <w:t xml:space="preserve">la </w:t>
      </w:r>
      <w:r w:rsidR="00355B30" w:rsidRPr="00355B30">
        <w:rPr>
          <w:lang w:val="es-ES_tradnl"/>
        </w:rPr>
        <w:t>energía eléctrica</w:t>
      </w:r>
      <w:r w:rsidR="00355B30">
        <w:rPr>
          <w:lang w:val="es-ES_tradnl"/>
        </w:rPr>
        <w:t xml:space="preserve"> y l</w:t>
      </w:r>
      <w:r w:rsidR="00613D03">
        <w:rPr>
          <w:lang w:val="es-ES_tradnl"/>
        </w:rPr>
        <w:t>a tecnología informática, no so</w:t>
      </w:r>
      <w:r w:rsidR="00355B30">
        <w:rPr>
          <w:lang w:val="es-ES_tradnl"/>
        </w:rPr>
        <w:t xml:space="preserve">n los sectores que “tienden a utilizar más el PCT”.  Cabe señalar que el orden </w:t>
      </w:r>
      <w:r w:rsidR="00874CA8">
        <w:rPr>
          <w:lang w:val="es-ES_tradnl"/>
        </w:rPr>
        <w:t xml:space="preserve">en que figuran </w:t>
      </w:r>
      <w:r w:rsidR="00355B30">
        <w:rPr>
          <w:lang w:val="es-ES_tradnl"/>
        </w:rPr>
        <w:t xml:space="preserve">los sectores de la tecnología no </w:t>
      </w:r>
      <w:r w:rsidR="00690CAE">
        <w:rPr>
          <w:lang w:val="es-ES_tradnl"/>
        </w:rPr>
        <w:t>es probable que se deba</w:t>
      </w:r>
      <w:r w:rsidR="00355B30">
        <w:rPr>
          <w:lang w:val="es-ES_tradnl"/>
        </w:rPr>
        <w:t xml:space="preserve"> al mayor tamaño de las familias de patentes asociado </w:t>
      </w:r>
      <w:r w:rsidR="00690CAE">
        <w:rPr>
          <w:lang w:val="es-ES_tradnl"/>
        </w:rPr>
        <w:t xml:space="preserve">(posiblemente) </w:t>
      </w:r>
      <w:r w:rsidR="00355B30">
        <w:rPr>
          <w:lang w:val="es-ES_tradnl"/>
        </w:rPr>
        <w:t xml:space="preserve">a </w:t>
      </w:r>
      <w:r w:rsidR="00690CAE">
        <w:rPr>
          <w:lang w:val="es-ES_tradnl"/>
        </w:rPr>
        <w:t xml:space="preserve">la presentación de solicitudes en distintos sectores, puesto que los efectos marginales indicados tienen en cuenta el tamaño de las familias expresado en las 6 variables ficticias del tamaño.  Entre los factores que pueden influir en el orden de los sectores de la tecnología y que no se tienen en cuenta en el análisis econométrico figuran la incertidumbre y la </w:t>
      </w:r>
      <w:r w:rsidR="00085EB5">
        <w:rPr>
          <w:lang w:val="es-ES_tradnl"/>
        </w:rPr>
        <w:t>duración</w:t>
      </w:r>
      <w:r w:rsidR="00690CAE">
        <w:rPr>
          <w:lang w:val="es-ES_tradnl"/>
        </w:rPr>
        <w:t xml:space="preserve"> del ciclo de investigación y desarrollo.</w:t>
      </w:r>
    </w:p>
    <w:p w:rsidR="00956380" w:rsidRPr="00A94BEF" w:rsidRDefault="00956380" w:rsidP="00956380">
      <w:pPr>
        <w:keepNext/>
        <w:spacing w:before="240" w:after="60"/>
        <w:outlineLvl w:val="0"/>
        <w:rPr>
          <w:b/>
          <w:bCs/>
          <w:caps/>
          <w:kern w:val="32"/>
          <w:szCs w:val="32"/>
          <w:lang w:val="es-ES_tradnl"/>
        </w:rPr>
      </w:pPr>
      <w:r w:rsidRPr="00A94BEF">
        <w:rPr>
          <w:b/>
          <w:bCs/>
          <w:caps/>
          <w:kern w:val="32"/>
          <w:szCs w:val="32"/>
          <w:lang w:val="es-ES_tradnl"/>
        </w:rPr>
        <w:t>Conclusion</w:t>
      </w:r>
    </w:p>
    <w:p w:rsidR="008C24D6" w:rsidRPr="00A94BEF" w:rsidRDefault="008C24D6" w:rsidP="00956380">
      <w:pPr>
        <w:numPr>
          <w:ilvl w:val="0"/>
          <w:numId w:val="5"/>
        </w:numPr>
        <w:spacing w:after="220"/>
        <w:rPr>
          <w:lang w:val="es-ES_tradnl"/>
        </w:rPr>
      </w:pPr>
      <w:r>
        <w:rPr>
          <w:lang w:val="es-ES_tradnl"/>
        </w:rPr>
        <w:t xml:space="preserve">En el presente estudio se calcula por primera vez en qué medida afectan a la presentación de solicitudes PCT los cambios en la tasa de presentación internacional.  Utilizando un modelo de elección discreta de la decisión del solicitante para determinar si ha de presentar la solicitud por medio de la vía del PCT o la vía de París, se calcula que </w:t>
      </w:r>
      <w:r w:rsidR="0031424F">
        <w:rPr>
          <w:lang w:val="es-ES_tradnl"/>
        </w:rPr>
        <w:t>la sensibilidad a las</w:t>
      </w:r>
      <w:r>
        <w:rPr>
          <w:lang w:val="es-ES_tradnl"/>
        </w:rPr>
        <w:t xml:space="preserve"> tasa</w:t>
      </w:r>
      <w:r w:rsidR="0031424F">
        <w:rPr>
          <w:lang w:val="es-ES_tradnl"/>
        </w:rPr>
        <w:t>s es muy inelástica</w:t>
      </w:r>
      <w:r>
        <w:rPr>
          <w:lang w:val="es-ES_tradnl"/>
        </w:rPr>
        <w:t xml:space="preserve">, pero </w:t>
      </w:r>
      <w:r w:rsidR="00346235">
        <w:rPr>
          <w:lang w:val="es-ES_tradnl"/>
        </w:rPr>
        <w:t>estadísticamente significativ</w:t>
      </w:r>
      <w:r w:rsidR="0031424F">
        <w:rPr>
          <w:lang w:val="es-ES_tradnl"/>
        </w:rPr>
        <w:t>a</w:t>
      </w:r>
      <w:r>
        <w:rPr>
          <w:lang w:val="es-ES_tradnl"/>
        </w:rPr>
        <w:t xml:space="preserve">.  Además, los resultados de la estimación dan a entender que la tasa de presentación internacional influye más cuando los solicitantes solicitan protección por patente en exactamente tres oficinas extranjeras, y que, en cierto sentido, las universidades y las instituciones públicas de investigación están influidas en mayor medida por los precios. </w:t>
      </w:r>
    </w:p>
    <w:p w:rsidR="008C24D6" w:rsidRPr="00A94BEF" w:rsidRDefault="008C24D6" w:rsidP="00956380">
      <w:pPr>
        <w:numPr>
          <w:ilvl w:val="0"/>
          <w:numId w:val="5"/>
        </w:numPr>
        <w:spacing w:after="220"/>
        <w:rPr>
          <w:lang w:val="es-ES_tradnl"/>
        </w:rPr>
      </w:pPr>
      <w:r>
        <w:rPr>
          <w:lang w:val="es-ES_tradnl"/>
        </w:rPr>
        <w:t xml:space="preserve">Además de suministrar pruebas sobre </w:t>
      </w:r>
      <w:r w:rsidR="0031424F">
        <w:rPr>
          <w:lang w:val="es-ES_tradnl"/>
        </w:rPr>
        <w:t xml:space="preserve">la sensibilidad </w:t>
      </w:r>
      <w:r>
        <w:rPr>
          <w:lang w:val="es-ES_tradnl"/>
        </w:rPr>
        <w:t>a la</w:t>
      </w:r>
      <w:r w:rsidR="0031424F">
        <w:rPr>
          <w:lang w:val="es-ES_tradnl"/>
        </w:rPr>
        <w:t>s</w:t>
      </w:r>
      <w:r>
        <w:rPr>
          <w:lang w:val="es-ES_tradnl"/>
        </w:rPr>
        <w:t xml:space="preserve"> tasa</w:t>
      </w:r>
      <w:r w:rsidR="0031424F">
        <w:rPr>
          <w:lang w:val="es-ES_tradnl"/>
        </w:rPr>
        <w:t>s</w:t>
      </w:r>
      <w:r>
        <w:rPr>
          <w:lang w:val="es-ES_tradnl"/>
        </w:rPr>
        <w:t>, los cálculos empíricos también  arrojan luz sobre varios otro</w:t>
      </w:r>
      <w:r w:rsidR="00613D03">
        <w:rPr>
          <w:lang w:val="es-ES_tradnl"/>
        </w:rPr>
        <w:t>s determinantes de</w:t>
      </w:r>
      <w:r>
        <w:rPr>
          <w:lang w:val="es-ES_tradnl"/>
        </w:rPr>
        <w:t xml:space="preserve"> uso del PCT.  En concreto, indican que los solicitantes tienden a confiar en mayor medida en el PCT en épocas de bonanza económica, que es más probable que las instituciones públicas de investigación y especialmente las universidades elijan el PCT y que, en igualdad de condiciones, se tiende a utilizar más el PCT en el caso de los productos farmacéuticos y otras tecnologías de productos discretos que en el de las tecnologías de productos complejos.</w:t>
      </w:r>
    </w:p>
    <w:p w:rsidR="00956380" w:rsidRPr="00A94BEF" w:rsidRDefault="00216069" w:rsidP="00956380">
      <w:pPr>
        <w:numPr>
          <w:ilvl w:val="0"/>
          <w:numId w:val="5"/>
        </w:numPr>
        <w:spacing w:after="220"/>
        <w:ind w:left="5533"/>
        <w:rPr>
          <w:i/>
          <w:lang w:val="es-ES_tradnl"/>
        </w:rPr>
      </w:pPr>
      <w:r>
        <w:rPr>
          <w:i/>
          <w:lang w:val="es-ES_tradnl"/>
        </w:rPr>
        <w:t>Se invita al Grupo de Trabajo a tomar nota del contenido del presente documento.</w:t>
      </w:r>
    </w:p>
    <w:p w:rsidR="00956380" w:rsidRPr="00A94BEF" w:rsidRDefault="00956380" w:rsidP="00956380">
      <w:pPr>
        <w:rPr>
          <w:lang w:val="es-ES_tradnl"/>
        </w:rPr>
      </w:pPr>
    </w:p>
    <w:p w:rsidR="00956380" w:rsidRPr="00A94BEF" w:rsidRDefault="00956380" w:rsidP="00956380">
      <w:pPr>
        <w:ind w:left="5534"/>
        <w:rPr>
          <w:lang w:val="es-ES_tradnl"/>
        </w:rPr>
        <w:sectPr w:rsidR="00956380" w:rsidRPr="00A94BEF" w:rsidSect="00C2637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r w:rsidRPr="00A94BEF">
        <w:rPr>
          <w:lang w:val="es-ES_tradnl"/>
        </w:rPr>
        <w:t>[</w:t>
      </w:r>
      <w:r w:rsidR="00216069">
        <w:rPr>
          <w:lang w:val="es-ES_tradnl"/>
        </w:rPr>
        <w:t>Sigue el Anexo</w:t>
      </w:r>
      <w:r w:rsidRPr="00A94BEF">
        <w:rPr>
          <w:lang w:val="es-ES_tradnl"/>
        </w:rPr>
        <w:t>]</w:t>
      </w:r>
    </w:p>
    <w:p w:rsidR="00956380" w:rsidRPr="00A94BEF" w:rsidRDefault="00CB72E3" w:rsidP="00956380">
      <w:pPr>
        <w:spacing w:after="60"/>
        <w:rPr>
          <w:b/>
          <w:lang w:val="es-ES_tradnl"/>
        </w:rPr>
      </w:pPr>
      <w:r>
        <w:rPr>
          <w:b/>
          <w:lang w:val="es-ES_tradnl"/>
        </w:rPr>
        <w:lastRenderedPageBreak/>
        <w:t>Figura</w:t>
      </w:r>
      <w:r w:rsidR="00956380" w:rsidRPr="00A94BEF">
        <w:rPr>
          <w:b/>
          <w:lang w:val="es-ES_tradnl"/>
        </w:rPr>
        <w:t xml:space="preserve"> 1:  </w:t>
      </w:r>
      <w:r w:rsidR="006A5363">
        <w:rPr>
          <w:b/>
          <w:lang w:val="es-ES_tradnl"/>
        </w:rPr>
        <w:t xml:space="preserve">Los movimientos de </w:t>
      </w:r>
      <w:r w:rsidR="005B4F11">
        <w:rPr>
          <w:b/>
          <w:lang w:val="es-ES_tradnl"/>
        </w:rPr>
        <w:t xml:space="preserve">los </w:t>
      </w:r>
      <w:r w:rsidR="006A5363">
        <w:rPr>
          <w:b/>
          <w:lang w:val="es-ES_tradnl"/>
        </w:rPr>
        <w:t>tipos de cambio i</w:t>
      </w:r>
      <w:r w:rsidR="00956380" w:rsidRPr="00A94BEF">
        <w:rPr>
          <w:b/>
          <w:lang w:val="es-ES_tradnl"/>
        </w:rPr>
        <w:t>ntroduce</w:t>
      </w:r>
      <w:r w:rsidR="006A5363">
        <w:rPr>
          <w:b/>
          <w:lang w:val="es-ES_tradnl"/>
        </w:rPr>
        <w:t>n variaciones importantes</w:t>
      </w:r>
      <w:r w:rsidR="00956380" w:rsidRPr="00A94BEF">
        <w:rPr>
          <w:b/>
          <w:lang w:val="es-ES_tradnl"/>
        </w:rPr>
        <w:t xml:space="preserve"> </w:t>
      </w:r>
      <w:r w:rsidR="006A5363">
        <w:rPr>
          <w:b/>
          <w:lang w:val="es-ES_tradnl"/>
        </w:rPr>
        <w:t>e</w:t>
      </w:r>
      <w:r w:rsidR="00956380" w:rsidRPr="00A94BEF">
        <w:rPr>
          <w:b/>
          <w:lang w:val="es-ES_tradnl"/>
        </w:rPr>
        <w:t xml:space="preserve">n </w:t>
      </w:r>
      <w:r w:rsidR="006A5363">
        <w:rPr>
          <w:b/>
          <w:lang w:val="es-ES_tradnl"/>
        </w:rPr>
        <w:t xml:space="preserve">la tasa de presentación del </w:t>
      </w:r>
      <w:r w:rsidR="00956380" w:rsidRPr="00A94BEF">
        <w:rPr>
          <w:b/>
          <w:lang w:val="es-ES_tradnl"/>
        </w:rPr>
        <w:t xml:space="preserve">PCT </w:t>
      </w:r>
    </w:p>
    <w:p w:rsidR="00956380" w:rsidRPr="00A94BEF" w:rsidRDefault="006A5363" w:rsidP="00956380">
      <w:pPr>
        <w:spacing w:after="120"/>
        <w:rPr>
          <w:i/>
          <w:lang w:val="es-ES_tradnl"/>
        </w:rPr>
      </w:pPr>
      <w:r>
        <w:rPr>
          <w:i/>
          <w:lang w:val="es-ES_tradnl"/>
        </w:rPr>
        <w:t>Tasa de presentación internacional en algunas monedas (índice</w:t>
      </w:r>
      <w:r w:rsidR="00956380" w:rsidRPr="00A94BEF">
        <w:rPr>
          <w:i/>
          <w:lang w:val="es-ES_tradnl"/>
        </w:rPr>
        <w:t>, 2004=100)</w:t>
      </w:r>
    </w:p>
    <w:p w:rsidR="00CB72E3" w:rsidRDefault="00956380" w:rsidP="00956380">
      <w:pPr>
        <w:rPr>
          <w:b/>
          <w:lang w:val="es-ES_tradnl"/>
        </w:rPr>
      </w:pPr>
      <w:r w:rsidRPr="00A94BEF">
        <w:rPr>
          <w:b/>
          <w:noProof/>
          <w:lang w:val="en-US" w:eastAsia="en-US"/>
        </w:rPr>
        <w:drawing>
          <wp:inline distT="0" distB="0" distL="0" distR="0" wp14:anchorId="6D6DA7C4" wp14:editId="22C9EB2A">
            <wp:extent cx="5740842" cy="37605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577" cy="3763018"/>
                    </a:xfrm>
                    <a:prstGeom prst="rect">
                      <a:avLst/>
                    </a:prstGeom>
                    <a:noFill/>
                  </pic:spPr>
                </pic:pic>
              </a:graphicData>
            </a:graphic>
          </wp:inline>
        </w:drawing>
      </w:r>
    </w:p>
    <w:p w:rsidR="00CB72E3" w:rsidRDefault="00CB72E3" w:rsidP="00956380">
      <w:pPr>
        <w:rPr>
          <w:b/>
          <w:lang w:val="es-ES_tradnl"/>
        </w:rPr>
      </w:pPr>
    </w:p>
    <w:p w:rsidR="00CB72E3" w:rsidRDefault="00CB72E3" w:rsidP="00956380">
      <w:pPr>
        <w:rPr>
          <w:b/>
          <w:lang w:val="es-ES_tradnl"/>
        </w:rPr>
      </w:pPr>
      <w:r>
        <w:rPr>
          <w:b/>
          <w:lang w:val="es-ES_tradnl"/>
        </w:rPr>
        <w:t>Franco suizo</w:t>
      </w:r>
    </w:p>
    <w:p w:rsidR="00CB72E3" w:rsidRDefault="00CB72E3" w:rsidP="00956380">
      <w:pPr>
        <w:rPr>
          <w:b/>
          <w:lang w:val="es-ES_tradnl"/>
        </w:rPr>
      </w:pPr>
      <w:r>
        <w:rPr>
          <w:b/>
          <w:lang w:val="es-ES_tradnl"/>
        </w:rPr>
        <w:t>Yuan chino</w:t>
      </w:r>
    </w:p>
    <w:p w:rsidR="00CB72E3" w:rsidRDefault="00CB72E3" w:rsidP="00956380">
      <w:pPr>
        <w:rPr>
          <w:b/>
          <w:lang w:val="es-ES_tradnl"/>
        </w:rPr>
      </w:pPr>
      <w:r>
        <w:rPr>
          <w:b/>
          <w:lang w:val="es-ES_tradnl"/>
        </w:rPr>
        <w:t>Euro</w:t>
      </w:r>
    </w:p>
    <w:p w:rsidR="00CB72E3" w:rsidRDefault="00CB72E3" w:rsidP="00956380">
      <w:pPr>
        <w:rPr>
          <w:b/>
          <w:lang w:val="es-ES_tradnl"/>
        </w:rPr>
      </w:pPr>
      <w:r>
        <w:rPr>
          <w:b/>
          <w:lang w:val="es-ES_tradnl"/>
        </w:rPr>
        <w:t>Libra esterlina</w:t>
      </w:r>
    </w:p>
    <w:p w:rsidR="00CB72E3" w:rsidRDefault="00CB72E3" w:rsidP="00956380">
      <w:pPr>
        <w:rPr>
          <w:b/>
          <w:lang w:val="es-ES_tradnl"/>
        </w:rPr>
      </w:pPr>
      <w:r>
        <w:rPr>
          <w:b/>
          <w:lang w:val="es-ES_tradnl"/>
        </w:rPr>
        <w:t>Yen japonés</w:t>
      </w:r>
    </w:p>
    <w:p w:rsidR="00CB72E3" w:rsidRDefault="00CB72E3" w:rsidP="00956380">
      <w:pPr>
        <w:rPr>
          <w:b/>
          <w:lang w:val="es-ES_tradnl"/>
        </w:rPr>
      </w:pPr>
      <w:r>
        <w:rPr>
          <w:b/>
          <w:lang w:val="es-ES_tradnl"/>
        </w:rPr>
        <w:t>Won coreano</w:t>
      </w:r>
    </w:p>
    <w:p w:rsidR="00CB72E3" w:rsidRDefault="00CB72E3" w:rsidP="00956380">
      <w:pPr>
        <w:rPr>
          <w:b/>
          <w:lang w:val="es-ES_tradnl"/>
        </w:rPr>
      </w:pPr>
      <w:r>
        <w:rPr>
          <w:b/>
          <w:lang w:val="es-ES_tradnl"/>
        </w:rPr>
        <w:t>Dólar de los EE.UU.</w:t>
      </w:r>
    </w:p>
    <w:p w:rsidR="00CB72E3" w:rsidRDefault="00CB72E3" w:rsidP="00956380">
      <w:pPr>
        <w:rPr>
          <w:b/>
          <w:lang w:val="es-ES_tradnl"/>
        </w:rPr>
      </w:pPr>
    </w:p>
    <w:p w:rsidR="00956380" w:rsidRPr="00A94BEF" w:rsidRDefault="00956380" w:rsidP="00956380">
      <w:pPr>
        <w:rPr>
          <w:b/>
          <w:lang w:val="es-ES_tradnl"/>
        </w:rPr>
      </w:pPr>
      <w:r w:rsidRPr="00A94BEF">
        <w:rPr>
          <w:b/>
          <w:lang w:val="es-ES_tradnl"/>
        </w:rPr>
        <w:br w:type="page"/>
      </w:r>
    </w:p>
    <w:p w:rsidR="00956380" w:rsidRPr="00A94BEF" w:rsidRDefault="005B4F11" w:rsidP="00956380">
      <w:pPr>
        <w:spacing w:before="38" w:after="42"/>
        <w:rPr>
          <w:b/>
          <w:lang w:val="es-ES_tradnl"/>
        </w:rPr>
      </w:pPr>
      <w:r>
        <w:rPr>
          <w:b/>
          <w:lang w:val="es-ES_tradnl"/>
        </w:rPr>
        <w:lastRenderedPageBreak/>
        <w:t xml:space="preserve">Cuadro </w:t>
      </w:r>
      <w:r w:rsidR="00956380" w:rsidRPr="00A94BEF">
        <w:rPr>
          <w:b/>
          <w:lang w:val="es-ES_tradnl"/>
        </w:rPr>
        <w:t xml:space="preserve">1: </w:t>
      </w:r>
      <w:r w:rsidR="001F4AEA">
        <w:rPr>
          <w:b/>
          <w:lang w:val="es-ES_tradnl"/>
        </w:rPr>
        <w:t xml:space="preserve">Resultados de la estimación </w:t>
      </w:r>
      <w:r>
        <w:rPr>
          <w:b/>
          <w:lang w:val="es-ES_tradnl"/>
        </w:rPr>
        <w:t>p</w:t>
      </w:r>
      <w:r w:rsidR="00956380" w:rsidRPr="00A94BEF">
        <w:rPr>
          <w:b/>
          <w:lang w:val="es-ES_tradnl"/>
        </w:rPr>
        <w:t xml:space="preserve">robit </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8"/>
        <w:gridCol w:w="1323"/>
        <w:gridCol w:w="1323"/>
        <w:gridCol w:w="1323"/>
        <w:gridCol w:w="1323"/>
        <w:gridCol w:w="1323"/>
      </w:tblGrid>
      <w:tr w:rsidR="00956380" w:rsidRPr="00A94BEF" w:rsidTr="00C26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rPr>
                <w:sz w:val="19"/>
                <w:szCs w:val="19"/>
                <w:lang w:val="es-ES_tradnl"/>
              </w:rPr>
            </w:pP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1)</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2)</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3)</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4)</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956380" w:rsidRPr="00A94BEF" w:rsidRDefault="00956380" w:rsidP="00956380">
            <w:pPr>
              <w:spacing w:before="40" w:after="44"/>
              <w:jc w:val="center"/>
              <w:cnfStyle w:val="100000000000" w:firstRow="1"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5)</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rPr>
                <w:sz w:val="19"/>
                <w:szCs w:val="19"/>
                <w:lang w:val="es-ES_tradnl"/>
              </w:rPr>
            </w:pPr>
            <m:oMathPara>
              <m:oMathParaPr>
                <m:jc m:val="left"/>
              </m:oMathPara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m:oMathPara>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121***</w:t>
            </w:r>
            <w:r w:rsidRPr="00A94BEF">
              <w:rPr>
                <w:sz w:val="19"/>
                <w:szCs w:val="19"/>
                <w:lang w:val="es-ES_tradnl"/>
              </w:rPr>
              <w:br/>
              <w:t>(-7</w:t>
            </w:r>
            <w:r w:rsidR="00650DB7">
              <w:rPr>
                <w:sz w:val="19"/>
                <w:szCs w:val="19"/>
                <w:lang w:val="es-ES_tradnl"/>
              </w:rPr>
              <w:t>,</w:t>
            </w:r>
            <w:r w:rsidRPr="00A94BEF">
              <w:rPr>
                <w:sz w:val="19"/>
                <w:szCs w:val="19"/>
                <w:lang w:val="es-ES_tradnl"/>
              </w:rPr>
              <w:t>10)</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077***</w:t>
            </w:r>
            <w:r w:rsidRPr="00A94BEF">
              <w:rPr>
                <w:sz w:val="19"/>
                <w:szCs w:val="19"/>
                <w:lang w:val="es-ES_tradnl"/>
              </w:rPr>
              <w:br/>
              <w:t>(-4</w:t>
            </w:r>
            <w:r w:rsidR="00650DB7">
              <w:rPr>
                <w:sz w:val="19"/>
                <w:szCs w:val="19"/>
                <w:lang w:val="es-ES_tradnl"/>
              </w:rPr>
              <w:t>,</w:t>
            </w:r>
            <w:r w:rsidRPr="00A94BEF">
              <w:rPr>
                <w:sz w:val="19"/>
                <w:szCs w:val="19"/>
                <w:lang w:val="es-ES_tradnl"/>
              </w:rPr>
              <w:t>25)</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047**</w:t>
            </w:r>
            <w:r w:rsidRPr="00A94BEF">
              <w:rPr>
                <w:sz w:val="19"/>
                <w:szCs w:val="19"/>
                <w:lang w:val="es-ES_tradnl"/>
              </w:rPr>
              <w:br/>
              <w:t>(-2</w:t>
            </w:r>
            <w:r w:rsidR="00650DB7">
              <w:rPr>
                <w:sz w:val="19"/>
                <w:szCs w:val="19"/>
                <w:lang w:val="es-ES_tradnl"/>
              </w:rPr>
              <w:t>,</w:t>
            </w:r>
            <w:r w:rsidRPr="00A94BEF">
              <w:rPr>
                <w:sz w:val="19"/>
                <w:szCs w:val="19"/>
                <w:lang w:val="es-ES_tradnl"/>
              </w:rPr>
              <w:t>30)</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07661C" w:rsidP="00956380">
            <w:pPr>
              <w:shd w:val="clear" w:color="auto" w:fill="FFFFFF" w:themeFill="background1"/>
              <w:spacing w:before="40" w:after="44"/>
              <w:rPr>
                <w:sz w:val="19"/>
                <w:szCs w:val="19"/>
                <w:lang w:val="es-ES_tradnl"/>
              </w:rPr>
            </w:pPr>
            <m:oMathPara>
              <m:oMathParaPr>
                <m:jc m:val="left"/>
              </m:oMathParaPr>
              <m:oMath>
                <m:sSub>
                  <m:sSubPr>
                    <m:ctrlPr>
                      <w:rPr>
                        <w:rFonts w:ascii="Cambria Math" w:hAnsi="Cambria Math"/>
                        <w:i/>
                        <w:sz w:val="19"/>
                        <w:szCs w:val="19"/>
                        <w:lang w:val="es-ES_tradnl"/>
                      </w:rPr>
                    </m:ctrlPr>
                  </m:sSubPr>
                  <m:e>
                    <m:r>
                      <m:rPr>
                        <m:sty m:val="bi"/>
                      </m:rPr>
                      <w:rPr>
                        <w:rFonts w:ascii="Cambria Math" w:hAnsi="Cambria Math"/>
                        <w:sz w:val="19"/>
                        <w:szCs w:val="19"/>
                        <w:lang w:val="es-ES_tradnl"/>
                      </w:rPr>
                      <m:t>mem</m:t>
                    </m:r>
                  </m:e>
                  <m:sub>
                    <m:r>
                      <m:rPr>
                        <m:sty m:val="bi"/>
                      </m:rPr>
                      <w:rPr>
                        <w:rFonts w:ascii="Cambria Math" w:hAnsi="Cambria Math"/>
                        <w:sz w:val="19"/>
                        <w:szCs w:val="19"/>
                        <w:lang w:val="es-ES_tradnl"/>
                      </w:rPr>
                      <m:t>jt</m:t>
                    </m:r>
                  </m:sub>
                </m:sSub>
              </m:oMath>
            </m:oMathPara>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404*</w:t>
            </w:r>
            <w:r w:rsidRPr="00A94BEF">
              <w:rPr>
                <w:sz w:val="19"/>
                <w:szCs w:val="19"/>
                <w:lang w:val="es-ES_tradnl"/>
              </w:rPr>
              <w:br/>
              <w:t>(1</w:t>
            </w:r>
            <w:r w:rsidR="00650DB7">
              <w:rPr>
                <w:sz w:val="19"/>
                <w:szCs w:val="19"/>
                <w:lang w:val="es-ES_tradnl"/>
              </w:rPr>
              <w:t>,</w:t>
            </w:r>
            <w:r w:rsidRPr="00A94BEF">
              <w:rPr>
                <w:sz w:val="19"/>
                <w:szCs w:val="19"/>
                <w:lang w:val="es-ES_tradnl"/>
              </w:rPr>
              <w:t>67)</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081</w:t>
            </w:r>
            <w:r w:rsidRPr="00A94BEF">
              <w:rPr>
                <w:sz w:val="19"/>
                <w:szCs w:val="19"/>
                <w:lang w:val="es-ES_tradnl"/>
              </w:rPr>
              <w:br/>
              <w:t>(0</w:t>
            </w:r>
            <w:r w:rsidR="00650DB7">
              <w:rPr>
                <w:sz w:val="19"/>
                <w:szCs w:val="19"/>
                <w:lang w:val="es-ES_tradnl"/>
              </w:rPr>
              <w:t>,</w:t>
            </w:r>
            <w:r w:rsidRPr="00A94BEF">
              <w:rPr>
                <w:sz w:val="19"/>
                <w:szCs w:val="19"/>
                <w:lang w:val="es-ES_tradnl"/>
              </w:rPr>
              <w:t>18)</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07661C" w:rsidP="00956380">
            <w:pPr>
              <w:shd w:val="clear" w:color="auto" w:fill="FFFFFF" w:themeFill="background1"/>
              <w:spacing w:before="40" w:after="44"/>
              <w:rPr>
                <w:sz w:val="19"/>
                <w:szCs w:val="19"/>
                <w:lang w:val="es-ES_tradnl"/>
              </w:rPr>
            </w:pPr>
            <m:oMathPara>
              <m:oMathParaPr>
                <m:jc m:val="left"/>
              </m:oMathParaPr>
              <m:oMath>
                <m:sSub>
                  <m:sSubPr>
                    <m:ctrlPr>
                      <w:rPr>
                        <w:rFonts w:ascii="Cambria Math" w:hAnsi="Cambria Math"/>
                        <w:i/>
                        <w:sz w:val="19"/>
                        <w:szCs w:val="19"/>
                        <w:lang w:val="es-ES_tradnl"/>
                      </w:rPr>
                    </m:ctrlPr>
                  </m:sSubPr>
                  <m:e>
                    <m:r>
                      <m:rPr>
                        <m:sty m:val="b"/>
                      </m:rPr>
                      <w:rPr>
                        <w:rFonts w:ascii="Cambria Math" w:hAnsi="Cambria Math"/>
                        <w:sz w:val="19"/>
                        <w:szCs w:val="19"/>
                        <w:lang w:val="es-ES_tradnl"/>
                      </w:rPr>
                      <m:t>ln</m:t>
                    </m:r>
                    <m:r>
                      <m:rPr>
                        <m:sty m:val="bi"/>
                      </m:rPr>
                      <w:rPr>
                        <w:rFonts w:ascii="Cambria Math" w:hAnsi="Cambria Math"/>
                        <w:sz w:val="19"/>
                        <w:szCs w:val="19"/>
                        <w:lang w:val="es-ES_tradnl"/>
                      </w:rPr>
                      <m:t>unemp</m:t>
                    </m:r>
                  </m:e>
                  <m:sub>
                    <m:r>
                      <m:rPr>
                        <m:sty m:val="bi"/>
                      </m:rPr>
                      <w:rPr>
                        <w:rFonts w:ascii="Cambria Math" w:hAnsi="Cambria Math"/>
                        <w:sz w:val="19"/>
                        <w:szCs w:val="19"/>
                        <w:lang w:val="es-ES_tradnl"/>
                      </w:rPr>
                      <m:t>jt</m:t>
                    </m:r>
                  </m:sub>
                </m:sSub>
              </m:oMath>
            </m:oMathPara>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149***</w:t>
            </w:r>
            <w:r w:rsidRPr="00A94BEF">
              <w:rPr>
                <w:sz w:val="19"/>
                <w:szCs w:val="19"/>
                <w:lang w:val="es-ES_tradnl"/>
              </w:rPr>
              <w:br/>
              <w:t>(-20</w:t>
            </w:r>
            <w:r w:rsidR="00650DB7">
              <w:rPr>
                <w:sz w:val="19"/>
                <w:szCs w:val="19"/>
                <w:lang w:val="es-ES_tradnl"/>
              </w:rPr>
              <w:t>,</w:t>
            </w:r>
            <w:r w:rsidRPr="00A94BEF">
              <w:rPr>
                <w:sz w:val="19"/>
                <w:szCs w:val="19"/>
                <w:lang w:val="es-ES_tradnl"/>
              </w:rPr>
              <w:t>29)</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104***</w:t>
            </w:r>
            <w:r w:rsidRPr="00A94BEF">
              <w:rPr>
                <w:sz w:val="19"/>
                <w:szCs w:val="19"/>
                <w:lang w:val="es-ES_tradnl"/>
              </w:rPr>
              <w:br/>
              <w:t>(-12</w:t>
            </w:r>
            <w:r w:rsidR="00650DB7">
              <w:rPr>
                <w:sz w:val="19"/>
                <w:szCs w:val="19"/>
                <w:lang w:val="es-ES_tradnl"/>
              </w:rPr>
              <w:t>,</w:t>
            </w:r>
            <w:r w:rsidRPr="00A94BEF">
              <w:rPr>
                <w:sz w:val="19"/>
                <w:szCs w:val="19"/>
                <w:lang w:val="es-ES_tradnl"/>
              </w:rPr>
              <w:t>57)</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104***</w:t>
            </w:r>
            <w:r w:rsidRPr="00A94BEF">
              <w:rPr>
                <w:sz w:val="19"/>
                <w:szCs w:val="19"/>
                <w:lang w:val="es-ES_tradnl"/>
              </w:rPr>
              <w:br/>
              <w:t>(-12</w:t>
            </w:r>
            <w:r w:rsidR="00650DB7">
              <w:rPr>
                <w:sz w:val="19"/>
                <w:szCs w:val="19"/>
                <w:lang w:val="es-ES_tradnl"/>
              </w:rPr>
              <w:t>,</w:t>
            </w:r>
            <w:r w:rsidRPr="00A94BEF">
              <w:rPr>
                <w:sz w:val="19"/>
                <w:szCs w:val="19"/>
                <w:lang w:val="es-ES_tradnl"/>
              </w:rPr>
              <w:t>61)</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106***</w:t>
            </w:r>
            <w:r w:rsidRPr="00A94BEF">
              <w:rPr>
                <w:sz w:val="19"/>
                <w:szCs w:val="19"/>
                <w:lang w:val="es-ES_tradnl"/>
              </w:rPr>
              <w:br/>
              <w:t>(-12</w:t>
            </w:r>
            <w:r w:rsidR="00650DB7">
              <w:rPr>
                <w:sz w:val="19"/>
                <w:szCs w:val="19"/>
                <w:lang w:val="es-ES_tradnl"/>
              </w:rPr>
              <w:t>,</w:t>
            </w:r>
            <w:r w:rsidRPr="00A94BEF">
              <w:rPr>
                <w:sz w:val="19"/>
                <w:szCs w:val="19"/>
                <w:lang w:val="es-ES_tradnl"/>
              </w:rPr>
              <w:t>83)</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6A4332" w:rsidP="006A4332">
            <w:pPr>
              <w:shd w:val="clear" w:color="auto" w:fill="FFFFFF" w:themeFill="background1"/>
              <w:spacing w:before="40" w:after="44"/>
              <w:rPr>
                <w:sz w:val="19"/>
                <w:szCs w:val="19"/>
                <w:lang w:val="es-ES_tradnl"/>
              </w:rPr>
            </w:pPr>
            <w:r>
              <w:rPr>
                <w:sz w:val="19"/>
                <w:szCs w:val="19"/>
                <w:lang w:val="es-ES_tradnl"/>
              </w:rPr>
              <w:t xml:space="preserve">Solicitante de universidad </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828***</w:t>
            </w:r>
            <w:r w:rsidRPr="00A94BEF">
              <w:rPr>
                <w:sz w:val="19"/>
                <w:szCs w:val="19"/>
                <w:lang w:val="es-ES_tradnl"/>
              </w:rPr>
              <w:br/>
              <w:t>(74</w:t>
            </w:r>
            <w:r w:rsidR="00650DB7">
              <w:rPr>
                <w:sz w:val="19"/>
                <w:szCs w:val="19"/>
                <w:lang w:val="es-ES_tradnl"/>
              </w:rPr>
              <w:t>,</w:t>
            </w:r>
            <w:r w:rsidRPr="00A94BEF">
              <w:rPr>
                <w:sz w:val="19"/>
                <w:szCs w:val="19"/>
                <w:lang w:val="es-ES_tradnl"/>
              </w:rPr>
              <w:t>92)</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826***</w:t>
            </w:r>
            <w:r w:rsidRPr="00A94BEF">
              <w:rPr>
                <w:sz w:val="19"/>
                <w:szCs w:val="19"/>
                <w:lang w:val="es-ES_tradnl"/>
              </w:rPr>
              <w:br/>
              <w:t>(73</w:t>
            </w:r>
            <w:r w:rsidR="00650DB7">
              <w:rPr>
                <w:sz w:val="19"/>
                <w:szCs w:val="19"/>
                <w:lang w:val="es-ES_tradnl"/>
              </w:rPr>
              <w:t>,</w:t>
            </w:r>
            <w:r w:rsidRPr="00A94BEF">
              <w:rPr>
                <w:sz w:val="19"/>
                <w:szCs w:val="19"/>
                <w:lang w:val="es-ES_tradnl"/>
              </w:rPr>
              <w:t>24)</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848***</w:t>
            </w:r>
            <w:r w:rsidRPr="00A94BEF">
              <w:rPr>
                <w:sz w:val="19"/>
                <w:szCs w:val="19"/>
                <w:lang w:val="es-ES_tradnl"/>
              </w:rPr>
              <w:br/>
              <w:t>(63</w:t>
            </w:r>
            <w:r w:rsidR="00650DB7">
              <w:rPr>
                <w:sz w:val="19"/>
                <w:szCs w:val="19"/>
                <w:lang w:val="es-ES_tradnl"/>
              </w:rPr>
              <w:t>,</w:t>
            </w:r>
            <w:r w:rsidRPr="00A94BEF">
              <w:rPr>
                <w:sz w:val="19"/>
                <w:szCs w:val="19"/>
                <w:lang w:val="es-ES_tradnl"/>
              </w:rPr>
              <w:t>73)</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845***</w:t>
            </w:r>
            <w:r w:rsidRPr="00A94BEF">
              <w:rPr>
                <w:sz w:val="19"/>
                <w:szCs w:val="19"/>
                <w:lang w:val="es-ES_tradnl"/>
              </w:rPr>
              <w:br/>
              <w:t>(63</w:t>
            </w:r>
            <w:r w:rsidR="00650DB7">
              <w:rPr>
                <w:sz w:val="19"/>
                <w:szCs w:val="19"/>
                <w:lang w:val="es-ES_tradnl"/>
              </w:rPr>
              <w:t>,</w:t>
            </w:r>
            <w:r w:rsidRPr="00A94BEF">
              <w:rPr>
                <w:sz w:val="19"/>
                <w:szCs w:val="19"/>
                <w:lang w:val="es-ES_tradnl"/>
              </w:rPr>
              <w:t>52)</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261***</w:t>
            </w:r>
            <w:r w:rsidRPr="00A94BEF">
              <w:rPr>
                <w:sz w:val="19"/>
                <w:szCs w:val="19"/>
                <w:lang w:val="es-ES_tradnl"/>
              </w:rPr>
              <w:br/>
              <w:t>(49</w:t>
            </w:r>
            <w:r w:rsidR="00650DB7">
              <w:rPr>
                <w:sz w:val="19"/>
                <w:szCs w:val="19"/>
                <w:lang w:val="es-ES_tradnl"/>
              </w:rPr>
              <w:t>,</w:t>
            </w:r>
            <w:r w:rsidRPr="00A94BEF">
              <w:rPr>
                <w:sz w:val="19"/>
                <w:szCs w:val="19"/>
                <w:lang w:val="es-ES_tradnl"/>
              </w:rPr>
              <w:t>08)</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6A4332" w:rsidP="006A4332">
            <w:pPr>
              <w:shd w:val="clear" w:color="auto" w:fill="FFFFFF" w:themeFill="background1"/>
              <w:spacing w:before="40" w:after="44"/>
              <w:rPr>
                <w:sz w:val="19"/>
                <w:szCs w:val="19"/>
                <w:lang w:val="es-ES_tradnl"/>
              </w:rPr>
            </w:pPr>
            <w:r>
              <w:rPr>
                <w:sz w:val="19"/>
                <w:szCs w:val="19"/>
                <w:lang w:val="es-ES_tradnl"/>
              </w:rPr>
              <w:t>Solicitante de institución pública de investigación</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249***</w:t>
            </w:r>
            <w:r w:rsidRPr="00A94BEF">
              <w:rPr>
                <w:sz w:val="19"/>
                <w:szCs w:val="19"/>
                <w:lang w:val="es-ES_tradnl"/>
              </w:rPr>
              <w:br/>
              <w:t>(23</w:t>
            </w:r>
            <w:r w:rsidR="00650DB7">
              <w:rPr>
                <w:sz w:val="19"/>
                <w:szCs w:val="19"/>
                <w:lang w:val="es-ES_tradnl"/>
              </w:rPr>
              <w:t>,</w:t>
            </w:r>
            <w:r w:rsidRPr="00A94BEF">
              <w:rPr>
                <w:sz w:val="19"/>
                <w:szCs w:val="19"/>
                <w:lang w:val="es-ES_tradnl"/>
              </w:rPr>
              <w:t>30)</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215***</w:t>
            </w:r>
            <w:r w:rsidRPr="00A94BEF">
              <w:rPr>
                <w:sz w:val="19"/>
                <w:szCs w:val="19"/>
                <w:lang w:val="es-ES_tradnl"/>
              </w:rPr>
              <w:br/>
              <w:t>(19</w:t>
            </w:r>
            <w:r w:rsidR="00650DB7">
              <w:rPr>
                <w:sz w:val="19"/>
                <w:szCs w:val="19"/>
                <w:lang w:val="es-ES_tradnl"/>
              </w:rPr>
              <w:t>,</w:t>
            </w:r>
            <w:r w:rsidRPr="00A94BEF">
              <w:rPr>
                <w:sz w:val="19"/>
                <w:szCs w:val="19"/>
                <w:lang w:val="es-ES_tradnl"/>
              </w:rPr>
              <w:t>67)</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357***</w:t>
            </w:r>
            <w:r w:rsidRPr="00A94BEF">
              <w:rPr>
                <w:sz w:val="19"/>
                <w:szCs w:val="19"/>
                <w:lang w:val="es-ES_tradnl"/>
              </w:rPr>
              <w:br/>
              <w:t>(29</w:t>
            </w:r>
            <w:r w:rsidR="00650DB7">
              <w:rPr>
                <w:sz w:val="19"/>
                <w:szCs w:val="19"/>
                <w:lang w:val="es-ES_tradnl"/>
              </w:rPr>
              <w:t>,</w:t>
            </w:r>
            <w:r w:rsidRPr="00A94BEF">
              <w:rPr>
                <w:sz w:val="19"/>
                <w:szCs w:val="19"/>
                <w:lang w:val="es-ES_tradnl"/>
              </w:rPr>
              <w:t>11)</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344***</w:t>
            </w:r>
            <w:r w:rsidRPr="00A94BEF">
              <w:rPr>
                <w:sz w:val="19"/>
                <w:szCs w:val="19"/>
                <w:lang w:val="es-ES_tradnl"/>
              </w:rPr>
              <w:br/>
              <w:t>(27</w:t>
            </w:r>
            <w:r w:rsidR="00650DB7">
              <w:rPr>
                <w:sz w:val="19"/>
                <w:szCs w:val="19"/>
                <w:lang w:val="es-ES_tradnl"/>
              </w:rPr>
              <w:t>,</w:t>
            </w:r>
            <w:r w:rsidRPr="00A94BEF">
              <w:rPr>
                <w:sz w:val="19"/>
                <w:szCs w:val="19"/>
                <w:lang w:val="es-ES_tradnl"/>
              </w:rPr>
              <w:t>98)</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624***</w:t>
            </w:r>
            <w:r w:rsidRPr="00A94BEF">
              <w:rPr>
                <w:sz w:val="19"/>
                <w:szCs w:val="19"/>
                <w:lang w:val="es-ES_tradnl"/>
              </w:rPr>
              <w:br/>
              <w:t>(26</w:t>
            </w:r>
            <w:r w:rsidR="00650DB7">
              <w:rPr>
                <w:sz w:val="19"/>
                <w:szCs w:val="19"/>
                <w:lang w:val="es-ES_tradnl"/>
              </w:rPr>
              <w:t>,</w:t>
            </w:r>
            <w:r w:rsidRPr="00A94BEF">
              <w:rPr>
                <w:sz w:val="19"/>
                <w:szCs w:val="19"/>
                <w:lang w:val="es-ES_tradnl"/>
              </w:rPr>
              <w:t>97)</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6A4332">
            <w:pPr>
              <w:shd w:val="clear" w:color="auto" w:fill="FFFFFF" w:themeFill="background1"/>
              <w:spacing w:before="40" w:after="44"/>
              <w:rPr>
                <w:sz w:val="19"/>
                <w:szCs w:val="19"/>
                <w:lang w:val="es-ES_tradnl"/>
              </w:rPr>
            </w:pPr>
            <w:r w:rsidRPr="00A94BEF">
              <w:rPr>
                <w:sz w:val="19"/>
                <w:szCs w:val="19"/>
                <w:lang w:val="es-ES_tradnl"/>
              </w:rPr>
              <w:t xml:space="preserve">2 </w:t>
            </w:r>
            <w:r w:rsidR="006A4332">
              <w:rPr>
                <w:sz w:val="19"/>
                <w:szCs w:val="19"/>
                <w:lang w:val="es-ES_tradnl"/>
              </w:rPr>
              <w:t>oficinas</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654***</w:t>
            </w:r>
            <w:r w:rsidRPr="00A94BEF">
              <w:rPr>
                <w:sz w:val="19"/>
                <w:szCs w:val="19"/>
                <w:lang w:val="es-ES_tradnl"/>
              </w:rPr>
              <w:br/>
              <w:t>(-4</w:t>
            </w:r>
            <w:r w:rsidR="00650DB7">
              <w:rPr>
                <w:sz w:val="19"/>
                <w:szCs w:val="19"/>
                <w:lang w:val="es-ES_tradnl"/>
              </w:rPr>
              <w:t>,</w:t>
            </w:r>
            <w:r w:rsidRPr="00A94BEF">
              <w:rPr>
                <w:sz w:val="19"/>
                <w:szCs w:val="19"/>
                <w:lang w:val="es-ES_tradnl"/>
              </w:rPr>
              <w:t>20)</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651***</w:t>
            </w:r>
            <w:r w:rsidRPr="00A94BEF">
              <w:rPr>
                <w:sz w:val="19"/>
                <w:szCs w:val="19"/>
                <w:lang w:val="es-ES_tradnl"/>
              </w:rPr>
              <w:br/>
              <w:t>(-4</w:t>
            </w:r>
            <w:r w:rsidR="00650DB7">
              <w:rPr>
                <w:sz w:val="19"/>
                <w:szCs w:val="19"/>
                <w:lang w:val="es-ES_tradnl"/>
              </w:rPr>
              <w:t>,</w:t>
            </w:r>
            <w:r w:rsidRPr="00A94BEF">
              <w:rPr>
                <w:sz w:val="19"/>
                <w:szCs w:val="19"/>
                <w:lang w:val="es-ES_tradnl"/>
              </w:rPr>
              <w:t>17)</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705***</w:t>
            </w:r>
            <w:r w:rsidRPr="00A94BEF">
              <w:rPr>
                <w:sz w:val="19"/>
                <w:szCs w:val="19"/>
                <w:lang w:val="es-ES_tradnl"/>
              </w:rPr>
              <w:br/>
              <w:t>(-4</w:t>
            </w:r>
            <w:r w:rsidR="00650DB7">
              <w:rPr>
                <w:sz w:val="19"/>
                <w:szCs w:val="19"/>
                <w:lang w:val="es-ES_tradnl"/>
              </w:rPr>
              <w:t>,</w:t>
            </w:r>
            <w:r w:rsidRPr="00A94BEF">
              <w:rPr>
                <w:sz w:val="19"/>
                <w:szCs w:val="19"/>
                <w:lang w:val="es-ES_tradnl"/>
              </w:rPr>
              <w:t>52)</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6A4332">
            <w:pPr>
              <w:shd w:val="clear" w:color="auto" w:fill="FFFFFF" w:themeFill="background1"/>
              <w:spacing w:before="40" w:after="44"/>
              <w:rPr>
                <w:sz w:val="19"/>
                <w:szCs w:val="19"/>
                <w:lang w:val="es-ES_tradnl"/>
              </w:rPr>
            </w:pPr>
            <w:r w:rsidRPr="00A94BEF">
              <w:rPr>
                <w:sz w:val="19"/>
                <w:szCs w:val="19"/>
                <w:lang w:val="es-ES_tradnl"/>
              </w:rPr>
              <w:t xml:space="preserve">3 </w:t>
            </w:r>
            <w:r w:rsidR="006A4332">
              <w:rPr>
                <w:sz w:val="19"/>
                <w:szCs w:val="19"/>
                <w:lang w:val="es-ES_tradnl"/>
              </w:rPr>
              <w:t>oficinas</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288*</w:t>
            </w:r>
            <w:r w:rsidRPr="00A94BEF">
              <w:rPr>
                <w:sz w:val="19"/>
                <w:szCs w:val="19"/>
                <w:lang w:val="es-ES_tradnl"/>
              </w:rPr>
              <w:br/>
              <w:t>(-1</w:t>
            </w:r>
            <w:r w:rsidR="00650DB7">
              <w:rPr>
                <w:sz w:val="19"/>
                <w:szCs w:val="19"/>
                <w:lang w:val="es-ES_tradnl"/>
              </w:rPr>
              <w:t>,</w:t>
            </w:r>
            <w:r w:rsidRPr="00A94BEF">
              <w:rPr>
                <w:sz w:val="19"/>
                <w:szCs w:val="19"/>
                <w:lang w:val="es-ES_tradnl"/>
              </w:rPr>
              <w:t>85)</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240</w:t>
            </w:r>
            <w:r w:rsidRPr="00A94BEF">
              <w:rPr>
                <w:sz w:val="19"/>
                <w:szCs w:val="19"/>
                <w:lang w:val="es-ES_tradnl"/>
              </w:rPr>
              <w:br/>
              <w:t>(-1</w:t>
            </w:r>
            <w:r w:rsidR="00650DB7">
              <w:rPr>
                <w:sz w:val="19"/>
                <w:szCs w:val="19"/>
                <w:lang w:val="es-ES_tradnl"/>
              </w:rPr>
              <w:t>,</w:t>
            </w:r>
            <w:r w:rsidRPr="00A94BEF">
              <w:rPr>
                <w:sz w:val="19"/>
                <w:szCs w:val="19"/>
                <w:lang w:val="es-ES_tradnl"/>
              </w:rPr>
              <w:t>54)</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342**</w:t>
            </w:r>
            <w:r w:rsidRPr="00A94BEF">
              <w:rPr>
                <w:sz w:val="19"/>
                <w:szCs w:val="19"/>
                <w:lang w:val="es-ES_tradnl"/>
              </w:rPr>
              <w:br/>
              <w:t>(-2</w:t>
            </w:r>
            <w:r w:rsidR="00650DB7">
              <w:rPr>
                <w:sz w:val="19"/>
                <w:szCs w:val="19"/>
                <w:lang w:val="es-ES_tradnl"/>
              </w:rPr>
              <w:t>,</w:t>
            </w:r>
            <w:r w:rsidRPr="00A94BEF">
              <w:rPr>
                <w:sz w:val="19"/>
                <w:szCs w:val="19"/>
                <w:lang w:val="es-ES_tradnl"/>
              </w:rPr>
              <w:t>19)</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6A4332">
            <w:pPr>
              <w:shd w:val="clear" w:color="auto" w:fill="FFFFFF" w:themeFill="background1"/>
              <w:spacing w:before="40" w:after="44"/>
              <w:rPr>
                <w:sz w:val="19"/>
                <w:szCs w:val="19"/>
                <w:lang w:val="es-ES_tradnl"/>
              </w:rPr>
            </w:pPr>
            <w:r w:rsidRPr="00A94BEF">
              <w:rPr>
                <w:sz w:val="19"/>
                <w:szCs w:val="19"/>
                <w:lang w:val="es-ES_tradnl"/>
              </w:rPr>
              <w:t xml:space="preserve">4 </w:t>
            </w:r>
            <w:r w:rsidR="006A4332">
              <w:rPr>
                <w:sz w:val="19"/>
                <w:szCs w:val="19"/>
                <w:lang w:val="es-ES_tradnl"/>
              </w:rPr>
              <w:t>oficinas</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026</w:t>
            </w:r>
            <w:r w:rsidRPr="00A94BEF">
              <w:rPr>
                <w:sz w:val="19"/>
                <w:szCs w:val="19"/>
                <w:lang w:val="es-ES_tradnl"/>
              </w:rPr>
              <w:br/>
              <w:t>(0</w:t>
            </w:r>
            <w:r w:rsidR="00650DB7">
              <w:rPr>
                <w:sz w:val="19"/>
                <w:szCs w:val="19"/>
                <w:lang w:val="es-ES_tradnl"/>
              </w:rPr>
              <w:t>,</w:t>
            </w:r>
            <w:r w:rsidRPr="00A94BEF">
              <w:rPr>
                <w:sz w:val="19"/>
                <w:szCs w:val="19"/>
                <w:lang w:val="es-ES_tradnl"/>
              </w:rPr>
              <w:t>16)</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156</w:t>
            </w:r>
            <w:r w:rsidRPr="00A94BEF">
              <w:rPr>
                <w:sz w:val="19"/>
                <w:szCs w:val="19"/>
                <w:lang w:val="es-ES_tradnl"/>
              </w:rPr>
              <w:br/>
              <w:t>(1</w:t>
            </w:r>
            <w:r w:rsidR="00650DB7">
              <w:rPr>
                <w:sz w:val="19"/>
                <w:szCs w:val="19"/>
                <w:lang w:val="es-ES_tradnl"/>
              </w:rPr>
              <w:t>,</w:t>
            </w:r>
            <w:r w:rsidRPr="00A94BEF">
              <w:rPr>
                <w:sz w:val="19"/>
                <w:szCs w:val="19"/>
                <w:lang w:val="es-ES_tradnl"/>
              </w:rPr>
              <w:t>00)</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029</w:t>
            </w:r>
            <w:r w:rsidRPr="00A94BEF">
              <w:rPr>
                <w:sz w:val="19"/>
                <w:szCs w:val="19"/>
                <w:lang w:val="es-ES_tradnl"/>
              </w:rPr>
              <w:br/>
              <w:t>(-0</w:t>
            </w:r>
            <w:r w:rsidR="00650DB7">
              <w:rPr>
                <w:sz w:val="19"/>
                <w:szCs w:val="19"/>
                <w:lang w:val="es-ES_tradnl"/>
              </w:rPr>
              <w:t>,</w:t>
            </w:r>
            <w:r w:rsidRPr="00A94BEF">
              <w:rPr>
                <w:sz w:val="19"/>
                <w:szCs w:val="19"/>
                <w:lang w:val="es-ES_tradnl"/>
              </w:rPr>
              <w:t>18)</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6A4332">
            <w:pPr>
              <w:shd w:val="clear" w:color="auto" w:fill="FFFFFF" w:themeFill="background1"/>
              <w:spacing w:before="40" w:after="44"/>
              <w:rPr>
                <w:sz w:val="19"/>
                <w:szCs w:val="19"/>
                <w:lang w:val="es-ES_tradnl"/>
              </w:rPr>
            </w:pPr>
            <w:r w:rsidRPr="00A94BEF">
              <w:rPr>
                <w:sz w:val="19"/>
                <w:szCs w:val="19"/>
                <w:lang w:val="es-ES_tradnl"/>
              </w:rPr>
              <w:t xml:space="preserve">5 </w:t>
            </w:r>
            <w:r w:rsidR="006A4332">
              <w:rPr>
                <w:sz w:val="19"/>
                <w:szCs w:val="19"/>
                <w:lang w:val="es-ES_tradnl"/>
              </w:rPr>
              <w:t>oficinas</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248</w:t>
            </w:r>
            <w:r w:rsidRPr="00A94BEF">
              <w:rPr>
                <w:sz w:val="19"/>
                <w:szCs w:val="19"/>
                <w:lang w:val="es-ES_tradnl"/>
              </w:rPr>
              <w:br/>
              <w:t>(1</w:t>
            </w:r>
            <w:r w:rsidR="00650DB7">
              <w:rPr>
                <w:sz w:val="19"/>
                <w:szCs w:val="19"/>
                <w:lang w:val="es-ES_tradnl"/>
              </w:rPr>
              <w:t>,</w:t>
            </w:r>
            <w:r w:rsidRPr="00A94BEF">
              <w:rPr>
                <w:sz w:val="19"/>
                <w:szCs w:val="19"/>
                <w:lang w:val="es-ES_tradnl"/>
              </w:rPr>
              <w:t>59)</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301*</w:t>
            </w:r>
            <w:r w:rsidRPr="00A94BEF">
              <w:rPr>
                <w:sz w:val="19"/>
                <w:szCs w:val="19"/>
                <w:lang w:val="es-ES_tradnl"/>
              </w:rPr>
              <w:br/>
              <w:t>(1</w:t>
            </w:r>
            <w:r w:rsidR="00650DB7">
              <w:rPr>
                <w:sz w:val="19"/>
                <w:szCs w:val="19"/>
                <w:lang w:val="es-ES_tradnl"/>
              </w:rPr>
              <w:t>,</w:t>
            </w:r>
            <w:r w:rsidRPr="00A94BEF">
              <w:rPr>
                <w:sz w:val="19"/>
                <w:szCs w:val="19"/>
                <w:lang w:val="es-ES_tradnl"/>
              </w:rPr>
              <w:t>93)</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194</w:t>
            </w:r>
            <w:r w:rsidRPr="00A94BEF">
              <w:rPr>
                <w:sz w:val="19"/>
                <w:szCs w:val="19"/>
                <w:lang w:val="es-ES_tradnl"/>
              </w:rPr>
              <w:br/>
              <w:t>(1</w:t>
            </w:r>
            <w:r w:rsidR="00650DB7">
              <w:rPr>
                <w:sz w:val="19"/>
                <w:szCs w:val="19"/>
                <w:lang w:val="es-ES_tradnl"/>
              </w:rPr>
              <w:t>,</w:t>
            </w:r>
            <w:r w:rsidRPr="00A94BEF">
              <w:rPr>
                <w:sz w:val="19"/>
                <w:szCs w:val="19"/>
                <w:lang w:val="es-ES_tradnl"/>
              </w:rPr>
              <w:t>24)</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6A4332" w:rsidP="006A4332">
            <w:pPr>
              <w:shd w:val="clear" w:color="auto" w:fill="FFFFFF" w:themeFill="background1"/>
              <w:spacing w:before="40" w:after="44"/>
              <w:rPr>
                <w:sz w:val="19"/>
                <w:szCs w:val="19"/>
                <w:lang w:val="es-ES_tradnl"/>
              </w:rPr>
            </w:pPr>
            <w:r>
              <w:rPr>
                <w:sz w:val="19"/>
                <w:szCs w:val="19"/>
                <w:lang w:val="es-ES_tradnl"/>
              </w:rPr>
              <w:t>6 o más oficinas</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551***</w:t>
            </w:r>
            <w:r w:rsidRPr="00A94BEF">
              <w:rPr>
                <w:sz w:val="19"/>
                <w:szCs w:val="19"/>
                <w:lang w:val="es-ES_tradnl"/>
              </w:rPr>
              <w:br/>
              <w:t>(3</w:t>
            </w:r>
            <w:r w:rsidR="00650DB7">
              <w:rPr>
                <w:sz w:val="19"/>
                <w:szCs w:val="19"/>
                <w:lang w:val="es-ES_tradnl"/>
              </w:rPr>
              <w:t>,</w:t>
            </w:r>
            <w:r w:rsidRPr="00A94BEF">
              <w:rPr>
                <w:sz w:val="19"/>
                <w:szCs w:val="19"/>
                <w:lang w:val="es-ES_tradnl"/>
              </w:rPr>
              <w:t>54)</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460**</w:t>
            </w:r>
            <w:r w:rsidRPr="00A94BEF">
              <w:rPr>
                <w:sz w:val="19"/>
                <w:szCs w:val="19"/>
                <w:lang w:val="es-ES_tradnl"/>
              </w:rPr>
              <w:br/>
              <w:t>(2</w:t>
            </w:r>
            <w:r w:rsidR="00650DB7">
              <w:rPr>
                <w:sz w:val="19"/>
                <w:szCs w:val="19"/>
                <w:lang w:val="es-ES_tradnl"/>
              </w:rPr>
              <w:t>,</w:t>
            </w:r>
            <w:r w:rsidRPr="00A94BEF">
              <w:rPr>
                <w:sz w:val="19"/>
                <w:szCs w:val="19"/>
                <w:lang w:val="es-ES_tradnl"/>
              </w:rPr>
              <w:t>95)</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499***</w:t>
            </w:r>
            <w:r w:rsidRPr="00A94BEF">
              <w:rPr>
                <w:sz w:val="19"/>
                <w:szCs w:val="19"/>
                <w:lang w:val="es-ES_tradnl"/>
              </w:rPr>
              <w:br/>
              <w:t>(3</w:t>
            </w:r>
            <w:r w:rsidR="00650DB7">
              <w:rPr>
                <w:sz w:val="19"/>
                <w:szCs w:val="19"/>
                <w:lang w:val="es-ES_tradnl"/>
              </w:rPr>
              <w:t>,</w:t>
            </w:r>
            <w:r w:rsidRPr="00A94BEF">
              <w:rPr>
                <w:sz w:val="19"/>
                <w:szCs w:val="19"/>
                <w:lang w:val="es-ES_tradnl"/>
              </w:rPr>
              <w:t>20)</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rPr>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eastAsiaTheme="minorEastAsia"/>
                <w:sz w:val="19"/>
                <w:szCs w:val="19"/>
                <w:lang w:val="es-ES_tradnl"/>
              </w:rPr>
              <w:t xml:space="preserve"> * (2 </w:t>
            </w:r>
            <w:r w:rsidR="006A4332">
              <w:rPr>
                <w:rFonts w:eastAsiaTheme="minorEastAsia"/>
                <w:sz w:val="19"/>
                <w:szCs w:val="19"/>
                <w:lang w:val="es-ES_tradnl"/>
              </w:rPr>
              <w:t>oficinas</w:t>
            </w:r>
            <w:r w:rsidRPr="00A94BEF">
              <w:rPr>
                <w:rFonts w:eastAsiaTheme="minorEastAsia"/>
                <w:sz w:val="19"/>
                <w:szCs w:val="19"/>
                <w:lang w:val="es-ES_tradnl"/>
              </w:rPr>
              <w:t>)</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048**</w:t>
            </w:r>
            <w:r w:rsidRPr="00A94BEF">
              <w:rPr>
                <w:sz w:val="19"/>
                <w:szCs w:val="19"/>
                <w:lang w:val="es-ES_tradnl"/>
              </w:rPr>
              <w:br/>
              <w:t>(-2</w:t>
            </w:r>
            <w:r w:rsidR="00650DB7">
              <w:rPr>
                <w:sz w:val="19"/>
                <w:szCs w:val="19"/>
                <w:lang w:val="es-ES_tradnl"/>
              </w:rPr>
              <w:t>,</w:t>
            </w:r>
            <w:r w:rsidRPr="00A94BEF">
              <w:rPr>
                <w:sz w:val="19"/>
                <w:szCs w:val="19"/>
                <w:lang w:val="es-ES_tradnl"/>
              </w:rPr>
              <w:t>36)</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956380">
            <w:pPr>
              <w:shd w:val="clear" w:color="auto" w:fill="FFFFFF" w:themeFill="background1"/>
              <w:spacing w:before="40" w:after="44"/>
              <w:rPr>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eastAsiaTheme="minorEastAsia"/>
                <w:sz w:val="19"/>
                <w:szCs w:val="19"/>
                <w:lang w:val="es-ES_tradnl"/>
              </w:rPr>
              <w:t xml:space="preserve"> * (3 </w:t>
            </w:r>
            <w:r w:rsidR="006A4332">
              <w:rPr>
                <w:rFonts w:eastAsiaTheme="minorEastAsia"/>
                <w:sz w:val="19"/>
                <w:szCs w:val="19"/>
                <w:lang w:val="es-ES_tradnl"/>
              </w:rPr>
              <w:t>oficinas</w:t>
            </w:r>
            <w:r w:rsidRPr="00A94BEF">
              <w:rPr>
                <w:rFonts w:eastAsiaTheme="minorEastAsia"/>
                <w:sz w:val="19"/>
                <w:szCs w:val="19"/>
                <w:lang w:val="es-ES_tradnl"/>
              </w:rPr>
              <w:t>)</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059***</w:t>
            </w:r>
            <w:r w:rsidRPr="00A94BEF">
              <w:rPr>
                <w:sz w:val="19"/>
                <w:szCs w:val="19"/>
                <w:lang w:val="es-ES_tradnl"/>
              </w:rPr>
              <w:br/>
              <w:t>(-2</w:t>
            </w:r>
            <w:r w:rsidR="00650DB7">
              <w:rPr>
                <w:sz w:val="19"/>
                <w:szCs w:val="19"/>
                <w:lang w:val="es-ES_tradnl"/>
              </w:rPr>
              <w:t>,</w:t>
            </w:r>
            <w:r w:rsidRPr="00A94BEF">
              <w:rPr>
                <w:sz w:val="19"/>
                <w:szCs w:val="19"/>
                <w:lang w:val="es-ES_tradnl"/>
              </w:rPr>
              <w:t>87)</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rPr>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eastAsiaTheme="minorEastAsia"/>
                <w:sz w:val="19"/>
                <w:szCs w:val="19"/>
                <w:lang w:val="es-ES_tradnl"/>
              </w:rPr>
              <w:t xml:space="preserve"> * (4 </w:t>
            </w:r>
            <w:r w:rsidR="006A4332">
              <w:rPr>
                <w:rFonts w:eastAsiaTheme="minorEastAsia"/>
                <w:sz w:val="19"/>
                <w:szCs w:val="19"/>
                <w:lang w:val="es-ES_tradnl"/>
              </w:rPr>
              <w:t>oficinas</w:t>
            </w:r>
            <w:r w:rsidRPr="00A94BEF">
              <w:rPr>
                <w:rFonts w:eastAsiaTheme="minorEastAsia"/>
                <w:sz w:val="19"/>
                <w:szCs w:val="19"/>
                <w:lang w:val="es-ES_tradnl"/>
              </w:rPr>
              <w:t>)</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076***</w:t>
            </w:r>
            <w:r w:rsidRPr="00A94BEF">
              <w:rPr>
                <w:sz w:val="19"/>
                <w:szCs w:val="19"/>
                <w:lang w:val="es-ES_tradnl"/>
              </w:rPr>
              <w:br/>
              <w:t>(-3</w:t>
            </w:r>
            <w:r w:rsidR="00650DB7">
              <w:rPr>
                <w:sz w:val="19"/>
                <w:szCs w:val="19"/>
                <w:lang w:val="es-ES_tradnl"/>
              </w:rPr>
              <w:t>,</w:t>
            </w:r>
            <w:r w:rsidRPr="00A94BEF">
              <w:rPr>
                <w:sz w:val="19"/>
                <w:szCs w:val="19"/>
                <w:lang w:val="es-ES_tradnl"/>
              </w:rPr>
              <w:t>69)</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956380">
            <w:pPr>
              <w:shd w:val="clear" w:color="auto" w:fill="FFFFFF" w:themeFill="background1"/>
              <w:spacing w:before="40" w:after="44"/>
              <w:rPr>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eastAsiaTheme="minorEastAsia"/>
                <w:sz w:val="19"/>
                <w:szCs w:val="19"/>
                <w:lang w:val="es-ES_tradnl"/>
              </w:rPr>
              <w:t xml:space="preserve"> * (5 </w:t>
            </w:r>
            <w:r w:rsidR="006A4332">
              <w:rPr>
                <w:rFonts w:eastAsiaTheme="minorEastAsia"/>
                <w:sz w:val="19"/>
                <w:szCs w:val="19"/>
                <w:lang w:val="es-ES_tradnl"/>
              </w:rPr>
              <w:t>oficinas</w:t>
            </w:r>
            <w:r w:rsidRPr="00A94BEF">
              <w:rPr>
                <w:rFonts w:eastAsiaTheme="minorEastAsia"/>
                <w:sz w:val="19"/>
                <w:szCs w:val="19"/>
                <w:lang w:val="es-ES_tradnl"/>
              </w:rPr>
              <w:t>)</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060***</w:t>
            </w:r>
            <w:r w:rsidRPr="00A94BEF">
              <w:rPr>
                <w:sz w:val="19"/>
                <w:szCs w:val="19"/>
                <w:lang w:val="es-ES_tradnl"/>
              </w:rPr>
              <w:br/>
              <w:t>(-2</w:t>
            </w:r>
            <w:r w:rsidR="00650DB7">
              <w:rPr>
                <w:sz w:val="19"/>
                <w:szCs w:val="19"/>
                <w:lang w:val="es-ES_tradnl"/>
              </w:rPr>
              <w:t>,</w:t>
            </w:r>
            <w:r w:rsidRPr="00A94BEF">
              <w:rPr>
                <w:sz w:val="19"/>
                <w:szCs w:val="19"/>
                <w:lang w:val="es-ES_tradnl"/>
              </w:rPr>
              <w:t>90)</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6A4332">
            <w:pPr>
              <w:shd w:val="clear" w:color="auto" w:fill="FFFFFF" w:themeFill="background1"/>
              <w:spacing w:before="40" w:after="44"/>
              <w:rPr>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eastAsiaTheme="minorEastAsia"/>
                <w:sz w:val="19"/>
                <w:szCs w:val="19"/>
                <w:lang w:val="es-ES_tradnl"/>
              </w:rPr>
              <w:t xml:space="preserve"> * (6 </w:t>
            </w:r>
            <w:r w:rsidR="006A4332">
              <w:rPr>
                <w:rFonts w:eastAsiaTheme="minorEastAsia"/>
                <w:sz w:val="19"/>
                <w:szCs w:val="19"/>
                <w:lang w:val="es-ES_tradnl"/>
              </w:rPr>
              <w:t>o más oficinas</w:t>
            </w:r>
            <w:r w:rsidRPr="00A94BEF">
              <w:rPr>
                <w:rFonts w:eastAsiaTheme="minorEastAsia"/>
                <w:sz w:val="19"/>
                <w:szCs w:val="19"/>
                <w:lang w:val="es-ES_tradnl"/>
              </w:rPr>
              <w:t>)</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021</w:t>
            </w:r>
            <w:r w:rsidRPr="00A94BEF">
              <w:rPr>
                <w:sz w:val="19"/>
                <w:szCs w:val="19"/>
                <w:lang w:val="es-ES_tradnl"/>
              </w:rPr>
              <w:br/>
              <w:t>(-1</w:t>
            </w:r>
            <w:r w:rsidR="00650DB7">
              <w:rPr>
                <w:sz w:val="19"/>
                <w:szCs w:val="19"/>
                <w:lang w:val="es-ES_tradnl"/>
              </w:rPr>
              <w:t>,</w:t>
            </w:r>
            <w:r w:rsidRPr="00A94BEF">
              <w:rPr>
                <w:sz w:val="19"/>
                <w:szCs w:val="19"/>
                <w:lang w:val="es-ES_tradnl"/>
              </w:rPr>
              <w:t>02)</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6A4332">
            <w:pPr>
              <w:shd w:val="clear" w:color="auto" w:fill="FFFFFF" w:themeFill="background1"/>
              <w:spacing w:before="40" w:after="44"/>
              <w:rPr>
                <w:rFonts w:ascii="Calibri" w:eastAsia="Calibri" w:hAnsi="Calibri" w:cs="Times New Roman"/>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ascii="Calibri" w:eastAsia="Calibri" w:hAnsi="Calibri" w:cs="Times New Roman"/>
                <w:sz w:val="19"/>
                <w:szCs w:val="19"/>
                <w:lang w:val="es-ES_tradnl"/>
              </w:rPr>
              <w:t xml:space="preserve"> * (</w:t>
            </w:r>
            <w:r w:rsidR="006A4332" w:rsidRPr="006A4332">
              <w:rPr>
                <w:rFonts w:ascii="Calibri" w:eastAsia="Calibri" w:hAnsi="Calibri" w:cs="Times New Roman"/>
                <w:sz w:val="19"/>
                <w:szCs w:val="19"/>
                <w:lang w:val="es-ES_tradnl"/>
              </w:rPr>
              <w:t>Solicitante de universidad</w:t>
            </w:r>
            <w:r w:rsidRPr="00A94BEF">
              <w:rPr>
                <w:rFonts w:ascii="Calibri" w:eastAsia="Calibri" w:hAnsi="Calibri" w:cs="Times New Roman"/>
                <w:sz w:val="19"/>
                <w:szCs w:val="19"/>
                <w:lang w:val="es-ES_tradnl"/>
              </w:rPr>
              <w:t>)</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115***</w:t>
            </w:r>
            <w:r w:rsidRPr="00A94BEF">
              <w:rPr>
                <w:sz w:val="19"/>
                <w:szCs w:val="19"/>
                <w:lang w:val="es-ES_tradnl"/>
              </w:rPr>
              <w:br/>
              <w:t>(-5</w:t>
            </w:r>
            <w:r w:rsidR="00650DB7">
              <w:rPr>
                <w:sz w:val="19"/>
                <w:szCs w:val="19"/>
                <w:lang w:val="es-ES_tradnl"/>
              </w:rPr>
              <w:t>,</w:t>
            </w:r>
            <w:r w:rsidRPr="00A94BEF">
              <w:rPr>
                <w:sz w:val="19"/>
                <w:szCs w:val="19"/>
                <w:lang w:val="es-ES_tradnl"/>
              </w:rPr>
              <w:t>53)</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956380" w:rsidP="006A4332">
            <w:pPr>
              <w:shd w:val="clear" w:color="auto" w:fill="FFFFFF" w:themeFill="background1"/>
              <w:spacing w:before="40" w:after="44"/>
              <w:rPr>
                <w:rFonts w:ascii="Calibri" w:eastAsia="Calibri" w:hAnsi="Calibri" w:cs="Times New Roman"/>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ascii="Calibri" w:eastAsia="Calibri" w:hAnsi="Calibri" w:cs="Times New Roman"/>
                <w:sz w:val="19"/>
                <w:szCs w:val="19"/>
                <w:lang w:val="es-ES_tradnl"/>
              </w:rPr>
              <w:t xml:space="preserve"> * (</w:t>
            </w:r>
            <w:r w:rsidR="006A4332" w:rsidRPr="006A4332">
              <w:rPr>
                <w:rFonts w:ascii="Calibri" w:eastAsia="Calibri" w:hAnsi="Calibri" w:cs="Times New Roman"/>
                <w:sz w:val="19"/>
                <w:szCs w:val="19"/>
                <w:lang w:val="es-ES_tradnl"/>
              </w:rPr>
              <w:t>Solicitante de institución pública de investigación</w:t>
            </w:r>
            <w:r w:rsidRPr="00A94BEF">
              <w:rPr>
                <w:rFonts w:ascii="Calibri" w:eastAsia="Calibri" w:hAnsi="Calibri" w:cs="Times New Roman"/>
                <w:sz w:val="19"/>
                <w:szCs w:val="19"/>
                <w:lang w:val="es-ES_tradnl"/>
              </w:rPr>
              <w:t>)</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44"/>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084***</w:t>
            </w:r>
            <w:r w:rsidRPr="00A94BEF">
              <w:rPr>
                <w:sz w:val="19"/>
                <w:szCs w:val="19"/>
                <w:lang w:val="es-ES_tradnl"/>
              </w:rPr>
              <w:br/>
              <w:t>(-4</w:t>
            </w:r>
            <w:r w:rsidR="00650DB7">
              <w:rPr>
                <w:sz w:val="19"/>
                <w:szCs w:val="19"/>
                <w:lang w:val="es-ES_tradnl"/>
              </w:rPr>
              <w:t>,</w:t>
            </w:r>
            <w:r w:rsidRPr="00A94BEF">
              <w:rPr>
                <w:sz w:val="19"/>
                <w:szCs w:val="19"/>
                <w:lang w:val="es-ES_tradnl"/>
              </w:rPr>
              <w:t>08)</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956380" w:rsidP="006A4332">
            <w:pPr>
              <w:shd w:val="clear" w:color="auto" w:fill="FFFFFF" w:themeFill="background1"/>
              <w:spacing w:before="40" w:after="44"/>
              <w:rPr>
                <w:rFonts w:ascii="Calibri" w:eastAsia="Calibri" w:hAnsi="Calibri" w:cs="Times New Roman"/>
                <w:sz w:val="19"/>
                <w:szCs w:val="19"/>
                <w:lang w:val="es-ES_tradnl"/>
              </w:rPr>
            </w:pPr>
            <m:oMath>
              <m:r>
                <m:rPr>
                  <m:sty m:val="b"/>
                </m:rPr>
                <w:rPr>
                  <w:rFonts w:ascii="Cambria Math" w:hAnsi="Cambria Math"/>
                  <w:sz w:val="19"/>
                  <w:szCs w:val="19"/>
                  <w:lang w:val="es-ES_tradnl"/>
                </w:rPr>
                <m:t>ln</m:t>
              </m:r>
              <m:sSub>
                <m:sSubPr>
                  <m:ctrlPr>
                    <w:rPr>
                      <w:rFonts w:ascii="Cambria Math" w:eastAsiaTheme="minorEastAsia" w:hAnsi="Cambria Math"/>
                      <w:i/>
                      <w:sz w:val="19"/>
                      <w:szCs w:val="19"/>
                      <w:lang w:val="es-ES_tradnl"/>
                    </w:rPr>
                  </m:ctrlPr>
                </m:sSubPr>
                <m:e>
                  <m:r>
                    <m:rPr>
                      <m:sty m:val="bi"/>
                    </m:rPr>
                    <w:rPr>
                      <w:rFonts w:ascii="Cambria Math" w:eastAsiaTheme="minorEastAsia" w:hAnsi="Cambria Math"/>
                      <w:sz w:val="19"/>
                      <w:szCs w:val="19"/>
                      <w:lang w:val="es-ES_tradnl"/>
                    </w:rPr>
                    <m:t>f</m:t>
                  </m:r>
                </m:e>
                <m:sub>
                  <m:r>
                    <m:rPr>
                      <m:sty m:val="bi"/>
                    </m:rPr>
                    <w:rPr>
                      <w:rFonts w:ascii="Cambria Math" w:eastAsiaTheme="minorEastAsia" w:hAnsi="Cambria Math"/>
                      <w:sz w:val="19"/>
                      <w:szCs w:val="19"/>
                      <w:lang w:val="es-ES_tradnl"/>
                    </w:rPr>
                    <m:t>ijt</m:t>
                  </m:r>
                </m:sub>
              </m:sSub>
            </m:oMath>
            <w:r w:rsidRPr="00A94BEF">
              <w:rPr>
                <w:rFonts w:ascii="Calibri" w:eastAsia="Calibri" w:hAnsi="Calibri" w:cs="Times New Roman"/>
                <w:sz w:val="19"/>
                <w:szCs w:val="19"/>
                <w:lang w:val="es-ES_tradnl"/>
              </w:rPr>
              <w:t xml:space="preserve"> * (</w:t>
            </w:r>
            <w:r w:rsidR="006A4332">
              <w:rPr>
                <w:rFonts w:ascii="Calibri" w:eastAsia="Calibri" w:hAnsi="Calibri" w:cs="Times New Roman"/>
                <w:sz w:val="19"/>
                <w:szCs w:val="19"/>
                <w:lang w:val="es-ES_tradnl"/>
              </w:rPr>
              <w:t>Otro solicitante</w:t>
            </w:r>
            <w:r w:rsidRPr="00A94BEF">
              <w:rPr>
                <w:rFonts w:ascii="Calibri" w:eastAsia="Calibri" w:hAnsi="Calibri" w:cs="Times New Roman"/>
                <w:sz w:val="19"/>
                <w:szCs w:val="19"/>
                <w:lang w:val="es-ES_tradnl"/>
              </w:rPr>
              <w:t>)</w:t>
            </w: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p>
        </w:tc>
        <w:tc>
          <w:tcPr>
            <w:tcW w:w="1323" w:type="dxa"/>
            <w:shd w:val="clear" w:color="auto" w:fill="FFFFFF" w:themeFill="background1"/>
          </w:tcPr>
          <w:p w:rsidR="00956380" w:rsidRPr="00A94BEF" w:rsidRDefault="00956380" w:rsidP="00956380">
            <w:pPr>
              <w:shd w:val="clear" w:color="auto" w:fill="FFFFFF" w:themeFill="background1"/>
              <w:spacing w:before="40" w:after="44"/>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034*</w:t>
            </w:r>
            <w:r w:rsidRPr="00A94BEF">
              <w:rPr>
                <w:sz w:val="19"/>
                <w:szCs w:val="19"/>
                <w:lang w:val="es-ES_tradnl"/>
              </w:rPr>
              <w:br/>
              <w:t>(-1</w:t>
            </w:r>
            <w:r w:rsidR="00650DB7">
              <w:rPr>
                <w:sz w:val="19"/>
                <w:szCs w:val="19"/>
                <w:lang w:val="es-ES_tradnl"/>
              </w:rPr>
              <w:t>,</w:t>
            </w:r>
            <w:r w:rsidRPr="00A94BEF">
              <w:rPr>
                <w:sz w:val="19"/>
                <w:szCs w:val="19"/>
                <w:lang w:val="es-ES_tradnl"/>
              </w:rPr>
              <w:t>66)</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07661C" w:rsidP="00956380">
            <w:pPr>
              <w:shd w:val="clear" w:color="auto" w:fill="FFFFFF" w:themeFill="background1"/>
              <w:spacing w:before="40" w:after="160"/>
              <w:rPr>
                <w:sz w:val="19"/>
                <w:szCs w:val="19"/>
                <w:lang w:val="es-ES_tradnl"/>
              </w:rPr>
            </w:pPr>
            <m:oMathPara>
              <m:oMathParaPr>
                <m:jc m:val="left"/>
              </m:oMathParaPr>
              <m:oMath>
                <m:sSub>
                  <m:sSubPr>
                    <m:ctrlPr>
                      <w:rPr>
                        <w:rFonts w:ascii="Cambria Math" w:hAnsi="Cambria Math"/>
                        <w:i/>
                        <w:sz w:val="19"/>
                        <w:szCs w:val="19"/>
                        <w:lang w:val="es-ES_tradnl"/>
                      </w:rPr>
                    </m:ctrlPr>
                  </m:sSubPr>
                  <m:e>
                    <m:r>
                      <m:rPr>
                        <m:sty m:val="bi"/>
                      </m:rPr>
                      <w:rPr>
                        <w:rFonts w:ascii="Cambria Math" w:hAnsi="Cambria Math"/>
                        <w:sz w:val="19"/>
                        <w:szCs w:val="19"/>
                        <w:lang w:val="es-ES_tradnl"/>
                      </w:rPr>
                      <m:t>mkt</m:t>
                    </m:r>
                  </m:e>
                  <m:sub>
                    <m:r>
                      <m:rPr>
                        <m:sty m:val="bi"/>
                      </m:rPr>
                      <w:rPr>
                        <w:rFonts w:ascii="Cambria Math" w:hAnsi="Cambria Math"/>
                        <w:sz w:val="19"/>
                        <w:szCs w:val="19"/>
                        <w:lang w:val="es-ES_tradnl"/>
                      </w:rPr>
                      <m:t>j(t-12)</m:t>
                    </m:r>
                  </m:sub>
                </m:sSub>
              </m:oMath>
            </m:oMathPara>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342***</w:t>
            </w:r>
            <w:r w:rsidRPr="00A94BEF">
              <w:rPr>
                <w:sz w:val="19"/>
                <w:szCs w:val="19"/>
                <w:lang w:val="es-ES_tradnl"/>
              </w:rPr>
              <w:br/>
              <w:t>(29</w:t>
            </w:r>
            <w:r w:rsidR="00650DB7">
              <w:rPr>
                <w:sz w:val="19"/>
                <w:szCs w:val="19"/>
                <w:lang w:val="es-ES_tradnl"/>
              </w:rPr>
              <w:t>,</w:t>
            </w:r>
            <w:r w:rsidRPr="00A94BEF">
              <w:rPr>
                <w:sz w:val="19"/>
                <w:szCs w:val="19"/>
                <w:lang w:val="es-ES_tradnl"/>
              </w:rPr>
              <w:t>38)</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355***</w:t>
            </w:r>
            <w:r w:rsidRPr="00A94BEF">
              <w:rPr>
                <w:sz w:val="19"/>
                <w:szCs w:val="19"/>
                <w:lang w:val="es-ES_tradnl"/>
              </w:rPr>
              <w:br/>
              <w:t>(28</w:t>
            </w:r>
            <w:r w:rsidR="00650DB7">
              <w:rPr>
                <w:sz w:val="19"/>
                <w:szCs w:val="19"/>
                <w:lang w:val="es-ES_tradnl"/>
              </w:rPr>
              <w:t>,</w:t>
            </w:r>
            <w:r w:rsidRPr="00A94BEF">
              <w:rPr>
                <w:sz w:val="19"/>
                <w:szCs w:val="19"/>
                <w:lang w:val="es-ES_tradnl"/>
              </w:rPr>
              <w:t>92)</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746***</w:t>
            </w:r>
            <w:r w:rsidRPr="00A94BEF">
              <w:rPr>
                <w:sz w:val="19"/>
                <w:szCs w:val="19"/>
                <w:lang w:val="es-ES_tradnl"/>
              </w:rPr>
              <w:br/>
              <w:t>(13</w:t>
            </w:r>
            <w:r w:rsidR="00650DB7">
              <w:rPr>
                <w:sz w:val="19"/>
                <w:szCs w:val="19"/>
                <w:lang w:val="es-ES_tradnl"/>
              </w:rPr>
              <w:t>,</w:t>
            </w:r>
            <w:r w:rsidRPr="00A94BEF">
              <w:rPr>
                <w:sz w:val="19"/>
                <w:szCs w:val="19"/>
                <w:lang w:val="es-ES_tradnl"/>
              </w:rPr>
              <w:t>98)</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742***</w:t>
            </w:r>
            <w:r w:rsidRPr="00A94BEF">
              <w:rPr>
                <w:sz w:val="19"/>
                <w:szCs w:val="19"/>
                <w:lang w:val="es-ES_tradnl"/>
              </w:rPr>
              <w:br/>
              <w:t>(13</w:t>
            </w:r>
            <w:r w:rsidR="00650DB7">
              <w:rPr>
                <w:sz w:val="19"/>
                <w:szCs w:val="19"/>
                <w:lang w:val="es-ES_tradnl"/>
              </w:rPr>
              <w:t>,</w:t>
            </w:r>
            <w:r w:rsidRPr="00A94BEF">
              <w:rPr>
                <w:sz w:val="19"/>
                <w:szCs w:val="19"/>
                <w:lang w:val="es-ES_tradnl"/>
              </w:rPr>
              <w:t>87)</w:t>
            </w:r>
          </w:p>
        </w:tc>
        <w:tc>
          <w:tcPr>
            <w:tcW w:w="1323" w:type="dxa"/>
            <w:tcBorders>
              <w:left w:val="none" w:sz="0" w:space="0" w:color="auto"/>
              <w:right w:val="none" w:sz="0" w:space="0" w:color="auto"/>
            </w:tcBorders>
            <w:shd w:val="clear" w:color="auto" w:fill="FFFFFF" w:themeFill="background1"/>
          </w:tcPr>
          <w:p w:rsidR="00956380" w:rsidRPr="00A94BEF" w:rsidRDefault="00956380" w:rsidP="00956380">
            <w:pPr>
              <w:shd w:val="clear" w:color="auto" w:fill="FFFFFF" w:themeFill="background1"/>
              <w:spacing w:before="40" w:after="16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0</w:t>
            </w:r>
            <w:r w:rsidR="00650DB7">
              <w:rPr>
                <w:sz w:val="19"/>
                <w:szCs w:val="19"/>
                <w:lang w:val="es-ES_tradnl"/>
              </w:rPr>
              <w:t>,</w:t>
            </w:r>
            <w:r w:rsidRPr="00A94BEF">
              <w:rPr>
                <w:sz w:val="19"/>
                <w:szCs w:val="19"/>
                <w:lang w:val="es-ES_tradnl"/>
              </w:rPr>
              <w:t>772***</w:t>
            </w:r>
            <w:r w:rsidRPr="00A94BEF">
              <w:rPr>
                <w:sz w:val="19"/>
                <w:szCs w:val="19"/>
                <w:lang w:val="es-ES_tradnl"/>
              </w:rPr>
              <w:br/>
              <w:t>(14</w:t>
            </w:r>
            <w:r w:rsidR="00650DB7">
              <w:rPr>
                <w:sz w:val="19"/>
                <w:szCs w:val="19"/>
                <w:lang w:val="es-ES_tradnl"/>
              </w:rPr>
              <w:t>,</w:t>
            </w:r>
            <w:r w:rsidRPr="00A94BEF">
              <w:rPr>
                <w:sz w:val="19"/>
                <w:szCs w:val="19"/>
                <w:lang w:val="es-ES_tradnl"/>
              </w:rPr>
              <w:t>47)</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6A4332" w:rsidP="00956380">
            <w:pPr>
              <w:shd w:val="clear" w:color="auto" w:fill="FFFFFF" w:themeFill="background1"/>
              <w:spacing w:before="36" w:after="36"/>
              <w:rPr>
                <w:i/>
                <w:sz w:val="19"/>
                <w:szCs w:val="19"/>
                <w:lang w:val="es-ES_tradnl"/>
              </w:rPr>
            </w:pPr>
            <w:r>
              <w:rPr>
                <w:i/>
                <w:sz w:val="19"/>
                <w:szCs w:val="19"/>
                <w:lang w:val="es-ES_tradnl"/>
              </w:rPr>
              <w:t>Efectos fijos del sector de la tecnología</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6A4332" w:rsidP="006A4332">
            <w:pPr>
              <w:shd w:val="clear" w:color="auto" w:fill="FFFFFF" w:themeFill="background1"/>
              <w:spacing w:before="36" w:after="36"/>
              <w:rPr>
                <w:i/>
                <w:sz w:val="19"/>
                <w:szCs w:val="19"/>
                <w:lang w:val="es-ES_tradnl"/>
              </w:rPr>
            </w:pPr>
            <w:r>
              <w:rPr>
                <w:i/>
                <w:sz w:val="19"/>
                <w:szCs w:val="19"/>
                <w:lang w:val="es-ES_tradnl"/>
              </w:rPr>
              <w:t>Efectos fijos del origen</w:t>
            </w:r>
          </w:p>
        </w:tc>
        <w:tc>
          <w:tcPr>
            <w:tcW w:w="1323" w:type="dxa"/>
            <w:tcBorders>
              <w:left w:val="none" w:sz="0" w:space="0" w:color="auto"/>
              <w:right w:val="none" w:sz="0" w:space="0" w:color="auto"/>
            </w:tcBorders>
            <w:shd w:val="clear" w:color="auto" w:fill="FFFFFF" w:themeFill="background1"/>
          </w:tcPr>
          <w:p w:rsidR="00956380" w:rsidRPr="00A94BEF" w:rsidRDefault="00DE43C5" w:rsidP="0095638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es-ES_tradnl"/>
              </w:rPr>
            </w:pPr>
            <w:r>
              <w:rPr>
                <w:i/>
                <w:sz w:val="19"/>
                <w:szCs w:val="19"/>
                <w:lang w:val="es-ES_tradnl"/>
              </w:rPr>
              <w:t>Sí</w:t>
            </w:r>
          </w:p>
        </w:tc>
        <w:tc>
          <w:tcPr>
            <w:tcW w:w="1323" w:type="dxa"/>
            <w:tcBorders>
              <w:left w:val="none" w:sz="0" w:space="0" w:color="auto"/>
              <w:right w:val="none" w:sz="0" w:space="0" w:color="auto"/>
            </w:tcBorders>
            <w:shd w:val="clear" w:color="auto" w:fill="FFFFFF" w:themeFill="background1"/>
          </w:tcPr>
          <w:p w:rsidR="00956380" w:rsidRPr="00A94BEF" w:rsidRDefault="00DE43C5" w:rsidP="0095638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es-ES_tradnl"/>
              </w:rPr>
            </w:pPr>
            <w:r>
              <w:rPr>
                <w:i/>
                <w:sz w:val="19"/>
                <w:szCs w:val="19"/>
                <w:lang w:val="es-ES_tradnl"/>
              </w:rPr>
              <w:t>Sí</w:t>
            </w:r>
          </w:p>
        </w:tc>
        <w:tc>
          <w:tcPr>
            <w:tcW w:w="1323" w:type="dxa"/>
            <w:tcBorders>
              <w:left w:val="none" w:sz="0" w:space="0" w:color="auto"/>
              <w:right w:val="none" w:sz="0" w:space="0" w:color="auto"/>
            </w:tcBorders>
            <w:shd w:val="clear" w:color="auto" w:fill="FFFFFF" w:themeFill="background1"/>
          </w:tcPr>
          <w:p w:rsidR="00956380" w:rsidRPr="00A94BEF" w:rsidRDefault="00DE43C5" w:rsidP="0095638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es-ES_tradnl"/>
              </w:rPr>
            </w:pPr>
            <w:r>
              <w:rPr>
                <w:i/>
                <w:sz w:val="19"/>
                <w:szCs w:val="19"/>
                <w:lang w:val="es-ES_tradnl"/>
              </w:rPr>
              <w:t>Sí</w:t>
            </w:r>
          </w:p>
        </w:tc>
        <w:tc>
          <w:tcPr>
            <w:tcW w:w="1323" w:type="dxa"/>
            <w:tcBorders>
              <w:left w:val="none" w:sz="0" w:space="0" w:color="auto"/>
              <w:right w:val="none" w:sz="0" w:space="0" w:color="auto"/>
            </w:tcBorders>
            <w:shd w:val="clear" w:color="auto" w:fill="FFFFFF" w:themeFill="background1"/>
          </w:tcPr>
          <w:p w:rsidR="00956380" w:rsidRPr="00A94BEF" w:rsidRDefault="00DE43C5" w:rsidP="0095638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es-ES_tradnl"/>
              </w:rPr>
            </w:pPr>
            <w:r>
              <w:rPr>
                <w:i/>
                <w:sz w:val="19"/>
                <w:szCs w:val="19"/>
                <w:lang w:val="es-ES_tradnl"/>
              </w:rPr>
              <w:t>Sí</w:t>
            </w:r>
          </w:p>
        </w:tc>
        <w:tc>
          <w:tcPr>
            <w:tcW w:w="1323" w:type="dxa"/>
            <w:tcBorders>
              <w:left w:val="none" w:sz="0" w:space="0" w:color="auto"/>
              <w:right w:val="none" w:sz="0" w:space="0" w:color="auto"/>
            </w:tcBorders>
            <w:shd w:val="clear" w:color="auto" w:fill="FFFFFF" w:themeFill="background1"/>
          </w:tcPr>
          <w:p w:rsidR="00956380" w:rsidRPr="00A94BEF" w:rsidRDefault="00DE43C5" w:rsidP="00956380">
            <w:pPr>
              <w:shd w:val="clear" w:color="auto" w:fill="FFFFFF" w:themeFill="background1"/>
              <w:spacing w:before="36" w:after="36"/>
              <w:jc w:val="center"/>
              <w:cnfStyle w:val="000000100000" w:firstRow="0" w:lastRow="0" w:firstColumn="0" w:lastColumn="0" w:oddVBand="0" w:evenVBand="0" w:oddHBand="1" w:evenHBand="0" w:firstRowFirstColumn="0" w:firstRowLastColumn="0" w:lastRowFirstColumn="0" w:lastRowLastColumn="0"/>
              <w:rPr>
                <w:i/>
                <w:sz w:val="19"/>
                <w:szCs w:val="19"/>
                <w:lang w:val="es-ES_tradnl"/>
              </w:rPr>
            </w:pPr>
            <w:r>
              <w:rPr>
                <w:i/>
                <w:sz w:val="19"/>
                <w:szCs w:val="19"/>
                <w:lang w:val="es-ES_tradnl"/>
              </w:rPr>
              <w:t>Sí</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6A4332" w:rsidP="006A4332">
            <w:pPr>
              <w:shd w:val="clear" w:color="auto" w:fill="FFFFFF" w:themeFill="background1"/>
              <w:spacing w:before="36" w:after="120"/>
              <w:rPr>
                <w:i/>
                <w:sz w:val="19"/>
                <w:szCs w:val="19"/>
                <w:lang w:val="es-ES_tradnl"/>
              </w:rPr>
            </w:pPr>
            <w:r>
              <w:rPr>
                <w:i/>
                <w:sz w:val="19"/>
                <w:szCs w:val="19"/>
                <w:lang w:val="es-ES_tradnl"/>
              </w:rPr>
              <w:t>Efectos fijos del tiempo</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c>
          <w:tcPr>
            <w:tcW w:w="1323" w:type="dxa"/>
            <w:shd w:val="clear" w:color="auto" w:fill="FFFFFF" w:themeFill="background1"/>
          </w:tcPr>
          <w:p w:rsidR="00956380" w:rsidRPr="00A94BEF" w:rsidRDefault="00DE43C5" w:rsidP="00956380">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i/>
                <w:sz w:val="19"/>
                <w:szCs w:val="19"/>
                <w:lang w:val="es-ES_tradnl"/>
              </w:rPr>
            </w:pPr>
            <w:r>
              <w:rPr>
                <w:i/>
                <w:sz w:val="19"/>
                <w:szCs w:val="19"/>
                <w:lang w:val="es-ES_tradnl"/>
              </w:rPr>
              <w:t>Sí</w:t>
            </w:r>
          </w:p>
        </w:tc>
      </w:tr>
      <w:tr w:rsidR="00956380" w:rsidRPr="00A94BEF" w:rsidTr="00C2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956380" w:rsidRPr="00A94BEF" w:rsidRDefault="006A4332" w:rsidP="00956380">
            <w:pPr>
              <w:shd w:val="clear" w:color="auto" w:fill="FFFFFF" w:themeFill="background1"/>
              <w:spacing w:before="36" w:after="120"/>
              <w:rPr>
                <w:sz w:val="19"/>
                <w:szCs w:val="19"/>
                <w:lang w:val="es-ES_tradnl"/>
              </w:rPr>
            </w:pPr>
            <w:r>
              <w:rPr>
                <w:sz w:val="19"/>
                <w:szCs w:val="19"/>
                <w:lang w:val="es-ES_tradnl"/>
              </w:rPr>
              <w:t>Observaciones</w:t>
            </w:r>
          </w:p>
        </w:tc>
        <w:tc>
          <w:tcPr>
            <w:tcW w:w="1323" w:type="dxa"/>
            <w:tcBorders>
              <w:left w:val="none" w:sz="0" w:space="0" w:color="auto"/>
              <w:right w:val="none" w:sz="0" w:space="0" w:color="auto"/>
            </w:tcBorders>
            <w:shd w:val="clear" w:color="auto" w:fill="FFFFFF" w:themeFill="background1"/>
          </w:tcPr>
          <w:p w:rsidR="00956380" w:rsidRPr="00A94BEF" w:rsidRDefault="00650DB7" w:rsidP="0095638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Pr>
                <w:sz w:val="19"/>
                <w:szCs w:val="19"/>
                <w:lang w:val="es-ES_tradnl"/>
              </w:rPr>
              <w:t>1.375.</w:t>
            </w:r>
            <w:r w:rsidR="00956380" w:rsidRPr="00A94BEF">
              <w:rPr>
                <w:sz w:val="19"/>
                <w:szCs w:val="19"/>
                <w:lang w:val="es-ES_tradnl"/>
              </w:rPr>
              <w:t>911</w:t>
            </w:r>
          </w:p>
        </w:tc>
        <w:tc>
          <w:tcPr>
            <w:tcW w:w="1323" w:type="dxa"/>
            <w:tcBorders>
              <w:left w:val="none" w:sz="0" w:space="0" w:color="auto"/>
              <w:right w:val="none" w:sz="0" w:space="0" w:color="auto"/>
            </w:tcBorders>
            <w:shd w:val="clear" w:color="auto" w:fill="FFFFFF" w:themeFill="background1"/>
          </w:tcPr>
          <w:p w:rsidR="00956380" w:rsidRPr="00A94BEF" w:rsidRDefault="00650DB7" w:rsidP="00956380">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Pr>
                <w:sz w:val="19"/>
                <w:szCs w:val="19"/>
                <w:lang w:val="es-ES_tradnl"/>
              </w:rPr>
              <w:t>1.339.</w:t>
            </w:r>
            <w:r w:rsidR="00956380" w:rsidRPr="00A94BEF">
              <w:rPr>
                <w:sz w:val="19"/>
                <w:szCs w:val="19"/>
                <w:lang w:val="es-ES_tradnl"/>
              </w:rPr>
              <w:t>373</w:t>
            </w:r>
          </w:p>
        </w:tc>
        <w:tc>
          <w:tcPr>
            <w:tcW w:w="1323" w:type="dxa"/>
            <w:tcBorders>
              <w:left w:val="none" w:sz="0" w:space="0" w:color="auto"/>
              <w:right w:val="none" w:sz="0" w:space="0" w:color="auto"/>
            </w:tcBorders>
            <w:shd w:val="clear" w:color="auto" w:fill="FFFFFF" w:themeFill="background1"/>
          </w:tcPr>
          <w:p w:rsidR="00956380" w:rsidRPr="00A94BEF" w:rsidRDefault="00956380" w:rsidP="00650DB7">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128</w:t>
            </w:r>
            <w:r w:rsidR="00650DB7">
              <w:rPr>
                <w:sz w:val="19"/>
                <w:szCs w:val="19"/>
                <w:lang w:val="es-ES_tradnl"/>
              </w:rPr>
              <w:t>.</w:t>
            </w:r>
            <w:r w:rsidRPr="00A94BEF">
              <w:rPr>
                <w:sz w:val="19"/>
                <w:szCs w:val="19"/>
                <w:lang w:val="es-ES_tradnl"/>
              </w:rPr>
              <w:t>006</w:t>
            </w:r>
          </w:p>
        </w:tc>
        <w:tc>
          <w:tcPr>
            <w:tcW w:w="1323" w:type="dxa"/>
            <w:tcBorders>
              <w:left w:val="none" w:sz="0" w:space="0" w:color="auto"/>
              <w:right w:val="none" w:sz="0" w:space="0" w:color="auto"/>
            </w:tcBorders>
            <w:shd w:val="clear" w:color="auto" w:fill="FFFFFF" w:themeFill="background1"/>
          </w:tcPr>
          <w:p w:rsidR="00956380" w:rsidRPr="00A94BEF" w:rsidRDefault="00956380" w:rsidP="00650DB7">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128</w:t>
            </w:r>
            <w:r w:rsidR="00650DB7">
              <w:rPr>
                <w:sz w:val="19"/>
                <w:szCs w:val="19"/>
                <w:lang w:val="es-ES_tradnl"/>
              </w:rPr>
              <w:t>.</w:t>
            </w:r>
            <w:r w:rsidRPr="00A94BEF">
              <w:rPr>
                <w:sz w:val="19"/>
                <w:szCs w:val="19"/>
                <w:lang w:val="es-ES_tradnl"/>
              </w:rPr>
              <w:t>006</w:t>
            </w:r>
          </w:p>
        </w:tc>
        <w:tc>
          <w:tcPr>
            <w:tcW w:w="1323" w:type="dxa"/>
            <w:tcBorders>
              <w:left w:val="none" w:sz="0" w:space="0" w:color="auto"/>
              <w:right w:val="none" w:sz="0" w:space="0" w:color="auto"/>
            </w:tcBorders>
            <w:shd w:val="clear" w:color="auto" w:fill="FFFFFF" w:themeFill="background1"/>
          </w:tcPr>
          <w:p w:rsidR="00956380" w:rsidRPr="00A94BEF" w:rsidRDefault="00956380" w:rsidP="00650DB7">
            <w:pPr>
              <w:shd w:val="clear" w:color="auto" w:fill="FFFFFF" w:themeFill="background1"/>
              <w:spacing w:before="36" w:after="120"/>
              <w:jc w:val="center"/>
              <w:cnfStyle w:val="000000100000" w:firstRow="0" w:lastRow="0" w:firstColumn="0" w:lastColumn="0" w:oddVBand="0" w:evenVBand="0" w:oddHBand="1" w:evenHBand="0" w:firstRowFirstColumn="0" w:firstRowLastColumn="0" w:lastRowFirstColumn="0" w:lastRowLastColumn="0"/>
              <w:rPr>
                <w:sz w:val="19"/>
                <w:szCs w:val="19"/>
                <w:lang w:val="es-ES_tradnl"/>
              </w:rPr>
            </w:pPr>
            <w:r w:rsidRPr="00A94BEF">
              <w:rPr>
                <w:sz w:val="19"/>
                <w:szCs w:val="19"/>
                <w:lang w:val="es-ES_tradnl"/>
              </w:rPr>
              <w:t>1</w:t>
            </w:r>
            <w:r w:rsidR="00650DB7">
              <w:rPr>
                <w:sz w:val="19"/>
                <w:szCs w:val="19"/>
                <w:lang w:val="es-ES_tradnl"/>
              </w:rPr>
              <w:t>.</w:t>
            </w:r>
            <w:r w:rsidRPr="00A94BEF">
              <w:rPr>
                <w:sz w:val="19"/>
                <w:szCs w:val="19"/>
                <w:lang w:val="es-ES_tradnl"/>
              </w:rPr>
              <w:t>128</w:t>
            </w:r>
            <w:r w:rsidR="00650DB7">
              <w:rPr>
                <w:sz w:val="19"/>
                <w:szCs w:val="19"/>
                <w:lang w:val="es-ES_tradnl"/>
              </w:rPr>
              <w:t>.</w:t>
            </w:r>
            <w:r w:rsidRPr="00A94BEF">
              <w:rPr>
                <w:sz w:val="19"/>
                <w:szCs w:val="19"/>
                <w:lang w:val="es-ES_tradnl"/>
              </w:rPr>
              <w:t>006</w:t>
            </w:r>
          </w:p>
        </w:tc>
      </w:tr>
      <w:tr w:rsidR="00956380" w:rsidRPr="00A94BEF" w:rsidTr="00C263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956380" w:rsidRPr="00A94BEF" w:rsidRDefault="005D2C83" w:rsidP="005D2C83">
            <w:pPr>
              <w:shd w:val="clear" w:color="auto" w:fill="FFFFFF" w:themeFill="background1"/>
              <w:spacing w:before="36" w:after="36"/>
              <w:rPr>
                <w:sz w:val="19"/>
                <w:szCs w:val="19"/>
                <w:lang w:val="es-ES_tradnl"/>
              </w:rPr>
            </w:pPr>
            <w:r>
              <w:rPr>
                <w:sz w:val="19"/>
                <w:szCs w:val="19"/>
                <w:lang w:val="es-ES_tradnl"/>
              </w:rPr>
              <w:t>Logaritmo de verosimilitud</w:t>
            </w:r>
          </w:p>
        </w:tc>
        <w:tc>
          <w:tcPr>
            <w:tcW w:w="1323" w:type="dxa"/>
            <w:shd w:val="clear" w:color="auto" w:fill="FFFFFF" w:themeFill="background1"/>
          </w:tcPr>
          <w:p w:rsidR="00956380" w:rsidRPr="00A94BEF" w:rsidRDefault="00650DB7" w:rsidP="00650DB7">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Pr>
                <w:sz w:val="19"/>
                <w:szCs w:val="19"/>
                <w:lang w:val="es-ES_tradnl"/>
              </w:rPr>
              <w:t>-758.</w:t>
            </w:r>
            <w:r w:rsidR="00956380" w:rsidRPr="00A94BEF">
              <w:rPr>
                <w:sz w:val="19"/>
                <w:szCs w:val="19"/>
                <w:lang w:val="es-ES_tradnl"/>
              </w:rPr>
              <w:t>194</w:t>
            </w:r>
            <w:r>
              <w:rPr>
                <w:sz w:val="19"/>
                <w:szCs w:val="19"/>
                <w:lang w:val="es-ES_tradnl"/>
              </w:rPr>
              <w:t>.</w:t>
            </w:r>
            <w:r w:rsidR="00956380" w:rsidRPr="00A94BEF">
              <w:rPr>
                <w:sz w:val="19"/>
                <w:szCs w:val="19"/>
                <w:lang w:val="es-ES_tradnl"/>
              </w:rPr>
              <w:t>1</w:t>
            </w:r>
          </w:p>
        </w:tc>
        <w:tc>
          <w:tcPr>
            <w:tcW w:w="1323" w:type="dxa"/>
            <w:shd w:val="clear" w:color="auto" w:fill="FFFFFF" w:themeFill="background1"/>
          </w:tcPr>
          <w:p w:rsidR="00956380" w:rsidRPr="00A94BEF" w:rsidRDefault="00956380" w:rsidP="00650DB7">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-739</w:t>
            </w:r>
            <w:r w:rsidR="00650DB7">
              <w:rPr>
                <w:sz w:val="19"/>
                <w:szCs w:val="19"/>
                <w:lang w:val="es-ES_tradnl"/>
              </w:rPr>
              <w:t>.</w:t>
            </w:r>
            <w:r w:rsidRPr="00A94BEF">
              <w:rPr>
                <w:sz w:val="19"/>
                <w:szCs w:val="19"/>
                <w:lang w:val="es-ES_tradnl"/>
              </w:rPr>
              <w:t>586</w:t>
            </w:r>
            <w:r w:rsidR="00650DB7">
              <w:rPr>
                <w:sz w:val="19"/>
                <w:szCs w:val="19"/>
                <w:lang w:val="es-ES_tradnl"/>
              </w:rPr>
              <w:t>,</w:t>
            </w:r>
            <w:r w:rsidRPr="00A94BEF">
              <w:rPr>
                <w:sz w:val="19"/>
                <w:szCs w:val="19"/>
                <w:lang w:val="es-ES_tradnl"/>
              </w:rPr>
              <w:t>0</w:t>
            </w:r>
          </w:p>
        </w:tc>
        <w:tc>
          <w:tcPr>
            <w:tcW w:w="1323" w:type="dxa"/>
            <w:shd w:val="clear" w:color="auto" w:fill="FFFFFF" w:themeFill="background1"/>
          </w:tcPr>
          <w:p w:rsidR="00956380" w:rsidRPr="00A94BEF" w:rsidRDefault="00956380" w:rsidP="00650DB7">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-586</w:t>
            </w:r>
            <w:r w:rsidR="00650DB7">
              <w:rPr>
                <w:sz w:val="19"/>
                <w:szCs w:val="19"/>
                <w:lang w:val="es-ES_tradnl"/>
              </w:rPr>
              <w:t>.</w:t>
            </w:r>
            <w:r w:rsidRPr="00A94BEF">
              <w:rPr>
                <w:sz w:val="19"/>
                <w:szCs w:val="19"/>
                <w:lang w:val="es-ES_tradnl"/>
              </w:rPr>
              <w:t>857</w:t>
            </w:r>
            <w:r w:rsidR="00650DB7">
              <w:rPr>
                <w:sz w:val="19"/>
                <w:szCs w:val="19"/>
                <w:lang w:val="es-ES_tradnl"/>
              </w:rPr>
              <w:t>,</w:t>
            </w:r>
            <w:r w:rsidRPr="00A94BEF">
              <w:rPr>
                <w:sz w:val="19"/>
                <w:szCs w:val="19"/>
                <w:lang w:val="es-ES_tradnl"/>
              </w:rPr>
              <w:t>8</w:t>
            </w:r>
          </w:p>
        </w:tc>
        <w:tc>
          <w:tcPr>
            <w:tcW w:w="1323" w:type="dxa"/>
            <w:shd w:val="clear" w:color="auto" w:fill="FFFFFF" w:themeFill="background1"/>
          </w:tcPr>
          <w:p w:rsidR="00956380" w:rsidRPr="00A94BEF" w:rsidRDefault="00956380" w:rsidP="00650DB7">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-586</w:t>
            </w:r>
            <w:r w:rsidR="00650DB7">
              <w:rPr>
                <w:sz w:val="19"/>
                <w:szCs w:val="19"/>
                <w:lang w:val="es-ES_tradnl"/>
              </w:rPr>
              <w:t>.</w:t>
            </w:r>
            <w:r w:rsidRPr="00A94BEF">
              <w:rPr>
                <w:sz w:val="19"/>
                <w:szCs w:val="19"/>
                <w:lang w:val="es-ES_tradnl"/>
              </w:rPr>
              <w:t>489</w:t>
            </w:r>
            <w:r w:rsidR="00650DB7">
              <w:rPr>
                <w:sz w:val="19"/>
                <w:szCs w:val="19"/>
                <w:lang w:val="es-ES_tradnl"/>
              </w:rPr>
              <w:t>,</w:t>
            </w:r>
            <w:r w:rsidRPr="00A94BEF">
              <w:rPr>
                <w:sz w:val="19"/>
                <w:szCs w:val="19"/>
                <w:lang w:val="es-ES_tradnl"/>
              </w:rPr>
              <w:t>4</w:t>
            </w:r>
          </w:p>
        </w:tc>
        <w:tc>
          <w:tcPr>
            <w:tcW w:w="1323" w:type="dxa"/>
            <w:shd w:val="clear" w:color="auto" w:fill="FFFFFF" w:themeFill="background1"/>
          </w:tcPr>
          <w:p w:rsidR="00956380" w:rsidRPr="00A94BEF" w:rsidRDefault="00956380" w:rsidP="00650DB7">
            <w:pPr>
              <w:shd w:val="clear" w:color="auto" w:fill="FFFFFF" w:themeFill="background1"/>
              <w:spacing w:before="36" w:after="36"/>
              <w:jc w:val="center"/>
              <w:cnfStyle w:val="000000000000" w:firstRow="0" w:lastRow="0" w:firstColumn="0" w:lastColumn="0" w:oddVBand="0" w:evenVBand="0" w:oddHBand="0" w:evenHBand="0" w:firstRowFirstColumn="0" w:firstRowLastColumn="0" w:lastRowFirstColumn="0" w:lastRowLastColumn="0"/>
              <w:rPr>
                <w:sz w:val="19"/>
                <w:szCs w:val="19"/>
                <w:lang w:val="es-ES_tradnl"/>
              </w:rPr>
            </w:pPr>
            <w:r w:rsidRPr="00A94BEF">
              <w:rPr>
                <w:sz w:val="19"/>
                <w:szCs w:val="19"/>
                <w:lang w:val="es-ES_tradnl"/>
              </w:rPr>
              <w:t>-586</w:t>
            </w:r>
            <w:r w:rsidR="00650DB7">
              <w:rPr>
                <w:sz w:val="19"/>
                <w:szCs w:val="19"/>
                <w:lang w:val="es-ES_tradnl"/>
              </w:rPr>
              <w:t>.</w:t>
            </w:r>
            <w:r w:rsidRPr="00A94BEF">
              <w:rPr>
                <w:sz w:val="19"/>
                <w:szCs w:val="19"/>
                <w:lang w:val="es-ES_tradnl"/>
              </w:rPr>
              <w:t>564</w:t>
            </w:r>
            <w:r w:rsidR="00650DB7">
              <w:rPr>
                <w:sz w:val="19"/>
                <w:szCs w:val="19"/>
                <w:lang w:val="es-ES_tradnl"/>
              </w:rPr>
              <w:t>,</w:t>
            </w:r>
            <w:r w:rsidRPr="00A94BEF">
              <w:rPr>
                <w:sz w:val="19"/>
                <w:szCs w:val="19"/>
                <w:lang w:val="es-ES_tradnl"/>
              </w:rPr>
              <w:t>3</w:t>
            </w:r>
          </w:p>
        </w:tc>
      </w:tr>
    </w:tbl>
    <w:p w:rsidR="00956380" w:rsidRPr="00A94BEF" w:rsidRDefault="003C1291" w:rsidP="00956380">
      <w:pPr>
        <w:spacing w:before="40"/>
        <w:rPr>
          <w:sz w:val="19"/>
          <w:szCs w:val="19"/>
          <w:lang w:val="es-ES_tradnl"/>
        </w:rPr>
      </w:pPr>
      <w:r>
        <w:rPr>
          <w:sz w:val="19"/>
          <w:szCs w:val="19"/>
          <w:lang w:val="es-ES_tradnl"/>
        </w:rPr>
        <w:t>Nota:  la estadística</w:t>
      </w:r>
      <w:r w:rsidR="00956380" w:rsidRPr="00A94BEF">
        <w:rPr>
          <w:sz w:val="19"/>
          <w:szCs w:val="19"/>
          <w:lang w:val="es-ES_tradnl"/>
        </w:rPr>
        <w:t xml:space="preserve"> </w:t>
      </w:r>
      <w:r>
        <w:rPr>
          <w:sz w:val="19"/>
          <w:szCs w:val="19"/>
          <w:lang w:val="es-ES_tradnl"/>
        </w:rPr>
        <w:t xml:space="preserve">z </w:t>
      </w:r>
      <w:r w:rsidR="008A623A">
        <w:rPr>
          <w:sz w:val="19"/>
          <w:szCs w:val="19"/>
          <w:lang w:val="es-ES_tradnl"/>
        </w:rPr>
        <w:t xml:space="preserve">que figura </w:t>
      </w:r>
      <w:r>
        <w:rPr>
          <w:sz w:val="19"/>
          <w:szCs w:val="19"/>
          <w:lang w:val="es-ES_tradnl"/>
        </w:rPr>
        <w:t>entre paréntesis</w:t>
      </w:r>
      <w:r w:rsidR="00956380" w:rsidRPr="00A94BEF">
        <w:rPr>
          <w:sz w:val="19"/>
          <w:szCs w:val="19"/>
          <w:lang w:val="es-ES_tradnl"/>
        </w:rPr>
        <w:t xml:space="preserve">; ***,**, </w:t>
      </w:r>
      <w:r>
        <w:rPr>
          <w:sz w:val="19"/>
          <w:szCs w:val="19"/>
          <w:lang w:val="es-ES_tradnl"/>
        </w:rPr>
        <w:t>y * indican</w:t>
      </w:r>
      <w:r w:rsidR="00956380" w:rsidRPr="00A94BEF">
        <w:rPr>
          <w:sz w:val="19"/>
          <w:szCs w:val="19"/>
          <w:lang w:val="es-ES_tradnl"/>
        </w:rPr>
        <w:t xml:space="preserve"> </w:t>
      </w:r>
      <w:r>
        <w:rPr>
          <w:sz w:val="19"/>
          <w:szCs w:val="19"/>
          <w:lang w:val="es-ES_tradnl"/>
        </w:rPr>
        <w:t>una importancia estadística del</w:t>
      </w:r>
      <w:r w:rsidR="00956380" w:rsidRPr="00A94BEF">
        <w:rPr>
          <w:sz w:val="19"/>
          <w:szCs w:val="19"/>
          <w:lang w:val="es-ES_tradnl"/>
        </w:rPr>
        <w:t xml:space="preserve"> 1, 5, </w:t>
      </w:r>
      <w:r>
        <w:rPr>
          <w:sz w:val="19"/>
          <w:szCs w:val="19"/>
          <w:lang w:val="es-ES_tradnl"/>
        </w:rPr>
        <w:t>y 10%, respectivamente</w:t>
      </w:r>
      <w:r w:rsidR="00956380" w:rsidRPr="00A94BEF">
        <w:rPr>
          <w:sz w:val="19"/>
          <w:szCs w:val="19"/>
          <w:lang w:val="es-ES_tradnl"/>
        </w:rPr>
        <w:t>.</w:t>
      </w:r>
    </w:p>
    <w:p w:rsidR="00956380" w:rsidRPr="00A94BEF" w:rsidRDefault="00956380" w:rsidP="00956380">
      <w:pPr>
        <w:rPr>
          <w:sz w:val="19"/>
          <w:szCs w:val="19"/>
          <w:lang w:val="es-ES_tradnl"/>
        </w:rPr>
      </w:pPr>
      <w:r w:rsidRPr="00A94BEF">
        <w:rPr>
          <w:sz w:val="19"/>
          <w:szCs w:val="19"/>
          <w:lang w:val="es-ES_tradnl"/>
        </w:rPr>
        <w:br w:type="page"/>
      </w:r>
    </w:p>
    <w:p w:rsidR="00956380" w:rsidRDefault="004449CE" w:rsidP="00956380">
      <w:pPr>
        <w:spacing w:before="38" w:after="42"/>
        <w:rPr>
          <w:b/>
          <w:szCs w:val="22"/>
          <w:lang w:val="es-ES_tradnl"/>
        </w:rPr>
      </w:pPr>
      <w:r>
        <w:rPr>
          <w:b/>
          <w:szCs w:val="22"/>
          <w:lang w:val="es-ES_tradnl"/>
        </w:rPr>
        <w:lastRenderedPageBreak/>
        <w:t>Cuadro</w:t>
      </w:r>
      <w:r w:rsidR="00956380" w:rsidRPr="00A94BEF">
        <w:rPr>
          <w:b/>
          <w:szCs w:val="22"/>
          <w:lang w:val="es-ES_tradnl"/>
        </w:rPr>
        <w:t xml:space="preserve"> 2: </w:t>
      </w:r>
      <w:r>
        <w:rPr>
          <w:b/>
          <w:szCs w:val="22"/>
          <w:lang w:val="es-ES_tradnl"/>
        </w:rPr>
        <w:t xml:space="preserve">Efectos marginales asociados a </w:t>
      </w:r>
      <w:r w:rsidR="00995661">
        <w:rPr>
          <w:b/>
          <w:szCs w:val="22"/>
          <w:lang w:val="es-ES_tradnl"/>
        </w:rPr>
        <w:t>las estimaciones</w:t>
      </w:r>
      <w:r>
        <w:rPr>
          <w:b/>
          <w:szCs w:val="22"/>
          <w:lang w:val="es-ES_tradnl"/>
        </w:rPr>
        <w:t xml:space="preserve"> p</w:t>
      </w:r>
      <w:r w:rsidR="00956380" w:rsidRPr="00A94BEF">
        <w:rPr>
          <w:b/>
          <w:szCs w:val="22"/>
          <w:lang w:val="es-ES_tradnl"/>
        </w:rPr>
        <w:t xml:space="preserve">robit </w:t>
      </w:r>
    </w:p>
    <w:tbl>
      <w:tblPr>
        <w:tblStyle w:val="LightShading"/>
        <w:tblW w:w="0" w:type="auto"/>
        <w:shd w:val="clear" w:color="auto" w:fill="FFFFFF" w:themeFill="background1"/>
        <w:tblLook w:val="04A0" w:firstRow="1" w:lastRow="0" w:firstColumn="1" w:lastColumn="0" w:noHBand="0" w:noVBand="1"/>
      </w:tblPr>
      <w:tblGrid>
        <w:gridCol w:w="3348"/>
        <w:gridCol w:w="360"/>
        <w:gridCol w:w="1170"/>
      </w:tblGrid>
      <w:tr w:rsidR="00995661" w:rsidRPr="005B73BB" w:rsidTr="00040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FFFFFF" w:themeFill="background1"/>
          </w:tcPr>
          <w:p w:rsidR="00995661" w:rsidRPr="005B73BB" w:rsidRDefault="00995661" w:rsidP="00040B00">
            <w:pPr>
              <w:shd w:val="clear" w:color="auto" w:fill="FFFFFF" w:themeFill="background1"/>
              <w:spacing w:before="40" w:after="40"/>
              <w:rPr>
                <w:rFonts w:eastAsia="Calibri"/>
                <w:b w:val="0"/>
                <w:i/>
                <w:sz w:val="18"/>
                <w:szCs w:val="18"/>
              </w:rPr>
            </w:pPr>
            <w:r>
              <w:rPr>
                <w:rFonts w:eastAsia="Calibri"/>
                <w:b w:val="0"/>
                <w:i/>
                <w:sz w:val="18"/>
                <w:szCs w:val="18"/>
              </w:rPr>
              <w:t>V</w:t>
            </w:r>
            <w:r w:rsidRPr="005B73BB">
              <w:rPr>
                <w:rFonts w:eastAsia="Calibri"/>
                <w:b w:val="0"/>
                <w:i/>
                <w:sz w:val="18"/>
                <w:szCs w:val="18"/>
              </w:rPr>
              <w:t>ariables</w:t>
            </w:r>
            <w:r>
              <w:rPr>
                <w:rFonts w:eastAsia="Calibri"/>
                <w:b w:val="0"/>
                <w:i/>
                <w:sz w:val="18"/>
                <w:szCs w:val="18"/>
              </w:rPr>
              <w:t xml:space="preserve"> principales</w:t>
            </w:r>
          </w:p>
        </w:tc>
        <w:tc>
          <w:tcPr>
            <w:tcW w:w="1530" w:type="dxa"/>
            <w:gridSpan w:val="2"/>
            <w:tcBorders>
              <w:bottom w:val="nil"/>
            </w:tcBorders>
            <w:shd w:val="clear" w:color="auto" w:fill="FFFFFF" w:themeFill="background1"/>
          </w:tcPr>
          <w:p w:rsidR="00995661" w:rsidRPr="005B73BB" w:rsidRDefault="00995661" w:rsidP="00040B00">
            <w:pPr>
              <w:shd w:val="clear" w:color="auto" w:fill="FFFFFF" w:themeFill="background1"/>
              <w:spacing w:before="40" w:after="40"/>
              <w:jc w:val="right"/>
              <w:cnfStyle w:val="100000000000" w:firstRow="1" w:lastRow="0" w:firstColumn="0" w:lastColumn="0" w:oddVBand="0" w:evenVBand="0" w:oddHBand="0" w:evenHBand="0" w:firstRowFirstColumn="0" w:firstRowLastColumn="0" w:lastRowFirstColumn="0" w:lastRowLastColumn="0"/>
              <w:rPr>
                <w:b w:val="0"/>
                <w:i/>
                <w:sz w:val="18"/>
                <w:szCs w:val="18"/>
              </w:rPr>
            </w:pPr>
          </w:p>
        </w:tc>
      </w:tr>
      <w:tr w:rsidR="00995661" w:rsidRPr="005B73BB"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Borders>
              <w:bottom w:val="nil"/>
            </w:tcBorders>
            <w:shd w:val="clear" w:color="auto" w:fill="FFFFFF" w:themeFill="background1"/>
          </w:tcPr>
          <w:p w:rsidR="00995661" w:rsidRPr="005B73BB" w:rsidRDefault="00995661" w:rsidP="00040B00">
            <w:pPr>
              <w:shd w:val="clear" w:color="auto" w:fill="FFFFFF" w:themeFill="background1"/>
              <w:spacing w:before="40" w:after="40"/>
              <w:ind w:left="270"/>
              <w:rPr>
                <w:b w:val="0"/>
                <w:sz w:val="18"/>
                <w:szCs w:val="18"/>
              </w:rPr>
            </w:pPr>
            <m:oMathPara>
              <m:oMathParaPr>
                <m:jc m:val="left"/>
              </m:oMathParaPr>
              <m:oMath>
                <m:r>
                  <m:rPr>
                    <m:sty m:val="b"/>
                  </m:rPr>
                  <w:rPr>
                    <w:rFonts w:ascii="Cambria Math" w:hAnsi="Cambria Math"/>
                    <w:sz w:val="18"/>
                    <w:szCs w:val="18"/>
                  </w:rPr>
                  <m:t>ln</m:t>
                </m:r>
                <m:sSub>
                  <m:sSubPr>
                    <m:ctrlPr>
                      <w:rPr>
                        <w:rFonts w:ascii="Cambria Math" w:eastAsiaTheme="minorEastAsia" w:hAnsi="Cambria Math"/>
                        <w:b w:val="0"/>
                        <w:i/>
                        <w:sz w:val="18"/>
                        <w:szCs w:val="18"/>
                      </w:rPr>
                    </m:ctrlPr>
                  </m:sSubPr>
                  <m:e>
                    <m:r>
                      <m:rPr>
                        <m:sty m:val="bi"/>
                      </m:rPr>
                      <w:rPr>
                        <w:rFonts w:ascii="Cambria Math" w:eastAsiaTheme="minorEastAsia" w:hAnsi="Cambria Math"/>
                        <w:sz w:val="18"/>
                        <w:szCs w:val="18"/>
                      </w:rPr>
                      <m:t>f</m:t>
                    </m:r>
                  </m:e>
                  <m:sub>
                    <m:r>
                      <m:rPr>
                        <m:sty m:val="bi"/>
                      </m:rPr>
                      <w:rPr>
                        <w:rFonts w:ascii="Cambria Math" w:eastAsiaTheme="minorEastAsia" w:hAnsi="Cambria Math"/>
                        <w:sz w:val="18"/>
                        <w:szCs w:val="18"/>
                      </w:rPr>
                      <m:t>ijt</m:t>
                    </m:r>
                  </m:sub>
                </m:sSub>
              </m:oMath>
            </m:oMathPara>
          </w:p>
        </w:tc>
        <w:tc>
          <w:tcPr>
            <w:tcW w:w="1530" w:type="dxa"/>
            <w:gridSpan w:val="2"/>
            <w:tcBorders>
              <w:bottom w:val="nil"/>
            </w:tcBorders>
            <w:shd w:val="clear" w:color="auto" w:fill="FFFFFF" w:themeFill="background1"/>
          </w:tcPr>
          <w:p w:rsidR="00995661" w:rsidRPr="005B73BB"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rPr>
            </w:pPr>
            <w:r w:rsidRPr="005B73BB">
              <w:rPr>
                <w:sz w:val="18"/>
                <w:szCs w:val="18"/>
              </w:rPr>
              <w:t>-0</w:t>
            </w:r>
            <w:r w:rsidR="006141B1">
              <w:rPr>
                <w:sz w:val="18"/>
                <w:szCs w:val="18"/>
              </w:rPr>
              <w:t>,</w:t>
            </w:r>
            <w:r w:rsidRPr="005B73BB">
              <w:rPr>
                <w:sz w:val="18"/>
                <w:szCs w:val="18"/>
              </w:rPr>
              <w:t>0138</w:t>
            </w:r>
          </w:p>
        </w:tc>
      </w:tr>
      <w:tr w:rsidR="00995661" w:rsidRPr="005B73BB" w:rsidTr="00040B00">
        <w:tc>
          <w:tcPr>
            <w:cnfStyle w:val="001000000000" w:firstRow="0" w:lastRow="0" w:firstColumn="1" w:lastColumn="0" w:oddVBand="0" w:evenVBand="0" w:oddHBand="0" w:evenHBand="0" w:firstRowFirstColumn="0" w:firstRowLastColumn="0" w:lastRowFirstColumn="0" w:lastRowLastColumn="0"/>
            <w:tcW w:w="3348" w:type="dxa"/>
            <w:tcBorders>
              <w:top w:val="nil"/>
            </w:tcBorders>
            <w:shd w:val="clear" w:color="auto" w:fill="FFFFFF" w:themeFill="background1"/>
          </w:tcPr>
          <w:p w:rsidR="00995661" w:rsidRPr="00634EB6" w:rsidRDefault="0007661C" w:rsidP="00040B00">
            <w:pPr>
              <w:shd w:val="clear" w:color="auto" w:fill="FFFFFF" w:themeFill="background1"/>
              <w:spacing w:before="40" w:after="40"/>
              <w:ind w:left="270"/>
              <w:rPr>
                <w:b w:val="0"/>
                <w:sz w:val="18"/>
                <w:szCs w:val="18"/>
                <w:lang w:val="es-ES_tradnl"/>
              </w:rPr>
            </w:pPr>
            <m:oMathPara>
              <m:oMathParaPr>
                <m:jc m:val="left"/>
              </m:oMathParaPr>
              <m:oMath>
                <m:sSub>
                  <m:sSubPr>
                    <m:ctrlPr>
                      <w:rPr>
                        <w:rFonts w:ascii="Cambria Math" w:hAnsi="Cambria Math"/>
                        <w:b w:val="0"/>
                        <w:i/>
                        <w:sz w:val="18"/>
                        <w:szCs w:val="18"/>
                        <w:lang w:val="es-ES_tradnl"/>
                      </w:rPr>
                    </m:ctrlPr>
                  </m:sSubPr>
                  <m:e>
                    <m:r>
                      <m:rPr>
                        <m:sty m:val="b"/>
                      </m:rPr>
                      <w:rPr>
                        <w:rFonts w:ascii="Cambria Math" w:hAnsi="Cambria Math"/>
                        <w:sz w:val="18"/>
                        <w:szCs w:val="18"/>
                        <w:lang w:val="es-ES_tradnl"/>
                      </w:rPr>
                      <m:t>ln</m:t>
                    </m:r>
                    <m:r>
                      <m:rPr>
                        <m:sty m:val="bi"/>
                      </m:rPr>
                      <w:rPr>
                        <w:rFonts w:ascii="Cambria Math" w:hAnsi="Cambria Math"/>
                        <w:sz w:val="18"/>
                        <w:szCs w:val="18"/>
                        <w:lang w:val="es-ES_tradnl"/>
                      </w:rPr>
                      <m:t>unemp</m:t>
                    </m:r>
                  </m:e>
                  <m:sub>
                    <m:r>
                      <m:rPr>
                        <m:sty m:val="bi"/>
                      </m:rPr>
                      <w:rPr>
                        <w:rFonts w:ascii="Cambria Math" w:hAnsi="Cambria Math"/>
                        <w:sz w:val="18"/>
                        <w:szCs w:val="18"/>
                        <w:lang w:val="es-ES_tradnl"/>
                      </w:rPr>
                      <m:t>jt</m:t>
                    </m:r>
                  </m:sub>
                </m:sSub>
              </m:oMath>
            </m:oMathPara>
          </w:p>
        </w:tc>
        <w:tc>
          <w:tcPr>
            <w:tcW w:w="1530" w:type="dxa"/>
            <w:gridSpan w:val="2"/>
            <w:tcBorders>
              <w:top w:val="nil"/>
            </w:tcBorders>
            <w:shd w:val="clear" w:color="auto" w:fill="FFFFFF" w:themeFill="background1"/>
          </w:tcPr>
          <w:p w:rsidR="00995661" w:rsidRPr="00634EB6" w:rsidRDefault="00995661" w:rsidP="00040B0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0305</w:t>
            </w:r>
          </w:p>
        </w:tc>
      </w:tr>
      <w:tr w:rsidR="00995661" w:rsidRPr="005B73BB"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 xml:space="preserve">Solicitante de universidad </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2493</w:t>
            </w:r>
          </w:p>
        </w:tc>
      </w:tr>
      <w:tr w:rsidR="00995661" w:rsidRPr="005B73BB" w:rsidTr="00040B00">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Solicitante de institución pública de investigación</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1049</w:t>
            </w:r>
          </w:p>
        </w:tc>
      </w:tr>
      <w:tr w:rsidR="00995661" w:rsidRPr="005B73BB"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2 oficinas</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1924</w:t>
            </w:r>
          </w:p>
        </w:tc>
      </w:tr>
      <w:tr w:rsidR="00995661" w:rsidRPr="005B73BB" w:rsidTr="00040B00">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3 oficinas</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0848</w:t>
            </w:r>
          </w:p>
        </w:tc>
      </w:tr>
      <w:tr w:rsidR="00995661" w:rsidRPr="005B73BB"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4 oficinas</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0075</w:t>
            </w:r>
          </w:p>
        </w:tc>
      </w:tr>
      <w:tr w:rsidR="00995661" w:rsidRPr="005B73BB" w:rsidTr="00040B00">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ind w:left="270"/>
              <w:rPr>
                <w:b w:val="0"/>
                <w:sz w:val="18"/>
                <w:szCs w:val="18"/>
                <w:lang w:val="es-ES_tradnl"/>
              </w:rPr>
            </w:pPr>
            <w:r w:rsidRPr="00634EB6">
              <w:rPr>
                <w:b w:val="0"/>
                <w:sz w:val="18"/>
                <w:szCs w:val="18"/>
                <w:lang w:val="es-ES_tradnl"/>
              </w:rPr>
              <w:t>5 oficinas</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0730</w:t>
            </w:r>
          </w:p>
        </w:tc>
      </w:tr>
      <w:tr w:rsidR="00995661" w:rsidRPr="005B73BB"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120"/>
              <w:ind w:left="274"/>
              <w:rPr>
                <w:b w:val="0"/>
                <w:sz w:val="18"/>
                <w:szCs w:val="18"/>
                <w:lang w:val="es-ES_tradnl"/>
              </w:rPr>
            </w:pPr>
            <w:r w:rsidRPr="00634EB6">
              <w:rPr>
                <w:b w:val="0"/>
                <w:sz w:val="18"/>
                <w:szCs w:val="18"/>
                <w:lang w:val="es-ES_tradnl"/>
              </w:rPr>
              <w:t>6 o más oficinas</w:t>
            </w:r>
          </w:p>
        </w:tc>
        <w:tc>
          <w:tcPr>
            <w:tcW w:w="1170" w:type="dxa"/>
            <w:shd w:val="clear" w:color="auto" w:fill="FFFFFF" w:themeFill="background1"/>
          </w:tcPr>
          <w:p w:rsidR="00995661" w:rsidRPr="00634EB6"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634EB6">
              <w:rPr>
                <w:sz w:val="18"/>
                <w:szCs w:val="18"/>
                <w:lang w:val="es-ES_tradnl"/>
              </w:rPr>
              <w:t>0</w:t>
            </w:r>
            <w:r w:rsidR="006141B1">
              <w:rPr>
                <w:sz w:val="18"/>
                <w:szCs w:val="18"/>
                <w:lang w:val="es-ES_tradnl"/>
              </w:rPr>
              <w:t>,</w:t>
            </w:r>
            <w:r w:rsidRPr="00634EB6">
              <w:rPr>
                <w:sz w:val="18"/>
                <w:szCs w:val="18"/>
                <w:lang w:val="es-ES_tradnl"/>
              </w:rPr>
              <w:t>1620</w:t>
            </w:r>
          </w:p>
        </w:tc>
      </w:tr>
      <w:tr w:rsidR="00995661" w:rsidRPr="005B73BB" w:rsidTr="00040B00">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634EB6" w:rsidRDefault="00995661" w:rsidP="00040B00">
            <w:pPr>
              <w:shd w:val="clear" w:color="auto" w:fill="FFFFFF" w:themeFill="background1"/>
              <w:spacing w:before="40" w:after="40"/>
              <w:rPr>
                <w:b w:val="0"/>
                <w:i/>
                <w:sz w:val="18"/>
                <w:szCs w:val="18"/>
                <w:lang w:val="es-ES_tradnl"/>
              </w:rPr>
            </w:pPr>
            <w:r w:rsidRPr="00634EB6">
              <w:rPr>
                <w:b w:val="0"/>
                <w:i/>
                <w:sz w:val="18"/>
                <w:szCs w:val="18"/>
                <w:lang w:val="es-ES_tradnl"/>
              </w:rPr>
              <w:t>Sectores de la tecnología</w:t>
            </w:r>
          </w:p>
        </w:tc>
        <w:tc>
          <w:tcPr>
            <w:tcW w:w="1170" w:type="dxa"/>
            <w:shd w:val="clear" w:color="auto" w:fill="FFFFFF" w:themeFill="background1"/>
          </w:tcPr>
          <w:p w:rsidR="00995661" w:rsidRPr="005B73BB" w:rsidRDefault="00995661" w:rsidP="00040B00">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481F0C" w:rsidRPr="00481F0C" w:rsidTr="00040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gridSpan w:val="2"/>
            <w:shd w:val="clear" w:color="auto" w:fill="FFFFFF" w:themeFill="background1"/>
          </w:tcPr>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Productos farmacéuticos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Biotecnología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Análisis de materiales biológicos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Química macromolecular, polímeros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Química de materiales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Productos orgánicos elaborados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Materiales, metalurgia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Química de alimentos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Comunicación digital</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Tecnología médica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Métodos de gestión mediante T</w:t>
            </w:r>
            <w:r w:rsidR="006141B1">
              <w:rPr>
                <w:b w:val="0"/>
                <w:color w:val="auto"/>
                <w:sz w:val="18"/>
                <w:szCs w:val="18"/>
                <w:lang w:val="es-ES_tradnl"/>
              </w:rPr>
              <w:t>.</w:t>
            </w:r>
            <w:r w:rsidRPr="00481F0C">
              <w:rPr>
                <w:b w:val="0"/>
                <w:color w:val="auto"/>
                <w:sz w:val="18"/>
                <w:szCs w:val="18"/>
                <w:lang w:val="es-ES_tradnl"/>
              </w:rPr>
              <w:t>I.</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Tecnología de superficie, revestimientos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Ingeniería química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Tecnología medioambiental</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Otros productos de consumo</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Procesos térmicos y aparatos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Manejo</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Telecomunicaciones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Mobiliario, juegos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Medida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Otra maquinaría especial</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Máquinas herramienta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Máquinas y aparatos eléctricos, energía eléctrica</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rPr>
              <w:t>Control</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Elementos mecánicos</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Tecnología de las microestructuras y nanotecnología</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Ingeniería civil</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Tecnología informática</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Transporte</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Tecnología audiovisual</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Motores, bombas, turbinas</w:t>
            </w:r>
          </w:p>
          <w:p w:rsidR="00995661" w:rsidRPr="00481F0C" w:rsidRDefault="00995661" w:rsidP="00040B00">
            <w:pPr>
              <w:shd w:val="clear" w:color="auto" w:fill="FFFFFF" w:themeFill="background1"/>
              <w:spacing w:before="40" w:after="40"/>
              <w:ind w:left="270"/>
              <w:rPr>
                <w:b w:val="0"/>
                <w:color w:val="auto"/>
                <w:sz w:val="18"/>
                <w:szCs w:val="18"/>
                <w:lang w:val="es-ES_tradnl"/>
              </w:rPr>
            </w:pPr>
            <w:r w:rsidRPr="00481F0C">
              <w:rPr>
                <w:b w:val="0"/>
                <w:color w:val="auto"/>
                <w:sz w:val="18"/>
                <w:szCs w:val="18"/>
                <w:lang w:val="es-ES_tradnl"/>
              </w:rPr>
              <w:t>Semiconductores</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Procesos básicos de comunicación</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Maquinaría textil y de papel</w:t>
            </w:r>
          </w:p>
          <w:p w:rsidR="00995661" w:rsidRPr="00481F0C" w:rsidRDefault="00995661" w:rsidP="00040B00">
            <w:pPr>
              <w:shd w:val="clear" w:color="auto" w:fill="FFFFFF" w:themeFill="background1"/>
              <w:spacing w:before="40" w:after="40"/>
              <w:ind w:left="270"/>
              <w:rPr>
                <w:b w:val="0"/>
                <w:color w:val="auto"/>
                <w:sz w:val="18"/>
                <w:szCs w:val="18"/>
              </w:rPr>
            </w:pPr>
            <w:r w:rsidRPr="00481F0C">
              <w:rPr>
                <w:b w:val="0"/>
                <w:color w:val="auto"/>
                <w:sz w:val="18"/>
                <w:szCs w:val="18"/>
                <w:lang w:val="es-ES_tradnl"/>
              </w:rPr>
              <w:t>Óptica</w:t>
            </w:r>
          </w:p>
        </w:tc>
        <w:tc>
          <w:tcPr>
            <w:tcW w:w="1170" w:type="dxa"/>
            <w:shd w:val="clear" w:color="auto" w:fill="FFFFFF" w:themeFill="background1"/>
          </w:tcPr>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1609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1007</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0433</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0458</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0826</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0865</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1208</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1387</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1474</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1593</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1639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1812</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1833</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2249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2360</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2758</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2839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2850</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3016</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3024</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3071</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3103</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3130</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3217</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3219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3252</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3257</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3421</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3517</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3609</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3690</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3841</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3891</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4174</w:t>
            </w:r>
          </w:p>
          <w:p w:rsidR="00995661" w:rsidRPr="00481F0C" w:rsidRDefault="00995661" w:rsidP="00040B00">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color w:val="auto"/>
                <w:sz w:val="18"/>
                <w:szCs w:val="18"/>
              </w:rPr>
            </w:pPr>
            <w:r w:rsidRPr="00481F0C">
              <w:rPr>
                <w:color w:val="auto"/>
                <w:sz w:val="18"/>
                <w:szCs w:val="18"/>
              </w:rPr>
              <w:t>-0</w:t>
            </w:r>
            <w:r w:rsidR="006141B1">
              <w:rPr>
                <w:color w:val="auto"/>
                <w:sz w:val="18"/>
                <w:szCs w:val="18"/>
              </w:rPr>
              <w:t>,</w:t>
            </w:r>
            <w:r w:rsidRPr="00481F0C">
              <w:rPr>
                <w:color w:val="auto"/>
                <w:sz w:val="18"/>
                <w:szCs w:val="18"/>
              </w:rPr>
              <w:t>4266</w:t>
            </w:r>
          </w:p>
        </w:tc>
      </w:tr>
    </w:tbl>
    <w:p w:rsidR="00956380" w:rsidRPr="00481F0C" w:rsidRDefault="004449CE" w:rsidP="00956380">
      <w:pPr>
        <w:spacing w:before="40"/>
        <w:rPr>
          <w:sz w:val="18"/>
          <w:szCs w:val="18"/>
          <w:lang w:val="es-ES_tradnl"/>
        </w:rPr>
      </w:pPr>
      <w:r w:rsidRPr="00481F0C">
        <w:rPr>
          <w:sz w:val="18"/>
          <w:szCs w:val="18"/>
          <w:lang w:val="es-ES_tradnl"/>
        </w:rPr>
        <w:t>Nota</w:t>
      </w:r>
      <w:r w:rsidR="00956380" w:rsidRPr="00481F0C">
        <w:rPr>
          <w:sz w:val="18"/>
          <w:szCs w:val="18"/>
          <w:lang w:val="es-ES_tradnl"/>
        </w:rPr>
        <w:t xml:space="preserve">: </w:t>
      </w:r>
      <w:r w:rsidRPr="00481F0C">
        <w:rPr>
          <w:sz w:val="18"/>
          <w:szCs w:val="18"/>
          <w:lang w:val="es-ES_tradnl"/>
        </w:rPr>
        <w:t xml:space="preserve">los efectos marginales indicados guardan relación con </w:t>
      </w:r>
      <w:r w:rsidR="00CD13B8" w:rsidRPr="00481F0C">
        <w:rPr>
          <w:sz w:val="18"/>
          <w:szCs w:val="18"/>
          <w:lang w:val="es-ES_tradnl"/>
        </w:rPr>
        <w:t>el</w:t>
      </w:r>
      <w:r w:rsidRPr="00481F0C">
        <w:rPr>
          <w:sz w:val="18"/>
          <w:szCs w:val="18"/>
          <w:lang w:val="es-ES_tradnl"/>
        </w:rPr>
        <w:t xml:space="preserve"> c</w:t>
      </w:r>
      <w:r w:rsidR="00CD13B8" w:rsidRPr="00481F0C">
        <w:rPr>
          <w:sz w:val="18"/>
          <w:szCs w:val="18"/>
          <w:lang w:val="es-ES_tradnl"/>
        </w:rPr>
        <w:t>álculo</w:t>
      </w:r>
      <w:r w:rsidRPr="00481F0C">
        <w:rPr>
          <w:sz w:val="18"/>
          <w:szCs w:val="18"/>
          <w:lang w:val="es-ES_tradnl"/>
        </w:rPr>
        <w:t xml:space="preserve"> del coeficiente de la columna </w:t>
      </w:r>
      <w:r w:rsidR="00956380" w:rsidRPr="00481F0C">
        <w:rPr>
          <w:sz w:val="18"/>
          <w:szCs w:val="18"/>
          <w:lang w:val="es-ES_tradnl"/>
        </w:rPr>
        <w:t xml:space="preserve">3) </w:t>
      </w:r>
      <w:r w:rsidRPr="00481F0C">
        <w:rPr>
          <w:sz w:val="18"/>
          <w:szCs w:val="18"/>
          <w:lang w:val="es-ES_tradnl"/>
        </w:rPr>
        <w:t xml:space="preserve">del Cuadro </w:t>
      </w:r>
      <w:r w:rsidR="00956380" w:rsidRPr="00481F0C">
        <w:rPr>
          <w:sz w:val="18"/>
          <w:szCs w:val="18"/>
          <w:lang w:val="es-ES_tradnl"/>
        </w:rPr>
        <w:t>1.</w:t>
      </w:r>
    </w:p>
    <w:p w:rsidR="00956380" w:rsidRPr="00A94BEF" w:rsidRDefault="00956380" w:rsidP="00956380">
      <w:pPr>
        <w:ind w:left="5534"/>
        <w:rPr>
          <w:lang w:val="es-ES_tradnl"/>
        </w:rPr>
      </w:pPr>
    </w:p>
    <w:p w:rsidR="00956380" w:rsidRPr="00A94BEF" w:rsidRDefault="00956380" w:rsidP="00956380">
      <w:pPr>
        <w:ind w:left="5534"/>
        <w:rPr>
          <w:lang w:val="es-ES_tradnl"/>
        </w:rPr>
      </w:pPr>
    </w:p>
    <w:p w:rsidR="00152CEA" w:rsidRPr="00A94BEF" w:rsidRDefault="00956380" w:rsidP="00481F0C">
      <w:pPr>
        <w:ind w:left="5534"/>
        <w:rPr>
          <w:lang w:val="es-ES_tradnl"/>
        </w:rPr>
      </w:pPr>
      <w:r w:rsidRPr="00A94BEF">
        <w:rPr>
          <w:lang w:val="es-ES_tradnl"/>
        </w:rPr>
        <w:t>[</w:t>
      </w:r>
      <w:r w:rsidR="00BE3D77">
        <w:rPr>
          <w:lang w:val="es-ES_tradnl"/>
        </w:rPr>
        <w:t>Fin del Anexo y del documento</w:t>
      </w:r>
      <w:r w:rsidRPr="00A94BEF">
        <w:rPr>
          <w:lang w:val="es-ES_tradnl"/>
        </w:rPr>
        <w:t>]</w:t>
      </w:r>
    </w:p>
    <w:sectPr w:rsidR="00152CEA" w:rsidRPr="00A94BEF" w:rsidSect="00F33191">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6C9" w:rsidRDefault="002D26C9">
      <w:r>
        <w:separator/>
      </w:r>
    </w:p>
  </w:endnote>
  <w:endnote w:type="continuationSeparator" w:id="0">
    <w:p w:rsidR="002D26C9" w:rsidRPr="009D30E6" w:rsidRDefault="002D26C9" w:rsidP="007E663E">
      <w:pPr>
        <w:rPr>
          <w:sz w:val="17"/>
          <w:szCs w:val="17"/>
        </w:rPr>
      </w:pPr>
      <w:r w:rsidRPr="009D30E6">
        <w:rPr>
          <w:sz w:val="17"/>
          <w:szCs w:val="17"/>
        </w:rPr>
        <w:separator/>
      </w:r>
    </w:p>
    <w:p w:rsidR="002D26C9" w:rsidRPr="007E663E" w:rsidRDefault="002D26C9" w:rsidP="007E663E">
      <w:pPr>
        <w:spacing w:after="60"/>
        <w:rPr>
          <w:sz w:val="17"/>
          <w:szCs w:val="17"/>
        </w:rPr>
      </w:pPr>
      <w:r>
        <w:rPr>
          <w:sz w:val="17"/>
        </w:rPr>
        <w:t>[Continuación de la nota de la página anterior]</w:t>
      </w:r>
    </w:p>
  </w:endnote>
  <w:endnote w:type="continuationNotice" w:id="1">
    <w:p w:rsidR="002D26C9" w:rsidRPr="007E663E" w:rsidRDefault="002D26C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6C9" w:rsidRDefault="002D26C9">
      <w:r>
        <w:separator/>
      </w:r>
    </w:p>
  </w:footnote>
  <w:footnote w:type="continuationSeparator" w:id="0">
    <w:p w:rsidR="002D26C9" w:rsidRPr="009D30E6" w:rsidRDefault="002D26C9" w:rsidP="007E663E">
      <w:pPr>
        <w:rPr>
          <w:sz w:val="17"/>
          <w:szCs w:val="17"/>
        </w:rPr>
      </w:pPr>
      <w:r w:rsidRPr="009D30E6">
        <w:rPr>
          <w:sz w:val="17"/>
          <w:szCs w:val="17"/>
        </w:rPr>
        <w:separator/>
      </w:r>
    </w:p>
    <w:p w:rsidR="002D26C9" w:rsidRPr="007E663E" w:rsidRDefault="002D26C9" w:rsidP="007E663E">
      <w:pPr>
        <w:spacing w:after="60"/>
        <w:rPr>
          <w:sz w:val="17"/>
          <w:szCs w:val="17"/>
        </w:rPr>
      </w:pPr>
      <w:r>
        <w:rPr>
          <w:sz w:val="17"/>
        </w:rPr>
        <w:t>[Continuación de la nota de la página anterior]</w:t>
      </w:r>
    </w:p>
  </w:footnote>
  <w:footnote w:type="continuationNotice" w:id="1">
    <w:p w:rsidR="002D26C9" w:rsidRPr="007E663E" w:rsidRDefault="002D26C9" w:rsidP="007E663E">
      <w:pPr>
        <w:spacing w:before="60"/>
        <w:jc w:val="right"/>
        <w:rPr>
          <w:sz w:val="17"/>
          <w:szCs w:val="17"/>
        </w:rPr>
      </w:pPr>
      <w:r w:rsidRPr="007E663E">
        <w:rPr>
          <w:sz w:val="17"/>
          <w:szCs w:val="17"/>
        </w:rPr>
        <w:t>[Sigue la nota en la página siguiente]</w:t>
      </w:r>
    </w:p>
  </w:footnote>
  <w:footnote w:id="2">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 xml:space="preserve">Véase el Resumen de la Presidencia (en inglés) (PCT/WG/6/23). </w:t>
      </w:r>
    </w:p>
  </w:footnote>
  <w:footnote w:id="3">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ab/>
        <w:t xml:space="preserve">Para un examen de la bibliografía, véase de Rassenfosse, G. y  B. van Pottelsberghe. (2012). “The role of fees in patent systems: Theory and evidence.” </w:t>
      </w:r>
      <w:r w:rsidRPr="00A9493A">
        <w:rPr>
          <w:i/>
          <w:lang w:val="es-ES_tradnl"/>
        </w:rPr>
        <w:t>Journal of Economic Surveys</w:t>
      </w:r>
      <w:r w:rsidRPr="00A9493A">
        <w:rPr>
          <w:lang w:val="es-ES_tradnl"/>
        </w:rPr>
        <w:t xml:space="preserve">, 2(5), p. 806. </w:t>
      </w:r>
    </w:p>
  </w:footnote>
  <w:footnote w:id="4">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Antes de 2004, la tasa de presentación internacional dependía del número de países designados en la solicitud PCT.  A partir de 2004, todas las solicitudes designan a todos los Estados miembros del PCT y se aplica una tasa de presentación internacional uniforme.  Dado este sesgo estructural, en el presente estudio solo se emplean datos procedentes de 2004 en adelante.</w:t>
      </w:r>
    </w:p>
  </w:footnote>
  <w:footnote w:id="5">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ab/>
        <w:t xml:space="preserve">Por desgracia, no se dispone fácilmente de datos históricos sobre la tasa de transmisión. Por lo tanto, en el presente estudio se hace caso omiso de dicha tasa.  Sin embargo, como las Oficinas receptoras establecen esa tasa en su moneda local, las variaciones de los tipos de cambio no introducen los cambios producidos en las tasas a lo largo del tiempo;   así pues, es de esperar que los efectos fijos incluidos en la regresión de tipo probit tengan en cuenta su efecto. </w:t>
      </w:r>
    </w:p>
  </w:footnote>
  <w:footnote w:id="6">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ab/>
        <w:t>Los solicitantes pueden beneficiarse de un descuento de entre 100 y 300 francos suizos cuando presentan su solicitud PCT electrónicamente.  En el presente e</w:t>
      </w:r>
      <w:r>
        <w:rPr>
          <w:lang w:val="es-ES_tradnl"/>
        </w:rPr>
        <w:t>studio se hace caso omiso de es</w:t>
      </w:r>
      <w:r w:rsidRPr="00A9493A">
        <w:rPr>
          <w:lang w:val="es-ES_tradnl"/>
        </w:rPr>
        <w:t>e descuento, puesto que la muestra en que se basa la investigación econométrica incluye las solicitudes de patente respecto de las que los solicitantes no presentan solicitudes PCT y no se observa si esos solicitantes habrían presentado las solicitudes electrónicamente.</w:t>
      </w:r>
    </w:p>
  </w:footnote>
  <w:footnote w:id="7">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 xml:space="preserve">Entre las monedas libremente convertibles figuran el dólar australiano, el dólar canadiense, la corona danesa, el euro, la corona islandesa, el yen japonés, el dólar neozelandés, la corona noruega, el rand sudafricano, la corona sueca, el franco suizo, la libra esterlina y el dólar de los EE.UU. </w:t>
      </w:r>
    </w:p>
  </w:footnote>
  <w:footnote w:id="8">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Además, es poco probable que el volumen de presentación de solicitudes PCT permanezca inmutable a lo largo del tiempo, lo que plantea complicadas cuestiones econométricas.</w:t>
      </w:r>
    </w:p>
  </w:footnote>
  <w:footnote w:id="9">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E</w:t>
      </w:r>
      <w:r>
        <w:rPr>
          <w:lang w:val="es-ES_tradnl"/>
        </w:rPr>
        <w:t>n e</w:t>
      </w:r>
      <w:r w:rsidRPr="00A9493A">
        <w:rPr>
          <w:lang w:val="es-ES_tradnl"/>
        </w:rPr>
        <w:t xml:space="preserve">ste enfoque no </w:t>
      </w:r>
      <w:r>
        <w:rPr>
          <w:lang w:val="es-ES_tradnl"/>
        </w:rPr>
        <w:t xml:space="preserve">se </w:t>
      </w:r>
      <w:r w:rsidRPr="00A9493A">
        <w:rPr>
          <w:lang w:val="es-ES_tradnl"/>
        </w:rPr>
        <w:t xml:space="preserve">tiene en cuenta asimismo la posibilidad de que la tasa de presentación del PCT afecte a las decisiones de los solicitantes respecto de si han de presentar una solicitud de prioridad en primer lugar. Sin embargo, dado que presentar una solicitud PCT es facultativo y que la tasa de presentación internacional del PCT es habitualmente reducida en relación con los costos generales </w:t>
      </w:r>
      <w:r>
        <w:rPr>
          <w:lang w:val="es-ES_tradnl"/>
        </w:rPr>
        <w:t>de patentamiento, parece que es</w:t>
      </w:r>
      <w:r w:rsidRPr="00A9493A">
        <w:rPr>
          <w:lang w:val="es-ES_tradnl"/>
        </w:rPr>
        <w:t>e enfoque resulta defendible.</w:t>
      </w:r>
    </w:p>
  </w:footnote>
  <w:footnote w:id="10">
    <w:p w:rsidR="00AA40C3" w:rsidRPr="00A9493A" w:rsidRDefault="00AA40C3" w:rsidP="00956380">
      <w:pPr>
        <w:pStyle w:val="FootnoteText"/>
        <w:rPr>
          <w:lang w:val="es-ES_tradnl"/>
        </w:rPr>
      </w:pPr>
      <w:r w:rsidRPr="00A9493A">
        <w:rPr>
          <w:rStyle w:val="FootnoteReference"/>
          <w:lang w:val="es-ES_tradnl"/>
        </w:rPr>
        <w:footnoteRef/>
      </w:r>
      <w:r w:rsidRPr="00A9493A">
        <w:rPr>
          <w:lang w:val="es-ES_tradnl"/>
        </w:rPr>
        <w:t xml:space="preserve"> </w:t>
      </w:r>
      <w:r w:rsidRPr="00A9493A">
        <w:rPr>
          <w:lang w:val="es-ES_tradnl"/>
        </w:rPr>
        <w:tab/>
        <w:t>La variable ficticia, denominada igualmente variable binaria o indicadora, indica la ausencia o presencia de posibles efectos que podrían influir en el resultado.</w:t>
      </w:r>
    </w:p>
  </w:footnote>
  <w:footnote w:id="11">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 xml:space="preserve">Al asignar los sectores de la tecnología, nos basamos en la concordancia entre los símbolos de la Clasificación Internacional de Patentes (CIP) y los 35 sectores de la tecnología establecidos por la OMPI (véase </w:t>
      </w:r>
      <w:hyperlink r:id="rId1" w:history="1">
        <w:r w:rsidRPr="00A9493A">
          <w:rPr>
            <w:rStyle w:val="Hyperlink"/>
            <w:lang w:val="es-ES_tradnl"/>
          </w:rPr>
          <w:t>http://www.wipo.int/ipstats/en/statistics/technology_concordance.html</w:t>
        </w:r>
      </w:hyperlink>
      <w:r w:rsidRPr="00A9493A">
        <w:rPr>
          <w:lang w:val="es-ES_tradnl"/>
        </w:rPr>
        <w:t>). Cuando una solicitud de patente guarda relación con varios sectores de la tecnología, los sectores se asignan con carácter “fraccionario”, calculando las partes proporcionales, cada una de los cuales representa un sector de la tecnología.</w:t>
      </w:r>
    </w:p>
  </w:footnote>
  <w:footnote w:id="12">
    <w:p w:rsidR="00AA40C3" w:rsidRPr="00A9493A" w:rsidRDefault="00AA40C3" w:rsidP="000B3CBF">
      <w:pPr>
        <w:pStyle w:val="FootnoteText"/>
        <w:spacing w:after="120"/>
        <w:rPr>
          <w:lang w:val="es-ES_tradnl"/>
        </w:rPr>
      </w:pPr>
      <w:r w:rsidRPr="00A9493A">
        <w:rPr>
          <w:rStyle w:val="FootnoteReference"/>
          <w:lang w:val="es-ES_tradnl"/>
        </w:rPr>
        <w:footnoteRef/>
      </w:r>
      <w:r w:rsidRPr="00A9493A">
        <w:rPr>
          <w:lang w:val="es-ES_tradnl"/>
        </w:rPr>
        <w:tab/>
        <w:t>Para la descripción de la tecnología, véase el Capítulo 4, Anexo metodológico, en OMPI (2011) “Informe sobre la propiedad intelectual en el mundo:  Los nuevos parámetros de la innovación,” (OMPI, Ginebra).</w:t>
      </w:r>
    </w:p>
  </w:footnote>
  <w:footnote w:id="13">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 xml:space="preserve">Cabe consultar la Guía del solicitante PCT en </w:t>
      </w:r>
      <w:hyperlink r:id="rId2" w:history="1">
        <w:r w:rsidRPr="00A9493A">
          <w:rPr>
            <w:rStyle w:val="Hyperlink"/>
            <w:lang w:val="es-ES_tradnl"/>
          </w:rPr>
          <w:t>http://www.wipo.int/pct/en/appguide/index.jsp</w:t>
        </w:r>
      </w:hyperlink>
      <w:r w:rsidRPr="00A9493A">
        <w:rPr>
          <w:lang w:val="es-ES_tradnl"/>
        </w:rPr>
        <w:t>.  En el caso de los países que se incorporaron a la eurozona después de 2004, se han utilizado los tipos de conversión oficiales del euro en el momento de la adhesión para ampliar la serie de monedas locales.</w:t>
      </w:r>
    </w:p>
  </w:footnote>
  <w:footnote w:id="14">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Se han calculado igualmente todas las especificaciones indicadas en el Cuadro 1 utilizando el modelo logit de máxima probabilidad y se han obtenido resultados casi idénticos en cuanto a los sig</w:t>
      </w:r>
      <w:r>
        <w:rPr>
          <w:lang w:val="es-ES_tradnl"/>
        </w:rPr>
        <w:t>nos de</w:t>
      </w:r>
      <w:r w:rsidRPr="00A9493A">
        <w:rPr>
          <w:lang w:val="es-ES_tradnl"/>
        </w:rPr>
        <w:t xml:space="preserve"> coeficiente</w:t>
      </w:r>
      <w:r>
        <w:rPr>
          <w:lang w:val="es-ES_tradnl"/>
        </w:rPr>
        <w:t>s</w:t>
      </w:r>
      <w:r w:rsidRPr="00A9493A">
        <w:rPr>
          <w:lang w:val="es-ES_tradnl"/>
        </w:rPr>
        <w:t xml:space="preserve"> y los niveles de importancia estadística.</w:t>
      </w:r>
    </w:p>
  </w:footnote>
  <w:footnote w:id="15">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 xml:space="preserve">En todas las estimaciones de probit, la variable retrasada correspondiente a la cuota de mercado del PCT indica un coeficiente positivo y estadísticamente significativo, como cabría esperar. </w:t>
      </w:r>
    </w:p>
  </w:footnote>
  <w:footnote w:id="16">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El coeficiente de la variable ficticia de miembros del PCT deja de ser estadísticamente significativo, lo que refleja la exclusión de las observaciones de los solicitantes procedentes de países que no son miembros del PCT.</w:t>
      </w:r>
    </w:p>
  </w:footnote>
  <w:footnote w:id="17">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El coeficiente de correlación bivalente entre las variables de tas</w:t>
      </w:r>
      <w:r>
        <w:rPr>
          <w:lang w:val="es-ES_tradnl"/>
        </w:rPr>
        <w:t>a y desempleo se sitúa en el -0,</w:t>
      </w:r>
      <w:r w:rsidRPr="00A9493A">
        <w:rPr>
          <w:lang w:val="es-ES_tradnl"/>
        </w:rPr>
        <w:t xml:space="preserve">69.  </w:t>
      </w:r>
    </w:p>
  </w:footnote>
  <w:footnote w:id="18">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La exclusión de esas 211.367 observaciones nos obliga asimismo a dejar de lado la variable ficticia de miembros del PCT, puesto que en la muestra ya no figuran los solicitantes procedentes de países que no son miembros del PCT.</w:t>
      </w:r>
    </w:p>
  </w:footnote>
  <w:footnote w:id="19">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Se han computado esos efectos marginales aplicando la orden “margins, dydx(</w:t>
      </w:r>
      <w:r w:rsidRPr="00A9493A">
        <w:rPr>
          <w:i/>
          <w:lang w:val="es-ES_tradnl"/>
        </w:rPr>
        <w:t>variable</w:t>
      </w:r>
      <w:r w:rsidRPr="00A9493A">
        <w:rPr>
          <w:lang w:val="es-ES_tradnl"/>
        </w:rPr>
        <w:t>)” en STATA.</w:t>
      </w:r>
    </w:p>
  </w:footnote>
  <w:footnote w:id="20">
    <w:p w:rsidR="00AA40C3" w:rsidRPr="00A9493A" w:rsidRDefault="00AA40C3" w:rsidP="00956380">
      <w:pPr>
        <w:pStyle w:val="FootnoteText"/>
        <w:spacing w:after="120"/>
        <w:rPr>
          <w:lang w:val="es-ES_tradnl"/>
        </w:rPr>
      </w:pPr>
      <w:r w:rsidRPr="00A9493A">
        <w:rPr>
          <w:rStyle w:val="FootnoteReference"/>
          <w:lang w:val="es-ES_tradnl"/>
        </w:rPr>
        <w:footnoteRef/>
      </w:r>
      <w:r w:rsidRPr="00A9493A">
        <w:rPr>
          <w:lang w:val="es-ES_tradnl"/>
        </w:rPr>
        <w:t xml:space="preserve"> </w:t>
      </w:r>
      <w:r w:rsidRPr="00A9493A">
        <w:rPr>
          <w:lang w:val="es-ES_tradnl"/>
        </w:rPr>
        <w:tab/>
        <w:t>Es importante señalar que esas elasticidades dan por supuesto que no hay cambios en la población de familias de patentes multijurisdiccionales.  Eso es mucho suponer, especialmente al considerar la influencia del ciclo de operaciones.</w:t>
      </w:r>
    </w:p>
  </w:footnote>
  <w:footnote w:id="21">
    <w:p w:rsidR="00AA40C3" w:rsidRPr="00A9493A" w:rsidRDefault="00AA40C3" w:rsidP="00956380">
      <w:pPr>
        <w:pStyle w:val="FootnoteText"/>
        <w:rPr>
          <w:lang w:val="es-ES_tradnl"/>
        </w:rPr>
      </w:pPr>
      <w:r w:rsidRPr="00A9493A">
        <w:rPr>
          <w:rStyle w:val="FootnoteReference"/>
          <w:lang w:val="es-ES_tradnl"/>
        </w:rPr>
        <w:footnoteRef/>
      </w:r>
      <w:r w:rsidRPr="00A9493A">
        <w:rPr>
          <w:lang w:val="es-ES_tradnl"/>
        </w:rPr>
        <w:t xml:space="preserve"> </w:t>
      </w:r>
      <w:r w:rsidRPr="00A9493A">
        <w:rPr>
          <w:lang w:val="es-ES_tradnl"/>
        </w:rPr>
        <w:tab/>
        <w:t>La fase internacional dura hasta los 30 meses contados a partir de la fecha de prioridad y en la mayoría de las solicitudes internacionales se reivindica la prioridad a partir de una solicitud nacional anterior.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C3" w:rsidRDefault="00AA40C3" w:rsidP="00477D6B">
    <w:pPr>
      <w:jc w:val="right"/>
    </w:pPr>
    <w:r>
      <w:t>PCT/WG/7/6</w:t>
    </w:r>
  </w:p>
  <w:p w:rsidR="00AA40C3" w:rsidRDefault="00AA40C3" w:rsidP="00477D6B">
    <w:pPr>
      <w:jc w:val="right"/>
      <w:rPr>
        <w:noProof/>
      </w:rPr>
    </w:pPr>
    <w:r>
      <w:t xml:space="preserve">página </w:t>
    </w:r>
    <w:r>
      <w:fldChar w:fldCharType="begin"/>
    </w:r>
    <w:r>
      <w:instrText xml:space="preserve"> PAGE   \* MERGEFORMAT </w:instrText>
    </w:r>
    <w:r>
      <w:fldChar w:fldCharType="separate"/>
    </w:r>
    <w:r w:rsidR="0007661C">
      <w:rPr>
        <w:noProof/>
      </w:rPr>
      <w:t>2</w:t>
    </w:r>
    <w:r>
      <w:rPr>
        <w:noProof/>
      </w:rPr>
      <w:fldChar w:fldCharType="end"/>
    </w:r>
  </w:p>
  <w:p w:rsidR="00AA40C3" w:rsidRDefault="00AA40C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C3" w:rsidRPr="00E63EE0" w:rsidRDefault="00AA40C3" w:rsidP="00C26379">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91" w:rsidRDefault="00F33191">
    <w:pPr>
      <w:pStyle w:val="Header"/>
      <w:jc w:val="right"/>
    </w:pPr>
    <w:r>
      <w:t>PCT/WG/7/6</w:t>
    </w:r>
  </w:p>
  <w:p w:rsidR="00F33191" w:rsidRDefault="00F33191">
    <w:pPr>
      <w:pStyle w:val="Header"/>
      <w:jc w:val="right"/>
    </w:pPr>
    <w:r>
      <w:t xml:space="preserve">Anexo, página </w:t>
    </w:r>
    <w:sdt>
      <w:sdtPr>
        <w:id w:val="21334372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13960">
          <w:rPr>
            <w:noProof/>
          </w:rPr>
          <w:t>3</w:t>
        </w:r>
        <w:r>
          <w:rPr>
            <w:noProof/>
          </w:rPr>
          <w:fldChar w:fldCharType="end"/>
        </w:r>
      </w:sdtContent>
    </w:sdt>
  </w:p>
  <w:p w:rsidR="00AA40C3" w:rsidRDefault="00AA40C3"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191" w:rsidRDefault="00F33191" w:rsidP="00C26379">
    <w:pPr>
      <w:pStyle w:val="Header"/>
      <w:jc w:val="right"/>
      <w:rPr>
        <w:lang w:val="fr-CH"/>
      </w:rPr>
    </w:pPr>
    <w:r>
      <w:rPr>
        <w:lang w:val="fr-CH"/>
      </w:rPr>
      <w:t>PCT/WG/7/6</w:t>
    </w:r>
  </w:p>
  <w:p w:rsidR="00F33191" w:rsidRDefault="00F33191" w:rsidP="00C26379">
    <w:pPr>
      <w:pStyle w:val="Header"/>
      <w:jc w:val="right"/>
      <w:rPr>
        <w:lang w:val="fr-CH"/>
      </w:rPr>
    </w:pPr>
    <w:r>
      <w:rPr>
        <w:lang w:val="fr-CH"/>
      </w:rPr>
      <w:t>ANEXO</w:t>
    </w:r>
  </w:p>
  <w:p w:rsidR="00F33191" w:rsidRPr="00E63EE0" w:rsidRDefault="00F33191" w:rsidP="00C26379">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6A"/>
    <w:rsid w:val="00000AA5"/>
    <w:rsid w:val="000038E2"/>
    <w:rsid w:val="00010686"/>
    <w:rsid w:val="000177DF"/>
    <w:rsid w:val="000203A4"/>
    <w:rsid w:val="00033BF5"/>
    <w:rsid w:val="00040B00"/>
    <w:rsid w:val="00047F74"/>
    <w:rsid w:val="00052915"/>
    <w:rsid w:val="00061885"/>
    <w:rsid w:val="00073035"/>
    <w:rsid w:val="00074058"/>
    <w:rsid w:val="000760EE"/>
    <w:rsid w:val="0007661C"/>
    <w:rsid w:val="00077504"/>
    <w:rsid w:val="00085EB5"/>
    <w:rsid w:val="000936D1"/>
    <w:rsid w:val="000B0705"/>
    <w:rsid w:val="000B3CBF"/>
    <w:rsid w:val="000C144E"/>
    <w:rsid w:val="000E3BB3"/>
    <w:rsid w:val="000F5E56"/>
    <w:rsid w:val="001022C3"/>
    <w:rsid w:val="001036A3"/>
    <w:rsid w:val="001054A9"/>
    <w:rsid w:val="001309E0"/>
    <w:rsid w:val="00135CF7"/>
    <w:rsid w:val="001362EE"/>
    <w:rsid w:val="00152CEA"/>
    <w:rsid w:val="001618AE"/>
    <w:rsid w:val="001832A6"/>
    <w:rsid w:val="00186F89"/>
    <w:rsid w:val="001A4950"/>
    <w:rsid w:val="001B0C56"/>
    <w:rsid w:val="001B400D"/>
    <w:rsid w:val="001B429B"/>
    <w:rsid w:val="001D7C8C"/>
    <w:rsid w:val="001E70D0"/>
    <w:rsid w:val="001F4AEA"/>
    <w:rsid w:val="00216069"/>
    <w:rsid w:val="00226A03"/>
    <w:rsid w:val="00227E73"/>
    <w:rsid w:val="002373A3"/>
    <w:rsid w:val="00240BFE"/>
    <w:rsid w:val="002633FC"/>
    <w:rsid w:val="002634C4"/>
    <w:rsid w:val="00293DBE"/>
    <w:rsid w:val="002A3150"/>
    <w:rsid w:val="002C381D"/>
    <w:rsid w:val="002D26C9"/>
    <w:rsid w:val="002D39A0"/>
    <w:rsid w:val="002E0F47"/>
    <w:rsid w:val="002E2225"/>
    <w:rsid w:val="002F4E68"/>
    <w:rsid w:val="0031424F"/>
    <w:rsid w:val="0032385A"/>
    <w:rsid w:val="00332320"/>
    <w:rsid w:val="00346235"/>
    <w:rsid w:val="0035088A"/>
    <w:rsid w:val="00354647"/>
    <w:rsid w:val="00355B30"/>
    <w:rsid w:val="0036099A"/>
    <w:rsid w:val="003641B6"/>
    <w:rsid w:val="0036446C"/>
    <w:rsid w:val="00377273"/>
    <w:rsid w:val="003845C1"/>
    <w:rsid w:val="00387287"/>
    <w:rsid w:val="003B136A"/>
    <w:rsid w:val="003C1291"/>
    <w:rsid w:val="003C44B2"/>
    <w:rsid w:val="003C5152"/>
    <w:rsid w:val="003D3FF6"/>
    <w:rsid w:val="003D5A1C"/>
    <w:rsid w:val="003E1936"/>
    <w:rsid w:val="003E48F1"/>
    <w:rsid w:val="003F347A"/>
    <w:rsid w:val="00415473"/>
    <w:rsid w:val="00423E3E"/>
    <w:rsid w:val="00427AF4"/>
    <w:rsid w:val="00427C99"/>
    <w:rsid w:val="0043008F"/>
    <w:rsid w:val="004449CE"/>
    <w:rsid w:val="00447AB6"/>
    <w:rsid w:val="0045231F"/>
    <w:rsid w:val="004647DA"/>
    <w:rsid w:val="00477808"/>
    <w:rsid w:val="00477D6B"/>
    <w:rsid w:val="00481F0C"/>
    <w:rsid w:val="00484BBA"/>
    <w:rsid w:val="004A6C37"/>
    <w:rsid w:val="004C508D"/>
    <w:rsid w:val="004E297D"/>
    <w:rsid w:val="004E780A"/>
    <w:rsid w:val="005246E7"/>
    <w:rsid w:val="005332F0"/>
    <w:rsid w:val="0055013B"/>
    <w:rsid w:val="0056541E"/>
    <w:rsid w:val="00571B99"/>
    <w:rsid w:val="005A7FF6"/>
    <w:rsid w:val="005B4F11"/>
    <w:rsid w:val="005D2C83"/>
    <w:rsid w:val="00605827"/>
    <w:rsid w:val="00613D03"/>
    <w:rsid w:val="006141B1"/>
    <w:rsid w:val="00616E8F"/>
    <w:rsid w:val="006278E8"/>
    <w:rsid w:val="00640AD3"/>
    <w:rsid w:val="00650DB7"/>
    <w:rsid w:val="00666519"/>
    <w:rsid w:val="00670EB7"/>
    <w:rsid w:val="00675021"/>
    <w:rsid w:val="00683413"/>
    <w:rsid w:val="00686F52"/>
    <w:rsid w:val="00690CAE"/>
    <w:rsid w:val="006A06C6"/>
    <w:rsid w:val="006A4332"/>
    <w:rsid w:val="006A5363"/>
    <w:rsid w:val="006B742B"/>
    <w:rsid w:val="006B7C0D"/>
    <w:rsid w:val="006D640F"/>
    <w:rsid w:val="006E1412"/>
    <w:rsid w:val="00713960"/>
    <w:rsid w:val="007224C8"/>
    <w:rsid w:val="00724E60"/>
    <w:rsid w:val="00732A4F"/>
    <w:rsid w:val="00733D9E"/>
    <w:rsid w:val="00734FBA"/>
    <w:rsid w:val="00735343"/>
    <w:rsid w:val="007705F5"/>
    <w:rsid w:val="00794BE2"/>
    <w:rsid w:val="007978A7"/>
    <w:rsid w:val="00797FB1"/>
    <w:rsid w:val="007B71FE"/>
    <w:rsid w:val="007C4435"/>
    <w:rsid w:val="007D2117"/>
    <w:rsid w:val="007D5538"/>
    <w:rsid w:val="007D781E"/>
    <w:rsid w:val="007E43C4"/>
    <w:rsid w:val="007E5507"/>
    <w:rsid w:val="007E663E"/>
    <w:rsid w:val="00815082"/>
    <w:rsid w:val="008157A7"/>
    <w:rsid w:val="00841305"/>
    <w:rsid w:val="00862136"/>
    <w:rsid w:val="00874CA8"/>
    <w:rsid w:val="0088395E"/>
    <w:rsid w:val="008A623A"/>
    <w:rsid w:val="008B2CC1"/>
    <w:rsid w:val="008B3B0C"/>
    <w:rsid w:val="008B5060"/>
    <w:rsid w:val="008B7C4F"/>
    <w:rsid w:val="008C24D6"/>
    <w:rsid w:val="008E6BD6"/>
    <w:rsid w:val="008F0048"/>
    <w:rsid w:val="008F3133"/>
    <w:rsid w:val="009008F8"/>
    <w:rsid w:val="0090731E"/>
    <w:rsid w:val="009153F0"/>
    <w:rsid w:val="00924CDB"/>
    <w:rsid w:val="00925E79"/>
    <w:rsid w:val="00930FD0"/>
    <w:rsid w:val="0094204F"/>
    <w:rsid w:val="00956380"/>
    <w:rsid w:val="00957238"/>
    <w:rsid w:val="00966A22"/>
    <w:rsid w:val="00972F03"/>
    <w:rsid w:val="00984E6E"/>
    <w:rsid w:val="00995661"/>
    <w:rsid w:val="009A0C8B"/>
    <w:rsid w:val="009B6241"/>
    <w:rsid w:val="009F7A5F"/>
    <w:rsid w:val="00A07838"/>
    <w:rsid w:val="00A16FC0"/>
    <w:rsid w:val="00A23888"/>
    <w:rsid w:val="00A32C9E"/>
    <w:rsid w:val="00A371CE"/>
    <w:rsid w:val="00A50F04"/>
    <w:rsid w:val="00A621B7"/>
    <w:rsid w:val="00A83788"/>
    <w:rsid w:val="00A9493A"/>
    <w:rsid w:val="00A94BEF"/>
    <w:rsid w:val="00AA40C3"/>
    <w:rsid w:val="00AA6096"/>
    <w:rsid w:val="00AB613D"/>
    <w:rsid w:val="00AE2943"/>
    <w:rsid w:val="00AE7F20"/>
    <w:rsid w:val="00B1540A"/>
    <w:rsid w:val="00B65A0A"/>
    <w:rsid w:val="00B67CDC"/>
    <w:rsid w:val="00B72D36"/>
    <w:rsid w:val="00BC4164"/>
    <w:rsid w:val="00BD2DCC"/>
    <w:rsid w:val="00BE3D77"/>
    <w:rsid w:val="00BE6D0F"/>
    <w:rsid w:val="00C16272"/>
    <w:rsid w:val="00C26379"/>
    <w:rsid w:val="00C52352"/>
    <w:rsid w:val="00C72ED0"/>
    <w:rsid w:val="00C855F6"/>
    <w:rsid w:val="00C90559"/>
    <w:rsid w:val="00C975BE"/>
    <w:rsid w:val="00CA2251"/>
    <w:rsid w:val="00CB72E3"/>
    <w:rsid w:val="00CD13B8"/>
    <w:rsid w:val="00CF637F"/>
    <w:rsid w:val="00D358D4"/>
    <w:rsid w:val="00D4788A"/>
    <w:rsid w:val="00D56C7C"/>
    <w:rsid w:val="00D71B4D"/>
    <w:rsid w:val="00D771AF"/>
    <w:rsid w:val="00D8215E"/>
    <w:rsid w:val="00D830BB"/>
    <w:rsid w:val="00D90289"/>
    <w:rsid w:val="00D93D55"/>
    <w:rsid w:val="00D948A3"/>
    <w:rsid w:val="00DB080B"/>
    <w:rsid w:val="00DC26EC"/>
    <w:rsid w:val="00DC4C60"/>
    <w:rsid w:val="00DE43C5"/>
    <w:rsid w:val="00DE572C"/>
    <w:rsid w:val="00E0079A"/>
    <w:rsid w:val="00E13DA2"/>
    <w:rsid w:val="00E15143"/>
    <w:rsid w:val="00E444DA"/>
    <w:rsid w:val="00E45C84"/>
    <w:rsid w:val="00E504E5"/>
    <w:rsid w:val="00E72FB2"/>
    <w:rsid w:val="00E76C6C"/>
    <w:rsid w:val="00EA4452"/>
    <w:rsid w:val="00EB7A3E"/>
    <w:rsid w:val="00EC167A"/>
    <w:rsid w:val="00EC401A"/>
    <w:rsid w:val="00EF530A"/>
    <w:rsid w:val="00EF6622"/>
    <w:rsid w:val="00EF7DD4"/>
    <w:rsid w:val="00F10B41"/>
    <w:rsid w:val="00F33191"/>
    <w:rsid w:val="00F44619"/>
    <w:rsid w:val="00F459A6"/>
    <w:rsid w:val="00F47DCE"/>
    <w:rsid w:val="00F534D9"/>
    <w:rsid w:val="00F55408"/>
    <w:rsid w:val="00F66152"/>
    <w:rsid w:val="00F80845"/>
    <w:rsid w:val="00F8370A"/>
    <w:rsid w:val="00F84474"/>
    <w:rsid w:val="00FA0F0D"/>
    <w:rsid w:val="00FB12E5"/>
    <w:rsid w:val="00FB4D70"/>
    <w:rsid w:val="00FC2507"/>
    <w:rsid w:val="00FC5A4F"/>
    <w:rsid w:val="00FD59D1"/>
    <w:rsid w:val="00FF2E0C"/>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uiPriority w:val="99"/>
    <w:unhideWhenUsed/>
    <w:rsid w:val="00956380"/>
    <w:rPr>
      <w:vertAlign w:val="superscript"/>
    </w:rPr>
  </w:style>
  <w:style w:type="character" w:styleId="Hyperlink">
    <w:name w:val="Hyperlink"/>
    <w:basedOn w:val="DefaultParagraphFont"/>
    <w:uiPriority w:val="99"/>
    <w:unhideWhenUsed/>
    <w:rsid w:val="00956380"/>
    <w:rPr>
      <w:color w:val="0000FF" w:themeColor="hyperlink"/>
      <w:u w:val="single"/>
    </w:rPr>
  </w:style>
  <w:style w:type="table" w:styleId="LightShading">
    <w:name w:val="Light Shading"/>
    <w:basedOn w:val="TableNormal"/>
    <w:uiPriority w:val="60"/>
    <w:rsid w:val="0095638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rsid w:val="000B3CBF"/>
    <w:rPr>
      <w:color w:val="800080" w:themeColor="followedHyperlink"/>
      <w:u w:val="single"/>
    </w:rPr>
  </w:style>
  <w:style w:type="character" w:customStyle="1" w:styleId="FooterChar">
    <w:name w:val="Footer Char"/>
    <w:basedOn w:val="DefaultParagraphFont"/>
    <w:link w:val="Footer"/>
    <w:uiPriority w:val="99"/>
    <w:rsid w:val="00F33191"/>
    <w:rPr>
      <w:rFonts w:ascii="Arial" w:eastAsia="SimSun" w:hAnsi="Arial" w:cs="Arial"/>
      <w:sz w:val="22"/>
      <w:lang w:val="es-ES" w:eastAsia="zh-CN"/>
    </w:rPr>
  </w:style>
  <w:style w:type="character" w:customStyle="1" w:styleId="HeaderChar">
    <w:name w:val="Header Char"/>
    <w:basedOn w:val="DefaultParagraphFont"/>
    <w:link w:val="Header"/>
    <w:uiPriority w:val="99"/>
    <w:rsid w:val="00F3319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styleId="FootnoteReference">
    <w:name w:val="footnote reference"/>
    <w:basedOn w:val="DefaultParagraphFont"/>
    <w:uiPriority w:val="99"/>
    <w:unhideWhenUsed/>
    <w:rsid w:val="00956380"/>
    <w:rPr>
      <w:vertAlign w:val="superscript"/>
    </w:rPr>
  </w:style>
  <w:style w:type="character" w:styleId="Hyperlink">
    <w:name w:val="Hyperlink"/>
    <w:basedOn w:val="DefaultParagraphFont"/>
    <w:uiPriority w:val="99"/>
    <w:unhideWhenUsed/>
    <w:rsid w:val="00956380"/>
    <w:rPr>
      <w:color w:val="0000FF" w:themeColor="hyperlink"/>
      <w:u w:val="single"/>
    </w:rPr>
  </w:style>
  <w:style w:type="table" w:styleId="LightShading">
    <w:name w:val="Light Shading"/>
    <w:basedOn w:val="TableNormal"/>
    <w:uiPriority w:val="60"/>
    <w:rsid w:val="0095638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rsid w:val="000B3CBF"/>
    <w:rPr>
      <w:color w:val="800080" w:themeColor="followedHyperlink"/>
      <w:u w:val="single"/>
    </w:rPr>
  </w:style>
  <w:style w:type="character" w:customStyle="1" w:styleId="FooterChar">
    <w:name w:val="Footer Char"/>
    <w:basedOn w:val="DefaultParagraphFont"/>
    <w:link w:val="Footer"/>
    <w:uiPriority w:val="99"/>
    <w:rsid w:val="00F33191"/>
    <w:rPr>
      <w:rFonts w:ascii="Arial" w:eastAsia="SimSun" w:hAnsi="Arial" w:cs="Arial"/>
      <w:sz w:val="22"/>
      <w:lang w:val="es-ES" w:eastAsia="zh-CN"/>
    </w:rPr>
  </w:style>
  <w:style w:type="character" w:customStyle="1" w:styleId="HeaderChar">
    <w:name w:val="Header Char"/>
    <w:basedOn w:val="DefaultParagraphFont"/>
    <w:link w:val="Header"/>
    <w:uiPriority w:val="99"/>
    <w:rsid w:val="00F3319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appguide/index.jsp" TargetMode="External"/><Relationship Id="rId1" Type="http://schemas.openxmlformats.org/officeDocument/2006/relationships/hyperlink" Target="http://www.wipo.int/ipstats/en/statistics/technology_concorda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0B0E-122F-46ED-AFA0-BF288CA3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(S)</Template>
  <TotalTime>2</TotalTime>
  <Pages>12</Pages>
  <Words>5387</Words>
  <Characters>27885</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Estimating a PCT Fee Elasticiy</dc:subject>
  <dc:creator>LOPEZ OLIVARES Dolores</dc:creator>
  <dc:description>JC_x000d_
05.05.14</dc:description>
  <cp:lastModifiedBy>MARLOW Thomas</cp:lastModifiedBy>
  <cp:revision>3</cp:revision>
  <cp:lastPrinted>2014-05-07T13:49:00Z</cp:lastPrinted>
  <dcterms:created xsi:type="dcterms:W3CDTF">2014-05-12T08:36:00Z</dcterms:created>
  <dcterms:modified xsi:type="dcterms:W3CDTF">2014-05-12T08:37:00Z</dcterms:modified>
</cp:coreProperties>
</file>