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64246" w:rsidRPr="00A64246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A64246" w:rsidRDefault="00E504E5" w:rsidP="00AB613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64246" w:rsidRDefault="002C2E2F" w:rsidP="00AB613D">
            <w:r w:rsidRPr="00A64246">
              <w:rPr>
                <w:noProof/>
                <w:lang w:val="en-US" w:eastAsia="en-US"/>
              </w:rPr>
              <w:drawing>
                <wp:inline distT="0" distB="0" distL="0" distR="0" wp14:anchorId="3F318587" wp14:editId="69DC6847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A64246" w:rsidRDefault="00E504E5" w:rsidP="00AB613D">
            <w:pPr>
              <w:jc w:val="right"/>
            </w:pPr>
            <w:r w:rsidRPr="00A64246">
              <w:rPr>
                <w:b/>
                <w:sz w:val="40"/>
                <w:szCs w:val="40"/>
              </w:rPr>
              <w:t>S</w:t>
            </w:r>
          </w:p>
        </w:tc>
      </w:tr>
      <w:tr w:rsidR="00A64246" w:rsidRPr="00A64246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64246" w:rsidRDefault="00F94081" w:rsidP="009314E5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64246">
              <w:rPr>
                <w:rFonts w:ascii="Arial Black" w:hAnsi="Arial Black"/>
                <w:caps/>
                <w:sz w:val="15"/>
              </w:rPr>
              <w:t>PCT/WG/11/</w:t>
            </w:r>
            <w:bookmarkStart w:id="0" w:name="Code"/>
            <w:bookmarkEnd w:id="0"/>
            <w:r w:rsidR="009314E5" w:rsidRPr="00A64246">
              <w:rPr>
                <w:rFonts w:ascii="Arial Black" w:hAnsi="Arial Black"/>
                <w:caps/>
                <w:sz w:val="15"/>
              </w:rPr>
              <w:t>25</w:t>
            </w:r>
          </w:p>
        </w:tc>
      </w:tr>
      <w:tr w:rsidR="00A64246" w:rsidRPr="00A6424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A64246" w:rsidRDefault="008B2CC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64246">
              <w:rPr>
                <w:rFonts w:ascii="Arial Black" w:hAnsi="Arial Black"/>
                <w:caps/>
                <w:sz w:val="15"/>
              </w:rPr>
              <w:t>ORIGINAL:</w:t>
            </w:r>
            <w:r w:rsidR="009A20CD" w:rsidRPr="00A6424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 w:rsidR="00AB2705" w:rsidRPr="00A64246">
              <w:rPr>
                <w:rFonts w:ascii="Arial Black" w:hAnsi="Arial Black"/>
                <w:caps/>
                <w:sz w:val="15"/>
              </w:rPr>
              <w:t>INGLÉS</w:t>
            </w:r>
            <w:r w:rsidRPr="00A64246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A6424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A64246" w:rsidRDefault="00675021" w:rsidP="0046793F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A64246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A64246">
              <w:rPr>
                <w:rFonts w:ascii="Arial Black" w:hAnsi="Arial Black"/>
                <w:caps/>
                <w:sz w:val="15"/>
              </w:rPr>
              <w:t>:</w:t>
            </w:r>
            <w:r w:rsidR="009A20CD" w:rsidRPr="00A64246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AB2705" w:rsidRPr="00A64246">
              <w:rPr>
                <w:rFonts w:ascii="Arial Black" w:hAnsi="Arial Black"/>
                <w:caps/>
                <w:sz w:val="15"/>
              </w:rPr>
              <w:t>1 de junio de 2018</w:t>
            </w:r>
            <w:r w:rsidR="008B2CC1" w:rsidRPr="00A64246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9314E5" w:rsidRPr="00A64246" w:rsidRDefault="009314E5" w:rsidP="008B2CC1"/>
    <w:p w:rsidR="009314E5" w:rsidRPr="00A64246" w:rsidRDefault="009314E5" w:rsidP="008B2CC1"/>
    <w:p w:rsidR="009314E5" w:rsidRPr="00A64246" w:rsidRDefault="009314E5" w:rsidP="008B2CC1"/>
    <w:p w:rsidR="009314E5" w:rsidRPr="00A64246" w:rsidRDefault="009314E5" w:rsidP="008B2CC1"/>
    <w:p w:rsidR="009314E5" w:rsidRPr="00A64246" w:rsidRDefault="009314E5" w:rsidP="008B2CC1"/>
    <w:p w:rsidR="009314E5" w:rsidRPr="00A64246" w:rsidRDefault="00F94081" w:rsidP="00B67CDC">
      <w:pPr>
        <w:rPr>
          <w:b/>
          <w:sz w:val="28"/>
          <w:szCs w:val="28"/>
        </w:rPr>
      </w:pPr>
      <w:r w:rsidRPr="00A64246">
        <w:rPr>
          <w:b/>
          <w:sz w:val="28"/>
          <w:szCs w:val="28"/>
        </w:rPr>
        <w:t>Grupo de Trabajo del Tratado de Cooperación en materia de Patentes (PCT)</w:t>
      </w:r>
    </w:p>
    <w:p w:rsidR="009314E5" w:rsidRPr="00A64246" w:rsidRDefault="009314E5" w:rsidP="003845C1"/>
    <w:p w:rsidR="009314E5" w:rsidRPr="00A64246" w:rsidRDefault="009314E5" w:rsidP="003845C1"/>
    <w:p w:rsidR="009314E5" w:rsidRPr="00A64246" w:rsidRDefault="00F94081" w:rsidP="00F94081">
      <w:pPr>
        <w:rPr>
          <w:b/>
          <w:sz w:val="24"/>
          <w:szCs w:val="24"/>
        </w:rPr>
      </w:pPr>
      <w:r w:rsidRPr="00A64246">
        <w:rPr>
          <w:b/>
          <w:sz w:val="24"/>
          <w:szCs w:val="24"/>
        </w:rPr>
        <w:t>Undécima reunión</w:t>
      </w:r>
    </w:p>
    <w:p w:rsidR="009314E5" w:rsidRPr="00A64246" w:rsidRDefault="00F94081" w:rsidP="00F94081">
      <w:pPr>
        <w:rPr>
          <w:b/>
          <w:sz w:val="24"/>
          <w:szCs w:val="24"/>
        </w:rPr>
      </w:pPr>
      <w:r w:rsidRPr="00A64246">
        <w:rPr>
          <w:b/>
          <w:sz w:val="24"/>
          <w:szCs w:val="24"/>
        </w:rPr>
        <w:t>Ginebra, 18 a 22 de junio de 2018</w:t>
      </w:r>
    </w:p>
    <w:p w:rsidR="009314E5" w:rsidRPr="00A64246" w:rsidRDefault="009314E5" w:rsidP="008B2CC1"/>
    <w:p w:rsidR="009314E5" w:rsidRPr="00A64246" w:rsidRDefault="009314E5" w:rsidP="008B2CC1"/>
    <w:p w:rsidR="009314E5" w:rsidRPr="00A64246" w:rsidRDefault="009314E5" w:rsidP="008B2CC1"/>
    <w:p w:rsidR="009314E5" w:rsidRPr="00A64246" w:rsidRDefault="00AB2705" w:rsidP="008B2CC1">
      <w:pPr>
        <w:rPr>
          <w:caps/>
          <w:sz w:val="24"/>
        </w:rPr>
      </w:pPr>
      <w:bookmarkStart w:id="3" w:name="TitleOfDoc"/>
      <w:bookmarkEnd w:id="3"/>
      <w:r w:rsidRPr="00A64246">
        <w:rPr>
          <w:caps/>
          <w:sz w:val="24"/>
        </w:rPr>
        <w:t>Sistemas destinados a facilitar la entrada en la fase nacional</w:t>
      </w:r>
    </w:p>
    <w:p w:rsidR="009314E5" w:rsidRPr="00A64246" w:rsidRDefault="009314E5" w:rsidP="008B2CC1"/>
    <w:p w:rsidR="009314E5" w:rsidRPr="00A64246" w:rsidRDefault="00AB2705" w:rsidP="008B2CC1">
      <w:pPr>
        <w:rPr>
          <w:i/>
        </w:rPr>
      </w:pPr>
      <w:bookmarkStart w:id="4" w:name="Prepared"/>
      <w:bookmarkEnd w:id="4"/>
      <w:r w:rsidRPr="00A64246">
        <w:rPr>
          <w:i/>
        </w:rPr>
        <w:t>Documento preparado por la Oficina Internacional</w:t>
      </w:r>
    </w:p>
    <w:p w:rsidR="009314E5" w:rsidRPr="00A64246" w:rsidRDefault="009314E5" w:rsidP="003845C1"/>
    <w:p w:rsidR="009314E5" w:rsidRPr="00A64246" w:rsidRDefault="009314E5"/>
    <w:p w:rsidR="009314E5" w:rsidRPr="00A64246" w:rsidRDefault="009314E5"/>
    <w:p w:rsidR="009314E5" w:rsidRPr="00A64246" w:rsidRDefault="009314E5"/>
    <w:p w:rsidR="009314E5" w:rsidRPr="00A64246" w:rsidRDefault="009314E5" w:rsidP="00AB2705">
      <w:pPr>
        <w:keepNext/>
        <w:spacing w:before="360" w:after="180"/>
        <w:outlineLvl w:val="0"/>
        <w:rPr>
          <w:b/>
          <w:bCs/>
          <w:caps/>
          <w:kern w:val="32"/>
          <w:szCs w:val="32"/>
        </w:rPr>
      </w:pPr>
      <w:r w:rsidRPr="00A64246">
        <w:rPr>
          <w:b/>
          <w:bCs/>
          <w:caps/>
          <w:kern w:val="32"/>
          <w:szCs w:val="32"/>
        </w:rPr>
        <w:t>resumen</w:t>
      </w:r>
    </w:p>
    <w:p w:rsidR="009314E5" w:rsidRPr="00A64246" w:rsidRDefault="002B1F45" w:rsidP="00AB2705">
      <w:pPr>
        <w:tabs>
          <w:tab w:val="num" w:pos="567"/>
        </w:tabs>
        <w:spacing w:after="220"/>
      </w:pPr>
      <w:r w:rsidRPr="00A64246">
        <w:fldChar w:fldCharType="begin"/>
      </w:r>
      <w:r w:rsidRPr="00A64246">
        <w:instrText xml:space="preserve"> AUTONUM  </w:instrText>
      </w:r>
      <w:r w:rsidRPr="00A64246">
        <w:fldChar w:fldCharType="end"/>
      </w:r>
      <w:r w:rsidRPr="00A64246">
        <w:tab/>
      </w:r>
      <w:r w:rsidR="009314E5" w:rsidRPr="00A64246">
        <w:t xml:space="preserve">La Oficina Internacional solicita información sobre </w:t>
      </w:r>
      <w:r w:rsidR="0017238B">
        <w:t>la dirección que ha de tomar</w:t>
      </w:r>
      <w:r w:rsidR="009314E5" w:rsidRPr="00A64246">
        <w:t xml:space="preserve"> el desarrollo de sistemas que</w:t>
      </w:r>
      <w:r w:rsidR="002F3B0D" w:rsidRPr="00A64246">
        <w:t xml:space="preserve"> puedan ser admitidos por</w:t>
      </w:r>
      <w:r w:rsidR="009314E5" w:rsidRPr="00A64246">
        <w:t xml:space="preserve"> las Oficinas y los solicitantes </w:t>
      </w:r>
      <w:r w:rsidR="002F3B0D" w:rsidRPr="00A64246">
        <w:t>para facilitar la entrada en la fase nacional</w:t>
      </w:r>
      <w:r w:rsidR="00AB2705" w:rsidRPr="00A64246">
        <w:t xml:space="preserve">. </w:t>
      </w:r>
      <w:r w:rsidR="002F3B0D" w:rsidRPr="00A64246">
        <w:t xml:space="preserve">Entre las </w:t>
      </w:r>
      <w:r w:rsidR="00A64246" w:rsidRPr="00A64246">
        <w:t>opciones</w:t>
      </w:r>
      <w:r w:rsidR="00AB2705" w:rsidRPr="00A64246">
        <w:t xml:space="preserve"> </w:t>
      </w:r>
      <w:r w:rsidR="0017238B">
        <w:t xml:space="preserve">existentes </w:t>
      </w:r>
      <w:r w:rsidR="002F3B0D" w:rsidRPr="00A64246">
        <w:t>cabe señalar o bien recomenzar la labor relativa al servicio ejecutable en el navegador, examinado por el Grupo de Trabajo en reuniones anteriores</w:t>
      </w:r>
      <w:r w:rsidR="00AB2705" w:rsidRPr="00A64246">
        <w:t>, o</w:t>
      </w:r>
      <w:r w:rsidR="002F3B0D" w:rsidRPr="00A64246">
        <w:t xml:space="preserve"> bien ofrecer interfaces </w:t>
      </w:r>
      <w:r w:rsidR="00470DE2" w:rsidRPr="00A64246">
        <w:t>de máquina</w:t>
      </w:r>
      <w:r w:rsidR="0017238B">
        <w:t xml:space="preserve"> mejoradas</w:t>
      </w:r>
      <w:r w:rsidR="00470DE2" w:rsidRPr="00A64246">
        <w:t xml:space="preserve"> para el software de gestión de patentes de proveedores externos</w:t>
      </w:r>
      <w:r w:rsidR="00AB2705" w:rsidRPr="00A64246">
        <w:t>, o</w:t>
      </w:r>
      <w:r w:rsidR="00470DE2" w:rsidRPr="00A64246">
        <w:t xml:space="preserve"> bien una combinación de ambas</w:t>
      </w:r>
      <w:r w:rsidR="00AB2705" w:rsidRPr="00A64246">
        <w:t xml:space="preserve">. </w:t>
      </w:r>
      <w:r w:rsidR="00470DE2" w:rsidRPr="00A64246">
        <w:t>Para que cualquier solución resulte útil</w:t>
      </w:r>
      <w:r w:rsidR="00AB2705" w:rsidRPr="00A64246">
        <w:t xml:space="preserve">, </w:t>
      </w:r>
      <w:r w:rsidR="00F042DE" w:rsidRPr="00A64246">
        <w:t xml:space="preserve">será necesario que las </w:t>
      </w:r>
      <w:r w:rsidR="00A64246" w:rsidRPr="00A64246">
        <w:t>Oficinas</w:t>
      </w:r>
      <w:r w:rsidR="00F042DE" w:rsidRPr="00A64246">
        <w:t xml:space="preserve"> designadas se comprometan a importar los datos bibliográficos necesarios en un formato que guarde </w:t>
      </w:r>
      <w:r w:rsidR="00A64246" w:rsidRPr="00A64246">
        <w:t>coherencia</w:t>
      </w:r>
      <w:r w:rsidR="00F042DE" w:rsidRPr="00A64246">
        <w:t xml:space="preserve"> para su lectura por máquina</w:t>
      </w:r>
      <w:r w:rsidR="00AB2705" w:rsidRPr="00A64246">
        <w:t xml:space="preserve">, </w:t>
      </w:r>
      <w:r w:rsidR="00F042DE" w:rsidRPr="00A64246">
        <w:t>de preferencia acompañados de los</w:t>
      </w:r>
      <w:r w:rsidR="00AB2705" w:rsidRPr="00A64246">
        <w:t xml:space="preserve"> </w:t>
      </w:r>
      <w:r w:rsidR="00A64246" w:rsidRPr="00A64246">
        <w:t>documentos</w:t>
      </w:r>
      <w:r w:rsidR="00F042DE" w:rsidRPr="00A64246">
        <w:t xml:space="preserve"> conexos</w:t>
      </w:r>
      <w:r w:rsidR="00AB2705" w:rsidRPr="00A64246">
        <w:t>.</w:t>
      </w:r>
    </w:p>
    <w:p w:rsidR="009314E5" w:rsidRPr="00A64246" w:rsidRDefault="009314E5" w:rsidP="009314E5">
      <w:pPr>
        <w:keepNext/>
        <w:spacing w:before="360" w:after="180"/>
        <w:outlineLvl w:val="0"/>
        <w:rPr>
          <w:b/>
          <w:bCs/>
          <w:caps/>
          <w:kern w:val="32"/>
          <w:szCs w:val="32"/>
        </w:rPr>
      </w:pPr>
      <w:r w:rsidRPr="00A64246">
        <w:rPr>
          <w:b/>
          <w:bCs/>
          <w:caps/>
          <w:kern w:val="32"/>
          <w:szCs w:val="32"/>
        </w:rPr>
        <w:t>Antecedentes</w:t>
      </w:r>
    </w:p>
    <w:p w:rsidR="009314E5" w:rsidRPr="00A64246" w:rsidRDefault="002B1F45" w:rsidP="00AB2705">
      <w:pPr>
        <w:tabs>
          <w:tab w:val="num" w:pos="567"/>
        </w:tabs>
        <w:spacing w:after="220"/>
      </w:pPr>
      <w:r w:rsidRPr="00A64246">
        <w:fldChar w:fldCharType="begin"/>
      </w:r>
      <w:r w:rsidRPr="00A64246">
        <w:instrText xml:space="preserve"> AUTONUM  </w:instrText>
      </w:r>
      <w:r w:rsidRPr="00A64246">
        <w:fldChar w:fldCharType="end"/>
      </w:r>
      <w:r w:rsidRPr="00A64246">
        <w:tab/>
      </w:r>
      <w:r w:rsidR="00F042DE" w:rsidRPr="00A64246">
        <w:t>En el</w:t>
      </w:r>
      <w:r w:rsidR="00AB2705" w:rsidRPr="00A64246">
        <w:t xml:space="preserve"> </w:t>
      </w:r>
      <w:r w:rsidR="00A64246" w:rsidRPr="00A64246">
        <w:t>documento</w:t>
      </w:r>
      <w:r w:rsidR="00AB2705" w:rsidRPr="00A64246">
        <w:t xml:space="preserve"> PCT/WG/7/12, </w:t>
      </w:r>
      <w:r w:rsidR="00F042DE" w:rsidRPr="00A64246">
        <w:t>la</w:t>
      </w:r>
      <w:r w:rsidR="00AB2705" w:rsidRPr="00A64246">
        <w:t xml:space="preserve"> </w:t>
      </w:r>
      <w:r w:rsidR="00F042DE" w:rsidRPr="00A64246">
        <w:t>Oficina Internacional</w:t>
      </w:r>
      <w:r w:rsidR="00AB2705" w:rsidRPr="00A64246">
        <w:t xml:space="preserve"> </w:t>
      </w:r>
      <w:r w:rsidR="00F042DE" w:rsidRPr="00A64246">
        <w:t xml:space="preserve">expuso un concepto para utilizar el sistema ePCT </w:t>
      </w:r>
      <w:r w:rsidR="0017238B">
        <w:t>con el fin de</w:t>
      </w:r>
      <w:r w:rsidR="00F042DE" w:rsidRPr="00A64246">
        <w:t xml:space="preserve"> dar inicio a la entrada en la fase nacional</w:t>
      </w:r>
      <w:r w:rsidR="00AB2705" w:rsidRPr="00A64246">
        <w:t xml:space="preserve">. </w:t>
      </w:r>
      <w:r w:rsidR="00F042DE" w:rsidRPr="00A64246">
        <w:t xml:space="preserve">La propuesta se basó en el hecho de que la mayor parte de la </w:t>
      </w:r>
      <w:r w:rsidR="00A64246" w:rsidRPr="00A64246">
        <w:t>información</w:t>
      </w:r>
      <w:r w:rsidR="00AB2705" w:rsidRPr="00A64246">
        <w:t xml:space="preserve"> </w:t>
      </w:r>
      <w:r w:rsidR="00F042DE" w:rsidRPr="00A64246">
        <w:t>necesaria para la entrada en la fase</w:t>
      </w:r>
      <w:r w:rsidR="00AB2705" w:rsidRPr="00A64246">
        <w:t xml:space="preserve"> </w:t>
      </w:r>
      <w:r w:rsidR="00A64246" w:rsidRPr="00A64246">
        <w:t>nacional</w:t>
      </w:r>
      <w:r w:rsidR="00AB2705" w:rsidRPr="00A64246">
        <w:t xml:space="preserve"> </w:t>
      </w:r>
      <w:r w:rsidR="00F042DE" w:rsidRPr="00A64246">
        <w:t>ya está contenida en</w:t>
      </w:r>
      <w:r w:rsidR="00AB2705" w:rsidRPr="00A64246">
        <w:t xml:space="preserve"> </w:t>
      </w:r>
      <w:r w:rsidR="00F042DE" w:rsidRPr="00A64246">
        <w:t>las bases de datos de la</w:t>
      </w:r>
      <w:r w:rsidR="00AB2705" w:rsidRPr="00A64246">
        <w:t xml:space="preserve"> </w:t>
      </w:r>
      <w:r w:rsidR="00F042DE" w:rsidRPr="00A64246">
        <w:t>Oficina Internacional</w:t>
      </w:r>
      <w:r w:rsidR="00AB2705" w:rsidRPr="00A64246">
        <w:t>.</w:t>
      </w:r>
    </w:p>
    <w:p w:rsidR="009314E5" w:rsidRPr="00A64246" w:rsidRDefault="002B1F45" w:rsidP="00AB2705">
      <w:pPr>
        <w:tabs>
          <w:tab w:val="num" w:pos="567"/>
        </w:tabs>
        <w:spacing w:after="220"/>
      </w:pPr>
      <w:r w:rsidRPr="00A64246">
        <w:fldChar w:fldCharType="begin"/>
      </w:r>
      <w:r w:rsidRPr="00A64246">
        <w:instrText xml:space="preserve"> AUTONUM  </w:instrText>
      </w:r>
      <w:r w:rsidRPr="00A64246">
        <w:fldChar w:fldCharType="end"/>
      </w:r>
      <w:r w:rsidRPr="00A64246">
        <w:tab/>
      </w:r>
      <w:r w:rsidR="00AB2705" w:rsidRPr="00A64246">
        <w:t>Transcribi</w:t>
      </w:r>
      <w:r w:rsidR="00F042DE" w:rsidRPr="00A64246">
        <w:t>r de forma manual la</w:t>
      </w:r>
      <w:r w:rsidR="00AB2705" w:rsidRPr="00A64246">
        <w:t xml:space="preserve"> </w:t>
      </w:r>
      <w:r w:rsidR="00A64246" w:rsidRPr="00A64246">
        <w:t>información</w:t>
      </w:r>
      <w:r w:rsidR="00AB2705" w:rsidRPr="00A64246">
        <w:t xml:space="preserve"> </w:t>
      </w:r>
      <w:r w:rsidR="00F042DE" w:rsidRPr="00A64246">
        <w:t xml:space="preserve">de la </w:t>
      </w:r>
      <w:r w:rsidR="00A64246" w:rsidRPr="00A64246">
        <w:t>solicitud</w:t>
      </w:r>
      <w:r w:rsidR="00AB2705" w:rsidRPr="00A64246">
        <w:t xml:space="preserve"> </w:t>
      </w:r>
      <w:r w:rsidR="00A64246" w:rsidRPr="00A64246">
        <w:t>internacional</w:t>
      </w:r>
      <w:r w:rsidR="00AB2705" w:rsidRPr="00A64246">
        <w:t xml:space="preserve"> </w:t>
      </w:r>
      <w:r w:rsidR="00F042DE" w:rsidRPr="00A64246">
        <w:t>en los formularios</w:t>
      </w:r>
      <w:r w:rsidR="00AB2705" w:rsidRPr="00A64246">
        <w:t xml:space="preserve"> </w:t>
      </w:r>
      <w:r w:rsidR="00A64246" w:rsidRPr="00A64246">
        <w:t>nacionales</w:t>
      </w:r>
      <w:r w:rsidR="00AB2705" w:rsidRPr="00A64246">
        <w:t xml:space="preserve">, </w:t>
      </w:r>
      <w:r w:rsidR="00F042DE" w:rsidRPr="00A64246">
        <w:t xml:space="preserve">para transcribirla nuevamente en los sistemas de las Oficinas </w:t>
      </w:r>
      <w:r w:rsidR="00A64246" w:rsidRPr="00A64246">
        <w:t>nacionales</w:t>
      </w:r>
      <w:r w:rsidR="00AB2705" w:rsidRPr="00A64246">
        <w:t xml:space="preserve">, </w:t>
      </w:r>
      <w:r w:rsidR="00F042DE" w:rsidRPr="00A64246">
        <w:t xml:space="preserve">supone un </w:t>
      </w:r>
      <w:r w:rsidR="00AB2705" w:rsidRPr="00A64246">
        <w:t>in</w:t>
      </w:r>
      <w:r w:rsidR="00F042DE" w:rsidRPr="00A64246">
        <w:t xml:space="preserve">gente trabajo, </w:t>
      </w:r>
      <w:r w:rsidR="00A64246" w:rsidRPr="00A64246">
        <w:t>innecesario</w:t>
      </w:r>
      <w:r w:rsidR="00F042DE" w:rsidRPr="00A64246">
        <w:t>, tanto para los solicitantes como para las Oficinas</w:t>
      </w:r>
      <w:r w:rsidR="00AB2705" w:rsidRPr="00A64246">
        <w:t>. E</w:t>
      </w:r>
      <w:r w:rsidR="00F042DE" w:rsidRPr="00A64246">
        <w:t xml:space="preserve">n cada etapa existe el riesgo de cometer errores cuya detección y corrección puede ser difícil y </w:t>
      </w:r>
      <w:r w:rsidR="00F042DE" w:rsidRPr="00A64246">
        <w:lastRenderedPageBreak/>
        <w:t>costosa</w:t>
      </w:r>
      <w:r w:rsidR="00AB2705" w:rsidRPr="00A64246">
        <w:t xml:space="preserve">. </w:t>
      </w:r>
      <w:r w:rsidRPr="00A64246">
        <w:t>O</w:t>
      </w:r>
      <w:r w:rsidR="00F042DE" w:rsidRPr="00A64246">
        <w:t xml:space="preserve">tras posibilidades de </w:t>
      </w:r>
      <w:r w:rsidR="00AB2705" w:rsidRPr="00A64246">
        <w:t xml:space="preserve">error </w:t>
      </w:r>
      <w:r w:rsidR="00F042DE" w:rsidRPr="00A64246">
        <w:t>pueden darse si las Oficinas basan sus actos en datos procedentes de la introducción de datos por la Oficina Internacional</w:t>
      </w:r>
      <w:r w:rsidR="00AB2705" w:rsidRPr="00A64246">
        <w:t xml:space="preserve"> </w:t>
      </w:r>
      <w:r w:rsidR="00F042DE" w:rsidRPr="00A64246">
        <w:t xml:space="preserve">y, por accidente, </w:t>
      </w:r>
      <w:r w:rsidR="005F076F" w:rsidRPr="00A64246">
        <w:t>pasan por alto cambios deliberados que figuran en un formulario presentado</w:t>
      </w:r>
      <w:r w:rsidR="00AB2705" w:rsidRPr="00A64246">
        <w:t>.</w:t>
      </w:r>
    </w:p>
    <w:p w:rsidR="009314E5" w:rsidRPr="00A64246" w:rsidRDefault="002B1F45" w:rsidP="00AB2705">
      <w:pPr>
        <w:keepLines/>
        <w:tabs>
          <w:tab w:val="num" w:pos="567"/>
        </w:tabs>
        <w:spacing w:after="220"/>
      </w:pPr>
      <w:r w:rsidRPr="00A64246">
        <w:fldChar w:fldCharType="begin"/>
      </w:r>
      <w:r w:rsidRPr="00A64246">
        <w:instrText xml:space="preserve"> AUTONUM  </w:instrText>
      </w:r>
      <w:r w:rsidRPr="00A64246">
        <w:fldChar w:fldCharType="end"/>
      </w:r>
      <w:r w:rsidRPr="00A64246">
        <w:tab/>
      </w:r>
      <w:r w:rsidR="005F076F" w:rsidRPr="00A64246">
        <w:t xml:space="preserve">El </w:t>
      </w:r>
      <w:r w:rsidR="00AB2705" w:rsidRPr="00A64246">
        <w:t xml:space="preserve">ePCT </w:t>
      </w:r>
      <w:r w:rsidRPr="00A64246">
        <w:t>ofrec</w:t>
      </w:r>
      <w:r w:rsidR="005F076F" w:rsidRPr="00A64246">
        <w:t xml:space="preserve">e un entorno gratuito y multilingüe que permite a los </w:t>
      </w:r>
      <w:r w:rsidR="00A64246">
        <w:t>mandatarios</w:t>
      </w:r>
      <w:r w:rsidR="005F076F" w:rsidRPr="00A64246">
        <w:t xml:space="preserve"> que intervienen en la fase</w:t>
      </w:r>
      <w:r w:rsidR="00AB2705" w:rsidRPr="00A64246">
        <w:t xml:space="preserve"> </w:t>
      </w:r>
      <w:r w:rsidR="00A64246" w:rsidRPr="00A64246">
        <w:t>internacional</w:t>
      </w:r>
      <w:r w:rsidR="00AB2705" w:rsidRPr="00A64246">
        <w:t xml:space="preserve"> </w:t>
      </w:r>
      <w:r w:rsidR="005F076F" w:rsidRPr="00A64246">
        <w:t>compartir</w:t>
      </w:r>
      <w:r w:rsidR="00AB2705" w:rsidRPr="00A64246">
        <w:t xml:space="preserve"> </w:t>
      </w:r>
      <w:r w:rsidR="005F076F" w:rsidRPr="00A64246">
        <w:t xml:space="preserve">de manera segura </w:t>
      </w:r>
      <w:r w:rsidR="00A64246" w:rsidRPr="00A64246">
        <w:t>información</w:t>
      </w:r>
      <w:r w:rsidR="00AB2705" w:rsidRPr="00A64246">
        <w:t xml:space="preserve"> </w:t>
      </w:r>
      <w:r w:rsidR="005F076F" w:rsidRPr="00A64246">
        <w:t>con asociados de confianza, en cualquier lugar del mundo</w:t>
      </w:r>
      <w:r w:rsidR="00AB2705" w:rsidRPr="00A64246">
        <w:t xml:space="preserve">. </w:t>
      </w:r>
      <w:r w:rsidR="005F076F" w:rsidRPr="00A64246">
        <w:t>También permite que los actos</w:t>
      </w:r>
      <w:r w:rsidR="000C6A6E" w:rsidRPr="00A64246">
        <w:t>, preparados por una persona,</w:t>
      </w:r>
      <w:r w:rsidR="005F076F" w:rsidRPr="00A64246">
        <w:t xml:space="preserve"> que la Oficina prevé realizar puedan ser revisados por otros antes de </w:t>
      </w:r>
      <w:r w:rsidR="00F25E54" w:rsidRPr="00A64246">
        <w:t xml:space="preserve">su </w:t>
      </w:r>
      <w:r w:rsidR="000C6A6E">
        <w:t>ejecución</w:t>
      </w:r>
      <w:r w:rsidR="00AB2705" w:rsidRPr="00A64246">
        <w:t xml:space="preserve">. </w:t>
      </w:r>
      <w:r w:rsidR="00F25E54" w:rsidRPr="00A64246">
        <w:t>El modelo de acceso es muy flexible: el</w:t>
      </w:r>
      <w:r w:rsidR="00EC684A" w:rsidRPr="00A64246">
        <w:t xml:space="preserve"> “propietario”</w:t>
      </w:r>
      <w:r w:rsidR="00AB2705" w:rsidRPr="00A64246">
        <w:t xml:space="preserve"> (</w:t>
      </w:r>
      <w:r w:rsidR="00EC684A" w:rsidRPr="00A64246">
        <w:t>por lo general</w:t>
      </w:r>
      <w:r w:rsidR="00AB2705" w:rsidRPr="00A64246">
        <w:t xml:space="preserve">, </w:t>
      </w:r>
      <w:r w:rsidR="00EC684A" w:rsidRPr="00A64246">
        <w:t xml:space="preserve">la </w:t>
      </w:r>
      <w:r w:rsidR="00A64246" w:rsidRPr="00A64246">
        <w:t>persona</w:t>
      </w:r>
      <w:r w:rsidR="00AB2705" w:rsidRPr="00A64246">
        <w:t xml:space="preserve"> </w:t>
      </w:r>
      <w:r w:rsidR="00EC684A" w:rsidRPr="00A64246">
        <w:t>que originalmente presentó la solicitud internacional o la persona a la que se ha asignado expresamente esa función</w:t>
      </w:r>
      <w:r w:rsidR="00AB2705" w:rsidRPr="00A64246">
        <w:t xml:space="preserve">) </w:t>
      </w:r>
      <w:r w:rsidR="00EC684A" w:rsidRPr="00A64246">
        <w:t xml:space="preserve">otorga los niveles adecuados de </w:t>
      </w:r>
      <w:r w:rsidR="000C6A6E">
        <w:t>autorización</w:t>
      </w:r>
      <w:r w:rsidR="00EC684A" w:rsidRPr="00A64246">
        <w:t xml:space="preserve"> a otros titulares de cuenta, según sea necesario para una solicitud determinada</w:t>
      </w:r>
      <w:r w:rsidR="00AB2705" w:rsidRPr="00A64246">
        <w:t xml:space="preserve">. </w:t>
      </w:r>
      <w:r w:rsidR="00EC684A" w:rsidRPr="00A64246">
        <w:t>De esa manera podrá e</w:t>
      </w:r>
      <w:r w:rsidR="00940036" w:rsidRPr="00A64246">
        <w:t xml:space="preserve">ntablarse la </w:t>
      </w:r>
      <w:r w:rsidR="00A64246" w:rsidRPr="00A64246">
        <w:t>colaboración</w:t>
      </w:r>
      <w:r w:rsidR="000C6A6E">
        <w:t>,</w:t>
      </w:r>
      <w:r w:rsidR="000C6A6E" w:rsidRPr="000C6A6E">
        <w:t xml:space="preserve"> </w:t>
      </w:r>
      <w:r w:rsidR="000C6A6E" w:rsidRPr="00A64246">
        <w:t>fundada en su relación de confianza,</w:t>
      </w:r>
      <w:r w:rsidR="00EC684A" w:rsidRPr="00A64246">
        <w:t xml:space="preserve"> entre abogados de patentes, profesionales de la traducción y</w:t>
      </w:r>
      <w:r w:rsidR="00940036" w:rsidRPr="00A64246">
        <w:t xml:space="preserve"> asistentes de abogados, dentro de una misma empresa o en cualquier lugar del mundo</w:t>
      </w:r>
      <w:r w:rsidR="00AB2705" w:rsidRPr="00A64246">
        <w:t xml:space="preserve">, </w:t>
      </w:r>
      <w:r w:rsidR="00940036" w:rsidRPr="00A64246">
        <w:t>respecto de una determinada solicitud</w:t>
      </w:r>
      <w:r w:rsidR="00AB2705" w:rsidRPr="00A64246">
        <w:t xml:space="preserve"> </w:t>
      </w:r>
      <w:r w:rsidR="00A64246" w:rsidRPr="00A64246">
        <w:t>internacional</w:t>
      </w:r>
      <w:r w:rsidR="00AB2705" w:rsidRPr="00A64246">
        <w:t>,</w:t>
      </w:r>
      <w:r w:rsidR="00940036" w:rsidRPr="00A64246">
        <w:t xml:space="preserve"> sin afectar el acceso a otras solicitudes</w:t>
      </w:r>
      <w:r w:rsidR="00AB2705" w:rsidRPr="00A64246">
        <w:t xml:space="preserve"> </w:t>
      </w:r>
      <w:r w:rsidR="00A64246" w:rsidRPr="00A64246">
        <w:t>internacionales</w:t>
      </w:r>
      <w:r w:rsidR="00AB2705" w:rsidRPr="00A64246">
        <w:t>.</w:t>
      </w:r>
    </w:p>
    <w:p w:rsidR="009314E5" w:rsidRPr="00A64246" w:rsidRDefault="002B1F45" w:rsidP="00AB2705">
      <w:pPr>
        <w:keepLines/>
        <w:tabs>
          <w:tab w:val="num" w:pos="567"/>
        </w:tabs>
        <w:spacing w:after="220"/>
      </w:pPr>
      <w:r w:rsidRPr="00A64246">
        <w:fldChar w:fldCharType="begin"/>
      </w:r>
      <w:r w:rsidRPr="00A64246">
        <w:instrText xml:space="preserve"> AUTONUM  </w:instrText>
      </w:r>
      <w:r w:rsidRPr="00A64246">
        <w:fldChar w:fldCharType="end"/>
      </w:r>
      <w:r w:rsidRPr="00A64246">
        <w:tab/>
      </w:r>
      <w:r w:rsidR="00940036" w:rsidRPr="00A64246">
        <w:t>En las propuestas que figuran en el</w:t>
      </w:r>
      <w:r w:rsidR="00AB2705" w:rsidRPr="00A64246">
        <w:t xml:space="preserve"> </w:t>
      </w:r>
      <w:r w:rsidR="00A64246" w:rsidRPr="00A64246">
        <w:t>documento</w:t>
      </w:r>
      <w:r w:rsidR="00AB2705" w:rsidRPr="00A64246">
        <w:t xml:space="preserve"> PCT/WG/7/12 </w:t>
      </w:r>
      <w:r w:rsidR="00940036" w:rsidRPr="00A64246">
        <w:t xml:space="preserve">se prevé que </w:t>
      </w:r>
      <w:r w:rsidR="00C806F5" w:rsidRPr="00A64246">
        <w:t xml:space="preserve">las solicitudes de </w:t>
      </w:r>
      <w:r w:rsidR="00A64246" w:rsidRPr="00A64246">
        <w:t>entrada</w:t>
      </w:r>
      <w:r w:rsidR="00C806F5" w:rsidRPr="00A64246">
        <w:t xml:space="preserve"> en la fase </w:t>
      </w:r>
      <w:r w:rsidR="00A64246" w:rsidRPr="00A64246">
        <w:t>nacional</w:t>
      </w:r>
      <w:r w:rsidR="00AB2705" w:rsidRPr="00A64246">
        <w:t xml:space="preserve"> </w:t>
      </w:r>
      <w:r w:rsidR="00C806F5" w:rsidRPr="00A64246">
        <w:t>se preparen completando los datos ya disponibles en la base de datos de la</w:t>
      </w:r>
      <w:r w:rsidR="00AB2705" w:rsidRPr="00A64246">
        <w:t xml:space="preserve"> </w:t>
      </w:r>
      <w:r w:rsidR="00F042DE" w:rsidRPr="00A64246">
        <w:t>Oficina Internacional</w:t>
      </w:r>
      <w:r w:rsidR="00C806F5" w:rsidRPr="00A64246">
        <w:t xml:space="preserve"> con </w:t>
      </w:r>
      <w:r w:rsidR="00A64246" w:rsidRPr="00A64246">
        <w:t>documentos</w:t>
      </w:r>
      <w:r w:rsidR="00AB2705" w:rsidRPr="00A64246">
        <w:t xml:space="preserve"> </w:t>
      </w:r>
      <w:r w:rsidR="00C806F5" w:rsidRPr="00A64246">
        <w:t xml:space="preserve">y datos adicionales, por </w:t>
      </w:r>
      <w:r w:rsidR="00A64246" w:rsidRPr="00A64246">
        <w:t>ejemplo</w:t>
      </w:r>
      <w:r w:rsidR="00AB2705" w:rsidRPr="00A64246">
        <w:t>:</w:t>
      </w:r>
    </w:p>
    <w:p w:rsidR="009314E5" w:rsidRPr="00A64246" w:rsidRDefault="00C806F5" w:rsidP="00AB2705">
      <w:pPr>
        <w:numPr>
          <w:ilvl w:val="1"/>
          <w:numId w:val="7"/>
        </w:numPr>
        <w:spacing w:after="220"/>
      </w:pPr>
      <w:r w:rsidRPr="00A64246">
        <w:t xml:space="preserve">el nombre y la dirección del </w:t>
      </w:r>
      <w:r w:rsidR="00EF7737" w:rsidRPr="00A64246">
        <w:t>mandatario</w:t>
      </w:r>
      <w:r w:rsidRPr="00A64246">
        <w:t xml:space="preserve"> </w:t>
      </w:r>
      <w:r w:rsidR="00EF7737" w:rsidRPr="00A64246">
        <w:t xml:space="preserve">encargado de la </w:t>
      </w:r>
      <w:r w:rsidR="00A64246" w:rsidRPr="00A64246">
        <w:t>fase</w:t>
      </w:r>
      <w:r w:rsidR="00EF7737" w:rsidRPr="00A64246">
        <w:t xml:space="preserve"> nacional correspondiente</w:t>
      </w:r>
      <w:r w:rsidR="00AB2705" w:rsidRPr="00A64246">
        <w:t>;</w:t>
      </w:r>
    </w:p>
    <w:p w:rsidR="009314E5" w:rsidRPr="00A64246" w:rsidRDefault="00EF7737" w:rsidP="00AB2705">
      <w:pPr>
        <w:numPr>
          <w:ilvl w:val="1"/>
          <w:numId w:val="7"/>
        </w:numPr>
        <w:spacing w:after="220"/>
      </w:pPr>
      <w:r w:rsidRPr="00A64246">
        <w:t xml:space="preserve">toda traducción o transcripción que se exijan del título de la </w:t>
      </w:r>
      <w:r w:rsidR="00A64246" w:rsidRPr="00A64246">
        <w:t>invención</w:t>
      </w:r>
      <w:r w:rsidR="00AB2705" w:rsidRPr="00A64246">
        <w:t xml:space="preserve"> </w:t>
      </w:r>
      <w:r w:rsidRPr="00A64246">
        <w:t>y otros nombres y direcciones</w:t>
      </w:r>
      <w:r w:rsidR="00AB2705" w:rsidRPr="00A64246">
        <w:t xml:space="preserve">; </w:t>
      </w:r>
      <w:r w:rsidRPr="00A64246">
        <w:t>y</w:t>
      </w:r>
    </w:p>
    <w:p w:rsidR="009314E5" w:rsidRPr="00A64246" w:rsidRDefault="00EF7737" w:rsidP="00AB2705">
      <w:pPr>
        <w:numPr>
          <w:ilvl w:val="1"/>
          <w:numId w:val="7"/>
        </w:numPr>
        <w:spacing w:after="220"/>
      </w:pPr>
      <w:r w:rsidRPr="00A64246">
        <w:t>las traducciones o enmiendas a los fines de la fase</w:t>
      </w:r>
      <w:r w:rsidR="00AB2705" w:rsidRPr="00A64246">
        <w:t xml:space="preserve"> </w:t>
      </w:r>
      <w:r w:rsidR="00A64246" w:rsidRPr="00A64246">
        <w:t>nacional</w:t>
      </w:r>
      <w:r w:rsidR="00AB2705" w:rsidRPr="00A64246">
        <w:t>.</w:t>
      </w:r>
    </w:p>
    <w:p w:rsidR="009314E5" w:rsidRPr="00A64246" w:rsidRDefault="002B1F45" w:rsidP="00AB2705">
      <w:pPr>
        <w:tabs>
          <w:tab w:val="num" w:pos="567"/>
        </w:tabs>
        <w:spacing w:after="220"/>
      </w:pPr>
      <w:r w:rsidRPr="00A64246">
        <w:fldChar w:fldCharType="begin"/>
      </w:r>
      <w:r w:rsidRPr="00A64246">
        <w:instrText xml:space="preserve"> AUTONUM  </w:instrText>
      </w:r>
      <w:r w:rsidRPr="00A64246">
        <w:fldChar w:fldCharType="end"/>
      </w:r>
      <w:r w:rsidRPr="00A64246">
        <w:tab/>
      </w:r>
      <w:r w:rsidR="00E5647B" w:rsidRPr="00A64246">
        <w:t xml:space="preserve">Utilizar de esa forma </w:t>
      </w:r>
      <w:r w:rsidR="00EF7737" w:rsidRPr="00A64246">
        <w:t xml:space="preserve">un portal común de redacción </w:t>
      </w:r>
      <w:r w:rsidR="00E5647B" w:rsidRPr="00A64246">
        <w:t>eliminaría la necesidad de volver a ingresar los datos que ya han sido proporcionados en la fase</w:t>
      </w:r>
      <w:r w:rsidR="00AB2705" w:rsidRPr="00A64246">
        <w:t xml:space="preserve"> </w:t>
      </w:r>
      <w:r w:rsidR="00A64246" w:rsidRPr="00A64246">
        <w:t>internacional</w:t>
      </w:r>
      <w:r w:rsidR="00AB2705" w:rsidRPr="00A64246">
        <w:t xml:space="preserve">. </w:t>
      </w:r>
      <w:r w:rsidR="00E5647B" w:rsidRPr="00A64246">
        <w:t>El mandatario de la fase</w:t>
      </w:r>
      <w:r w:rsidR="00AB2705" w:rsidRPr="00A64246">
        <w:t xml:space="preserve"> </w:t>
      </w:r>
      <w:r w:rsidR="00A64246" w:rsidRPr="00A64246">
        <w:t>nacional</w:t>
      </w:r>
      <w:r w:rsidR="00AB2705" w:rsidRPr="00A64246">
        <w:t xml:space="preserve"> </w:t>
      </w:r>
      <w:r w:rsidR="00E5647B" w:rsidRPr="00A64246">
        <w:t>podría añadir los</w:t>
      </w:r>
      <w:r w:rsidR="00AB2705" w:rsidRPr="00A64246">
        <w:t xml:space="preserve"> </w:t>
      </w:r>
      <w:r w:rsidR="00A64246" w:rsidRPr="00A64246">
        <w:t>documentos</w:t>
      </w:r>
      <w:r w:rsidR="00AB2705" w:rsidRPr="00A64246">
        <w:t xml:space="preserve"> </w:t>
      </w:r>
      <w:r w:rsidR="00E5647B" w:rsidRPr="00A64246">
        <w:t xml:space="preserve">y datos necesarios de </w:t>
      </w:r>
      <w:r w:rsidR="00A64246" w:rsidRPr="00A64246">
        <w:t>una</w:t>
      </w:r>
      <w:r w:rsidR="00E5647B" w:rsidRPr="00A64246">
        <w:t xml:space="preserve"> manera que permita al solicitante o el mandatario de la fase internacional </w:t>
      </w:r>
      <w:r w:rsidR="00B1229D" w:rsidRPr="00A64246">
        <w:t xml:space="preserve">verificar que se cumplen los requisitos correspondientes, y corregir cualquier error o interpretación errónea antes de que el mandatario de la fase nacional transmita el paquete que contiene los </w:t>
      </w:r>
      <w:r w:rsidR="00A64246" w:rsidRPr="00A64246">
        <w:t>documentos</w:t>
      </w:r>
      <w:r w:rsidR="00AB2705" w:rsidRPr="00A64246">
        <w:t xml:space="preserve"> </w:t>
      </w:r>
      <w:r w:rsidR="00B1229D" w:rsidRPr="00A64246">
        <w:t>y datos a la Oficina designada</w:t>
      </w:r>
      <w:r w:rsidR="00AB2705" w:rsidRPr="00A64246">
        <w:t xml:space="preserve">, </w:t>
      </w:r>
      <w:r w:rsidR="00B1229D" w:rsidRPr="00A64246">
        <w:t>de preferencia junto con el pago de las tasas nacionales</w:t>
      </w:r>
      <w:r w:rsidR="00AB2705" w:rsidRPr="00A64246">
        <w:t>.</w:t>
      </w:r>
    </w:p>
    <w:p w:rsidR="009314E5" w:rsidRPr="00A64246" w:rsidRDefault="002B1F45" w:rsidP="00AB2705">
      <w:pPr>
        <w:tabs>
          <w:tab w:val="num" w:pos="567"/>
        </w:tabs>
        <w:spacing w:after="220"/>
      </w:pPr>
      <w:r w:rsidRPr="00A64246">
        <w:fldChar w:fldCharType="begin"/>
      </w:r>
      <w:r w:rsidRPr="00A64246">
        <w:instrText xml:space="preserve"> AUTONUM  </w:instrText>
      </w:r>
      <w:r w:rsidRPr="00A64246">
        <w:fldChar w:fldCharType="end"/>
      </w:r>
      <w:r w:rsidRPr="00A64246">
        <w:tab/>
        <w:t xml:space="preserve">Si bien varias Oficinas </w:t>
      </w:r>
      <w:r w:rsidR="00404361" w:rsidRPr="00A64246">
        <w:t>designadas han expresado interés en dar inicio a un programa piloto</w:t>
      </w:r>
      <w:r w:rsidR="00AB2705" w:rsidRPr="00A64246">
        <w:t xml:space="preserve">, </w:t>
      </w:r>
      <w:r w:rsidR="00404361" w:rsidRPr="00A64246">
        <w:t xml:space="preserve">no pareció que muchas Oficinas designadas fueran a comprometerse a aceptar la recepción de esos paquetes del </w:t>
      </w:r>
      <w:r w:rsidR="00AB2705" w:rsidRPr="00A64246">
        <w:t xml:space="preserve">ePCT </w:t>
      </w:r>
      <w:r w:rsidR="00404361" w:rsidRPr="00A64246">
        <w:t xml:space="preserve">como una parte </w:t>
      </w:r>
      <w:r w:rsidR="00AB2705" w:rsidRPr="00A64246">
        <w:t xml:space="preserve">normal </w:t>
      </w:r>
      <w:r w:rsidR="00732B78" w:rsidRPr="00A64246">
        <w:t>de su flujo de trabajo</w:t>
      </w:r>
      <w:r w:rsidR="00AB2705" w:rsidRPr="00A64246">
        <w:t xml:space="preserve">. </w:t>
      </w:r>
      <w:r w:rsidR="00732B78" w:rsidRPr="00A64246">
        <w:t xml:space="preserve">Además, los representantes de mandatarios </w:t>
      </w:r>
      <w:r w:rsidR="00AB2705" w:rsidRPr="00A64246">
        <w:t>expres</w:t>
      </w:r>
      <w:r w:rsidR="005A57EA" w:rsidRPr="00A64246">
        <w:t xml:space="preserve">aron la inquietud de que el sistema aliente a los solicitantes a realizar por sí mismos la entrada en la fase </w:t>
      </w:r>
      <w:r w:rsidR="00A64246" w:rsidRPr="00A64246">
        <w:t>nacional</w:t>
      </w:r>
      <w:r w:rsidR="00AB2705" w:rsidRPr="00A64246">
        <w:t xml:space="preserve">, </w:t>
      </w:r>
      <w:r w:rsidR="005A57EA" w:rsidRPr="00A64246">
        <w:t xml:space="preserve">dejando de lado a los mandatarios locales y con el riesgo de </w:t>
      </w:r>
      <w:r w:rsidR="000C6A6E">
        <w:t xml:space="preserve">no proteger todos sus </w:t>
      </w:r>
      <w:r w:rsidR="005A57EA" w:rsidRPr="00A64246">
        <w:t>derechos por no tener debidamente en cuenta los requisitos procedimentales locales y las cuestiones fundamentales de redacción</w:t>
      </w:r>
      <w:r w:rsidR="00AB2705" w:rsidRPr="00A64246">
        <w:t>, o</w:t>
      </w:r>
      <w:r w:rsidR="005A57EA" w:rsidRPr="00A64246">
        <w:t xml:space="preserve"> por utilizar traducciones de escasa calidad y no verificadas</w:t>
      </w:r>
      <w:r w:rsidR="00AB2705" w:rsidRPr="00A64246">
        <w:t>.</w:t>
      </w:r>
    </w:p>
    <w:bookmarkStart w:id="5" w:name="_Ref515469362"/>
    <w:p w:rsidR="009314E5" w:rsidRPr="00A64246" w:rsidRDefault="002B1F45" w:rsidP="00AB2705">
      <w:pPr>
        <w:tabs>
          <w:tab w:val="num" w:pos="567"/>
        </w:tabs>
        <w:spacing w:after="220"/>
      </w:pPr>
      <w:r w:rsidRPr="00A64246">
        <w:fldChar w:fldCharType="begin"/>
      </w:r>
      <w:r w:rsidRPr="00A64246">
        <w:instrText xml:space="preserve"> AUTONUM  </w:instrText>
      </w:r>
      <w:r w:rsidRPr="00A64246">
        <w:fldChar w:fldCharType="end"/>
      </w:r>
      <w:r w:rsidRPr="00A64246">
        <w:tab/>
      </w:r>
      <w:r w:rsidR="000C6A6E" w:rsidRPr="00A64246">
        <w:t xml:space="preserve">Se </w:t>
      </w:r>
      <w:r w:rsidR="00311F97" w:rsidRPr="00A64246">
        <w:t xml:space="preserve">pusieron a disposición en las páginas de demonstración de </w:t>
      </w:r>
      <w:r w:rsidR="00AB2705" w:rsidRPr="00A64246">
        <w:t xml:space="preserve">ePCT </w:t>
      </w:r>
      <w:r w:rsidR="000C6A6E" w:rsidRPr="00A64246">
        <w:t>algunas funciones</w:t>
      </w:r>
      <w:r w:rsidR="000C6A6E">
        <w:t>,</w:t>
      </w:r>
      <w:r w:rsidR="000C6A6E" w:rsidRPr="00A64246">
        <w:t xml:space="preserve"> </w:t>
      </w:r>
      <w:r w:rsidR="00311F97" w:rsidRPr="00A64246">
        <w:t xml:space="preserve">para </w:t>
      </w:r>
      <w:r w:rsidR="00952D57">
        <w:t>ilustrar</w:t>
      </w:r>
      <w:r w:rsidR="00311F97" w:rsidRPr="00A64246">
        <w:t xml:space="preserve"> el </w:t>
      </w:r>
      <w:r w:rsidR="00AB2705" w:rsidRPr="00A64246">
        <w:t>concept</w:t>
      </w:r>
      <w:r w:rsidR="00A64246">
        <w:t>o</w:t>
      </w:r>
      <w:r w:rsidR="00AB2705" w:rsidRPr="00A64246">
        <w:t xml:space="preserve"> </w:t>
      </w:r>
      <w:r w:rsidR="00311F97" w:rsidRPr="00A64246">
        <w:t>de añadir, compartir y examinar</w:t>
      </w:r>
      <w:r w:rsidR="00AB2705" w:rsidRPr="00A64246">
        <w:t xml:space="preserve"> </w:t>
      </w:r>
      <w:r w:rsidR="00A64246" w:rsidRPr="00A64246">
        <w:t>documentos</w:t>
      </w:r>
      <w:r w:rsidR="00AB2705" w:rsidRPr="00A64246">
        <w:t xml:space="preserve"> </w:t>
      </w:r>
      <w:r w:rsidR="00311F97" w:rsidRPr="00A64246">
        <w:t xml:space="preserve">y datos antes de la transmisión del paquete de </w:t>
      </w:r>
      <w:r w:rsidR="00A64246" w:rsidRPr="00A64246">
        <w:t>documentos</w:t>
      </w:r>
      <w:r w:rsidR="00311F97" w:rsidRPr="00A64246">
        <w:t>. Sin embargo</w:t>
      </w:r>
      <w:r w:rsidR="00AB2705" w:rsidRPr="00A64246">
        <w:t xml:space="preserve">, </w:t>
      </w:r>
      <w:r w:rsidR="00311F97" w:rsidRPr="00A64246">
        <w:t xml:space="preserve">a la luz del </w:t>
      </w:r>
      <w:r w:rsidR="00A64246">
        <w:t>limitado</w:t>
      </w:r>
      <w:r w:rsidR="00311F97" w:rsidRPr="00A64246">
        <w:t xml:space="preserve"> </w:t>
      </w:r>
      <w:r w:rsidR="00434C0D">
        <w:t>respaldo</w:t>
      </w:r>
      <w:r w:rsidR="00311F97" w:rsidRPr="00A64246">
        <w:t xml:space="preserve"> de las Oficinas y los </w:t>
      </w:r>
      <w:r w:rsidR="00A64246" w:rsidRPr="00A64246">
        <w:t>mandatarios</w:t>
      </w:r>
      <w:r w:rsidR="00AB2705" w:rsidRPr="00A64246">
        <w:t xml:space="preserve">, </w:t>
      </w:r>
      <w:r w:rsidR="00311F97" w:rsidRPr="00A64246">
        <w:t>no se ha priorizado significativamente la continuación del desarrollo del sistema en el sentido de comenzar un programa piloto</w:t>
      </w:r>
      <w:r w:rsidR="00AB2705" w:rsidRPr="00A64246">
        <w:t>.</w:t>
      </w:r>
      <w:bookmarkEnd w:id="5"/>
    </w:p>
    <w:p w:rsidR="009314E5" w:rsidRPr="00A64246" w:rsidRDefault="002B1F45" w:rsidP="00C06FBD">
      <w:pPr>
        <w:keepNext/>
        <w:tabs>
          <w:tab w:val="num" w:pos="567"/>
        </w:tabs>
        <w:spacing w:after="220"/>
      </w:pPr>
      <w:r w:rsidRPr="00A64246">
        <w:fldChar w:fldCharType="begin"/>
      </w:r>
      <w:r w:rsidRPr="00A64246">
        <w:instrText xml:space="preserve"> AUTONUM  </w:instrText>
      </w:r>
      <w:r w:rsidRPr="00A64246">
        <w:fldChar w:fldCharType="end"/>
      </w:r>
      <w:r w:rsidRPr="00A64246">
        <w:tab/>
      </w:r>
      <w:r w:rsidR="00311F97" w:rsidRPr="00A64246">
        <w:t>Mientras tanto</w:t>
      </w:r>
      <w:r w:rsidR="00AB2705" w:rsidRPr="00A64246">
        <w:t xml:space="preserve">, </w:t>
      </w:r>
      <w:r w:rsidR="00311F97" w:rsidRPr="00A64246">
        <w:t xml:space="preserve">se han producido otras novedades, </w:t>
      </w:r>
      <w:r w:rsidR="00432064" w:rsidRPr="00A64246">
        <w:t xml:space="preserve">tanto </w:t>
      </w:r>
      <w:r w:rsidR="004505A3" w:rsidRPr="00A64246">
        <w:t xml:space="preserve">en el ámbito </w:t>
      </w:r>
      <w:r w:rsidR="00432064" w:rsidRPr="00A64246">
        <w:t>de</w:t>
      </w:r>
      <w:r w:rsidR="00AB2705" w:rsidRPr="00A64246">
        <w:t xml:space="preserve"> ePCT </w:t>
      </w:r>
      <w:r w:rsidR="00432064" w:rsidRPr="00A64246">
        <w:t xml:space="preserve">como en el </w:t>
      </w:r>
      <w:r w:rsidR="004505A3" w:rsidRPr="00A64246">
        <w:t>contexto</w:t>
      </w:r>
      <w:r w:rsidR="00432064" w:rsidRPr="00A64246">
        <w:t xml:space="preserve"> más amplio de </w:t>
      </w:r>
      <w:r w:rsidR="004505A3" w:rsidRPr="00A64246">
        <w:t>las TI relativas a las patentes</w:t>
      </w:r>
      <w:r w:rsidR="00AB2705" w:rsidRPr="00A64246">
        <w:t>:</w:t>
      </w:r>
    </w:p>
    <w:p w:rsidR="009314E5" w:rsidRPr="00A64246" w:rsidRDefault="004505A3" w:rsidP="00C06FBD">
      <w:pPr>
        <w:keepNext/>
        <w:numPr>
          <w:ilvl w:val="1"/>
          <w:numId w:val="8"/>
        </w:numPr>
        <w:spacing w:after="220"/>
      </w:pPr>
      <w:r w:rsidRPr="00A64246">
        <w:lastRenderedPageBreak/>
        <w:t>La</w:t>
      </w:r>
      <w:r w:rsidR="00AB2705" w:rsidRPr="00A64246">
        <w:t xml:space="preserve"> </w:t>
      </w:r>
      <w:r w:rsidR="00F042DE" w:rsidRPr="00A64246">
        <w:t>Oficina Internacional</w:t>
      </w:r>
      <w:r w:rsidR="00AB2705" w:rsidRPr="00A64246">
        <w:t xml:space="preserve"> ha </w:t>
      </w:r>
      <w:r w:rsidRPr="00A64246">
        <w:t>establecido varios servicios</w:t>
      </w:r>
      <w:r w:rsidR="00AB2705" w:rsidRPr="00A64246">
        <w:t xml:space="preserve"> web, </w:t>
      </w:r>
      <w:r w:rsidRPr="00A64246">
        <w:t xml:space="preserve">que está poniendo a prueba con determinados solicitantes y Oficinas, con miras a permitir a los proveedores de </w:t>
      </w:r>
      <w:r w:rsidRPr="00A64246">
        <w:rPr>
          <w:i/>
        </w:rPr>
        <w:t>software</w:t>
      </w:r>
      <w:r w:rsidRPr="00A64246">
        <w:t xml:space="preserve"> de gestión de patentes la interacción segura con la </w:t>
      </w:r>
      <w:r w:rsidR="00F042DE" w:rsidRPr="00A64246">
        <w:t>Oficina Internacional</w:t>
      </w:r>
      <w:r w:rsidR="00AB2705" w:rsidRPr="00A64246">
        <w:t xml:space="preserve"> (</w:t>
      </w:r>
      <w:r w:rsidRPr="00A64246">
        <w:t xml:space="preserve">véase, en particular, el párrafo </w:t>
      </w:r>
      <w:r w:rsidR="00AB2705" w:rsidRPr="00A64246">
        <w:t xml:space="preserve">6 </w:t>
      </w:r>
      <w:r w:rsidRPr="00A64246">
        <w:t>del</w:t>
      </w:r>
      <w:r w:rsidR="00AB2705" w:rsidRPr="00A64246">
        <w:t xml:space="preserve"> </w:t>
      </w:r>
      <w:r w:rsidR="00A64246" w:rsidRPr="00A64246">
        <w:t>documento</w:t>
      </w:r>
      <w:r w:rsidR="00AB2705" w:rsidRPr="00A64246">
        <w:t xml:space="preserve"> PCT/WG/11/9).</w:t>
      </w:r>
    </w:p>
    <w:p w:rsidR="009314E5" w:rsidRPr="00A64246" w:rsidRDefault="004505A3" w:rsidP="00AB2705">
      <w:pPr>
        <w:numPr>
          <w:ilvl w:val="1"/>
          <w:numId w:val="7"/>
        </w:numPr>
        <w:spacing w:after="220"/>
      </w:pPr>
      <w:r w:rsidRPr="00A64246">
        <w:t xml:space="preserve">El programa piloto de compensación ofrece </w:t>
      </w:r>
      <w:r w:rsidR="009D1021">
        <w:t xml:space="preserve">a la Oficina Internacional </w:t>
      </w:r>
      <w:r w:rsidRPr="00A64246">
        <w:t>la posibilidad de tramitar el pago de tasas pagaderas a otras Oficinas</w:t>
      </w:r>
      <w:r w:rsidR="00AB2705" w:rsidRPr="00A64246">
        <w:t xml:space="preserve"> (</w:t>
      </w:r>
      <w:r w:rsidRPr="00A64246">
        <w:t xml:space="preserve">véase el </w:t>
      </w:r>
      <w:r w:rsidR="00A64246" w:rsidRPr="00A64246">
        <w:t>documento</w:t>
      </w:r>
      <w:r w:rsidR="00AB2705" w:rsidRPr="00A64246">
        <w:t xml:space="preserve"> PCT/WG/11/4).</w:t>
      </w:r>
    </w:p>
    <w:p w:rsidR="009314E5" w:rsidRPr="00A64246" w:rsidRDefault="004505A3" w:rsidP="004505A3">
      <w:pPr>
        <w:numPr>
          <w:ilvl w:val="1"/>
          <w:numId w:val="7"/>
        </w:numPr>
        <w:spacing w:after="220"/>
      </w:pPr>
      <w:r w:rsidRPr="00A64246">
        <w:t xml:space="preserve">El </w:t>
      </w:r>
      <w:r w:rsidR="00A64246" w:rsidRPr="00A64246">
        <w:t>Comité</w:t>
      </w:r>
      <w:r w:rsidR="00AB2705" w:rsidRPr="00A64246">
        <w:t xml:space="preserve"> </w:t>
      </w:r>
      <w:r w:rsidRPr="00A64246">
        <w:t xml:space="preserve">de Normas Técnicas de la OMPI ha empezado a trabajar en una tarea para elaborar recomendaciones relativas a servicios de Internet en materia de información y documentación de PI </w:t>
      </w:r>
      <w:r w:rsidR="00AB2705" w:rsidRPr="00A64246">
        <w:t>(</w:t>
      </w:r>
      <w:r w:rsidRPr="00A64246">
        <w:t>véase el</w:t>
      </w:r>
      <w:r w:rsidR="00AB2705" w:rsidRPr="00A64246">
        <w:t xml:space="preserve"> </w:t>
      </w:r>
      <w:r w:rsidR="00A64246" w:rsidRPr="00A64246">
        <w:t>documento</w:t>
      </w:r>
      <w:r w:rsidR="00AB2705" w:rsidRPr="00A64246">
        <w:t xml:space="preserve"> CWS/5/15).</w:t>
      </w:r>
    </w:p>
    <w:p w:rsidR="009314E5" w:rsidRPr="00A64246" w:rsidRDefault="00563EE1" w:rsidP="005A3111">
      <w:pPr>
        <w:numPr>
          <w:ilvl w:val="1"/>
          <w:numId w:val="7"/>
        </w:numPr>
        <w:spacing w:after="220"/>
      </w:pPr>
      <w:r w:rsidRPr="00A64246">
        <w:t>En la Reunión de oficinas de propiedad intelectual sobre estrategias de TIC e inteligencia artificial</w:t>
      </w:r>
      <w:r w:rsidR="00AB2705" w:rsidRPr="00A64246">
        <w:t xml:space="preserve">, </w:t>
      </w:r>
      <w:r w:rsidRPr="00A64246">
        <w:t>celebrada en</w:t>
      </w:r>
      <w:r w:rsidR="00AB2705" w:rsidRPr="00A64246">
        <w:t xml:space="preserve"> </w:t>
      </w:r>
      <w:r w:rsidR="009314E5" w:rsidRPr="00A64246">
        <w:t>Ginebra</w:t>
      </w:r>
      <w:r w:rsidR="00AB2705" w:rsidRPr="00A64246">
        <w:t xml:space="preserve"> </w:t>
      </w:r>
      <w:r w:rsidRPr="00A64246">
        <w:t xml:space="preserve">del </w:t>
      </w:r>
      <w:r w:rsidR="00AB2705" w:rsidRPr="00A64246">
        <w:t xml:space="preserve">23 </w:t>
      </w:r>
      <w:r w:rsidRPr="00A64246">
        <w:t xml:space="preserve">al </w:t>
      </w:r>
      <w:r w:rsidR="00AB2705" w:rsidRPr="00A64246">
        <w:t>25</w:t>
      </w:r>
      <w:r w:rsidRPr="00A64246">
        <w:t xml:space="preserve"> de mayo de</w:t>
      </w:r>
      <w:r w:rsidR="00AB2705" w:rsidRPr="00A64246">
        <w:t xml:space="preserve"> 2018, </w:t>
      </w:r>
      <w:r w:rsidRPr="00A64246">
        <w:t xml:space="preserve">las Oficinas examinaron la posibilidad de desarrollar interfaces de programación de aplicaciones </w:t>
      </w:r>
      <w:r w:rsidR="00AB2705" w:rsidRPr="00A64246">
        <w:t xml:space="preserve">(API) </w:t>
      </w:r>
      <w:r w:rsidRPr="00A64246">
        <w:t>comunes</w:t>
      </w:r>
      <w:r w:rsidR="009D1021">
        <w:t>,</w:t>
      </w:r>
      <w:r w:rsidRPr="00A64246">
        <w:t xml:space="preserve"> para alentar a los proveedores externos de </w:t>
      </w:r>
      <w:r w:rsidRPr="00A64246">
        <w:rPr>
          <w:i/>
        </w:rPr>
        <w:t>software</w:t>
      </w:r>
      <w:r w:rsidRPr="00A64246">
        <w:t xml:space="preserve"> </w:t>
      </w:r>
      <w:r w:rsidR="00261D77" w:rsidRPr="00A64246">
        <w:t xml:space="preserve">a desarrollar </w:t>
      </w:r>
      <w:r w:rsidR="00AB2705" w:rsidRPr="00A64246">
        <w:t xml:space="preserve">interfaces </w:t>
      </w:r>
      <w:r w:rsidR="00261D77" w:rsidRPr="00A64246">
        <w:t>destinadas a intercambiar datos con mayor eficacia entre un amplio espectro de Oficinas</w:t>
      </w:r>
      <w:r w:rsidR="00AB2705" w:rsidRPr="00A64246">
        <w:t xml:space="preserve"> (</w:t>
      </w:r>
      <w:r w:rsidR="00261D77" w:rsidRPr="00A64246">
        <w:t>véanse los párrafos</w:t>
      </w:r>
      <w:r w:rsidR="00AB2705" w:rsidRPr="00A64246">
        <w:t xml:space="preserve"> 57 </w:t>
      </w:r>
      <w:r w:rsidR="00261D77" w:rsidRPr="00A64246">
        <w:t xml:space="preserve">a </w:t>
      </w:r>
      <w:r w:rsidR="00AB2705" w:rsidRPr="00A64246">
        <w:t xml:space="preserve">60 </w:t>
      </w:r>
      <w:r w:rsidR="00261D77" w:rsidRPr="00A64246">
        <w:t xml:space="preserve">del </w:t>
      </w:r>
      <w:r w:rsidR="00A64246" w:rsidRPr="00A64246">
        <w:t>documento</w:t>
      </w:r>
      <w:r w:rsidR="00AB2705" w:rsidRPr="00A64246">
        <w:t xml:space="preserve"> WIPO/IP/ITAI/GE/18/3).</w:t>
      </w:r>
    </w:p>
    <w:p w:rsidR="009314E5" w:rsidRPr="00A64246" w:rsidRDefault="00261D77" w:rsidP="00AB2705">
      <w:pPr>
        <w:numPr>
          <w:ilvl w:val="1"/>
          <w:numId w:val="7"/>
        </w:numPr>
        <w:spacing w:after="220"/>
      </w:pPr>
      <w:r w:rsidRPr="00A64246">
        <w:t>E</w:t>
      </w:r>
      <w:r w:rsidR="00AB2705" w:rsidRPr="00A64246">
        <w:t xml:space="preserve">n </w:t>
      </w:r>
      <w:r w:rsidRPr="00A64246">
        <w:t>el caso</w:t>
      </w:r>
      <w:r w:rsidR="00AB2705" w:rsidRPr="00A64246">
        <w:t xml:space="preserve"> normal </w:t>
      </w:r>
      <w:r w:rsidRPr="00A64246">
        <w:t xml:space="preserve">de entradas en la fase </w:t>
      </w:r>
      <w:r w:rsidR="00A64246" w:rsidRPr="00A64246">
        <w:t>nacional</w:t>
      </w:r>
      <w:r w:rsidR="00AB2705" w:rsidRPr="00A64246">
        <w:t xml:space="preserve"> </w:t>
      </w:r>
      <w:r w:rsidRPr="00A64246">
        <w:t xml:space="preserve">a partir de </w:t>
      </w:r>
      <w:r w:rsidR="00A64246" w:rsidRPr="00A64246">
        <w:t>una</w:t>
      </w:r>
      <w:r w:rsidRPr="00A64246">
        <w:t xml:space="preserve"> solicitud internacional publicada</w:t>
      </w:r>
      <w:r w:rsidR="00AB2705" w:rsidRPr="00A64246">
        <w:t xml:space="preserve">, </w:t>
      </w:r>
      <w:r w:rsidRPr="00A64246">
        <w:t xml:space="preserve">algunas Oficinas utilizan ahora </w:t>
      </w:r>
      <w:r w:rsidR="009D1021">
        <w:t xml:space="preserve">los </w:t>
      </w:r>
      <w:r w:rsidRPr="00A64246">
        <w:t xml:space="preserve">datos </w:t>
      </w:r>
      <w:r w:rsidR="009D1021">
        <w:t xml:space="preserve">procedentes </w:t>
      </w:r>
      <w:r w:rsidRPr="00A64246">
        <w:t xml:space="preserve">de los servicios web de </w:t>
      </w:r>
      <w:r w:rsidR="00AB2705" w:rsidRPr="00A64246">
        <w:t xml:space="preserve">PATENTSCOPE </w:t>
      </w:r>
      <w:r w:rsidRPr="00A64246">
        <w:t xml:space="preserve">para rellenar previamente </w:t>
      </w:r>
      <w:r w:rsidR="009D1021">
        <w:t>algunos campos de los</w:t>
      </w:r>
      <w:r w:rsidRPr="00A64246">
        <w:t xml:space="preserve"> formulario</w:t>
      </w:r>
      <w:r w:rsidR="009D1021">
        <w:t>s</w:t>
      </w:r>
      <w:r w:rsidRPr="00A64246">
        <w:t xml:space="preserve"> </w:t>
      </w:r>
      <w:r w:rsidR="009D1021">
        <w:t>electrónicos de</w:t>
      </w:r>
      <w:r w:rsidRPr="00A64246">
        <w:t xml:space="preserve"> su propio sitio</w:t>
      </w:r>
      <w:r w:rsidR="00AB2705" w:rsidRPr="00A64246">
        <w:t xml:space="preserve"> web</w:t>
      </w:r>
      <w:r w:rsidR="00A05DBC" w:rsidRPr="00A64246">
        <w:t xml:space="preserve"> para solicitar la entrada en la fase nacional</w:t>
      </w:r>
      <w:r w:rsidR="00AB2705" w:rsidRPr="00A64246">
        <w:t>.</w:t>
      </w:r>
    </w:p>
    <w:p w:rsidR="009314E5" w:rsidRPr="00A64246" w:rsidRDefault="00A05DBC" w:rsidP="00AB2705">
      <w:pPr>
        <w:numPr>
          <w:ilvl w:val="1"/>
          <w:numId w:val="7"/>
        </w:numPr>
        <w:spacing w:after="220"/>
      </w:pPr>
      <w:r w:rsidRPr="00A64246">
        <w:t xml:space="preserve">Una </w:t>
      </w:r>
      <w:r w:rsidR="00A64246" w:rsidRPr="00A64246">
        <w:t>proporción</w:t>
      </w:r>
      <w:r w:rsidR="00AB2705" w:rsidRPr="00A64246">
        <w:t xml:space="preserve"> </w:t>
      </w:r>
      <w:r w:rsidRPr="00A64246">
        <w:t xml:space="preserve">significativa de informes de búsqueda </w:t>
      </w:r>
      <w:r w:rsidR="00A64246" w:rsidRPr="00A64246">
        <w:t>internacional</w:t>
      </w:r>
      <w:r w:rsidR="00AB2705" w:rsidRPr="00A64246">
        <w:t xml:space="preserve"> </w:t>
      </w:r>
      <w:r w:rsidRPr="00A64246">
        <w:t xml:space="preserve">se presenta actualmente en </w:t>
      </w:r>
      <w:r w:rsidR="00A64246" w:rsidRPr="00A64246">
        <w:t>formato</w:t>
      </w:r>
      <w:r w:rsidRPr="00A64246">
        <w:t xml:space="preserve"> </w:t>
      </w:r>
      <w:r w:rsidR="00AB2705" w:rsidRPr="00A64246">
        <w:t xml:space="preserve">XML, </w:t>
      </w:r>
      <w:r w:rsidRPr="00A64246">
        <w:t xml:space="preserve">lo que da la posibilidad de añadir servicios con el fin de cumplir con los requisitos nacionales que vayan más allá de la mera entrada en la </w:t>
      </w:r>
      <w:r w:rsidR="00A64246" w:rsidRPr="00A64246">
        <w:t>fase</w:t>
      </w:r>
      <w:r w:rsidRPr="00A64246">
        <w:t xml:space="preserve"> nacional, en lo relativo a la divulgación del estado de la técnica</w:t>
      </w:r>
      <w:r w:rsidR="00AB2705" w:rsidRPr="00A64246">
        <w:t>.</w:t>
      </w:r>
    </w:p>
    <w:p w:rsidR="009314E5" w:rsidRPr="00A64246" w:rsidRDefault="009314E5" w:rsidP="009314E5">
      <w:pPr>
        <w:keepNext/>
        <w:spacing w:before="360" w:after="180"/>
        <w:outlineLvl w:val="0"/>
        <w:rPr>
          <w:b/>
          <w:bCs/>
          <w:caps/>
          <w:kern w:val="32"/>
          <w:szCs w:val="32"/>
        </w:rPr>
      </w:pPr>
      <w:r w:rsidRPr="00A64246">
        <w:rPr>
          <w:b/>
          <w:bCs/>
          <w:caps/>
          <w:kern w:val="32"/>
          <w:szCs w:val="32"/>
        </w:rPr>
        <w:t>Pasos siguientes</w:t>
      </w:r>
    </w:p>
    <w:p w:rsidR="009314E5" w:rsidRPr="00A64246" w:rsidRDefault="002B1F45" w:rsidP="00AB2705">
      <w:pPr>
        <w:tabs>
          <w:tab w:val="num" w:pos="567"/>
        </w:tabs>
        <w:spacing w:after="220"/>
      </w:pPr>
      <w:r w:rsidRPr="00A64246">
        <w:fldChar w:fldCharType="begin"/>
      </w:r>
      <w:r w:rsidRPr="00A64246">
        <w:instrText xml:space="preserve"> AUTONUM  </w:instrText>
      </w:r>
      <w:r w:rsidRPr="00A64246">
        <w:fldChar w:fldCharType="end"/>
      </w:r>
      <w:r w:rsidRPr="00A64246">
        <w:tab/>
      </w:r>
      <w:r w:rsidR="00987EB4" w:rsidRPr="00A64246">
        <w:t>La</w:t>
      </w:r>
      <w:r w:rsidR="00AB2705" w:rsidRPr="00A64246">
        <w:t xml:space="preserve"> </w:t>
      </w:r>
      <w:r w:rsidR="00F042DE" w:rsidRPr="00A64246">
        <w:t>Oficina Internacional</w:t>
      </w:r>
      <w:r w:rsidR="00AB2705" w:rsidRPr="00A64246">
        <w:t xml:space="preserve"> </w:t>
      </w:r>
      <w:r w:rsidR="00987EB4" w:rsidRPr="00A64246">
        <w:t>sigue considerando que resulta ventajoso, tanto para los solicitantes como para las Oficinas, eliminar la necesidad de que los solicitantes vuelvan a introducir, al entrar en la fase nacional, los datos que ya se han proporcionado en la fase</w:t>
      </w:r>
      <w:r w:rsidR="00AB2705" w:rsidRPr="00A64246">
        <w:t xml:space="preserve"> </w:t>
      </w:r>
      <w:r w:rsidR="00A64246" w:rsidRPr="00A64246">
        <w:t>internacional</w:t>
      </w:r>
      <w:r w:rsidR="00987EB4" w:rsidRPr="00A64246">
        <w:t xml:space="preserve">. Para ser ventajosa, cualquier solución que se </w:t>
      </w:r>
      <w:r w:rsidR="00A64246" w:rsidRPr="00A64246">
        <w:t>adopte</w:t>
      </w:r>
      <w:r w:rsidR="00987EB4" w:rsidRPr="00A64246">
        <w:t xml:space="preserve"> en ese sentido deberá</w:t>
      </w:r>
      <w:r w:rsidR="00AB2705" w:rsidRPr="00A64246">
        <w:t>:</w:t>
      </w:r>
    </w:p>
    <w:p w:rsidR="009314E5" w:rsidRPr="00A64246" w:rsidRDefault="00987EB4" w:rsidP="00A50D09">
      <w:pPr>
        <w:numPr>
          <w:ilvl w:val="1"/>
          <w:numId w:val="9"/>
        </w:numPr>
        <w:spacing w:after="220"/>
      </w:pPr>
      <w:r w:rsidRPr="00A64246">
        <w:t>poder ser utilizada por un número considerable de Oficinas designadas</w:t>
      </w:r>
      <w:r w:rsidR="00AB2705" w:rsidRPr="00A64246">
        <w:t>;</w:t>
      </w:r>
    </w:p>
    <w:p w:rsidR="009314E5" w:rsidRPr="00A64246" w:rsidRDefault="00AB2705" w:rsidP="00AB2705">
      <w:pPr>
        <w:numPr>
          <w:ilvl w:val="1"/>
          <w:numId w:val="7"/>
        </w:numPr>
        <w:spacing w:after="220"/>
      </w:pPr>
      <w:r w:rsidRPr="00A64246">
        <w:t>elimina</w:t>
      </w:r>
      <w:r w:rsidR="00987EB4" w:rsidRPr="00A64246">
        <w:t xml:space="preserve">r la necesidad de que los solicitantes o las Oficinas transcriban </w:t>
      </w:r>
      <w:r w:rsidR="00A64246" w:rsidRPr="00A64246">
        <w:t>información</w:t>
      </w:r>
      <w:r w:rsidRPr="00A64246">
        <w:t xml:space="preserve"> </w:t>
      </w:r>
      <w:r w:rsidR="00987EB4" w:rsidRPr="00A64246">
        <w:t xml:space="preserve">que ya ha sido proporcionada a la </w:t>
      </w:r>
      <w:r w:rsidR="00F042DE" w:rsidRPr="00A64246">
        <w:t>Oficina Internacional</w:t>
      </w:r>
      <w:r w:rsidRPr="00A64246">
        <w:t>;</w:t>
      </w:r>
    </w:p>
    <w:p w:rsidR="009314E5" w:rsidRPr="00A64246" w:rsidRDefault="009D1021" w:rsidP="00AB2705">
      <w:pPr>
        <w:numPr>
          <w:ilvl w:val="1"/>
          <w:numId w:val="7"/>
        </w:numPr>
        <w:spacing w:after="220"/>
      </w:pPr>
      <w:r>
        <w:t xml:space="preserve">contribuir </w:t>
      </w:r>
      <w:r w:rsidR="00987EB4" w:rsidRPr="00A64246">
        <w:t>a que los solicitantes y mandatarios de distintos países colaboren con eficacia</w:t>
      </w:r>
      <w:r w:rsidR="00AB2705" w:rsidRPr="00A64246">
        <w:t xml:space="preserve">; </w:t>
      </w:r>
      <w:r w:rsidR="00987EB4" w:rsidRPr="00A64246">
        <w:t>y</w:t>
      </w:r>
    </w:p>
    <w:p w:rsidR="009314E5" w:rsidRPr="00A64246" w:rsidRDefault="00A64246" w:rsidP="00AB2705">
      <w:pPr>
        <w:numPr>
          <w:ilvl w:val="1"/>
          <w:numId w:val="7"/>
        </w:numPr>
        <w:spacing w:after="220"/>
      </w:pPr>
      <w:r w:rsidRPr="00A64246">
        <w:t>minimizar</w:t>
      </w:r>
      <w:r w:rsidR="00987EB4" w:rsidRPr="00A64246">
        <w:t xml:space="preserve"> el riesgo de utilización de datos incorrectos por las Oficinas debido al hecho de que se intente combinar la introducción de datos en formato electrónico con formularios que contienen información, por </w:t>
      </w:r>
      <w:r w:rsidRPr="00A64246">
        <w:t>ejemplo</w:t>
      </w:r>
      <w:r w:rsidR="00AB2705" w:rsidRPr="00A64246">
        <w:t xml:space="preserve">, </w:t>
      </w:r>
      <w:r w:rsidR="00987EB4" w:rsidRPr="00A64246">
        <w:t xml:space="preserve">cuando la </w:t>
      </w:r>
      <w:r w:rsidRPr="00A64246">
        <w:t>información</w:t>
      </w:r>
      <w:r w:rsidR="00AB2705" w:rsidRPr="00A64246">
        <w:t xml:space="preserve"> </w:t>
      </w:r>
      <w:r w:rsidR="00987EB4" w:rsidRPr="00A64246">
        <w:t xml:space="preserve">contenida en los formularios </w:t>
      </w:r>
      <w:r w:rsidR="009F632A" w:rsidRPr="00A64246">
        <w:t xml:space="preserve">deja sin validez la información equivalente procedente de la introducción de datos y, por consiguiente, exige una </w:t>
      </w:r>
      <w:r w:rsidRPr="00A64246">
        <w:t>transcripción</w:t>
      </w:r>
      <w:r w:rsidR="009F632A" w:rsidRPr="00A64246">
        <w:t xml:space="preserve"> manual por parte de la Oficina</w:t>
      </w:r>
      <w:r w:rsidR="00AB2705" w:rsidRPr="00A64246">
        <w:t>.</w:t>
      </w:r>
    </w:p>
    <w:p w:rsidR="009314E5" w:rsidRPr="00A64246" w:rsidRDefault="002B1F45" w:rsidP="00AB2705">
      <w:pPr>
        <w:tabs>
          <w:tab w:val="num" w:pos="567"/>
        </w:tabs>
        <w:spacing w:after="220"/>
      </w:pPr>
      <w:r w:rsidRPr="00A64246">
        <w:fldChar w:fldCharType="begin"/>
      </w:r>
      <w:r w:rsidRPr="00A64246">
        <w:instrText xml:space="preserve"> AUTONUM  </w:instrText>
      </w:r>
      <w:r w:rsidRPr="00A64246">
        <w:fldChar w:fldCharType="end"/>
      </w:r>
      <w:r w:rsidRPr="00A64246">
        <w:tab/>
      </w:r>
      <w:r w:rsidR="009F632A" w:rsidRPr="00A64246">
        <w:t>Una</w:t>
      </w:r>
      <w:r w:rsidR="00AB2705" w:rsidRPr="00A64246">
        <w:t xml:space="preserve"> </w:t>
      </w:r>
      <w:r w:rsidR="00A64246" w:rsidRPr="00A64246">
        <w:t>opción</w:t>
      </w:r>
      <w:r w:rsidR="00AB2705" w:rsidRPr="00A64246">
        <w:t xml:space="preserve"> </w:t>
      </w:r>
      <w:r w:rsidR="009F632A" w:rsidRPr="00A64246">
        <w:t xml:space="preserve">de trabajo en esa esfera sería reanudar el desarrollo de la funcionalidad comenzada en </w:t>
      </w:r>
      <w:r w:rsidR="00AB2705" w:rsidRPr="00A64246">
        <w:t xml:space="preserve">ePCT, </w:t>
      </w:r>
      <w:r w:rsidR="009F632A" w:rsidRPr="00A64246">
        <w:t xml:space="preserve">según se </w:t>
      </w:r>
      <w:r w:rsidR="00A64246" w:rsidRPr="00A64246">
        <w:t>describe</w:t>
      </w:r>
      <w:r w:rsidR="00AB2705" w:rsidRPr="00A64246">
        <w:t xml:space="preserve"> </w:t>
      </w:r>
      <w:r w:rsidR="009F632A" w:rsidRPr="00A64246">
        <w:t>e</w:t>
      </w:r>
      <w:r w:rsidR="00AB2705" w:rsidRPr="00A64246">
        <w:t xml:space="preserve">n </w:t>
      </w:r>
      <w:r w:rsidR="009F632A" w:rsidRPr="00A64246">
        <w:t>el párrafo</w:t>
      </w:r>
      <w:r w:rsidR="00AB2705" w:rsidRPr="00A64246">
        <w:t> </w:t>
      </w:r>
      <w:r w:rsidR="009F632A" w:rsidRPr="00A64246">
        <w:fldChar w:fldCharType="begin"/>
      </w:r>
      <w:r w:rsidR="009F632A" w:rsidRPr="00A64246">
        <w:instrText xml:space="preserve"> REF _Ref515469362 \r \h </w:instrText>
      </w:r>
      <w:r w:rsidR="00A64246">
        <w:instrText xml:space="preserve"> \* MERGEFORMAT </w:instrText>
      </w:r>
      <w:r w:rsidR="009F632A" w:rsidRPr="00A64246">
        <w:fldChar w:fldCharType="separate"/>
      </w:r>
      <w:r w:rsidR="006E5823">
        <w:t>0</w:t>
      </w:r>
      <w:r w:rsidR="009F632A" w:rsidRPr="00A64246">
        <w:fldChar w:fldCharType="end"/>
      </w:r>
      <w:r w:rsidR="009F632A" w:rsidRPr="00A64246">
        <w:t xml:space="preserve"> del presente documento. Ese enfoque presentaría la ventaja de que no sería necesario contar con mandatarios en distintos países para velar por la compatibilidad de su </w:t>
      </w:r>
      <w:r w:rsidR="009F632A" w:rsidRPr="00A64246">
        <w:rPr>
          <w:i/>
        </w:rPr>
        <w:t xml:space="preserve">software </w:t>
      </w:r>
      <w:r w:rsidR="009F632A" w:rsidRPr="00A64246">
        <w:t>de gestión de patentes</w:t>
      </w:r>
      <w:r w:rsidR="00AB2705" w:rsidRPr="00A64246">
        <w:t xml:space="preserve">. </w:t>
      </w:r>
      <w:r w:rsidR="009F632A" w:rsidRPr="00A64246">
        <w:t xml:space="preserve">El sistema </w:t>
      </w:r>
      <w:r w:rsidR="00AB2705" w:rsidRPr="00A64246">
        <w:t xml:space="preserve">ePCT </w:t>
      </w:r>
      <w:r w:rsidR="009D1021">
        <w:t>puede ejecutarse</w:t>
      </w:r>
      <w:r w:rsidR="009F632A" w:rsidRPr="00A64246">
        <w:t xml:space="preserve"> en el navegador, está disponible libremente y sin cargo</w:t>
      </w:r>
      <w:r w:rsidR="009D1021">
        <w:t>,</w:t>
      </w:r>
      <w:r w:rsidR="009F632A" w:rsidRPr="00A64246">
        <w:t xml:space="preserve"> y </w:t>
      </w:r>
      <w:r w:rsidR="009D1021">
        <w:t>tiene</w:t>
      </w:r>
      <w:r w:rsidR="009F632A" w:rsidRPr="00A64246">
        <w:t xml:space="preserve"> interfaces en</w:t>
      </w:r>
      <w:r w:rsidR="009D1021">
        <w:t> </w:t>
      </w:r>
      <w:r w:rsidR="00AB2705" w:rsidRPr="00A64246">
        <w:t>10</w:t>
      </w:r>
      <w:r w:rsidR="009F632A" w:rsidRPr="00A64246">
        <w:t xml:space="preserve"> idiomas</w:t>
      </w:r>
      <w:r w:rsidR="00AB2705" w:rsidRPr="00A64246">
        <w:t xml:space="preserve">. </w:t>
      </w:r>
      <w:r w:rsidR="009F632A" w:rsidRPr="00A64246">
        <w:t xml:space="preserve">También presentaría la ventaja de asegurar que una única norma aplicable a paquetes de datos se </w:t>
      </w:r>
      <w:r w:rsidR="009D1021">
        <w:t>implement</w:t>
      </w:r>
      <w:r w:rsidR="009F632A" w:rsidRPr="00A64246">
        <w:t>aría en todas las Oficinas designadas participantes</w:t>
      </w:r>
      <w:r w:rsidR="009D1021">
        <w:t>. En función de</w:t>
      </w:r>
      <w:r w:rsidR="009F632A" w:rsidRPr="00A64246">
        <w:t xml:space="preserve"> los servicios que implementen las Oficinas designadas</w:t>
      </w:r>
      <w:r w:rsidR="009D1021">
        <w:t xml:space="preserve"> en ese contexto</w:t>
      </w:r>
      <w:r w:rsidR="009F632A" w:rsidRPr="00A64246">
        <w:t>, también presentaría la ventaja de mejorar considerablemente la información centralizada a disposición de los solicitantes acerca del estado actual de la tramitación de la fase nacional para la solicitud de que se trate</w:t>
      </w:r>
      <w:r w:rsidR="00AB2705" w:rsidRPr="00A64246">
        <w:t>.</w:t>
      </w:r>
    </w:p>
    <w:p w:rsidR="009314E5" w:rsidRPr="00A64246" w:rsidRDefault="002B1F45" w:rsidP="00AB2705">
      <w:pPr>
        <w:tabs>
          <w:tab w:val="num" w:pos="567"/>
        </w:tabs>
        <w:spacing w:after="220"/>
      </w:pPr>
      <w:r w:rsidRPr="00A64246">
        <w:fldChar w:fldCharType="begin"/>
      </w:r>
      <w:r w:rsidRPr="00A64246">
        <w:instrText xml:space="preserve"> AUTONUM  </w:instrText>
      </w:r>
      <w:r w:rsidRPr="00A64246">
        <w:fldChar w:fldCharType="end"/>
      </w:r>
      <w:r w:rsidRPr="00A64246">
        <w:tab/>
      </w:r>
      <w:r w:rsidR="009F632A" w:rsidRPr="00A64246">
        <w:t xml:space="preserve">Una </w:t>
      </w:r>
      <w:r w:rsidR="00A64246" w:rsidRPr="00A64246">
        <w:t>segunda</w:t>
      </w:r>
      <w:r w:rsidR="00AB2705" w:rsidRPr="00A64246">
        <w:t xml:space="preserve"> </w:t>
      </w:r>
      <w:r w:rsidR="00A64246" w:rsidRPr="00A64246">
        <w:t>opción</w:t>
      </w:r>
      <w:r w:rsidR="00AB2705" w:rsidRPr="00A64246">
        <w:t xml:space="preserve"> </w:t>
      </w:r>
      <w:r w:rsidR="009F632A" w:rsidRPr="00A64246">
        <w:t xml:space="preserve">sería concentrarse en mayor medida en la prestación de servicios para </w:t>
      </w:r>
      <w:r w:rsidR="00A64246" w:rsidRPr="00A64246">
        <w:t>exportar</w:t>
      </w:r>
      <w:r w:rsidR="009F632A" w:rsidRPr="00A64246">
        <w:t xml:space="preserve"> datos en el </w:t>
      </w:r>
      <w:r w:rsidR="009F632A" w:rsidRPr="00A64246">
        <w:rPr>
          <w:i/>
        </w:rPr>
        <w:t>software</w:t>
      </w:r>
      <w:r w:rsidR="009F632A" w:rsidRPr="00A64246">
        <w:t xml:space="preserve"> de gestión de patentes de los usuarios con miras a nutrir su </w:t>
      </w:r>
      <w:r w:rsidR="00AB2705" w:rsidRPr="00A64246">
        <w:rPr>
          <w:i/>
        </w:rPr>
        <w:t>software</w:t>
      </w:r>
      <w:r w:rsidR="00AB2705" w:rsidRPr="00A64246">
        <w:t xml:space="preserve"> </w:t>
      </w:r>
      <w:r w:rsidR="009F632A" w:rsidRPr="00A64246">
        <w:t xml:space="preserve">local con la información que es necesario preparar con arreglo a las </w:t>
      </w:r>
      <w:r w:rsidR="00A64246" w:rsidRPr="00A64246">
        <w:t>normas</w:t>
      </w:r>
      <w:r w:rsidR="009F632A" w:rsidRPr="00A64246">
        <w:t xml:space="preserve"> locales</w:t>
      </w:r>
      <w:r w:rsidR="00AB2705" w:rsidRPr="00A64246">
        <w:t xml:space="preserve">. </w:t>
      </w:r>
      <w:r w:rsidR="005469BB" w:rsidRPr="00A64246">
        <w:t xml:space="preserve">El servicio ya ofrece la posibilidad de exportar datos en </w:t>
      </w:r>
      <w:r w:rsidR="00AB2705" w:rsidRPr="00A64246">
        <w:t xml:space="preserve">XML </w:t>
      </w:r>
      <w:r w:rsidR="005469BB" w:rsidRPr="00A64246">
        <w:t xml:space="preserve">que </w:t>
      </w:r>
      <w:r w:rsidR="00DD347F">
        <w:t>contienen</w:t>
      </w:r>
      <w:r w:rsidR="005469BB" w:rsidRPr="00A64246">
        <w:t xml:space="preserve"> casi toda la información bibliográfica de la fase </w:t>
      </w:r>
      <w:r w:rsidR="00A64246" w:rsidRPr="00A64246">
        <w:t>internacional</w:t>
      </w:r>
      <w:r w:rsidR="00AB2705" w:rsidRPr="00A64246">
        <w:t xml:space="preserve"> </w:t>
      </w:r>
      <w:r w:rsidR="005469BB" w:rsidRPr="00A64246">
        <w:t>que podría ser pertinente. Este enfoque presentaría la ventaja de ser sencillo de aplica</w:t>
      </w:r>
      <w:r w:rsidR="00DD347F">
        <w:t>r</w:t>
      </w:r>
      <w:r w:rsidR="005469BB" w:rsidRPr="00A64246">
        <w:t xml:space="preserve"> para la </w:t>
      </w:r>
      <w:r w:rsidR="00F042DE" w:rsidRPr="00A64246">
        <w:t>Oficina Internacional</w:t>
      </w:r>
      <w:r w:rsidR="00AB2705" w:rsidRPr="00A64246">
        <w:t xml:space="preserve">, </w:t>
      </w:r>
      <w:r w:rsidR="005469BB" w:rsidRPr="00A64246">
        <w:t xml:space="preserve">pero dependería de que múltiples proveedores de </w:t>
      </w:r>
      <w:r w:rsidR="005469BB" w:rsidRPr="00A64246">
        <w:rPr>
          <w:i/>
        </w:rPr>
        <w:t>softwar</w:t>
      </w:r>
      <w:bookmarkStart w:id="6" w:name="_GoBack"/>
      <w:r w:rsidR="005469BB" w:rsidRPr="00A64246">
        <w:rPr>
          <w:i/>
        </w:rPr>
        <w:t>e</w:t>
      </w:r>
      <w:bookmarkEnd w:id="6"/>
      <w:r w:rsidR="005469BB" w:rsidRPr="00A64246">
        <w:rPr>
          <w:i/>
        </w:rPr>
        <w:t xml:space="preserve"> </w:t>
      </w:r>
      <w:r w:rsidR="005469BB" w:rsidRPr="00A64246">
        <w:t>de gestión de patentes establezcan servicios de importación de los datos</w:t>
      </w:r>
      <w:r w:rsidR="00AB2705" w:rsidRPr="00A64246">
        <w:t>.</w:t>
      </w:r>
      <w:r w:rsidR="005469BB" w:rsidRPr="00A64246">
        <w:t xml:space="preserve"> De todos modos</w:t>
      </w:r>
      <w:r w:rsidR="00AB2705" w:rsidRPr="00A64246">
        <w:t xml:space="preserve">, </w:t>
      </w:r>
      <w:r w:rsidR="005469BB" w:rsidRPr="00A64246">
        <w:t>sería poco probable que pudiera ofrecer a las Oficinas designadas datos coherentes, legibles por máquina</w:t>
      </w:r>
      <w:r w:rsidR="00AB2705" w:rsidRPr="00A64246">
        <w:t xml:space="preserve">, </w:t>
      </w:r>
      <w:r w:rsidR="005469BB" w:rsidRPr="00A64246">
        <w:t>a menos que la solución formara parte de un proceso más amplio de estandarización de las normas de importación de datos aplicadas por las Oficinas nacionales</w:t>
      </w:r>
      <w:r w:rsidR="00AB2705" w:rsidRPr="00A64246">
        <w:t>.</w:t>
      </w:r>
    </w:p>
    <w:p w:rsidR="009314E5" w:rsidRPr="00A64246" w:rsidRDefault="002B1F45" w:rsidP="00AB2705">
      <w:pPr>
        <w:tabs>
          <w:tab w:val="num" w:pos="567"/>
        </w:tabs>
        <w:spacing w:after="220"/>
      </w:pPr>
      <w:r w:rsidRPr="00A64246">
        <w:fldChar w:fldCharType="begin"/>
      </w:r>
      <w:r w:rsidRPr="00A64246">
        <w:instrText xml:space="preserve"> AUTONUM  </w:instrText>
      </w:r>
      <w:r w:rsidRPr="00A64246">
        <w:fldChar w:fldCharType="end"/>
      </w:r>
      <w:r w:rsidRPr="00A64246">
        <w:tab/>
      </w:r>
      <w:r w:rsidR="00ED5E09" w:rsidRPr="00A64246">
        <w:t xml:space="preserve">Esas dos </w:t>
      </w:r>
      <w:r w:rsidR="00A64246" w:rsidRPr="00A64246">
        <w:t>opciones</w:t>
      </w:r>
      <w:r w:rsidR="00AB2705" w:rsidRPr="00A64246">
        <w:t xml:space="preserve"> </w:t>
      </w:r>
      <w:r w:rsidR="00ED5E09" w:rsidRPr="00A64246">
        <w:t xml:space="preserve">no se excluyen mutuamente. La mayor parte del trabajo centralizado </w:t>
      </w:r>
      <w:r w:rsidR="00A64246" w:rsidRPr="00A64246">
        <w:t>correspondiente</w:t>
      </w:r>
      <w:r w:rsidR="00ED5E09" w:rsidRPr="00A64246">
        <w:t xml:space="preserve"> a la segunda </w:t>
      </w:r>
      <w:r w:rsidR="00A64246" w:rsidRPr="00A64246">
        <w:t>opción</w:t>
      </w:r>
      <w:r w:rsidR="00AB2705" w:rsidRPr="00A64246">
        <w:t xml:space="preserve"> </w:t>
      </w:r>
      <w:r w:rsidR="00ED5E09" w:rsidRPr="00A64246">
        <w:t>ya se ha realizado</w:t>
      </w:r>
      <w:r w:rsidR="00AB2705" w:rsidRPr="00A64246">
        <w:t xml:space="preserve">. </w:t>
      </w:r>
      <w:r w:rsidR="00AD66C4" w:rsidRPr="00A64246">
        <w:t xml:space="preserve">La labor adicional que incumbe a la </w:t>
      </w:r>
      <w:r w:rsidR="00F042DE" w:rsidRPr="00A64246">
        <w:t>Oficina Internacional</w:t>
      </w:r>
      <w:r w:rsidR="00AD66C4" w:rsidRPr="00A64246">
        <w:t xml:space="preserve"> se limitaría, fundamentalmente, al examen de los datos ya introducidos para garantizar que sean completos</w:t>
      </w:r>
      <w:r w:rsidR="00AB2705" w:rsidRPr="00A64246">
        <w:t xml:space="preserve"> (</w:t>
      </w:r>
      <w:r w:rsidR="00AD66C4" w:rsidRPr="00A64246">
        <w:t>los principales</w:t>
      </w:r>
      <w:r w:rsidR="00AB2705" w:rsidRPr="00A64246">
        <w:t xml:space="preserve"> </w:t>
      </w:r>
      <w:r w:rsidR="00A64246" w:rsidRPr="00A64246">
        <w:t>elementos</w:t>
      </w:r>
      <w:r w:rsidR="00AB2705" w:rsidRPr="00A64246">
        <w:t xml:space="preserve"> </w:t>
      </w:r>
      <w:r w:rsidR="00AD66C4" w:rsidRPr="00A64246">
        <w:t>que se sabe que faltan se refieren a la tramitación en virtud del Capítulo</w:t>
      </w:r>
      <w:r w:rsidR="00AB2705" w:rsidRPr="00A64246">
        <w:t xml:space="preserve"> II) </w:t>
      </w:r>
      <w:r w:rsidR="00AD66C4" w:rsidRPr="00A64246">
        <w:t xml:space="preserve">y que las interfaces de máquina de prueba que se hayan implementado para la extracción automática de los datos procedentes de los sistemas de gestión de patentes </w:t>
      </w:r>
      <w:r w:rsidR="00AE6BD0" w:rsidRPr="00A64246">
        <w:t xml:space="preserve">sean apropiadas e idóneas para su adopción como una función de largo plazo y estable del sistema. Es posible que muchos mandatarios nacionales prefieran la segunda </w:t>
      </w:r>
      <w:r w:rsidR="00A64246" w:rsidRPr="00A64246">
        <w:t>opción</w:t>
      </w:r>
      <w:r w:rsidR="00AE6BD0" w:rsidRPr="00A64246">
        <w:t xml:space="preserve">, siempre y cuando cuente con el adecuado respaldo del </w:t>
      </w:r>
      <w:r w:rsidR="00AE6BD0" w:rsidRPr="00A64246">
        <w:rPr>
          <w:i/>
        </w:rPr>
        <w:t>software</w:t>
      </w:r>
      <w:r w:rsidR="00AB2705" w:rsidRPr="00A64246">
        <w:t xml:space="preserve"> </w:t>
      </w:r>
      <w:r w:rsidR="00AE6BD0" w:rsidRPr="00A64246">
        <w:t>de proveedores externos</w:t>
      </w:r>
      <w:r w:rsidR="00AB2705" w:rsidRPr="00A64246">
        <w:t xml:space="preserve">.  </w:t>
      </w:r>
      <w:r w:rsidR="00AE6BD0" w:rsidRPr="00A64246">
        <w:t>Por otra parte</w:t>
      </w:r>
      <w:r w:rsidR="00AB2705" w:rsidRPr="00A64246">
        <w:t xml:space="preserve">, </w:t>
      </w:r>
      <w:r w:rsidR="00AE6BD0" w:rsidRPr="00A64246">
        <w:t xml:space="preserve">contar además con el servicio centralizado constituiría una opción a </w:t>
      </w:r>
      <w:r w:rsidR="00A64246" w:rsidRPr="00A64246">
        <w:t>disposición</w:t>
      </w:r>
      <w:r w:rsidR="00AE6BD0" w:rsidRPr="00A64246">
        <w:t xml:space="preserve"> de los mandatarios que no disponen de apoyo en su propio </w:t>
      </w:r>
      <w:r w:rsidR="00AB2705" w:rsidRPr="00A64246">
        <w:rPr>
          <w:i/>
        </w:rPr>
        <w:t>software</w:t>
      </w:r>
      <w:r w:rsidR="00AB2705" w:rsidRPr="00A64246">
        <w:t xml:space="preserve"> </w:t>
      </w:r>
      <w:r w:rsidR="00AE6BD0" w:rsidRPr="00A64246">
        <w:t xml:space="preserve">y ofrecería también una </w:t>
      </w:r>
      <w:r w:rsidR="00AB2705" w:rsidRPr="00A64246">
        <w:t>“</w:t>
      </w:r>
      <w:r w:rsidR="00A64246" w:rsidRPr="00A64246">
        <w:t>implementación</w:t>
      </w:r>
      <w:r w:rsidR="00AE6BD0" w:rsidRPr="00A64246">
        <w:t xml:space="preserve"> de referencia</w:t>
      </w:r>
      <w:r w:rsidR="00AB2705" w:rsidRPr="00A64246">
        <w:t xml:space="preserve">” </w:t>
      </w:r>
      <w:r w:rsidR="00AE6BD0" w:rsidRPr="00A64246">
        <w:t>que serviría para facilitar el desarrollo por terceros</w:t>
      </w:r>
      <w:r w:rsidR="00AB2705" w:rsidRPr="00A64246">
        <w:t>.</w:t>
      </w:r>
    </w:p>
    <w:p w:rsidR="009314E5" w:rsidRDefault="002B1F45" w:rsidP="00AB2705">
      <w:pPr>
        <w:tabs>
          <w:tab w:val="num" w:pos="567"/>
          <w:tab w:val="left" w:pos="6096"/>
        </w:tabs>
        <w:spacing w:after="220"/>
        <w:ind w:left="5533"/>
        <w:rPr>
          <w:i/>
        </w:rPr>
      </w:pPr>
      <w:r w:rsidRPr="00A64246">
        <w:rPr>
          <w:i/>
        </w:rPr>
        <w:fldChar w:fldCharType="begin"/>
      </w:r>
      <w:r w:rsidRPr="00A64246">
        <w:rPr>
          <w:i/>
        </w:rPr>
        <w:instrText xml:space="preserve"> AUTONUM  </w:instrText>
      </w:r>
      <w:r w:rsidRPr="00A64246">
        <w:rPr>
          <w:i/>
        </w:rPr>
        <w:fldChar w:fldCharType="end"/>
      </w:r>
      <w:r w:rsidRPr="00A64246">
        <w:rPr>
          <w:i/>
        </w:rPr>
        <w:tab/>
      </w:r>
      <w:r w:rsidR="00AE6BD0" w:rsidRPr="00A64246">
        <w:rPr>
          <w:i/>
        </w:rPr>
        <w:t xml:space="preserve">Se invita al Grupo de Trabajo a formular comentarios sobre la dirección que </w:t>
      </w:r>
      <w:r w:rsidR="0017238B">
        <w:rPr>
          <w:i/>
        </w:rPr>
        <w:t>ha de</w:t>
      </w:r>
      <w:r w:rsidR="00AE6BD0" w:rsidRPr="00A64246">
        <w:rPr>
          <w:i/>
        </w:rPr>
        <w:t xml:space="preserve"> tomar el trabajo adicional destinado a facilitar la entrada en la fase nacional</w:t>
      </w:r>
      <w:r w:rsidR="00AB2705" w:rsidRPr="00A64246">
        <w:rPr>
          <w:i/>
        </w:rPr>
        <w:t>.</w:t>
      </w:r>
    </w:p>
    <w:p w:rsidR="006D3356" w:rsidRPr="00A64246" w:rsidRDefault="006D3356" w:rsidP="00AB2705">
      <w:pPr>
        <w:tabs>
          <w:tab w:val="num" w:pos="567"/>
          <w:tab w:val="left" w:pos="6096"/>
        </w:tabs>
        <w:spacing w:after="220"/>
        <w:ind w:left="5533"/>
        <w:rPr>
          <w:i/>
        </w:rPr>
      </w:pPr>
    </w:p>
    <w:p w:rsidR="009314E5" w:rsidRPr="00A64246" w:rsidRDefault="009314E5" w:rsidP="009314E5">
      <w:pPr>
        <w:ind w:left="5534"/>
      </w:pPr>
      <w:r w:rsidRPr="00A64246">
        <w:t>[Fin del documento]</w:t>
      </w:r>
    </w:p>
    <w:p w:rsidR="00152CEA" w:rsidRPr="00A64246" w:rsidRDefault="00152CEA"/>
    <w:sectPr w:rsidR="00152CEA" w:rsidRPr="00A64246" w:rsidSect="00AB2705">
      <w:headerReference w:type="default" r:id="rId9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05" w:rsidRDefault="00AB2705">
      <w:r>
        <w:separator/>
      </w:r>
    </w:p>
  </w:endnote>
  <w:endnote w:type="continuationSeparator" w:id="0">
    <w:p w:rsidR="00AB2705" w:rsidRPr="009D30E6" w:rsidRDefault="00AB270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B2705" w:rsidRPr="007E663E" w:rsidRDefault="00AB270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AB2705" w:rsidRPr="007E663E" w:rsidRDefault="00AB2705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05" w:rsidRDefault="00AB2705">
      <w:r>
        <w:separator/>
      </w:r>
    </w:p>
  </w:footnote>
  <w:footnote w:type="continuationSeparator" w:id="0">
    <w:p w:rsidR="00AB2705" w:rsidRPr="009D30E6" w:rsidRDefault="00AB2705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AB2705" w:rsidRPr="007E663E" w:rsidRDefault="00AB2705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AB2705" w:rsidRPr="007E663E" w:rsidRDefault="00AB2705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F20" w:rsidRDefault="00AB2705" w:rsidP="00477D6B">
    <w:pPr>
      <w:jc w:val="right"/>
    </w:pPr>
    <w:bookmarkStart w:id="7" w:name="Code2"/>
    <w:bookmarkEnd w:id="7"/>
    <w:r>
      <w:t>PCT/WG/11/</w:t>
    </w:r>
    <w:r w:rsidR="006D3356">
      <w:t>25</w:t>
    </w:r>
  </w:p>
  <w:p w:rsidR="00AE7F20" w:rsidRDefault="00AE7F20" w:rsidP="00477D6B">
    <w:pPr>
      <w:jc w:val="right"/>
    </w:pPr>
    <w:proofErr w:type="gramStart"/>
    <w:r>
      <w:t>página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C06FBD">
      <w:rPr>
        <w:noProof/>
      </w:rPr>
      <w:t>3</w:t>
    </w:r>
    <w:r>
      <w:fldChar w:fldCharType="end"/>
    </w:r>
  </w:p>
  <w:p w:rsidR="00AE7F20" w:rsidRDefault="00AE7F20" w:rsidP="00477D6B">
    <w:pPr>
      <w:jc w:val="right"/>
    </w:pPr>
  </w:p>
  <w:p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E48684B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  <w:lang w:val="es-ES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LDTERM|Fechas|Sesiones|Términos útiles"/>
    <w:docVar w:name="TermBaseURL" w:val="empty"/>
    <w:docVar w:name="TextBases" w:val="LanguageDivision\TextBase TMs\WorkspaceSTS\Administration &amp; Finance\Current Budget|LanguageDivision\TextBase TMs\WorkspaceSTS\Administration &amp; Finance\FAB Instruments|LanguageDivision\TextBase TMs\WorkspaceSTS\Administration &amp; Finance\FAB Main|LanguageDivision\TextBase TMs\WorkspaceSTS\Administration &amp; Finance\FStatements|LanguageDivision\TextBase TMs\WorkspaceSTS\Administration &amp; Finance\UN Staff Rules|LanguageDivision\TextBase TMs\WorkspaceSTS\Administration &amp; Finance\WIPO Staff Rules|LanguageDivision\TextBase TMs\WorkspaceSTS\Brands, Designs &amp; DN\Arb_Med_Center|LanguageDivision\TextBase TMs\WorkspaceSTS\Brands, Designs &amp; DN\H Instruments|LanguageDivision\TextBase TMs\WorkspaceSTS\Brands, Designs &amp; DN\Hague|LanguageDivision\TextBase TMs\WorkspaceSTS\Brands, Designs &amp; DN\L Instruments|LanguageDivision\TextBase TMs\WorkspaceSTS\Brands, Designs &amp; DN\Lisbon|LanguageDivision\TextBase TMs\WorkspaceSTS\Brands, Designs &amp; DN\T Instruments|LanguageDivision\TextBase TMs\WorkspaceSTS\Brands, Designs &amp; DN\Trademarks|LanguageDivision\TextBase TMs\WorkspaceSTS\Copyright\C Instruments|LanguageDivision\TextBase TMs\WorkspaceSTS\Copyright\Copyright|LanguageDivision\TextBase TMs\WorkspaceSTS\Development\Dev_Agenda|LanguageDivision\TextBase TMs\WorkspaceSTS\GRTKF\G Instruments|LanguageDivision\TextBase TMs\WorkspaceSTS\GRTKF\GRTKF|LanguageDivision\TextBase TMs\WorkspaceSTS\Outreach\Economist|LanguageDivision\TextBase TMs\WorkspaceSTS\Outreach\IP Advantage|LanguageDivision\TextBase TMs\WorkspaceSTS\Outreach\POW Main|LanguageDivision\TextBase TMs\WorkspaceSTS\Patents &amp; Innovation\P Instruments|LanguageDivision\TextBase TMs\WorkspaceSTS\Patents &amp; Innovation\Patents Main|LanguageDivision\TextBase TMs\WorkspaceSTS\Treaties &amp; Laws\WIPO Lex|LanguageDivision\TextBase TMs\WorkspaceSTS\UPOV\TGPs|LanguageDivision\TextBase TMs\WorkspaceSTS\UPOV\TGs|LanguageDivision\TextBase TMs\WorkspaceSTS\UPOV\TGs Template|LanguageDivision\TextBase TMs\WorkspaceSTS\UPOV\U Instruments|LanguageDivision\TextBase TMs\WorkspaceSTS\UPOV\UPOV Main"/>
    <w:docVar w:name="TextBaseURL" w:val="empty"/>
    <w:docVar w:name="UILng" w:val="en"/>
  </w:docVars>
  <w:rsids>
    <w:rsidRoot w:val="00AB2705"/>
    <w:rsid w:val="00010686"/>
    <w:rsid w:val="00012703"/>
    <w:rsid w:val="00052915"/>
    <w:rsid w:val="000C6A6E"/>
    <w:rsid w:val="000E3BB3"/>
    <w:rsid w:val="000F5E56"/>
    <w:rsid w:val="001362EE"/>
    <w:rsid w:val="00152CEA"/>
    <w:rsid w:val="0017238B"/>
    <w:rsid w:val="001832A6"/>
    <w:rsid w:val="00261D77"/>
    <w:rsid w:val="002634C4"/>
    <w:rsid w:val="002B1F45"/>
    <w:rsid w:val="002C2E2F"/>
    <w:rsid w:val="002E0F47"/>
    <w:rsid w:val="002F3B0D"/>
    <w:rsid w:val="002F4E68"/>
    <w:rsid w:val="00310826"/>
    <w:rsid w:val="00311F97"/>
    <w:rsid w:val="00354647"/>
    <w:rsid w:val="00364E56"/>
    <w:rsid w:val="00377273"/>
    <w:rsid w:val="003845C1"/>
    <w:rsid w:val="00387287"/>
    <w:rsid w:val="003B739A"/>
    <w:rsid w:val="003E48F1"/>
    <w:rsid w:val="003F347A"/>
    <w:rsid w:val="00404361"/>
    <w:rsid w:val="00423E3E"/>
    <w:rsid w:val="00427AF4"/>
    <w:rsid w:val="00432064"/>
    <w:rsid w:val="00434C0D"/>
    <w:rsid w:val="004505A3"/>
    <w:rsid w:val="0045231F"/>
    <w:rsid w:val="004647DA"/>
    <w:rsid w:val="0046793F"/>
    <w:rsid w:val="00470DE2"/>
    <w:rsid w:val="00477808"/>
    <w:rsid w:val="00477D6B"/>
    <w:rsid w:val="004A6C37"/>
    <w:rsid w:val="004E297D"/>
    <w:rsid w:val="00531B02"/>
    <w:rsid w:val="005332F0"/>
    <w:rsid w:val="005469BB"/>
    <w:rsid w:val="0055013B"/>
    <w:rsid w:val="00563EE1"/>
    <w:rsid w:val="00571B99"/>
    <w:rsid w:val="005A3111"/>
    <w:rsid w:val="005A57EA"/>
    <w:rsid w:val="005C606D"/>
    <w:rsid w:val="005F076F"/>
    <w:rsid w:val="00605827"/>
    <w:rsid w:val="00675021"/>
    <w:rsid w:val="006A06C6"/>
    <w:rsid w:val="006D3356"/>
    <w:rsid w:val="006E5823"/>
    <w:rsid w:val="00701834"/>
    <w:rsid w:val="007224C8"/>
    <w:rsid w:val="00732B78"/>
    <w:rsid w:val="00794BE2"/>
    <w:rsid w:val="007A5581"/>
    <w:rsid w:val="007B71FE"/>
    <w:rsid w:val="007D781E"/>
    <w:rsid w:val="007E663E"/>
    <w:rsid w:val="00815082"/>
    <w:rsid w:val="00820275"/>
    <w:rsid w:val="0088395E"/>
    <w:rsid w:val="008B2CC1"/>
    <w:rsid w:val="008E6BD6"/>
    <w:rsid w:val="0090731E"/>
    <w:rsid w:val="009314E5"/>
    <w:rsid w:val="00940036"/>
    <w:rsid w:val="00952D57"/>
    <w:rsid w:val="00966A22"/>
    <w:rsid w:val="00972F03"/>
    <w:rsid w:val="00987EB4"/>
    <w:rsid w:val="009A0C8B"/>
    <w:rsid w:val="009A20CD"/>
    <w:rsid w:val="009B6241"/>
    <w:rsid w:val="009D1021"/>
    <w:rsid w:val="009F632A"/>
    <w:rsid w:val="00A05DBC"/>
    <w:rsid w:val="00A16FC0"/>
    <w:rsid w:val="00A32C9E"/>
    <w:rsid w:val="00A50D09"/>
    <w:rsid w:val="00A64246"/>
    <w:rsid w:val="00AB2705"/>
    <w:rsid w:val="00AB613D"/>
    <w:rsid w:val="00AD66C4"/>
    <w:rsid w:val="00AE6BD0"/>
    <w:rsid w:val="00AE7F20"/>
    <w:rsid w:val="00B1229D"/>
    <w:rsid w:val="00B534D5"/>
    <w:rsid w:val="00B65A0A"/>
    <w:rsid w:val="00B67CDC"/>
    <w:rsid w:val="00B72D36"/>
    <w:rsid w:val="00BC4164"/>
    <w:rsid w:val="00BD2DCC"/>
    <w:rsid w:val="00C06FBD"/>
    <w:rsid w:val="00C806F5"/>
    <w:rsid w:val="00C90559"/>
    <w:rsid w:val="00CA2251"/>
    <w:rsid w:val="00D56C7C"/>
    <w:rsid w:val="00D71B4D"/>
    <w:rsid w:val="00D90289"/>
    <w:rsid w:val="00D93D55"/>
    <w:rsid w:val="00DC4C60"/>
    <w:rsid w:val="00DD347F"/>
    <w:rsid w:val="00E0079A"/>
    <w:rsid w:val="00E444DA"/>
    <w:rsid w:val="00E45C84"/>
    <w:rsid w:val="00E504E5"/>
    <w:rsid w:val="00E5647B"/>
    <w:rsid w:val="00EB7A3E"/>
    <w:rsid w:val="00EC1AA7"/>
    <w:rsid w:val="00EC401A"/>
    <w:rsid w:val="00EC684A"/>
    <w:rsid w:val="00ED5E09"/>
    <w:rsid w:val="00EF530A"/>
    <w:rsid w:val="00EF6622"/>
    <w:rsid w:val="00EF7737"/>
    <w:rsid w:val="00EF78A9"/>
    <w:rsid w:val="00F042DE"/>
    <w:rsid w:val="00F25E54"/>
    <w:rsid w:val="00F55408"/>
    <w:rsid w:val="00F66152"/>
    <w:rsid w:val="00F80845"/>
    <w:rsid w:val="00F84474"/>
    <w:rsid w:val="00F94081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7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F94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081"/>
    <w:rPr>
      <w:rFonts w:ascii="Tahoma" w:eastAsia="SimSun" w:hAnsi="Tahoma" w:cs="Tahoma"/>
      <w:sz w:val="16"/>
      <w:szCs w:val="16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7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paragraph" w:styleId="BalloonText">
    <w:name w:val="Balloon Text"/>
    <w:basedOn w:val="Normal"/>
    <w:link w:val="BalloonTextChar"/>
    <w:rsid w:val="00F94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94081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PCT WG 11 (S)</Template>
  <TotalTime>0</TotalTime>
  <Pages>4</Pages>
  <Words>1849</Words>
  <Characters>10065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</vt:lpstr>
    </vt:vector>
  </TitlesOfParts>
  <Company>WIPO</Company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PCT/WG/11/25</dc:title>
  <dc:subject>Systems to Assist National Phase Entry</dc:subject>
  <dc:creator>MIGLIORE Liliana</dc:creator>
  <cp:lastModifiedBy>Marlow</cp:lastModifiedBy>
  <cp:revision>3</cp:revision>
  <dcterms:created xsi:type="dcterms:W3CDTF">2018-06-08T10:02:00Z</dcterms:created>
  <dcterms:modified xsi:type="dcterms:W3CDTF">2018-06-08T10:02:00Z</dcterms:modified>
</cp:coreProperties>
</file>