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C2763D" w:rsidTr="0088395E">
        <w:tc>
          <w:tcPr>
            <w:tcW w:w="4513" w:type="dxa"/>
            <w:tcBorders>
              <w:bottom w:val="single" w:sz="4" w:space="0" w:color="auto"/>
            </w:tcBorders>
            <w:tcMar>
              <w:bottom w:w="170" w:type="dxa"/>
            </w:tcMar>
          </w:tcPr>
          <w:p w:rsidR="00E504E5" w:rsidRPr="000D4FAB" w:rsidRDefault="00E504E5" w:rsidP="00AB613D"/>
        </w:tc>
        <w:tc>
          <w:tcPr>
            <w:tcW w:w="4337" w:type="dxa"/>
            <w:tcBorders>
              <w:bottom w:val="single" w:sz="4" w:space="0" w:color="auto"/>
            </w:tcBorders>
            <w:tcMar>
              <w:left w:w="0" w:type="dxa"/>
              <w:bottom w:w="170" w:type="dxa"/>
              <w:right w:w="0" w:type="dxa"/>
            </w:tcMar>
          </w:tcPr>
          <w:p w:rsidR="00E504E5" w:rsidRPr="00C2763D" w:rsidRDefault="002C2E2F" w:rsidP="00AB613D">
            <w:r w:rsidRPr="00C2763D">
              <w:rPr>
                <w:noProof/>
                <w:lang w:val="en-US" w:eastAsia="en-US"/>
              </w:rPr>
              <w:drawing>
                <wp:inline distT="0" distB="0" distL="0" distR="0" wp14:anchorId="0E26DE5F" wp14:editId="042DA2A8">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E504E5" w:rsidRPr="00C2763D" w:rsidRDefault="00E504E5" w:rsidP="00AB613D">
            <w:pPr>
              <w:jc w:val="right"/>
            </w:pPr>
            <w:r w:rsidRPr="00C2763D">
              <w:rPr>
                <w:b/>
                <w:sz w:val="40"/>
                <w:szCs w:val="40"/>
              </w:rPr>
              <w:t>S</w:t>
            </w:r>
          </w:p>
        </w:tc>
      </w:tr>
      <w:tr w:rsidR="008B2CC1" w:rsidRPr="00C2763D"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C2763D" w:rsidRDefault="00F94081" w:rsidP="00AB613D">
            <w:pPr>
              <w:jc w:val="right"/>
              <w:rPr>
                <w:rFonts w:ascii="Arial Black" w:hAnsi="Arial Black"/>
                <w:caps/>
                <w:sz w:val="15"/>
              </w:rPr>
            </w:pPr>
            <w:r w:rsidRPr="00C2763D">
              <w:rPr>
                <w:rFonts w:ascii="Arial Black" w:hAnsi="Arial Black"/>
                <w:caps/>
                <w:sz w:val="15"/>
              </w:rPr>
              <w:t>PCT/WG/11/</w:t>
            </w:r>
            <w:bookmarkStart w:id="0" w:name="Code"/>
            <w:bookmarkEnd w:id="0"/>
            <w:r w:rsidR="00CD6628" w:rsidRPr="00C2763D">
              <w:rPr>
                <w:rFonts w:ascii="Arial Black" w:hAnsi="Arial Black"/>
                <w:caps/>
                <w:sz w:val="15"/>
              </w:rPr>
              <w:t>21</w:t>
            </w:r>
          </w:p>
        </w:tc>
      </w:tr>
      <w:tr w:rsidR="008B2CC1" w:rsidRPr="00C2763D" w:rsidTr="00AB613D">
        <w:trPr>
          <w:trHeight w:hRule="exact" w:val="170"/>
        </w:trPr>
        <w:tc>
          <w:tcPr>
            <w:tcW w:w="9356" w:type="dxa"/>
            <w:gridSpan w:val="3"/>
            <w:noWrap/>
            <w:tcMar>
              <w:left w:w="0" w:type="dxa"/>
              <w:right w:w="0" w:type="dxa"/>
            </w:tcMar>
            <w:vAlign w:val="bottom"/>
          </w:tcPr>
          <w:p w:rsidR="008B2CC1" w:rsidRPr="00C2763D" w:rsidRDefault="008B2CC1" w:rsidP="0046793F">
            <w:pPr>
              <w:jc w:val="right"/>
              <w:rPr>
                <w:rFonts w:ascii="Arial Black" w:hAnsi="Arial Black"/>
                <w:caps/>
                <w:sz w:val="15"/>
              </w:rPr>
            </w:pPr>
            <w:r w:rsidRPr="00C2763D">
              <w:rPr>
                <w:rFonts w:ascii="Arial Black" w:hAnsi="Arial Black"/>
                <w:caps/>
                <w:sz w:val="15"/>
              </w:rPr>
              <w:t>ORIGINAL:</w:t>
            </w:r>
            <w:bookmarkStart w:id="1" w:name="Original"/>
            <w:bookmarkEnd w:id="1"/>
            <w:r w:rsidR="003F395A" w:rsidRPr="00C2763D">
              <w:rPr>
                <w:rFonts w:ascii="Arial Black" w:hAnsi="Arial Black"/>
                <w:caps/>
                <w:sz w:val="15"/>
              </w:rPr>
              <w:t xml:space="preserve"> </w:t>
            </w:r>
            <w:r w:rsidR="00CD6628" w:rsidRPr="00C2763D">
              <w:rPr>
                <w:rFonts w:ascii="Arial Black" w:hAnsi="Arial Black"/>
                <w:caps/>
                <w:sz w:val="15"/>
              </w:rPr>
              <w:t>INGLÉS</w:t>
            </w:r>
          </w:p>
        </w:tc>
      </w:tr>
      <w:tr w:rsidR="008B2CC1" w:rsidRPr="00C2763D" w:rsidTr="00AB613D">
        <w:trPr>
          <w:trHeight w:hRule="exact" w:val="198"/>
        </w:trPr>
        <w:tc>
          <w:tcPr>
            <w:tcW w:w="9356" w:type="dxa"/>
            <w:gridSpan w:val="3"/>
            <w:tcMar>
              <w:left w:w="0" w:type="dxa"/>
              <w:right w:w="0" w:type="dxa"/>
            </w:tcMar>
            <w:vAlign w:val="bottom"/>
          </w:tcPr>
          <w:p w:rsidR="008B2CC1" w:rsidRPr="00C2763D" w:rsidRDefault="00675021" w:rsidP="0046793F">
            <w:pPr>
              <w:jc w:val="right"/>
              <w:rPr>
                <w:rFonts w:ascii="Arial Black" w:hAnsi="Arial Black"/>
                <w:caps/>
                <w:sz w:val="15"/>
              </w:rPr>
            </w:pPr>
            <w:r w:rsidRPr="00C2763D">
              <w:rPr>
                <w:rFonts w:ascii="Arial Black" w:hAnsi="Arial Black"/>
                <w:caps/>
                <w:sz w:val="15"/>
              </w:rPr>
              <w:t>fecha</w:t>
            </w:r>
            <w:r w:rsidR="008B2CC1" w:rsidRPr="00C2763D">
              <w:rPr>
                <w:rFonts w:ascii="Arial Black" w:hAnsi="Arial Black"/>
                <w:caps/>
                <w:sz w:val="15"/>
              </w:rPr>
              <w:t>:</w:t>
            </w:r>
            <w:bookmarkStart w:id="2" w:name="Date"/>
            <w:bookmarkEnd w:id="2"/>
            <w:r w:rsidR="00CD6628" w:rsidRPr="00C2763D">
              <w:rPr>
                <w:rFonts w:ascii="Arial Black" w:hAnsi="Arial Black"/>
                <w:caps/>
                <w:sz w:val="15"/>
              </w:rPr>
              <w:t>15 DE MAYO DE 2018</w:t>
            </w:r>
          </w:p>
        </w:tc>
      </w:tr>
    </w:tbl>
    <w:p w:rsidR="008B2CC1" w:rsidRPr="00C2763D" w:rsidRDefault="008B2CC1" w:rsidP="008B2CC1"/>
    <w:p w:rsidR="008B2CC1" w:rsidRPr="00C2763D" w:rsidRDefault="008B2CC1" w:rsidP="008B2CC1"/>
    <w:p w:rsidR="008B2CC1" w:rsidRPr="00C2763D" w:rsidRDefault="008B2CC1" w:rsidP="008B2CC1"/>
    <w:p w:rsidR="008B2CC1" w:rsidRPr="00C2763D" w:rsidRDefault="008B2CC1" w:rsidP="008B2CC1"/>
    <w:p w:rsidR="008B2CC1" w:rsidRPr="00C2763D" w:rsidRDefault="008B2CC1" w:rsidP="008B2CC1"/>
    <w:p w:rsidR="00B67CDC" w:rsidRPr="00C2763D" w:rsidRDefault="00F94081" w:rsidP="00B67CDC">
      <w:pPr>
        <w:rPr>
          <w:b/>
          <w:sz w:val="28"/>
          <w:szCs w:val="28"/>
        </w:rPr>
      </w:pPr>
      <w:r w:rsidRPr="00C2763D">
        <w:rPr>
          <w:b/>
          <w:sz w:val="28"/>
          <w:szCs w:val="28"/>
        </w:rPr>
        <w:t>Grupo de Trabajo del Tratado de Cooperación en materia de Patentes (PCT)</w:t>
      </w:r>
    </w:p>
    <w:p w:rsidR="003845C1" w:rsidRPr="00C2763D" w:rsidRDefault="003845C1" w:rsidP="003845C1"/>
    <w:p w:rsidR="003845C1" w:rsidRPr="00C2763D" w:rsidRDefault="003845C1" w:rsidP="003845C1"/>
    <w:p w:rsidR="00F94081" w:rsidRPr="00C2763D" w:rsidRDefault="00F94081" w:rsidP="00F94081">
      <w:pPr>
        <w:rPr>
          <w:b/>
          <w:sz w:val="24"/>
          <w:szCs w:val="24"/>
        </w:rPr>
      </w:pPr>
      <w:r w:rsidRPr="00C2763D">
        <w:rPr>
          <w:b/>
          <w:sz w:val="24"/>
          <w:szCs w:val="24"/>
        </w:rPr>
        <w:t>Undécima reunión</w:t>
      </w:r>
    </w:p>
    <w:p w:rsidR="00B67CDC" w:rsidRPr="00C2763D" w:rsidRDefault="00F94081" w:rsidP="00F94081">
      <w:pPr>
        <w:rPr>
          <w:b/>
          <w:sz w:val="24"/>
          <w:szCs w:val="24"/>
        </w:rPr>
      </w:pPr>
      <w:r w:rsidRPr="00C2763D">
        <w:rPr>
          <w:b/>
          <w:sz w:val="24"/>
          <w:szCs w:val="24"/>
        </w:rPr>
        <w:t>Ginebra, 18 a 22 de junio de 2018</w:t>
      </w:r>
    </w:p>
    <w:p w:rsidR="008B2CC1" w:rsidRPr="00C2763D" w:rsidRDefault="008B2CC1" w:rsidP="008B2CC1"/>
    <w:p w:rsidR="008B2CC1" w:rsidRPr="00C2763D" w:rsidRDefault="008B2CC1" w:rsidP="008B2CC1"/>
    <w:p w:rsidR="008B2CC1" w:rsidRPr="00C2763D" w:rsidRDefault="008B2CC1" w:rsidP="008B2CC1"/>
    <w:p w:rsidR="00B72296" w:rsidRPr="00C2763D" w:rsidRDefault="00DC6002" w:rsidP="00B72296">
      <w:bookmarkStart w:id="3" w:name="TitleOfDoc"/>
      <w:bookmarkEnd w:id="3"/>
      <w:r w:rsidRPr="00C2763D">
        <w:rPr>
          <w:caps/>
          <w:sz w:val="24"/>
        </w:rPr>
        <w:t>condiciones</w:t>
      </w:r>
      <w:r w:rsidR="00B72296" w:rsidRPr="00C2763D">
        <w:rPr>
          <w:caps/>
          <w:sz w:val="24"/>
        </w:rPr>
        <w:t xml:space="preserve"> </w:t>
      </w:r>
      <w:r w:rsidRPr="00C2763D">
        <w:rPr>
          <w:caps/>
          <w:sz w:val="24"/>
        </w:rPr>
        <w:t>PARA LA</w:t>
      </w:r>
      <w:r w:rsidR="00B72296" w:rsidRPr="00C2763D">
        <w:rPr>
          <w:caps/>
          <w:sz w:val="24"/>
        </w:rPr>
        <w:t xml:space="preserve"> Correc</w:t>
      </w:r>
      <w:r w:rsidRPr="00C2763D">
        <w:rPr>
          <w:caps/>
          <w:sz w:val="24"/>
        </w:rPr>
        <w:t>CIÓN DE LA SOLICITUD INTERNACIONAL CUANDO ESTA CONTENGA ELEMENTOS O PARTES PRESENTADOS “POR ERROR”</w:t>
      </w:r>
    </w:p>
    <w:p w:rsidR="004E040D" w:rsidRPr="00C2763D" w:rsidRDefault="004E040D" w:rsidP="00B72296">
      <w:pPr>
        <w:rPr>
          <w:i/>
        </w:rPr>
      </w:pPr>
      <w:bookmarkStart w:id="4" w:name="Prepared"/>
      <w:bookmarkEnd w:id="4"/>
    </w:p>
    <w:p w:rsidR="004E040D" w:rsidRPr="00C2763D" w:rsidRDefault="004E040D" w:rsidP="00B72296">
      <w:pPr>
        <w:rPr>
          <w:i/>
        </w:rPr>
      </w:pPr>
      <w:r w:rsidRPr="00C2763D">
        <w:rPr>
          <w:i/>
        </w:rPr>
        <w:t>Documento preparado por la Oficina Europea de Patentes</w:t>
      </w:r>
    </w:p>
    <w:p w:rsidR="00B72296" w:rsidRPr="00C2763D" w:rsidRDefault="00B72296" w:rsidP="00B72296"/>
    <w:p w:rsidR="00B72296" w:rsidRPr="00C2763D" w:rsidRDefault="00B72296" w:rsidP="00B72296"/>
    <w:p w:rsidR="00B72296" w:rsidRPr="00C2763D" w:rsidRDefault="00B72296" w:rsidP="00B72296"/>
    <w:p w:rsidR="00B72296" w:rsidRPr="00C2763D" w:rsidRDefault="00B72296" w:rsidP="00B72296"/>
    <w:p w:rsidR="00B72296" w:rsidRPr="00C2763D" w:rsidRDefault="00DC6002" w:rsidP="00B72296">
      <w:pPr>
        <w:rPr>
          <w:b/>
          <w:caps/>
          <w:szCs w:val="22"/>
        </w:rPr>
      </w:pPr>
      <w:r w:rsidRPr="00C2763D">
        <w:rPr>
          <w:b/>
          <w:caps/>
          <w:szCs w:val="22"/>
        </w:rPr>
        <w:t>RESUMEN</w:t>
      </w:r>
    </w:p>
    <w:p w:rsidR="00B72296" w:rsidRPr="00C2763D" w:rsidRDefault="00DC6002" w:rsidP="004E040D">
      <w:pPr>
        <w:pStyle w:val="ONUMFS"/>
      </w:pPr>
      <w:r w:rsidRPr="00C2763D">
        <w:t xml:space="preserve">En el presente documento se exponen las conclusiones de las consultas </w:t>
      </w:r>
      <w:r w:rsidR="00935F12" w:rsidRPr="00C2763D">
        <w:t>emprendidas</w:t>
      </w:r>
      <w:r w:rsidRPr="00C2763D">
        <w:t xml:space="preserve"> por la Oficina Europea de Patentes (OEP) con los Estados </w:t>
      </w:r>
      <w:r w:rsidR="00585568" w:rsidRPr="00C2763D">
        <w:t>m</w:t>
      </w:r>
      <w:r w:rsidRPr="00C2763D">
        <w:t>iembros de la Organi</w:t>
      </w:r>
      <w:r w:rsidR="00935F12" w:rsidRPr="00C2763D">
        <w:t>zación Europea de Patentes y con grupos de usuarios a propósito de la introducción en el PCT de una disposición que permita al solicitante, en casos específicos, corregir una solicitud internacional que contenga elementos o partes presentados “por error” mediante la incorporación de elementos o partes “correctos” que figuren íntegramente en una solicitud anterior cuya prioridad se reivindique en la fecha de presentación internacional.</w:t>
      </w:r>
    </w:p>
    <w:p w:rsidR="00B72296" w:rsidRPr="00C2763D" w:rsidRDefault="00DC6002" w:rsidP="00B72296">
      <w:pPr>
        <w:pStyle w:val="Heading1"/>
      </w:pPr>
      <w:r w:rsidRPr="00C2763D">
        <w:t>ANTECEDENTES</w:t>
      </w:r>
    </w:p>
    <w:p w:rsidR="00B72296" w:rsidRPr="00C2763D" w:rsidRDefault="00935F12" w:rsidP="004E040D">
      <w:pPr>
        <w:pStyle w:val="ONUMFS"/>
      </w:pPr>
      <w:r w:rsidRPr="00C2763D">
        <w:t xml:space="preserve">En el </w:t>
      </w:r>
      <w:r w:rsidR="004903B1" w:rsidRPr="00C2763D">
        <w:t>A</w:t>
      </w:r>
      <w:r w:rsidRPr="00C2763D">
        <w:t xml:space="preserve">rtículo </w:t>
      </w:r>
      <w:r w:rsidR="00FF11D2" w:rsidRPr="00C2763D">
        <w:t>5.6)</w:t>
      </w:r>
      <w:r w:rsidRPr="00C2763D">
        <w:t>a) del Tratado sobre el Derecho de Patentes (PLT), adoptado el 1 de junio de 2000, se establece que los solicitantes pueden rectificar la omisión de una parte de la descripción o un dibujo mediante la presentación</w:t>
      </w:r>
      <w:r w:rsidR="00032D06">
        <w:t>,</w:t>
      </w:r>
      <w:r w:rsidRPr="00C2763D">
        <w:t xml:space="preserve"> </w:t>
      </w:r>
      <w:r w:rsidR="00032D06" w:rsidRPr="00C2763D">
        <w:t>dentro del plazo establecido en el Reglamento</w:t>
      </w:r>
      <w:r w:rsidR="00032D06">
        <w:t>,</w:t>
      </w:r>
      <w:r w:rsidR="00032D06" w:rsidRPr="00C2763D">
        <w:t xml:space="preserve"> </w:t>
      </w:r>
      <w:r w:rsidRPr="00C2763D">
        <w:t>de la parte o el dibujo omitido</w:t>
      </w:r>
      <w:r w:rsidR="00FF11D2" w:rsidRPr="00C2763D">
        <w:t xml:space="preserve">. </w:t>
      </w:r>
      <w:r w:rsidRPr="00C2763D">
        <w:t>En tal caso, la parte de la descripción o el dibujo presentado en fecha posterior se incluye en la solicitud y la fecha de presentación se modifica, sea en función de la fecha en que la Oficina haya recibido la parte omitida o de la fecha en que se hayan cumplido todos los requisitos para obtener una fecha de presentación, aplicándose la que sea posterior</w:t>
      </w:r>
      <w:r w:rsidR="00FF11D2" w:rsidRPr="00C2763D">
        <w:t xml:space="preserve">. </w:t>
      </w:r>
      <w:r w:rsidRPr="00C2763D">
        <w:t xml:space="preserve">Además, con arreglo al </w:t>
      </w:r>
      <w:r w:rsidR="00EE4EAC" w:rsidRPr="00C2763D">
        <w:t>A</w:t>
      </w:r>
      <w:r w:rsidRPr="00C2763D">
        <w:t xml:space="preserve">rtículo </w:t>
      </w:r>
      <w:r w:rsidR="00FF11D2" w:rsidRPr="00C2763D">
        <w:t>5.6)</w:t>
      </w:r>
      <w:r w:rsidRPr="00C2763D">
        <w:t>b) del PLT, cuando un solicitante presente una parte de la descripción o un dibujo que hayan sido omitidos en una solicitud en la que se reivindique, en la fecha de la presentación, la prioridad de una solicitud anterior, el solicitante podrá incluir esa parte en la solicitud y mantener la fecha de presentación, con sujeción a los requisitos previstos en el Reglamento del PLT.</w:t>
      </w:r>
    </w:p>
    <w:p w:rsidR="00B72296" w:rsidRPr="00C2763D" w:rsidRDefault="00184776" w:rsidP="004E040D">
      <w:pPr>
        <w:pStyle w:val="ONUMFS"/>
      </w:pPr>
      <w:r w:rsidRPr="00C2763D">
        <w:lastRenderedPageBreak/>
        <w:t xml:space="preserve">Tras la adopción del PLT, </w:t>
      </w:r>
      <w:r w:rsidR="00032D06">
        <w:t>hubo</w:t>
      </w:r>
      <w:r w:rsidRPr="00C2763D">
        <w:t xml:space="preserve"> consenso </w:t>
      </w:r>
      <w:r w:rsidR="00AC6464" w:rsidRPr="00C2763D">
        <w:t xml:space="preserve">acerca de la necesidad </w:t>
      </w:r>
      <w:r w:rsidRPr="00C2763D">
        <w:t xml:space="preserve">de armonizar los sistemas jurídicos del PCT y del Convenio sobre la Patente Europea (CPE) </w:t>
      </w:r>
      <w:r w:rsidR="00EE4EAC" w:rsidRPr="00C2763D">
        <w:t>con el A</w:t>
      </w:r>
      <w:r w:rsidRPr="00C2763D">
        <w:t>rtículo 5.6</w:t>
      </w:r>
      <w:r w:rsidR="00585568" w:rsidRPr="00C2763D">
        <w:t>)</w:t>
      </w:r>
      <w:r w:rsidRPr="00C2763D">
        <w:t xml:space="preserve"> del PLT</w:t>
      </w:r>
      <w:r w:rsidR="00FF11D2" w:rsidRPr="00C2763D">
        <w:t xml:space="preserve">. </w:t>
      </w:r>
      <w:r w:rsidRPr="00C2763D">
        <w:t xml:space="preserve">Como principio, la introducción en el PCT de disposiciones relativas a las partes omitidas ya fue aprobada por la Asamblea del PCT en 2001, pero hicieron falta varios años de deliberaciones antes de que </w:t>
      </w:r>
      <w:r w:rsidR="00585568" w:rsidRPr="00C2763D">
        <w:t xml:space="preserve">se introdujera una modificación de </w:t>
      </w:r>
      <w:r w:rsidRPr="00C2763D">
        <w:t>la Regla 20 en 2005 y entrara en vigor el 1 de abril de 2007</w:t>
      </w:r>
      <w:r w:rsidR="00FF11D2" w:rsidRPr="00C2763D">
        <w:t xml:space="preserve">. </w:t>
      </w:r>
      <w:r w:rsidRPr="00C2763D">
        <w:t xml:space="preserve">Como consecuencia de ello, y con sujeción a las notificaciones de incompatibilidad que puedan presentar las Oficinas receptoras y designadas en virtud de la Regla 20.8, los solicitantes del PCT pueden completar la solicitud internacional mediante la incorporación por referencia de un elemento o parte de la descripción, las reivindicaciones o los dibujos (incluido un conjunto completo de dibujos) que haya sido omitido y figure íntegramente en una solicitud </w:t>
      </w:r>
      <w:r w:rsidR="007C0516" w:rsidRPr="00C2763D">
        <w:t>anterior</w:t>
      </w:r>
      <w:r w:rsidRPr="00C2763D">
        <w:t xml:space="preserve"> cuya prioridad se reivindique válidamente en la fecha de la presentación, sin que ello afecte a la fecha de presentación internacional.</w:t>
      </w:r>
    </w:p>
    <w:p w:rsidR="00B72296" w:rsidRPr="00C2763D" w:rsidRDefault="009A0DC6" w:rsidP="004E040D">
      <w:pPr>
        <w:pStyle w:val="ONUMFS"/>
      </w:pPr>
      <w:r w:rsidRPr="00C2763D">
        <w:t xml:space="preserve">La </w:t>
      </w:r>
      <w:r w:rsidR="004903B1" w:rsidRPr="00C2763D">
        <w:t>R</w:t>
      </w:r>
      <w:r w:rsidRPr="00C2763D">
        <w:t xml:space="preserve">egla </w:t>
      </w:r>
      <w:r w:rsidR="00106102" w:rsidRPr="00C2763D">
        <w:t xml:space="preserve">20 del PCT </w:t>
      </w:r>
      <w:r w:rsidR="00F82487" w:rsidRPr="00C2763D">
        <w:t>comenzó a ser</w:t>
      </w:r>
      <w:r w:rsidR="00106102" w:rsidRPr="00C2763D">
        <w:t xml:space="preserve"> aplicable a la OEP</w:t>
      </w:r>
      <w:r w:rsidR="007C0516" w:rsidRPr="00C2763D">
        <w:t xml:space="preserve"> como O</w:t>
      </w:r>
      <w:r w:rsidR="00106102" w:rsidRPr="00C2763D">
        <w:t xml:space="preserve">ficina receptora y designada </w:t>
      </w:r>
      <w:r w:rsidR="00F82487" w:rsidRPr="00C2763D">
        <w:t>con</w:t>
      </w:r>
      <w:r w:rsidR="00106102" w:rsidRPr="00C2763D">
        <w:t xml:space="preserve"> la retirada de la notificación de incompatibilidad de la OEP </w:t>
      </w:r>
      <w:r w:rsidR="00F82487" w:rsidRPr="00C2763D">
        <w:t>tras</w:t>
      </w:r>
      <w:r w:rsidR="00106102" w:rsidRPr="00C2763D">
        <w:t xml:space="preserve"> la entrada en vigor</w:t>
      </w:r>
      <w:r w:rsidR="007E2200" w:rsidRPr="00C2763D">
        <w:t xml:space="preserve">, el 13 de diciembre de 2007, del Convenio sobre la Patente Europea de 2000 (CPE 2000), </w:t>
      </w:r>
      <w:r w:rsidR="00106102" w:rsidRPr="00C2763D">
        <w:t xml:space="preserve">que </w:t>
      </w:r>
      <w:r w:rsidR="007E2200" w:rsidRPr="00C2763D">
        <w:t>aplicaba</w:t>
      </w:r>
      <w:r w:rsidR="00106102" w:rsidRPr="00C2763D">
        <w:t xml:space="preserve"> los requisitos del PLT</w:t>
      </w:r>
      <w:r w:rsidR="00FF11D2" w:rsidRPr="00C2763D">
        <w:t xml:space="preserve">. </w:t>
      </w:r>
      <w:r w:rsidR="00F82487" w:rsidRPr="00C2763D">
        <w:t>De conformidad con la R</w:t>
      </w:r>
      <w:r w:rsidR="00106102" w:rsidRPr="00C2763D">
        <w:t>egla 56.3</w:t>
      </w:r>
      <w:r w:rsidR="00F82487" w:rsidRPr="00C2763D">
        <w:t>)</w:t>
      </w:r>
      <w:r w:rsidR="00106102" w:rsidRPr="00C2763D">
        <w:t xml:space="preserve"> del C</w:t>
      </w:r>
      <w:r w:rsidR="007F6305">
        <w:t>PE</w:t>
      </w:r>
      <w:r w:rsidR="00106102" w:rsidRPr="00C2763D">
        <w:t xml:space="preserve"> 2000, un solicitante puede presentar partes omitidas de la descripción o dibujos omitidos</w:t>
      </w:r>
      <w:r w:rsidR="007F6305">
        <w:t>,</w:t>
      </w:r>
      <w:r w:rsidR="00106102" w:rsidRPr="00C2763D">
        <w:t xml:space="preserve"> dentro del plazo </w:t>
      </w:r>
      <w:r w:rsidR="00F73E05" w:rsidRPr="00C2763D">
        <w:t>previsto</w:t>
      </w:r>
      <w:r w:rsidR="007F6305">
        <w:t>,</w:t>
      </w:r>
      <w:r w:rsidR="00106102" w:rsidRPr="00C2763D">
        <w:t xml:space="preserve"> sin que </w:t>
      </w:r>
      <w:r w:rsidR="00F73E05" w:rsidRPr="00C2763D">
        <w:t xml:space="preserve">ello </w:t>
      </w:r>
      <w:r w:rsidR="00106102" w:rsidRPr="00C2763D">
        <w:t xml:space="preserve">afecte a la fecha de presentación, siempre que </w:t>
      </w:r>
      <w:r w:rsidR="00F73E05" w:rsidRPr="00C2763D">
        <w:t>las</w:t>
      </w:r>
      <w:r w:rsidR="00106102" w:rsidRPr="00C2763D">
        <w:t xml:space="preserve"> partes omitidas </w:t>
      </w:r>
      <w:r w:rsidR="007E2200" w:rsidRPr="00C2763D">
        <w:t>estén contenidas</w:t>
      </w:r>
      <w:r w:rsidR="00106102" w:rsidRPr="00C2763D">
        <w:t xml:space="preserve"> íntegramente en una solicitud </w:t>
      </w:r>
      <w:r w:rsidR="00F82487" w:rsidRPr="00C2763D">
        <w:t>anterior</w:t>
      </w:r>
      <w:r w:rsidR="00106102" w:rsidRPr="00C2763D">
        <w:t xml:space="preserve"> cuya prioridad se reivindique y se cumplan los demás requisitos </w:t>
      </w:r>
      <w:r w:rsidR="00F73E05" w:rsidRPr="00C2763D">
        <w:t>establecidos</w:t>
      </w:r>
      <w:r w:rsidR="00106102" w:rsidRPr="00C2763D">
        <w:t>.</w:t>
      </w:r>
    </w:p>
    <w:p w:rsidR="00B72296" w:rsidRPr="00C2763D" w:rsidRDefault="00F73E05" w:rsidP="004E040D">
      <w:pPr>
        <w:pStyle w:val="ONUMFS"/>
      </w:pPr>
      <w:r w:rsidRPr="00C2763D">
        <w:t xml:space="preserve">Diez años después de la entrada en vigor de las disposiciones del PCT que permiten la incorporación por referencia con arreglo al PCT en la OEP, el sistema funciona en general </w:t>
      </w:r>
      <w:r w:rsidR="007671DC" w:rsidRPr="00C2763D">
        <w:t xml:space="preserve">de forma adecuada </w:t>
      </w:r>
      <w:r w:rsidRPr="00C2763D">
        <w:t xml:space="preserve">y los solicitantes solo hacen uso de tales </w:t>
      </w:r>
      <w:r w:rsidR="007671DC" w:rsidRPr="00C2763D">
        <w:t>mecanismos</w:t>
      </w:r>
      <w:r w:rsidRPr="00C2763D">
        <w:t xml:space="preserve"> de seguridad en circunstancias excepcionales (</w:t>
      </w:r>
      <w:r w:rsidR="007671DC" w:rsidRPr="00C2763D">
        <w:t>en torno a</w:t>
      </w:r>
      <w:r w:rsidRPr="00C2763D">
        <w:t xml:space="preserve"> 40 solicitudes al año desde 2012).</w:t>
      </w:r>
    </w:p>
    <w:p w:rsidR="00B72296" w:rsidRPr="00C2763D" w:rsidRDefault="007671DC" w:rsidP="004E040D">
      <w:pPr>
        <w:pStyle w:val="ONUMFS"/>
      </w:pPr>
      <w:r w:rsidRPr="00C2763D">
        <w:t xml:space="preserve">Sin embargo, existen algunas divergencias en la práctica de las </w:t>
      </w:r>
      <w:r w:rsidR="0027224D" w:rsidRPr="00C2763D">
        <w:t>O</w:t>
      </w:r>
      <w:r w:rsidRPr="00C2763D">
        <w:t xml:space="preserve">ficinas receptoras </w:t>
      </w:r>
      <w:r w:rsidR="004903B1" w:rsidRPr="00C2763D">
        <w:t xml:space="preserve">en </w:t>
      </w:r>
      <w:r w:rsidR="007F6305">
        <w:t xml:space="preserve">el </w:t>
      </w:r>
      <w:r w:rsidR="00B2055E" w:rsidRPr="00C2763D">
        <w:t>cumplimiento</w:t>
      </w:r>
      <w:r w:rsidR="004903B1" w:rsidRPr="00C2763D">
        <w:t xml:space="preserve"> de la R</w:t>
      </w:r>
      <w:r w:rsidRPr="00C2763D">
        <w:t xml:space="preserve">egla 20 del PCT </w:t>
      </w:r>
      <w:r w:rsidR="0027224D" w:rsidRPr="00C2763D">
        <w:t>ante ciertas</w:t>
      </w:r>
      <w:r w:rsidRPr="00C2763D">
        <w:t xml:space="preserve"> situaciones específicas </w:t>
      </w:r>
      <w:r w:rsidR="0027224D" w:rsidRPr="00C2763D">
        <w:t xml:space="preserve">de presentación </w:t>
      </w:r>
      <w:r w:rsidR="007F6305" w:rsidRPr="00C2763D">
        <w:t xml:space="preserve">errónea </w:t>
      </w:r>
      <w:r w:rsidR="0027224D" w:rsidRPr="00C2763D">
        <w:t>de una solicitud original</w:t>
      </w:r>
      <w:r w:rsidR="00FF11D2" w:rsidRPr="00C2763D">
        <w:t xml:space="preserve">. </w:t>
      </w:r>
      <w:r w:rsidRPr="00C2763D">
        <w:t xml:space="preserve">Se trata de </w:t>
      </w:r>
      <w:r w:rsidR="0027224D" w:rsidRPr="00C2763D">
        <w:t>supuestos</w:t>
      </w:r>
      <w:r w:rsidRPr="00C2763D">
        <w:t xml:space="preserve"> en los que </w:t>
      </w:r>
      <w:r w:rsidR="00B2055E" w:rsidRPr="00C2763D">
        <w:t xml:space="preserve">el solicitante ha presentado por error </w:t>
      </w:r>
      <w:r w:rsidRPr="00C2763D">
        <w:t xml:space="preserve">una solicitud </w:t>
      </w:r>
      <w:r w:rsidR="0027224D" w:rsidRPr="00C2763D">
        <w:t>incorrecta</w:t>
      </w:r>
      <w:r w:rsidR="007F6305">
        <w:t>,</w:t>
      </w:r>
      <w:r w:rsidRPr="00C2763D">
        <w:t xml:space="preserve"> pero completa</w:t>
      </w:r>
      <w:r w:rsidR="007F6305">
        <w:t>,</w:t>
      </w:r>
      <w:r w:rsidRPr="00C2763D">
        <w:t xml:space="preserve"> </w:t>
      </w:r>
      <w:r w:rsidR="00B2055E" w:rsidRPr="00C2763D">
        <w:t>en la fecha de presentación</w:t>
      </w:r>
      <w:r w:rsidRPr="00C2763D">
        <w:t xml:space="preserve">, </w:t>
      </w:r>
      <w:r w:rsidR="00B2055E" w:rsidRPr="00C2763D">
        <w:t>y</w:t>
      </w:r>
      <w:r w:rsidRPr="00C2763D">
        <w:t xml:space="preserve"> luego trata de incorporar por referencia la solicitud correcta (una nueva descripción completa y un</w:t>
      </w:r>
      <w:r w:rsidR="004903B1" w:rsidRPr="00C2763D">
        <w:t>a</w:t>
      </w:r>
      <w:r w:rsidRPr="00C2763D">
        <w:t xml:space="preserve"> </w:t>
      </w:r>
      <w:r w:rsidR="004903B1" w:rsidRPr="00C2763D">
        <w:t>serie</w:t>
      </w:r>
      <w:r w:rsidRPr="00C2763D">
        <w:t xml:space="preserve"> de reivindicaciones </w:t>
      </w:r>
      <w:r w:rsidR="00B2055E" w:rsidRPr="00C2763D">
        <w:t>que figuran</w:t>
      </w:r>
      <w:r w:rsidRPr="00C2763D">
        <w:t xml:space="preserve"> en la solicitud </w:t>
      </w:r>
      <w:r w:rsidR="004903B1" w:rsidRPr="00C2763D">
        <w:t>de prioridad reivindicada</w:t>
      </w:r>
      <w:r w:rsidRPr="00C2763D">
        <w:t>) como parte omitida para no perder la fecha de presentación internacional</w:t>
      </w:r>
      <w:r w:rsidR="00FF11D2" w:rsidRPr="00C2763D">
        <w:t xml:space="preserve">. </w:t>
      </w:r>
      <w:r w:rsidR="003709CD" w:rsidRPr="00C2763D">
        <w:t>Hay algunas O</w:t>
      </w:r>
      <w:r w:rsidRPr="00C2763D">
        <w:t xml:space="preserve">ficinas receptoras que no aceptan esas peticiones (por ejemplo la OEP), mientras que otras sí permiten que los solicitantes incorporen elementos enteros contenidos en una solicitud </w:t>
      </w:r>
      <w:r w:rsidR="003709CD" w:rsidRPr="00C2763D">
        <w:t>de prioridad</w:t>
      </w:r>
      <w:r w:rsidRPr="00C2763D">
        <w:t xml:space="preserve"> como partes omitidas (por ejemplo, la Oficina de Patentes y Marcas de los Estados Unidos de América).</w:t>
      </w:r>
    </w:p>
    <w:p w:rsidR="00B72296" w:rsidRPr="00C2763D" w:rsidRDefault="003709CD" w:rsidP="004E040D">
      <w:pPr>
        <w:pStyle w:val="ONUMFS"/>
      </w:pPr>
      <w:r w:rsidRPr="00C2763D">
        <w:t>Muchas Oficinas receptoras (entre ellas la OEP) consideran que dicha práctica no es admisible</w:t>
      </w:r>
      <w:r w:rsidR="00B2055E" w:rsidRPr="00C2763D">
        <w:t xml:space="preserve"> bajo el Reglamento vigente</w:t>
      </w:r>
      <w:r w:rsidR="00FF11D2" w:rsidRPr="00C2763D">
        <w:t xml:space="preserve">. </w:t>
      </w:r>
      <w:r w:rsidRPr="00C2763D">
        <w:t>En la décima reunión del Grupo de Trabajo, celebrada en mayo de 2017, la OEP adujo que, por definición, la expresión “parte omitida” de las reivindicaciones o de la descripción denota que falta una parte de dicho elemento pero que se han presentado otras partes del mismo</w:t>
      </w:r>
      <w:r w:rsidR="00FF11D2" w:rsidRPr="00C2763D">
        <w:t xml:space="preserve">. </w:t>
      </w:r>
      <w:r w:rsidRPr="00C2763D">
        <w:t xml:space="preserve">La incorporación por referencia de una “parte </w:t>
      </w:r>
      <w:r w:rsidR="008458CA" w:rsidRPr="00C2763D">
        <w:t>omitida</w:t>
      </w:r>
      <w:r w:rsidRPr="00C2763D">
        <w:t xml:space="preserve">” </w:t>
      </w:r>
      <w:r w:rsidR="00B2055E" w:rsidRPr="00C2763D">
        <w:t>requiere</w:t>
      </w:r>
      <w:r w:rsidRPr="00C2763D">
        <w:t xml:space="preserve">, por consiguiente, que </w:t>
      </w:r>
      <w:r w:rsidR="008458CA" w:rsidRPr="00C2763D">
        <w:t>la</w:t>
      </w:r>
      <w:r w:rsidRPr="00C2763D">
        <w:t xml:space="preserve"> “parte omitida”</w:t>
      </w:r>
      <w:r w:rsidR="008458CA" w:rsidRPr="00C2763D">
        <w:t xml:space="preserve"> de las reivindicaciones o la descripción que se pretende incorporar por referencia “complete” realmente ese elemento (incompleto) contenido en la solicitud internacional en la fecha de presentación internacional, y no que lo sustituya en su totalidad (véase el párrafo 253 del Informe de la reunión, documento</w:t>
      </w:r>
      <w:r w:rsidR="002B5490" w:rsidRPr="00C2763D">
        <w:t xml:space="preserve"> </w:t>
      </w:r>
      <w:r w:rsidR="00B72296" w:rsidRPr="00C2763D">
        <w:t>PCT/WG/10/25)</w:t>
      </w:r>
      <w:r w:rsidR="00B2055E" w:rsidRPr="00C2763D">
        <w:t>.</w:t>
      </w:r>
    </w:p>
    <w:p w:rsidR="00B72296" w:rsidRPr="00C2763D" w:rsidRDefault="00B67C7F" w:rsidP="004E040D">
      <w:pPr>
        <w:pStyle w:val="ONUMFS"/>
      </w:pPr>
      <w:r w:rsidRPr="00C2763D">
        <w:t xml:space="preserve">Otro grupo de Oficinas receptoras </w:t>
      </w:r>
      <w:r w:rsidR="00B2055E" w:rsidRPr="00C2763D">
        <w:t>mantiene</w:t>
      </w:r>
      <w:r w:rsidR="00130664">
        <w:t xml:space="preserve"> la opinión de que, en es</w:t>
      </w:r>
      <w:r w:rsidRPr="00C2763D">
        <w:t>os supuestos, el solicitante debe poder corregir su error a través de la incorporación por referencia de una “parte omitida”</w:t>
      </w:r>
      <w:r w:rsidR="00FF11D2" w:rsidRPr="00C2763D">
        <w:t xml:space="preserve">. </w:t>
      </w:r>
      <w:r w:rsidRPr="00C2763D">
        <w:t xml:space="preserve">De lo contrario, podría darse la situación de que un solicitante que no haya incluido ninguna reivindicación o descripción en la solicitud internacional presentada pueda incluir dichos elementos en la solicitud internacional mediante la incorporación por referencia de un elemento omitido, mientras que el solicitante que haya procurado incluir esos elementos en la solicitud internacional presentada, pero que haya incluido por error reivindicaciones o una </w:t>
      </w:r>
      <w:r w:rsidRPr="00C2763D">
        <w:lastRenderedPageBreak/>
        <w:t>descripción que no correspondían no pueda subsanar su equivocación presentando los elementos correctos</w:t>
      </w:r>
      <w:r w:rsidR="00FF11D2" w:rsidRPr="00C2763D">
        <w:t xml:space="preserve">. </w:t>
      </w:r>
      <w:r w:rsidRPr="00C2763D">
        <w:t>En este último caso, el solicitante se vería penalizado por intentar presentar una solicitud internacional completa, aun cuando cont</w:t>
      </w:r>
      <w:r w:rsidR="00B2055E" w:rsidRPr="00C2763D">
        <w:t>uvier</w:t>
      </w:r>
      <w:r w:rsidRPr="00C2763D">
        <w:t xml:space="preserve">a reivindicaciones o una descripción erróneas </w:t>
      </w:r>
      <w:r w:rsidR="00B72296" w:rsidRPr="00C2763D">
        <w:t>(</w:t>
      </w:r>
      <w:r w:rsidRPr="00C2763D">
        <w:t>véase el párrafo</w:t>
      </w:r>
      <w:r w:rsidR="00B72296" w:rsidRPr="00C2763D">
        <w:t xml:space="preserve"> 4 </w:t>
      </w:r>
      <w:r w:rsidRPr="00C2763D">
        <w:t>del documento</w:t>
      </w:r>
      <w:r w:rsidR="00B72296" w:rsidRPr="00C2763D">
        <w:t xml:space="preserve"> PCT/WG/9/13).</w:t>
      </w:r>
    </w:p>
    <w:p w:rsidR="00B72296" w:rsidRPr="00C2763D" w:rsidRDefault="004F361F" w:rsidP="004E040D">
      <w:pPr>
        <w:pStyle w:val="ONUMFS"/>
      </w:pPr>
      <w:r w:rsidRPr="00C2763D">
        <w:t xml:space="preserve">Esta diferencia de opinión genera inseguridad jurídica sobre el resultado que cabe esperar cuando una solicitud internacional entra en las distintas fases nacionales, además de </w:t>
      </w:r>
      <w:r w:rsidR="00EA6E63" w:rsidRPr="00C2763D">
        <w:t xml:space="preserve">plantear </w:t>
      </w:r>
      <w:r w:rsidRPr="00C2763D">
        <w:t xml:space="preserve">una serie </w:t>
      </w:r>
      <w:r w:rsidR="00EA6E63" w:rsidRPr="00C2763D">
        <w:t>d</w:t>
      </w:r>
      <w:r w:rsidRPr="00C2763D">
        <w:t xml:space="preserve">e problemas prácticos para las Oficinas designadas que </w:t>
      </w:r>
      <w:r w:rsidR="00FC13C5" w:rsidRPr="00C2763D">
        <w:t>se encargan de su tramitación</w:t>
      </w:r>
      <w:r w:rsidRPr="00C2763D">
        <w:t>.</w:t>
      </w:r>
    </w:p>
    <w:p w:rsidR="00B72296" w:rsidRPr="00C2763D" w:rsidRDefault="00EA6E63" w:rsidP="004E040D">
      <w:pPr>
        <w:pStyle w:val="ONUMFS"/>
      </w:pPr>
      <w:r w:rsidRPr="00C2763D">
        <w:t xml:space="preserve">En el marco de las reuniones del Grupo de Trabajo del PCT, se han mantenido conversaciones a lo largo de los últimos años para tratar de superar esa divergencia de interpretación entre las Oficinas receptoras y las Oficinas designadas/elegidas </w:t>
      </w:r>
      <w:r w:rsidR="00FC13C5" w:rsidRPr="00C2763D">
        <w:t>respecto a</w:t>
      </w:r>
      <w:r w:rsidRPr="00C2763D">
        <w:t xml:space="preserve"> las disposiciones relativas a la incorporación por referencia de partes omitidas</w:t>
      </w:r>
      <w:r w:rsidR="00FF11D2" w:rsidRPr="00C2763D">
        <w:t xml:space="preserve">. </w:t>
      </w:r>
      <w:r w:rsidRPr="00C2763D">
        <w:t>Sin embargo, no se ha podido llegar a ningún acuerdo sobre la forma de proceder en base a las disposiciones vigentes del PCT en relación con las partes omitidas.</w:t>
      </w:r>
    </w:p>
    <w:p w:rsidR="00B72296" w:rsidRPr="00C2763D" w:rsidRDefault="00064F8A" w:rsidP="004E040D">
      <w:pPr>
        <w:pStyle w:val="ONUMFS"/>
      </w:pPr>
      <w:r w:rsidRPr="00C2763D">
        <w:t xml:space="preserve">Por esta razón, en la octava </w:t>
      </w:r>
      <w:r w:rsidR="00573358" w:rsidRPr="00C2763D">
        <w:t>reunión</w:t>
      </w:r>
      <w:r w:rsidRPr="00C2763D">
        <w:t xml:space="preserve"> del Grupo de Trabajo del PCT, celebrada en 2015, se decidió </w:t>
      </w:r>
      <w:r w:rsidR="00573358" w:rsidRPr="00C2763D">
        <w:t>examinar la posibilidad de redactar</w:t>
      </w:r>
      <w:r w:rsidRPr="00C2763D">
        <w:t xml:space="preserve"> una disposición </w:t>
      </w:r>
      <w:r w:rsidR="00573358" w:rsidRPr="00C2763D">
        <w:t>enteramente nueva que permita al solicitante, en casos específicos, sustituir las reivindicaciones y/o la descripción presentadas “por error” en la solicitud internacional por una versión equivalente y “correcta” de las reivindicaciones y/o la descripción contenidas en la solicitud de prioridad.</w:t>
      </w:r>
    </w:p>
    <w:p w:rsidR="00B72296" w:rsidRPr="00C2763D" w:rsidRDefault="003C3B50" w:rsidP="004E040D">
      <w:pPr>
        <w:pStyle w:val="ONUMFS"/>
      </w:pPr>
      <w:r w:rsidRPr="00C2763D">
        <w:t>En la novena reunión del Grupo de Trabajo del PCT, celebrada en 2016, la Oficina Internacional presentó un proyecto de propuesta para incorporar una nueva Regla que permita a los solicitantes corregir la solicitud internacional sin modificar la fecha de presentación internacional (véase el documento</w:t>
      </w:r>
      <w:r w:rsidR="00B72296" w:rsidRPr="00C2763D">
        <w:t> PCT/WG/9/13)</w:t>
      </w:r>
      <w:r w:rsidR="00FF11D2" w:rsidRPr="00C2763D">
        <w:t xml:space="preserve">. </w:t>
      </w:r>
      <w:r w:rsidRPr="00C2763D">
        <w:t>En concreto, se proponía lo siguiente</w:t>
      </w:r>
      <w:r w:rsidR="00B72296" w:rsidRPr="00C2763D">
        <w:t>:</w:t>
      </w:r>
    </w:p>
    <w:p w:rsidR="00B72296" w:rsidRPr="00C2763D" w:rsidRDefault="001D4BFE" w:rsidP="00837986">
      <w:pPr>
        <w:pStyle w:val="ONUMFS"/>
        <w:numPr>
          <w:ilvl w:val="0"/>
          <w:numId w:val="10"/>
        </w:numPr>
        <w:ind w:left="1134" w:hanging="567"/>
      </w:pPr>
      <w:r w:rsidRPr="00C2763D">
        <w:t xml:space="preserve">se </w:t>
      </w:r>
      <w:r w:rsidR="000749C3" w:rsidRPr="00C2763D">
        <w:t>modificaría la Regla</w:t>
      </w:r>
      <w:r w:rsidR="00B72296" w:rsidRPr="00C2763D">
        <w:t> 20.5</w:t>
      </w:r>
      <w:r w:rsidR="000749C3" w:rsidRPr="00C2763D">
        <w:t>.</w:t>
      </w:r>
      <w:r w:rsidR="00B72296" w:rsidRPr="00C2763D">
        <w:t xml:space="preserve">a) </w:t>
      </w:r>
      <w:r w:rsidR="000749C3" w:rsidRPr="00C2763D">
        <w:t xml:space="preserve">para aclarar que las disposiciones vigentes sobre las “partes omitidas” que figuran en la Regla 20.5 se refieren </w:t>
      </w:r>
      <w:r w:rsidR="00BB4AD2" w:rsidRPr="00C2763D">
        <w:t>exclusivamente</w:t>
      </w:r>
      <w:r w:rsidR="000749C3" w:rsidRPr="00C2763D">
        <w:t xml:space="preserve"> a los </w:t>
      </w:r>
      <w:r w:rsidR="00BB4AD2" w:rsidRPr="00C2763D">
        <w:t>supuestos</w:t>
      </w:r>
      <w:r w:rsidR="000749C3" w:rsidRPr="00C2763D">
        <w:t xml:space="preserve"> en los que una parte de la descripción, las reivindicaciones o los dibujos se ha</w:t>
      </w:r>
      <w:r w:rsidR="00BB4AD2" w:rsidRPr="00C2763D">
        <w:t>yan</w:t>
      </w:r>
      <w:r w:rsidR="000749C3" w:rsidRPr="00C2763D">
        <w:t xml:space="preserve"> omitido “verdaderamente” en la solicitud internacional, </w:t>
      </w:r>
      <w:r w:rsidR="00BB4AD2" w:rsidRPr="00C2763D">
        <w:t>pero no cubren los supuestos</w:t>
      </w:r>
      <w:r w:rsidR="000749C3" w:rsidRPr="00C2763D">
        <w:t xml:space="preserve"> en los que se ha</w:t>
      </w:r>
      <w:r w:rsidR="00BB4AD2" w:rsidRPr="00C2763D">
        <w:t>ya</w:t>
      </w:r>
      <w:r w:rsidR="000749C3" w:rsidRPr="00C2763D">
        <w:t xml:space="preserve"> presentado por error todo un elemento o una parte de la solicitud internacional</w:t>
      </w:r>
      <w:r w:rsidR="00B72296" w:rsidRPr="00C2763D">
        <w:t>;</w:t>
      </w:r>
    </w:p>
    <w:p w:rsidR="00B72296" w:rsidRPr="00C2763D" w:rsidRDefault="001D4BFE" w:rsidP="00837986">
      <w:pPr>
        <w:pStyle w:val="ONUMFS"/>
        <w:numPr>
          <w:ilvl w:val="0"/>
          <w:numId w:val="10"/>
        </w:numPr>
        <w:ind w:left="1134" w:hanging="567"/>
      </w:pPr>
      <w:r w:rsidRPr="00C2763D">
        <w:t xml:space="preserve">se </w:t>
      </w:r>
      <w:r w:rsidR="00BB4AD2" w:rsidRPr="00C2763D">
        <w:t>añadiría una nueva Regla</w:t>
      </w:r>
      <w:r w:rsidR="00B72296" w:rsidRPr="00C2763D">
        <w:t xml:space="preserve"> 20.5</w:t>
      </w:r>
      <w:r w:rsidR="00B72296" w:rsidRPr="00E606D9">
        <w:rPr>
          <w:i/>
        </w:rPr>
        <w:t>bis</w:t>
      </w:r>
      <w:r w:rsidR="00B72296" w:rsidRPr="00C2763D">
        <w:t xml:space="preserve"> </w:t>
      </w:r>
      <w:r w:rsidR="00BB4AD2" w:rsidRPr="00C2763D">
        <w:t xml:space="preserve">en virtud de la cual el solicitante </w:t>
      </w:r>
      <w:r w:rsidR="00B21208" w:rsidRPr="00C2763D">
        <w:t>podría</w:t>
      </w:r>
      <w:r w:rsidR="00BB4AD2" w:rsidRPr="00C2763D">
        <w:t xml:space="preserve"> pedir la supresión de cualquier elemento (ya </w:t>
      </w:r>
      <w:r w:rsidR="00B21208" w:rsidRPr="00C2763D">
        <w:t>fuera</w:t>
      </w:r>
      <w:r w:rsidR="00BB4AD2" w:rsidRPr="00C2763D">
        <w:t xml:space="preserve"> la descripción, las reivindicaciones o los dibujos) o parte de la solicitud internacional que </w:t>
      </w:r>
      <w:r w:rsidR="00B21208" w:rsidRPr="00C2763D">
        <w:t>hubiera</w:t>
      </w:r>
      <w:r w:rsidR="00BB4AD2" w:rsidRPr="00C2763D">
        <w:t xml:space="preserve"> presentado erróneamente y confirmar la incorporación por referencia del elemento o parte equivalente correcto que figur</w:t>
      </w:r>
      <w:r w:rsidR="00B21208" w:rsidRPr="00C2763D">
        <w:t>as</w:t>
      </w:r>
      <w:r w:rsidR="00BB4AD2" w:rsidRPr="00C2763D">
        <w:t>en en una solicitud anterior cuya prioridad se reivindi</w:t>
      </w:r>
      <w:r w:rsidR="00B21208" w:rsidRPr="00C2763D">
        <w:t>cara</w:t>
      </w:r>
      <w:r w:rsidR="00BB4AD2" w:rsidRPr="00C2763D">
        <w:t xml:space="preserve"> en la solicitud internacional</w:t>
      </w:r>
      <w:r w:rsidR="00B72296" w:rsidRPr="00C2763D">
        <w:t>;</w:t>
      </w:r>
    </w:p>
    <w:p w:rsidR="00B72296" w:rsidRPr="00C2763D" w:rsidRDefault="001D4BFE" w:rsidP="00837986">
      <w:pPr>
        <w:pStyle w:val="ONUMFS"/>
        <w:numPr>
          <w:ilvl w:val="0"/>
          <w:numId w:val="10"/>
        </w:numPr>
        <w:ind w:left="1134" w:hanging="567"/>
      </w:pPr>
      <w:r w:rsidRPr="00C2763D">
        <w:t xml:space="preserve">cuando </w:t>
      </w:r>
      <w:r w:rsidR="00B21208" w:rsidRPr="00C2763D">
        <w:t>se considerase</w:t>
      </w:r>
      <w:r w:rsidR="003E586F" w:rsidRPr="00C2763D">
        <w:t xml:space="preserve"> que la incorporación por referencia </w:t>
      </w:r>
      <w:r w:rsidR="00645C52" w:rsidRPr="00C2763D">
        <w:t>se ha efectuado de forma</w:t>
      </w:r>
      <w:r w:rsidR="003E586F" w:rsidRPr="00C2763D">
        <w:t xml:space="preserve"> válida, el elemento o parte presentado por error </w:t>
      </w:r>
      <w:r w:rsidR="009229E7" w:rsidRPr="00C2763D">
        <w:t>ser</w:t>
      </w:r>
      <w:r w:rsidR="007470D0" w:rsidRPr="00C2763D">
        <w:t>ía</w:t>
      </w:r>
      <w:r w:rsidR="003E586F" w:rsidRPr="00C2763D">
        <w:t xml:space="preserve"> suprimido y sustituido por el ele</w:t>
      </w:r>
      <w:r w:rsidR="007470D0" w:rsidRPr="00C2763D">
        <w:t xml:space="preserve">mento o parte correcto, sin modificar </w:t>
      </w:r>
      <w:r w:rsidR="003E586F" w:rsidRPr="00C2763D">
        <w:t>la fecha de presentación internacional</w:t>
      </w:r>
      <w:r w:rsidR="00B72296" w:rsidRPr="00C2763D">
        <w:t>;</w:t>
      </w:r>
    </w:p>
    <w:p w:rsidR="00B72296" w:rsidRPr="00C2763D" w:rsidRDefault="001D4BFE" w:rsidP="00837986">
      <w:pPr>
        <w:pStyle w:val="ONUMFS"/>
        <w:numPr>
          <w:ilvl w:val="0"/>
          <w:numId w:val="10"/>
        </w:numPr>
        <w:ind w:left="1134" w:hanging="567"/>
      </w:pPr>
      <w:r w:rsidRPr="00C2763D">
        <w:t xml:space="preserve">cuando </w:t>
      </w:r>
      <w:r w:rsidR="00B21208" w:rsidRPr="00C2763D">
        <w:t>se considerase</w:t>
      </w:r>
      <w:r w:rsidR="009229E7" w:rsidRPr="00C2763D">
        <w:t xml:space="preserve"> que el elemento o la parte correcta no se ha incorporado válidamente por referencia</w:t>
      </w:r>
      <w:r w:rsidR="00B72296" w:rsidRPr="00C2763D">
        <w:t xml:space="preserve">, </w:t>
      </w:r>
      <w:r w:rsidR="009229E7" w:rsidRPr="00C2763D">
        <w:t>la Oficina receptora tramitar</w:t>
      </w:r>
      <w:r w:rsidR="007470D0" w:rsidRPr="00C2763D">
        <w:t>ía</w:t>
      </w:r>
      <w:r w:rsidR="009229E7" w:rsidRPr="00C2763D">
        <w:t xml:space="preserve"> sencillamente la solicitud internacional como si la petición de supresión de un elemento o parte presentados por error no hubiera sido formulada por el solicitante, y la solicitud internacional </w:t>
      </w:r>
      <w:r w:rsidR="007470D0" w:rsidRPr="00C2763D">
        <w:t>seguiría adelante</w:t>
      </w:r>
      <w:r w:rsidR="009229E7" w:rsidRPr="00C2763D">
        <w:t xml:space="preserve"> “sin corregir”</w:t>
      </w:r>
      <w:r w:rsidR="00B72296" w:rsidRPr="00C2763D">
        <w:t>;</w:t>
      </w:r>
    </w:p>
    <w:p w:rsidR="00B72296" w:rsidRPr="00C2763D" w:rsidRDefault="001D4BFE" w:rsidP="00837986">
      <w:pPr>
        <w:pStyle w:val="ONUMFS"/>
        <w:numPr>
          <w:ilvl w:val="0"/>
          <w:numId w:val="10"/>
        </w:numPr>
        <w:ind w:left="1134" w:hanging="567"/>
      </w:pPr>
      <w:r w:rsidRPr="00C2763D">
        <w:lastRenderedPageBreak/>
        <w:t xml:space="preserve">a </w:t>
      </w:r>
      <w:r w:rsidR="00276D28" w:rsidRPr="00C2763D">
        <w:t>esos efectos, bastar</w:t>
      </w:r>
      <w:r w:rsidR="007470D0" w:rsidRPr="00C2763D">
        <w:t>ía</w:t>
      </w:r>
      <w:r w:rsidR="00276D28" w:rsidRPr="00C2763D">
        <w:t xml:space="preserve"> con que el solicitante no tuviera intención de presentar el elemento o parte en cuestión</w:t>
      </w:r>
      <w:r w:rsidR="00FF11D2" w:rsidRPr="00C2763D">
        <w:t xml:space="preserve">. </w:t>
      </w:r>
      <w:r w:rsidR="00276D28" w:rsidRPr="00C2763D">
        <w:t xml:space="preserve">No se </w:t>
      </w:r>
      <w:r w:rsidR="007470D0" w:rsidRPr="00C2763D">
        <w:t>requeriría</w:t>
      </w:r>
      <w:r w:rsidR="00B72296" w:rsidRPr="00C2763D">
        <w:t xml:space="preserve"> </w:t>
      </w:r>
      <w:r w:rsidR="00276D28" w:rsidRPr="00C2763D">
        <w:t>que la Oficina receptora decid</w:t>
      </w:r>
      <w:r w:rsidR="007470D0" w:rsidRPr="00C2763D">
        <w:t>ier</w:t>
      </w:r>
      <w:r w:rsidR="00276D28" w:rsidRPr="00C2763D">
        <w:t>a acerca de si el elemento o parte fue efectivamente presentado por error o no</w:t>
      </w:r>
      <w:r w:rsidR="00B72296" w:rsidRPr="00C2763D">
        <w:t>;</w:t>
      </w:r>
    </w:p>
    <w:p w:rsidR="00B72296" w:rsidRPr="00C2763D" w:rsidRDefault="001D4BFE" w:rsidP="00837986">
      <w:pPr>
        <w:pStyle w:val="ONUMFS"/>
        <w:numPr>
          <w:ilvl w:val="0"/>
          <w:numId w:val="10"/>
        </w:numPr>
        <w:ind w:left="1134" w:hanging="567"/>
      </w:pPr>
      <w:r w:rsidRPr="00C2763D">
        <w:t xml:space="preserve">se </w:t>
      </w:r>
      <w:r w:rsidR="00276D28" w:rsidRPr="00C2763D">
        <w:t xml:space="preserve">aplicarían los plazos previstos en la Regla 20.7 para garantizar que todo el proceso </w:t>
      </w:r>
      <w:r w:rsidR="007470D0" w:rsidRPr="00C2763D">
        <w:t>se complete antes de producirse la publicación internacional</w:t>
      </w:r>
      <w:r w:rsidR="00B72296" w:rsidRPr="00C2763D">
        <w:t>;</w:t>
      </w:r>
    </w:p>
    <w:p w:rsidR="00B72296" w:rsidRPr="00C2763D" w:rsidRDefault="001D4BFE" w:rsidP="00837986">
      <w:pPr>
        <w:pStyle w:val="ONUMFS"/>
        <w:numPr>
          <w:ilvl w:val="0"/>
          <w:numId w:val="10"/>
        </w:numPr>
        <w:ind w:left="1134" w:hanging="567"/>
      </w:pPr>
      <w:r w:rsidRPr="00C2763D">
        <w:t xml:space="preserve">la </w:t>
      </w:r>
      <w:r w:rsidR="007470D0" w:rsidRPr="00C2763D">
        <w:t xml:space="preserve">Administración encargada de la búsqueda internacional podría cobrar una tasa </w:t>
      </w:r>
      <w:r>
        <w:t>adicional</w:t>
      </w:r>
      <w:r w:rsidR="007470D0" w:rsidRPr="00C2763D">
        <w:t xml:space="preserve"> cuando la petición de corrección </w:t>
      </w:r>
      <w:r w:rsidR="00464DAF" w:rsidRPr="00C2763D">
        <w:t>en virtud de</w:t>
      </w:r>
      <w:r>
        <w:t xml:space="preserve"> la nueva Regla propuesta </w:t>
      </w:r>
      <w:r w:rsidR="007470D0" w:rsidRPr="00C2763D">
        <w:t>20.5</w:t>
      </w:r>
      <w:r w:rsidR="007470D0" w:rsidRPr="00E606D9">
        <w:rPr>
          <w:i/>
        </w:rPr>
        <w:t>bis</w:t>
      </w:r>
      <w:r w:rsidR="007470D0" w:rsidRPr="00C2763D">
        <w:t xml:space="preserve"> le </w:t>
      </w:r>
      <w:r w:rsidR="00464DAF" w:rsidRPr="00C2763D">
        <w:t>fuera</w:t>
      </w:r>
      <w:r w:rsidR="007470D0" w:rsidRPr="00C2763D">
        <w:t xml:space="preserve"> notificada después de </w:t>
      </w:r>
      <w:r w:rsidR="00464DAF" w:rsidRPr="00C2763D">
        <w:t>que hubiera</w:t>
      </w:r>
      <w:r w:rsidR="007470D0" w:rsidRPr="00C2763D">
        <w:t xml:space="preserve"> </w:t>
      </w:r>
      <w:r w:rsidR="00E247E2">
        <w:t>comenzado</w:t>
      </w:r>
      <w:r>
        <w:t xml:space="preserve"> a redactar </w:t>
      </w:r>
      <w:r w:rsidR="007470D0" w:rsidRPr="00C2763D">
        <w:t>el informe de búsqueda internacional.</w:t>
      </w:r>
    </w:p>
    <w:p w:rsidR="00B72296" w:rsidRPr="00C2763D" w:rsidRDefault="001D4BFE" w:rsidP="00837986">
      <w:pPr>
        <w:pStyle w:val="ONUMFS"/>
        <w:numPr>
          <w:ilvl w:val="0"/>
          <w:numId w:val="10"/>
        </w:numPr>
        <w:ind w:left="1134" w:hanging="567"/>
      </w:pPr>
      <w:r w:rsidRPr="00C2763D">
        <w:t xml:space="preserve">las </w:t>
      </w:r>
      <w:r w:rsidR="00464DAF" w:rsidRPr="00C2763D">
        <w:t>Oficinas receptoras y las Oficinas designadas podrían presentar una notificación de incompatibilidad cuando su derecho nacional no permita la corrección de solicitudes erróneas</w:t>
      </w:r>
      <w:r w:rsidR="00B72296" w:rsidRPr="00C2763D">
        <w:t>.</w:t>
      </w:r>
    </w:p>
    <w:p w:rsidR="00B72296" w:rsidRPr="00C2763D" w:rsidRDefault="001D4BFE" w:rsidP="004E040D">
      <w:pPr>
        <w:pStyle w:val="ONUMFS"/>
      </w:pPr>
      <w:r>
        <w:t>En el curso de es</w:t>
      </w:r>
      <w:r w:rsidR="00FB5569" w:rsidRPr="00C2763D">
        <w:t>a reunión, se puso en duda la compatibi</w:t>
      </w:r>
      <w:r>
        <w:t>lidad de dicha propuesta con el </w:t>
      </w:r>
      <w:r w:rsidR="00FB5569" w:rsidRPr="00C2763D">
        <w:t>PLT</w:t>
      </w:r>
      <w:r w:rsidR="00FF11D2" w:rsidRPr="00C2763D">
        <w:t xml:space="preserve">. </w:t>
      </w:r>
      <w:r w:rsidR="00FB5569" w:rsidRPr="00C2763D">
        <w:t>En concreto, la OEP preguntó si la modificaci</w:t>
      </w:r>
      <w:r w:rsidR="006F1D5F" w:rsidRPr="00C2763D">
        <w:t>ón p</w:t>
      </w:r>
      <w:r w:rsidR="00FB5569" w:rsidRPr="00C2763D">
        <w:t>ropuesta no ser</w:t>
      </w:r>
      <w:r w:rsidR="006F1D5F" w:rsidRPr="00C2763D">
        <w:t>ía co</w:t>
      </w:r>
      <w:r w:rsidR="0069697F" w:rsidRPr="00C2763D">
        <w:t>ntraria al Artículo </w:t>
      </w:r>
      <w:r w:rsidR="00FB5569" w:rsidRPr="00C2763D">
        <w:t>2.1</w:t>
      </w:r>
      <w:r w:rsidR="00EE4EAC" w:rsidRPr="00C2763D">
        <w:t>)</w:t>
      </w:r>
      <w:r w:rsidR="00FB5569" w:rsidRPr="00C2763D">
        <w:t xml:space="preserve"> del PLT, en virtud del cual las Partes Contratantes del PLT no </w:t>
      </w:r>
      <w:r w:rsidR="006F1D5F" w:rsidRPr="00C2763D">
        <w:t>pueden</w:t>
      </w:r>
      <w:r w:rsidR="00FB5569" w:rsidRPr="00C2763D">
        <w:t xml:space="preserve"> </w:t>
      </w:r>
      <w:r w:rsidR="006F1D5F" w:rsidRPr="00C2763D">
        <w:t>establecer</w:t>
      </w:r>
      <w:r w:rsidR="00FB5569" w:rsidRPr="00C2763D">
        <w:t xml:space="preserve"> posibilidades adicionales </w:t>
      </w:r>
      <w:r w:rsidR="00DC7FD4" w:rsidRPr="00C2763D">
        <w:t>a fin de modificar</w:t>
      </w:r>
      <w:r w:rsidR="00FB5569" w:rsidRPr="00C2763D">
        <w:t xml:space="preserve"> el alcance de la </w:t>
      </w:r>
      <w:r w:rsidR="00DC7FD4" w:rsidRPr="00C2763D">
        <w:t>divulgación</w:t>
      </w:r>
      <w:r w:rsidR="00FB5569" w:rsidRPr="00C2763D">
        <w:t xml:space="preserve"> sin </w:t>
      </w:r>
      <w:r w:rsidR="00DC7FD4" w:rsidRPr="00C2763D">
        <w:t>cambiar</w:t>
      </w:r>
      <w:r w:rsidR="00FB5569" w:rsidRPr="00C2763D">
        <w:t xml:space="preserve"> la fecha de presentación, y manifestó </w:t>
      </w:r>
      <w:r w:rsidR="0053557B">
        <w:t xml:space="preserve">su </w:t>
      </w:r>
      <w:r w:rsidR="00FB5569" w:rsidRPr="00C2763D">
        <w:t xml:space="preserve">preocupación por </w:t>
      </w:r>
      <w:r w:rsidR="006C79AF" w:rsidRPr="00C2763D">
        <w:t>el aumento del desfase</w:t>
      </w:r>
      <w:r w:rsidR="00FB5569" w:rsidRPr="00C2763D">
        <w:t xml:space="preserve"> entre l</w:t>
      </w:r>
      <w:r w:rsidR="00DC7FD4" w:rsidRPr="00C2763D">
        <w:t>o</w:t>
      </w:r>
      <w:r w:rsidR="00FB5569" w:rsidRPr="00C2763D">
        <w:t xml:space="preserve">s requisitos relativos a la fecha de presentación </w:t>
      </w:r>
      <w:r w:rsidR="00DC7FD4" w:rsidRPr="00C2763D">
        <w:t>que se aplican</w:t>
      </w:r>
      <w:r w:rsidR="00FB5569" w:rsidRPr="00C2763D">
        <w:t xml:space="preserve"> a las solicitudes internacionales y </w:t>
      </w:r>
      <w:r w:rsidR="00DC7FD4" w:rsidRPr="00C2763D">
        <w:t xml:space="preserve">los que se aplican </w:t>
      </w:r>
      <w:r w:rsidR="00FB5569" w:rsidRPr="00C2763D">
        <w:t>a las solicitudes nacionales y regionales</w:t>
      </w:r>
      <w:r w:rsidR="00FF11D2" w:rsidRPr="00C2763D">
        <w:t xml:space="preserve">. </w:t>
      </w:r>
      <w:r w:rsidR="00FB5569" w:rsidRPr="00C2763D">
        <w:t xml:space="preserve">En consecuencia, se solicitó que la Oficina Internacional </w:t>
      </w:r>
      <w:r w:rsidR="006F1D5F" w:rsidRPr="00C2763D">
        <w:t>presentara una evaluación</w:t>
      </w:r>
      <w:r w:rsidR="00DC7FD4" w:rsidRPr="00C2763D">
        <w:t xml:space="preserve"> de las</w:t>
      </w:r>
      <w:r w:rsidR="006F1D5F" w:rsidRPr="00C2763D">
        <w:t xml:space="preserve"> cuestione</w:t>
      </w:r>
      <w:r>
        <w:t>s planteadas en relación con el </w:t>
      </w:r>
      <w:r w:rsidR="006F1D5F" w:rsidRPr="00C2763D">
        <w:t xml:space="preserve">PLT en la siguiente reunión del Grupo de Trabajo del PCT, en 2017 (véase el párrafo 309 del </w:t>
      </w:r>
      <w:r w:rsidR="002A7BDC" w:rsidRPr="00C2763D">
        <w:t>I</w:t>
      </w:r>
      <w:r w:rsidR="006F1D5F" w:rsidRPr="00C2763D">
        <w:t>nforme de la reunión, en el documento</w:t>
      </w:r>
      <w:r w:rsidR="00B72296" w:rsidRPr="00C2763D">
        <w:t xml:space="preserve"> PCT/WG/9/28).</w:t>
      </w:r>
    </w:p>
    <w:p w:rsidR="00B72296" w:rsidRPr="00C2763D" w:rsidRDefault="00A448E9" w:rsidP="004E040D">
      <w:pPr>
        <w:pStyle w:val="ONUMFS"/>
      </w:pPr>
      <w:r w:rsidRPr="00C2763D">
        <w:t>La Oficina Internacional presentó el siguiente análisis en la décima reunión del Grupo de Trabajo del PCT, celebrada en 2017</w:t>
      </w:r>
      <w:r w:rsidR="00B72296" w:rsidRPr="00C2763D">
        <w:t xml:space="preserve"> (</w:t>
      </w:r>
      <w:r w:rsidRPr="00C2763D">
        <w:t>véase el documento</w:t>
      </w:r>
      <w:r w:rsidR="00B72296" w:rsidRPr="00C2763D">
        <w:t xml:space="preserve"> PCT/WG/10/10):</w:t>
      </w:r>
    </w:p>
    <w:p w:rsidR="00B72296" w:rsidRPr="00C2763D" w:rsidRDefault="00A448E9" w:rsidP="00442B02">
      <w:pPr>
        <w:pStyle w:val="ONUMFS"/>
        <w:numPr>
          <w:ilvl w:val="0"/>
          <w:numId w:val="10"/>
        </w:numPr>
        <w:ind w:left="1134" w:hanging="567"/>
      </w:pPr>
      <w:r w:rsidRPr="00C2763D">
        <w:t>La interpretación del</w:t>
      </w:r>
      <w:r w:rsidR="00B72296" w:rsidRPr="00C2763D">
        <w:t xml:space="preserve"> PLT </w:t>
      </w:r>
      <w:r w:rsidRPr="00C2763D">
        <w:t>es competencia exclusiva</w:t>
      </w:r>
      <w:r w:rsidR="001D4BFE">
        <w:t xml:space="preserve"> de las Partes Contratantes del </w:t>
      </w:r>
      <w:r w:rsidRPr="00C2763D">
        <w:t>PLT</w:t>
      </w:r>
      <w:r w:rsidR="001D4BFE">
        <w:t>.</w:t>
      </w:r>
    </w:p>
    <w:p w:rsidR="00B72296" w:rsidRPr="00C2763D" w:rsidRDefault="00A448E9" w:rsidP="00442B02">
      <w:pPr>
        <w:pStyle w:val="ONUMFS"/>
        <w:numPr>
          <w:ilvl w:val="0"/>
          <w:numId w:val="10"/>
        </w:numPr>
        <w:ind w:left="1134" w:hanging="567"/>
      </w:pPr>
      <w:r w:rsidRPr="00C2763D">
        <w:t xml:space="preserve">El PLT no rige en relación con los requisitos </w:t>
      </w:r>
      <w:r w:rsidR="002A7BDC" w:rsidRPr="00C2763D">
        <w:t xml:space="preserve">que establece </w:t>
      </w:r>
      <w:r w:rsidRPr="00C2763D">
        <w:t>el PCT</w:t>
      </w:r>
      <w:r w:rsidR="002A7BDC" w:rsidRPr="00C2763D">
        <w:t xml:space="preserve"> sobre la fecha de presentación</w:t>
      </w:r>
      <w:r w:rsidR="00FF11D2" w:rsidRPr="00C2763D">
        <w:t xml:space="preserve">. </w:t>
      </w:r>
      <w:r w:rsidRPr="00C2763D">
        <w:t xml:space="preserve">De </w:t>
      </w:r>
      <w:r w:rsidR="002A7BDC" w:rsidRPr="00C2763D">
        <w:t>conformidad con el Artículo 3.1)</w:t>
      </w:r>
      <w:r w:rsidRPr="00C2763D">
        <w:t>b) del PLT, en lo que a las solicitudes internacionales se refiere, el PLT s</w:t>
      </w:r>
      <w:r w:rsidR="002A7BDC" w:rsidRPr="00C2763D">
        <w:t>o</w:t>
      </w:r>
      <w:r w:rsidRPr="00C2763D">
        <w:t xml:space="preserve">lo es </w:t>
      </w:r>
      <w:r w:rsidR="002057F4" w:rsidRPr="00C2763D">
        <w:t>aplicable a</w:t>
      </w:r>
      <w:r w:rsidRPr="00C2763D">
        <w:t xml:space="preserve"> un Estado Contratante del PLT </w:t>
      </w:r>
      <w:r w:rsidR="002057F4" w:rsidRPr="00C2763D">
        <w:t>respecto de los plazos aplicables</w:t>
      </w:r>
      <w:r w:rsidRPr="00C2763D">
        <w:t xml:space="preserve"> para la entrada en la fase nacional y </w:t>
      </w:r>
      <w:r w:rsidR="002057F4" w:rsidRPr="00C2763D">
        <w:t>respecto de todo</w:t>
      </w:r>
      <w:r w:rsidRPr="00C2763D">
        <w:t xml:space="preserve"> procedimiento una</w:t>
      </w:r>
      <w:r w:rsidR="006C79AF" w:rsidRPr="00C2763D">
        <w:t xml:space="preserve"> vez iniciada la fase nacional, </w:t>
      </w:r>
      <w:r w:rsidRPr="00C2763D">
        <w:t>con sujeción a lo dispuesto en el PCT</w:t>
      </w:r>
      <w:r w:rsidR="00FF11D2" w:rsidRPr="00C2763D">
        <w:t xml:space="preserve">. </w:t>
      </w:r>
      <w:r w:rsidRPr="00C2763D">
        <w:t xml:space="preserve">Por lo tanto, </w:t>
      </w:r>
      <w:r w:rsidR="00242BA5" w:rsidRPr="00C2763D">
        <w:t>el problema</w:t>
      </w:r>
      <w:r w:rsidRPr="00C2763D">
        <w:t xml:space="preserve"> de</w:t>
      </w:r>
      <w:r w:rsidR="006C79AF" w:rsidRPr="00C2763D">
        <w:t xml:space="preserve"> l</w:t>
      </w:r>
      <w:r w:rsidRPr="00C2763D">
        <w:t xml:space="preserve">a compatibilidad con el PLT no </w:t>
      </w:r>
      <w:r w:rsidR="00242BA5" w:rsidRPr="00C2763D">
        <w:t>tiene que ver con</w:t>
      </w:r>
      <w:r w:rsidRPr="00C2763D">
        <w:t xml:space="preserve"> la </w:t>
      </w:r>
      <w:r w:rsidR="006B6BE3">
        <w:t>propuesta</w:t>
      </w:r>
      <w:r w:rsidRPr="00C2763D">
        <w:t xml:space="preserve"> en sí</w:t>
      </w:r>
      <w:r w:rsidR="00242BA5" w:rsidRPr="00C2763D">
        <w:t>,</w:t>
      </w:r>
      <w:r w:rsidRPr="00C2763D">
        <w:t xml:space="preserve"> sino</w:t>
      </w:r>
      <w:r w:rsidR="006C79AF" w:rsidRPr="00C2763D">
        <w:t xml:space="preserve"> </w:t>
      </w:r>
      <w:r w:rsidR="00FB012B" w:rsidRPr="00C2763D">
        <w:t xml:space="preserve">con la preocupación </w:t>
      </w:r>
      <w:r w:rsidR="006C79AF" w:rsidRPr="00C2763D">
        <w:t xml:space="preserve">por el aumento del </w:t>
      </w:r>
      <w:r w:rsidRPr="00C2763D">
        <w:t xml:space="preserve">desfase entre los requisitos relativos a la fecha de </w:t>
      </w:r>
      <w:r w:rsidR="006C79AF" w:rsidRPr="00C2763D">
        <w:t>presentación</w:t>
      </w:r>
      <w:r w:rsidRPr="00C2763D">
        <w:t xml:space="preserve"> </w:t>
      </w:r>
      <w:r w:rsidR="00FB012B" w:rsidRPr="00C2763D">
        <w:t>establecidos en</w:t>
      </w:r>
      <w:r w:rsidR="006C79AF" w:rsidRPr="00C2763D">
        <w:t xml:space="preserve"> el</w:t>
      </w:r>
      <w:r w:rsidRPr="00C2763D">
        <w:t xml:space="preserve"> PCT</w:t>
      </w:r>
      <w:r w:rsidR="00FB012B" w:rsidRPr="00C2763D">
        <w:t>, por un lado,</w:t>
      </w:r>
      <w:r w:rsidR="006C79AF" w:rsidRPr="00C2763D">
        <w:t xml:space="preserve"> y </w:t>
      </w:r>
      <w:r w:rsidR="00FB012B" w:rsidRPr="00C2763D">
        <w:t xml:space="preserve">en </w:t>
      </w:r>
      <w:r w:rsidRPr="00C2763D">
        <w:t>el PLT</w:t>
      </w:r>
      <w:r w:rsidR="00FB012B" w:rsidRPr="00C2763D">
        <w:t>, por otro</w:t>
      </w:r>
      <w:r w:rsidRPr="00C2763D">
        <w:t xml:space="preserve">, </w:t>
      </w:r>
      <w:r w:rsidR="00FB012B" w:rsidRPr="00C2763D">
        <w:t>y que podría hacer</w:t>
      </w:r>
      <w:r w:rsidR="006C79AF" w:rsidRPr="00C2763D">
        <w:t xml:space="preserve"> imposible que un Estado miembro del PCT que ta</w:t>
      </w:r>
      <w:r w:rsidR="001D4BFE">
        <w:t>mbién sea Parte Contratante del </w:t>
      </w:r>
      <w:r w:rsidR="006C79AF" w:rsidRPr="00C2763D">
        <w:t xml:space="preserve">PLT armonice su legislación nacional o regional en lo relativo a </w:t>
      </w:r>
      <w:r w:rsidR="00FB012B" w:rsidRPr="00C2763D">
        <w:t xml:space="preserve">las </w:t>
      </w:r>
      <w:r w:rsidR="006C79AF" w:rsidRPr="00C2763D">
        <w:t>solicitudes nacionales o regionales presentadas ante ese Estado</w:t>
      </w:r>
      <w:r w:rsidR="00FB012B" w:rsidRPr="00C2763D">
        <w:t xml:space="preserve"> o para </w:t>
      </w:r>
      <w:r w:rsidR="00242BA5" w:rsidRPr="00C2763D">
        <w:t>ese Estado</w:t>
      </w:r>
      <w:r w:rsidR="006B6BE3">
        <w:t>.</w:t>
      </w:r>
    </w:p>
    <w:p w:rsidR="00B72296" w:rsidRPr="00C2763D" w:rsidRDefault="009D2CFC" w:rsidP="00442B02">
      <w:pPr>
        <w:pStyle w:val="ONUMFS"/>
        <w:numPr>
          <w:ilvl w:val="0"/>
          <w:numId w:val="10"/>
        </w:numPr>
        <w:ind w:left="1134" w:hanging="567"/>
      </w:pPr>
      <w:r w:rsidRPr="00C2763D">
        <w:t>El PLT y el PCT ya establecen actualmente diferentes requisitos relativos a la fecha de presentación</w:t>
      </w:r>
      <w:r w:rsidR="00FF11D2" w:rsidRPr="00C2763D">
        <w:t xml:space="preserve">. </w:t>
      </w:r>
      <w:r w:rsidRPr="00C2763D">
        <w:t>Por ejemplo</w:t>
      </w:r>
      <w:r w:rsidR="0053557B">
        <w:t>:</w:t>
      </w:r>
    </w:p>
    <w:p w:rsidR="00B72296" w:rsidRPr="00C2763D" w:rsidRDefault="00402035" w:rsidP="00442B02">
      <w:pPr>
        <w:pStyle w:val="ONUMFS"/>
        <w:numPr>
          <w:ilvl w:val="0"/>
          <w:numId w:val="13"/>
        </w:numPr>
        <w:ind w:left="1701" w:hanging="567"/>
      </w:pPr>
      <w:r w:rsidRPr="00C2763D">
        <w:t xml:space="preserve">A diferencia del Artículo 5 del PLT, el Artículo 11 del PCT requiere que </w:t>
      </w:r>
      <w:r w:rsidR="00496D17" w:rsidRPr="00C2763D">
        <w:t>toda</w:t>
      </w:r>
      <w:r w:rsidRPr="00C2763D">
        <w:t xml:space="preserve"> solicitud internacional contenga en la fecha de la presentación una parte que, a primera vista, parezca ser una descripción y </w:t>
      </w:r>
      <w:r w:rsidR="00496D17" w:rsidRPr="00C2763D">
        <w:t xml:space="preserve">que </w:t>
      </w:r>
      <w:r w:rsidRPr="00C2763D">
        <w:t>esté redactada en el idioma prescrito por la Oficina receptora</w:t>
      </w:r>
      <w:r w:rsidR="0053557B">
        <w:t>.</w:t>
      </w:r>
    </w:p>
    <w:p w:rsidR="00B72296" w:rsidRPr="00C2763D" w:rsidRDefault="00496D17" w:rsidP="00442B02">
      <w:pPr>
        <w:pStyle w:val="ONUMFS"/>
        <w:numPr>
          <w:ilvl w:val="0"/>
          <w:numId w:val="13"/>
        </w:numPr>
        <w:ind w:left="1701" w:hanging="567"/>
      </w:pPr>
      <w:r w:rsidRPr="00C2763D">
        <w:lastRenderedPageBreak/>
        <w:t xml:space="preserve">El PCT permite incorporar por referencia un elemento completo, sin </w:t>
      </w:r>
      <w:r w:rsidR="002719C1" w:rsidRPr="00C2763D">
        <w:t>modificar</w:t>
      </w:r>
      <w:r w:rsidRPr="00C2763D">
        <w:t xml:space="preserve"> la fecha de presentación internacional, mientras que el PLT no </w:t>
      </w:r>
      <w:r w:rsidR="0053557B">
        <w:t>contempla</w:t>
      </w:r>
      <w:r w:rsidRPr="00C2763D">
        <w:t xml:space="preserve"> esa posibilidad</w:t>
      </w:r>
      <w:r w:rsidR="00B72296" w:rsidRPr="00C2763D">
        <w:t>.</w:t>
      </w:r>
    </w:p>
    <w:p w:rsidR="00B72296" w:rsidRPr="00C2763D" w:rsidRDefault="00496D17" w:rsidP="00442B02">
      <w:pPr>
        <w:pStyle w:val="ONUMFS"/>
        <w:numPr>
          <w:ilvl w:val="0"/>
          <w:numId w:val="13"/>
        </w:numPr>
        <w:ind w:left="1701" w:hanging="567"/>
      </w:pPr>
      <w:r w:rsidRPr="00C2763D">
        <w:t xml:space="preserve">Con arreglo al PLT, un Estado Contratante puede permitir la sustitución de la descripción y los dibujos por </w:t>
      </w:r>
      <w:r w:rsidR="001E0F80" w:rsidRPr="00C2763D">
        <w:t xml:space="preserve">una </w:t>
      </w:r>
      <w:r w:rsidRPr="00C2763D">
        <w:t>referencia a una solicitud presentada</w:t>
      </w:r>
      <w:r w:rsidR="001E0F80" w:rsidRPr="00C2763D">
        <w:t xml:space="preserve"> anteriormente</w:t>
      </w:r>
      <w:r w:rsidR="00FF11D2" w:rsidRPr="00C2763D">
        <w:t xml:space="preserve">; </w:t>
      </w:r>
      <w:r w:rsidRPr="00C2763D">
        <w:t xml:space="preserve">esa opción no </w:t>
      </w:r>
      <w:r w:rsidR="001E0F80" w:rsidRPr="00C2763D">
        <w:t>está prevista</w:t>
      </w:r>
      <w:r w:rsidRPr="00C2763D">
        <w:t xml:space="preserve"> en el</w:t>
      </w:r>
      <w:r w:rsidR="00B72296" w:rsidRPr="00C2763D">
        <w:t xml:space="preserve"> PCT</w:t>
      </w:r>
      <w:r w:rsidR="0053557B">
        <w:t>.</w:t>
      </w:r>
    </w:p>
    <w:p w:rsidR="00B72296" w:rsidRPr="00C2763D" w:rsidRDefault="002719C1" w:rsidP="00442B02">
      <w:pPr>
        <w:pStyle w:val="ONUMFS"/>
        <w:numPr>
          <w:ilvl w:val="0"/>
          <w:numId w:val="13"/>
        </w:numPr>
        <w:ind w:left="1701" w:hanging="567"/>
      </w:pPr>
      <w:r w:rsidRPr="00C2763D">
        <w:t>En virtud del</w:t>
      </w:r>
      <w:r w:rsidR="001E0F80" w:rsidRPr="00C2763D">
        <w:t xml:space="preserve"> PCT, la inclusión de una declaración de incorporación por referencia en la solicitud internacional en la fecha de la presentación es un requisito obligatorio para </w:t>
      </w:r>
      <w:r w:rsidRPr="00C2763D">
        <w:t xml:space="preserve">la incorporación válida mediante </w:t>
      </w:r>
      <w:r w:rsidR="001E0F80" w:rsidRPr="00C2763D">
        <w:t xml:space="preserve">referencia </w:t>
      </w:r>
      <w:r w:rsidRPr="00C2763D">
        <w:t xml:space="preserve">de </w:t>
      </w:r>
      <w:r w:rsidR="001E0F80" w:rsidRPr="00C2763D">
        <w:t>cualquier elemento o parte omitido, mientras que con arreglo al PLT</w:t>
      </w:r>
      <w:r w:rsidRPr="00C2763D">
        <w:t xml:space="preserve"> cualquier Parte Contratante</w:t>
      </w:r>
      <w:r w:rsidR="001E0F80" w:rsidRPr="00C2763D">
        <w:t xml:space="preserve"> puede requerir tal indicación, pero no está obligada a hacerlo.</w:t>
      </w:r>
    </w:p>
    <w:p w:rsidR="00B72296" w:rsidRPr="00C2763D" w:rsidRDefault="002719C1" w:rsidP="004E040D">
      <w:pPr>
        <w:pStyle w:val="ONUMFS"/>
      </w:pPr>
      <w:r w:rsidRPr="00C2763D">
        <w:t xml:space="preserve">Por las razones que se resumen a continuación, en la décima reunión del Grupo de Trabajo del PCT la OEP manifestó nuevamente sus </w:t>
      </w:r>
      <w:r w:rsidR="002C1C1A" w:rsidRPr="00C2763D">
        <w:t>dudas</w:t>
      </w:r>
      <w:r w:rsidRPr="00C2763D">
        <w:t xml:space="preserve"> </w:t>
      </w:r>
      <w:r w:rsidR="002C1C1A" w:rsidRPr="00C2763D">
        <w:t>acerca de</w:t>
      </w:r>
      <w:r w:rsidRPr="00C2763D">
        <w:t xml:space="preserve"> </w:t>
      </w:r>
      <w:r w:rsidR="00E606D9">
        <w:t>la compatibilidad con el </w:t>
      </w:r>
      <w:r w:rsidR="00D62952" w:rsidRPr="00C2763D">
        <w:t>PLT d</w:t>
      </w:r>
      <w:r w:rsidRPr="00C2763D">
        <w:t>e</w:t>
      </w:r>
      <w:r w:rsidR="002C1C1A" w:rsidRPr="00C2763D">
        <w:t>l nuevo enfoque propuesto relativo al</w:t>
      </w:r>
      <w:r w:rsidRPr="00C2763D">
        <w:t xml:space="preserve"> PCT (véase el párrafo 88 del Resumen de la Presidencia de la reunión, en el documento</w:t>
      </w:r>
      <w:r w:rsidR="00B72296" w:rsidRPr="00C2763D">
        <w:t xml:space="preserve"> PCT/WG/10/24)</w:t>
      </w:r>
      <w:r w:rsidR="00D62952" w:rsidRPr="00C2763D">
        <w:t>.</w:t>
      </w:r>
    </w:p>
    <w:p w:rsidR="00B72296" w:rsidRPr="00C2763D" w:rsidRDefault="002C1C1A" w:rsidP="004E040D">
      <w:pPr>
        <w:pStyle w:val="ONUMFS"/>
      </w:pPr>
      <w:r w:rsidRPr="00C2763D">
        <w:t xml:space="preserve">Sin embargo, la OEP </w:t>
      </w:r>
      <w:r w:rsidR="00E606D9">
        <w:t>anticipó</w:t>
      </w:r>
      <w:r w:rsidRPr="00C2763D">
        <w:t xml:space="preserve"> que, siempre y cuando se mantuvieran consultas con todos los Estados miembros de la Organización Europea de Patentes, podría estar en condiciones de respaldar el nuevo enfoque propuesto, con las condiciones siguientes</w:t>
      </w:r>
      <w:r w:rsidR="00FF11D2" w:rsidRPr="00C2763D">
        <w:t xml:space="preserve">: </w:t>
      </w:r>
      <w:r w:rsidRPr="00C2763D">
        <w:t>i) que no se permita la eliminación de cualquier elemento o parte presentados erróneamente</w:t>
      </w:r>
      <w:r w:rsidR="00FF11D2" w:rsidRPr="00C2763D">
        <w:t xml:space="preserve">; </w:t>
      </w:r>
      <w:r w:rsidRPr="00C2763D">
        <w:t xml:space="preserve">ii) que se </w:t>
      </w:r>
      <w:r w:rsidR="00323107" w:rsidRPr="00C2763D">
        <w:t>d</w:t>
      </w:r>
      <w:r w:rsidR="00E606D9">
        <w:t>é</w:t>
      </w:r>
      <w:r w:rsidRPr="00C2763D">
        <w:t xml:space="preserve"> a la OEP</w:t>
      </w:r>
      <w:r w:rsidR="00323107" w:rsidRPr="00C2763D">
        <w:t>,</w:t>
      </w:r>
      <w:r w:rsidRPr="00C2763D">
        <w:t xml:space="preserve"> en calidad de Oficina receptora y de Oficina designada</w:t>
      </w:r>
      <w:r w:rsidR="00323107" w:rsidRPr="00C2763D">
        <w:t>,</w:t>
      </w:r>
      <w:r w:rsidRPr="00C2763D">
        <w:t xml:space="preserve"> la opción de efectuar una notificación de incompatibilidad en relación con la Regla 20.5</w:t>
      </w:r>
      <w:r w:rsidRPr="00E606D9">
        <w:rPr>
          <w:i/>
        </w:rPr>
        <w:t>bis</w:t>
      </w:r>
      <w:r w:rsidRPr="00C2763D">
        <w:t xml:space="preserve"> del PCT propuesta</w:t>
      </w:r>
      <w:r w:rsidR="00FF11D2" w:rsidRPr="00C2763D">
        <w:t xml:space="preserve">; </w:t>
      </w:r>
      <w:r w:rsidRPr="00C2763D">
        <w:t xml:space="preserve">y iii) que las Administraciones encargadas de la búsqueda internacional </w:t>
      </w:r>
      <w:r w:rsidR="00E606D9">
        <w:t>estén</w:t>
      </w:r>
      <w:r w:rsidRPr="00C2763D">
        <w:t xml:space="preserve"> facultadas a cobrar una tasa adicional en el caso de que un elemento o parte “correctos” se incorporen después de que la Administración </w:t>
      </w:r>
      <w:r w:rsidR="00B66311">
        <w:t>haya</w:t>
      </w:r>
      <w:r w:rsidRPr="00C2763D">
        <w:t xml:space="preserve"> comenzado a redactar el informe de búsqueda internacional</w:t>
      </w:r>
      <w:r w:rsidR="00D62952" w:rsidRPr="00C2763D">
        <w:t>.</w:t>
      </w:r>
    </w:p>
    <w:p w:rsidR="00B72296" w:rsidRPr="00C2763D" w:rsidRDefault="00F22953" w:rsidP="00B72296">
      <w:pPr>
        <w:pStyle w:val="Heading1"/>
      </w:pPr>
      <w:r w:rsidRPr="00C2763D">
        <w:t>EVALUACIÓN DE LA PROPUESTA DE LA OFICINA INTERNACIONAL DE INTRODUCIR UNA REGLA PARA LOS ELEMENTOS Y LAS PARTES PRESENTADOS POR ERROR</w:t>
      </w:r>
    </w:p>
    <w:p w:rsidR="00B72296" w:rsidRPr="00C2763D" w:rsidRDefault="00F22953" w:rsidP="00B72296">
      <w:pPr>
        <w:pStyle w:val="Heading2"/>
      </w:pPr>
      <w:r w:rsidRPr="00C2763D">
        <w:t>COMPATIBILIDAD DE LA PROPUESTA CON EL</w:t>
      </w:r>
      <w:r w:rsidR="00B72296" w:rsidRPr="00C2763D">
        <w:t xml:space="preserve"> PLT</w:t>
      </w:r>
    </w:p>
    <w:p w:rsidR="00B72296" w:rsidRPr="00C2763D" w:rsidRDefault="005E38F0" w:rsidP="004E040D">
      <w:pPr>
        <w:pStyle w:val="ONUMFS"/>
      </w:pPr>
      <w:r w:rsidRPr="00C2763D">
        <w:t>La OEP admite</w:t>
      </w:r>
      <w:r w:rsidR="00F22953" w:rsidRPr="00C2763D">
        <w:t xml:space="preserve"> que no existe ninguna obligación </w:t>
      </w:r>
      <w:r w:rsidR="004E040D" w:rsidRPr="00C2763D">
        <w:rPr>
          <w:i/>
        </w:rPr>
        <w:t>ex lege</w:t>
      </w:r>
      <w:r w:rsidR="00F22953" w:rsidRPr="00C2763D">
        <w:t xml:space="preserve"> para que las solicitudes internacionales PCT cumplan con los requisitos relativos a la fecha de presentación que establece el PLT, </w:t>
      </w:r>
      <w:r w:rsidRPr="00C2763D">
        <w:t>aunque</w:t>
      </w:r>
      <w:r w:rsidR="00F22953" w:rsidRPr="00C2763D">
        <w:t xml:space="preserve"> recuerda que siempre ha habido consenso en el marco del PCT sobre la necesidad de armonizar </w:t>
      </w:r>
      <w:r w:rsidRPr="00C2763D">
        <w:t>este Tratado</w:t>
      </w:r>
      <w:r w:rsidR="00F22953" w:rsidRPr="00C2763D">
        <w:t>, en la medida de lo posible, con las disposiciones del PLT (véase por ejemplo el párrafo 66 del documento</w:t>
      </w:r>
      <w:r w:rsidR="00B72296" w:rsidRPr="00C2763D">
        <w:t xml:space="preserve"> PCT/R/1/26).</w:t>
      </w:r>
    </w:p>
    <w:p w:rsidR="00B72296" w:rsidRPr="00C2763D" w:rsidRDefault="005E38F0" w:rsidP="004E040D">
      <w:pPr>
        <w:pStyle w:val="ONUMFS"/>
      </w:pPr>
      <w:r w:rsidRPr="00C2763D">
        <w:t xml:space="preserve">A pesar de que los requisitos de presentación </w:t>
      </w:r>
      <w:r w:rsidR="00184D1E" w:rsidRPr="00C2763D">
        <w:t>que se establecen</w:t>
      </w:r>
      <w:r w:rsidRPr="00C2763D">
        <w:t xml:space="preserve"> en el PCT </w:t>
      </w:r>
      <w:r w:rsidR="00184D1E" w:rsidRPr="00C2763D">
        <w:t xml:space="preserve">y en el PLT </w:t>
      </w:r>
      <w:r w:rsidRPr="00C2763D">
        <w:t>no son idénticos</w:t>
      </w:r>
      <w:r w:rsidR="00837A45" w:rsidRPr="00C2763D">
        <w:t>, ambos tratados persiguen la armonización de los requisitos formales</w:t>
      </w:r>
      <w:r w:rsidR="00FF11D2" w:rsidRPr="00C2763D">
        <w:t xml:space="preserve">. </w:t>
      </w:r>
      <w:r w:rsidR="00837A45" w:rsidRPr="00C2763D">
        <w:t xml:space="preserve">En consecuencia, cualquier modificación del PCT debería cumplir con las </w:t>
      </w:r>
      <w:r w:rsidR="00C41A08">
        <w:t>pautas</w:t>
      </w:r>
      <w:r w:rsidR="00184D1E" w:rsidRPr="00C2763D">
        <w:t xml:space="preserve"> </w:t>
      </w:r>
      <w:r w:rsidR="00837A45" w:rsidRPr="00C2763D">
        <w:t xml:space="preserve">establecidas </w:t>
      </w:r>
      <w:r w:rsidR="00184D1E" w:rsidRPr="00C2763D">
        <w:t xml:space="preserve">en el PLT para no </w:t>
      </w:r>
      <w:r w:rsidR="00234C5C" w:rsidRPr="00C2763D">
        <w:t>menoscabar</w:t>
      </w:r>
      <w:r w:rsidR="00184D1E" w:rsidRPr="00C2763D">
        <w:t xml:space="preserve"> el objetivo de armonización común a ambos tratados</w:t>
      </w:r>
      <w:r w:rsidR="00FF11D2" w:rsidRPr="00C2763D">
        <w:t xml:space="preserve">. </w:t>
      </w:r>
      <w:r w:rsidR="00184D1E" w:rsidRPr="00C2763D">
        <w:t xml:space="preserve">Por otro lado, se </w:t>
      </w:r>
      <w:r w:rsidR="00234C5C" w:rsidRPr="00C2763D">
        <w:t>hace notar</w:t>
      </w:r>
      <w:r w:rsidR="00184D1E" w:rsidRPr="00C2763D">
        <w:t xml:space="preserve"> que </w:t>
      </w:r>
      <w:r w:rsidR="00234C5C" w:rsidRPr="00C2763D">
        <w:t xml:space="preserve">el documento preparado por la Oficina Internacional </w:t>
      </w:r>
      <w:r w:rsidR="00184D1E" w:rsidRPr="00C2763D">
        <w:t xml:space="preserve">no </w:t>
      </w:r>
      <w:r w:rsidR="00234C5C" w:rsidRPr="00C2763D">
        <w:t>permite</w:t>
      </w:r>
      <w:r w:rsidR="00184D1E" w:rsidRPr="00C2763D">
        <w:t xml:space="preserve"> extraer ninguna conclusión </w:t>
      </w:r>
      <w:r w:rsidR="00234C5C" w:rsidRPr="00C2763D">
        <w:t>respecto</w:t>
      </w:r>
      <w:r w:rsidR="00184D1E" w:rsidRPr="00C2763D">
        <w:t xml:space="preserve"> a la compatibilidad de la propuesta con el PLT</w:t>
      </w:r>
      <w:r w:rsidR="00234C5C" w:rsidRPr="00C2763D">
        <w:t>,</w:t>
      </w:r>
      <w:r w:rsidR="00184D1E" w:rsidRPr="00C2763D">
        <w:t xml:space="preserve"> y que por </w:t>
      </w:r>
      <w:r w:rsidR="00234C5C" w:rsidRPr="00C2763D">
        <w:t xml:space="preserve">lo </w:t>
      </w:r>
      <w:r w:rsidR="00184D1E" w:rsidRPr="00C2763D">
        <w:t>tanto la cuestión queda abierta en dicho documento</w:t>
      </w:r>
      <w:r w:rsidR="00B72296" w:rsidRPr="00C2763D">
        <w:t>.</w:t>
      </w:r>
    </w:p>
    <w:p w:rsidR="00B72296" w:rsidRPr="00C2763D" w:rsidRDefault="00234C5C" w:rsidP="004E040D">
      <w:pPr>
        <w:pStyle w:val="ONUMFS"/>
      </w:pPr>
      <w:r w:rsidRPr="00C2763D">
        <w:t xml:space="preserve">Desde la perspectiva del PCT, la introducción de un fundamento jurídico para la corrección de una solicitud internacional errónea </w:t>
      </w:r>
      <w:r w:rsidR="00B167A5" w:rsidRPr="00C2763D">
        <w:t>supondría una mejora de</w:t>
      </w:r>
      <w:r w:rsidRPr="00C2763D">
        <w:t xml:space="preserve"> la claridad y la seguridad jurídica</w:t>
      </w:r>
      <w:r w:rsidR="00B167A5" w:rsidRPr="00C2763D">
        <w:t>,</w:t>
      </w:r>
      <w:r w:rsidRPr="00C2763D">
        <w:t xml:space="preserve"> </w:t>
      </w:r>
      <w:r w:rsidR="00B167A5" w:rsidRPr="00C2763D">
        <w:t>ya que pondría</w:t>
      </w:r>
      <w:r w:rsidRPr="00C2763D">
        <w:t xml:space="preserve"> fin a la divergencia </w:t>
      </w:r>
      <w:r w:rsidR="00B167A5" w:rsidRPr="00C2763D">
        <w:t>de</w:t>
      </w:r>
      <w:r w:rsidRPr="00C2763D">
        <w:t xml:space="preserve"> prácticas </w:t>
      </w:r>
      <w:r w:rsidR="00B167A5" w:rsidRPr="00C2763D">
        <w:t>entre las</w:t>
      </w:r>
      <w:r w:rsidRPr="00C2763D">
        <w:t xml:space="preserve"> distintas Oficinas, </w:t>
      </w:r>
      <w:r w:rsidR="00B167A5" w:rsidRPr="00C2763D">
        <w:t xml:space="preserve">que </w:t>
      </w:r>
      <w:r w:rsidR="00D62952" w:rsidRPr="00C2763D">
        <w:t>genera</w:t>
      </w:r>
      <w:r w:rsidRPr="00C2763D">
        <w:t xml:space="preserve"> consecuencias negativas tanto para los solicitantes como para las oficinas</w:t>
      </w:r>
      <w:r w:rsidR="00C41A08">
        <w:t>.</w:t>
      </w:r>
    </w:p>
    <w:p w:rsidR="00B72296" w:rsidRPr="00C2763D" w:rsidRDefault="00B167A5" w:rsidP="00B72296">
      <w:pPr>
        <w:pStyle w:val="Heading2"/>
      </w:pPr>
      <w:r w:rsidRPr="00C2763D">
        <w:lastRenderedPageBreak/>
        <w:t>COMPATIBILIDAD DE LA PROPUESTA CON EL cpe</w:t>
      </w:r>
    </w:p>
    <w:p w:rsidR="00B72296" w:rsidRPr="00C2763D" w:rsidRDefault="00B167A5" w:rsidP="004E040D">
      <w:pPr>
        <w:pStyle w:val="ONUMFS"/>
      </w:pPr>
      <w:r w:rsidRPr="00C2763D">
        <w:t xml:space="preserve">La mayoría de los Estados Contratantes del CPE </w:t>
      </w:r>
      <w:r w:rsidR="00872CEA" w:rsidRPr="00C2763D">
        <w:t>son signatarios del</w:t>
      </w:r>
      <w:r w:rsidRPr="00C2763D">
        <w:t xml:space="preserve"> </w:t>
      </w:r>
      <w:r w:rsidR="00872CEA" w:rsidRPr="00C2763D">
        <w:t>PLT</w:t>
      </w:r>
      <w:r w:rsidR="00D62952" w:rsidRPr="00C2763D">
        <w:t>,</w:t>
      </w:r>
      <w:r w:rsidRPr="00C2763D">
        <w:t xml:space="preserve"> y la </w:t>
      </w:r>
      <w:r w:rsidR="00872CEA" w:rsidRPr="00C2763D">
        <w:t>intención del legislador</w:t>
      </w:r>
      <w:r w:rsidRPr="00C2763D">
        <w:t xml:space="preserve"> </w:t>
      </w:r>
      <w:r w:rsidR="00872CEA" w:rsidRPr="00C2763D">
        <w:t>al introducir</w:t>
      </w:r>
      <w:r w:rsidRPr="00C2763D">
        <w:t xml:space="preserve"> el CPE 2000 </w:t>
      </w:r>
      <w:r w:rsidR="00872CEA" w:rsidRPr="00C2763D">
        <w:t>fue</w:t>
      </w:r>
      <w:r w:rsidRPr="00C2763D">
        <w:t xml:space="preserve"> garantizar la conformidad de</w:t>
      </w:r>
      <w:r w:rsidR="00825343">
        <w:t xml:space="preserve"> ese</w:t>
      </w:r>
      <w:r w:rsidRPr="00C2763D">
        <w:t xml:space="preserve"> </w:t>
      </w:r>
      <w:r w:rsidR="00872CEA" w:rsidRPr="00C2763D">
        <w:t>Convenio</w:t>
      </w:r>
      <w:r w:rsidRPr="00C2763D">
        <w:t xml:space="preserve"> con las obligaciones internacionales de los Estados Contratantes del PLT</w:t>
      </w:r>
      <w:r w:rsidR="00FF11D2" w:rsidRPr="00C2763D">
        <w:t xml:space="preserve">. </w:t>
      </w:r>
      <w:r w:rsidRPr="00C2763D">
        <w:t xml:space="preserve">Por este motivo, </w:t>
      </w:r>
      <w:r w:rsidR="00872CEA" w:rsidRPr="00C2763D">
        <w:t xml:space="preserve">tanto </w:t>
      </w:r>
      <w:r w:rsidRPr="00C2763D">
        <w:t xml:space="preserve">la práctica de la OEP </w:t>
      </w:r>
      <w:r w:rsidR="00872CEA" w:rsidRPr="00C2763D">
        <w:t>como</w:t>
      </w:r>
      <w:r w:rsidRPr="00C2763D">
        <w:t xml:space="preserve"> las modificaciones que se introducen en el CPE </w:t>
      </w:r>
      <w:r w:rsidR="00872CEA" w:rsidRPr="00C2763D">
        <w:t>están en concordancia con el</w:t>
      </w:r>
      <w:r w:rsidRPr="00C2763D">
        <w:t xml:space="preserve"> PLT</w:t>
      </w:r>
      <w:r w:rsidR="00B72296" w:rsidRPr="00C2763D">
        <w:t>.</w:t>
      </w:r>
    </w:p>
    <w:p w:rsidR="00B72296" w:rsidRPr="00C2763D" w:rsidRDefault="00872CEA" w:rsidP="004E040D">
      <w:pPr>
        <w:pStyle w:val="ONUMFS"/>
      </w:pPr>
      <w:r w:rsidRPr="00C2763D">
        <w:t xml:space="preserve">La Regla 56 del CPE que sirve </w:t>
      </w:r>
      <w:r w:rsidR="007A3696" w:rsidRPr="00C2763D">
        <w:t>de</w:t>
      </w:r>
      <w:r w:rsidRPr="00C2763D">
        <w:t xml:space="preserve"> base para la presentación de partes omitidas de la descripción o dibujos omitidos no </w:t>
      </w:r>
      <w:r w:rsidR="007A3696" w:rsidRPr="00C2763D">
        <w:t xml:space="preserve">puede interpretarse en el sentido de que </w:t>
      </w:r>
      <w:r w:rsidRPr="00C2763D">
        <w:t>se pueda modificar, sustituir o suprimir parcial o íntegramente la descripción que se presentó originalmente para ob</w:t>
      </w:r>
      <w:r w:rsidR="007A3696" w:rsidRPr="00C2763D">
        <w:t>t</w:t>
      </w:r>
      <w:r w:rsidRPr="00C2763D">
        <w:t>ener una fecha de pr</w:t>
      </w:r>
      <w:r w:rsidR="007A3696" w:rsidRPr="00C2763D">
        <w:t>e</w:t>
      </w:r>
      <w:r w:rsidRPr="00C2763D">
        <w:t>sentación (</w:t>
      </w:r>
      <w:r w:rsidR="007A3696" w:rsidRPr="00C2763D">
        <w:t xml:space="preserve">Cámara de Recursos de la OEP, puntos 11 y 12 de las motivaciones del </w:t>
      </w:r>
      <w:r w:rsidR="00D24B28" w:rsidRPr="00C2763D">
        <w:t>asunto</w:t>
      </w:r>
      <w:r w:rsidR="007A3696" w:rsidRPr="00C2763D">
        <w:t xml:space="preserve"> J 27/10, y punto 4 de las motivaciones del </w:t>
      </w:r>
      <w:r w:rsidR="00D24B28" w:rsidRPr="00C2763D">
        <w:t>asunto</w:t>
      </w:r>
      <w:r w:rsidR="007A3696" w:rsidRPr="00C2763D">
        <w:t xml:space="preserve"> J 15/12)</w:t>
      </w:r>
      <w:r w:rsidR="00FF11D2" w:rsidRPr="00C2763D">
        <w:t xml:space="preserve">. </w:t>
      </w:r>
      <w:r w:rsidR="007A3696" w:rsidRPr="00C2763D">
        <w:t>La misma interpretación debe aplicarse a los dibujos omitidos</w:t>
      </w:r>
      <w:r w:rsidR="00FF11D2" w:rsidRPr="00C2763D">
        <w:t xml:space="preserve">. </w:t>
      </w:r>
      <w:r w:rsidR="007A3696" w:rsidRPr="00C2763D">
        <w:t xml:space="preserve">Tratándose de una excepción al principio de que el </w:t>
      </w:r>
      <w:r w:rsidR="009778AE" w:rsidRPr="00C2763D">
        <w:t>alcance de</w:t>
      </w:r>
      <w:r w:rsidR="007A3696" w:rsidRPr="00C2763D">
        <w:t xml:space="preserve"> </w:t>
      </w:r>
      <w:r w:rsidR="009778AE" w:rsidRPr="00C2763D">
        <w:t xml:space="preserve">la </w:t>
      </w:r>
      <w:r w:rsidR="007A3696" w:rsidRPr="00C2763D">
        <w:t xml:space="preserve">divulgación de una solicitud </w:t>
      </w:r>
      <w:r w:rsidR="009778AE" w:rsidRPr="00C2763D">
        <w:t>se encuentra</w:t>
      </w:r>
      <w:r w:rsidR="007A3696" w:rsidRPr="00C2763D">
        <w:t xml:space="preserve"> determinado por la divulgación en la fecha de la presentación, es preciso dar una interpretación restrictiva a la Regla 56 del CPE.</w:t>
      </w:r>
    </w:p>
    <w:p w:rsidR="00B72296" w:rsidRPr="00C2763D" w:rsidRDefault="006353B2" w:rsidP="004E040D">
      <w:pPr>
        <w:pStyle w:val="ONUMFS"/>
      </w:pPr>
      <w:r w:rsidRPr="00C2763D">
        <w:t>Con arreglo al</w:t>
      </w:r>
      <w:r w:rsidR="009778AE" w:rsidRPr="00C2763D">
        <w:t xml:space="preserve"> CPE, la cuestión de si se ha omitido una parte de la descripción o los dibujos </w:t>
      </w:r>
      <w:r w:rsidRPr="00C2763D">
        <w:t>se evalúa en el marco</w:t>
      </w:r>
      <w:r w:rsidR="009778AE" w:rsidRPr="00C2763D">
        <w:t xml:space="preserve"> del examen de las solicitudes </w:t>
      </w:r>
      <w:r w:rsidRPr="00C2763D">
        <w:t xml:space="preserve">previsto en el Artículo 90 del CPE en relación con el cumplimiento de </w:t>
      </w:r>
      <w:r w:rsidR="009778AE" w:rsidRPr="00C2763D">
        <w:t xml:space="preserve">los requisitos formales (Cámara de Recursos de la OEP, punto 13 de las motivaciones del </w:t>
      </w:r>
      <w:r w:rsidR="00D24B28" w:rsidRPr="00C2763D">
        <w:t>asunto</w:t>
      </w:r>
      <w:r w:rsidR="009778AE" w:rsidRPr="00C2763D">
        <w:t xml:space="preserve"> J 2/12)</w:t>
      </w:r>
      <w:r w:rsidR="00FF11D2" w:rsidRPr="00C2763D">
        <w:t xml:space="preserve">. </w:t>
      </w:r>
      <w:r w:rsidRPr="00C2763D">
        <w:t>Por lo tanto</w:t>
      </w:r>
      <w:r w:rsidR="009778AE" w:rsidRPr="00C2763D">
        <w:t xml:space="preserve">, </w:t>
      </w:r>
      <w:r w:rsidRPr="00C2763D">
        <w:t>es necesario que se desprenda claramente del contenido de los documentos tal como fueron presentados en la fecha de la presentación</w:t>
      </w:r>
      <w:r w:rsidR="009778AE" w:rsidRPr="00C2763D">
        <w:t xml:space="preserve">, sea de forma inmediata o a indicación del solicitante (véase el punto 9 de las motivaciones del </w:t>
      </w:r>
      <w:r w:rsidR="00D24B28" w:rsidRPr="00C2763D">
        <w:t>asunto</w:t>
      </w:r>
      <w:r w:rsidR="009778AE" w:rsidRPr="00C2763D">
        <w:t xml:space="preserve"> J 2/12)</w:t>
      </w:r>
      <w:r w:rsidRPr="00C2763D">
        <w:t>,</w:t>
      </w:r>
      <w:r w:rsidR="009778AE" w:rsidRPr="00C2763D">
        <w:t xml:space="preserve"> que una parte de la descripción o los dibujos ha sido objetivamente omitida</w:t>
      </w:r>
      <w:r w:rsidR="00B72296" w:rsidRPr="00C2763D">
        <w:t>.</w:t>
      </w:r>
    </w:p>
    <w:p w:rsidR="00B72296" w:rsidRPr="00C2763D" w:rsidRDefault="00FF6674" w:rsidP="004E040D">
      <w:pPr>
        <w:pStyle w:val="ONUMFS"/>
      </w:pPr>
      <w:r w:rsidRPr="00C2763D">
        <w:t>El término "descripción" que figura en la expresión "partes omitidas de la descripción" se refiere a la descripción que se presentó originalmente para obtener una fecha de presentación y no a otras descripciones, por ejemplo</w:t>
      </w:r>
      <w:r w:rsidR="00AB1DFF">
        <w:t>,</w:t>
      </w:r>
      <w:r w:rsidRPr="00C2763D">
        <w:t xml:space="preserve"> la descripción que el solicitante tenía intención de presentar o la que figura en una solicitud de prioridad</w:t>
      </w:r>
      <w:r w:rsidR="00FF11D2" w:rsidRPr="00C2763D">
        <w:t xml:space="preserve">. </w:t>
      </w:r>
      <w:r w:rsidRPr="00C2763D">
        <w:t xml:space="preserve">En sentido literal, la expresión "partes omitidas de la descripción" indica que algunas partes de la descripción </w:t>
      </w:r>
      <w:r w:rsidR="0039443C" w:rsidRPr="00C2763D">
        <w:t xml:space="preserve">faltan o </w:t>
      </w:r>
      <w:r w:rsidRPr="00C2763D">
        <w:t xml:space="preserve">han sido omitidas pero que otras partes sí se han presentado (Cámara de Recursos de la OEP, punto 11 de las motivaciones del </w:t>
      </w:r>
      <w:r w:rsidR="00D24B28" w:rsidRPr="00C2763D">
        <w:t>asunto</w:t>
      </w:r>
      <w:r w:rsidRPr="00C2763D">
        <w:t xml:space="preserve"> J 27/10)</w:t>
      </w:r>
      <w:r w:rsidR="00FF11D2" w:rsidRPr="00C2763D">
        <w:t xml:space="preserve">. </w:t>
      </w:r>
      <w:r w:rsidR="0039443C" w:rsidRPr="00C2763D">
        <w:t>Por lo tanto</w:t>
      </w:r>
      <w:r w:rsidRPr="00C2763D">
        <w:t xml:space="preserve">, </w:t>
      </w:r>
      <w:r w:rsidR="0039443C" w:rsidRPr="00C2763D">
        <w:t>en el marco del</w:t>
      </w:r>
      <w:r w:rsidRPr="00C2763D">
        <w:t xml:space="preserve"> CPE no </w:t>
      </w:r>
      <w:r w:rsidR="0039443C" w:rsidRPr="00C2763D">
        <w:t>hay</w:t>
      </w:r>
      <w:r w:rsidRPr="00C2763D">
        <w:t xml:space="preserve"> margen para </w:t>
      </w:r>
      <w:r w:rsidR="00D24B28" w:rsidRPr="00C2763D">
        <w:t>interpretar</w:t>
      </w:r>
      <w:r w:rsidRPr="00C2763D">
        <w:t xml:space="preserve"> que </w:t>
      </w:r>
      <w:r w:rsidR="000D4FAB" w:rsidRPr="00C2763D">
        <w:t>los</w:t>
      </w:r>
      <w:r w:rsidRPr="00C2763D">
        <w:t xml:space="preserve"> documentos de solicitud que</w:t>
      </w:r>
      <w:r w:rsidR="000D4FAB" w:rsidRPr="00C2763D">
        <w:t xml:space="preserve"> se presentaron y</w:t>
      </w:r>
      <w:r w:rsidRPr="00C2763D">
        <w:t xml:space="preserve"> parecían completos en la fecha de presentación eran "erróneos".</w:t>
      </w:r>
    </w:p>
    <w:p w:rsidR="00B72296" w:rsidRPr="00C2763D" w:rsidRDefault="003A7871" w:rsidP="004E040D">
      <w:pPr>
        <w:pStyle w:val="ONUMFS"/>
      </w:pPr>
      <w:r w:rsidRPr="00C2763D">
        <w:t xml:space="preserve">Uno de los principios fundamentales del CPE es que el contenido de una solicitud no </w:t>
      </w:r>
      <w:r w:rsidR="009D55B5" w:rsidRPr="00C2763D">
        <w:t>se puede ampliar</w:t>
      </w:r>
      <w:r w:rsidRPr="00C2763D">
        <w:t xml:space="preserve"> después de la fecha de presentación (Artículo 12</w:t>
      </w:r>
      <w:r w:rsidR="009D55B5" w:rsidRPr="00C2763D">
        <w:t>3</w:t>
      </w:r>
      <w:r w:rsidRPr="00C2763D">
        <w:t>.2</w:t>
      </w:r>
      <w:r w:rsidR="000D4FAB" w:rsidRPr="00C2763D">
        <w:t>)</w:t>
      </w:r>
      <w:r w:rsidRPr="00C2763D">
        <w:t xml:space="preserve"> del CPE, confirmado por la Cámara de Recursos de la OEP en los </w:t>
      </w:r>
      <w:r w:rsidR="000D4FAB" w:rsidRPr="00C2763D">
        <w:t>asuntos</w:t>
      </w:r>
      <w:r w:rsidRPr="00C2763D">
        <w:t xml:space="preserve"> G 3/89, G 11/91 y G 2/95, entre otros)</w:t>
      </w:r>
      <w:r w:rsidR="00FF11D2" w:rsidRPr="00C2763D">
        <w:t xml:space="preserve">. </w:t>
      </w:r>
      <w:r w:rsidRPr="00C2763D">
        <w:t>E</w:t>
      </w:r>
      <w:r w:rsidR="00ED08C7" w:rsidRPr="00C2763D">
        <w:t>ll</w:t>
      </w:r>
      <w:r w:rsidRPr="00C2763D">
        <w:t xml:space="preserve">o contribuye a la seguridad jurídica y </w:t>
      </w:r>
      <w:r w:rsidR="00ED08C7" w:rsidRPr="00C2763D">
        <w:t>protege</w:t>
      </w:r>
      <w:r w:rsidR="009D55B5" w:rsidRPr="00C2763D">
        <w:t xml:space="preserve"> los intereses</w:t>
      </w:r>
      <w:r w:rsidRPr="00C2763D">
        <w:t xml:space="preserve"> de terceros</w:t>
      </w:r>
      <w:r w:rsidR="00FF11D2" w:rsidRPr="00C2763D">
        <w:t xml:space="preserve">. </w:t>
      </w:r>
      <w:r w:rsidRPr="00C2763D">
        <w:t xml:space="preserve">El público no debe encontrarse por sorpresa con reivindicaciones u otros contenidos </w:t>
      </w:r>
      <w:r w:rsidR="00ED08C7" w:rsidRPr="00C2763D">
        <w:t>de</w:t>
      </w:r>
      <w:r w:rsidRPr="00C2763D">
        <w:t xml:space="preserve"> la divulgación que no cabía esperar razonablemente en la fecha de presentación, sobre la base de los documentos de solicitud </w:t>
      </w:r>
      <w:r w:rsidR="000D4FAB" w:rsidRPr="00C2763D">
        <w:t>tal como fueron o</w:t>
      </w:r>
      <w:r w:rsidRPr="00C2763D">
        <w:t>riginalmente presentados</w:t>
      </w:r>
      <w:r w:rsidR="00FF11D2" w:rsidRPr="00C2763D">
        <w:t xml:space="preserve">. </w:t>
      </w:r>
      <w:r w:rsidRPr="00C2763D">
        <w:t xml:space="preserve">Es más, de acuerdo con la "teoría </w:t>
      </w:r>
      <w:r w:rsidR="00ED08C7" w:rsidRPr="00C2763D">
        <w:t>de la recompensa</w:t>
      </w:r>
      <w:r w:rsidRPr="00C2763D">
        <w:t xml:space="preserve">" y el principio del </w:t>
      </w:r>
      <w:r w:rsidR="000D4FAB" w:rsidRPr="00C2763D">
        <w:t>"</w:t>
      </w:r>
      <w:r w:rsidR="00ED08C7" w:rsidRPr="00C2763D">
        <w:t>primer solicitante</w:t>
      </w:r>
      <w:r w:rsidR="000D4FAB" w:rsidRPr="00C2763D">
        <w:t>",</w:t>
      </w:r>
      <w:r w:rsidRPr="00C2763D">
        <w:t xml:space="preserve"> que </w:t>
      </w:r>
      <w:r w:rsidR="00AB1DFF">
        <w:t xml:space="preserve">fundamentan </w:t>
      </w:r>
      <w:r w:rsidRPr="00C2763D">
        <w:t xml:space="preserve">el sistema europeo de patentes, el solicitante no debe </w:t>
      </w:r>
      <w:r w:rsidR="00ED08C7" w:rsidRPr="00C2763D">
        <w:t xml:space="preserve">ser recompensado con un derecho exclusivo </w:t>
      </w:r>
      <w:r w:rsidRPr="00C2763D">
        <w:t>sobre materias que no se divulgaron en la fecha de presentación de la solicitud</w:t>
      </w:r>
      <w:r w:rsidR="00FF11D2" w:rsidRPr="00C2763D">
        <w:t xml:space="preserve">. </w:t>
      </w:r>
      <w:r w:rsidRPr="00C2763D">
        <w:t xml:space="preserve">La importancia de la prohibición </w:t>
      </w:r>
      <w:r w:rsidR="00ED08C7" w:rsidRPr="00C2763D">
        <w:t>de</w:t>
      </w:r>
      <w:r w:rsidRPr="00C2763D">
        <w:t xml:space="preserve"> ampliar la divulgación después de la fecha de presentación </w:t>
      </w:r>
      <w:r w:rsidR="00ED08C7" w:rsidRPr="00C2763D">
        <w:t>queda demostrada</w:t>
      </w:r>
      <w:r w:rsidRPr="00C2763D">
        <w:t xml:space="preserve"> por el hecho de que el Artículo 123.2</w:t>
      </w:r>
      <w:r w:rsidR="000D4FAB" w:rsidRPr="00C2763D">
        <w:t>)</w:t>
      </w:r>
      <w:r w:rsidRPr="00C2763D">
        <w:t xml:space="preserve"> del CPE es </w:t>
      </w:r>
      <w:r w:rsidR="00ED08C7" w:rsidRPr="00C2763D">
        <w:t>motivo</w:t>
      </w:r>
      <w:r w:rsidRPr="00C2763D">
        <w:t xml:space="preserve"> de oposición y revocación durante l</w:t>
      </w:r>
      <w:r w:rsidR="00AB1DFF">
        <w:t>a</w:t>
      </w:r>
      <w:r w:rsidRPr="00C2763D">
        <w:t xml:space="preserve"> </w:t>
      </w:r>
      <w:r w:rsidR="00AB1DFF">
        <w:t>tramitación nacional</w:t>
      </w:r>
      <w:r w:rsidRPr="00C2763D">
        <w:t xml:space="preserve"> (véanse los Artículos 100 y 138 del CPE).</w:t>
      </w:r>
    </w:p>
    <w:p w:rsidR="00B72296" w:rsidRPr="00C2763D" w:rsidRDefault="0083701C" w:rsidP="004E040D">
      <w:pPr>
        <w:pStyle w:val="ONUMFS"/>
      </w:pPr>
      <w:r w:rsidRPr="00C2763D">
        <w:t>En consonancia con el Artículo 123.2</w:t>
      </w:r>
      <w:r w:rsidR="000D4FAB" w:rsidRPr="00C2763D">
        <w:t>)</w:t>
      </w:r>
      <w:r w:rsidRPr="00C2763D">
        <w:t xml:space="preserve"> del CPE, toda la información contenida en una solicitud presentada forma parte de la divulgación de la invención</w:t>
      </w:r>
      <w:r w:rsidR="00FF11D2" w:rsidRPr="00C2763D">
        <w:t xml:space="preserve">. </w:t>
      </w:r>
      <w:r w:rsidRPr="00C2763D">
        <w:t>Por lo tanto, su supresión debe tratarse como una modificación o corrección de la solicitud</w:t>
      </w:r>
      <w:r w:rsidR="00B72296" w:rsidRPr="00C2763D">
        <w:t>.</w:t>
      </w:r>
    </w:p>
    <w:p w:rsidR="00B72296" w:rsidRPr="00C2763D" w:rsidRDefault="0083701C" w:rsidP="004E040D">
      <w:pPr>
        <w:pStyle w:val="ONUMFS"/>
      </w:pPr>
      <w:r w:rsidRPr="00C2763D">
        <w:lastRenderedPageBreak/>
        <w:t xml:space="preserve">La sustitución de elementos completos </w:t>
      </w:r>
      <w:r w:rsidR="000372BF" w:rsidRPr="00C2763D">
        <w:t>determinantes de</w:t>
      </w:r>
      <w:r w:rsidRPr="00C2763D">
        <w:t xml:space="preserve"> la divulgación de la invención (</w:t>
      </w:r>
      <w:r w:rsidR="00671AFD" w:rsidRPr="00C2763D">
        <w:t xml:space="preserve">sea </w:t>
      </w:r>
      <w:r w:rsidRPr="00C2763D">
        <w:t>la descripción, las reivindicaciones o un conjunto de dibujos) como correcció</w:t>
      </w:r>
      <w:r w:rsidR="00671AFD" w:rsidRPr="00C2763D">
        <w:t>n de los documentos de solicitu</w:t>
      </w:r>
      <w:r w:rsidRPr="00C2763D">
        <w:t>d</w:t>
      </w:r>
      <w:r w:rsidR="000372BF" w:rsidRPr="00C2763D">
        <w:t>,</w:t>
      </w:r>
      <w:r w:rsidRPr="00C2763D">
        <w:t xml:space="preserve"> sobre la base de la </w:t>
      </w:r>
      <w:r w:rsidR="000D4FAB" w:rsidRPr="00C2763D">
        <w:t>apreciación</w:t>
      </w:r>
      <w:r w:rsidRPr="00C2763D">
        <w:t xml:space="preserve"> del solicitante de que un elemento se ha presentado "por error"</w:t>
      </w:r>
      <w:r w:rsidR="000372BF" w:rsidRPr="00C2763D">
        <w:t>,</w:t>
      </w:r>
      <w:r w:rsidRPr="00C2763D">
        <w:t xml:space="preserve"> </w:t>
      </w:r>
      <w:r w:rsidR="000372BF" w:rsidRPr="00C2763D">
        <w:t>supondría</w:t>
      </w:r>
      <w:r w:rsidRPr="00C2763D">
        <w:t xml:space="preserve"> un cambio en la divulgación de la solicitud</w:t>
      </w:r>
      <w:r w:rsidR="00FF11D2" w:rsidRPr="00C2763D">
        <w:t xml:space="preserve">. </w:t>
      </w:r>
      <w:r w:rsidRPr="00C2763D">
        <w:t xml:space="preserve">En consecuencia, no es aceptable en virtud de la Regla 139 del CPE, incluso aunque esos elementos estuvieran presentes en la solicitud de prioridad (véase Cámara de Recursos de la OEP, puntos 3 y 4 de las motivaciones del </w:t>
      </w:r>
      <w:r w:rsidR="000D4FAB" w:rsidRPr="00C2763D">
        <w:t>asunto</w:t>
      </w:r>
      <w:r w:rsidRPr="00C2763D">
        <w:t xml:space="preserve"> G 11/91, y puntos 2 a 4 de las motivaciones del </w:t>
      </w:r>
      <w:r w:rsidR="000D4FAB" w:rsidRPr="00C2763D">
        <w:t>asunto</w:t>
      </w:r>
      <w:r w:rsidRPr="00C2763D">
        <w:t xml:space="preserve"> G 2/95).</w:t>
      </w:r>
    </w:p>
    <w:p w:rsidR="00B72296" w:rsidRPr="00C2763D" w:rsidRDefault="00671AFD" w:rsidP="004E040D">
      <w:pPr>
        <w:pStyle w:val="ONUMFS"/>
      </w:pPr>
      <w:r w:rsidRPr="00C2763D">
        <w:t xml:space="preserve">Tal como se </w:t>
      </w:r>
      <w:r w:rsidR="00297048" w:rsidRPr="00C2763D">
        <w:t>establece</w:t>
      </w:r>
      <w:r w:rsidRPr="00C2763D">
        <w:t xml:space="preserve"> en el Artículo 2.1</w:t>
      </w:r>
      <w:r w:rsidR="000372BF" w:rsidRPr="00C2763D">
        <w:t>)</w:t>
      </w:r>
      <w:r w:rsidRPr="00C2763D">
        <w:t xml:space="preserve"> del PLT, las Partes Contratantes no pueden disponer requisitos que sean más favorables a los solicitantes que los mencionados en el Artículo 5 del PLT</w:t>
      </w:r>
      <w:r w:rsidR="00FF11D2" w:rsidRPr="00C2763D">
        <w:t xml:space="preserve">. </w:t>
      </w:r>
      <w:r w:rsidRPr="00C2763D">
        <w:t>La Regla 56 del CPE</w:t>
      </w:r>
      <w:r w:rsidR="0079105F" w:rsidRPr="00C2763D">
        <w:t xml:space="preserve"> aplica el Artículo 5.6</w:t>
      </w:r>
      <w:r w:rsidR="000372BF" w:rsidRPr="00C2763D">
        <w:t>)</w:t>
      </w:r>
      <w:r w:rsidR="0079105F" w:rsidRPr="00C2763D">
        <w:t xml:space="preserve"> del PLT (v</w:t>
      </w:r>
      <w:r w:rsidR="00297048" w:rsidRPr="00C2763D">
        <w:t>éa</w:t>
      </w:r>
      <w:r w:rsidR="000372BF" w:rsidRPr="00C2763D">
        <w:t>n</w:t>
      </w:r>
      <w:r w:rsidR="0079105F" w:rsidRPr="00C2763D">
        <w:t>se</w:t>
      </w:r>
      <w:r w:rsidR="000372BF" w:rsidRPr="00C2763D">
        <w:t xml:space="preserve"> las Observaciones explicativas de 2002</w:t>
      </w:r>
      <w:r w:rsidR="00FF11D2" w:rsidRPr="00C2763D">
        <w:t xml:space="preserve">: </w:t>
      </w:r>
      <w:r w:rsidR="0079105F" w:rsidRPr="00C2763D">
        <w:t>CA/PL 5/02 Rev</w:t>
      </w:r>
      <w:r w:rsidR="00FF11D2" w:rsidRPr="00C2763D">
        <w:t xml:space="preserve">. </w:t>
      </w:r>
      <w:r w:rsidR="0079105F" w:rsidRPr="00C2763D">
        <w:t xml:space="preserve">1 Add.1, </w:t>
      </w:r>
      <w:r w:rsidR="000372BF" w:rsidRPr="00C2763D">
        <w:t>cuyo texto se reproduce</w:t>
      </w:r>
      <w:r w:rsidR="0079105F" w:rsidRPr="00C2763D">
        <w:t xml:space="preserve"> en </w:t>
      </w:r>
      <w:r w:rsidR="004E040D" w:rsidRPr="00C2763D">
        <w:rPr>
          <w:i/>
        </w:rPr>
        <w:t>Special Edition No. 5</w:t>
      </w:r>
      <w:r w:rsidR="00297048" w:rsidRPr="00C2763D">
        <w:t xml:space="preserve">, </w:t>
      </w:r>
      <w:r w:rsidR="004E040D" w:rsidRPr="00C2763D">
        <w:rPr>
          <w:i/>
        </w:rPr>
        <w:t>Official Journal EPO 2007</w:t>
      </w:r>
      <w:r w:rsidR="00297048" w:rsidRPr="00C2763D">
        <w:t>, 102</w:t>
      </w:r>
      <w:r w:rsidR="0079105F" w:rsidRPr="00C2763D">
        <w:t xml:space="preserve">) y su redacción corresponde en buena medida a la </w:t>
      </w:r>
      <w:r w:rsidR="00297048" w:rsidRPr="00C2763D">
        <w:t xml:space="preserve">que se usa en </w:t>
      </w:r>
      <w:r w:rsidR="0079105F" w:rsidRPr="00C2763D">
        <w:t>el PLT</w:t>
      </w:r>
      <w:r w:rsidR="00FF11D2" w:rsidRPr="00C2763D">
        <w:t xml:space="preserve">. </w:t>
      </w:r>
      <w:r w:rsidR="0079105F" w:rsidRPr="00C2763D">
        <w:t xml:space="preserve">La interpretación </w:t>
      </w:r>
      <w:r w:rsidR="00297048" w:rsidRPr="00C2763D">
        <w:t xml:space="preserve">de la Regla 56 del CPE </w:t>
      </w:r>
      <w:r w:rsidR="0079105F" w:rsidRPr="00C2763D">
        <w:t xml:space="preserve">que </w:t>
      </w:r>
      <w:r w:rsidR="00297048" w:rsidRPr="00C2763D">
        <w:t>mantiene</w:t>
      </w:r>
      <w:r w:rsidR="0079105F" w:rsidRPr="00C2763D">
        <w:t xml:space="preserve"> la Cámara de Recursos en materia jurídica de la OEP </w:t>
      </w:r>
      <w:r w:rsidR="00297048" w:rsidRPr="00C2763D">
        <w:t>sirve de base para</w:t>
      </w:r>
      <w:r w:rsidR="0079105F" w:rsidRPr="00C2763D">
        <w:t xml:space="preserve"> la interpretación del PLT que </w:t>
      </w:r>
      <w:r w:rsidR="00297048" w:rsidRPr="00C2763D">
        <w:t>aplica</w:t>
      </w:r>
      <w:r w:rsidR="0079105F" w:rsidRPr="00C2763D">
        <w:t xml:space="preserve"> la OEP.</w:t>
      </w:r>
    </w:p>
    <w:p w:rsidR="00B72296" w:rsidRPr="00C2763D" w:rsidRDefault="00297048" w:rsidP="004E040D">
      <w:pPr>
        <w:pStyle w:val="ONUMFS"/>
      </w:pPr>
      <w:r w:rsidRPr="00C2763D">
        <w:t>La modificaci</w:t>
      </w:r>
      <w:r w:rsidR="00D54460" w:rsidRPr="00C2763D">
        <w:t>ón</w:t>
      </w:r>
      <w:r w:rsidRPr="00C2763D">
        <w:t xml:space="preserve"> del Reglamento de </w:t>
      </w:r>
      <w:r w:rsidR="00D54460" w:rsidRPr="00C2763D">
        <w:t>Ejecución</w:t>
      </w:r>
      <w:r w:rsidRPr="00C2763D">
        <w:t xml:space="preserve"> del CPE (en concreto</w:t>
      </w:r>
      <w:r w:rsidR="00D54460" w:rsidRPr="00C2763D">
        <w:t xml:space="preserve"> de</w:t>
      </w:r>
      <w:r w:rsidR="00DB6F28">
        <w:t xml:space="preserve"> la Regla 56</w:t>
      </w:r>
      <w:r w:rsidRPr="00C2763D">
        <w:t>) en la línea de la propuesta elaborada por la Oficina Internacional parece poner en cuesti</w:t>
      </w:r>
      <w:r w:rsidR="00D54460" w:rsidRPr="00C2763D">
        <w:t>ó</w:t>
      </w:r>
      <w:r w:rsidRPr="00C2763D">
        <w:t xml:space="preserve">n el principio </w:t>
      </w:r>
      <w:r w:rsidR="00D54460" w:rsidRPr="00C2763D">
        <w:t xml:space="preserve">del CPE de que la divulgación de la solicitud </w:t>
      </w:r>
      <w:r w:rsidR="000372BF" w:rsidRPr="00C2763D">
        <w:t>se encuentra</w:t>
      </w:r>
      <w:r w:rsidR="00D54460" w:rsidRPr="00C2763D">
        <w:t xml:space="preserve"> determinada por los documentos de solicitud tal como fueron presentados en la fecha de presentación</w:t>
      </w:r>
      <w:r w:rsidR="00B72296" w:rsidRPr="00C2763D">
        <w:t>.</w:t>
      </w:r>
    </w:p>
    <w:p w:rsidR="00B72296" w:rsidRPr="00C2763D" w:rsidRDefault="00D54460" w:rsidP="00B72296">
      <w:pPr>
        <w:pStyle w:val="Heading2"/>
      </w:pPr>
      <w:r w:rsidRPr="00C2763D">
        <w:t>RESULTADO DE LAS CONSULTAS</w:t>
      </w:r>
      <w:r w:rsidR="00B72296" w:rsidRPr="00C2763D">
        <w:t xml:space="preserve"> – </w:t>
      </w:r>
      <w:r w:rsidRPr="00C2763D">
        <w:t>CONDICIONES PARA LA INTRODUCCIÓN DE UNA NUEVA REGLA</w:t>
      </w:r>
    </w:p>
    <w:p w:rsidR="00B72296" w:rsidRPr="00C2763D" w:rsidRDefault="001A0576" w:rsidP="004E040D">
      <w:pPr>
        <w:pStyle w:val="ONUMFS"/>
      </w:pPr>
      <w:r w:rsidRPr="00C2763D">
        <w:t>El principio de que la divulgación queda determinada en la fecha de presentación es uno de los fundamentos del sistema de patentes</w:t>
      </w:r>
      <w:r w:rsidR="00FF11D2" w:rsidRPr="00C2763D">
        <w:t xml:space="preserve">. </w:t>
      </w:r>
      <w:r w:rsidR="00591A56" w:rsidRPr="00C2763D">
        <w:t>U</w:t>
      </w:r>
      <w:r w:rsidRPr="00C2763D">
        <w:t>na nueva disposición que permit</w:t>
      </w:r>
      <w:r w:rsidR="009C606A" w:rsidRPr="00C2763D">
        <w:t>ier</w:t>
      </w:r>
      <w:r w:rsidRPr="00C2763D">
        <w:t xml:space="preserve">a la corrección de la solicitud internacional en </w:t>
      </w:r>
      <w:r w:rsidR="000372BF" w:rsidRPr="00C2763D">
        <w:t>el supuesto de que hubier</w:t>
      </w:r>
      <w:r w:rsidR="000C0CDB" w:rsidRPr="00C2763D">
        <w:t>a</w:t>
      </w:r>
      <w:r w:rsidRPr="00C2763D">
        <w:t xml:space="preserve"> elementos y partes presentados "por error" constituiría una excepción a este principio fundamental</w:t>
      </w:r>
      <w:r w:rsidR="00FF11D2" w:rsidRPr="00C2763D">
        <w:t xml:space="preserve">. </w:t>
      </w:r>
      <w:r w:rsidRPr="00C2763D">
        <w:t xml:space="preserve">Las disposiciones existentes que </w:t>
      </w:r>
      <w:r w:rsidR="00591A56" w:rsidRPr="00C2763D">
        <w:t>permiten</w:t>
      </w:r>
      <w:r w:rsidRPr="00C2763D">
        <w:t xml:space="preserve"> al solicitante incorporar por referencia partes omitidas (Reglas 4.18, 20.5.a)ii) y 20.6.a)</w:t>
      </w:r>
      <w:r w:rsidR="008832CB" w:rsidRPr="00C2763D">
        <w:t xml:space="preserve">) </w:t>
      </w:r>
      <w:r w:rsidR="009C606A" w:rsidRPr="00C2763D">
        <w:t>suponen</w:t>
      </w:r>
      <w:r w:rsidR="008832CB" w:rsidRPr="00C2763D">
        <w:t xml:space="preserve"> también una excepción a este principio fundamental</w:t>
      </w:r>
      <w:r w:rsidR="00FF11D2" w:rsidRPr="00C2763D">
        <w:t xml:space="preserve">. </w:t>
      </w:r>
      <w:r w:rsidR="008832CB" w:rsidRPr="00C2763D">
        <w:t xml:space="preserve">Por lo tanto, parece adecuado someter la Regla </w:t>
      </w:r>
      <w:r w:rsidR="009C606A" w:rsidRPr="00C2763D">
        <w:t>2</w:t>
      </w:r>
      <w:r w:rsidR="008832CB" w:rsidRPr="00C2763D">
        <w:t>0.5</w:t>
      </w:r>
      <w:r w:rsidR="008832CB" w:rsidRPr="00E606D9">
        <w:rPr>
          <w:i/>
        </w:rPr>
        <w:t>bis</w:t>
      </w:r>
      <w:r w:rsidR="008832CB" w:rsidRPr="00C2763D">
        <w:t xml:space="preserve"> propuesta a condiciones análogas a las que se aplican a las excepciones vigentes, a saber, que solo cabe admitir una incorporación por referencia sin modificación de la fecha de presentación en el caso de que las partes o elementos en cuestión </w:t>
      </w:r>
      <w:r w:rsidR="009C606A" w:rsidRPr="00C2763D">
        <w:t>estuvieran contenidos</w:t>
      </w:r>
      <w:r w:rsidR="008832CB" w:rsidRPr="00C2763D">
        <w:t xml:space="preserve"> íntegramente en la solicitud </w:t>
      </w:r>
      <w:r w:rsidR="009C606A" w:rsidRPr="00C2763D">
        <w:t>anterior</w:t>
      </w:r>
      <w:r w:rsidR="008832CB" w:rsidRPr="00C2763D">
        <w:t xml:space="preserve"> cuya prioridad se reivindic</w:t>
      </w:r>
      <w:r w:rsidR="009C606A" w:rsidRPr="00C2763D">
        <w:t>ó</w:t>
      </w:r>
      <w:r w:rsidR="008832CB" w:rsidRPr="00C2763D">
        <w:t xml:space="preserve"> en la fecha de presentación internacional.</w:t>
      </w:r>
    </w:p>
    <w:p w:rsidR="00B72296" w:rsidRPr="00C2763D" w:rsidRDefault="004F551E" w:rsidP="004E040D">
      <w:pPr>
        <w:pStyle w:val="ONUMFS"/>
      </w:pPr>
      <w:bookmarkStart w:id="5" w:name="_Ref515454016"/>
      <w:r w:rsidRPr="00C2763D">
        <w:t xml:space="preserve">Sobre la base del análisis precedente y de las conversaciones mantenidas en el seno del Comité de la OEP sobre el Derecho de Patentes y con usuarios europeos, a efectos de poder prestar apoyo a la propuesta de la Oficina Internacional de introducir un fundamento jurídico para permitir la corrección de elementos y partes de la solicitud internacional presentados por error </w:t>
      </w:r>
      <w:r w:rsidR="000C0CDB" w:rsidRPr="00C2763D">
        <w:t>en base a</w:t>
      </w:r>
      <w:r w:rsidRPr="00C2763D">
        <w:t xml:space="preserve"> la solicitud de prioridad, la OEP sugiere que la propuesta se especifique </w:t>
      </w:r>
      <w:r w:rsidR="000C0CDB" w:rsidRPr="00C2763D">
        <w:t xml:space="preserve">de acuerdo con </w:t>
      </w:r>
      <w:r w:rsidRPr="00C2763D">
        <w:t>las siguientes condiciones:</w:t>
      </w:r>
      <w:bookmarkEnd w:id="5"/>
    </w:p>
    <w:p w:rsidR="00B72296" w:rsidRPr="00C2763D" w:rsidRDefault="00B12AB4" w:rsidP="001D5BDF">
      <w:pPr>
        <w:pStyle w:val="ONUMFS"/>
        <w:numPr>
          <w:ilvl w:val="0"/>
          <w:numId w:val="10"/>
        </w:numPr>
        <w:ind w:left="1134" w:hanging="567"/>
      </w:pPr>
      <w:r w:rsidRPr="00C2763D">
        <w:t xml:space="preserve">las </w:t>
      </w:r>
      <w:r w:rsidR="000C0CDB" w:rsidRPr="00C2763D">
        <w:t>Directrices para las Oficinas receptoras del PCT debe</w:t>
      </w:r>
      <w:r w:rsidR="00CF1FB3" w:rsidRPr="00C2763D">
        <w:t>ría</w:t>
      </w:r>
      <w:r w:rsidR="000C0CDB" w:rsidRPr="00C2763D">
        <w:t>n modificarse para aclarar que la Regla 20.5 se refiere exclusivamente a los supuestos en los que una parte de la descripción, las reivindicaciones o los dibujos se hayan omitido “verdaderamente” en la solicitud internacional, pero no cubren los supuestos en los que se haya presentado por error todo un elemento o una parte de la solicitud internacional</w:t>
      </w:r>
      <w:r w:rsidR="00B72296" w:rsidRPr="00C2763D">
        <w:t>;</w:t>
      </w:r>
    </w:p>
    <w:p w:rsidR="00B72296" w:rsidRPr="00C2763D" w:rsidRDefault="00B12AB4" w:rsidP="001D5BDF">
      <w:pPr>
        <w:pStyle w:val="ONUMFS"/>
        <w:numPr>
          <w:ilvl w:val="0"/>
          <w:numId w:val="10"/>
        </w:numPr>
        <w:ind w:left="1134" w:hanging="567"/>
      </w:pPr>
      <w:r w:rsidRPr="00C2763D">
        <w:t xml:space="preserve">la </w:t>
      </w:r>
      <w:r w:rsidR="000C0CDB" w:rsidRPr="00C2763D">
        <w:t xml:space="preserve">nueva disposición no debería permitir la "sustitución" del elemento o parte erróneo, sino únicamente la incorporación por referencia de un elemento o parte correcto que </w:t>
      </w:r>
      <w:r w:rsidR="00591A56" w:rsidRPr="00C2763D">
        <w:t>figure</w:t>
      </w:r>
      <w:r w:rsidR="000C0CDB" w:rsidRPr="00C2763D">
        <w:t xml:space="preserve"> íntegramente en la solicitud de prioridad</w:t>
      </w:r>
      <w:r w:rsidR="00B72296" w:rsidRPr="00C2763D">
        <w:t>;</w:t>
      </w:r>
    </w:p>
    <w:p w:rsidR="00B72296" w:rsidRPr="00C2763D" w:rsidRDefault="00B12AB4" w:rsidP="001D5BDF">
      <w:pPr>
        <w:pStyle w:val="ONUMFS"/>
        <w:numPr>
          <w:ilvl w:val="0"/>
          <w:numId w:val="10"/>
        </w:numPr>
        <w:ind w:left="1134" w:hanging="567"/>
      </w:pPr>
      <w:r w:rsidRPr="00C2763D">
        <w:lastRenderedPageBreak/>
        <w:t xml:space="preserve">la </w:t>
      </w:r>
      <w:r w:rsidR="000C0CDB" w:rsidRPr="00C2763D">
        <w:t>incorporación por referencia y la corrección de elementos o partes presentados por error solo debe</w:t>
      </w:r>
      <w:r w:rsidR="00CF1FB3" w:rsidRPr="00C2763D">
        <w:t>ría</w:t>
      </w:r>
      <w:r w:rsidR="000C0CDB" w:rsidRPr="00C2763D">
        <w:t xml:space="preserve"> permitirse en la fase previa a la publicación</w:t>
      </w:r>
      <w:r>
        <w:t>;</w:t>
      </w:r>
    </w:p>
    <w:p w:rsidR="00B72296" w:rsidRPr="00C2763D" w:rsidRDefault="00B12AB4" w:rsidP="001D5BDF">
      <w:pPr>
        <w:pStyle w:val="ONUMFS"/>
        <w:numPr>
          <w:ilvl w:val="0"/>
          <w:numId w:val="10"/>
        </w:numPr>
        <w:ind w:left="1134" w:hanging="567"/>
      </w:pPr>
      <w:r w:rsidRPr="00C2763D">
        <w:t xml:space="preserve">la </w:t>
      </w:r>
      <w:r w:rsidR="000C0CDB" w:rsidRPr="00C2763D">
        <w:t>Administración encargada de la búsqueda internacional</w:t>
      </w:r>
      <w:r w:rsidR="00CF1FB3" w:rsidRPr="00C2763D">
        <w:t xml:space="preserve"> debería poder cobrar una tasa </w:t>
      </w:r>
      <w:r>
        <w:t>adicional</w:t>
      </w:r>
      <w:r w:rsidR="00CF1FB3" w:rsidRPr="00C2763D">
        <w:t xml:space="preserve"> si ya hubiera iniciado la búsqueda en relación con la solicitud errónea</w:t>
      </w:r>
      <w:r w:rsidR="00FF11D2" w:rsidRPr="00C2763D">
        <w:t xml:space="preserve">; </w:t>
      </w:r>
      <w:r w:rsidR="00CF1FB3" w:rsidRPr="00C2763D">
        <w:t>y</w:t>
      </w:r>
    </w:p>
    <w:p w:rsidR="00B72296" w:rsidRPr="00C2763D" w:rsidRDefault="00B12AB4" w:rsidP="001D5BDF">
      <w:pPr>
        <w:pStyle w:val="ONUMFS"/>
        <w:numPr>
          <w:ilvl w:val="0"/>
          <w:numId w:val="10"/>
        </w:numPr>
        <w:ind w:left="1134" w:hanging="567"/>
      </w:pPr>
      <w:r w:rsidRPr="00C2763D">
        <w:t xml:space="preserve">las </w:t>
      </w:r>
      <w:r w:rsidR="00CF1FB3" w:rsidRPr="00C2763D">
        <w:t>Oficinas receptoras y las Oficinas designadas deberían poder presentar una notificación de incompatibilidad cuando su derecho nacional no permita la corrección de solicitudes erróneas</w:t>
      </w:r>
      <w:r w:rsidR="00B72296" w:rsidRPr="00C2763D">
        <w:t>.</w:t>
      </w:r>
    </w:p>
    <w:p w:rsidR="004E040D" w:rsidRPr="00C2763D" w:rsidRDefault="004E040D" w:rsidP="0033350A">
      <w:pPr>
        <w:pStyle w:val="ONUMFS"/>
        <w:ind w:left="5534"/>
        <w:rPr>
          <w:i/>
        </w:rPr>
      </w:pPr>
      <w:r w:rsidRPr="00C2763D">
        <w:rPr>
          <w:i/>
        </w:rPr>
        <w:t xml:space="preserve">Se invita al Grupo de Trabajo a considerar la propuesta que consta en el párrafo </w:t>
      </w:r>
      <w:r w:rsidR="00B210E0">
        <w:fldChar w:fldCharType="begin"/>
      </w:r>
      <w:r w:rsidR="00B210E0">
        <w:rPr>
          <w:i/>
        </w:rPr>
        <w:instrText xml:space="preserve"> REF _Ref515454016 \r \h </w:instrText>
      </w:r>
      <w:r w:rsidR="00B210E0">
        <w:fldChar w:fldCharType="separate"/>
      </w:r>
      <w:r w:rsidR="00B210E0">
        <w:rPr>
          <w:i/>
        </w:rPr>
        <w:t>30</w:t>
      </w:r>
      <w:r w:rsidR="00B210E0">
        <w:fldChar w:fldCharType="end"/>
      </w:r>
      <w:r w:rsidRPr="00C2763D">
        <w:rPr>
          <w:i/>
        </w:rPr>
        <w:t xml:space="preserve"> </w:t>
      </w:r>
      <w:bookmarkStart w:id="6" w:name="_GoBack"/>
      <w:bookmarkEnd w:id="6"/>
      <w:r w:rsidRPr="00C2763D">
        <w:rPr>
          <w:i/>
        </w:rPr>
        <w:t>del presente documento.</w:t>
      </w:r>
    </w:p>
    <w:p w:rsidR="00B72296" w:rsidRPr="00C2763D" w:rsidRDefault="00B72296" w:rsidP="0033350A">
      <w:pPr>
        <w:pStyle w:val="ONUMFS"/>
        <w:numPr>
          <w:ilvl w:val="0"/>
          <w:numId w:val="0"/>
        </w:numPr>
      </w:pPr>
    </w:p>
    <w:p w:rsidR="00152CEA" w:rsidRPr="000D4FAB" w:rsidRDefault="00B72296" w:rsidP="00F800A9">
      <w:pPr>
        <w:pStyle w:val="Endofdocument-Annex"/>
      </w:pPr>
      <w:r w:rsidRPr="00C2763D">
        <w:rPr>
          <w:lang w:val="es-ES"/>
        </w:rPr>
        <w:t>[</w:t>
      </w:r>
      <w:r w:rsidR="004F551E" w:rsidRPr="00C2763D">
        <w:rPr>
          <w:lang w:val="es-ES"/>
        </w:rPr>
        <w:t>Fin del documento</w:t>
      </w:r>
      <w:r w:rsidRPr="00C2763D">
        <w:rPr>
          <w:lang w:val="es-ES"/>
        </w:rPr>
        <w:t>]</w:t>
      </w:r>
    </w:p>
    <w:sectPr w:rsidR="00152CEA" w:rsidRPr="000D4FAB" w:rsidSect="00CD6628">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A2A" w:rsidRDefault="00160A2A">
      <w:r>
        <w:separator/>
      </w:r>
    </w:p>
  </w:endnote>
  <w:endnote w:type="continuationSeparator" w:id="0">
    <w:p w:rsidR="00160A2A" w:rsidRPr="009D30E6" w:rsidRDefault="00160A2A" w:rsidP="007E663E">
      <w:pPr>
        <w:rPr>
          <w:sz w:val="17"/>
          <w:szCs w:val="17"/>
        </w:rPr>
      </w:pPr>
      <w:r w:rsidRPr="009D30E6">
        <w:rPr>
          <w:sz w:val="17"/>
          <w:szCs w:val="17"/>
        </w:rPr>
        <w:separator/>
      </w:r>
    </w:p>
    <w:p w:rsidR="00160A2A" w:rsidRPr="007E663E" w:rsidRDefault="00160A2A" w:rsidP="007E663E">
      <w:pPr>
        <w:spacing w:after="60"/>
        <w:rPr>
          <w:sz w:val="17"/>
          <w:szCs w:val="17"/>
        </w:rPr>
      </w:pPr>
      <w:r>
        <w:rPr>
          <w:sz w:val="17"/>
        </w:rPr>
        <w:t>[Continuación de la nota de la página anterior]</w:t>
      </w:r>
    </w:p>
  </w:endnote>
  <w:endnote w:type="continuationNotice" w:id="1">
    <w:p w:rsidR="00160A2A" w:rsidRPr="007E663E" w:rsidRDefault="00160A2A"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A2A" w:rsidRDefault="00160A2A">
      <w:r>
        <w:separator/>
      </w:r>
    </w:p>
  </w:footnote>
  <w:footnote w:type="continuationSeparator" w:id="0">
    <w:p w:rsidR="00160A2A" w:rsidRPr="009D30E6" w:rsidRDefault="00160A2A" w:rsidP="007E663E">
      <w:pPr>
        <w:rPr>
          <w:sz w:val="17"/>
          <w:szCs w:val="17"/>
        </w:rPr>
      </w:pPr>
      <w:r w:rsidRPr="009D30E6">
        <w:rPr>
          <w:sz w:val="17"/>
          <w:szCs w:val="17"/>
        </w:rPr>
        <w:separator/>
      </w:r>
    </w:p>
    <w:p w:rsidR="00160A2A" w:rsidRPr="007E663E" w:rsidRDefault="00160A2A" w:rsidP="007E663E">
      <w:pPr>
        <w:spacing w:after="60"/>
        <w:rPr>
          <w:sz w:val="17"/>
          <w:szCs w:val="17"/>
        </w:rPr>
      </w:pPr>
      <w:r>
        <w:rPr>
          <w:sz w:val="17"/>
        </w:rPr>
        <w:t>[Continuación de la nota de la página anterior]</w:t>
      </w:r>
    </w:p>
  </w:footnote>
  <w:footnote w:type="continuationNotice" w:id="1">
    <w:p w:rsidR="00160A2A" w:rsidRPr="007E663E" w:rsidRDefault="00160A2A"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5B5" w:rsidRDefault="009D55B5" w:rsidP="00477D6B">
    <w:pPr>
      <w:jc w:val="right"/>
    </w:pPr>
    <w:bookmarkStart w:id="7" w:name="Code2"/>
    <w:bookmarkEnd w:id="7"/>
    <w:r>
      <w:t>PCT/WG/11/21</w:t>
    </w:r>
  </w:p>
  <w:p w:rsidR="009D55B5" w:rsidRDefault="00297B9D" w:rsidP="00477D6B">
    <w:pPr>
      <w:jc w:val="right"/>
    </w:pPr>
    <w:r>
      <w:t xml:space="preserve">página </w:t>
    </w:r>
    <w:r w:rsidR="00C2763D">
      <w:fldChar w:fldCharType="begin"/>
    </w:r>
    <w:r w:rsidR="00C2763D">
      <w:instrText xml:space="preserve"> PAGE  \* MERGEFORMAT </w:instrText>
    </w:r>
    <w:r w:rsidR="00C2763D">
      <w:fldChar w:fldCharType="separate"/>
    </w:r>
    <w:r w:rsidR="00B210E0">
      <w:rPr>
        <w:noProof/>
      </w:rPr>
      <w:t>8</w:t>
    </w:r>
    <w:r w:rsidR="00C2763D">
      <w:rPr>
        <w:noProof/>
      </w:rPr>
      <w:fldChar w:fldCharType="end"/>
    </w:r>
  </w:p>
  <w:p w:rsidR="009D55B5" w:rsidRDefault="009D55B5" w:rsidP="00477D6B">
    <w:pPr>
      <w:jc w:val="right"/>
    </w:pPr>
  </w:p>
  <w:p w:rsidR="009D55B5" w:rsidRDefault="009D55B5"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3CB3135"/>
    <w:multiLevelType w:val="multilevel"/>
    <w:tmpl w:val="D0C6BBF2"/>
    <w:lvl w:ilvl="0">
      <w:start w:val="4"/>
      <w:numFmt w:val="bullet"/>
      <w:lvlText w:val="-"/>
      <w:lvlJc w:val="left"/>
      <w:pPr>
        <w:tabs>
          <w:tab w:val="num" w:pos="567"/>
        </w:tabs>
        <w:ind w:left="0" w:firstLine="0"/>
      </w:pPr>
      <w:rPr>
        <w:rFonts w:ascii="Arial" w:eastAsia="Times New Roman"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A503FB3"/>
    <w:multiLevelType w:val="multilevel"/>
    <w:tmpl w:val="0BFAB072"/>
    <w:lvl w:ilvl="0">
      <w:start w:val="1"/>
      <w:numFmt w:val="bullet"/>
      <w:lvlText w:val=""/>
      <w:lvlJc w:val="left"/>
      <w:pPr>
        <w:tabs>
          <w:tab w:val="num" w:pos="1701"/>
        </w:tabs>
        <w:ind w:left="1134" w:firstLine="0"/>
      </w:pPr>
      <w:rPr>
        <w:rFonts w:ascii="Symbol" w:hAnsi="Symbol" w:hint="default"/>
      </w:rPr>
    </w:lvl>
    <w:lvl w:ilvl="1">
      <w:start w:val="1"/>
      <w:numFmt w:val="lowerLetter"/>
      <w:lvlText w:val="(%2)"/>
      <w:lvlJc w:val="left"/>
      <w:pPr>
        <w:tabs>
          <w:tab w:val="num" w:pos="2268"/>
        </w:tabs>
        <w:ind w:left="1701" w:firstLine="0"/>
      </w:pPr>
      <w:rPr>
        <w:rFonts w:hint="default"/>
      </w:rPr>
    </w:lvl>
    <w:lvl w:ilvl="2">
      <w:start w:val="1"/>
      <w:numFmt w:val="lowerRoman"/>
      <w:lvlText w:val="(%3)"/>
      <w:lvlJc w:val="left"/>
      <w:pPr>
        <w:tabs>
          <w:tab w:val="num" w:pos="2835"/>
        </w:tabs>
        <w:ind w:left="2268" w:firstLine="0"/>
      </w:pPr>
      <w:rPr>
        <w:rFonts w:hint="default"/>
      </w:rPr>
    </w:lvl>
    <w:lvl w:ilvl="3">
      <w:start w:val="1"/>
      <w:numFmt w:val="bullet"/>
      <w:lvlText w:val=""/>
      <w:lvlJc w:val="left"/>
      <w:pPr>
        <w:tabs>
          <w:tab w:val="num" w:pos="3402"/>
        </w:tabs>
        <w:ind w:left="2835" w:firstLine="0"/>
      </w:pPr>
      <w:rPr>
        <w:rFonts w:hint="default"/>
      </w:rPr>
    </w:lvl>
    <w:lvl w:ilvl="4">
      <w:start w:val="1"/>
      <w:numFmt w:val="bullet"/>
      <w:lvlText w:val=""/>
      <w:lvlJc w:val="left"/>
      <w:pPr>
        <w:tabs>
          <w:tab w:val="num" w:pos="3969"/>
        </w:tabs>
        <w:ind w:left="3402" w:firstLine="0"/>
      </w:pPr>
      <w:rPr>
        <w:rFonts w:hint="default"/>
      </w:rPr>
    </w:lvl>
    <w:lvl w:ilvl="5">
      <w:start w:val="1"/>
      <w:numFmt w:val="bullet"/>
      <w:lvlText w:val=""/>
      <w:lvlJc w:val="left"/>
      <w:pPr>
        <w:tabs>
          <w:tab w:val="num" w:pos="4536"/>
        </w:tabs>
        <w:ind w:left="3969" w:firstLine="0"/>
      </w:pPr>
      <w:rPr>
        <w:rFonts w:hint="default"/>
      </w:rPr>
    </w:lvl>
    <w:lvl w:ilvl="6">
      <w:start w:val="1"/>
      <w:numFmt w:val="bullet"/>
      <w:lvlText w:val=""/>
      <w:lvlJc w:val="left"/>
      <w:pPr>
        <w:tabs>
          <w:tab w:val="num" w:pos="5103"/>
        </w:tabs>
        <w:ind w:left="4536" w:firstLine="0"/>
      </w:pPr>
      <w:rPr>
        <w:rFonts w:hint="default"/>
      </w:rPr>
    </w:lvl>
    <w:lvl w:ilvl="7">
      <w:start w:val="1"/>
      <w:numFmt w:val="bullet"/>
      <w:lvlText w:val=""/>
      <w:lvlJc w:val="left"/>
      <w:pPr>
        <w:tabs>
          <w:tab w:val="num" w:pos="5669"/>
        </w:tabs>
        <w:ind w:left="5103" w:firstLine="0"/>
      </w:pPr>
      <w:rPr>
        <w:rFonts w:hint="default"/>
      </w:rPr>
    </w:lvl>
    <w:lvl w:ilvl="8">
      <w:start w:val="1"/>
      <w:numFmt w:val="bullet"/>
      <w:lvlText w:val=""/>
      <w:lvlJc w:val="left"/>
      <w:pPr>
        <w:tabs>
          <w:tab w:val="num" w:pos="6236"/>
        </w:tabs>
        <w:ind w:left="5669" w:firstLine="0"/>
      </w:pPr>
      <w:rPr>
        <w:rFonts w:hint="default"/>
      </w:rPr>
    </w:lvl>
  </w:abstractNum>
  <w:abstractNum w:abstractNumId="4">
    <w:nsid w:val="0A632034"/>
    <w:multiLevelType w:val="hybridMultilevel"/>
    <w:tmpl w:val="551689E6"/>
    <w:lvl w:ilvl="0" w:tplc="5EF2DD7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82C0B2F"/>
    <w:multiLevelType w:val="hybridMultilevel"/>
    <w:tmpl w:val="5D8E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0"/>
  </w:num>
  <w:num w:numId="4">
    <w:abstractNumId w:val="9"/>
  </w:num>
  <w:num w:numId="5">
    <w:abstractNumId w:val="2"/>
  </w:num>
  <w:num w:numId="6">
    <w:abstractNumId w:val="7"/>
  </w:num>
  <w:num w:numId="7">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3"/>
  </w:num>
  <w:num w:numId="9">
    <w:abstractNumId w:val="1"/>
  </w:num>
  <w:num w:numId="10">
    <w:abstractNumId w:val="6"/>
  </w:num>
  <w:num w:numId="11">
    <w:abstractNumId w:val="7"/>
  </w:num>
  <w:num w:numId="12">
    <w:abstractNumId w:val="7"/>
  </w:num>
  <w:num w:numId="13">
    <w:abstractNumId w:val="4"/>
  </w:num>
  <w:num w:numId="14">
    <w:abstractNumId w:val="7"/>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628"/>
    <w:rsid w:val="00010686"/>
    <w:rsid w:val="00032D06"/>
    <w:rsid w:val="000372BF"/>
    <w:rsid w:val="00052915"/>
    <w:rsid w:val="00064F8A"/>
    <w:rsid w:val="000749C3"/>
    <w:rsid w:val="00082B09"/>
    <w:rsid w:val="000C0CDB"/>
    <w:rsid w:val="000D4FAB"/>
    <w:rsid w:val="000E3BB3"/>
    <w:rsid w:val="000F5E56"/>
    <w:rsid w:val="00106102"/>
    <w:rsid w:val="00130664"/>
    <w:rsid w:val="001362EE"/>
    <w:rsid w:val="00152CEA"/>
    <w:rsid w:val="00160A2A"/>
    <w:rsid w:val="001832A6"/>
    <w:rsid w:val="00184776"/>
    <w:rsid w:val="00184D1E"/>
    <w:rsid w:val="0018591A"/>
    <w:rsid w:val="001A0576"/>
    <w:rsid w:val="001D4BFE"/>
    <w:rsid w:val="001D5BDF"/>
    <w:rsid w:val="001E0F80"/>
    <w:rsid w:val="002057F4"/>
    <w:rsid w:val="00234C5C"/>
    <w:rsid w:val="00242BA5"/>
    <w:rsid w:val="002634C4"/>
    <w:rsid w:val="002719C1"/>
    <w:rsid w:val="0027224D"/>
    <w:rsid w:val="00276D28"/>
    <w:rsid w:val="00297048"/>
    <w:rsid w:val="00297B9D"/>
    <w:rsid w:val="002A7BDC"/>
    <w:rsid w:val="002B5490"/>
    <w:rsid w:val="002C1C1A"/>
    <w:rsid w:val="002C2E2F"/>
    <w:rsid w:val="002E0F47"/>
    <w:rsid w:val="002F4E68"/>
    <w:rsid w:val="002F6E8B"/>
    <w:rsid w:val="00310826"/>
    <w:rsid w:val="00323066"/>
    <w:rsid w:val="00323107"/>
    <w:rsid w:val="0033350A"/>
    <w:rsid w:val="0034371E"/>
    <w:rsid w:val="00354647"/>
    <w:rsid w:val="003709CD"/>
    <w:rsid w:val="00377273"/>
    <w:rsid w:val="003845C1"/>
    <w:rsid w:val="00387287"/>
    <w:rsid w:val="0039443C"/>
    <w:rsid w:val="003A7871"/>
    <w:rsid w:val="003B739A"/>
    <w:rsid w:val="003C3B50"/>
    <w:rsid w:val="003E48F1"/>
    <w:rsid w:val="003E586F"/>
    <w:rsid w:val="003F347A"/>
    <w:rsid w:val="003F395A"/>
    <w:rsid w:val="00402035"/>
    <w:rsid w:val="00423E3E"/>
    <w:rsid w:val="00427AF4"/>
    <w:rsid w:val="00442B02"/>
    <w:rsid w:val="0045231F"/>
    <w:rsid w:val="004647DA"/>
    <w:rsid w:val="00464DAF"/>
    <w:rsid w:val="0046793F"/>
    <w:rsid w:val="00477808"/>
    <w:rsid w:val="00477D6B"/>
    <w:rsid w:val="004903B1"/>
    <w:rsid w:val="00496D17"/>
    <w:rsid w:val="004A6C37"/>
    <w:rsid w:val="004E040D"/>
    <w:rsid w:val="004E297D"/>
    <w:rsid w:val="004F361F"/>
    <w:rsid w:val="004F551E"/>
    <w:rsid w:val="00502D9F"/>
    <w:rsid w:val="00531B02"/>
    <w:rsid w:val="005332F0"/>
    <w:rsid w:val="0053557B"/>
    <w:rsid w:val="0055013B"/>
    <w:rsid w:val="00571B99"/>
    <w:rsid w:val="00573358"/>
    <w:rsid w:val="00585568"/>
    <w:rsid w:val="00590B26"/>
    <w:rsid w:val="00591A56"/>
    <w:rsid w:val="005B5011"/>
    <w:rsid w:val="005E38F0"/>
    <w:rsid w:val="005F41E2"/>
    <w:rsid w:val="00605216"/>
    <w:rsid w:val="00605827"/>
    <w:rsid w:val="006353B2"/>
    <w:rsid w:val="00635E12"/>
    <w:rsid w:val="00645C52"/>
    <w:rsid w:val="00671AFD"/>
    <w:rsid w:val="00675021"/>
    <w:rsid w:val="0069697F"/>
    <w:rsid w:val="006A06C6"/>
    <w:rsid w:val="006B6BE3"/>
    <w:rsid w:val="006C79AF"/>
    <w:rsid w:val="006F1D5F"/>
    <w:rsid w:val="006F6CF4"/>
    <w:rsid w:val="007224C8"/>
    <w:rsid w:val="00732262"/>
    <w:rsid w:val="007470D0"/>
    <w:rsid w:val="007671DC"/>
    <w:rsid w:val="00781848"/>
    <w:rsid w:val="0079105F"/>
    <w:rsid w:val="00794BE2"/>
    <w:rsid w:val="007A3696"/>
    <w:rsid w:val="007A5581"/>
    <w:rsid w:val="007B71FE"/>
    <w:rsid w:val="007C0516"/>
    <w:rsid w:val="007D781E"/>
    <w:rsid w:val="007E2200"/>
    <w:rsid w:val="007E663E"/>
    <w:rsid w:val="007F6305"/>
    <w:rsid w:val="00815082"/>
    <w:rsid w:val="00825343"/>
    <w:rsid w:val="00825493"/>
    <w:rsid w:val="0083701C"/>
    <w:rsid w:val="00837986"/>
    <w:rsid w:val="00837A45"/>
    <w:rsid w:val="008458CA"/>
    <w:rsid w:val="00872CEA"/>
    <w:rsid w:val="008832CB"/>
    <w:rsid w:val="0088395E"/>
    <w:rsid w:val="008B2CC1"/>
    <w:rsid w:val="008E6BD6"/>
    <w:rsid w:val="0090731E"/>
    <w:rsid w:val="009229E7"/>
    <w:rsid w:val="0092485E"/>
    <w:rsid w:val="00935F12"/>
    <w:rsid w:val="00966A22"/>
    <w:rsid w:val="00972F03"/>
    <w:rsid w:val="00976366"/>
    <w:rsid w:val="009778AE"/>
    <w:rsid w:val="009A0C8B"/>
    <w:rsid w:val="009A0DC6"/>
    <w:rsid w:val="009A20CD"/>
    <w:rsid w:val="009A74EB"/>
    <w:rsid w:val="009B6241"/>
    <w:rsid w:val="009C606A"/>
    <w:rsid w:val="009D2CFC"/>
    <w:rsid w:val="009D55B5"/>
    <w:rsid w:val="00A16FC0"/>
    <w:rsid w:val="00A32C9E"/>
    <w:rsid w:val="00A448E9"/>
    <w:rsid w:val="00AB1DFF"/>
    <w:rsid w:val="00AB613D"/>
    <w:rsid w:val="00AC6464"/>
    <w:rsid w:val="00AE7AD1"/>
    <w:rsid w:val="00AE7F20"/>
    <w:rsid w:val="00B12AB4"/>
    <w:rsid w:val="00B167A5"/>
    <w:rsid w:val="00B2055E"/>
    <w:rsid w:val="00B210E0"/>
    <w:rsid w:val="00B21208"/>
    <w:rsid w:val="00B447DD"/>
    <w:rsid w:val="00B534D5"/>
    <w:rsid w:val="00B65A0A"/>
    <w:rsid w:val="00B66311"/>
    <w:rsid w:val="00B67C7F"/>
    <w:rsid w:val="00B67CDC"/>
    <w:rsid w:val="00B72296"/>
    <w:rsid w:val="00B72D36"/>
    <w:rsid w:val="00B77C21"/>
    <w:rsid w:val="00BB4AD2"/>
    <w:rsid w:val="00BC4164"/>
    <w:rsid w:val="00BD291B"/>
    <w:rsid w:val="00BD2DCC"/>
    <w:rsid w:val="00BD6EA2"/>
    <w:rsid w:val="00C1067E"/>
    <w:rsid w:val="00C2763D"/>
    <w:rsid w:val="00C41A08"/>
    <w:rsid w:val="00C90559"/>
    <w:rsid w:val="00CA2251"/>
    <w:rsid w:val="00CA6DEC"/>
    <w:rsid w:val="00CD6628"/>
    <w:rsid w:val="00CF1FB3"/>
    <w:rsid w:val="00D24B28"/>
    <w:rsid w:val="00D54460"/>
    <w:rsid w:val="00D56C7C"/>
    <w:rsid w:val="00D62952"/>
    <w:rsid w:val="00D71B4D"/>
    <w:rsid w:val="00D90289"/>
    <w:rsid w:val="00D93D55"/>
    <w:rsid w:val="00DB6F28"/>
    <w:rsid w:val="00DC4C60"/>
    <w:rsid w:val="00DC6002"/>
    <w:rsid w:val="00DC7FD4"/>
    <w:rsid w:val="00E0079A"/>
    <w:rsid w:val="00E15E1C"/>
    <w:rsid w:val="00E247E2"/>
    <w:rsid w:val="00E444DA"/>
    <w:rsid w:val="00E45C84"/>
    <w:rsid w:val="00E504E5"/>
    <w:rsid w:val="00E606D9"/>
    <w:rsid w:val="00EA6E63"/>
    <w:rsid w:val="00EB7A3E"/>
    <w:rsid w:val="00EC1AA7"/>
    <w:rsid w:val="00EC401A"/>
    <w:rsid w:val="00ED08C7"/>
    <w:rsid w:val="00EE4EAC"/>
    <w:rsid w:val="00EF530A"/>
    <w:rsid w:val="00EF6622"/>
    <w:rsid w:val="00EF78A9"/>
    <w:rsid w:val="00F226F7"/>
    <w:rsid w:val="00F22953"/>
    <w:rsid w:val="00F32C82"/>
    <w:rsid w:val="00F46408"/>
    <w:rsid w:val="00F55408"/>
    <w:rsid w:val="00F66152"/>
    <w:rsid w:val="00F73E05"/>
    <w:rsid w:val="00F800A9"/>
    <w:rsid w:val="00F80845"/>
    <w:rsid w:val="00F82487"/>
    <w:rsid w:val="00F84474"/>
    <w:rsid w:val="00F94081"/>
    <w:rsid w:val="00FA0F0D"/>
    <w:rsid w:val="00FA178F"/>
    <w:rsid w:val="00FB012B"/>
    <w:rsid w:val="00FB5569"/>
    <w:rsid w:val="00FC13C5"/>
    <w:rsid w:val="00FD59D1"/>
    <w:rsid w:val="00FF11D2"/>
    <w:rsid w:val="00FF667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94081"/>
    <w:rPr>
      <w:rFonts w:ascii="Tahoma" w:hAnsi="Tahoma" w:cs="Tahoma"/>
      <w:sz w:val="16"/>
      <w:szCs w:val="16"/>
    </w:rPr>
  </w:style>
  <w:style w:type="character" w:customStyle="1" w:styleId="BalloonTextChar">
    <w:name w:val="Balloon Text Char"/>
    <w:basedOn w:val="DefaultParagraphFont"/>
    <w:link w:val="BalloonText"/>
    <w:rsid w:val="00F94081"/>
    <w:rPr>
      <w:rFonts w:ascii="Tahoma" w:eastAsia="SimSun" w:hAnsi="Tahoma" w:cs="Tahoma"/>
      <w:sz w:val="16"/>
      <w:szCs w:val="16"/>
      <w:lang w:val="es-ES" w:eastAsia="zh-CN"/>
    </w:rPr>
  </w:style>
  <w:style w:type="character" w:styleId="CommentReference">
    <w:name w:val="annotation reference"/>
    <w:basedOn w:val="DefaultParagraphFont"/>
    <w:rsid w:val="00184776"/>
    <w:rPr>
      <w:sz w:val="16"/>
      <w:szCs w:val="16"/>
    </w:rPr>
  </w:style>
  <w:style w:type="paragraph" w:styleId="CommentSubject">
    <w:name w:val="annotation subject"/>
    <w:basedOn w:val="CommentText"/>
    <w:next w:val="CommentText"/>
    <w:link w:val="CommentSubjectChar"/>
    <w:rsid w:val="00184776"/>
    <w:rPr>
      <w:b/>
      <w:bCs/>
      <w:sz w:val="20"/>
    </w:rPr>
  </w:style>
  <w:style w:type="character" w:customStyle="1" w:styleId="CommentTextChar">
    <w:name w:val="Comment Text Char"/>
    <w:basedOn w:val="DefaultParagraphFont"/>
    <w:link w:val="CommentText"/>
    <w:semiHidden/>
    <w:rsid w:val="00184776"/>
    <w:rPr>
      <w:rFonts w:ascii="Arial" w:eastAsia="SimSun" w:hAnsi="Arial" w:cs="Arial"/>
      <w:sz w:val="18"/>
      <w:lang w:val="es-ES" w:eastAsia="zh-CN"/>
    </w:rPr>
  </w:style>
  <w:style w:type="character" w:customStyle="1" w:styleId="CommentSubjectChar">
    <w:name w:val="Comment Subject Char"/>
    <w:basedOn w:val="CommentTextChar"/>
    <w:link w:val="CommentSubject"/>
    <w:rsid w:val="00184776"/>
    <w:rPr>
      <w:rFonts w:ascii="Arial" w:eastAsia="SimSun" w:hAnsi="Arial" w:cs="Arial"/>
      <w:sz w:val="18"/>
      <w:lang w:val="es-ES" w:eastAsia="zh-CN"/>
    </w:rPr>
  </w:style>
  <w:style w:type="character" w:customStyle="1" w:styleId="textbaseviewertargettitle">
    <w:name w:val="textbaseviewertargettitle"/>
    <w:basedOn w:val="DefaultParagraphFont"/>
    <w:rsid w:val="00BB4A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94081"/>
    <w:rPr>
      <w:rFonts w:ascii="Tahoma" w:hAnsi="Tahoma" w:cs="Tahoma"/>
      <w:sz w:val="16"/>
      <w:szCs w:val="16"/>
    </w:rPr>
  </w:style>
  <w:style w:type="character" w:customStyle="1" w:styleId="BalloonTextChar">
    <w:name w:val="Balloon Text Char"/>
    <w:basedOn w:val="DefaultParagraphFont"/>
    <w:link w:val="BalloonText"/>
    <w:rsid w:val="00F94081"/>
    <w:rPr>
      <w:rFonts w:ascii="Tahoma" w:eastAsia="SimSun" w:hAnsi="Tahoma" w:cs="Tahoma"/>
      <w:sz w:val="16"/>
      <w:szCs w:val="16"/>
      <w:lang w:val="es-ES" w:eastAsia="zh-CN"/>
    </w:rPr>
  </w:style>
  <w:style w:type="character" w:styleId="CommentReference">
    <w:name w:val="annotation reference"/>
    <w:basedOn w:val="DefaultParagraphFont"/>
    <w:rsid w:val="00184776"/>
    <w:rPr>
      <w:sz w:val="16"/>
      <w:szCs w:val="16"/>
    </w:rPr>
  </w:style>
  <w:style w:type="paragraph" w:styleId="CommentSubject">
    <w:name w:val="annotation subject"/>
    <w:basedOn w:val="CommentText"/>
    <w:next w:val="CommentText"/>
    <w:link w:val="CommentSubjectChar"/>
    <w:rsid w:val="00184776"/>
    <w:rPr>
      <w:b/>
      <w:bCs/>
      <w:sz w:val="20"/>
    </w:rPr>
  </w:style>
  <w:style w:type="character" w:customStyle="1" w:styleId="CommentTextChar">
    <w:name w:val="Comment Text Char"/>
    <w:basedOn w:val="DefaultParagraphFont"/>
    <w:link w:val="CommentText"/>
    <w:semiHidden/>
    <w:rsid w:val="00184776"/>
    <w:rPr>
      <w:rFonts w:ascii="Arial" w:eastAsia="SimSun" w:hAnsi="Arial" w:cs="Arial"/>
      <w:sz w:val="18"/>
      <w:lang w:val="es-ES" w:eastAsia="zh-CN"/>
    </w:rPr>
  </w:style>
  <w:style w:type="character" w:customStyle="1" w:styleId="CommentSubjectChar">
    <w:name w:val="Comment Subject Char"/>
    <w:basedOn w:val="CommentTextChar"/>
    <w:link w:val="CommentSubject"/>
    <w:rsid w:val="00184776"/>
    <w:rPr>
      <w:rFonts w:ascii="Arial" w:eastAsia="SimSun" w:hAnsi="Arial" w:cs="Arial"/>
      <w:sz w:val="18"/>
      <w:lang w:val="es-ES" w:eastAsia="zh-CN"/>
    </w:rPr>
  </w:style>
  <w:style w:type="character" w:customStyle="1" w:styleId="textbaseviewertargettitle">
    <w:name w:val="textbaseviewertargettitle"/>
    <w:basedOn w:val="DefaultParagraphFont"/>
    <w:rsid w:val="00BB4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40BEE-5AB6-4D0F-A5A1-4C6F6F1AD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4066</Words>
  <Characters>21187</Characters>
  <Application>Microsoft Office Word</Application>
  <DocSecurity>0</DocSecurity>
  <Lines>336</Lines>
  <Paragraphs>132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PCT/WG/11/21</vt:lpstr>
      <vt:lpstr>PCT/WG/11/21</vt:lpstr>
    </vt:vector>
  </TitlesOfParts>
  <Company>WIPO</Company>
  <LinksUpToDate>false</LinksUpToDate>
  <CharactersWithSpaces>25121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PCT/WG/11/21</dc:title>
  <dc:subject>Conditions for the Correction of the International Application in Case of "Erroneously" Filed Elements and Parts</dc:subject>
  <dc:creator>CEVALLOS DUQUE Nilo</dc:creator>
  <cp:lastModifiedBy>Marlow</cp:lastModifiedBy>
  <cp:revision>5</cp:revision>
  <cp:lastPrinted>2018-05-30T12:31:00Z</cp:lastPrinted>
  <dcterms:created xsi:type="dcterms:W3CDTF">2018-05-30T12:30:00Z</dcterms:created>
  <dcterms:modified xsi:type="dcterms:W3CDTF">2018-05-30T12:32:00Z</dcterms:modified>
</cp:coreProperties>
</file>