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020B64" w:rsidTr="00361450">
        <w:tc>
          <w:tcPr>
            <w:tcW w:w="4513" w:type="dxa"/>
            <w:tcBorders>
              <w:bottom w:val="single" w:sz="4" w:space="0" w:color="auto"/>
            </w:tcBorders>
            <w:tcMar>
              <w:bottom w:w="170" w:type="dxa"/>
            </w:tcMar>
          </w:tcPr>
          <w:p w:rsidR="00EC4E49" w:rsidRPr="00020B64" w:rsidRDefault="00EC4E49" w:rsidP="00916EE2">
            <w:pPr>
              <w:rPr>
                <w:lang w:val="es-ES"/>
              </w:rPr>
            </w:pPr>
          </w:p>
        </w:tc>
        <w:tc>
          <w:tcPr>
            <w:tcW w:w="4337" w:type="dxa"/>
            <w:tcBorders>
              <w:bottom w:val="single" w:sz="4" w:space="0" w:color="auto"/>
            </w:tcBorders>
            <w:tcMar>
              <w:left w:w="0" w:type="dxa"/>
              <w:right w:w="0" w:type="dxa"/>
            </w:tcMar>
          </w:tcPr>
          <w:p w:rsidR="00EC4E49" w:rsidRPr="00020B64" w:rsidRDefault="00020B64" w:rsidP="00916EE2">
            <w:pPr>
              <w:rPr>
                <w:lang w:val="es-ES"/>
              </w:rPr>
            </w:pPr>
            <w:r w:rsidRPr="00020B64">
              <w:rPr>
                <w:noProof/>
                <w:lang w:eastAsia="en-US"/>
              </w:rPr>
              <w:drawing>
                <wp:inline distT="0" distB="0" distL="0" distR="0" wp14:anchorId="6555AD1F" wp14:editId="22DF6AC3">
                  <wp:extent cx="1858645" cy="1326515"/>
                  <wp:effectExtent l="0" t="0" r="8255" b="698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020B64" w:rsidRDefault="00F01825" w:rsidP="00F01825">
            <w:pPr>
              <w:jc w:val="right"/>
              <w:rPr>
                <w:lang w:val="es-ES"/>
              </w:rPr>
            </w:pPr>
            <w:r>
              <w:rPr>
                <w:b/>
                <w:sz w:val="40"/>
                <w:szCs w:val="40"/>
                <w:lang w:val="es-ES"/>
              </w:rPr>
              <w:t>S</w:t>
            </w:r>
          </w:p>
        </w:tc>
      </w:tr>
      <w:tr w:rsidR="008B2CC1" w:rsidRPr="00020B64"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020B64" w:rsidRDefault="0033339D" w:rsidP="0033339D">
            <w:pPr>
              <w:jc w:val="right"/>
              <w:rPr>
                <w:rFonts w:ascii="Arial Black" w:hAnsi="Arial Black"/>
                <w:caps/>
                <w:sz w:val="15"/>
                <w:lang w:val="es-ES"/>
              </w:rPr>
            </w:pPr>
            <w:r w:rsidRPr="00020B64">
              <w:rPr>
                <w:rFonts w:ascii="Arial Black" w:hAnsi="Arial Black"/>
                <w:caps/>
                <w:sz w:val="15"/>
                <w:lang w:val="es-ES"/>
              </w:rPr>
              <w:t>PCT/WG/10/</w:t>
            </w:r>
            <w:bookmarkStart w:id="0" w:name="Code"/>
            <w:bookmarkEnd w:id="0"/>
            <w:r w:rsidR="009A1A7C" w:rsidRPr="00020B64">
              <w:rPr>
                <w:rFonts w:ascii="Arial Black" w:hAnsi="Arial Black"/>
                <w:caps/>
                <w:sz w:val="15"/>
                <w:lang w:val="es-ES"/>
              </w:rPr>
              <w:t>18</w:t>
            </w:r>
            <w:r w:rsidR="00A42DAF" w:rsidRPr="00020B64">
              <w:rPr>
                <w:rFonts w:ascii="Arial Black" w:hAnsi="Arial Black"/>
                <w:caps/>
                <w:sz w:val="15"/>
                <w:lang w:val="es-ES"/>
              </w:rPr>
              <w:t xml:space="preserve"> </w:t>
            </w:r>
            <w:r w:rsidR="008B2CC1" w:rsidRPr="00020B64">
              <w:rPr>
                <w:rFonts w:ascii="Arial Black" w:hAnsi="Arial Black"/>
                <w:caps/>
                <w:sz w:val="15"/>
                <w:lang w:val="es-ES"/>
              </w:rPr>
              <w:t xml:space="preserve">   </w:t>
            </w:r>
          </w:p>
        </w:tc>
      </w:tr>
      <w:tr w:rsidR="008B2CC1" w:rsidRPr="00020B64" w:rsidTr="00916EE2">
        <w:trPr>
          <w:trHeight w:hRule="exact" w:val="170"/>
        </w:trPr>
        <w:tc>
          <w:tcPr>
            <w:tcW w:w="9356" w:type="dxa"/>
            <w:gridSpan w:val="3"/>
            <w:noWrap/>
            <w:tcMar>
              <w:left w:w="0" w:type="dxa"/>
              <w:right w:w="0" w:type="dxa"/>
            </w:tcMar>
            <w:vAlign w:val="bottom"/>
          </w:tcPr>
          <w:p w:rsidR="008B2CC1" w:rsidRPr="00020B64" w:rsidRDefault="008B2CC1" w:rsidP="00020B64">
            <w:pPr>
              <w:jc w:val="right"/>
              <w:rPr>
                <w:rFonts w:ascii="Arial Black" w:hAnsi="Arial Black"/>
                <w:caps/>
                <w:sz w:val="15"/>
                <w:lang w:val="es-ES"/>
              </w:rPr>
            </w:pPr>
            <w:r w:rsidRPr="00020B64">
              <w:rPr>
                <w:rFonts w:ascii="Arial Black" w:hAnsi="Arial Black"/>
                <w:caps/>
                <w:sz w:val="15"/>
                <w:lang w:val="es-ES"/>
              </w:rPr>
              <w:t xml:space="preserve">ORIGINAL: </w:t>
            </w:r>
            <w:bookmarkStart w:id="1" w:name="Original"/>
            <w:bookmarkEnd w:id="1"/>
            <w:r w:rsidR="00F01825">
              <w:rPr>
                <w:rFonts w:ascii="Arial Black" w:hAnsi="Arial Black"/>
                <w:caps/>
                <w:sz w:val="15"/>
                <w:lang w:val="es-ES"/>
              </w:rPr>
              <w:t xml:space="preserve"> </w:t>
            </w:r>
            <w:r w:rsidR="00020B64" w:rsidRPr="00020B64">
              <w:rPr>
                <w:rFonts w:ascii="Arial Black" w:hAnsi="Arial Black"/>
                <w:caps/>
                <w:sz w:val="15"/>
                <w:lang w:val="es-ES"/>
              </w:rPr>
              <w:t>inglés</w:t>
            </w:r>
          </w:p>
        </w:tc>
      </w:tr>
      <w:tr w:rsidR="008B2CC1" w:rsidRPr="00020B64" w:rsidTr="00916EE2">
        <w:trPr>
          <w:trHeight w:hRule="exact" w:val="198"/>
        </w:trPr>
        <w:tc>
          <w:tcPr>
            <w:tcW w:w="9356" w:type="dxa"/>
            <w:gridSpan w:val="3"/>
            <w:tcMar>
              <w:left w:w="0" w:type="dxa"/>
              <w:right w:w="0" w:type="dxa"/>
            </w:tcMar>
            <w:vAlign w:val="bottom"/>
          </w:tcPr>
          <w:p w:rsidR="008B2CC1" w:rsidRPr="00020B64" w:rsidRDefault="00020B64" w:rsidP="00020B64">
            <w:pPr>
              <w:jc w:val="right"/>
              <w:rPr>
                <w:rFonts w:ascii="Arial Black" w:hAnsi="Arial Black"/>
                <w:caps/>
                <w:sz w:val="15"/>
                <w:lang w:val="es-ES"/>
              </w:rPr>
            </w:pPr>
            <w:r w:rsidRPr="00020B64">
              <w:rPr>
                <w:rFonts w:ascii="Arial Black" w:hAnsi="Arial Black"/>
                <w:caps/>
                <w:sz w:val="15"/>
                <w:lang w:val="es-ES"/>
              </w:rPr>
              <w:t>fecha</w:t>
            </w:r>
            <w:r w:rsidR="008B2CC1" w:rsidRPr="00020B64">
              <w:rPr>
                <w:rFonts w:ascii="Arial Black" w:hAnsi="Arial Black"/>
                <w:caps/>
                <w:sz w:val="15"/>
                <w:lang w:val="es-ES"/>
              </w:rPr>
              <w:t xml:space="preserve">: </w:t>
            </w:r>
            <w:bookmarkStart w:id="2" w:name="Date"/>
            <w:bookmarkEnd w:id="2"/>
            <w:r w:rsidR="00F01825">
              <w:rPr>
                <w:rFonts w:ascii="Arial Black" w:hAnsi="Arial Black"/>
                <w:caps/>
                <w:sz w:val="15"/>
                <w:lang w:val="es-ES"/>
              </w:rPr>
              <w:t xml:space="preserve"> </w:t>
            </w:r>
            <w:r w:rsidRPr="00020B64">
              <w:rPr>
                <w:rFonts w:ascii="Arial Black" w:hAnsi="Arial Black"/>
                <w:caps/>
                <w:sz w:val="15"/>
                <w:lang w:val="es-ES"/>
              </w:rPr>
              <w:t>11 de abril de</w:t>
            </w:r>
            <w:r w:rsidR="009A1A7C" w:rsidRPr="00020B64">
              <w:rPr>
                <w:rFonts w:ascii="Arial Black" w:hAnsi="Arial Black"/>
                <w:caps/>
                <w:sz w:val="15"/>
                <w:lang w:val="es-ES"/>
              </w:rPr>
              <w:t xml:space="preserve"> 2017</w:t>
            </w:r>
          </w:p>
        </w:tc>
      </w:tr>
    </w:tbl>
    <w:p w:rsidR="008B2CC1" w:rsidRPr="00020B64" w:rsidRDefault="008B2CC1" w:rsidP="008B2CC1">
      <w:pPr>
        <w:rPr>
          <w:lang w:val="es-ES"/>
        </w:rPr>
      </w:pPr>
    </w:p>
    <w:p w:rsidR="008B2CC1" w:rsidRPr="00020B64" w:rsidRDefault="008B2CC1" w:rsidP="008B2CC1">
      <w:pPr>
        <w:rPr>
          <w:lang w:val="es-ES"/>
        </w:rPr>
      </w:pPr>
    </w:p>
    <w:p w:rsidR="008B2CC1" w:rsidRPr="00020B64" w:rsidRDefault="008B2CC1" w:rsidP="008B2CC1">
      <w:pPr>
        <w:rPr>
          <w:lang w:val="es-ES"/>
        </w:rPr>
      </w:pPr>
    </w:p>
    <w:p w:rsidR="008B2CC1" w:rsidRPr="00020B64" w:rsidRDefault="008B2CC1" w:rsidP="008B2CC1">
      <w:pPr>
        <w:rPr>
          <w:lang w:val="es-ES"/>
        </w:rPr>
      </w:pPr>
    </w:p>
    <w:p w:rsidR="008B2CC1" w:rsidRPr="00020B64" w:rsidRDefault="008B2CC1" w:rsidP="008B2CC1">
      <w:pPr>
        <w:rPr>
          <w:lang w:val="es-ES"/>
        </w:rPr>
      </w:pPr>
    </w:p>
    <w:p w:rsidR="00020B64" w:rsidRPr="00020B64" w:rsidRDefault="00020B64" w:rsidP="00020B64">
      <w:pPr>
        <w:rPr>
          <w:lang w:val="es-ES"/>
        </w:rPr>
      </w:pPr>
    </w:p>
    <w:p w:rsidR="00020B64" w:rsidRPr="00020B64" w:rsidRDefault="00020B64" w:rsidP="00020B64">
      <w:pPr>
        <w:rPr>
          <w:b/>
          <w:sz w:val="28"/>
          <w:szCs w:val="28"/>
          <w:lang w:val="es-ES"/>
        </w:rPr>
      </w:pPr>
      <w:r w:rsidRPr="00020B64">
        <w:rPr>
          <w:b/>
          <w:sz w:val="28"/>
          <w:szCs w:val="28"/>
          <w:lang w:val="es-ES"/>
        </w:rPr>
        <w:t>Grupo de Trabajo del Tratado de Cooperación en materia de Patentes (PCT)</w:t>
      </w:r>
    </w:p>
    <w:p w:rsidR="00020B64" w:rsidRPr="00020B64" w:rsidRDefault="00020B64" w:rsidP="00020B64">
      <w:pPr>
        <w:rPr>
          <w:lang w:val="es-ES"/>
        </w:rPr>
      </w:pPr>
    </w:p>
    <w:p w:rsidR="00020B64" w:rsidRPr="00020B64" w:rsidRDefault="00020B64" w:rsidP="00020B64">
      <w:pPr>
        <w:rPr>
          <w:lang w:val="es-ES"/>
        </w:rPr>
      </w:pPr>
    </w:p>
    <w:p w:rsidR="00020B64" w:rsidRPr="00020B64" w:rsidRDefault="00020B64" w:rsidP="00020B64">
      <w:pPr>
        <w:rPr>
          <w:b/>
          <w:sz w:val="24"/>
          <w:szCs w:val="24"/>
          <w:lang w:val="es-ES"/>
        </w:rPr>
      </w:pPr>
      <w:r w:rsidRPr="00020B64">
        <w:rPr>
          <w:b/>
          <w:sz w:val="24"/>
          <w:szCs w:val="24"/>
          <w:lang w:val="es-ES"/>
        </w:rPr>
        <w:t>Décima reunión</w:t>
      </w:r>
    </w:p>
    <w:p w:rsidR="00020B64" w:rsidRPr="00020B64" w:rsidRDefault="00020B64" w:rsidP="00020B64">
      <w:pPr>
        <w:rPr>
          <w:b/>
          <w:sz w:val="24"/>
          <w:szCs w:val="24"/>
          <w:lang w:val="es-ES"/>
        </w:rPr>
      </w:pPr>
      <w:r w:rsidRPr="00020B64">
        <w:rPr>
          <w:b/>
          <w:sz w:val="24"/>
          <w:szCs w:val="24"/>
          <w:lang w:val="es-ES"/>
        </w:rPr>
        <w:t>Ginebra, 8 a 12 de mayo de 2017</w:t>
      </w:r>
    </w:p>
    <w:p w:rsidR="00020B64" w:rsidRPr="00020B64" w:rsidRDefault="00020B64" w:rsidP="00020B64">
      <w:pPr>
        <w:rPr>
          <w:lang w:val="es-ES"/>
        </w:rPr>
      </w:pPr>
    </w:p>
    <w:p w:rsidR="00020B64" w:rsidRPr="00020B64" w:rsidRDefault="00020B64" w:rsidP="00020B64">
      <w:pPr>
        <w:rPr>
          <w:lang w:val="es-ES"/>
        </w:rPr>
      </w:pPr>
    </w:p>
    <w:p w:rsidR="00020B64" w:rsidRPr="00020B64" w:rsidRDefault="00020B64" w:rsidP="00020B64">
      <w:pPr>
        <w:rPr>
          <w:lang w:val="es-ES"/>
        </w:rPr>
      </w:pPr>
    </w:p>
    <w:p w:rsidR="008B2CC1" w:rsidRPr="00020B64" w:rsidRDefault="008B2CC1" w:rsidP="008B2CC1">
      <w:pPr>
        <w:rPr>
          <w:lang w:val="es-ES"/>
        </w:rPr>
      </w:pPr>
    </w:p>
    <w:p w:rsidR="008B2CC1" w:rsidRPr="00020B64" w:rsidRDefault="008B2CC1" w:rsidP="008B2CC1">
      <w:pPr>
        <w:rPr>
          <w:lang w:val="es-ES"/>
        </w:rPr>
      </w:pPr>
    </w:p>
    <w:p w:rsidR="008B2CC1" w:rsidRPr="00020B64" w:rsidRDefault="00020B64" w:rsidP="008B2CC1">
      <w:pPr>
        <w:rPr>
          <w:caps/>
          <w:sz w:val="24"/>
          <w:lang w:val="es-ES"/>
        </w:rPr>
      </w:pPr>
      <w:bookmarkStart w:id="3" w:name="TitleOfDoc"/>
      <w:bookmarkEnd w:id="3"/>
      <w:r w:rsidRPr="00020B64">
        <w:rPr>
          <w:caps/>
          <w:sz w:val="24"/>
          <w:lang w:val="es-ES"/>
        </w:rPr>
        <w:t xml:space="preserve">propuesta sobre la política de tasas del PCT para estimular la presentación de solicitudes de patente por parte de las UNIVERSIDADES </w:t>
      </w:r>
      <w:r w:rsidRPr="00523C74">
        <w:rPr>
          <w:caps/>
          <w:sz w:val="24"/>
          <w:lang w:val="es-ES"/>
        </w:rPr>
        <w:t xml:space="preserve">de </w:t>
      </w:r>
      <w:r w:rsidRPr="00020B64">
        <w:rPr>
          <w:caps/>
          <w:sz w:val="24"/>
          <w:lang w:val="es-ES"/>
        </w:rPr>
        <w:t>determinados países, en especial</w:t>
      </w:r>
      <w:r w:rsidR="00307D99">
        <w:rPr>
          <w:caps/>
          <w:sz w:val="24"/>
          <w:lang w:val="es-ES"/>
        </w:rPr>
        <w:t>, Los</w:t>
      </w:r>
      <w:r w:rsidRPr="00020B64">
        <w:rPr>
          <w:caps/>
          <w:sz w:val="24"/>
          <w:lang w:val="es-ES"/>
        </w:rPr>
        <w:t xml:space="preserve"> países en desarrollo y países menos adelantados</w:t>
      </w:r>
    </w:p>
    <w:p w:rsidR="008B2CC1" w:rsidRPr="00020B64" w:rsidRDefault="008B2CC1" w:rsidP="008B2CC1">
      <w:pPr>
        <w:rPr>
          <w:lang w:val="es-ES"/>
        </w:rPr>
      </w:pPr>
    </w:p>
    <w:p w:rsidR="00020B64" w:rsidRPr="00020B64" w:rsidRDefault="00020B64" w:rsidP="00020B64">
      <w:pPr>
        <w:rPr>
          <w:i/>
          <w:lang w:val="es-ES"/>
        </w:rPr>
      </w:pPr>
      <w:bookmarkStart w:id="4" w:name="Prepared"/>
      <w:bookmarkEnd w:id="4"/>
      <w:r w:rsidRPr="00020B64">
        <w:rPr>
          <w:i/>
          <w:lang w:val="es-ES"/>
        </w:rPr>
        <w:t>Documento presentado por el Brasil</w:t>
      </w:r>
    </w:p>
    <w:p w:rsidR="00AC205C" w:rsidRPr="00020B64" w:rsidRDefault="00AC205C">
      <w:pPr>
        <w:rPr>
          <w:lang w:val="es-ES"/>
        </w:rPr>
      </w:pPr>
    </w:p>
    <w:p w:rsidR="000F5E56" w:rsidRPr="00020B64" w:rsidRDefault="000F5E56">
      <w:pPr>
        <w:rPr>
          <w:lang w:val="es-ES"/>
        </w:rPr>
      </w:pPr>
    </w:p>
    <w:p w:rsidR="002928D3" w:rsidRPr="00020B64" w:rsidRDefault="002928D3">
      <w:pPr>
        <w:rPr>
          <w:lang w:val="es-ES"/>
        </w:rPr>
      </w:pPr>
    </w:p>
    <w:p w:rsidR="002928D3" w:rsidRPr="00020B64" w:rsidRDefault="002928D3" w:rsidP="0053057A">
      <w:pPr>
        <w:rPr>
          <w:lang w:val="es-ES"/>
        </w:rPr>
      </w:pPr>
    </w:p>
    <w:p w:rsidR="00020B64" w:rsidRPr="00020B64" w:rsidRDefault="00020B64" w:rsidP="00020B64">
      <w:pPr>
        <w:pStyle w:val="Heading1"/>
        <w:rPr>
          <w:lang w:val="es-ES"/>
        </w:rPr>
      </w:pPr>
      <w:r w:rsidRPr="00020B64">
        <w:rPr>
          <w:lang w:val="es-ES"/>
        </w:rPr>
        <w:t>resumen</w:t>
      </w:r>
    </w:p>
    <w:p w:rsidR="00396A89" w:rsidRPr="00020B64" w:rsidRDefault="00020B64" w:rsidP="00020B64">
      <w:pPr>
        <w:pStyle w:val="ONUME"/>
        <w:rPr>
          <w:lang w:val="es-ES"/>
        </w:rPr>
      </w:pPr>
      <w:r w:rsidRPr="00020B64">
        <w:rPr>
          <w:lang w:val="es-ES"/>
        </w:rPr>
        <w:t>Se invita al Grupo de Trabajo a debatir y aprobar una reducción de las tasas del PCT del 50% para las universidades de determinados países, en especial</w:t>
      </w:r>
      <w:r w:rsidR="00307D99">
        <w:rPr>
          <w:lang w:val="es-ES"/>
        </w:rPr>
        <w:t>, los</w:t>
      </w:r>
      <w:r w:rsidRPr="00020B64">
        <w:rPr>
          <w:lang w:val="es-ES"/>
        </w:rPr>
        <w:t xml:space="preserve"> países en desarrollo y países menos adelantados.  El objetivo de la propuesta es:  i) estimular el uso del Sistema del PCT por las universidades y ii) aumentar la diversidad de la composición geográfica de la demanda de protección por patente y de las actividades de presentación de solicitudes internacionales</w:t>
      </w:r>
      <w:r w:rsidR="00307D99">
        <w:rPr>
          <w:lang w:val="es-ES"/>
        </w:rPr>
        <w:t xml:space="preserve"> PCT</w:t>
      </w:r>
      <w:r w:rsidR="00307DD2" w:rsidRPr="00020B64">
        <w:rPr>
          <w:lang w:val="es-ES"/>
        </w:rPr>
        <w:t>.</w:t>
      </w:r>
    </w:p>
    <w:p w:rsidR="00396A89" w:rsidRPr="00020B64" w:rsidRDefault="00020B64" w:rsidP="00396A89">
      <w:pPr>
        <w:pStyle w:val="Heading1"/>
        <w:rPr>
          <w:lang w:val="es-ES"/>
        </w:rPr>
      </w:pPr>
      <w:r w:rsidRPr="00020B64">
        <w:rPr>
          <w:lang w:val="es-ES"/>
        </w:rPr>
        <w:t>antecedentes</w:t>
      </w:r>
    </w:p>
    <w:p w:rsidR="00396A89" w:rsidRPr="00020B64" w:rsidRDefault="00020B64" w:rsidP="00396A89">
      <w:pPr>
        <w:pStyle w:val="ONUME"/>
        <w:rPr>
          <w:lang w:val="es-ES"/>
        </w:rPr>
      </w:pPr>
      <w:r w:rsidRPr="00020B64">
        <w:rPr>
          <w:lang w:val="es-ES"/>
        </w:rPr>
        <w:t>En la séptima reunión del Grupo de Trabajo, celebrada en 2014, la Oficina Internacional presentó un estudio titulado “Estimación de la elasticidad de las tasas del PCT” (documento PCT/WG/7/6), en el que se calculaba por primera vez la elasticidad general de las tasas de presentación de solicitudes PCT, es decir, la manera en que la decisión del solicitante de si ha de recurrir al PCT o a la vía de París para presentar solicitudes de patente en el extranjero se ve afectada por los cambios en la tasa de presentación internacional.  En el estudio se indicaba que el precio influía más en las universidades e instituciones públicas de investigación que en otros solicitantes</w:t>
      </w:r>
      <w:r w:rsidRPr="00523C74">
        <w:rPr>
          <w:lang w:val="es-ES"/>
        </w:rPr>
        <w:t>.</w:t>
      </w:r>
    </w:p>
    <w:p w:rsidR="00396A89" w:rsidRPr="008F1E34" w:rsidRDefault="008F1E34" w:rsidP="00396A89">
      <w:pPr>
        <w:pStyle w:val="ONUME"/>
        <w:rPr>
          <w:lang w:val="es-ES"/>
        </w:rPr>
      </w:pPr>
      <w:r w:rsidRPr="008F1E34">
        <w:rPr>
          <w:lang w:val="es-ES"/>
        </w:rPr>
        <w:lastRenderedPageBreak/>
        <w:t xml:space="preserve">En la octava reunión del Grupo de Trabajo, que se celebró en 2015, la Oficina Internacional confirmó que los precios influían en mayor medida en el volumen de presentación de solicitudes de las universidades e instituciones públicas de investigación de países en desarrollo (véase el documento PCT/WG/8/11).  La Secretaría calculó que una reducción de la tasa del 50% daría lugar a la presentación de 139 solicitudes más al año y a un descenso de los ingresos de 1.058.000 francos suizos (véase el </w:t>
      </w:r>
      <w:r w:rsidR="00307D99">
        <w:rPr>
          <w:lang w:val="es-ES"/>
        </w:rPr>
        <w:t>c</w:t>
      </w:r>
      <w:r w:rsidRPr="008F1E34">
        <w:rPr>
          <w:lang w:val="es-ES"/>
        </w:rPr>
        <w:t xml:space="preserve">uadro 4 del documento PCT/WG/8/11). </w:t>
      </w:r>
      <w:r w:rsidR="00307D99">
        <w:rPr>
          <w:lang w:val="es-ES"/>
        </w:rPr>
        <w:t>El p</w:t>
      </w:r>
      <w:r w:rsidRPr="008F1E34">
        <w:rPr>
          <w:lang w:val="es-ES"/>
        </w:rPr>
        <w:t>residente, en su resumen, declaró que “varias delegaciones son partidarias de reducir las tasas del PCT en el caso de las universidades e instituciones públicas de investigación</w:t>
      </w:r>
      <w:r w:rsidR="00396A89" w:rsidRPr="008F1E34">
        <w:rPr>
          <w:lang w:val="es-ES"/>
        </w:rPr>
        <w:t xml:space="preserve">. (…)  </w:t>
      </w:r>
      <w:r w:rsidR="00307D99">
        <w:rPr>
          <w:lang w:val="es-ES"/>
        </w:rPr>
        <w:t>El p</w:t>
      </w:r>
      <w:r w:rsidRPr="008F1E34">
        <w:rPr>
          <w:lang w:val="es-ES"/>
        </w:rPr>
        <w:t>residente invitó a los Estados miembros a presentar propuestas en este sentido para que sean examinadas en una futura reunión del Grupo de Trabajo” (véase el párrafo 19 del documento PCT/WG/8/25).</w:t>
      </w:r>
    </w:p>
    <w:p w:rsidR="00396A89" w:rsidRPr="008F1E34" w:rsidRDefault="00D21588" w:rsidP="00CF5E4D">
      <w:pPr>
        <w:pStyle w:val="ONUME"/>
        <w:rPr>
          <w:lang w:val="es-ES"/>
        </w:rPr>
      </w:pPr>
      <w:r>
        <w:rPr>
          <w:lang w:val="es-ES"/>
        </w:rPr>
        <w:t xml:space="preserve">En respuesta a la invitación del </w:t>
      </w:r>
      <w:r w:rsidR="00AA49DD">
        <w:rPr>
          <w:lang w:val="es-ES"/>
        </w:rPr>
        <w:t>p</w:t>
      </w:r>
      <w:r>
        <w:rPr>
          <w:lang w:val="es-ES"/>
        </w:rPr>
        <w:t xml:space="preserve">residente del Grupo de Trabajo, en la novena reunión, la </w:t>
      </w:r>
      <w:r w:rsidR="00AA49DD">
        <w:rPr>
          <w:lang w:val="es-ES"/>
        </w:rPr>
        <w:t>delegación</w:t>
      </w:r>
      <w:r>
        <w:rPr>
          <w:lang w:val="es-ES"/>
        </w:rPr>
        <w:t xml:space="preserve"> del Brasil distribuyó una propuesta acerca de la reducción de las tasas del 50 por ciento como mínimo para las universidades de determinados países (</w:t>
      </w:r>
      <w:r w:rsidR="000B7EB9">
        <w:rPr>
          <w:lang w:val="es-ES"/>
        </w:rPr>
        <w:t>véase el</w:t>
      </w:r>
      <w:r w:rsidR="00396A89" w:rsidRPr="008F1E34">
        <w:rPr>
          <w:lang w:val="es-ES"/>
        </w:rPr>
        <w:t xml:space="preserve"> document</w:t>
      </w:r>
      <w:r w:rsidR="000B7EB9">
        <w:rPr>
          <w:lang w:val="es-ES"/>
        </w:rPr>
        <w:t>o</w:t>
      </w:r>
      <w:r w:rsidR="00396A89" w:rsidRPr="008F1E34">
        <w:rPr>
          <w:lang w:val="es-ES"/>
        </w:rPr>
        <w:t xml:space="preserve"> PCT/WG/9/25).  </w:t>
      </w:r>
      <w:r w:rsidR="000B7EB9">
        <w:rPr>
          <w:lang w:val="es-ES"/>
        </w:rPr>
        <w:t xml:space="preserve">El documento distribuido fue objeto de apoyo general por los potenciales países beneficiarios.  Otras tantas delegaciones apuntaron a la necesidad de apertura para considerar una reducción más amplia de las tasas en la que se incluyera a los países desarrollados.  Hubo también delegaciones que expresaron </w:t>
      </w:r>
      <w:r w:rsidR="00AA49DD">
        <w:rPr>
          <w:lang w:val="es-ES"/>
        </w:rPr>
        <w:t>inquietud</w:t>
      </w:r>
      <w:r w:rsidR="000B7EB9">
        <w:rPr>
          <w:lang w:val="es-ES"/>
        </w:rPr>
        <w:t xml:space="preserve"> acerca de la definición de “institución pública de investigación” y de las consecuencias financieras de una reducción de las tasas</w:t>
      </w:r>
      <w:r w:rsidR="00396A89" w:rsidRPr="008F1E34">
        <w:rPr>
          <w:lang w:val="es-ES"/>
        </w:rPr>
        <w:t>.</w:t>
      </w:r>
    </w:p>
    <w:p w:rsidR="00CF5E4D" w:rsidRPr="008F1E34" w:rsidRDefault="00CD3522" w:rsidP="00CC2397">
      <w:pPr>
        <w:pStyle w:val="ONUME"/>
        <w:rPr>
          <w:lang w:val="es-ES"/>
        </w:rPr>
      </w:pPr>
      <w:r>
        <w:rPr>
          <w:lang w:val="es-ES"/>
        </w:rPr>
        <w:t>En la novena reunión del Grupo de Trabajo se examinó también una propuesta de la Secretaría acerca de la reducción de las tasas en favor de solicitantes de determinados países</w:t>
      </w:r>
      <w:r w:rsidR="00CF5E4D" w:rsidRPr="008F1E34">
        <w:rPr>
          <w:lang w:val="es-ES"/>
        </w:rPr>
        <w:t xml:space="preserve"> (</w:t>
      </w:r>
      <w:r>
        <w:rPr>
          <w:lang w:val="es-ES"/>
        </w:rPr>
        <w:t xml:space="preserve">véase el </w:t>
      </w:r>
      <w:r w:rsidR="00CF5E4D" w:rsidRPr="008F1E34">
        <w:rPr>
          <w:lang w:val="es-ES"/>
        </w:rPr>
        <w:t>document</w:t>
      </w:r>
      <w:r>
        <w:rPr>
          <w:lang w:val="es-ES"/>
        </w:rPr>
        <w:t>o</w:t>
      </w:r>
      <w:r w:rsidR="00CF5E4D" w:rsidRPr="008F1E34">
        <w:rPr>
          <w:lang w:val="es-ES"/>
        </w:rPr>
        <w:t xml:space="preserve"> PCT/WG/9/10), </w:t>
      </w:r>
      <w:r w:rsidR="0039328E">
        <w:rPr>
          <w:lang w:val="es-ES"/>
        </w:rPr>
        <w:t xml:space="preserve">con la finalidad de poner coto a las peticiones de reducción de las tasas presentadas por solicitantes que no reúnen las condiciones para ello.  Se acordó que la Secretaría proporcionara información adicional sobre </w:t>
      </w:r>
      <w:r w:rsidR="00CC2397" w:rsidRPr="00CC2397">
        <w:rPr>
          <w:lang w:val="es-ES"/>
        </w:rPr>
        <w:t>la incidencia positiva que podría tener en los ingresos por tasas del PCT la adopción de</w:t>
      </w:r>
      <w:r w:rsidR="00CC2397">
        <w:rPr>
          <w:lang w:val="es-ES"/>
        </w:rPr>
        <w:t>l</w:t>
      </w:r>
      <w:r w:rsidR="00CC2397" w:rsidRPr="00CC2397">
        <w:rPr>
          <w:lang w:val="es-ES"/>
        </w:rPr>
        <w:t xml:space="preserve"> </w:t>
      </w:r>
      <w:r w:rsidR="00CC2397">
        <w:rPr>
          <w:lang w:val="es-ES"/>
        </w:rPr>
        <w:t>cambio propuesto (véase el párrafo</w:t>
      </w:r>
      <w:r w:rsidR="00CF5E4D" w:rsidRPr="008F1E34">
        <w:rPr>
          <w:lang w:val="es-ES"/>
        </w:rPr>
        <w:t xml:space="preserve"> 55 </w:t>
      </w:r>
      <w:r w:rsidR="00CC2397">
        <w:rPr>
          <w:lang w:val="es-ES"/>
        </w:rPr>
        <w:t xml:space="preserve">del </w:t>
      </w:r>
      <w:r w:rsidR="00CF5E4D" w:rsidRPr="008F1E34">
        <w:rPr>
          <w:lang w:val="es-ES"/>
        </w:rPr>
        <w:t>document</w:t>
      </w:r>
      <w:r w:rsidR="00CC2397">
        <w:rPr>
          <w:lang w:val="es-ES"/>
        </w:rPr>
        <w:t>o</w:t>
      </w:r>
      <w:r w:rsidR="00CF5E4D" w:rsidRPr="008F1E34">
        <w:rPr>
          <w:lang w:val="es-ES"/>
        </w:rPr>
        <w:t xml:space="preserve"> PCT/WG/9/27). </w:t>
      </w:r>
      <w:r w:rsidR="00957183">
        <w:rPr>
          <w:lang w:val="es-ES"/>
        </w:rPr>
        <w:t xml:space="preserve"> En el </w:t>
      </w:r>
      <w:r w:rsidR="00CF5E4D" w:rsidRPr="008F1E34">
        <w:rPr>
          <w:lang w:val="es-ES"/>
        </w:rPr>
        <w:t>document</w:t>
      </w:r>
      <w:r w:rsidR="00957183">
        <w:rPr>
          <w:lang w:val="es-ES"/>
        </w:rPr>
        <w:t>o</w:t>
      </w:r>
      <w:r w:rsidR="00CF5E4D" w:rsidRPr="008F1E34">
        <w:rPr>
          <w:lang w:val="es-ES"/>
        </w:rPr>
        <w:t xml:space="preserve"> PCT/WG/10/8</w:t>
      </w:r>
      <w:r w:rsidR="00F062A0" w:rsidRPr="008F1E34">
        <w:rPr>
          <w:lang w:val="es-ES"/>
        </w:rPr>
        <w:t xml:space="preserve">, </w:t>
      </w:r>
      <w:r w:rsidR="00957183">
        <w:rPr>
          <w:lang w:val="es-ES"/>
        </w:rPr>
        <w:t>con fecha de</w:t>
      </w:r>
      <w:r w:rsidR="00F062A0" w:rsidRPr="008F1E34">
        <w:rPr>
          <w:lang w:val="es-ES"/>
        </w:rPr>
        <w:t xml:space="preserve"> </w:t>
      </w:r>
      <w:r w:rsidR="00957183">
        <w:rPr>
          <w:lang w:val="es-ES"/>
        </w:rPr>
        <w:t>4 de abril de</w:t>
      </w:r>
      <w:r w:rsidR="00F062A0" w:rsidRPr="008F1E34">
        <w:rPr>
          <w:lang w:val="es-ES"/>
        </w:rPr>
        <w:t>  2017</w:t>
      </w:r>
      <w:r w:rsidR="00AA49DD">
        <w:rPr>
          <w:lang w:val="es-ES"/>
        </w:rPr>
        <w:t>,</w:t>
      </w:r>
      <w:r w:rsidR="00957183">
        <w:rPr>
          <w:lang w:val="es-ES"/>
        </w:rPr>
        <w:t xml:space="preserve"> se ofrece esa información</w:t>
      </w:r>
      <w:r w:rsidR="00CF5E4D" w:rsidRPr="008F1E34">
        <w:rPr>
          <w:lang w:val="es-ES"/>
        </w:rPr>
        <w:t>.</w:t>
      </w:r>
    </w:p>
    <w:p w:rsidR="00CF5E4D" w:rsidRPr="00020B64" w:rsidRDefault="00CF5E4D" w:rsidP="00CF5E4D">
      <w:pPr>
        <w:pStyle w:val="ONUME"/>
        <w:rPr>
          <w:lang w:val="es-ES"/>
        </w:rPr>
      </w:pPr>
      <w:r w:rsidRPr="00020B64">
        <w:rPr>
          <w:lang w:val="es-ES"/>
        </w:rPr>
        <w:t>Dur</w:t>
      </w:r>
      <w:r w:rsidR="00CF5960">
        <w:rPr>
          <w:lang w:val="es-ES"/>
        </w:rPr>
        <w:t>ante la serie de reuniones de</w:t>
      </w:r>
      <w:r w:rsidRPr="00020B64">
        <w:rPr>
          <w:lang w:val="es-ES"/>
        </w:rPr>
        <w:t xml:space="preserve"> 2016 </w:t>
      </w:r>
      <w:r w:rsidR="00CF5960">
        <w:rPr>
          <w:lang w:val="es-ES"/>
        </w:rPr>
        <w:t>de las Asambleas de la OMPI</w:t>
      </w:r>
      <w:r w:rsidRPr="00020B64">
        <w:rPr>
          <w:lang w:val="es-ES"/>
        </w:rPr>
        <w:t xml:space="preserve">, </w:t>
      </w:r>
      <w:r w:rsidR="00CF5960">
        <w:rPr>
          <w:lang w:val="es-ES"/>
        </w:rPr>
        <w:t>el</w:t>
      </w:r>
      <w:r w:rsidR="00F062A0" w:rsidRPr="00020B64">
        <w:rPr>
          <w:lang w:val="es-ES"/>
        </w:rPr>
        <w:t xml:space="preserve"> </w:t>
      </w:r>
      <w:r w:rsidRPr="00020B64">
        <w:rPr>
          <w:lang w:val="es-ES"/>
        </w:rPr>
        <w:t>document</w:t>
      </w:r>
      <w:r w:rsidR="00CF5960">
        <w:rPr>
          <w:lang w:val="es-ES"/>
        </w:rPr>
        <w:t>o PCT/WG/9/25 fue objeto de amplio apoyo</w:t>
      </w:r>
      <w:r w:rsidRPr="00020B64">
        <w:rPr>
          <w:lang w:val="es-ES"/>
        </w:rPr>
        <w:t xml:space="preserve">, </w:t>
      </w:r>
      <w:r w:rsidR="00CF5960">
        <w:rPr>
          <w:lang w:val="es-ES"/>
        </w:rPr>
        <w:t xml:space="preserve">que vino a sumarse </w:t>
      </w:r>
      <w:r w:rsidR="00450AA9">
        <w:rPr>
          <w:lang w:val="es-ES"/>
        </w:rPr>
        <w:t xml:space="preserve">al </w:t>
      </w:r>
      <w:r w:rsidR="00CF5960">
        <w:rPr>
          <w:lang w:val="es-ES"/>
        </w:rPr>
        <w:t>ya expres</w:t>
      </w:r>
      <w:r w:rsidR="00AA49DD">
        <w:rPr>
          <w:lang w:val="es-ES"/>
        </w:rPr>
        <w:t>ado</w:t>
      </w:r>
      <w:r w:rsidR="00CF5960">
        <w:rPr>
          <w:lang w:val="es-ES"/>
        </w:rPr>
        <w:t xml:space="preserve"> en el Grupo de Trabajo.  En particular, los miembros de cuatro grupos regionales se manifestaron a favor de la reducción propuesta de las tasas</w:t>
      </w:r>
      <w:r w:rsidRPr="00020B64">
        <w:rPr>
          <w:lang w:val="es-ES"/>
        </w:rPr>
        <w:t xml:space="preserve"> (</w:t>
      </w:r>
      <w:r w:rsidR="00CF5960">
        <w:rPr>
          <w:lang w:val="es-ES"/>
        </w:rPr>
        <w:t>véanse los párrafos</w:t>
      </w:r>
      <w:r w:rsidRPr="00020B64">
        <w:rPr>
          <w:lang w:val="es-ES"/>
        </w:rPr>
        <w:t xml:space="preserve"> 5, 8 </w:t>
      </w:r>
      <w:r w:rsidR="00CF5960">
        <w:rPr>
          <w:lang w:val="es-ES"/>
        </w:rPr>
        <w:t xml:space="preserve">y </w:t>
      </w:r>
      <w:r w:rsidRPr="00020B64">
        <w:rPr>
          <w:lang w:val="es-ES"/>
        </w:rPr>
        <w:t xml:space="preserve">106 </w:t>
      </w:r>
      <w:r w:rsidR="002C63BF">
        <w:rPr>
          <w:lang w:val="es-ES"/>
        </w:rPr>
        <w:t>del anexo</w:t>
      </w:r>
      <w:r w:rsidRPr="00020B64">
        <w:rPr>
          <w:lang w:val="es-ES"/>
        </w:rPr>
        <w:t xml:space="preserve"> II </w:t>
      </w:r>
      <w:r w:rsidR="002C63BF">
        <w:rPr>
          <w:lang w:val="es-ES"/>
        </w:rPr>
        <w:t>del</w:t>
      </w:r>
      <w:r w:rsidRPr="00020B64">
        <w:rPr>
          <w:lang w:val="es-ES"/>
        </w:rPr>
        <w:t xml:space="preserve"> document</w:t>
      </w:r>
      <w:r w:rsidR="002C63BF">
        <w:rPr>
          <w:lang w:val="es-ES"/>
        </w:rPr>
        <w:t>o A/56/17, y los párrafos</w:t>
      </w:r>
      <w:r w:rsidR="00D05CC9" w:rsidRPr="00020B64">
        <w:rPr>
          <w:lang w:val="es-ES"/>
        </w:rPr>
        <w:t> </w:t>
      </w:r>
      <w:r w:rsidRPr="00020B64">
        <w:rPr>
          <w:lang w:val="es-ES"/>
        </w:rPr>
        <w:t xml:space="preserve">8 </w:t>
      </w:r>
      <w:r w:rsidR="002C63BF">
        <w:rPr>
          <w:lang w:val="es-ES"/>
        </w:rPr>
        <w:t xml:space="preserve">a </w:t>
      </w:r>
      <w:r w:rsidRPr="00020B64">
        <w:rPr>
          <w:lang w:val="es-ES"/>
        </w:rPr>
        <w:t xml:space="preserve">15 </w:t>
      </w:r>
      <w:r w:rsidR="002C63BF">
        <w:rPr>
          <w:lang w:val="es-ES"/>
        </w:rPr>
        <w:t>del</w:t>
      </w:r>
      <w:r w:rsidRPr="00020B64">
        <w:rPr>
          <w:lang w:val="es-ES"/>
        </w:rPr>
        <w:t xml:space="preserve"> document</w:t>
      </w:r>
      <w:r w:rsidR="002C63BF">
        <w:rPr>
          <w:lang w:val="es-ES"/>
        </w:rPr>
        <w:t>o</w:t>
      </w:r>
      <w:r w:rsidRPr="00020B64">
        <w:rPr>
          <w:lang w:val="es-ES"/>
        </w:rPr>
        <w:t xml:space="preserve"> PCT/A/48/5).</w:t>
      </w:r>
    </w:p>
    <w:p w:rsidR="00CF5E4D" w:rsidRPr="00112597" w:rsidRDefault="00112597" w:rsidP="00D05CC9">
      <w:pPr>
        <w:pStyle w:val="ONUME"/>
        <w:rPr>
          <w:lang w:val="es-ES"/>
        </w:rPr>
      </w:pPr>
      <w:r w:rsidRPr="00112597">
        <w:rPr>
          <w:lang w:val="es-ES"/>
        </w:rPr>
        <w:t xml:space="preserve">En febrero de 2016, el </w:t>
      </w:r>
      <w:r w:rsidR="00AA49DD">
        <w:rPr>
          <w:lang w:val="es-ES"/>
        </w:rPr>
        <w:t>director general</w:t>
      </w:r>
      <w:r w:rsidRPr="00112597">
        <w:rPr>
          <w:lang w:val="es-ES"/>
        </w:rPr>
        <w:t xml:space="preserve"> anunció un superávit de 80 millones de francos suizos a favor de la OMPI en el bienio 2014/15</w:t>
      </w:r>
      <w:r w:rsidR="00D05CC9" w:rsidRPr="00112597">
        <w:rPr>
          <w:lang w:val="es-ES"/>
        </w:rPr>
        <w:t>.</w:t>
      </w:r>
    </w:p>
    <w:p w:rsidR="00D05CC9" w:rsidRPr="00020B64" w:rsidRDefault="00112597" w:rsidP="00D05CC9">
      <w:pPr>
        <w:pStyle w:val="ONUME"/>
        <w:rPr>
          <w:lang w:val="es-ES"/>
        </w:rPr>
      </w:pPr>
      <w:r>
        <w:rPr>
          <w:lang w:val="es-ES"/>
        </w:rPr>
        <w:t xml:space="preserve">En el segundo estudio suplementario de la "estimación de la elasticidad de las tasas del </w:t>
      </w:r>
      <w:r w:rsidR="00D05CC9" w:rsidRPr="00020B64">
        <w:rPr>
          <w:lang w:val="es-ES"/>
        </w:rPr>
        <w:t>PCT" (document</w:t>
      </w:r>
      <w:r>
        <w:rPr>
          <w:lang w:val="es-ES"/>
        </w:rPr>
        <w:t>o</w:t>
      </w:r>
      <w:r w:rsidR="00D05CC9" w:rsidRPr="00020B64">
        <w:rPr>
          <w:lang w:val="es-ES"/>
        </w:rPr>
        <w:t xml:space="preserve"> PCT/WG/10/2),</w:t>
      </w:r>
      <w:r>
        <w:rPr>
          <w:lang w:val="es-ES"/>
        </w:rPr>
        <w:t xml:space="preserve"> distribuido el 11 de enero de</w:t>
      </w:r>
      <w:r w:rsidR="00D05CC9" w:rsidRPr="00020B64">
        <w:rPr>
          <w:lang w:val="es-ES"/>
        </w:rPr>
        <w:t xml:space="preserve"> 2017, </w:t>
      </w:r>
      <w:r>
        <w:rPr>
          <w:lang w:val="es-ES"/>
        </w:rPr>
        <w:t>se realizan nuevas simulaciones de pérdida de ingresos respecto de varios niveles de descuento para las universidades.  En las estimaciones realizadas por la Secretaría se indica que el importe total de pérdida de ingresos que supondría una reducción general del 50 por ciento de las tasas para las universidades de los países en desarrollo ascendería a 890.000 francos suizos (véase</w:t>
      </w:r>
      <w:r w:rsidR="00D05CC9" w:rsidRPr="00020B64">
        <w:rPr>
          <w:lang w:val="es-ES"/>
        </w:rPr>
        <w:t xml:space="preserve"> </w:t>
      </w:r>
      <w:r>
        <w:rPr>
          <w:lang w:val="es-ES"/>
        </w:rPr>
        <w:t>el cuadro</w:t>
      </w:r>
      <w:r w:rsidR="00295FA6" w:rsidRPr="00020B64">
        <w:rPr>
          <w:lang w:val="es-ES"/>
        </w:rPr>
        <w:t> </w:t>
      </w:r>
      <w:r w:rsidR="00D05CC9" w:rsidRPr="00020B64">
        <w:rPr>
          <w:lang w:val="es-ES"/>
        </w:rPr>
        <w:t xml:space="preserve">3b </w:t>
      </w:r>
      <w:r>
        <w:rPr>
          <w:lang w:val="es-ES"/>
        </w:rPr>
        <w:t>del</w:t>
      </w:r>
      <w:r w:rsidR="00D05CC9" w:rsidRPr="00020B64">
        <w:rPr>
          <w:lang w:val="es-ES"/>
        </w:rPr>
        <w:t xml:space="preserve"> document</w:t>
      </w:r>
      <w:r>
        <w:rPr>
          <w:lang w:val="es-ES"/>
        </w:rPr>
        <w:t>o</w:t>
      </w:r>
      <w:r w:rsidR="00D05CC9" w:rsidRPr="00020B64">
        <w:rPr>
          <w:lang w:val="es-ES"/>
        </w:rPr>
        <w:t xml:space="preserve">). </w:t>
      </w:r>
    </w:p>
    <w:p w:rsidR="00D05CC9" w:rsidRPr="00490F6F" w:rsidRDefault="00490F6F" w:rsidP="00295FA6">
      <w:pPr>
        <w:pStyle w:val="ONUME"/>
        <w:rPr>
          <w:lang w:val="es-ES"/>
        </w:rPr>
      </w:pPr>
      <w:r w:rsidRPr="00490F6F">
        <w:rPr>
          <w:lang w:val="es-ES"/>
        </w:rPr>
        <w:t>Dada la situación, la posible pérdida de ingresos representaría una pequeña fracción del superávit previsto con efectos concretos y positivos en la presentación de solicitudes por parte de las universidades</w:t>
      </w:r>
      <w:r w:rsidR="00295FA6" w:rsidRPr="00490F6F">
        <w:rPr>
          <w:lang w:val="es-ES"/>
        </w:rPr>
        <w:t>.</w:t>
      </w:r>
    </w:p>
    <w:p w:rsidR="00295FA6" w:rsidRPr="00020B64" w:rsidRDefault="00295FA6" w:rsidP="00295FA6">
      <w:pPr>
        <w:pStyle w:val="Heading1"/>
        <w:rPr>
          <w:lang w:val="es-ES"/>
        </w:rPr>
      </w:pPr>
      <w:r w:rsidRPr="00020B64">
        <w:rPr>
          <w:lang w:val="es-ES"/>
        </w:rPr>
        <w:t>Prop</w:t>
      </w:r>
      <w:r w:rsidR="00490F6F">
        <w:rPr>
          <w:lang w:val="es-ES"/>
        </w:rPr>
        <w:t>uesta</w:t>
      </w:r>
    </w:p>
    <w:p w:rsidR="00295FA6" w:rsidRPr="00020B64" w:rsidRDefault="00490F6F" w:rsidP="00295FA6">
      <w:pPr>
        <w:pStyle w:val="ONUME"/>
        <w:rPr>
          <w:lang w:val="es-ES"/>
        </w:rPr>
      </w:pPr>
      <w:r>
        <w:rPr>
          <w:lang w:val="es-ES"/>
        </w:rPr>
        <w:t>Tras los debates mantenidos durante la novena reunión del Grupo de Trabajo, proponemos un enfoque secuencial.</w:t>
      </w:r>
    </w:p>
    <w:p w:rsidR="00295FA6" w:rsidRPr="002E4167" w:rsidRDefault="00AA49DD" w:rsidP="00295FA6">
      <w:pPr>
        <w:pStyle w:val="ONUME"/>
        <w:rPr>
          <w:lang w:val="es-ES"/>
        </w:rPr>
      </w:pPr>
      <w:r>
        <w:rPr>
          <w:lang w:val="es-ES"/>
        </w:rPr>
        <w:lastRenderedPageBreak/>
        <w:t xml:space="preserve">En la primera fase se </w:t>
      </w:r>
      <w:r w:rsidR="002E4167">
        <w:rPr>
          <w:lang w:val="es-ES"/>
        </w:rPr>
        <w:t>aproba</w:t>
      </w:r>
      <w:r>
        <w:rPr>
          <w:lang w:val="es-ES"/>
        </w:rPr>
        <w:t>ría</w:t>
      </w:r>
      <w:r w:rsidR="002E4167">
        <w:rPr>
          <w:lang w:val="es-ES"/>
        </w:rPr>
        <w:t xml:space="preserve"> una modificación de la tabla de tasas, </w:t>
      </w:r>
      <w:r>
        <w:rPr>
          <w:lang w:val="es-ES"/>
        </w:rPr>
        <w:t>a saber, una reducción de</w:t>
      </w:r>
      <w:r w:rsidR="002E4167">
        <w:rPr>
          <w:lang w:val="es-ES"/>
        </w:rPr>
        <w:t xml:space="preserve"> las tasas </w:t>
      </w:r>
      <w:r>
        <w:rPr>
          <w:lang w:val="es-ES"/>
        </w:rPr>
        <w:t>de</w:t>
      </w:r>
      <w:r w:rsidR="002E4167">
        <w:rPr>
          <w:lang w:val="es-ES"/>
        </w:rPr>
        <w:t xml:space="preserve"> al</w:t>
      </w:r>
      <w:r w:rsidR="002E4167" w:rsidRPr="002E4167">
        <w:rPr>
          <w:lang w:val="es-ES"/>
        </w:rPr>
        <w:t xml:space="preserve"> menos un 50% para </w:t>
      </w:r>
      <w:r w:rsidR="002E4167">
        <w:rPr>
          <w:lang w:val="es-ES"/>
        </w:rPr>
        <w:t xml:space="preserve">las </w:t>
      </w:r>
      <w:r w:rsidR="002E4167" w:rsidRPr="002E4167">
        <w:rPr>
          <w:lang w:val="es-ES"/>
        </w:rPr>
        <w:t>universidades de determinados países, en especial</w:t>
      </w:r>
      <w:r>
        <w:rPr>
          <w:lang w:val="es-ES"/>
        </w:rPr>
        <w:t>, los</w:t>
      </w:r>
      <w:r w:rsidR="002E4167" w:rsidRPr="002E4167">
        <w:rPr>
          <w:lang w:val="es-ES"/>
        </w:rPr>
        <w:t xml:space="preserve"> países en desarrollo y países menos adelantados, aprovechando los criterios en función de los países que se aplican actualmente en la reducción de tasas.  En esta fase, el impacto económico </w:t>
      </w:r>
      <w:r>
        <w:rPr>
          <w:lang w:val="es-ES"/>
        </w:rPr>
        <w:t>sería</w:t>
      </w:r>
      <w:r w:rsidR="002E4167" w:rsidRPr="002E4167">
        <w:rPr>
          <w:lang w:val="es-ES"/>
        </w:rPr>
        <w:t xml:space="preserve"> relativamente reducido si se compara con una reducción horizontal para todos los Estados miembros</w:t>
      </w:r>
      <w:r w:rsidR="00295FA6" w:rsidRPr="002E4167">
        <w:rPr>
          <w:lang w:val="es-ES"/>
        </w:rPr>
        <w:t>.</w:t>
      </w:r>
    </w:p>
    <w:p w:rsidR="00295FA6" w:rsidRPr="00020B64" w:rsidRDefault="00893A62" w:rsidP="00295FA6">
      <w:pPr>
        <w:pStyle w:val="ONUME"/>
        <w:rPr>
          <w:lang w:val="es-ES"/>
        </w:rPr>
      </w:pPr>
      <w:r w:rsidRPr="00893A62">
        <w:rPr>
          <w:lang w:val="es-ES"/>
        </w:rPr>
        <w:t>En una segunda fase, los Estados miembros evaluarían, en una reunión del Grupo de Trabajo, los resultados de la nueva política de tasas para incrementar el número de solicitudes presentadas por las universidades y decidir</w:t>
      </w:r>
      <w:r w:rsidR="00AA49DD">
        <w:rPr>
          <w:lang w:val="es-ES"/>
        </w:rPr>
        <w:t xml:space="preserve">ían </w:t>
      </w:r>
      <w:r w:rsidRPr="00893A62">
        <w:rPr>
          <w:lang w:val="es-ES"/>
        </w:rPr>
        <w:t xml:space="preserve">si conviene aumentar la reducción de la tasa o ampliarla </w:t>
      </w:r>
      <w:r w:rsidR="00AA49DD">
        <w:rPr>
          <w:lang w:val="es-ES"/>
        </w:rPr>
        <w:t xml:space="preserve">para dar cabida </w:t>
      </w:r>
      <w:r w:rsidRPr="00893A62">
        <w:rPr>
          <w:lang w:val="es-ES"/>
        </w:rPr>
        <w:t>a las universidades de los países desarrollados</w:t>
      </w:r>
      <w:r w:rsidR="00295FA6" w:rsidRPr="00893A62">
        <w:rPr>
          <w:lang w:val="es-ES"/>
        </w:rPr>
        <w:t>.</w:t>
      </w:r>
      <w:r w:rsidR="00295FA6" w:rsidRPr="00020B64">
        <w:rPr>
          <w:lang w:val="es-ES"/>
        </w:rPr>
        <w:t xml:space="preserve">  </w:t>
      </w:r>
      <w:r>
        <w:rPr>
          <w:lang w:val="es-ES"/>
        </w:rPr>
        <w:t xml:space="preserve">En futuros debates podría decidirse también </w:t>
      </w:r>
      <w:r w:rsidR="00AA49DD">
        <w:rPr>
          <w:lang w:val="es-ES"/>
        </w:rPr>
        <w:t>que se haga</w:t>
      </w:r>
      <w:r>
        <w:rPr>
          <w:lang w:val="es-ES"/>
        </w:rPr>
        <w:t xml:space="preserve"> extensivo ese beneficio para las instituciones públicas de investigación</w:t>
      </w:r>
      <w:r w:rsidR="00295FA6" w:rsidRPr="00020B64">
        <w:rPr>
          <w:lang w:val="es-ES"/>
        </w:rPr>
        <w:t>.</w:t>
      </w:r>
    </w:p>
    <w:p w:rsidR="00295FA6" w:rsidRPr="00020B64" w:rsidRDefault="00B268DF" w:rsidP="00295FA6">
      <w:pPr>
        <w:pStyle w:val="ONUME"/>
        <w:keepLines/>
        <w:rPr>
          <w:lang w:val="es-ES"/>
        </w:rPr>
      </w:pPr>
      <w:r>
        <w:rPr>
          <w:lang w:val="es-ES"/>
        </w:rPr>
        <w:t xml:space="preserve">A los fines de atender a las inquietudes manifestadas acerca del equilibrio presupuestario general de la Organización, se propone examinar la cuestión de la reducción de las tasas para las universidades a la par de las medidas destinadas a </w:t>
      </w:r>
      <w:r w:rsidR="00AA49DD">
        <w:rPr>
          <w:lang w:val="es-ES"/>
        </w:rPr>
        <w:t xml:space="preserve">disminuir </w:t>
      </w:r>
      <w:r>
        <w:rPr>
          <w:lang w:val="es-ES"/>
        </w:rPr>
        <w:t>el número de reducciones de las tasas que piden solicitantes que no satisfacen los requisitos para una reducción, como se explica en el documento</w:t>
      </w:r>
      <w:r w:rsidR="00295FA6" w:rsidRPr="00020B64">
        <w:rPr>
          <w:lang w:val="es-ES"/>
        </w:rPr>
        <w:t xml:space="preserve"> PCT/WG/10/8.</w:t>
      </w:r>
    </w:p>
    <w:p w:rsidR="00295FA6" w:rsidRPr="00020B64" w:rsidRDefault="00C21268" w:rsidP="00295FA6">
      <w:pPr>
        <w:pStyle w:val="ONUME"/>
        <w:ind w:left="5533"/>
        <w:rPr>
          <w:lang w:val="es-ES"/>
        </w:rPr>
      </w:pPr>
      <w:r>
        <w:rPr>
          <w:i/>
          <w:lang w:val="es-ES"/>
        </w:rPr>
        <w:t xml:space="preserve">Se invita al Grupo de Trabajo a considerar la propuesta que consta en el presente documento así como la modificación </w:t>
      </w:r>
      <w:r w:rsidR="00EF0AE4">
        <w:rPr>
          <w:i/>
          <w:lang w:val="es-ES"/>
        </w:rPr>
        <w:t xml:space="preserve">propuesta </w:t>
      </w:r>
      <w:r>
        <w:rPr>
          <w:i/>
          <w:lang w:val="es-ES"/>
        </w:rPr>
        <w:t>de la tabla de tasas que</w:t>
      </w:r>
      <w:r w:rsidR="007F6C03">
        <w:rPr>
          <w:i/>
          <w:lang w:val="es-ES"/>
        </w:rPr>
        <w:t xml:space="preserve"> </w:t>
      </w:r>
      <w:r w:rsidR="00EF0AE4">
        <w:rPr>
          <w:i/>
          <w:lang w:val="es-ES"/>
        </w:rPr>
        <w:t>figura en su Anexo</w:t>
      </w:r>
      <w:r w:rsidR="00295FA6" w:rsidRPr="00020B64">
        <w:rPr>
          <w:lang w:val="es-ES"/>
        </w:rPr>
        <w:t>.</w:t>
      </w:r>
    </w:p>
    <w:p w:rsidR="00295FA6" w:rsidRPr="00020B64" w:rsidRDefault="00295FA6" w:rsidP="00295FA6">
      <w:pPr>
        <w:pStyle w:val="ONUME"/>
        <w:numPr>
          <w:ilvl w:val="0"/>
          <w:numId w:val="0"/>
        </w:numPr>
        <w:ind w:left="5533"/>
        <w:rPr>
          <w:lang w:val="es-ES"/>
        </w:rPr>
      </w:pPr>
    </w:p>
    <w:p w:rsidR="00295FA6" w:rsidRDefault="00295FA6" w:rsidP="00295FA6">
      <w:pPr>
        <w:pStyle w:val="ONUME"/>
        <w:numPr>
          <w:ilvl w:val="0"/>
          <w:numId w:val="0"/>
        </w:numPr>
        <w:ind w:left="5533"/>
        <w:rPr>
          <w:lang w:val="es-ES"/>
        </w:rPr>
      </w:pPr>
      <w:r w:rsidRPr="00020B64">
        <w:rPr>
          <w:lang w:val="es-ES"/>
        </w:rPr>
        <w:t>[</w:t>
      </w:r>
      <w:r w:rsidR="007F6C03">
        <w:rPr>
          <w:lang w:val="es-ES"/>
        </w:rPr>
        <w:t>Sigue el Anexo</w:t>
      </w:r>
      <w:r w:rsidRPr="00020B64">
        <w:rPr>
          <w:lang w:val="es-ES"/>
        </w:rPr>
        <w:t>]</w:t>
      </w:r>
    </w:p>
    <w:p w:rsidR="00F01825" w:rsidRDefault="00F01825" w:rsidP="00295FA6">
      <w:pPr>
        <w:pStyle w:val="ONUME"/>
        <w:numPr>
          <w:ilvl w:val="0"/>
          <w:numId w:val="0"/>
        </w:numPr>
        <w:ind w:left="5533"/>
        <w:rPr>
          <w:lang w:val="es-ES"/>
        </w:rPr>
      </w:pPr>
    </w:p>
    <w:p w:rsidR="00F01825" w:rsidRPr="00020B64" w:rsidRDefault="00F01825" w:rsidP="00295FA6">
      <w:pPr>
        <w:pStyle w:val="ONUME"/>
        <w:numPr>
          <w:ilvl w:val="0"/>
          <w:numId w:val="0"/>
        </w:numPr>
        <w:ind w:left="5533"/>
        <w:rPr>
          <w:lang w:val="es-ES"/>
        </w:rPr>
        <w:sectPr w:rsidR="00F01825" w:rsidRPr="00020B64" w:rsidSect="009A1A7C">
          <w:headerReference w:type="default" r:id="rId10"/>
          <w:endnotePr>
            <w:numFmt w:val="decimal"/>
          </w:endnotePr>
          <w:pgSz w:w="11907" w:h="16840" w:code="9"/>
          <w:pgMar w:top="567" w:right="1134" w:bottom="1418" w:left="1418" w:header="510" w:footer="1021" w:gutter="0"/>
          <w:cols w:space="720"/>
          <w:titlePg/>
          <w:docGrid w:linePitch="299"/>
        </w:sectPr>
      </w:pPr>
    </w:p>
    <w:p w:rsidR="00295FA6" w:rsidRPr="00020B64" w:rsidRDefault="00295FA6" w:rsidP="00E71F56">
      <w:pPr>
        <w:rPr>
          <w:lang w:val="es-ES"/>
        </w:rPr>
      </w:pPr>
    </w:p>
    <w:p w:rsidR="00295FA6" w:rsidRPr="00020B64" w:rsidRDefault="00EF0AE4" w:rsidP="00E71F56">
      <w:pPr>
        <w:pStyle w:val="Heading2"/>
        <w:jc w:val="center"/>
        <w:rPr>
          <w:lang w:val="es-ES"/>
        </w:rPr>
      </w:pPr>
      <w:r w:rsidRPr="00D277EA">
        <w:rPr>
          <w:lang w:val="es-ES_tradnl"/>
        </w:rPr>
        <w:t>PROPUESTA DE MODIFICACI</w:t>
      </w:r>
      <w:r>
        <w:rPr>
          <w:lang w:val="es-ES_tradnl"/>
        </w:rPr>
        <w:t>ón</w:t>
      </w:r>
      <w:r w:rsidRPr="00D277EA">
        <w:rPr>
          <w:lang w:val="es-ES_tradnl"/>
        </w:rPr>
        <w:t xml:space="preserve"> DEL REGLAMENTO DEL PCT</w:t>
      </w:r>
    </w:p>
    <w:p w:rsidR="00295FA6" w:rsidRPr="00020B64" w:rsidRDefault="00295FA6" w:rsidP="00295FA6">
      <w:pPr>
        <w:rPr>
          <w:lang w:val="es-ES"/>
        </w:rPr>
      </w:pPr>
    </w:p>
    <w:p w:rsidR="00295FA6" w:rsidRPr="00020B64" w:rsidRDefault="00EF0AE4" w:rsidP="00295FA6">
      <w:pPr>
        <w:pStyle w:val="LegTitle"/>
        <w:spacing w:after="240" w:line="360" w:lineRule="auto"/>
        <w:rPr>
          <w:rFonts w:eastAsia="Arial Unicode MS"/>
          <w:lang w:val="es-ES"/>
        </w:rPr>
      </w:pPr>
      <w:bookmarkStart w:id="6" w:name="_Toc477964349"/>
      <w:bookmarkStart w:id="7" w:name="_Toc392057254"/>
      <w:bookmarkStart w:id="8" w:name="_Toc391294056"/>
      <w:bookmarkStart w:id="9" w:name="_Toc390869876"/>
      <w:bookmarkStart w:id="10" w:name="_Toc390869454"/>
      <w:r>
        <w:rPr>
          <w:rFonts w:eastAsia="Arial Unicode MS"/>
          <w:lang w:val="es-ES"/>
        </w:rPr>
        <w:t>TABLA DE TASAS</w:t>
      </w:r>
      <w:bookmarkEnd w:id="6"/>
      <w:bookmarkEnd w:id="7"/>
      <w:bookmarkEnd w:id="8"/>
      <w:bookmarkEnd w:id="9"/>
      <w:bookmarkEnd w:id="10"/>
    </w:p>
    <w:tbl>
      <w:tblPr>
        <w:tblW w:w="0" w:type="auto"/>
        <w:jc w:val="center"/>
        <w:tblInd w:w="38" w:type="dxa"/>
        <w:tblLayout w:type="fixed"/>
        <w:tblCellMar>
          <w:left w:w="56" w:type="dxa"/>
          <w:right w:w="56" w:type="dxa"/>
        </w:tblCellMar>
        <w:tblLook w:val="04A0" w:firstRow="1" w:lastRow="0" w:firstColumn="1" w:lastColumn="0" w:noHBand="0" w:noVBand="1"/>
      </w:tblPr>
      <w:tblGrid>
        <w:gridCol w:w="6074"/>
        <w:gridCol w:w="3017"/>
      </w:tblGrid>
      <w:tr w:rsidR="00295FA6" w:rsidRPr="00020B64" w:rsidTr="0001697F">
        <w:trPr>
          <w:jc w:val="center"/>
        </w:trPr>
        <w:tc>
          <w:tcPr>
            <w:tcW w:w="6074" w:type="dxa"/>
            <w:hideMark/>
          </w:tcPr>
          <w:p w:rsidR="00295FA6" w:rsidRPr="00020B64" w:rsidRDefault="00EF0AE4" w:rsidP="0001368D">
            <w:pPr>
              <w:pStyle w:val="LegBasic"/>
              <w:spacing w:after="120" w:line="360" w:lineRule="auto"/>
              <w:rPr>
                <w:rFonts w:eastAsia="SimSun"/>
                <w:b/>
                <w:bCs/>
                <w:lang w:val="es-ES"/>
              </w:rPr>
            </w:pPr>
            <w:r>
              <w:rPr>
                <w:rFonts w:eastAsia="SimSun"/>
                <w:b/>
                <w:bCs/>
                <w:lang w:val="es-ES"/>
              </w:rPr>
              <w:t>Tasas</w:t>
            </w:r>
          </w:p>
        </w:tc>
        <w:tc>
          <w:tcPr>
            <w:tcW w:w="3017" w:type="dxa"/>
            <w:hideMark/>
          </w:tcPr>
          <w:p w:rsidR="00295FA6" w:rsidRPr="00020B64" w:rsidRDefault="00EF0AE4" w:rsidP="0001368D">
            <w:pPr>
              <w:pStyle w:val="LegBasic"/>
              <w:spacing w:after="120" w:line="360" w:lineRule="auto"/>
              <w:rPr>
                <w:rFonts w:eastAsia="SimSun"/>
                <w:b/>
                <w:bCs/>
                <w:lang w:val="es-ES"/>
              </w:rPr>
            </w:pPr>
            <w:r>
              <w:rPr>
                <w:rFonts w:eastAsia="SimSun"/>
                <w:b/>
                <w:bCs/>
                <w:lang w:val="es-ES"/>
              </w:rPr>
              <w:t>Importe</w:t>
            </w:r>
          </w:p>
        </w:tc>
      </w:tr>
      <w:tr w:rsidR="00295FA6" w:rsidRPr="00020B64" w:rsidTr="0001697F">
        <w:trPr>
          <w:cantSplit/>
          <w:jc w:val="center"/>
        </w:trPr>
        <w:tc>
          <w:tcPr>
            <w:tcW w:w="9091" w:type="dxa"/>
            <w:gridSpan w:val="2"/>
            <w:hideMark/>
          </w:tcPr>
          <w:p w:rsidR="00295FA6" w:rsidRPr="00020B64" w:rsidRDefault="00295FA6" w:rsidP="00EF0AE4">
            <w:pPr>
              <w:pStyle w:val="LegBasic"/>
              <w:spacing w:after="120" w:line="360" w:lineRule="auto"/>
              <w:rPr>
                <w:lang w:val="es-ES"/>
              </w:rPr>
            </w:pPr>
            <w:r w:rsidRPr="00020B64">
              <w:rPr>
                <w:lang w:val="es-ES"/>
              </w:rPr>
              <w:t>1. to 3.   [</w:t>
            </w:r>
            <w:r w:rsidR="00EF0AE4">
              <w:rPr>
                <w:lang w:val="es-ES"/>
              </w:rPr>
              <w:t>Sin cambios</w:t>
            </w:r>
            <w:r w:rsidRPr="00020B64">
              <w:rPr>
                <w:lang w:val="es-ES"/>
              </w:rPr>
              <w:t>]</w:t>
            </w:r>
          </w:p>
        </w:tc>
      </w:tr>
      <w:tr w:rsidR="00295FA6" w:rsidRPr="00020B64" w:rsidTr="0001697F">
        <w:trPr>
          <w:jc w:val="center"/>
        </w:trPr>
        <w:tc>
          <w:tcPr>
            <w:tcW w:w="6074" w:type="dxa"/>
            <w:hideMark/>
          </w:tcPr>
          <w:p w:rsidR="00295FA6" w:rsidRPr="00020B64" w:rsidRDefault="00295FA6" w:rsidP="0001368D">
            <w:pPr>
              <w:pStyle w:val="LegBasic"/>
              <w:spacing w:after="120" w:line="360" w:lineRule="auto"/>
              <w:rPr>
                <w:rFonts w:eastAsia="SimSun"/>
                <w:b/>
                <w:bCs/>
                <w:lang w:val="es-ES"/>
              </w:rPr>
            </w:pPr>
            <w:r w:rsidRPr="00020B64">
              <w:rPr>
                <w:rFonts w:eastAsia="SimSun"/>
                <w:b/>
                <w:bCs/>
                <w:lang w:val="es-ES"/>
              </w:rPr>
              <w:t>Reduc</w:t>
            </w:r>
            <w:r w:rsidR="00EF0AE4">
              <w:rPr>
                <w:rFonts w:eastAsia="SimSun"/>
                <w:b/>
                <w:bCs/>
                <w:lang w:val="es-ES"/>
              </w:rPr>
              <w:t>ciones</w:t>
            </w:r>
          </w:p>
          <w:p w:rsidR="00295FA6" w:rsidRPr="00020B64" w:rsidRDefault="00295FA6" w:rsidP="00EF0AE4">
            <w:pPr>
              <w:pStyle w:val="LegBasic"/>
              <w:spacing w:after="120" w:line="360" w:lineRule="auto"/>
              <w:rPr>
                <w:rFonts w:eastAsia="SimSun"/>
                <w:b/>
                <w:bCs/>
                <w:lang w:val="es-ES"/>
              </w:rPr>
            </w:pPr>
            <w:r w:rsidRPr="00020B64">
              <w:rPr>
                <w:lang w:val="es-ES"/>
              </w:rPr>
              <w:t>4.   [</w:t>
            </w:r>
            <w:r w:rsidR="00EF0AE4">
              <w:rPr>
                <w:lang w:val="es-ES"/>
              </w:rPr>
              <w:t>Sin cambios</w:t>
            </w:r>
            <w:r w:rsidRPr="00020B64">
              <w:rPr>
                <w:lang w:val="es-ES"/>
              </w:rPr>
              <w:t>]</w:t>
            </w:r>
          </w:p>
        </w:tc>
        <w:tc>
          <w:tcPr>
            <w:tcW w:w="3017" w:type="dxa"/>
          </w:tcPr>
          <w:p w:rsidR="00295FA6" w:rsidRPr="00020B64" w:rsidRDefault="00295FA6" w:rsidP="0001368D">
            <w:pPr>
              <w:pStyle w:val="LegBasic"/>
              <w:spacing w:after="120" w:line="360" w:lineRule="auto"/>
              <w:rPr>
                <w:rFonts w:eastAsia="SimSun"/>
                <w:b/>
                <w:bCs/>
                <w:lang w:val="es-ES"/>
              </w:rPr>
            </w:pPr>
          </w:p>
        </w:tc>
      </w:tr>
      <w:tr w:rsidR="00295FA6" w:rsidRPr="00523C74" w:rsidTr="0001697F">
        <w:trPr>
          <w:cantSplit/>
          <w:jc w:val="center"/>
        </w:trPr>
        <w:tc>
          <w:tcPr>
            <w:tcW w:w="9091" w:type="dxa"/>
            <w:gridSpan w:val="2"/>
            <w:hideMark/>
          </w:tcPr>
          <w:p w:rsidR="00295FA6" w:rsidRPr="00020B64" w:rsidRDefault="00295FA6" w:rsidP="0001368D">
            <w:pPr>
              <w:pStyle w:val="LegBasic"/>
              <w:spacing w:after="120" w:line="360" w:lineRule="auto"/>
              <w:rPr>
                <w:lang w:val="es-ES"/>
              </w:rPr>
            </w:pPr>
            <w:r w:rsidRPr="00020B64">
              <w:rPr>
                <w:rFonts w:eastAsia="SimSun"/>
                <w:lang w:val="es-ES" w:eastAsia="zh-CN"/>
              </w:rPr>
              <w:t>5.</w:t>
            </w:r>
            <w:r w:rsidRPr="00020B64">
              <w:rPr>
                <w:lang w:val="es-ES"/>
              </w:rPr>
              <w:t>   [</w:t>
            </w:r>
            <w:r w:rsidR="00EF0AE4">
              <w:rPr>
                <w:lang w:val="es-ES"/>
              </w:rPr>
              <w:t>Sin cambios</w:t>
            </w:r>
            <w:r w:rsidRPr="00020B64">
              <w:rPr>
                <w:lang w:val="es-ES"/>
              </w:rPr>
              <w:t>]</w:t>
            </w:r>
          </w:p>
          <w:p w:rsidR="00295FA6" w:rsidRPr="00020B64" w:rsidRDefault="00295FA6" w:rsidP="005724DF">
            <w:pPr>
              <w:pStyle w:val="LegBasic"/>
              <w:spacing w:after="120" w:line="360" w:lineRule="auto"/>
              <w:rPr>
                <w:rFonts w:eastAsia="SimSun"/>
                <w:lang w:val="es-ES"/>
              </w:rPr>
            </w:pPr>
            <w:r w:rsidRPr="00020B64">
              <w:rPr>
                <w:color w:val="0000FF"/>
                <w:u w:val="single"/>
                <w:lang w:val="es-ES"/>
              </w:rPr>
              <w:t>6.</w:t>
            </w:r>
            <w:r w:rsidR="0007666D">
              <w:rPr>
                <w:color w:val="0000FF"/>
                <w:lang w:val="es-ES"/>
              </w:rPr>
              <w:t>  </w:t>
            </w:r>
            <w:r w:rsidR="00F01825">
              <w:rPr>
                <w:color w:val="0000FF"/>
                <w:lang w:val="es-ES"/>
              </w:rPr>
              <w:t> </w:t>
            </w:r>
            <w:r w:rsidR="0007666D" w:rsidRPr="0001697F">
              <w:rPr>
                <w:color w:val="0000FF"/>
                <w:u w:val="single"/>
                <w:lang w:val="es-ES"/>
              </w:rPr>
              <w:t>La tasa de presentación internacional en virtud del punto</w:t>
            </w:r>
            <w:r w:rsidR="00895BBE" w:rsidRPr="00020B64">
              <w:rPr>
                <w:rFonts w:eastAsia="SimSun"/>
                <w:color w:val="0000FF"/>
                <w:u w:val="single"/>
                <w:lang w:val="es-ES" w:eastAsia="zh-CN"/>
              </w:rPr>
              <w:t> </w:t>
            </w:r>
            <w:r w:rsidRPr="00020B64">
              <w:rPr>
                <w:rFonts w:eastAsia="SimSun"/>
                <w:color w:val="0000FF"/>
                <w:u w:val="single"/>
                <w:lang w:val="es-ES" w:eastAsia="zh-CN"/>
              </w:rPr>
              <w:t>1 (</w:t>
            </w:r>
            <w:r w:rsidR="0007666D">
              <w:rPr>
                <w:rFonts w:eastAsia="SimSun"/>
                <w:color w:val="0000FF"/>
                <w:u w:val="single"/>
                <w:lang w:val="es-ES" w:eastAsia="zh-CN"/>
              </w:rPr>
              <w:t xml:space="preserve">habida cuenta, en su caso, de la reducción prevista en el punto 4), la tasa de tramitación de la búsqueda suplementaria en virtud del punto 2 y la tasa de tramitación en virtud del punto 3 se reducirán el 50% si la solicitud internacional es presentada por un solicitante que sea una </w:t>
            </w:r>
            <w:r w:rsidRPr="00020B64">
              <w:rPr>
                <w:rFonts w:eastAsia="SimSun"/>
                <w:color w:val="0000FF"/>
                <w:u w:val="single"/>
                <w:lang w:val="es-ES"/>
              </w:rPr>
              <w:t>universi</w:t>
            </w:r>
            <w:r w:rsidR="0007666D">
              <w:rPr>
                <w:rFonts w:eastAsia="SimSun"/>
                <w:color w:val="0000FF"/>
                <w:u w:val="single"/>
                <w:lang w:val="es-ES"/>
              </w:rPr>
              <w:t>dad</w:t>
            </w:r>
            <w:r w:rsidRPr="00020B64">
              <w:rPr>
                <w:rStyle w:val="FootnoteReference"/>
                <w:rFonts w:eastAsia="SimSun"/>
                <w:color w:val="0000FF"/>
                <w:u w:val="single"/>
                <w:lang w:val="es-ES"/>
              </w:rPr>
              <w:footnoteReference w:id="2"/>
            </w:r>
            <w:r w:rsidRPr="00020B64">
              <w:rPr>
                <w:rFonts w:eastAsia="SimSun"/>
                <w:color w:val="0000FF"/>
                <w:u w:val="single"/>
                <w:lang w:val="es-ES"/>
              </w:rPr>
              <w:t xml:space="preserve"> </w:t>
            </w:r>
            <w:r w:rsidR="00AA49DD">
              <w:rPr>
                <w:rFonts w:eastAsia="SimSun"/>
                <w:color w:val="0000FF"/>
                <w:u w:val="single"/>
                <w:lang w:val="es-ES"/>
              </w:rPr>
              <w:t>de un Estado que figure</w:t>
            </w:r>
            <w:r w:rsidR="0007666D">
              <w:rPr>
                <w:rFonts w:eastAsia="SimSun"/>
                <w:color w:val="0000FF"/>
                <w:u w:val="single"/>
                <w:lang w:val="es-ES"/>
              </w:rPr>
              <w:t xml:space="preserve"> en la lista prevista en el punto 5, a condición de que el solicitante haya presentado menos de 20 solicitudes internacionales durante el año.  </w:t>
            </w:r>
            <w:r w:rsidR="005724DF">
              <w:rPr>
                <w:rFonts w:eastAsia="SimSun"/>
                <w:color w:val="0000FF"/>
                <w:u w:val="single"/>
                <w:lang w:val="es-ES"/>
              </w:rPr>
              <w:t>Los criterios descritos en este punto serán examinados por la Asamblea cada cinco años como mínimo</w:t>
            </w:r>
            <w:r w:rsidRPr="00020B64">
              <w:rPr>
                <w:rFonts w:eastAsia="SimSun"/>
                <w:color w:val="0000FF"/>
                <w:u w:val="single"/>
                <w:lang w:val="es-ES"/>
              </w:rPr>
              <w:t>.</w:t>
            </w:r>
          </w:p>
        </w:tc>
        <w:bookmarkStart w:id="11" w:name="_GoBack"/>
        <w:bookmarkEnd w:id="11"/>
      </w:tr>
    </w:tbl>
    <w:p w:rsidR="00295FA6" w:rsidRPr="00020B64" w:rsidRDefault="00295FA6" w:rsidP="00295FA6">
      <w:pPr>
        <w:pStyle w:val="ONUME"/>
        <w:numPr>
          <w:ilvl w:val="0"/>
          <w:numId w:val="0"/>
        </w:numPr>
        <w:rPr>
          <w:lang w:val="es-ES"/>
        </w:rPr>
      </w:pPr>
    </w:p>
    <w:p w:rsidR="00295FA6" w:rsidRPr="00020B64" w:rsidRDefault="005724DF" w:rsidP="00F01825">
      <w:pPr>
        <w:pStyle w:val="Endofdocument-Annex"/>
        <w:rPr>
          <w:lang w:val="es-ES"/>
        </w:rPr>
      </w:pPr>
      <w:r>
        <w:rPr>
          <w:lang w:val="es-ES"/>
        </w:rPr>
        <w:t>[Fin del Anexo y del documento</w:t>
      </w:r>
      <w:r w:rsidR="00295FA6" w:rsidRPr="00020B64">
        <w:rPr>
          <w:lang w:val="es-ES"/>
        </w:rPr>
        <w:t>]</w:t>
      </w:r>
    </w:p>
    <w:sectPr w:rsidR="00295FA6" w:rsidRPr="00020B64" w:rsidSect="000F7BA5">
      <w:headerReference w:type="default" r:id="rId11"/>
      <w:headerReference w:type="firs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A7C" w:rsidRDefault="009A1A7C">
      <w:r>
        <w:separator/>
      </w:r>
    </w:p>
  </w:endnote>
  <w:endnote w:type="continuationSeparator" w:id="0">
    <w:p w:rsidR="009A1A7C" w:rsidRDefault="009A1A7C" w:rsidP="003B38C1">
      <w:r>
        <w:separator/>
      </w:r>
    </w:p>
    <w:p w:rsidR="009A1A7C" w:rsidRPr="003B38C1" w:rsidRDefault="009A1A7C" w:rsidP="003B38C1">
      <w:pPr>
        <w:spacing w:after="60"/>
        <w:rPr>
          <w:sz w:val="17"/>
        </w:rPr>
      </w:pPr>
      <w:r>
        <w:rPr>
          <w:sz w:val="17"/>
        </w:rPr>
        <w:t>[Endnote continued from previous page]</w:t>
      </w:r>
    </w:p>
  </w:endnote>
  <w:endnote w:type="continuationNotice" w:id="1">
    <w:p w:rsidR="009A1A7C" w:rsidRPr="003B38C1" w:rsidRDefault="009A1A7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A7C" w:rsidRDefault="009A1A7C">
      <w:r>
        <w:separator/>
      </w:r>
    </w:p>
  </w:footnote>
  <w:footnote w:type="continuationSeparator" w:id="0">
    <w:p w:rsidR="009A1A7C" w:rsidRDefault="009A1A7C" w:rsidP="008B60B2">
      <w:r>
        <w:separator/>
      </w:r>
    </w:p>
    <w:p w:rsidR="009A1A7C" w:rsidRPr="00ED77FB" w:rsidRDefault="009A1A7C" w:rsidP="008B60B2">
      <w:pPr>
        <w:spacing w:after="60"/>
        <w:rPr>
          <w:sz w:val="17"/>
          <w:szCs w:val="17"/>
        </w:rPr>
      </w:pPr>
      <w:r w:rsidRPr="00ED77FB">
        <w:rPr>
          <w:sz w:val="17"/>
          <w:szCs w:val="17"/>
        </w:rPr>
        <w:t>[Footnote continued from previous page]</w:t>
      </w:r>
    </w:p>
  </w:footnote>
  <w:footnote w:type="continuationNotice" w:id="1">
    <w:p w:rsidR="009A1A7C" w:rsidRPr="00ED77FB" w:rsidRDefault="009A1A7C" w:rsidP="008B60B2">
      <w:pPr>
        <w:spacing w:before="60"/>
        <w:jc w:val="right"/>
        <w:rPr>
          <w:sz w:val="17"/>
          <w:szCs w:val="17"/>
        </w:rPr>
      </w:pPr>
      <w:r w:rsidRPr="00ED77FB">
        <w:rPr>
          <w:sz w:val="17"/>
          <w:szCs w:val="17"/>
        </w:rPr>
        <w:t>[Footnote continued on next page]</w:t>
      </w:r>
    </w:p>
  </w:footnote>
  <w:footnote w:id="2">
    <w:p w:rsidR="00295FA6" w:rsidRPr="005724DF" w:rsidRDefault="00295FA6" w:rsidP="00295FA6">
      <w:pPr>
        <w:pStyle w:val="FootnoteText"/>
        <w:rPr>
          <w:lang w:val="es-ES"/>
        </w:rPr>
      </w:pPr>
      <w:r w:rsidRPr="005724DF">
        <w:rPr>
          <w:rStyle w:val="FootnoteReference"/>
          <w:lang w:val="es-ES"/>
        </w:rPr>
        <w:footnoteRef/>
      </w:r>
      <w:r w:rsidRPr="005724DF">
        <w:rPr>
          <w:lang w:val="es-ES"/>
        </w:rPr>
        <w:t xml:space="preserve"> </w:t>
      </w:r>
      <w:r w:rsidR="00895BBE" w:rsidRPr="005724DF">
        <w:rPr>
          <w:lang w:val="es-ES"/>
        </w:rPr>
        <w:t xml:space="preserve"> </w:t>
      </w:r>
      <w:r w:rsidR="005724DF" w:rsidRPr="005724DF">
        <w:rPr>
          <w:lang w:val="es-ES"/>
        </w:rPr>
        <w:t xml:space="preserve">A los fines del presente punto, se entiende por </w:t>
      </w:r>
      <w:r w:rsidR="00AA49DD">
        <w:rPr>
          <w:lang w:val="es-ES"/>
        </w:rPr>
        <w:t>u</w:t>
      </w:r>
      <w:r w:rsidR="005724DF" w:rsidRPr="005724DF">
        <w:rPr>
          <w:lang w:val="es-ES"/>
        </w:rPr>
        <w:t>niversidad una institución de educación superior que imparte enseñanza superior y lleva a cabo investigaciones</w:t>
      </w:r>
      <w:r w:rsidR="008A5350">
        <w:rPr>
          <w:lang w:val="es-ES"/>
        </w:rPr>
        <w:t>,</w:t>
      </w:r>
      <w:r w:rsidR="005724DF" w:rsidRPr="005724DF">
        <w:rPr>
          <w:lang w:val="es-ES"/>
        </w:rPr>
        <w:t xml:space="preserve"> y que la autoridad competente de una Parte reconozca como perteneciente a su sistema de educación superior</w:t>
      </w:r>
      <w:r w:rsidRPr="005724DF">
        <w:rPr>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9A1A7C" w:rsidP="00477D6B">
    <w:pPr>
      <w:jc w:val="right"/>
    </w:pPr>
    <w:bookmarkStart w:id="5" w:name="Code2"/>
    <w:bookmarkEnd w:id="5"/>
    <w:r>
      <w:t>PCT/WG/10/18</w:t>
    </w:r>
  </w:p>
  <w:p w:rsidR="00EC4E49" w:rsidRDefault="00EC4E49" w:rsidP="00477D6B">
    <w:pPr>
      <w:jc w:val="right"/>
    </w:pPr>
    <w:r>
      <w:t>p</w:t>
    </w:r>
    <w:r w:rsidR="00307DD2">
      <w:t>ágina</w:t>
    </w:r>
    <w:r>
      <w:t xml:space="preserve"> </w:t>
    </w:r>
    <w:r>
      <w:fldChar w:fldCharType="begin"/>
    </w:r>
    <w:r>
      <w:instrText xml:space="preserve"> PAGE  \* MERGEFORMAT </w:instrText>
    </w:r>
    <w:r>
      <w:fldChar w:fldCharType="separate"/>
    </w:r>
    <w:r w:rsidR="0001697F">
      <w:rPr>
        <w:noProof/>
      </w:rPr>
      <w:t>3</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D61" w:rsidRDefault="00886156" w:rsidP="00477D6B">
    <w:pPr>
      <w:jc w:val="right"/>
    </w:pPr>
    <w:r>
      <w:t>PCT/WG/</w:t>
    </w:r>
  </w:p>
  <w:p w:rsidR="00EC4E49" w:rsidRDefault="00EC4E49" w:rsidP="00477D6B">
    <w:pPr>
      <w:jc w:val="right"/>
    </w:pPr>
    <w:r>
      <w:t xml:space="preserve">page </w:t>
    </w:r>
    <w:r>
      <w:fldChar w:fldCharType="begin"/>
    </w:r>
    <w:r>
      <w:instrText xml:space="preserve"> PAGE  \* MERGEFORMAT </w:instrText>
    </w:r>
    <w:r>
      <w:fldChar w:fldCharType="separate"/>
    </w:r>
    <w:r w:rsidR="00307D99">
      <w:rPr>
        <w:noProof/>
      </w:rPr>
      <w:t>1</w:t>
    </w:r>
    <w:r>
      <w:fldChar w:fldCharType="end"/>
    </w:r>
  </w:p>
  <w:p w:rsidR="00EC4E49" w:rsidRDefault="00EC4E49"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FA6" w:rsidRDefault="00295FA6" w:rsidP="00295FA6">
    <w:pPr>
      <w:pStyle w:val="Header"/>
      <w:jc w:val="right"/>
    </w:pPr>
    <w:r>
      <w:t>PCT/WG/10/18</w:t>
    </w:r>
  </w:p>
  <w:p w:rsidR="00295FA6" w:rsidRDefault="00295FA6" w:rsidP="00295FA6">
    <w:pPr>
      <w:pStyle w:val="Header"/>
      <w:jc w:val="right"/>
    </w:pPr>
    <w:r>
      <w:t>ANEX</w:t>
    </w:r>
    <w:r w:rsidR="00307DD2">
      <w:t>O</w:t>
    </w:r>
  </w:p>
  <w:p w:rsidR="00295FA6" w:rsidRDefault="00295FA6" w:rsidP="00295FA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7C"/>
    <w:rsid w:val="0001697F"/>
    <w:rsid w:val="00020B64"/>
    <w:rsid w:val="00043CAA"/>
    <w:rsid w:val="00075432"/>
    <w:rsid w:val="0007666D"/>
    <w:rsid w:val="000968ED"/>
    <w:rsid w:val="000B7EB9"/>
    <w:rsid w:val="000F5E56"/>
    <w:rsid w:val="00112597"/>
    <w:rsid w:val="001362EE"/>
    <w:rsid w:val="001832A6"/>
    <w:rsid w:val="0021217E"/>
    <w:rsid w:val="00220823"/>
    <w:rsid w:val="002634C4"/>
    <w:rsid w:val="002928D3"/>
    <w:rsid w:val="00295FA6"/>
    <w:rsid w:val="002C63BF"/>
    <w:rsid w:val="002E4167"/>
    <w:rsid w:val="002F1FE6"/>
    <w:rsid w:val="002F4E68"/>
    <w:rsid w:val="00307D99"/>
    <w:rsid w:val="00307DD2"/>
    <w:rsid w:val="00312F7F"/>
    <w:rsid w:val="0033339D"/>
    <w:rsid w:val="00361450"/>
    <w:rsid w:val="003673CF"/>
    <w:rsid w:val="003845C1"/>
    <w:rsid w:val="0039328E"/>
    <w:rsid w:val="00396314"/>
    <w:rsid w:val="00396A89"/>
    <w:rsid w:val="003A6F89"/>
    <w:rsid w:val="003B38C1"/>
    <w:rsid w:val="00423E3E"/>
    <w:rsid w:val="00427AF4"/>
    <w:rsid w:val="00450AA9"/>
    <w:rsid w:val="004647DA"/>
    <w:rsid w:val="00474062"/>
    <w:rsid w:val="00477D6B"/>
    <w:rsid w:val="00490F6F"/>
    <w:rsid w:val="005019FF"/>
    <w:rsid w:val="00523C74"/>
    <w:rsid w:val="0053057A"/>
    <w:rsid w:val="00560A29"/>
    <w:rsid w:val="005724DF"/>
    <w:rsid w:val="005C575B"/>
    <w:rsid w:val="005C6649"/>
    <w:rsid w:val="005F455A"/>
    <w:rsid w:val="00605827"/>
    <w:rsid w:val="00646050"/>
    <w:rsid w:val="006713CA"/>
    <w:rsid w:val="00676C5C"/>
    <w:rsid w:val="006B310E"/>
    <w:rsid w:val="007550CB"/>
    <w:rsid w:val="00776C6C"/>
    <w:rsid w:val="007D1613"/>
    <w:rsid w:val="007E4C0E"/>
    <w:rsid w:val="007F6C03"/>
    <w:rsid w:val="00886156"/>
    <w:rsid w:val="00893A62"/>
    <w:rsid w:val="00895BBE"/>
    <w:rsid w:val="008A5350"/>
    <w:rsid w:val="008B2CC1"/>
    <w:rsid w:val="008B60B2"/>
    <w:rsid w:val="008F1E34"/>
    <w:rsid w:val="0090731E"/>
    <w:rsid w:val="00916EE2"/>
    <w:rsid w:val="00957183"/>
    <w:rsid w:val="00966A22"/>
    <w:rsid w:val="0096722F"/>
    <w:rsid w:val="00980843"/>
    <w:rsid w:val="009A1A7C"/>
    <w:rsid w:val="009B2B16"/>
    <w:rsid w:val="009E2791"/>
    <w:rsid w:val="009E3F6F"/>
    <w:rsid w:val="009F499F"/>
    <w:rsid w:val="00A0469D"/>
    <w:rsid w:val="00A42DAF"/>
    <w:rsid w:val="00A45BD8"/>
    <w:rsid w:val="00A869B7"/>
    <w:rsid w:val="00AA49DD"/>
    <w:rsid w:val="00AC205C"/>
    <w:rsid w:val="00AF0A6B"/>
    <w:rsid w:val="00B05A69"/>
    <w:rsid w:val="00B268DF"/>
    <w:rsid w:val="00B51761"/>
    <w:rsid w:val="00B9734B"/>
    <w:rsid w:val="00BA30E2"/>
    <w:rsid w:val="00C11BFE"/>
    <w:rsid w:val="00C21268"/>
    <w:rsid w:val="00C5068F"/>
    <w:rsid w:val="00CC2397"/>
    <w:rsid w:val="00CD04F1"/>
    <w:rsid w:val="00CD3522"/>
    <w:rsid w:val="00CF5960"/>
    <w:rsid w:val="00CF5E4D"/>
    <w:rsid w:val="00D05CC9"/>
    <w:rsid w:val="00D21588"/>
    <w:rsid w:val="00D45252"/>
    <w:rsid w:val="00D71B4D"/>
    <w:rsid w:val="00D93D55"/>
    <w:rsid w:val="00E13CCD"/>
    <w:rsid w:val="00E15015"/>
    <w:rsid w:val="00E335FE"/>
    <w:rsid w:val="00E71F56"/>
    <w:rsid w:val="00EB3487"/>
    <w:rsid w:val="00EC4E49"/>
    <w:rsid w:val="00ED77FB"/>
    <w:rsid w:val="00EE45FA"/>
    <w:rsid w:val="00EF0AE4"/>
    <w:rsid w:val="00F01825"/>
    <w:rsid w:val="00F062A0"/>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9A1A7C"/>
    <w:rPr>
      <w:rFonts w:ascii="Tahoma" w:hAnsi="Tahoma" w:cs="Tahoma"/>
      <w:sz w:val="16"/>
      <w:szCs w:val="16"/>
    </w:rPr>
  </w:style>
  <w:style w:type="character" w:customStyle="1" w:styleId="BalloonTextChar">
    <w:name w:val="Balloon Text Char"/>
    <w:basedOn w:val="DefaultParagraphFont"/>
    <w:link w:val="BalloonText"/>
    <w:rsid w:val="009A1A7C"/>
    <w:rPr>
      <w:rFonts w:ascii="Tahoma" w:eastAsia="SimSun" w:hAnsi="Tahoma" w:cs="Tahoma"/>
      <w:sz w:val="16"/>
      <w:szCs w:val="16"/>
      <w:lang w:eastAsia="zh-CN"/>
    </w:rPr>
  </w:style>
  <w:style w:type="character" w:customStyle="1" w:styleId="FootnoteTextChar">
    <w:name w:val="Footnote Text Char"/>
    <w:basedOn w:val="DefaultParagraphFont"/>
    <w:link w:val="FootnoteText"/>
    <w:semiHidden/>
    <w:rsid w:val="00295FA6"/>
    <w:rPr>
      <w:rFonts w:ascii="Arial" w:eastAsia="SimSun" w:hAnsi="Arial" w:cs="Arial"/>
      <w:sz w:val="18"/>
      <w:lang w:eastAsia="zh-CN"/>
    </w:rPr>
  </w:style>
  <w:style w:type="paragraph" w:customStyle="1" w:styleId="LegTitle">
    <w:name w:val="Leg # Title"/>
    <w:basedOn w:val="Normal"/>
    <w:next w:val="Normal"/>
    <w:rsid w:val="00295FA6"/>
    <w:pPr>
      <w:keepNext/>
      <w:keepLines/>
      <w:suppressAutoHyphens/>
      <w:spacing w:before="240"/>
      <w:jc w:val="center"/>
    </w:pPr>
    <w:rPr>
      <w:rFonts w:eastAsia="Times New Roman" w:cs="Times New Roman"/>
      <w:b/>
      <w:lang w:eastAsia="ja-JP"/>
    </w:rPr>
  </w:style>
  <w:style w:type="paragraph" w:customStyle="1" w:styleId="LegBasic">
    <w:name w:val="Leg Basic"/>
    <w:rsid w:val="00295FA6"/>
    <w:pPr>
      <w:snapToGrid w:val="0"/>
      <w:spacing w:after="480" w:line="480" w:lineRule="auto"/>
    </w:pPr>
    <w:rPr>
      <w:rFonts w:ascii="Arial" w:hAnsi="Arial"/>
      <w:sz w:val="22"/>
    </w:rPr>
  </w:style>
  <w:style w:type="character" w:styleId="FootnoteReference">
    <w:name w:val="footnote reference"/>
    <w:basedOn w:val="DefaultParagraphFont"/>
    <w:unhideWhenUsed/>
    <w:rsid w:val="00295FA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9A1A7C"/>
    <w:rPr>
      <w:rFonts w:ascii="Tahoma" w:hAnsi="Tahoma" w:cs="Tahoma"/>
      <w:sz w:val="16"/>
      <w:szCs w:val="16"/>
    </w:rPr>
  </w:style>
  <w:style w:type="character" w:customStyle="1" w:styleId="BalloonTextChar">
    <w:name w:val="Balloon Text Char"/>
    <w:basedOn w:val="DefaultParagraphFont"/>
    <w:link w:val="BalloonText"/>
    <w:rsid w:val="009A1A7C"/>
    <w:rPr>
      <w:rFonts w:ascii="Tahoma" w:eastAsia="SimSun" w:hAnsi="Tahoma" w:cs="Tahoma"/>
      <w:sz w:val="16"/>
      <w:szCs w:val="16"/>
      <w:lang w:eastAsia="zh-CN"/>
    </w:rPr>
  </w:style>
  <w:style w:type="character" w:customStyle="1" w:styleId="FootnoteTextChar">
    <w:name w:val="Footnote Text Char"/>
    <w:basedOn w:val="DefaultParagraphFont"/>
    <w:link w:val="FootnoteText"/>
    <w:semiHidden/>
    <w:rsid w:val="00295FA6"/>
    <w:rPr>
      <w:rFonts w:ascii="Arial" w:eastAsia="SimSun" w:hAnsi="Arial" w:cs="Arial"/>
      <w:sz w:val="18"/>
      <w:lang w:eastAsia="zh-CN"/>
    </w:rPr>
  </w:style>
  <w:style w:type="paragraph" w:customStyle="1" w:styleId="LegTitle">
    <w:name w:val="Leg # Title"/>
    <w:basedOn w:val="Normal"/>
    <w:next w:val="Normal"/>
    <w:rsid w:val="00295FA6"/>
    <w:pPr>
      <w:keepNext/>
      <w:keepLines/>
      <w:suppressAutoHyphens/>
      <w:spacing w:before="240"/>
      <w:jc w:val="center"/>
    </w:pPr>
    <w:rPr>
      <w:rFonts w:eastAsia="Times New Roman" w:cs="Times New Roman"/>
      <w:b/>
      <w:lang w:eastAsia="ja-JP"/>
    </w:rPr>
  </w:style>
  <w:style w:type="paragraph" w:customStyle="1" w:styleId="LegBasic">
    <w:name w:val="Leg Basic"/>
    <w:rsid w:val="00295FA6"/>
    <w:pPr>
      <w:snapToGrid w:val="0"/>
      <w:spacing w:after="480" w:line="480" w:lineRule="auto"/>
    </w:pPr>
    <w:rPr>
      <w:rFonts w:ascii="Arial" w:hAnsi="Arial"/>
      <w:sz w:val="22"/>
    </w:rPr>
  </w:style>
  <w:style w:type="character" w:styleId="FootnoteReference">
    <w:name w:val="footnote reference"/>
    <w:basedOn w:val="DefaultParagraphFont"/>
    <w:unhideWhenUsed/>
    <w:rsid w:val="00295F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732B6-537A-4828-B76A-EBB25FAFE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10 (E)</Template>
  <TotalTime>0</TotalTime>
  <Pages>4</Pages>
  <Words>1271</Words>
  <Characters>6532</Characters>
  <Application>Microsoft Office Word</Application>
  <DocSecurity>0</DocSecurity>
  <Lines>136</Lines>
  <Paragraphs>56</Paragraphs>
  <ScaleCrop>false</ScaleCrop>
  <HeadingPairs>
    <vt:vector size="2" baseType="variant">
      <vt:variant>
        <vt:lpstr>Title</vt:lpstr>
      </vt:variant>
      <vt:variant>
        <vt:i4>1</vt:i4>
      </vt:variant>
    </vt:vector>
  </HeadingPairs>
  <TitlesOfParts>
    <vt:vector size="1" baseType="lpstr">
      <vt:lpstr>PCT/WG/10/18</vt:lpstr>
    </vt:vector>
  </TitlesOfParts>
  <Company>WIPO</Company>
  <LinksUpToDate>false</LinksUpToDate>
  <CharactersWithSpaces>7747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PCT/WG/10/18</dc:title>
  <dc:subject>Proposal on PCT Fee Policy to Stimulate Patent Filing by Universities from Certain Countries, Notably Developing and Least Developed Countries</dc:subject>
  <dc:creator>MARLOW Thomas</dc:creator>
  <dc:description>KP - 12/4/2017</dc:description>
  <cp:lastModifiedBy>MARLOW Thomas</cp:lastModifiedBy>
  <cp:revision>2</cp:revision>
  <cp:lastPrinted>2017-04-12T10:13:00Z</cp:lastPrinted>
  <dcterms:created xsi:type="dcterms:W3CDTF">2017-04-12T12:12:00Z</dcterms:created>
  <dcterms:modified xsi:type="dcterms:W3CDTF">2017-04-12T12:12:00Z</dcterms:modified>
</cp:coreProperties>
</file>