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054C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054CE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054CE" w:rsidRDefault="00B66E1D" w:rsidP="00AB613D">
            <w:r w:rsidRPr="001054CE">
              <w:rPr>
                <w:noProof/>
                <w:lang w:val="en-US" w:eastAsia="en-US"/>
              </w:rPr>
              <w:drawing>
                <wp:inline distT="0" distB="0" distL="0" distR="0" wp14:anchorId="206DCFAA" wp14:editId="2FC47ECF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054CE" w:rsidRDefault="00E504E5" w:rsidP="00AB613D">
            <w:pPr>
              <w:jc w:val="right"/>
            </w:pPr>
            <w:r w:rsidRPr="001054CE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054CE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054CE" w:rsidRDefault="00B66E1D" w:rsidP="00F0310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054CE">
              <w:rPr>
                <w:rFonts w:ascii="Arial Black" w:hAnsi="Arial Black"/>
                <w:caps/>
                <w:sz w:val="15"/>
              </w:rPr>
              <w:t>PCT/CTC/30/</w:t>
            </w:r>
            <w:bookmarkStart w:id="1" w:name="Code"/>
            <w:bookmarkEnd w:id="1"/>
            <w:r w:rsidR="006B5D0A" w:rsidRPr="001054CE">
              <w:rPr>
                <w:rFonts w:ascii="Arial Black" w:hAnsi="Arial Black"/>
                <w:caps/>
                <w:sz w:val="15"/>
              </w:rPr>
              <w:t>1</w:t>
            </w:r>
            <w:r w:rsidR="00F0310F" w:rsidRPr="001054CE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8B2CC1" w:rsidRPr="001054C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054C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054C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396AE9" w:rsidRPr="001054CE">
              <w:rPr>
                <w:rFonts w:ascii="Arial Black" w:hAnsi="Arial Black"/>
                <w:caps/>
                <w:sz w:val="15"/>
              </w:rPr>
              <w:t xml:space="preserve"> </w:t>
            </w:r>
            <w:r w:rsidR="003F5AAE" w:rsidRPr="001054CE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054C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054C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054CE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1054C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396AE9" w:rsidRPr="001054CE">
              <w:rPr>
                <w:rFonts w:ascii="Arial Black" w:hAnsi="Arial Black"/>
                <w:caps/>
                <w:sz w:val="15"/>
              </w:rPr>
              <w:t xml:space="preserve"> </w:t>
            </w:r>
            <w:r w:rsidR="003F5AAE" w:rsidRPr="001054CE">
              <w:rPr>
                <w:rFonts w:ascii="Arial Black" w:hAnsi="Arial Black"/>
                <w:caps/>
                <w:sz w:val="15"/>
              </w:rPr>
              <w:t>16 DE MARZO DE 2017</w:t>
            </w:r>
          </w:p>
        </w:tc>
      </w:tr>
    </w:tbl>
    <w:p w:rsidR="00ED5EAC" w:rsidRPr="001054CE" w:rsidRDefault="00ED5EAC" w:rsidP="008B2CC1"/>
    <w:p w:rsidR="00ED5EAC" w:rsidRPr="001054CE" w:rsidRDefault="00ED5EAC" w:rsidP="008B2CC1"/>
    <w:p w:rsidR="00ED5EAC" w:rsidRPr="001054CE" w:rsidRDefault="00ED5EAC" w:rsidP="008B2CC1"/>
    <w:p w:rsidR="00ED5EAC" w:rsidRPr="001054CE" w:rsidRDefault="00ED5EAC" w:rsidP="008B2CC1"/>
    <w:p w:rsidR="00ED5EAC" w:rsidRPr="001054CE" w:rsidRDefault="00ED5EAC" w:rsidP="008B2CC1"/>
    <w:p w:rsidR="00ED5EAC" w:rsidRPr="001054CE" w:rsidRDefault="00B66E1D" w:rsidP="00B67CDC">
      <w:pPr>
        <w:rPr>
          <w:b/>
          <w:sz w:val="28"/>
          <w:szCs w:val="28"/>
        </w:rPr>
      </w:pPr>
      <w:r w:rsidRPr="001054CE">
        <w:rPr>
          <w:b/>
          <w:sz w:val="28"/>
          <w:szCs w:val="28"/>
        </w:rPr>
        <w:t>Tratado de Cooperac</w:t>
      </w:r>
      <w:r w:rsidR="007D2978" w:rsidRPr="001054CE">
        <w:rPr>
          <w:b/>
          <w:sz w:val="28"/>
          <w:szCs w:val="28"/>
        </w:rPr>
        <w:t>ió</w:t>
      </w:r>
      <w:r w:rsidRPr="001054CE">
        <w:rPr>
          <w:b/>
          <w:sz w:val="28"/>
          <w:szCs w:val="28"/>
        </w:rPr>
        <w:t>n en materia de Patentes (PCT)</w:t>
      </w:r>
    </w:p>
    <w:p w:rsidR="00ED5EAC" w:rsidRPr="001054CE" w:rsidRDefault="007D2978" w:rsidP="00B67CDC">
      <w:pPr>
        <w:rPr>
          <w:b/>
          <w:sz w:val="28"/>
          <w:szCs w:val="28"/>
        </w:rPr>
      </w:pPr>
      <w:r w:rsidRPr="001054CE">
        <w:rPr>
          <w:b/>
          <w:sz w:val="28"/>
          <w:szCs w:val="28"/>
        </w:rPr>
        <w:t>Comité de Cooperació</w:t>
      </w:r>
      <w:r w:rsidR="00B66E1D" w:rsidRPr="001054CE">
        <w:rPr>
          <w:b/>
          <w:sz w:val="28"/>
          <w:szCs w:val="28"/>
        </w:rPr>
        <w:t>n Técnica</w:t>
      </w:r>
    </w:p>
    <w:p w:rsidR="00ED5EAC" w:rsidRPr="001054CE" w:rsidRDefault="00ED5EAC" w:rsidP="003845C1"/>
    <w:p w:rsidR="00ED5EAC" w:rsidRPr="001054CE" w:rsidRDefault="00ED5EAC" w:rsidP="003845C1"/>
    <w:p w:rsidR="00ED5EAC" w:rsidRPr="001054CE" w:rsidRDefault="007D2978" w:rsidP="00B67CDC">
      <w:pPr>
        <w:rPr>
          <w:b/>
          <w:sz w:val="24"/>
          <w:szCs w:val="24"/>
        </w:rPr>
      </w:pPr>
      <w:r w:rsidRPr="001054CE">
        <w:rPr>
          <w:b/>
          <w:sz w:val="24"/>
          <w:szCs w:val="24"/>
        </w:rPr>
        <w:t>Trigésima sesió</w:t>
      </w:r>
      <w:r w:rsidR="00B66E1D" w:rsidRPr="001054CE">
        <w:rPr>
          <w:b/>
          <w:sz w:val="24"/>
          <w:szCs w:val="24"/>
        </w:rPr>
        <w:t>n</w:t>
      </w:r>
    </w:p>
    <w:p w:rsidR="00ED5EAC" w:rsidRPr="001054CE" w:rsidRDefault="00B66E1D" w:rsidP="00B67CDC">
      <w:pPr>
        <w:rPr>
          <w:b/>
          <w:sz w:val="24"/>
          <w:szCs w:val="24"/>
        </w:rPr>
      </w:pPr>
      <w:r w:rsidRPr="001054CE">
        <w:rPr>
          <w:b/>
          <w:sz w:val="24"/>
          <w:szCs w:val="24"/>
        </w:rPr>
        <w:t>Ginebra, 8 a 12 de mayo de 2017</w:t>
      </w:r>
    </w:p>
    <w:p w:rsidR="00ED5EAC" w:rsidRPr="001054CE" w:rsidRDefault="00ED5EAC" w:rsidP="008B2CC1"/>
    <w:p w:rsidR="00ED5EAC" w:rsidRPr="001054CE" w:rsidRDefault="00ED5EAC" w:rsidP="008B2CC1"/>
    <w:p w:rsidR="00ED5EAC" w:rsidRPr="001054CE" w:rsidRDefault="00ED5EAC" w:rsidP="008B2CC1"/>
    <w:p w:rsidR="00ED5EAC" w:rsidRPr="001054CE" w:rsidRDefault="00E654F3" w:rsidP="00E654F3">
      <w:pPr>
        <w:rPr>
          <w:caps/>
          <w:sz w:val="24"/>
        </w:rPr>
      </w:pPr>
      <w:bookmarkStart w:id="4" w:name="TitleOfDoc"/>
      <w:bookmarkEnd w:id="4"/>
      <w:r w:rsidRPr="001054CE">
        <w:rPr>
          <w:caps/>
          <w:sz w:val="24"/>
        </w:rPr>
        <w:t>Prórroga de la designación de la Oficina Sueca de Patentes y Registro como Administración encargada de la búsqueda y del examen preliminar internacionales en virtud del PCT</w:t>
      </w:r>
    </w:p>
    <w:p w:rsidR="00ED5EAC" w:rsidRPr="001054CE" w:rsidRDefault="00ED5EAC" w:rsidP="006B5D0A"/>
    <w:p w:rsidR="00ED5EAC" w:rsidRPr="001054CE" w:rsidRDefault="004C6B95" w:rsidP="004C6B95">
      <w:pPr>
        <w:rPr>
          <w:i/>
        </w:rPr>
      </w:pPr>
      <w:bookmarkStart w:id="5" w:name="Prepared"/>
      <w:bookmarkEnd w:id="5"/>
      <w:r w:rsidRPr="001054CE">
        <w:rPr>
          <w:i/>
        </w:rPr>
        <w:t>Documento preparado por la Oficina Internacional</w:t>
      </w:r>
    </w:p>
    <w:p w:rsidR="00ED5EAC" w:rsidRPr="001054CE" w:rsidRDefault="00ED5EAC" w:rsidP="006B5D0A"/>
    <w:p w:rsidR="00ED5EAC" w:rsidRPr="001054CE" w:rsidRDefault="00ED5EAC" w:rsidP="006B5D0A"/>
    <w:p w:rsidR="00ED5EAC" w:rsidRPr="001054CE" w:rsidRDefault="00ED5EAC" w:rsidP="006B5D0A"/>
    <w:p w:rsidR="00ED5EAC" w:rsidRPr="001054CE" w:rsidRDefault="00ED5EAC" w:rsidP="006B5D0A"/>
    <w:p w:rsidR="00ED5EAC" w:rsidRPr="005142DA" w:rsidRDefault="009B2922" w:rsidP="001828BB">
      <w:pPr>
        <w:pStyle w:val="ONUMFS"/>
      </w:pPr>
      <w:bookmarkStart w:id="6" w:name="_Ref447032909"/>
      <w:r w:rsidRPr="005142DA">
        <w:t>Todas las Administraciones internacionales existentes fueron designadas por la Asamblea de la Unión PCT por un plazo que expirará e</w:t>
      </w:r>
      <w:r w:rsidR="005142DA" w:rsidRPr="005142DA">
        <w:t>l 3</w:t>
      </w:r>
      <w:r w:rsidRPr="005142DA">
        <w:t>1 de diciembre d</w:t>
      </w:r>
      <w:r w:rsidR="005142DA" w:rsidRPr="005142DA">
        <w:t>e 2</w:t>
      </w:r>
      <w:r w:rsidRPr="005142DA">
        <w:t>017.</w:t>
      </w:r>
      <w:r w:rsidR="006B5D0A" w:rsidRPr="005142DA">
        <w:t xml:space="preserve">  </w:t>
      </w:r>
      <w:bookmarkEnd w:id="6"/>
      <w:r w:rsidRPr="005142DA">
        <w:t>Por consiguiente, en 2017 la Asamblea estará llamada a adoptar una decisión con respecto a la prórroga de la designación de cada una de las Administraciones internacionales existentes que aspiren a una prórroga de su designación, teniendo en cuenta la recomendación previamente solicitada a este Comité (véanse los Artículo</w:t>
      </w:r>
      <w:r w:rsidR="005142DA" w:rsidRPr="005142DA">
        <w:t>s 1</w:t>
      </w:r>
      <w:r w:rsidRPr="005142DA">
        <w:t xml:space="preserve">6.3)e) </w:t>
      </w:r>
      <w:r w:rsidR="005142DA" w:rsidRPr="005142DA">
        <w:t>y 3</w:t>
      </w:r>
      <w:r w:rsidRPr="005142DA">
        <w:t>2.3) del PCT).</w:t>
      </w:r>
      <w:r w:rsidR="006B5D0A" w:rsidRPr="005142DA">
        <w:t xml:space="preserve">  </w:t>
      </w:r>
      <w:r w:rsidRPr="005142DA">
        <w:t>El documento PCT/CTC/30/INF/1 contiene más información sobre este proceso y sobre la función del Comité en el marco del mismo.</w:t>
      </w:r>
    </w:p>
    <w:p w:rsidR="00ED5EAC" w:rsidRPr="005142DA" w:rsidRDefault="00A94BAA" w:rsidP="001828BB">
      <w:pPr>
        <w:pStyle w:val="ONUMFS"/>
      </w:pPr>
      <w:r w:rsidRPr="005142DA">
        <w:t>E</w:t>
      </w:r>
      <w:r w:rsidR="005142DA" w:rsidRPr="005142DA">
        <w:t>l 1</w:t>
      </w:r>
      <w:r w:rsidRPr="005142DA">
        <w:t xml:space="preserve"> de marzo d</w:t>
      </w:r>
      <w:r w:rsidR="005142DA" w:rsidRPr="005142DA">
        <w:t>e 2</w:t>
      </w:r>
      <w:r w:rsidRPr="005142DA">
        <w:t>017, la Oficina Sueca de Patentes y Registro presentó una solicitud para prorrogar su designación como Administración encargada de la búsqueda internacional (ISA) y Administración encargada del examen preliminar internacional (IPEA) en virtud del PCT.  Esta solicitud figura en el Anexo del presente documento.</w:t>
      </w:r>
    </w:p>
    <w:p w:rsidR="00ED5EAC" w:rsidRPr="005142DA" w:rsidRDefault="00A94BAA" w:rsidP="001828BB">
      <w:pPr>
        <w:pStyle w:val="ONUMFS"/>
        <w:ind w:left="5534"/>
        <w:rPr>
          <w:i/>
        </w:rPr>
      </w:pPr>
      <w:r w:rsidRPr="005142DA">
        <w:rPr>
          <w:i/>
        </w:rPr>
        <w:t>Se invita al Comité a dar su opinión sobre este asunto.</w:t>
      </w:r>
    </w:p>
    <w:p w:rsidR="00ED5EAC" w:rsidRPr="005142DA" w:rsidRDefault="00ED5EAC" w:rsidP="00D949B9">
      <w:pPr>
        <w:pStyle w:val="ONUME"/>
        <w:numPr>
          <w:ilvl w:val="0"/>
          <w:numId w:val="0"/>
        </w:numPr>
      </w:pPr>
    </w:p>
    <w:p w:rsidR="00ED5EAC" w:rsidRPr="005142DA" w:rsidRDefault="00A94BAA" w:rsidP="00A94BAA">
      <w:pPr>
        <w:pStyle w:val="Endofdocument-Annex"/>
        <w:rPr>
          <w:lang w:val="es-ES"/>
        </w:rPr>
      </w:pPr>
      <w:r w:rsidRPr="005142DA">
        <w:rPr>
          <w:lang w:val="es-ES"/>
        </w:rPr>
        <w:t>[Sigue el Anexo]</w:t>
      </w:r>
    </w:p>
    <w:p w:rsidR="00ED5EAC" w:rsidRPr="005142DA" w:rsidRDefault="00ED5EAC" w:rsidP="00D949B9">
      <w:pPr>
        <w:pStyle w:val="Endofdocument-Annex"/>
        <w:rPr>
          <w:lang w:val="es-ES"/>
        </w:rPr>
      </w:pPr>
    </w:p>
    <w:p w:rsidR="00D949B9" w:rsidRPr="005142DA" w:rsidRDefault="00D949B9">
      <w:pPr>
        <w:sectPr w:rsidR="00D949B9" w:rsidRPr="005142DA" w:rsidSect="003F5AAE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D5EAC" w:rsidRPr="005142DA" w:rsidRDefault="00A94BAA" w:rsidP="00A94BAA">
      <w:pPr>
        <w:spacing w:after="220"/>
        <w:jc w:val="center"/>
        <w:rPr>
          <w:caps/>
        </w:rPr>
      </w:pPr>
      <w:r w:rsidRPr="005142DA">
        <w:rPr>
          <w:caps/>
        </w:rPr>
        <w:lastRenderedPageBreak/>
        <w:t xml:space="preserve">SOLICITUD DE LA Oficina Sueca de Patentes y Registro PARA PRORROGAR SU DESIGNACIÓN </w:t>
      </w:r>
      <w:r w:rsidR="00537D3F">
        <w:rPr>
          <w:caps/>
        </w:rPr>
        <w:t>como</w:t>
      </w:r>
      <w:r w:rsidRPr="005142DA">
        <w:rPr>
          <w:caps/>
        </w:rPr>
        <w:t xml:space="preserve"> ADMINISTRACIÓN ENCARGADA DE LA BÚSQUEDA Y DEL EXAMEN PRELIMINAR INTERNACIONALES EN VIRTUD DEL PCT</w:t>
      </w:r>
    </w:p>
    <w:p w:rsidR="00ED5EAC" w:rsidRPr="005142DA" w:rsidRDefault="00A94BAA" w:rsidP="00A94BAA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1 – información GENERAL</w:t>
      </w:r>
    </w:p>
    <w:p w:rsidR="00ED5EAC" w:rsidRPr="005142DA" w:rsidRDefault="00A94BAA" w:rsidP="00A94BAA">
      <w:pPr>
        <w:rPr>
          <w:b/>
          <w:bCs/>
          <w:szCs w:val="22"/>
        </w:rPr>
      </w:pPr>
      <w:r w:rsidRPr="005142DA">
        <w:rPr>
          <w:b/>
          <w:bCs/>
          <w:szCs w:val="22"/>
        </w:rPr>
        <w:t>Denominación de la Oficina o de la organización intergubernamental:</w:t>
      </w:r>
      <w:r w:rsidR="00D81C04" w:rsidRPr="005142DA">
        <w:rPr>
          <w:b/>
          <w:bCs/>
          <w:szCs w:val="22"/>
        </w:rPr>
        <w:t xml:space="preserve">  </w:t>
      </w:r>
    </w:p>
    <w:p w:rsidR="00ED5EAC" w:rsidRPr="005142DA" w:rsidRDefault="00A94BAA" w:rsidP="00A94BAA">
      <w:r w:rsidRPr="005142DA">
        <w:t>Patent- och Registreringsverket (PRV)</w:t>
      </w:r>
    </w:p>
    <w:p w:rsidR="00ED5EAC" w:rsidRPr="005142DA" w:rsidRDefault="00F120B1" w:rsidP="00F120B1">
      <w:r w:rsidRPr="005142DA">
        <w:t>Oficina Sueca de Patentes y Registro (PRV)</w:t>
      </w:r>
    </w:p>
    <w:p w:rsidR="00ED5EAC" w:rsidRPr="005142DA" w:rsidRDefault="00ED5EAC" w:rsidP="00D81C04">
      <w:pPr>
        <w:rPr>
          <w:b/>
          <w:bCs/>
          <w:szCs w:val="22"/>
        </w:rPr>
      </w:pPr>
    </w:p>
    <w:p w:rsidR="00ED5EAC" w:rsidRPr="005142DA" w:rsidRDefault="00F120B1" w:rsidP="00F120B1">
      <w:pPr>
        <w:rPr>
          <w:b/>
        </w:rPr>
      </w:pPr>
      <w:r w:rsidRPr="005142DA">
        <w:rPr>
          <w:b/>
        </w:rPr>
        <w:t xml:space="preserve">Fecha en que el </w:t>
      </w:r>
      <w:r w:rsidR="00537D3F" w:rsidRPr="005142DA">
        <w:rPr>
          <w:b/>
        </w:rPr>
        <w:t xml:space="preserve">director general </w:t>
      </w:r>
      <w:r w:rsidRPr="005142DA">
        <w:rPr>
          <w:b/>
        </w:rPr>
        <w:t>recibió la solicitud de designación:</w:t>
      </w:r>
      <w:r w:rsidR="00D81C04" w:rsidRPr="005142DA">
        <w:rPr>
          <w:b/>
        </w:rPr>
        <w:t xml:space="preserve"> </w:t>
      </w:r>
    </w:p>
    <w:p w:rsidR="00ED5EAC" w:rsidRPr="005142DA" w:rsidRDefault="00F120B1" w:rsidP="00F120B1">
      <w:r w:rsidRPr="005142DA">
        <w:t>1 de marzo d</w:t>
      </w:r>
      <w:r w:rsidR="005142DA" w:rsidRPr="005142DA">
        <w:t>e 2</w:t>
      </w:r>
      <w:r w:rsidRPr="005142DA">
        <w:t>017.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F120B1" w:rsidP="00F120B1">
      <w:pPr>
        <w:rPr>
          <w:b/>
          <w:szCs w:val="22"/>
        </w:rPr>
      </w:pPr>
      <w:r w:rsidRPr="005142DA">
        <w:rPr>
          <w:b/>
          <w:szCs w:val="22"/>
        </w:rPr>
        <w:t>Período de sesiones de la Asamblea en que se solicita la designación:</w:t>
      </w:r>
      <w:r w:rsidR="00D81C04" w:rsidRPr="005142DA">
        <w:rPr>
          <w:b/>
          <w:szCs w:val="22"/>
        </w:rPr>
        <w:t xml:space="preserve">  </w:t>
      </w:r>
    </w:p>
    <w:p w:rsidR="00ED5EAC" w:rsidRPr="005142DA" w:rsidRDefault="00180615" w:rsidP="00180615">
      <w:r w:rsidRPr="005142DA">
        <w:t>Cuadragésimo noveno período de sesiones de la Asamblea del PCT (2017)</w:t>
      </w:r>
      <w:r w:rsidR="006738B3" w:rsidRPr="005142DA">
        <w:t>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6738B3" w:rsidP="006738B3">
      <w:pPr>
        <w:rPr>
          <w:b/>
          <w:bCs/>
          <w:szCs w:val="22"/>
        </w:rPr>
      </w:pPr>
      <w:r w:rsidRPr="005142DA">
        <w:rPr>
          <w:b/>
          <w:bCs/>
          <w:szCs w:val="22"/>
        </w:rPr>
        <w:t>Fecha prevista en que podría comenzar la actividad en calidad de ISA/IPEA:</w:t>
      </w:r>
    </w:p>
    <w:p w:rsidR="00ED5EAC" w:rsidRPr="005142DA" w:rsidRDefault="006738B3" w:rsidP="006738B3">
      <w:r w:rsidRPr="005142DA">
        <w:t>En curso.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6738B3" w:rsidP="006738B3">
      <w:pPr>
        <w:rPr>
          <w:b/>
          <w:bCs/>
          <w:szCs w:val="22"/>
        </w:rPr>
      </w:pPr>
      <w:r w:rsidRPr="005142DA">
        <w:rPr>
          <w:b/>
          <w:bCs/>
          <w:szCs w:val="22"/>
        </w:rPr>
        <w:t>ISA/IPEA existentes que ayudan a evaluar el grado de cumplimiento de los criterios:</w:t>
      </w:r>
    </w:p>
    <w:p w:rsidR="00ED5EAC" w:rsidRPr="005142DA" w:rsidRDefault="006738B3" w:rsidP="006738B3">
      <w:pPr>
        <w:rPr>
          <w:szCs w:val="22"/>
        </w:rPr>
      </w:pPr>
      <w:r w:rsidRPr="005142DA">
        <w:rPr>
          <w:szCs w:val="22"/>
        </w:rPr>
        <w:t>No es aplicable a la prórroga de la designación, pero véase la nota en la Secció</w:t>
      </w:r>
      <w:r w:rsidR="005142DA" w:rsidRPr="005142DA">
        <w:rPr>
          <w:szCs w:val="22"/>
        </w:rPr>
        <w:t>n 9</w:t>
      </w:r>
      <w:r w:rsidRPr="005142DA">
        <w:rPr>
          <w:szCs w:val="22"/>
        </w:rPr>
        <w:t>.</w:t>
      </w:r>
    </w:p>
    <w:p w:rsidR="00ED5EAC" w:rsidRPr="005142DA" w:rsidRDefault="00ED5EAC" w:rsidP="00D81C04"/>
    <w:p w:rsidR="00ED5EAC" w:rsidRPr="005142DA" w:rsidRDefault="006738B3" w:rsidP="006738B3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2 – criterios sustantivos:  requisitos mínimos para la designación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6738B3" w:rsidP="006738B3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2.1 – CAPACIDAD DE BÚSQUEDA Y EXAMEN</w:t>
      </w:r>
    </w:p>
    <w:p w:rsidR="00ED5EAC" w:rsidRPr="005142DA" w:rsidRDefault="006738B3" w:rsidP="006738B3">
      <w:pPr>
        <w:rPr>
          <w:b/>
          <w:bCs/>
          <w:i/>
          <w:iCs/>
        </w:rPr>
      </w:pPr>
      <w:r w:rsidRPr="005142DA">
        <w:rPr>
          <w:b/>
          <w:bCs/>
          <w:i/>
          <w:iCs/>
        </w:rPr>
        <w:t>Regla</w:t>
      </w:r>
      <w:r w:rsidR="005142DA" w:rsidRPr="005142DA">
        <w:rPr>
          <w:b/>
          <w:bCs/>
          <w:i/>
          <w:iCs/>
        </w:rPr>
        <w:t>s 3</w:t>
      </w:r>
      <w:r w:rsidRPr="005142DA">
        <w:rPr>
          <w:b/>
          <w:bCs/>
          <w:i/>
          <w:iCs/>
        </w:rPr>
        <w:t xml:space="preserve">6.1.i) </w:t>
      </w:r>
      <w:r w:rsidR="005142DA" w:rsidRPr="005142DA">
        <w:rPr>
          <w:b/>
          <w:bCs/>
          <w:i/>
          <w:iCs/>
        </w:rPr>
        <w:t>y 6</w:t>
      </w:r>
      <w:r w:rsidRPr="005142DA">
        <w:rPr>
          <w:b/>
          <w:bCs/>
          <w:i/>
          <w:iCs/>
        </w:rPr>
        <w:t>3.1.i):  la Oficina nacional o la organización intergubernamental deberá tener, por lo menos, 100 empleados con plena dedicación, con calificaciones técnicas suficientes para efectuar las búsquedas y los exámenes.</w:t>
      </w:r>
    </w:p>
    <w:p w:rsidR="00ED5EAC" w:rsidRPr="005142DA" w:rsidRDefault="00ED5EAC" w:rsidP="00D81C04">
      <w:pPr>
        <w:keepNext/>
        <w:keepLines/>
        <w:rPr>
          <w:b/>
          <w:bCs/>
          <w:szCs w:val="22"/>
        </w:rPr>
      </w:pPr>
    </w:p>
    <w:p w:rsidR="00D81C04" w:rsidRPr="005142DA" w:rsidRDefault="00896E21" w:rsidP="00896E21">
      <w:pPr>
        <w:keepNext/>
        <w:keepLines/>
        <w:rPr>
          <w:szCs w:val="22"/>
        </w:rPr>
      </w:pPr>
      <w:r w:rsidRPr="005142DA">
        <w:rPr>
          <w:szCs w:val="22"/>
        </w:rPr>
        <w:t>Empleados calificados para efectuar las búsquedas y los exámenes:</w:t>
      </w:r>
      <w:r w:rsidR="00D81C04" w:rsidRPr="005142DA">
        <w:rPr>
          <w:szCs w:val="22"/>
        </w:rPr>
        <w:t xml:space="preserve">  </w:t>
      </w:r>
    </w:p>
    <w:tbl>
      <w:tblPr>
        <w:tblW w:w="5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2251"/>
      </w:tblGrid>
      <w:tr w:rsidR="00D81C04" w:rsidRPr="005142DA" w:rsidTr="006E1FC7">
        <w:trPr>
          <w:cantSplit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b/>
                <w:bCs/>
                <w:szCs w:val="22"/>
              </w:rPr>
            </w:pPr>
            <w:r w:rsidRPr="005142DA">
              <w:rPr>
                <w:b/>
                <w:bCs/>
                <w:szCs w:val="22"/>
              </w:rPr>
              <w:t>Campo técnico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544744" w:rsidP="00896E21">
            <w:pPr>
              <w:keepNext/>
              <w:spacing w:line="256" w:lineRule="auto"/>
              <w:rPr>
                <w:b/>
                <w:bCs/>
                <w:szCs w:val="22"/>
              </w:rPr>
            </w:pPr>
            <w:r w:rsidRPr="005142DA">
              <w:rPr>
                <w:b/>
                <w:bCs/>
                <w:szCs w:val="22"/>
              </w:rPr>
              <w:t>Nº </w:t>
            </w:r>
            <w:r w:rsidR="00896E21" w:rsidRPr="005142DA">
              <w:rPr>
                <w:b/>
                <w:bCs/>
                <w:szCs w:val="22"/>
              </w:rPr>
              <w:t>(en tiempo completo equivalente)</w:t>
            </w:r>
          </w:p>
        </w:tc>
      </w:tr>
      <w:tr w:rsidR="00D81C04" w:rsidRPr="005142DA" w:rsidTr="006E1FC7">
        <w:trPr>
          <w:cantSplit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Mecánica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42</w:t>
            </w:r>
          </w:p>
        </w:tc>
      </w:tr>
      <w:tr w:rsidR="00D81C04" w:rsidRPr="005142DA" w:rsidTr="006E1FC7">
        <w:trPr>
          <w:cantSplit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Electricidad/electrónica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40</w:t>
            </w:r>
          </w:p>
        </w:tc>
      </w:tr>
      <w:tr w:rsidR="00D81C04" w:rsidRPr="005142DA" w:rsidTr="006E1FC7">
        <w:trPr>
          <w:cantSplit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Química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27</w:t>
            </w:r>
          </w:p>
        </w:tc>
      </w:tr>
      <w:tr w:rsidR="00D81C04" w:rsidRPr="005142DA" w:rsidTr="006E1FC7">
        <w:trPr>
          <w:cantSplit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Biotecnología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keepNext/>
              <w:spacing w:line="256" w:lineRule="auto"/>
              <w:rPr>
                <w:szCs w:val="22"/>
              </w:rPr>
            </w:pPr>
            <w:r w:rsidRPr="005142DA">
              <w:rPr>
                <w:szCs w:val="22"/>
              </w:rPr>
              <w:t>5</w:t>
            </w:r>
          </w:p>
        </w:tc>
      </w:tr>
      <w:tr w:rsidR="00D81C04" w:rsidRPr="005142DA" w:rsidTr="006E1FC7">
        <w:trPr>
          <w:cantSplit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spacing w:line="256" w:lineRule="auto"/>
              <w:rPr>
                <w:i/>
                <w:iCs/>
                <w:szCs w:val="22"/>
              </w:rPr>
            </w:pPr>
            <w:r w:rsidRPr="005142DA">
              <w:rPr>
                <w:i/>
                <w:iCs/>
                <w:szCs w:val="22"/>
              </w:rPr>
              <w:t>Total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C04" w:rsidRPr="005142DA" w:rsidRDefault="00896E21" w:rsidP="00896E21">
            <w:pPr>
              <w:spacing w:line="256" w:lineRule="auto"/>
              <w:rPr>
                <w:i/>
                <w:iCs/>
                <w:szCs w:val="22"/>
              </w:rPr>
            </w:pPr>
            <w:r w:rsidRPr="005142DA">
              <w:rPr>
                <w:i/>
                <w:iCs/>
                <w:szCs w:val="22"/>
              </w:rPr>
              <w:t>114</w:t>
            </w:r>
          </w:p>
        </w:tc>
      </w:tr>
    </w:tbl>
    <w:p w:rsidR="00544744" w:rsidRPr="005142DA" w:rsidRDefault="00E97751" w:rsidP="00E97751">
      <w:pPr>
        <w:rPr>
          <w:bCs/>
        </w:rPr>
      </w:pPr>
      <w:r w:rsidRPr="005142DA">
        <w:rPr>
          <w:bCs/>
        </w:rPr>
        <w:t>En los últimos años, el número de empleados calificados ha variado entr</w:t>
      </w:r>
      <w:r w:rsidR="005142DA" w:rsidRPr="005142DA">
        <w:rPr>
          <w:bCs/>
        </w:rPr>
        <w:t>e 1</w:t>
      </w:r>
      <w:r w:rsidRPr="005142DA">
        <w:rPr>
          <w:bCs/>
        </w:rPr>
        <w:t xml:space="preserve">10 </w:t>
      </w:r>
      <w:r w:rsidR="005142DA" w:rsidRPr="005142DA">
        <w:rPr>
          <w:bCs/>
        </w:rPr>
        <w:t>y 1</w:t>
      </w:r>
      <w:r w:rsidRPr="005142DA">
        <w:rPr>
          <w:bCs/>
        </w:rPr>
        <w:t>80</w:t>
      </w:r>
      <w:r w:rsidR="005142DA" w:rsidRPr="005142DA">
        <w:rPr>
          <w:bCs/>
        </w:rPr>
        <w:t>;  en 2</w:t>
      </w:r>
      <w:r w:rsidRPr="005142DA">
        <w:rPr>
          <w:bCs/>
        </w:rPr>
        <w:t>017 la Oficina está ampliando esa cifra co</w:t>
      </w:r>
      <w:r w:rsidR="005142DA" w:rsidRPr="005142DA">
        <w:rPr>
          <w:bCs/>
        </w:rPr>
        <w:t>n 2</w:t>
      </w:r>
      <w:r w:rsidRPr="005142DA">
        <w:rPr>
          <w:bCs/>
        </w:rPr>
        <w:t>3 examinadores a tiempo completo</w:t>
      </w:r>
      <w:r w:rsidR="00544744" w:rsidRPr="005142DA">
        <w:rPr>
          <w:bCs/>
        </w:rPr>
        <w:t>.</w:t>
      </w:r>
    </w:p>
    <w:p w:rsidR="00ED5EAC" w:rsidRPr="005142DA" w:rsidRDefault="00ED5EAC" w:rsidP="00D81C04">
      <w:pPr>
        <w:rPr>
          <w:bCs/>
        </w:rPr>
      </w:pPr>
    </w:p>
    <w:p w:rsidR="00ED5EAC" w:rsidRPr="005142DA" w:rsidRDefault="007F0400" w:rsidP="007F0400">
      <w:pPr>
        <w:rPr>
          <w:bCs/>
        </w:rPr>
      </w:pPr>
      <w:r w:rsidRPr="005142DA">
        <w:rPr>
          <w:bCs/>
        </w:rPr>
        <w:t>* Requisitos mínimos para la calificación</w:t>
      </w:r>
      <w:r w:rsidR="005142DA" w:rsidRPr="005142DA">
        <w:rPr>
          <w:bCs/>
        </w:rPr>
        <w:t>:  m</w:t>
      </w:r>
      <w:r w:rsidRPr="005142DA">
        <w:rPr>
          <w:bCs/>
        </w:rPr>
        <w:t>aestría en ciencias o equivalente, nivel C en sueco e inglés, nivel B en alemán o francés y capacidad para entender el otro idioma, y superación de los exámenes escritos de nuestra formación interna d</w:t>
      </w:r>
      <w:r w:rsidR="005142DA" w:rsidRPr="005142DA">
        <w:rPr>
          <w:bCs/>
        </w:rPr>
        <w:t>e 1</w:t>
      </w:r>
      <w:r w:rsidRPr="005142DA">
        <w:rPr>
          <w:bCs/>
        </w:rPr>
        <w:t xml:space="preserve">8 meses para examinadores (véase más </w:t>
      </w:r>
      <w:r w:rsidR="00B5786F" w:rsidRPr="005142DA">
        <w:rPr>
          <w:bCs/>
        </w:rPr>
        <w:t>adelante</w:t>
      </w:r>
      <w:r w:rsidRPr="005142DA">
        <w:rPr>
          <w:bCs/>
        </w:rPr>
        <w:t>).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607793" w:rsidP="00607793">
      <w:pPr>
        <w:keepNext/>
        <w:rPr>
          <w:b/>
          <w:bCs/>
        </w:rPr>
      </w:pPr>
      <w:r w:rsidRPr="005142DA">
        <w:rPr>
          <w:b/>
          <w:bCs/>
        </w:rPr>
        <w:lastRenderedPageBreak/>
        <w:t>Programas de formación</w:t>
      </w:r>
    </w:p>
    <w:p w:rsidR="00ED5EAC" w:rsidRPr="005142DA" w:rsidRDefault="00ED5EAC" w:rsidP="00D81C04">
      <w:pPr>
        <w:keepNext/>
        <w:rPr>
          <w:b/>
          <w:bCs/>
        </w:rPr>
      </w:pPr>
    </w:p>
    <w:p w:rsidR="00ED5EAC" w:rsidRPr="005142DA" w:rsidRDefault="005F47E5" w:rsidP="008840D1">
      <w:pPr>
        <w:keepNext/>
      </w:pPr>
      <w:r w:rsidRPr="005142DA">
        <w:t>Tanto los examinadores como el personal administrativo participan en programas prácticos iniciales de formación y desarrollo,</w:t>
      </w:r>
      <w:r w:rsidR="00D81C04" w:rsidRPr="005142DA">
        <w:t xml:space="preserve"> </w:t>
      </w:r>
      <w:r w:rsidR="001377CF" w:rsidRPr="005142DA">
        <w:t>y deben superar distintos niveles de exámenes que garantizan que los empleados disponen de las competencias necesarias y que las mantienen.</w:t>
      </w:r>
      <w:r w:rsidR="00D81C04" w:rsidRPr="005142DA">
        <w:t xml:space="preserve">  </w:t>
      </w:r>
      <w:r w:rsidR="003920E2" w:rsidRPr="005142DA">
        <w:t xml:space="preserve">Los participantes en el programa de formación </w:t>
      </w:r>
      <w:r w:rsidR="008840D1" w:rsidRPr="005142DA">
        <w:t>de</w:t>
      </w:r>
      <w:r w:rsidR="003920E2" w:rsidRPr="005142DA">
        <w:t xml:space="preserve"> examinadores, que tiene una duración de al meno</w:t>
      </w:r>
      <w:r w:rsidR="005142DA" w:rsidRPr="005142DA">
        <w:t>s 1</w:t>
      </w:r>
      <w:r w:rsidR="003920E2" w:rsidRPr="005142DA">
        <w:t>8 meses y comprende alrededor d</w:t>
      </w:r>
      <w:r w:rsidR="005142DA" w:rsidRPr="005142DA">
        <w:t>e 1</w:t>
      </w:r>
      <w:r w:rsidR="003920E2" w:rsidRPr="005142DA">
        <w:t>50 horas lectivas, están bajo la supervisión de varios tutores, que son responsables de los resultados de</w:t>
      </w:r>
      <w:r w:rsidR="00C07EA1" w:rsidRPr="005142DA">
        <w:t xml:space="preserve"> </w:t>
      </w:r>
      <w:r w:rsidR="003920E2" w:rsidRPr="005142DA">
        <w:t>l</w:t>
      </w:r>
      <w:r w:rsidR="00C07EA1" w:rsidRPr="005142DA">
        <w:t>os</w:t>
      </w:r>
      <w:r w:rsidR="003920E2" w:rsidRPr="005142DA">
        <w:t xml:space="preserve"> examinador</w:t>
      </w:r>
      <w:r w:rsidR="00C07EA1" w:rsidRPr="005142DA">
        <w:t>es</w:t>
      </w:r>
      <w:r w:rsidR="005142DA" w:rsidRPr="005142DA">
        <w:t>.  L</w:t>
      </w:r>
      <w:r w:rsidR="008840D1" w:rsidRPr="005142DA">
        <w:t>a formación interna se complementa con material escrito detallado y cursos en línea.</w:t>
      </w:r>
      <w:r w:rsidR="00D81C04" w:rsidRPr="005142DA">
        <w:t xml:space="preserve">  </w:t>
      </w:r>
      <w:r w:rsidR="008840D1" w:rsidRPr="005142DA">
        <w:t xml:space="preserve">El programa de formación de examinadores también incluye cursos de idiomas (alemán, francés </w:t>
      </w:r>
      <w:r w:rsidR="002A5921" w:rsidRPr="005142DA">
        <w:t>e</w:t>
      </w:r>
      <w:r w:rsidR="008840D1" w:rsidRPr="005142DA">
        <w:t xml:space="preserve"> inglés formal</w:t>
      </w:r>
      <w:r w:rsidR="002A5921" w:rsidRPr="005142DA">
        <w:t xml:space="preserve"> escrito</w:t>
      </w:r>
      <w:r w:rsidR="008840D1" w:rsidRPr="005142DA">
        <w:t>).</w:t>
      </w:r>
    </w:p>
    <w:p w:rsidR="00ED5EAC" w:rsidRPr="005142DA" w:rsidRDefault="00ED5EAC" w:rsidP="00D81C04"/>
    <w:p w:rsidR="00544744" w:rsidRPr="005142DA" w:rsidRDefault="002A5921" w:rsidP="003E4C18">
      <w:r w:rsidRPr="005142DA">
        <w:t>Todos los examinadores realizan cada cinco años un curso completo de reciclaje.</w:t>
      </w:r>
      <w:r w:rsidR="00D81C04" w:rsidRPr="005142DA">
        <w:t xml:space="preserve">  </w:t>
      </w:r>
      <w:r w:rsidR="004C0C2E" w:rsidRPr="005142DA">
        <w:t>Además, se imparten seminarios como resultado de los controles de calidad anuales o en respuesta a nuevas situaciones o directrices.</w:t>
      </w:r>
      <w:r w:rsidR="00D81C04" w:rsidRPr="005142DA">
        <w:t xml:space="preserve">  </w:t>
      </w:r>
      <w:r w:rsidR="003E4C18" w:rsidRPr="005142DA">
        <w:t>Los directores ofrecen programas educativos individuales, tras consultarlo con la persona en cuestión, tanto sobre la legislación en materia de propiedad intelectual como sobre aspectos técnicos.</w:t>
      </w:r>
      <w:r w:rsidR="00D81C04" w:rsidRPr="005142DA">
        <w:t xml:space="preserve">  </w:t>
      </w:r>
      <w:r w:rsidR="003E4C18" w:rsidRPr="005142DA">
        <w:t>Los programas educativos incluyen:  talleres (internos), intercambios de examinadores</w:t>
      </w:r>
      <w:r w:rsidR="00C07EA1" w:rsidRPr="005142DA">
        <w:t xml:space="preserve"> y</w:t>
      </w:r>
      <w:r w:rsidR="003E4C18" w:rsidRPr="005142DA">
        <w:t xml:space="preserve"> seminarios </w:t>
      </w:r>
      <w:r w:rsidR="00C07EA1" w:rsidRPr="005142DA">
        <w:t xml:space="preserve">y cursos </w:t>
      </w:r>
      <w:r w:rsidR="003E4C18" w:rsidRPr="005142DA">
        <w:t>internos y externos.</w:t>
      </w:r>
      <w:r w:rsidR="00D81C04" w:rsidRPr="005142DA">
        <w:t xml:space="preserve">  </w:t>
      </w:r>
      <w:r w:rsidR="003E4C18" w:rsidRPr="005142DA">
        <w:t>Se ha desarrollado un programa amplio y transversal de búsqueda y examen para garantizar la continuidad y la calidad</w:t>
      </w:r>
      <w:r w:rsidR="00544744" w:rsidRPr="005142DA">
        <w:t>.</w:t>
      </w:r>
    </w:p>
    <w:p w:rsidR="00ED5EAC" w:rsidRPr="005142DA" w:rsidRDefault="00ED5EAC" w:rsidP="00D81C04"/>
    <w:p w:rsidR="00ED5EAC" w:rsidRPr="005142DA" w:rsidRDefault="00646496" w:rsidP="00366B00">
      <w:r w:rsidRPr="005142DA">
        <w:t>Los expertos en patentes reciben formación en un programa especial en el que participan examinadores altamente calificados.</w:t>
      </w:r>
      <w:r w:rsidR="00D81C04" w:rsidRPr="005142DA">
        <w:t xml:space="preserve">  </w:t>
      </w:r>
      <w:r w:rsidRPr="005142DA">
        <w:t>Este programa es exhaustivo, tiene una duración de varios años y se combina con las funciones normales de búsqueda y examen.</w:t>
      </w:r>
      <w:r w:rsidR="00D81C04" w:rsidRPr="005142DA">
        <w:t xml:space="preserve">  </w:t>
      </w:r>
      <w:r w:rsidR="00366B00" w:rsidRPr="005142DA">
        <w:t>El programa finaliza con un examen y la presentación oral de una tesis.</w:t>
      </w:r>
    </w:p>
    <w:p w:rsidR="00ED5EAC" w:rsidRPr="005142DA" w:rsidRDefault="00ED5EAC" w:rsidP="00D81C04"/>
    <w:p w:rsidR="00ED5EAC" w:rsidRPr="005142DA" w:rsidRDefault="00366B00" w:rsidP="007F73CA">
      <w:r w:rsidRPr="005142DA">
        <w:t>Como parte del curso de introducción que ofrece la PRV a los nuevos empleados, se informa a todo el personal de la importancia de cumplir los criterios y las normas de calidad.</w:t>
      </w:r>
      <w:r w:rsidR="00D81C04" w:rsidRPr="005142DA">
        <w:t xml:space="preserve">  </w:t>
      </w:r>
      <w:r w:rsidR="007F73CA" w:rsidRPr="005142DA">
        <w:t xml:space="preserve">La principal responsabilidad del </w:t>
      </w:r>
      <w:r w:rsidR="0082580A" w:rsidRPr="005142DA">
        <w:t xml:space="preserve">director </w:t>
      </w:r>
      <w:r w:rsidR="007F73CA" w:rsidRPr="005142DA">
        <w:t>de Gestión de la Calidad es velar por la observancia de esos criterios.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B5786F" w:rsidP="00B5786F">
      <w:pPr>
        <w:rPr>
          <w:b/>
          <w:bCs/>
          <w:i/>
          <w:szCs w:val="24"/>
        </w:rPr>
      </w:pPr>
      <w:r w:rsidRPr="005142DA">
        <w:rPr>
          <w:b/>
          <w:bCs/>
          <w:i/>
          <w:szCs w:val="24"/>
        </w:rPr>
        <w:t>Regla</w:t>
      </w:r>
      <w:r w:rsidR="005142DA" w:rsidRPr="005142DA">
        <w:rPr>
          <w:b/>
          <w:bCs/>
          <w:i/>
          <w:szCs w:val="24"/>
        </w:rPr>
        <w:t>s 3</w:t>
      </w:r>
      <w:r w:rsidRPr="005142DA">
        <w:rPr>
          <w:b/>
          <w:bCs/>
          <w:i/>
          <w:szCs w:val="24"/>
        </w:rPr>
        <w:t xml:space="preserve">6.1.ii) </w:t>
      </w:r>
      <w:r w:rsidR="005142DA" w:rsidRPr="005142DA">
        <w:rPr>
          <w:b/>
          <w:bCs/>
          <w:i/>
          <w:szCs w:val="24"/>
        </w:rPr>
        <w:t>y 6</w:t>
      </w:r>
      <w:r w:rsidRPr="005142DA">
        <w:rPr>
          <w:b/>
          <w:bCs/>
          <w:i/>
          <w:szCs w:val="24"/>
        </w:rPr>
        <w:t>3.1.ii):  esa Oficina u organización deberá poseer, por lo menos, la documentación mínima mencionada en la Regl</w:t>
      </w:r>
      <w:r w:rsidR="005142DA" w:rsidRPr="005142DA">
        <w:rPr>
          <w:b/>
          <w:bCs/>
          <w:i/>
          <w:szCs w:val="24"/>
        </w:rPr>
        <w:t>a 3</w:t>
      </w:r>
      <w:r w:rsidRPr="005142DA">
        <w:rPr>
          <w:b/>
          <w:bCs/>
          <w:i/>
          <w:szCs w:val="24"/>
        </w:rPr>
        <w:t>4, o tener acceso a esa documentación mínima, la cual deberá estar ordenada en forma adecuada a los fines de la búsqueda y presentarse en papel, en microformato o en soporte electrónico.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B5786F" w:rsidP="00B5786F">
      <w:pPr>
        <w:keepNext/>
        <w:rPr>
          <w:b/>
          <w:bCs/>
          <w:szCs w:val="22"/>
        </w:rPr>
      </w:pPr>
      <w:r w:rsidRPr="005142DA">
        <w:rPr>
          <w:b/>
          <w:szCs w:val="22"/>
        </w:rPr>
        <w:t>Acceso a la documentación mínima para fines de búsqueda:</w:t>
      </w:r>
      <w:r w:rsidR="00D81C04" w:rsidRPr="005142DA">
        <w:rPr>
          <w:b/>
          <w:szCs w:val="22"/>
        </w:rPr>
        <w:t xml:space="preserve">  </w:t>
      </w:r>
    </w:p>
    <w:p w:rsidR="00ED5EAC" w:rsidRPr="005142DA" w:rsidRDefault="00B5786F" w:rsidP="00B5786F">
      <w:pPr>
        <w:rPr>
          <w:szCs w:val="22"/>
        </w:rPr>
      </w:pPr>
      <w:r w:rsidRPr="005142DA">
        <w:rPr>
          <w:szCs w:val="22"/>
        </w:rPr>
        <w:t>(X)</w:t>
      </w:r>
      <w:r w:rsidRPr="005142DA">
        <w:rPr>
          <w:szCs w:val="22"/>
        </w:rPr>
        <w:tab/>
        <w:t>Pleno acceso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B5786F" w:rsidP="00B5786F">
      <w:pPr>
        <w:rPr>
          <w:szCs w:val="22"/>
        </w:rPr>
      </w:pPr>
      <w:r w:rsidRPr="005142DA">
        <w:rPr>
          <w:b/>
          <w:szCs w:val="22"/>
        </w:rPr>
        <w:t>Sistemas de búsqueda:</w:t>
      </w:r>
      <w:r w:rsidR="00D81C04" w:rsidRPr="005142DA">
        <w:rPr>
          <w:szCs w:val="22"/>
        </w:rPr>
        <w:t xml:space="preserve">  </w:t>
      </w:r>
    </w:p>
    <w:p w:rsidR="00ED5EAC" w:rsidRPr="005142DA" w:rsidRDefault="00B5786F" w:rsidP="00B5786F">
      <w:pPr>
        <w:rPr>
          <w:iCs/>
        </w:rPr>
      </w:pPr>
      <w:r w:rsidRPr="005142DA">
        <w:rPr>
          <w:iCs/>
        </w:rPr>
        <w:t>EPOQUENet, STN, Questel, Mintel GNDP y el servicio de búsqueda de la biblioteca interna.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B5786F" w:rsidP="00B5786F">
      <w:pPr>
        <w:rPr>
          <w:b/>
          <w:bCs/>
          <w:i/>
          <w:szCs w:val="24"/>
        </w:rPr>
      </w:pPr>
      <w:r w:rsidRPr="005142DA">
        <w:rPr>
          <w:b/>
          <w:bCs/>
          <w:i/>
          <w:szCs w:val="24"/>
        </w:rPr>
        <w:t>Regla</w:t>
      </w:r>
      <w:r w:rsidR="005142DA" w:rsidRPr="005142DA">
        <w:rPr>
          <w:b/>
          <w:bCs/>
          <w:i/>
          <w:szCs w:val="24"/>
        </w:rPr>
        <w:t>s 3</w:t>
      </w:r>
      <w:r w:rsidRPr="005142DA">
        <w:rPr>
          <w:b/>
          <w:bCs/>
          <w:i/>
          <w:szCs w:val="24"/>
        </w:rPr>
        <w:t xml:space="preserve">6.1.iii) </w:t>
      </w:r>
      <w:r w:rsidR="005142DA" w:rsidRPr="005142DA">
        <w:rPr>
          <w:b/>
          <w:bCs/>
          <w:i/>
          <w:szCs w:val="24"/>
        </w:rPr>
        <w:t>y 6</w:t>
      </w:r>
      <w:r w:rsidRPr="005142DA">
        <w:rPr>
          <w:b/>
          <w:bCs/>
          <w:i/>
          <w:szCs w:val="24"/>
        </w:rPr>
        <w:t>3.1.iii):  esa Oficina u organización deberá disponer de un personal capacitado para proceder a la búsqueda y el examen en los sectores técnicos en los que deba realizarse la búsqueda y que posea los conocimientos lingüísticos necesarios para comprender, por lo menos, los idiomas en los que esté redactada o traducida la documentación mínima mencionada en la Regl</w:t>
      </w:r>
      <w:r w:rsidR="005142DA" w:rsidRPr="005142DA">
        <w:rPr>
          <w:b/>
          <w:bCs/>
          <w:i/>
          <w:szCs w:val="24"/>
        </w:rPr>
        <w:t>a 3</w:t>
      </w:r>
      <w:r w:rsidRPr="005142DA">
        <w:rPr>
          <w:b/>
          <w:bCs/>
          <w:i/>
          <w:szCs w:val="24"/>
        </w:rPr>
        <w:t>4.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B5786F" w:rsidP="00B5786F">
      <w:pPr>
        <w:rPr>
          <w:b/>
          <w:bCs/>
          <w:szCs w:val="22"/>
        </w:rPr>
      </w:pPr>
      <w:r w:rsidRPr="005142DA">
        <w:rPr>
          <w:b/>
          <w:szCs w:val="22"/>
        </w:rPr>
        <w:t>Idiomas en que las solicitudes nacionales pueden ser presentadas y tramitadas:</w:t>
      </w:r>
      <w:r w:rsidR="00D81C04" w:rsidRPr="005142DA">
        <w:rPr>
          <w:szCs w:val="22"/>
        </w:rPr>
        <w:t xml:space="preserve">  </w:t>
      </w:r>
    </w:p>
    <w:p w:rsidR="00ED5EAC" w:rsidRPr="005142DA" w:rsidRDefault="00B5786F" w:rsidP="00B5786F">
      <w:r w:rsidRPr="005142DA">
        <w:t>Sueco e inglés.</w:t>
      </w:r>
    </w:p>
    <w:p w:rsidR="00ED5EAC" w:rsidRPr="005142DA" w:rsidRDefault="00B5786F" w:rsidP="00B5786F">
      <w:r w:rsidRPr="005142DA">
        <w:t>Se aceptan las solicitudes presentadas en todos los idiomas escandinavos (véase el punt</w:t>
      </w:r>
      <w:r w:rsidR="005142DA" w:rsidRPr="005142DA">
        <w:t>o 3</w:t>
      </w:r>
      <w:r w:rsidRPr="005142DA">
        <w:t>).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5777DC" w:rsidP="00D01814">
      <w:pPr>
        <w:keepNext/>
        <w:rPr>
          <w:b/>
          <w:bCs/>
          <w:szCs w:val="22"/>
        </w:rPr>
      </w:pPr>
      <w:r w:rsidRPr="005142DA">
        <w:rPr>
          <w:b/>
          <w:szCs w:val="22"/>
        </w:rPr>
        <w:lastRenderedPageBreak/>
        <w:t>Otros idiomas en los que un gran número de examinadores son competentes:</w:t>
      </w:r>
      <w:r w:rsidR="00D81C04" w:rsidRPr="005142DA">
        <w:rPr>
          <w:szCs w:val="22"/>
        </w:rPr>
        <w:t xml:space="preserve">  </w:t>
      </w:r>
    </w:p>
    <w:p w:rsidR="00ED5EAC" w:rsidRPr="005142DA" w:rsidRDefault="005777DC" w:rsidP="00D01814">
      <w:pPr>
        <w:keepNext/>
      </w:pPr>
      <w:r w:rsidRPr="005142DA">
        <w:t>Alemán y francés.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5777DC" w:rsidP="005777DC">
      <w:pPr>
        <w:rPr>
          <w:szCs w:val="22"/>
        </w:rPr>
      </w:pPr>
      <w:r w:rsidRPr="005142DA">
        <w:rPr>
          <w:b/>
          <w:szCs w:val="22"/>
        </w:rPr>
        <w:t>Servicios disponibles de ayuda a la búsqueda y para la comprensión del estado de la técnica en otros idiomas:</w:t>
      </w:r>
      <w:r w:rsidR="00D81C04" w:rsidRPr="005142DA">
        <w:rPr>
          <w:szCs w:val="22"/>
        </w:rPr>
        <w:t xml:space="preserve">  </w:t>
      </w:r>
    </w:p>
    <w:p w:rsidR="00ED5EAC" w:rsidRPr="005142DA" w:rsidRDefault="005777DC" w:rsidP="005777DC">
      <w:r w:rsidRPr="005142DA">
        <w:t>Sistemas de traducción automática, CPMT, K-PION y PAJ.</w:t>
      </w:r>
    </w:p>
    <w:p w:rsidR="00ED5EAC" w:rsidRPr="005142DA" w:rsidRDefault="00ED5EAC" w:rsidP="00D81C04">
      <w:pPr>
        <w:rPr>
          <w:szCs w:val="22"/>
        </w:rPr>
      </w:pPr>
    </w:p>
    <w:p w:rsidR="00E5490D" w:rsidRPr="005142DA" w:rsidRDefault="00E5490D" w:rsidP="00D81C04">
      <w:pPr>
        <w:rPr>
          <w:szCs w:val="22"/>
        </w:rPr>
      </w:pPr>
    </w:p>
    <w:p w:rsidR="00ED5EAC" w:rsidRPr="005142DA" w:rsidRDefault="00F10DE8" w:rsidP="00F10DE8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2.2 – GESTIÓN DE CALIDAD</w:t>
      </w:r>
    </w:p>
    <w:p w:rsidR="00ED5EAC" w:rsidRPr="005142DA" w:rsidRDefault="00F10DE8" w:rsidP="00F10DE8">
      <w:pPr>
        <w:rPr>
          <w:b/>
          <w:bCs/>
        </w:rPr>
      </w:pPr>
      <w:r w:rsidRPr="005142DA">
        <w:rPr>
          <w:b/>
          <w:bCs/>
        </w:rPr>
        <w:t>Regla</w:t>
      </w:r>
      <w:r w:rsidR="005142DA" w:rsidRPr="005142DA">
        <w:rPr>
          <w:b/>
          <w:bCs/>
        </w:rPr>
        <w:t>s 3</w:t>
      </w:r>
      <w:r w:rsidRPr="005142DA">
        <w:rPr>
          <w:b/>
          <w:bCs/>
        </w:rPr>
        <w:t xml:space="preserve">6.1.iv) </w:t>
      </w:r>
      <w:r w:rsidR="005142DA" w:rsidRPr="005142DA">
        <w:rPr>
          <w:b/>
          <w:bCs/>
        </w:rPr>
        <w:t>y 6</w:t>
      </w:r>
      <w:r w:rsidRPr="005142DA">
        <w:rPr>
          <w:b/>
          <w:bCs/>
        </w:rPr>
        <w:t>3.1.iv):  esa Oficina u organización deberá disponer de un sistema de gestión de calidad y un sistema de revisión interna, conforme a las reglas comunes de la búsqueda internacional.</w:t>
      </w:r>
    </w:p>
    <w:p w:rsidR="00ED5EAC" w:rsidRPr="005142DA" w:rsidRDefault="00ED5EAC" w:rsidP="00D81C04">
      <w:pPr>
        <w:rPr>
          <w:b/>
          <w:bCs/>
          <w:szCs w:val="22"/>
        </w:rPr>
      </w:pPr>
    </w:p>
    <w:p w:rsidR="00544744" w:rsidRPr="005142DA" w:rsidRDefault="00D75D51" w:rsidP="00BF1750">
      <w:pPr>
        <w:rPr>
          <w:bCs/>
        </w:rPr>
      </w:pPr>
      <w:r w:rsidRPr="005142DA">
        <w:rPr>
          <w:bCs/>
        </w:rPr>
        <w:t>Tradicionalmente, la PRV ha realizado un trabajo de gran calidad y, desde mediados de los años noventa, se adhiere a las normas internacionales de gestión de la calidad.</w:t>
      </w:r>
      <w:r w:rsidR="00D81C04" w:rsidRPr="005142DA">
        <w:rPr>
          <w:bCs/>
        </w:rPr>
        <w:t xml:space="preserve">  </w:t>
      </w:r>
      <w:r w:rsidR="00BF1750" w:rsidRPr="005142DA">
        <w:rPr>
          <w:bCs/>
        </w:rPr>
        <w:t xml:space="preserve">A finales de </w:t>
      </w:r>
      <w:r w:rsidR="00C07EA1" w:rsidRPr="005142DA">
        <w:rPr>
          <w:bCs/>
        </w:rPr>
        <w:t>esa década</w:t>
      </w:r>
      <w:r w:rsidR="00BF1750" w:rsidRPr="005142DA">
        <w:rPr>
          <w:bCs/>
        </w:rPr>
        <w:t>, ajustamos la tramitación de las patentes a los principios de gestión integral de la calidad y empezamos a trabajar con planes de mejora y evaluación continuas según el Marco de Evaluación Común.</w:t>
      </w:r>
      <w:r w:rsidR="00D81C04" w:rsidRPr="005142DA">
        <w:rPr>
          <w:bCs/>
        </w:rPr>
        <w:t xml:space="preserve">  </w:t>
      </w:r>
      <w:r w:rsidR="00BF1750" w:rsidRPr="005142DA">
        <w:rPr>
          <w:bCs/>
        </w:rPr>
        <w:t>E</w:t>
      </w:r>
      <w:r w:rsidR="005142DA" w:rsidRPr="005142DA">
        <w:rPr>
          <w:bCs/>
        </w:rPr>
        <w:t>n 2</w:t>
      </w:r>
      <w:r w:rsidR="00BF1750" w:rsidRPr="005142DA">
        <w:rPr>
          <w:bCs/>
        </w:rPr>
        <w:t>006, la PRV decidió comenzar a utilizar la norma de gestión de calidad IS</w:t>
      </w:r>
      <w:r w:rsidR="005142DA" w:rsidRPr="005142DA">
        <w:rPr>
          <w:bCs/>
        </w:rPr>
        <w:t>O 9</w:t>
      </w:r>
      <w:r w:rsidR="00BF1750" w:rsidRPr="005142DA">
        <w:rPr>
          <w:bCs/>
        </w:rPr>
        <w:t>001:2000 y, en octubre d</w:t>
      </w:r>
      <w:r w:rsidR="005142DA" w:rsidRPr="005142DA">
        <w:rPr>
          <w:bCs/>
        </w:rPr>
        <w:t>e 2</w:t>
      </w:r>
      <w:r w:rsidR="00BF1750" w:rsidRPr="005142DA">
        <w:rPr>
          <w:bCs/>
        </w:rPr>
        <w:t>007, toda la Oficina y todos los procesos, en particular la tramitación de las patentes nacionales e internacionales (PCT), fueron certificados conforme a la norma IS</w:t>
      </w:r>
      <w:r w:rsidR="005142DA" w:rsidRPr="005142DA">
        <w:rPr>
          <w:bCs/>
        </w:rPr>
        <w:t>O 9</w:t>
      </w:r>
      <w:r w:rsidR="00BF1750" w:rsidRPr="005142DA">
        <w:rPr>
          <w:bCs/>
        </w:rPr>
        <w:t>001</w:t>
      </w:r>
      <w:r w:rsidR="00544744" w:rsidRPr="005142DA">
        <w:rPr>
          <w:bCs/>
        </w:rPr>
        <w:t>.</w:t>
      </w:r>
    </w:p>
    <w:p w:rsidR="00ED5EAC" w:rsidRPr="005142DA" w:rsidRDefault="00ED5EAC" w:rsidP="00D81C04">
      <w:pPr>
        <w:rPr>
          <w:bCs/>
        </w:rPr>
      </w:pPr>
    </w:p>
    <w:p w:rsidR="00ED5EAC" w:rsidRPr="005142DA" w:rsidRDefault="00923A56" w:rsidP="00923A56">
      <w:pPr>
        <w:rPr>
          <w:bCs/>
          <w:i/>
        </w:rPr>
      </w:pPr>
      <w:r w:rsidRPr="005142DA">
        <w:rPr>
          <w:bCs/>
        </w:rPr>
        <w:t>E</w:t>
      </w:r>
      <w:r w:rsidR="005142DA" w:rsidRPr="005142DA">
        <w:rPr>
          <w:bCs/>
        </w:rPr>
        <w:t>n 2</w:t>
      </w:r>
      <w:r w:rsidRPr="005142DA">
        <w:rPr>
          <w:bCs/>
        </w:rPr>
        <w:t>015 se hizo la última evaluación externa de acuerdo con la norma IS</w:t>
      </w:r>
      <w:r w:rsidR="005142DA" w:rsidRPr="005142DA">
        <w:rPr>
          <w:bCs/>
        </w:rPr>
        <w:t>O 9</w:t>
      </w:r>
      <w:r w:rsidRPr="005142DA">
        <w:rPr>
          <w:bCs/>
        </w:rPr>
        <w:t>001:2008 y, según la valoración de los examinadores, "el sistema de gestión de calidad cumple plenamente la norma IS</w:t>
      </w:r>
      <w:r w:rsidR="005142DA" w:rsidRPr="005142DA">
        <w:rPr>
          <w:bCs/>
        </w:rPr>
        <w:t>O 9</w:t>
      </w:r>
      <w:r w:rsidRPr="005142DA">
        <w:rPr>
          <w:bCs/>
        </w:rPr>
        <w:t>001:2008, es un sistema de gestión maduro y resulta ejemplar para la gestión de la calidad en el sector público".</w:t>
      </w:r>
    </w:p>
    <w:p w:rsidR="00ED5EAC" w:rsidRPr="005142DA" w:rsidRDefault="00ED5EAC" w:rsidP="00D81C04">
      <w:pPr>
        <w:rPr>
          <w:bCs/>
        </w:rPr>
      </w:pPr>
    </w:p>
    <w:p w:rsidR="00ED5EAC" w:rsidRPr="005142DA" w:rsidRDefault="00923A56" w:rsidP="00923A56">
      <w:pPr>
        <w:rPr>
          <w:bCs/>
        </w:rPr>
      </w:pPr>
      <w:r w:rsidRPr="005142DA">
        <w:rPr>
          <w:bCs/>
        </w:rPr>
        <w:t>En septiembre d</w:t>
      </w:r>
      <w:r w:rsidR="005142DA" w:rsidRPr="005142DA">
        <w:rPr>
          <w:bCs/>
        </w:rPr>
        <w:t>e 2</w:t>
      </w:r>
      <w:r w:rsidRPr="005142DA">
        <w:rPr>
          <w:bCs/>
        </w:rPr>
        <w:t>016, toda la Oficina fue certificada de nuevo conforme a la nueva norma IS</w:t>
      </w:r>
      <w:r w:rsidR="005142DA" w:rsidRPr="005142DA">
        <w:rPr>
          <w:bCs/>
        </w:rPr>
        <w:t>O 9</w:t>
      </w:r>
      <w:r w:rsidRPr="005142DA">
        <w:rPr>
          <w:bCs/>
        </w:rPr>
        <w:t>001:2015.</w:t>
      </w:r>
    </w:p>
    <w:p w:rsidR="00ED5EAC" w:rsidRPr="005142DA" w:rsidRDefault="00ED5EAC" w:rsidP="00D81C04">
      <w:pPr>
        <w:rPr>
          <w:bCs/>
        </w:rPr>
      </w:pPr>
    </w:p>
    <w:p w:rsidR="00544744" w:rsidRPr="005142DA" w:rsidRDefault="00661946" w:rsidP="00661946">
      <w:pPr>
        <w:rPr>
          <w:bCs/>
        </w:rPr>
      </w:pPr>
      <w:r w:rsidRPr="005142DA">
        <w:rPr>
          <w:bCs/>
        </w:rPr>
        <w:t>Los informes del sistema de gestión de calidad elaborados según la plantilla utilizada por las Administraciones internacionales respecto de los requisitos del Capítul</w:t>
      </w:r>
      <w:r w:rsidR="005142DA" w:rsidRPr="005142DA">
        <w:rPr>
          <w:bCs/>
        </w:rPr>
        <w:t>o 2</w:t>
      </w:r>
      <w:r w:rsidRPr="005142DA">
        <w:rPr>
          <w:bCs/>
        </w:rPr>
        <w:t>1 de las Directrices de búsqueda y de examen preliminar internacionales del PCT pueden consultarse en el sitio web de la OMPI, en http://www.wipo.int/pct/en/quality/authorities.html</w:t>
      </w:r>
      <w:r w:rsidR="00544744" w:rsidRPr="005142DA">
        <w:rPr>
          <w:bCs/>
        </w:rPr>
        <w:t>.</w:t>
      </w:r>
    </w:p>
    <w:p w:rsidR="00ED5EAC" w:rsidRPr="005142DA" w:rsidRDefault="00ED5EAC" w:rsidP="00D81C04">
      <w:pPr>
        <w:rPr>
          <w:b/>
          <w:bCs/>
        </w:rPr>
      </w:pP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661946" w:rsidP="00661946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3 – ÁMBITO DE APLICACIÓN PREVISTO</w:t>
      </w:r>
    </w:p>
    <w:p w:rsidR="00ED5EAC" w:rsidRPr="005142DA" w:rsidRDefault="00661946" w:rsidP="00661946">
      <w:pPr>
        <w:rPr>
          <w:b/>
          <w:bCs/>
          <w:szCs w:val="22"/>
        </w:rPr>
      </w:pPr>
      <w:r w:rsidRPr="005142DA">
        <w:rPr>
          <w:b/>
          <w:bCs/>
          <w:szCs w:val="22"/>
        </w:rPr>
        <w:t>Idioma</w:t>
      </w:r>
      <w:r w:rsidR="0082580A">
        <w:rPr>
          <w:b/>
          <w:bCs/>
          <w:szCs w:val="22"/>
        </w:rPr>
        <w:t>s</w:t>
      </w:r>
      <w:r w:rsidRPr="005142DA">
        <w:rPr>
          <w:b/>
          <w:bCs/>
          <w:szCs w:val="22"/>
        </w:rPr>
        <w:t xml:space="preserve"> en que se ofrecerían los servicios:</w:t>
      </w:r>
    </w:p>
    <w:p w:rsidR="00ED5EAC" w:rsidRPr="005142DA" w:rsidRDefault="00ED5EAC" w:rsidP="00D81C04">
      <w:pPr>
        <w:rPr>
          <w:b/>
          <w:bCs/>
          <w:szCs w:val="22"/>
        </w:rPr>
      </w:pPr>
    </w:p>
    <w:p w:rsidR="00ED5EAC" w:rsidRPr="005142DA" w:rsidRDefault="0066154B" w:rsidP="0066154B">
      <w:r w:rsidRPr="005142DA">
        <w:t>Danés, inglés, finlandés, noruego y sueco para cualquier solicitud internacional</w:t>
      </w:r>
      <w:r w:rsidR="005142DA" w:rsidRPr="005142DA">
        <w:t>.  A</w:t>
      </w:r>
      <w:r w:rsidRPr="005142DA">
        <w:t>demás, el francés, en el caso de las solicitudes procedentes de los Estados mencionados en el párrafo b).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66154B" w:rsidP="0066154B">
      <w:pPr>
        <w:rPr>
          <w:b/>
          <w:bCs/>
          <w:szCs w:val="22"/>
        </w:rPr>
      </w:pPr>
      <w:r w:rsidRPr="005142DA">
        <w:rPr>
          <w:b/>
          <w:bCs/>
          <w:szCs w:val="22"/>
        </w:rPr>
        <w:t>Estados u Oficinas receptoras para las cuales la Oficina se ofrecería como Administración competente:</w:t>
      </w:r>
    </w:p>
    <w:p w:rsidR="00ED5EAC" w:rsidRPr="005142DA" w:rsidRDefault="00ED5EAC" w:rsidP="00D81C04">
      <w:pPr>
        <w:rPr>
          <w:b/>
          <w:bCs/>
          <w:szCs w:val="22"/>
        </w:rPr>
      </w:pPr>
    </w:p>
    <w:p w:rsidR="00ED5EAC" w:rsidRPr="005142DA" w:rsidRDefault="002C5F98" w:rsidP="002C5F98">
      <w:r w:rsidRPr="005142DA">
        <w:t>Actuará para los siguientes Estados:</w:t>
      </w:r>
      <w:r w:rsidR="00D81C04" w:rsidRPr="005142DA">
        <w:t xml:space="preserve"> </w:t>
      </w:r>
    </w:p>
    <w:p w:rsidR="00ED5EAC" w:rsidRPr="005142DA" w:rsidRDefault="002C5F98" w:rsidP="002C5F98">
      <w:r w:rsidRPr="005142DA">
        <w:t>a) Dinamarca, Finlandia, Islandia, Noruega, Suecia</w:t>
      </w:r>
      <w:r w:rsidR="005142DA" w:rsidRPr="005142DA">
        <w:t>;  y</w:t>
      </w:r>
      <w:r w:rsidR="00D81C04" w:rsidRPr="005142DA">
        <w:t xml:space="preserve"> </w:t>
      </w:r>
    </w:p>
    <w:p w:rsidR="00ED5EAC" w:rsidRPr="005142DA" w:rsidRDefault="00ED5EAC" w:rsidP="00D81C04"/>
    <w:p w:rsidR="00ED5EAC" w:rsidRPr="005142DA" w:rsidRDefault="002C5F98" w:rsidP="002C5F98">
      <w:r w:rsidRPr="005142DA">
        <w:t xml:space="preserve">b) los Estados considerados países en desarrollo de conformidad con la práctica establecida de la Asamblea General de las Naciones Unidas, siempre que Suecia, de conformidad con sus </w:t>
      </w:r>
      <w:r w:rsidRPr="005142DA">
        <w:lastRenderedPageBreak/>
        <w:t>obligaciones contraídas en el marco de la Organización Europea de Patentes, haya celebrado con esos Estados un acuerdo para ese propósito.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2C5F98" w:rsidP="002C5F98">
      <w:pPr>
        <w:rPr>
          <w:b/>
          <w:szCs w:val="22"/>
        </w:rPr>
      </w:pPr>
      <w:r w:rsidRPr="005142DA">
        <w:rPr>
          <w:b/>
          <w:szCs w:val="22"/>
        </w:rPr>
        <w:t>Limitaciones en el ámbito de aplicación: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2C5F98" w:rsidP="002C5F98">
      <w:r w:rsidRPr="005142DA">
        <w:t>Ninguna.</w:t>
      </w:r>
    </w:p>
    <w:p w:rsidR="00ED5EAC" w:rsidRPr="005142DA" w:rsidRDefault="0082580A" w:rsidP="002C5F98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 w:val="20"/>
          <w:szCs w:val="32"/>
        </w:rPr>
      </w:pPr>
      <w:r>
        <w:rPr>
          <w:rFonts w:eastAsia="Times New Roman"/>
          <w:b/>
          <w:bCs/>
          <w:caps/>
          <w:kern w:val="32"/>
          <w:sz w:val="20"/>
          <w:szCs w:val="32"/>
        </w:rPr>
        <w:t>4 – DECLARACIÓN DE MOTIVOS</w:t>
      </w:r>
    </w:p>
    <w:p w:rsidR="00ED5EAC" w:rsidRPr="005142DA" w:rsidRDefault="002A5D3B" w:rsidP="002A5D3B">
      <w:r w:rsidRPr="005142DA">
        <w:t xml:space="preserve">La PRV </w:t>
      </w:r>
      <w:r w:rsidR="0082580A">
        <w:t>es l</w:t>
      </w:r>
      <w:r w:rsidRPr="005142DA">
        <w:t xml:space="preserve">a Oficina </w:t>
      </w:r>
      <w:r w:rsidR="0082580A">
        <w:t>ante la cual se presentan solicitudes de patente nacional</w:t>
      </w:r>
      <w:r w:rsidRPr="005142DA">
        <w:t xml:space="preserve"> desd</w:t>
      </w:r>
      <w:r w:rsidR="005142DA" w:rsidRPr="005142DA">
        <w:t>e 1</w:t>
      </w:r>
      <w:r w:rsidRPr="005142DA">
        <w:t>985 y ha funcionado activamente como ISA e IPEA en virtud del PCT desd</w:t>
      </w:r>
      <w:r w:rsidR="005142DA" w:rsidRPr="005142DA">
        <w:t>e 1</w:t>
      </w:r>
      <w:r w:rsidRPr="005142DA">
        <w:t>978.</w:t>
      </w:r>
    </w:p>
    <w:p w:rsidR="00ED5EAC" w:rsidRPr="005142DA" w:rsidRDefault="00ED5EAC" w:rsidP="00D81C04"/>
    <w:p w:rsidR="00ED5EAC" w:rsidRPr="005142DA" w:rsidRDefault="002A5D3B" w:rsidP="002A5D3B">
      <w:r w:rsidRPr="005142DA">
        <w:t>Suecia es y ha sido uno de los países más innovadores en el mundo y, e</w:t>
      </w:r>
      <w:r w:rsidR="005142DA" w:rsidRPr="005142DA">
        <w:t>n 2</w:t>
      </w:r>
      <w:r w:rsidRPr="005142DA">
        <w:t>016, obtuvo la segunda posición en el Índice Mundial de Innovación.</w:t>
      </w:r>
    </w:p>
    <w:p w:rsidR="00ED5EAC" w:rsidRPr="005142DA" w:rsidRDefault="00ED5EAC" w:rsidP="00D81C04"/>
    <w:p w:rsidR="00ED5EAC" w:rsidRPr="005142DA" w:rsidRDefault="002A5D3B" w:rsidP="002433B6">
      <w:r w:rsidRPr="005142DA">
        <w:t>En los países escandinavos hay una gran demanda de servicios locales prestados en idiomas locales.</w:t>
      </w:r>
      <w:r w:rsidR="00D81C04" w:rsidRPr="005142DA">
        <w:t xml:space="preserve">  </w:t>
      </w:r>
      <w:r w:rsidR="002433B6" w:rsidRPr="005142DA">
        <w:t>El sueco, el danés, el finlandés y el noruego son los idiomas más utilizados para la presentación de solicitudes, aparte de los idiomas de publicación.</w:t>
      </w:r>
      <w:r w:rsidR="00D81C04" w:rsidRPr="005142DA">
        <w:t xml:space="preserve">  </w:t>
      </w:r>
      <w:r w:rsidR="002433B6" w:rsidRPr="005142DA">
        <w:t>La PRV sigue siendo la ISA elegida por un número considerable de solicitantes de la región, en particular, de Dinamarca, Finlandia, Noruega y Suecia.</w:t>
      </w:r>
    </w:p>
    <w:p w:rsidR="00ED5EAC" w:rsidRPr="005142DA" w:rsidRDefault="00D81C04" w:rsidP="00D81C04">
      <w:r w:rsidRPr="005142DA">
        <w:t> </w:t>
      </w:r>
    </w:p>
    <w:p w:rsidR="00ED5EAC" w:rsidRPr="005142DA" w:rsidRDefault="00B72BED" w:rsidP="00B72BED">
      <w:r w:rsidRPr="005142DA">
        <w:t>La posición de la Oficina como A</w:t>
      </w:r>
      <w:r w:rsidR="0082580A">
        <w:t>dministración</w:t>
      </w:r>
      <w:r w:rsidRPr="005142DA">
        <w:t xml:space="preserve"> internacional se complementa con las actividades de información y formación en materia de patentes mencionadas en la Secció</w:t>
      </w:r>
      <w:r w:rsidR="005142DA" w:rsidRPr="005142DA">
        <w:t>n 5</w:t>
      </w:r>
      <w:r w:rsidRPr="005142DA">
        <w:t>.</w:t>
      </w:r>
    </w:p>
    <w:p w:rsidR="00ED5EAC" w:rsidRPr="005142DA" w:rsidRDefault="0082580A" w:rsidP="00B72BED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>
        <w:rPr>
          <w:rFonts w:eastAsia="Times New Roman"/>
          <w:b/>
          <w:bCs/>
          <w:caps/>
          <w:kern w:val="32"/>
          <w:szCs w:val="22"/>
        </w:rPr>
        <w:t>5 – ESTADO SOLICITANTE</w:t>
      </w:r>
    </w:p>
    <w:p w:rsidR="00ED5EAC" w:rsidRPr="005142DA" w:rsidRDefault="00B72BED" w:rsidP="00B72BED">
      <w:pPr>
        <w:rPr>
          <w:b/>
          <w:bCs/>
          <w:szCs w:val="22"/>
        </w:rPr>
      </w:pPr>
      <w:r w:rsidRPr="005142DA">
        <w:rPr>
          <w:b/>
          <w:bCs/>
          <w:szCs w:val="22"/>
        </w:rPr>
        <w:t>Ubicación regional</w:t>
      </w:r>
    </w:p>
    <w:p w:rsidR="00ED5EAC" w:rsidRPr="005142DA" w:rsidRDefault="00ED5EAC" w:rsidP="00D81C04"/>
    <w:p w:rsidR="00ED5EAC" w:rsidRPr="005142DA" w:rsidRDefault="00D81C04" w:rsidP="00D81C04">
      <w:pPr>
        <w:jc w:val="center"/>
      </w:pPr>
      <w:r w:rsidRPr="005142DA">
        <w:rPr>
          <w:noProof/>
          <w:lang w:val="en-US" w:eastAsia="en-US"/>
        </w:rPr>
        <w:drawing>
          <wp:inline distT="0" distB="0" distL="0" distR="0" wp14:anchorId="5AD408C6" wp14:editId="13616ED2">
            <wp:extent cx="3784600" cy="2672080"/>
            <wp:effectExtent l="0" t="0" r="6350" b="0"/>
            <wp:docPr id="2" name="Bild 2" descr="https://upload.wikimedia.org/wikipedia/commons/thumb/0/06/EU-Sweden.svg/250px-EU-Sweden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https://upload.wikimedia.org/wikipedia/commons/thumb/0/06/EU-Sweden.svg/250px-EU-Sweden.sv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AC" w:rsidRPr="005142DA" w:rsidRDefault="00B72BED" w:rsidP="00B72BED">
      <w:pPr>
        <w:jc w:val="center"/>
        <w:rPr>
          <w:rFonts w:eastAsia="Times New Roman"/>
          <w:i/>
          <w:iCs/>
          <w:szCs w:val="22"/>
        </w:rPr>
      </w:pPr>
      <w:r w:rsidRPr="005142DA">
        <w:rPr>
          <w:rFonts w:eastAsia="Times New Roman"/>
          <w:i/>
          <w:iCs/>
          <w:szCs w:val="22"/>
        </w:rPr>
        <w:t>[Mapa de Suecia y Estados vecinos]</w:t>
      </w:r>
    </w:p>
    <w:p w:rsidR="00ED5EAC" w:rsidRPr="005142DA" w:rsidRDefault="00ED5EAC" w:rsidP="00D81C04"/>
    <w:p w:rsidR="00ED5EAC" w:rsidRPr="005142DA" w:rsidRDefault="00B72BED" w:rsidP="00B72BED">
      <w:pPr>
        <w:rPr>
          <w:szCs w:val="22"/>
        </w:rPr>
      </w:pPr>
      <w:r w:rsidRPr="005142DA">
        <w:rPr>
          <w:b/>
          <w:szCs w:val="22"/>
        </w:rPr>
        <w:t>Pertenencia a organizaciones regionales:</w:t>
      </w:r>
      <w:r w:rsidR="00D81C04" w:rsidRPr="005142DA">
        <w:rPr>
          <w:szCs w:val="22"/>
        </w:rPr>
        <w:t xml:space="preserve">  </w:t>
      </w:r>
    </w:p>
    <w:p w:rsidR="00ED5EAC" w:rsidRPr="005142DA" w:rsidRDefault="00D950B7" w:rsidP="00D950B7">
      <w:r w:rsidRPr="005142DA">
        <w:t>La Unión Europea, el Convenio sobre la Patente Europea y la Oficina de Propiedad Intelectual de la Unión Europea.</w:t>
      </w:r>
    </w:p>
    <w:p w:rsidR="00ED5EAC" w:rsidRPr="005142DA" w:rsidRDefault="00ED5EAC" w:rsidP="00D81C04"/>
    <w:p w:rsidR="00ED5EAC" w:rsidRPr="005142DA" w:rsidRDefault="00D950B7" w:rsidP="00D950B7">
      <w:pPr>
        <w:rPr>
          <w:szCs w:val="22"/>
        </w:rPr>
      </w:pPr>
      <w:r w:rsidRPr="005142DA">
        <w:rPr>
          <w:b/>
          <w:szCs w:val="22"/>
        </w:rPr>
        <w:t>Población</w:t>
      </w:r>
      <w:r w:rsidRPr="005142DA">
        <w:rPr>
          <w:szCs w:val="22"/>
        </w:rPr>
        <w:t>:</w:t>
      </w:r>
      <w:r w:rsidR="00D81C04" w:rsidRPr="005142DA">
        <w:rPr>
          <w:szCs w:val="22"/>
        </w:rPr>
        <w:t xml:space="preserve">  </w:t>
      </w:r>
    </w:p>
    <w:p w:rsidR="00ED5EAC" w:rsidRPr="005142DA" w:rsidRDefault="00D950B7" w:rsidP="00D950B7">
      <w:r w:rsidRPr="005142DA">
        <w:t>Más d</w:t>
      </w:r>
      <w:r w:rsidR="005142DA" w:rsidRPr="005142DA">
        <w:t>e 1</w:t>
      </w:r>
      <w:r w:rsidRPr="005142DA">
        <w:t>0 millones (2017)</w:t>
      </w:r>
      <w:r w:rsidR="0054221E" w:rsidRPr="005142DA">
        <w:t>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D950B7" w:rsidP="00E5490D">
      <w:pPr>
        <w:keepNext/>
        <w:rPr>
          <w:b/>
          <w:bCs/>
          <w:szCs w:val="22"/>
        </w:rPr>
      </w:pPr>
      <w:r w:rsidRPr="005142DA">
        <w:rPr>
          <w:b/>
          <w:bCs/>
          <w:szCs w:val="22"/>
        </w:rPr>
        <w:lastRenderedPageBreak/>
        <w:t>PIB per cápita</w:t>
      </w:r>
      <w:r w:rsidRPr="005142DA">
        <w:rPr>
          <w:bCs/>
          <w:szCs w:val="22"/>
        </w:rPr>
        <w:t>:</w:t>
      </w:r>
      <w:r w:rsidR="00D81C04" w:rsidRPr="005142DA">
        <w:rPr>
          <w:b/>
          <w:bCs/>
          <w:szCs w:val="22"/>
        </w:rPr>
        <w:t xml:space="preserve">  </w:t>
      </w:r>
    </w:p>
    <w:p w:rsidR="00ED5EAC" w:rsidRPr="005142DA" w:rsidRDefault="00D950B7" w:rsidP="00E5490D">
      <w:pPr>
        <w:keepNext/>
        <w:rPr>
          <w:bCs/>
        </w:rPr>
      </w:pPr>
      <w:r w:rsidRPr="005142DA">
        <w:rPr>
          <w:bCs/>
        </w:rPr>
        <w:t>424.400 coronas suecas</w:t>
      </w:r>
      <w:r w:rsidR="005142DA" w:rsidRPr="005142DA">
        <w:rPr>
          <w:bCs/>
        </w:rPr>
        <w:t>;  4</w:t>
      </w:r>
      <w:r w:rsidRPr="005142DA">
        <w:rPr>
          <w:bCs/>
        </w:rPr>
        <w:t>4.761 euros</w:t>
      </w:r>
      <w:r w:rsidR="005142DA" w:rsidRPr="005142DA">
        <w:rPr>
          <w:bCs/>
        </w:rPr>
        <w:t>;  4</w:t>
      </w:r>
      <w:r w:rsidRPr="005142DA">
        <w:rPr>
          <w:bCs/>
        </w:rPr>
        <w:t>7.395 dólares de los Estados Unidos.</w:t>
      </w:r>
    </w:p>
    <w:p w:rsidR="00ED5EAC" w:rsidRPr="005142DA" w:rsidRDefault="00ED5EAC" w:rsidP="00D81C04">
      <w:pPr>
        <w:rPr>
          <w:bCs/>
        </w:rPr>
      </w:pPr>
    </w:p>
    <w:p w:rsidR="00ED5EAC" w:rsidRPr="005142DA" w:rsidRDefault="00D950B7" w:rsidP="00D950B7">
      <w:pPr>
        <w:rPr>
          <w:szCs w:val="22"/>
        </w:rPr>
      </w:pPr>
      <w:r w:rsidRPr="005142DA">
        <w:rPr>
          <w:b/>
          <w:szCs w:val="22"/>
        </w:rPr>
        <w:t xml:space="preserve">Gasto </w:t>
      </w:r>
      <w:r w:rsidR="00C1119D" w:rsidRPr="005142DA">
        <w:rPr>
          <w:b/>
          <w:szCs w:val="22"/>
        </w:rPr>
        <w:t xml:space="preserve">nacional </w:t>
      </w:r>
      <w:r w:rsidR="00587230" w:rsidRPr="005142DA">
        <w:rPr>
          <w:b/>
          <w:szCs w:val="22"/>
        </w:rPr>
        <w:t xml:space="preserve">estimado </w:t>
      </w:r>
      <w:r w:rsidRPr="005142DA">
        <w:rPr>
          <w:b/>
          <w:szCs w:val="22"/>
        </w:rPr>
        <w:t>en I+D (% del PIB):</w:t>
      </w:r>
      <w:r w:rsidR="00D81C04" w:rsidRPr="005142DA">
        <w:rPr>
          <w:szCs w:val="22"/>
        </w:rPr>
        <w:t xml:space="preserve">  </w:t>
      </w:r>
    </w:p>
    <w:p w:rsidR="00ED5EAC" w:rsidRPr="005142DA" w:rsidRDefault="00D950B7" w:rsidP="00D950B7">
      <w:pPr>
        <w:rPr>
          <w:bCs/>
        </w:rPr>
      </w:pPr>
      <w:r w:rsidRPr="005142DA">
        <w:rPr>
          <w:bCs/>
        </w:rPr>
        <w:t>3,31 (2013)</w:t>
      </w:r>
      <w:r w:rsidR="0054221E" w:rsidRPr="005142DA">
        <w:rPr>
          <w:bCs/>
        </w:rPr>
        <w:t>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D950B7" w:rsidP="00D950B7">
      <w:pPr>
        <w:rPr>
          <w:b/>
          <w:bCs/>
          <w:szCs w:val="22"/>
        </w:rPr>
      </w:pPr>
      <w:r w:rsidRPr="005142DA">
        <w:rPr>
          <w:b/>
          <w:bCs/>
          <w:szCs w:val="22"/>
        </w:rPr>
        <w:t>Número de universidades dedicadas a la investigación:</w:t>
      </w:r>
      <w:r w:rsidR="00D81C04" w:rsidRPr="005142DA">
        <w:rPr>
          <w:b/>
          <w:bCs/>
          <w:szCs w:val="22"/>
        </w:rPr>
        <w:t xml:space="preserve">  </w:t>
      </w:r>
    </w:p>
    <w:p w:rsidR="00ED5EAC" w:rsidRPr="005142DA" w:rsidRDefault="00D950B7" w:rsidP="00D950B7">
      <w:pPr>
        <w:rPr>
          <w:bCs/>
        </w:rPr>
      </w:pPr>
      <w:r w:rsidRPr="005142DA">
        <w:rPr>
          <w:bCs/>
        </w:rPr>
        <w:t>28 universidades</w:t>
      </w:r>
      <w:r w:rsidR="0054221E" w:rsidRPr="005142DA">
        <w:rPr>
          <w:bCs/>
        </w:rPr>
        <w:t>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18782A" w:rsidP="0018782A">
      <w:pPr>
        <w:rPr>
          <w:b/>
          <w:bCs/>
          <w:szCs w:val="22"/>
        </w:rPr>
      </w:pPr>
      <w:r w:rsidRPr="005142DA">
        <w:rPr>
          <w:b/>
          <w:bCs/>
          <w:szCs w:val="22"/>
        </w:rPr>
        <w:t>Breve descripción de la red nacional de información sobre patentes (por ejemplo, bibliotecas especializadas en patentes o centros de apoyo a la tecnología y a la innovación):</w:t>
      </w:r>
      <w:r w:rsidR="00D81C04" w:rsidRPr="005142DA">
        <w:rPr>
          <w:b/>
          <w:bCs/>
          <w:szCs w:val="22"/>
        </w:rPr>
        <w:t xml:space="preserve">  </w:t>
      </w:r>
    </w:p>
    <w:p w:rsidR="00ED5EAC" w:rsidRPr="005142DA" w:rsidRDefault="00ED5EAC" w:rsidP="00D81C04">
      <w:pPr>
        <w:rPr>
          <w:b/>
          <w:bCs/>
          <w:szCs w:val="22"/>
        </w:rPr>
      </w:pPr>
    </w:p>
    <w:p w:rsidR="00544744" w:rsidRPr="005142DA" w:rsidRDefault="0018782A" w:rsidP="0018782A">
      <w:pPr>
        <w:rPr>
          <w:szCs w:val="22"/>
          <w:lang w:eastAsia="en-US"/>
        </w:rPr>
      </w:pPr>
      <w:r w:rsidRPr="005142DA">
        <w:rPr>
          <w:szCs w:val="22"/>
          <w:lang w:eastAsia="en-US"/>
        </w:rPr>
        <w:t>La PRV difunde de diferentes maneras la información relativa a las patentes y la propiedad intelectual.</w:t>
      </w:r>
      <w:r w:rsidR="00D81C04" w:rsidRPr="005142DA">
        <w:rPr>
          <w:szCs w:val="22"/>
          <w:lang w:eastAsia="en-US"/>
        </w:rPr>
        <w:t xml:space="preserve">  </w:t>
      </w:r>
      <w:r w:rsidRPr="005142DA">
        <w:rPr>
          <w:szCs w:val="22"/>
          <w:lang w:eastAsia="en-US"/>
        </w:rPr>
        <w:t>La estrategia de asesoramiento a los empre</w:t>
      </w:r>
      <w:r w:rsidR="00210198">
        <w:rPr>
          <w:szCs w:val="22"/>
          <w:lang w:eastAsia="en-US"/>
        </w:rPr>
        <w:t>sarios</w:t>
      </w:r>
      <w:r w:rsidRPr="005142DA">
        <w:rPr>
          <w:szCs w:val="22"/>
          <w:lang w:eastAsia="en-US"/>
        </w:rPr>
        <w:t xml:space="preserve"> y las pymes consiste en combinar el acceso a la valiosa información que está disponible en las plataformas digitales con reuniones personales, y también en recurrir a intermediarios como las diferentes organizaciones públicas de asesoramiento</w:t>
      </w:r>
      <w:r w:rsidR="00544744" w:rsidRPr="005142DA">
        <w:rPr>
          <w:szCs w:val="22"/>
          <w:lang w:eastAsia="en-US"/>
        </w:rPr>
        <w:t>.</w:t>
      </w:r>
    </w:p>
    <w:p w:rsidR="00ED5EAC" w:rsidRPr="005142DA" w:rsidRDefault="00ED5EAC" w:rsidP="00D81C04">
      <w:pPr>
        <w:rPr>
          <w:szCs w:val="22"/>
          <w:lang w:eastAsia="en-US"/>
        </w:rPr>
      </w:pPr>
    </w:p>
    <w:p w:rsidR="00544744" w:rsidRPr="005142DA" w:rsidRDefault="0018782A" w:rsidP="0018782A">
      <w:pPr>
        <w:rPr>
          <w:szCs w:val="22"/>
          <w:lang w:eastAsia="en-US"/>
        </w:rPr>
      </w:pPr>
      <w:r w:rsidRPr="005142DA">
        <w:rPr>
          <w:szCs w:val="22"/>
          <w:lang w:eastAsia="en-US"/>
        </w:rPr>
        <w:t>Tanto el sitio web de la PRV como el sitio web verksamt.se funcionan como plataformas digitales para la difusión de información.</w:t>
      </w:r>
      <w:r w:rsidR="00D81C04" w:rsidRPr="005142DA">
        <w:rPr>
          <w:szCs w:val="22"/>
          <w:lang w:eastAsia="en-US"/>
        </w:rPr>
        <w:t xml:space="preserve">  </w:t>
      </w:r>
      <w:r w:rsidRPr="005142DA">
        <w:rPr>
          <w:szCs w:val="22"/>
          <w:lang w:eastAsia="en-US"/>
        </w:rPr>
        <w:t>Verksamt.se es un portal creado por una red de organismos suecos de apoyo a la innovación con el objetivo de proporcionar, en una plataforma común, toda la información necesaria para crear, desarrollar y dirigir una empresa.</w:t>
      </w:r>
      <w:r w:rsidR="00D81C04" w:rsidRPr="005142DA">
        <w:rPr>
          <w:szCs w:val="22"/>
          <w:lang w:eastAsia="en-US"/>
        </w:rPr>
        <w:t xml:space="preserve">  </w:t>
      </w:r>
      <w:r w:rsidRPr="005142DA">
        <w:rPr>
          <w:szCs w:val="22"/>
          <w:lang w:eastAsia="en-US"/>
        </w:rPr>
        <w:t xml:space="preserve">La contribución de la PRV a esta red ha consistido en velar por que la información sobre propiedad intelectual </w:t>
      </w:r>
      <w:r w:rsidR="009934B1" w:rsidRPr="005142DA">
        <w:rPr>
          <w:szCs w:val="22"/>
          <w:lang w:eastAsia="en-US"/>
        </w:rPr>
        <w:t>esté</w:t>
      </w:r>
      <w:r w:rsidRPr="005142DA">
        <w:rPr>
          <w:szCs w:val="22"/>
          <w:lang w:eastAsia="en-US"/>
        </w:rPr>
        <w:t xml:space="preserve"> disponible en un contexto pertinente</w:t>
      </w:r>
      <w:r w:rsidR="00544744" w:rsidRPr="005142DA">
        <w:rPr>
          <w:szCs w:val="22"/>
          <w:lang w:eastAsia="en-US"/>
        </w:rPr>
        <w:t>.</w:t>
      </w:r>
    </w:p>
    <w:p w:rsidR="00ED5EAC" w:rsidRPr="005142DA" w:rsidRDefault="00ED5EAC" w:rsidP="00D81C04">
      <w:pPr>
        <w:rPr>
          <w:szCs w:val="22"/>
          <w:lang w:eastAsia="en-US"/>
        </w:rPr>
      </w:pPr>
    </w:p>
    <w:p w:rsidR="00544744" w:rsidRPr="005142DA" w:rsidRDefault="0018782A" w:rsidP="0018782A">
      <w:pPr>
        <w:rPr>
          <w:szCs w:val="22"/>
          <w:lang w:eastAsia="en-US"/>
        </w:rPr>
      </w:pPr>
      <w:r w:rsidRPr="005142DA">
        <w:rPr>
          <w:szCs w:val="22"/>
          <w:lang w:eastAsia="en-US"/>
        </w:rPr>
        <w:t>Con el fin de crear oportunidades para la celebración de reuniones personales, la PRV participa regularmente en los días regionales y locales de la innovación que se organizan en toda Suecia y ofrece información sobre la propiedad intelectual</w:t>
      </w:r>
      <w:r w:rsidR="00544744" w:rsidRPr="005142DA">
        <w:rPr>
          <w:szCs w:val="22"/>
          <w:lang w:eastAsia="en-US"/>
        </w:rPr>
        <w:t>.</w:t>
      </w:r>
    </w:p>
    <w:p w:rsidR="00ED5EAC" w:rsidRPr="005142DA" w:rsidRDefault="00ED5EAC" w:rsidP="00D81C04">
      <w:pPr>
        <w:rPr>
          <w:szCs w:val="22"/>
          <w:lang w:eastAsia="en-US"/>
        </w:rPr>
      </w:pPr>
    </w:p>
    <w:p w:rsidR="00ED5EAC" w:rsidRPr="005142DA" w:rsidRDefault="0018782A" w:rsidP="0018782A">
      <w:pPr>
        <w:rPr>
          <w:szCs w:val="22"/>
          <w:lang w:eastAsia="en-US"/>
        </w:rPr>
      </w:pPr>
      <w:r w:rsidRPr="005142DA">
        <w:rPr>
          <w:szCs w:val="22"/>
          <w:lang w:eastAsia="en-US"/>
        </w:rPr>
        <w:t>La red de organismos de apoyo a la innovación (mencionada anteriormente) también participa en los días de la innovación, actos muy concurridos en los que la información sobre propiedad intelectual ocupa un lugar destacado.</w:t>
      </w:r>
      <w:r w:rsidR="007F653B" w:rsidRPr="005142DA">
        <w:rPr>
          <w:szCs w:val="22"/>
          <w:lang w:eastAsia="en-US"/>
        </w:rPr>
        <w:t xml:space="preserve"> </w:t>
      </w:r>
      <w:r w:rsidR="00D81C04" w:rsidRPr="005142DA">
        <w:rPr>
          <w:szCs w:val="22"/>
          <w:lang w:eastAsia="en-US"/>
        </w:rPr>
        <w:t xml:space="preserve"> </w:t>
      </w:r>
      <w:r w:rsidRPr="005142DA">
        <w:rPr>
          <w:szCs w:val="22"/>
          <w:lang w:eastAsia="en-US"/>
        </w:rPr>
        <w:t>E</w:t>
      </w:r>
      <w:r w:rsidR="005142DA" w:rsidRPr="005142DA">
        <w:rPr>
          <w:szCs w:val="22"/>
          <w:lang w:eastAsia="en-US"/>
        </w:rPr>
        <w:t>n 2</w:t>
      </w:r>
      <w:r w:rsidRPr="005142DA">
        <w:rPr>
          <w:szCs w:val="22"/>
          <w:lang w:eastAsia="en-US"/>
        </w:rPr>
        <w:t>016, en el marco de la estrategia del Gobierno de Suecia en materia de exportación, se establecieron seis centros regionales de exportación.</w:t>
      </w:r>
      <w:r w:rsidR="00D81C04" w:rsidRPr="005142DA">
        <w:rPr>
          <w:szCs w:val="22"/>
          <w:lang w:eastAsia="en-US"/>
        </w:rPr>
        <w:t xml:space="preserve">  </w:t>
      </w:r>
      <w:r w:rsidRPr="005142DA">
        <w:rPr>
          <w:szCs w:val="22"/>
          <w:lang w:eastAsia="en-US"/>
        </w:rPr>
        <w:t>La PRV es un organismo nacional que forma parte de esta red de centros orientados a ofrecer información y asesoramiento en materia de P.I.</w:t>
      </w:r>
    </w:p>
    <w:p w:rsidR="00ED5EAC" w:rsidRPr="005142DA" w:rsidRDefault="00ED5EAC" w:rsidP="00D81C04">
      <w:pPr>
        <w:rPr>
          <w:szCs w:val="22"/>
          <w:lang w:eastAsia="en-US"/>
        </w:rPr>
      </w:pPr>
    </w:p>
    <w:p w:rsidR="00544744" w:rsidRPr="005142DA" w:rsidRDefault="0018782A" w:rsidP="0018782A">
      <w:pPr>
        <w:rPr>
          <w:szCs w:val="22"/>
          <w:lang w:eastAsia="en-US"/>
        </w:rPr>
      </w:pPr>
      <w:r w:rsidRPr="005142DA">
        <w:rPr>
          <w:szCs w:val="22"/>
          <w:lang w:eastAsia="en-US"/>
        </w:rPr>
        <w:t>La PRV también ha establecido una red de intermediarios y organiza periódicamente cursos de formación y seminarios para estas organizaciones.</w:t>
      </w:r>
      <w:r w:rsidR="00D81C04" w:rsidRPr="005142DA">
        <w:rPr>
          <w:szCs w:val="22"/>
          <w:lang w:eastAsia="en-US"/>
        </w:rPr>
        <w:t xml:space="preserve">  </w:t>
      </w:r>
      <w:r w:rsidRPr="005142DA">
        <w:rPr>
          <w:szCs w:val="22"/>
          <w:lang w:eastAsia="en-US"/>
        </w:rPr>
        <w:t>Por ejemplo, en colaboración con la Agencia Sueca para la Innovación, difunde desd</w:t>
      </w:r>
      <w:r w:rsidR="005142DA" w:rsidRPr="005142DA">
        <w:rPr>
          <w:szCs w:val="22"/>
          <w:lang w:eastAsia="en-US"/>
        </w:rPr>
        <w:t>e 2</w:t>
      </w:r>
      <w:r w:rsidRPr="005142DA">
        <w:rPr>
          <w:szCs w:val="22"/>
          <w:lang w:eastAsia="en-US"/>
        </w:rPr>
        <w:t>013 seminarios a través de Internet sobre diversos temas relacionados con la P.I., con una frecuencia d</w:t>
      </w:r>
      <w:r w:rsidR="005142DA" w:rsidRPr="005142DA">
        <w:rPr>
          <w:szCs w:val="22"/>
          <w:lang w:eastAsia="en-US"/>
        </w:rPr>
        <w:t>e 2</w:t>
      </w:r>
      <w:r w:rsidRPr="005142DA">
        <w:rPr>
          <w:szCs w:val="22"/>
          <w:lang w:eastAsia="en-US"/>
        </w:rPr>
        <w:t xml:space="preserve"> </w:t>
      </w:r>
      <w:r w:rsidR="005142DA" w:rsidRPr="005142DA">
        <w:rPr>
          <w:szCs w:val="22"/>
          <w:lang w:eastAsia="en-US"/>
        </w:rPr>
        <w:t>a 4</w:t>
      </w:r>
      <w:r w:rsidRPr="005142DA">
        <w:rPr>
          <w:szCs w:val="22"/>
          <w:lang w:eastAsia="en-US"/>
        </w:rPr>
        <w:t xml:space="preserve"> veces al año.</w:t>
      </w:r>
      <w:r w:rsidR="00D81C04" w:rsidRPr="005142DA">
        <w:rPr>
          <w:szCs w:val="22"/>
          <w:lang w:eastAsia="en-US"/>
        </w:rPr>
        <w:t xml:space="preserve">  </w:t>
      </w:r>
      <w:r w:rsidRPr="005142DA">
        <w:rPr>
          <w:szCs w:val="22"/>
          <w:lang w:eastAsia="en-US"/>
        </w:rPr>
        <w:t>Estos seminarios también se difunden a través del sitio web de la PRV y pueden consultarse posteriormente</w:t>
      </w:r>
      <w:r w:rsidR="00544744" w:rsidRPr="005142DA">
        <w:rPr>
          <w:szCs w:val="22"/>
          <w:lang w:eastAsia="en-US"/>
        </w:rPr>
        <w:t>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18782A" w:rsidP="0018782A">
      <w:pPr>
        <w:rPr>
          <w:szCs w:val="22"/>
        </w:rPr>
      </w:pPr>
      <w:r w:rsidRPr="005142DA">
        <w:rPr>
          <w:b/>
          <w:szCs w:val="22"/>
        </w:rPr>
        <w:t>Industrias principales:</w:t>
      </w:r>
      <w:r w:rsidR="00D81C04" w:rsidRPr="005142DA">
        <w:rPr>
          <w:szCs w:val="22"/>
        </w:rPr>
        <w:t xml:space="preserve"> 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8F5C87" w:rsidP="00D81C04">
      <w:pPr>
        <w:rPr>
          <w:szCs w:val="22"/>
        </w:rPr>
      </w:pPr>
      <w:r w:rsidRPr="005142DA">
        <w:rPr>
          <w:szCs w:val="22"/>
        </w:rPr>
        <w:t xml:space="preserve">La economía de Suecia es una economía desarrollada orientada a la exportación, en la que destacan </w:t>
      </w:r>
      <w:r w:rsidR="00B8744A" w:rsidRPr="005142DA">
        <w:rPr>
          <w:szCs w:val="22"/>
        </w:rPr>
        <w:t xml:space="preserve">la madera, la </w:t>
      </w:r>
      <w:r w:rsidRPr="005142DA">
        <w:rPr>
          <w:szCs w:val="22"/>
        </w:rPr>
        <w:t xml:space="preserve">energía hidroeléctrica y </w:t>
      </w:r>
      <w:r w:rsidR="00B8744A" w:rsidRPr="005142DA">
        <w:rPr>
          <w:szCs w:val="22"/>
        </w:rPr>
        <w:t xml:space="preserve">el </w:t>
      </w:r>
      <w:r w:rsidRPr="005142DA">
        <w:rPr>
          <w:szCs w:val="22"/>
        </w:rPr>
        <w:t>mineral de hierro,</w:t>
      </w:r>
      <w:r w:rsidR="00D81C04" w:rsidRPr="005142DA">
        <w:rPr>
          <w:szCs w:val="22"/>
        </w:rPr>
        <w:t xml:space="preserve"> </w:t>
      </w:r>
      <w:r w:rsidRPr="005142DA">
        <w:rPr>
          <w:szCs w:val="22"/>
        </w:rPr>
        <w:t>recursos naturales de una economía orientada hacia el comercio exterior.</w:t>
      </w:r>
      <w:r w:rsidR="00D81C04" w:rsidRPr="005142DA">
        <w:rPr>
          <w:szCs w:val="22"/>
        </w:rPr>
        <w:t xml:space="preserve">  </w:t>
      </w:r>
      <w:r w:rsidR="002D4E6B" w:rsidRPr="005142DA">
        <w:rPr>
          <w:szCs w:val="22"/>
        </w:rPr>
        <w:t xml:space="preserve">Las principales industrias incluyen la </w:t>
      </w:r>
      <w:r w:rsidR="00587230" w:rsidRPr="005142DA">
        <w:rPr>
          <w:szCs w:val="22"/>
        </w:rPr>
        <w:t xml:space="preserve">fabricación </w:t>
      </w:r>
      <w:r w:rsidR="002D4E6B" w:rsidRPr="005142DA">
        <w:rPr>
          <w:szCs w:val="22"/>
        </w:rPr>
        <w:t>de vehículos de motor, las telecomunicaciones, la industria farmacéutica, la producción de máquinas industriales, equipos de precisión, productos químicos, artículos para el hogar y electrodomésticos, la explotación forestal y la industria siderúrgica.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835804" w:rsidP="009E4B43">
      <w:pPr>
        <w:keepNext/>
        <w:rPr>
          <w:b/>
        </w:rPr>
      </w:pPr>
      <w:r w:rsidRPr="005142DA">
        <w:rPr>
          <w:b/>
        </w:rPr>
        <w:lastRenderedPageBreak/>
        <w:t>Principales Estados con los que comercia el país (lo</w:t>
      </w:r>
      <w:r w:rsidR="005142DA" w:rsidRPr="005142DA">
        <w:rPr>
          <w:b/>
        </w:rPr>
        <w:t>s 1</w:t>
      </w:r>
      <w:r w:rsidRPr="005142DA">
        <w:rPr>
          <w:b/>
        </w:rPr>
        <w:t xml:space="preserve">0 primeros </w:t>
      </w:r>
      <w:r w:rsidR="00587230" w:rsidRPr="005142DA">
        <w:rPr>
          <w:b/>
        </w:rPr>
        <w:t>d</w:t>
      </w:r>
      <w:r w:rsidR="005142DA" w:rsidRPr="005142DA">
        <w:rPr>
          <w:b/>
        </w:rPr>
        <w:t>e 2</w:t>
      </w:r>
      <w:r w:rsidRPr="005142DA">
        <w:rPr>
          <w:b/>
        </w:rPr>
        <w:t>015, en orden descendente según el valor de los bienes exportados):</w:t>
      </w:r>
      <w:r w:rsidR="002D4E6B" w:rsidRPr="005142DA">
        <w:rPr>
          <w:b/>
        </w:rPr>
        <w:t xml:space="preserve">  </w:t>
      </w:r>
    </w:p>
    <w:p w:rsidR="00ED5EAC" w:rsidRPr="005142DA" w:rsidRDefault="00ED5EAC" w:rsidP="009E4B43">
      <w:pPr>
        <w:keepNext/>
      </w:pPr>
    </w:p>
    <w:p w:rsidR="00ED5EAC" w:rsidRPr="005142DA" w:rsidRDefault="00835804" w:rsidP="009E4B43">
      <w:pPr>
        <w:keepNext/>
      </w:pPr>
      <w:r w:rsidRPr="005142DA">
        <w:t>Noruega</w:t>
      </w:r>
    </w:p>
    <w:p w:rsidR="00ED5EAC" w:rsidRPr="005142DA" w:rsidRDefault="00835804" w:rsidP="009E4B43">
      <w:pPr>
        <w:keepNext/>
      </w:pPr>
      <w:r w:rsidRPr="005142DA">
        <w:t>Alemania</w:t>
      </w:r>
    </w:p>
    <w:p w:rsidR="00ED5EAC" w:rsidRPr="005142DA" w:rsidRDefault="00835804" w:rsidP="00835804">
      <w:r w:rsidRPr="005142DA">
        <w:t>Estados Unidos de América</w:t>
      </w:r>
    </w:p>
    <w:p w:rsidR="00ED5EAC" w:rsidRPr="005142DA" w:rsidRDefault="00835804" w:rsidP="00835804">
      <w:r w:rsidRPr="005142DA">
        <w:t>Reino Unido</w:t>
      </w:r>
    </w:p>
    <w:p w:rsidR="00ED5EAC" w:rsidRPr="005142DA" w:rsidRDefault="00835804" w:rsidP="00835804">
      <w:r w:rsidRPr="005142DA">
        <w:t>Dinamarca</w:t>
      </w:r>
    </w:p>
    <w:p w:rsidR="00ED5EAC" w:rsidRPr="005142DA" w:rsidRDefault="00835804" w:rsidP="00835804">
      <w:r w:rsidRPr="005142DA">
        <w:t>Finlandia</w:t>
      </w:r>
    </w:p>
    <w:p w:rsidR="00ED5EAC" w:rsidRPr="005142DA" w:rsidRDefault="00212D2D" w:rsidP="00212D2D">
      <w:r w:rsidRPr="005142DA">
        <w:t>Países Bajos</w:t>
      </w:r>
    </w:p>
    <w:p w:rsidR="00ED5EAC" w:rsidRPr="005142DA" w:rsidRDefault="00212D2D" w:rsidP="00212D2D">
      <w:r w:rsidRPr="005142DA">
        <w:t>Bélgica</w:t>
      </w:r>
    </w:p>
    <w:p w:rsidR="00ED5EAC" w:rsidRPr="005142DA" w:rsidRDefault="00212D2D" w:rsidP="00212D2D">
      <w:r w:rsidRPr="005142DA">
        <w:t>Francia</w:t>
      </w:r>
      <w:r w:rsidR="00D81C04" w:rsidRPr="005142DA">
        <w:t xml:space="preserve"> </w:t>
      </w:r>
    </w:p>
    <w:p w:rsidR="00ED5EAC" w:rsidRPr="005142DA" w:rsidRDefault="00212D2D" w:rsidP="00212D2D">
      <w:r w:rsidRPr="005142DA">
        <w:t>China</w:t>
      </w:r>
    </w:p>
    <w:p w:rsidR="00ED5EAC" w:rsidRPr="005142DA" w:rsidRDefault="00212D2D" w:rsidP="00212D2D">
      <w:pPr>
        <w:keepNext/>
        <w:keepLines/>
        <w:pBdr>
          <w:top w:val="single" w:sz="4" w:space="0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  <w:u w:val="single"/>
        </w:rPr>
        <w:t>6 – PERFIL DE LAS SOLICITUDES DE PATENTE</w:t>
      </w:r>
    </w:p>
    <w:p w:rsidR="00ED5EAC" w:rsidRPr="005142DA" w:rsidRDefault="00ED5EAC" w:rsidP="00D81C04">
      <w:pPr>
        <w:keepNext/>
        <w:keepLines/>
        <w:rPr>
          <w:b/>
          <w:bCs/>
          <w:szCs w:val="22"/>
        </w:rPr>
      </w:pPr>
    </w:p>
    <w:p w:rsidR="00ED5EAC" w:rsidRPr="005142DA" w:rsidRDefault="00212D2D" w:rsidP="00212D2D">
      <w:pPr>
        <w:keepNext/>
        <w:keepLines/>
        <w:rPr>
          <w:b/>
          <w:bCs/>
          <w:szCs w:val="22"/>
        </w:rPr>
      </w:pPr>
      <w:r w:rsidRPr="005142DA">
        <w:rPr>
          <w:b/>
          <w:bCs/>
          <w:szCs w:val="22"/>
        </w:rPr>
        <w:t>Número de solicitudes</w:t>
      </w:r>
      <w:r w:rsidR="009F0DA3" w:rsidRPr="005142DA">
        <w:rPr>
          <w:b/>
          <w:bCs/>
          <w:szCs w:val="22"/>
        </w:rPr>
        <w:t xml:space="preserve"> </w:t>
      </w:r>
      <w:r w:rsidRPr="005142DA">
        <w:rPr>
          <w:b/>
          <w:bCs/>
          <w:szCs w:val="22"/>
        </w:rPr>
        <w:t>nacional</w:t>
      </w:r>
      <w:r w:rsidR="009F0DA3" w:rsidRPr="005142DA">
        <w:rPr>
          <w:b/>
          <w:bCs/>
          <w:szCs w:val="22"/>
        </w:rPr>
        <w:t>es</w:t>
      </w:r>
      <w:r w:rsidRPr="005142DA">
        <w:rPr>
          <w:b/>
          <w:bCs/>
          <w:szCs w:val="22"/>
        </w:rPr>
        <w:t xml:space="preserve"> recibidas – por campo técnico</w:t>
      </w:r>
    </w:p>
    <w:p w:rsidR="00D81C04" w:rsidRPr="005142DA" w:rsidRDefault="00D81C04" w:rsidP="00D81C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1385"/>
        <w:gridCol w:w="1386"/>
        <w:gridCol w:w="1385"/>
        <w:gridCol w:w="1386"/>
        <w:gridCol w:w="1386"/>
      </w:tblGrid>
      <w:tr w:rsidR="00D81C04" w:rsidRPr="005142DA" w:rsidTr="006E1FC7">
        <w:tc>
          <w:tcPr>
            <w:tcW w:w="2643" w:type="dxa"/>
          </w:tcPr>
          <w:p w:rsidR="00D81C04" w:rsidRPr="005142DA" w:rsidRDefault="00212D2D" w:rsidP="00212D2D">
            <w:pPr>
              <w:jc w:val="center"/>
              <w:rPr>
                <w:b/>
              </w:rPr>
            </w:pPr>
            <w:r w:rsidRPr="005142DA">
              <w:rPr>
                <w:b/>
              </w:rPr>
              <w:t>Campo técnico / Año</w:t>
            </w:r>
          </w:p>
        </w:tc>
        <w:tc>
          <w:tcPr>
            <w:tcW w:w="1385" w:type="dxa"/>
          </w:tcPr>
          <w:p w:rsidR="00D81C04" w:rsidRPr="005142DA" w:rsidRDefault="00212D2D" w:rsidP="00212D2D">
            <w:pPr>
              <w:jc w:val="center"/>
              <w:rPr>
                <w:b/>
              </w:rPr>
            </w:pPr>
            <w:r w:rsidRPr="005142DA">
              <w:rPr>
                <w:b/>
              </w:rPr>
              <w:t>2012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2013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2014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2015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2016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212D2D" w:rsidP="00212D2D">
            <w:r w:rsidRPr="005142DA">
              <w:t>Química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359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400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381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349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330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212D2D" w:rsidP="00212D2D">
            <w:r w:rsidRPr="005142DA">
              <w:t>Ingeniería eléctrica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354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342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324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366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383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D81C04" w:rsidP="00D81C04">
            <w:r w:rsidRPr="005142DA">
              <w:t>Instrument</w:t>
            </w:r>
            <w:r w:rsidR="00212D2D" w:rsidRPr="005142DA">
              <w:t>o</w:t>
            </w:r>
            <w:r w:rsidRPr="005142DA">
              <w:t>s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396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352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343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328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337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212D2D" w:rsidP="00212D2D">
            <w:r w:rsidRPr="005142DA">
              <w:t>Ingeniería mecánica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923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996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1030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963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893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D81C04" w:rsidP="00212D2D">
            <w:r w:rsidRPr="005142DA">
              <w:t>Ot</w:t>
            </w:r>
            <w:r w:rsidR="00212D2D" w:rsidRPr="005142DA">
              <w:t>ros campos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377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376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310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354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350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212D2D" w:rsidP="00212D2D">
            <w:r w:rsidRPr="005142DA">
              <w:t>N.d.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29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30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36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67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91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D81C04" w:rsidP="00D81C04">
            <w:pPr>
              <w:rPr>
                <w:b/>
              </w:rPr>
            </w:pPr>
            <w:r w:rsidRPr="005142DA">
              <w:rPr>
                <w:b/>
              </w:rPr>
              <w:t>TOTAL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438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495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425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427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384</w:t>
            </w:r>
          </w:p>
        </w:tc>
      </w:tr>
    </w:tbl>
    <w:p w:rsidR="00ED5EAC" w:rsidRPr="005142DA" w:rsidRDefault="00ED5EAC" w:rsidP="00D81C04"/>
    <w:p w:rsidR="00ED5EAC" w:rsidRPr="005142DA" w:rsidRDefault="00ED5EAC" w:rsidP="00D81C04"/>
    <w:p w:rsidR="00ED5EAC" w:rsidRPr="005142DA" w:rsidRDefault="009F0DA3" w:rsidP="009F0DA3">
      <w:pPr>
        <w:rPr>
          <w:b/>
          <w:bCs/>
          <w:szCs w:val="22"/>
        </w:rPr>
      </w:pPr>
      <w:r w:rsidRPr="005142DA">
        <w:rPr>
          <w:b/>
          <w:bCs/>
          <w:szCs w:val="22"/>
        </w:rPr>
        <w:t>Número de solicitudes PCT recibidas – por campo técnico</w:t>
      </w:r>
    </w:p>
    <w:p w:rsidR="00D81C04" w:rsidRPr="005142DA" w:rsidRDefault="00D81C04" w:rsidP="00D81C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1385"/>
        <w:gridCol w:w="1386"/>
        <w:gridCol w:w="1385"/>
        <w:gridCol w:w="1386"/>
        <w:gridCol w:w="1386"/>
      </w:tblGrid>
      <w:tr w:rsidR="00D81C04" w:rsidRPr="005142DA" w:rsidTr="006E1FC7">
        <w:tc>
          <w:tcPr>
            <w:tcW w:w="2643" w:type="dxa"/>
          </w:tcPr>
          <w:p w:rsidR="00D81C04" w:rsidRPr="005142DA" w:rsidRDefault="009F0DA3" w:rsidP="009F0DA3">
            <w:pPr>
              <w:jc w:val="center"/>
              <w:rPr>
                <w:b/>
              </w:rPr>
            </w:pPr>
            <w:r w:rsidRPr="005142DA">
              <w:rPr>
                <w:b/>
              </w:rPr>
              <w:t>Campo técnico / Año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2012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2013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2014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2015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2016</w:t>
            </w:r>
          </w:p>
        </w:tc>
      </w:tr>
      <w:tr w:rsidR="00212D2D" w:rsidRPr="005142DA" w:rsidTr="006E1FC7">
        <w:tc>
          <w:tcPr>
            <w:tcW w:w="2643" w:type="dxa"/>
          </w:tcPr>
          <w:p w:rsidR="00212D2D" w:rsidRPr="005142DA" w:rsidRDefault="00212D2D" w:rsidP="00C26A3E">
            <w:r w:rsidRPr="005142DA">
              <w:t>Química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231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203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180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172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112</w:t>
            </w:r>
          </w:p>
        </w:tc>
      </w:tr>
      <w:tr w:rsidR="00212D2D" w:rsidRPr="005142DA" w:rsidTr="006E1FC7">
        <w:tc>
          <w:tcPr>
            <w:tcW w:w="2643" w:type="dxa"/>
          </w:tcPr>
          <w:p w:rsidR="00212D2D" w:rsidRPr="005142DA" w:rsidRDefault="00212D2D" w:rsidP="00C26A3E">
            <w:r w:rsidRPr="005142DA">
              <w:t>Ingeniería eléctrica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520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449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349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332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198</w:t>
            </w:r>
          </w:p>
        </w:tc>
      </w:tr>
      <w:tr w:rsidR="00212D2D" w:rsidRPr="005142DA" w:rsidTr="006E1FC7">
        <w:tc>
          <w:tcPr>
            <w:tcW w:w="2643" w:type="dxa"/>
          </w:tcPr>
          <w:p w:rsidR="00212D2D" w:rsidRPr="005142DA" w:rsidRDefault="00212D2D" w:rsidP="00C26A3E">
            <w:r w:rsidRPr="005142DA">
              <w:t>Instrumentos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238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214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186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131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78</w:t>
            </w:r>
          </w:p>
        </w:tc>
      </w:tr>
      <w:tr w:rsidR="00212D2D" w:rsidRPr="005142DA" w:rsidTr="006E1FC7">
        <w:tc>
          <w:tcPr>
            <w:tcW w:w="2643" w:type="dxa"/>
          </w:tcPr>
          <w:p w:rsidR="00212D2D" w:rsidRPr="005142DA" w:rsidRDefault="00212D2D" w:rsidP="00C26A3E">
            <w:r w:rsidRPr="005142DA">
              <w:t>Ingeniería mecánica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426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496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483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343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237</w:t>
            </w:r>
          </w:p>
        </w:tc>
      </w:tr>
      <w:tr w:rsidR="00212D2D" w:rsidRPr="005142DA" w:rsidTr="006E1FC7">
        <w:tc>
          <w:tcPr>
            <w:tcW w:w="2643" w:type="dxa"/>
          </w:tcPr>
          <w:p w:rsidR="00212D2D" w:rsidRPr="005142DA" w:rsidRDefault="00212D2D" w:rsidP="00C26A3E">
            <w:r w:rsidRPr="005142DA">
              <w:t>Otros campos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156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147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127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128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95</w:t>
            </w:r>
          </w:p>
        </w:tc>
      </w:tr>
      <w:tr w:rsidR="00212D2D" w:rsidRPr="005142DA" w:rsidTr="006E1FC7">
        <w:tc>
          <w:tcPr>
            <w:tcW w:w="2643" w:type="dxa"/>
          </w:tcPr>
          <w:p w:rsidR="00212D2D" w:rsidRPr="005142DA" w:rsidRDefault="00212D2D" w:rsidP="00C26A3E">
            <w:r w:rsidRPr="005142DA">
              <w:t>N.d.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20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25</w:t>
            </w:r>
          </w:p>
        </w:tc>
        <w:tc>
          <w:tcPr>
            <w:tcW w:w="1385" w:type="dxa"/>
          </w:tcPr>
          <w:p w:rsidR="00212D2D" w:rsidRPr="005142DA" w:rsidRDefault="00212D2D" w:rsidP="00D81C04">
            <w:pPr>
              <w:jc w:val="right"/>
            </w:pPr>
            <w:r w:rsidRPr="005142DA">
              <w:t>34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12</w:t>
            </w:r>
          </w:p>
        </w:tc>
        <w:tc>
          <w:tcPr>
            <w:tcW w:w="1386" w:type="dxa"/>
          </w:tcPr>
          <w:p w:rsidR="00212D2D" w:rsidRPr="005142DA" w:rsidRDefault="00212D2D" w:rsidP="00D81C04">
            <w:pPr>
              <w:jc w:val="right"/>
            </w:pPr>
            <w:r w:rsidRPr="005142DA">
              <w:t>261</w:t>
            </w:r>
          </w:p>
        </w:tc>
      </w:tr>
      <w:tr w:rsidR="00D81C04" w:rsidRPr="005142DA" w:rsidTr="006E1FC7">
        <w:tc>
          <w:tcPr>
            <w:tcW w:w="2643" w:type="dxa"/>
          </w:tcPr>
          <w:p w:rsidR="00D81C04" w:rsidRPr="005142DA" w:rsidRDefault="00D81C04" w:rsidP="00D81C04">
            <w:pPr>
              <w:rPr>
                <w:b/>
              </w:rPr>
            </w:pPr>
            <w:r w:rsidRPr="005142DA">
              <w:rPr>
                <w:b/>
              </w:rPr>
              <w:t>TOTAL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592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534</w:t>
            </w:r>
          </w:p>
        </w:tc>
        <w:tc>
          <w:tcPr>
            <w:tcW w:w="1385" w:type="dxa"/>
          </w:tcPr>
          <w:p w:rsidR="00D81C04" w:rsidRPr="005142DA" w:rsidRDefault="00D81C04" w:rsidP="00D81C04">
            <w:pPr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359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118</w:t>
            </w:r>
          </w:p>
        </w:tc>
        <w:tc>
          <w:tcPr>
            <w:tcW w:w="1386" w:type="dxa"/>
          </w:tcPr>
          <w:p w:rsidR="00D81C04" w:rsidRPr="005142DA" w:rsidRDefault="00D81C04" w:rsidP="00D81C04">
            <w:pPr>
              <w:jc w:val="right"/>
            </w:pPr>
            <w:r w:rsidRPr="005142DA">
              <w:t>982</w:t>
            </w:r>
          </w:p>
        </w:tc>
      </w:tr>
    </w:tbl>
    <w:p w:rsidR="00ED5EAC" w:rsidRPr="005142DA" w:rsidRDefault="00ED5EAC" w:rsidP="00D81C04"/>
    <w:p w:rsidR="00ED5EAC" w:rsidRPr="005142DA" w:rsidRDefault="00ED5EAC" w:rsidP="00D81C04"/>
    <w:p w:rsidR="00ED5EAC" w:rsidRPr="005142DA" w:rsidRDefault="009F0DA3" w:rsidP="009F0DA3">
      <w:pPr>
        <w:rPr>
          <w:b/>
          <w:bCs/>
          <w:szCs w:val="22"/>
        </w:rPr>
      </w:pPr>
      <w:r w:rsidRPr="005142DA">
        <w:rPr>
          <w:b/>
          <w:bCs/>
          <w:szCs w:val="22"/>
        </w:rPr>
        <w:t>Número de solicitudes nacionales recibidas – según la vía utilizada</w:t>
      </w:r>
    </w:p>
    <w:p w:rsidR="00D81C04" w:rsidRPr="005142DA" w:rsidRDefault="00D81C04" w:rsidP="00D81C0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D81C04" w:rsidRPr="005142DA" w:rsidTr="006E1FC7">
        <w:tc>
          <w:tcPr>
            <w:tcW w:w="3510" w:type="dxa"/>
          </w:tcPr>
          <w:p w:rsidR="00D81C04" w:rsidRPr="005142DA" w:rsidRDefault="009F0DA3" w:rsidP="009F0DA3">
            <w:pPr>
              <w:jc w:val="center"/>
              <w:rPr>
                <w:b/>
              </w:rPr>
            </w:pPr>
            <w:r w:rsidRPr="005142DA">
              <w:rPr>
                <w:b/>
              </w:rPr>
              <w:t>Vía / Año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2012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2013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2014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2015</w:t>
            </w:r>
          </w:p>
        </w:tc>
        <w:tc>
          <w:tcPr>
            <w:tcW w:w="1213" w:type="dxa"/>
          </w:tcPr>
          <w:p w:rsidR="00D81C04" w:rsidRPr="005142DA" w:rsidRDefault="00D81C04" w:rsidP="00D81C04">
            <w:pPr>
              <w:jc w:val="center"/>
              <w:rPr>
                <w:b/>
              </w:rPr>
            </w:pPr>
            <w:r w:rsidRPr="005142DA">
              <w:rPr>
                <w:b/>
              </w:rPr>
              <w:t>2016</w:t>
            </w:r>
          </w:p>
        </w:tc>
      </w:tr>
      <w:tr w:rsidR="00D81C04" w:rsidRPr="005142DA" w:rsidTr="006E1FC7">
        <w:tc>
          <w:tcPr>
            <w:tcW w:w="3510" w:type="dxa"/>
          </w:tcPr>
          <w:p w:rsidR="00D81C04" w:rsidRPr="005142DA" w:rsidRDefault="009F0DA3" w:rsidP="009F0DA3">
            <w:r w:rsidRPr="005142DA">
              <w:t>Primera presentación nacional / prioridad interna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264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323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264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269</w:t>
            </w:r>
          </w:p>
        </w:tc>
        <w:tc>
          <w:tcPr>
            <w:tcW w:w="1213" w:type="dxa"/>
          </w:tcPr>
          <w:p w:rsidR="00D81C04" w:rsidRPr="005142DA" w:rsidRDefault="00D81C04" w:rsidP="00D81C04">
            <w:pPr>
              <w:jc w:val="right"/>
            </w:pPr>
            <w:r w:rsidRPr="005142DA">
              <w:t>2</w:t>
            </w:r>
            <w:r w:rsidR="00212D2D" w:rsidRPr="005142DA">
              <w:t>.</w:t>
            </w:r>
            <w:r w:rsidRPr="005142DA">
              <w:t>243</w:t>
            </w:r>
          </w:p>
        </w:tc>
      </w:tr>
      <w:tr w:rsidR="00D81C04" w:rsidRPr="005142DA" w:rsidTr="006E1FC7">
        <w:tc>
          <w:tcPr>
            <w:tcW w:w="3510" w:type="dxa"/>
          </w:tcPr>
          <w:p w:rsidR="00D81C04" w:rsidRPr="005142DA" w:rsidRDefault="009F0DA3" w:rsidP="009F0DA3">
            <w:r w:rsidRPr="005142DA">
              <w:t>Prioridad con arreglo al Convenio de París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94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105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93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79</w:t>
            </w:r>
          </w:p>
        </w:tc>
        <w:tc>
          <w:tcPr>
            <w:tcW w:w="1213" w:type="dxa"/>
          </w:tcPr>
          <w:p w:rsidR="00D81C04" w:rsidRPr="005142DA" w:rsidRDefault="00D81C04" w:rsidP="00D81C04">
            <w:pPr>
              <w:jc w:val="right"/>
            </w:pPr>
            <w:r w:rsidRPr="005142DA">
              <w:t>68</w:t>
            </w:r>
          </w:p>
        </w:tc>
      </w:tr>
      <w:tr w:rsidR="00D81C04" w:rsidRPr="005142DA" w:rsidTr="006E1FC7">
        <w:tc>
          <w:tcPr>
            <w:tcW w:w="3510" w:type="dxa"/>
          </w:tcPr>
          <w:p w:rsidR="00D81C04" w:rsidRPr="005142DA" w:rsidRDefault="009F0DA3" w:rsidP="009F0DA3">
            <w:r w:rsidRPr="005142DA">
              <w:t>Fase nacional del PCT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80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67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68</w:t>
            </w:r>
          </w:p>
        </w:tc>
        <w:tc>
          <w:tcPr>
            <w:tcW w:w="1212" w:type="dxa"/>
          </w:tcPr>
          <w:p w:rsidR="00D81C04" w:rsidRPr="005142DA" w:rsidRDefault="00D81C04" w:rsidP="00D81C04">
            <w:pPr>
              <w:jc w:val="right"/>
            </w:pPr>
            <w:r w:rsidRPr="005142DA">
              <w:t>79</w:t>
            </w:r>
          </w:p>
        </w:tc>
        <w:tc>
          <w:tcPr>
            <w:tcW w:w="1213" w:type="dxa"/>
          </w:tcPr>
          <w:p w:rsidR="00D81C04" w:rsidRPr="005142DA" w:rsidRDefault="00D81C04" w:rsidP="00D81C04">
            <w:pPr>
              <w:jc w:val="right"/>
            </w:pPr>
            <w:r w:rsidRPr="005142DA">
              <w:t>73</w:t>
            </w:r>
          </w:p>
        </w:tc>
      </w:tr>
    </w:tbl>
    <w:p w:rsidR="00ED5EAC" w:rsidRPr="005142DA" w:rsidRDefault="00ED5EAC" w:rsidP="00D81C04"/>
    <w:p w:rsidR="00ED5EAC" w:rsidRPr="005142DA" w:rsidRDefault="00ED5EAC" w:rsidP="00D81C04"/>
    <w:p w:rsidR="00ED5EAC" w:rsidRPr="005142DA" w:rsidRDefault="009F0DA3" w:rsidP="00147789">
      <w:pPr>
        <w:keepNext/>
        <w:rPr>
          <w:b/>
          <w:bCs/>
          <w:szCs w:val="22"/>
        </w:rPr>
      </w:pPr>
      <w:r w:rsidRPr="005142DA">
        <w:rPr>
          <w:b/>
          <w:bCs/>
          <w:szCs w:val="22"/>
        </w:rPr>
        <w:lastRenderedPageBreak/>
        <w:t>Número de solicitudes internacionales recibidas como Oficina receptora</w:t>
      </w:r>
    </w:p>
    <w:p w:rsidR="00D81C04" w:rsidRPr="005142DA" w:rsidRDefault="00D81C04" w:rsidP="00147789">
      <w:pPr>
        <w:keepNext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D81C04" w:rsidRPr="005142DA" w:rsidTr="006E1FC7">
        <w:tc>
          <w:tcPr>
            <w:tcW w:w="3510" w:type="dxa"/>
          </w:tcPr>
          <w:p w:rsidR="00D81C04" w:rsidRPr="005142DA" w:rsidRDefault="009F0DA3" w:rsidP="00147789">
            <w:pPr>
              <w:keepNext/>
              <w:jc w:val="center"/>
              <w:rPr>
                <w:b/>
              </w:rPr>
            </w:pPr>
            <w:r w:rsidRPr="005142DA">
              <w:rPr>
                <w:b/>
              </w:rPr>
              <w:t>Año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center"/>
              <w:rPr>
                <w:b/>
              </w:rPr>
            </w:pPr>
            <w:r w:rsidRPr="005142DA">
              <w:rPr>
                <w:b/>
              </w:rPr>
              <w:t>2012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center"/>
              <w:rPr>
                <w:b/>
              </w:rPr>
            </w:pPr>
            <w:r w:rsidRPr="005142DA">
              <w:rPr>
                <w:b/>
              </w:rPr>
              <w:t>2013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center"/>
              <w:rPr>
                <w:b/>
              </w:rPr>
            </w:pPr>
            <w:r w:rsidRPr="005142DA">
              <w:rPr>
                <w:b/>
              </w:rPr>
              <w:t>2014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center"/>
              <w:rPr>
                <w:b/>
              </w:rPr>
            </w:pPr>
            <w:r w:rsidRPr="005142DA">
              <w:rPr>
                <w:b/>
              </w:rPr>
              <w:t>2015</w:t>
            </w:r>
          </w:p>
        </w:tc>
        <w:tc>
          <w:tcPr>
            <w:tcW w:w="1213" w:type="dxa"/>
          </w:tcPr>
          <w:p w:rsidR="00D81C04" w:rsidRPr="005142DA" w:rsidRDefault="00D81C04" w:rsidP="00147789">
            <w:pPr>
              <w:keepNext/>
              <w:jc w:val="center"/>
              <w:rPr>
                <w:b/>
              </w:rPr>
            </w:pPr>
            <w:r w:rsidRPr="005142DA">
              <w:rPr>
                <w:b/>
              </w:rPr>
              <w:t>2016</w:t>
            </w:r>
          </w:p>
        </w:tc>
      </w:tr>
      <w:tr w:rsidR="00D81C04" w:rsidRPr="005142DA" w:rsidTr="006E1FC7">
        <w:tc>
          <w:tcPr>
            <w:tcW w:w="3510" w:type="dxa"/>
          </w:tcPr>
          <w:p w:rsidR="00D81C04" w:rsidRPr="005142DA" w:rsidRDefault="00E10E08" w:rsidP="00147789">
            <w:pPr>
              <w:keepNext/>
            </w:pPr>
            <w:r w:rsidRPr="005142DA">
              <w:t>Número de solicitudes internacionales recibidas como RO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683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778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691</w:t>
            </w:r>
          </w:p>
        </w:tc>
        <w:tc>
          <w:tcPr>
            <w:tcW w:w="1212" w:type="dxa"/>
          </w:tcPr>
          <w:p w:rsidR="00D81C04" w:rsidRPr="005142DA" w:rsidRDefault="00D81C04" w:rsidP="00147789">
            <w:pPr>
              <w:keepNext/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447</w:t>
            </w:r>
          </w:p>
        </w:tc>
        <w:tc>
          <w:tcPr>
            <w:tcW w:w="1213" w:type="dxa"/>
          </w:tcPr>
          <w:p w:rsidR="00D81C04" w:rsidRPr="005142DA" w:rsidRDefault="00D81C04" w:rsidP="00147789">
            <w:pPr>
              <w:keepNext/>
              <w:jc w:val="right"/>
            </w:pPr>
            <w:r w:rsidRPr="005142DA">
              <w:t>1</w:t>
            </w:r>
            <w:r w:rsidR="00212D2D" w:rsidRPr="005142DA">
              <w:t>.</w:t>
            </w:r>
            <w:r w:rsidRPr="005142DA">
              <w:t>352</w:t>
            </w:r>
          </w:p>
        </w:tc>
      </w:tr>
    </w:tbl>
    <w:p w:rsidR="00ED5EAC" w:rsidRPr="005142DA" w:rsidRDefault="00ED5EAC" w:rsidP="00147789">
      <w:pPr>
        <w:keepNext/>
      </w:pPr>
    </w:p>
    <w:p w:rsidR="00ED5EAC" w:rsidRPr="005142DA" w:rsidRDefault="00ED5EAC" w:rsidP="00D81C04"/>
    <w:p w:rsidR="00ED5EAC" w:rsidRPr="005142DA" w:rsidRDefault="00E10E08" w:rsidP="00E10E08">
      <w:pPr>
        <w:rPr>
          <w:b/>
          <w:bCs/>
          <w:szCs w:val="22"/>
        </w:rPr>
      </w:pPr>
      <w:r w:rsidRPr="005142DA">
        <w:rPr>
          <w:b/>
          <w:bCs/>
          <w:szCs w:val="22"/>
        </w:rPr>
        <w:t xml:space="preserve">Principales Oficinas/Estados en los que se reivindica la prioridad </w:t>
      </w:r>
      <w:r w:rsidR="00A16383">
        <w:rPr>
          <w:b/>
          <w:bCs/>
          <w:szCs w:val="22"/>
        </w:rPr>
        <w:t>d</w:t>
      </w:r>
      <w:r w:rsidRPr="005142DA">
        <w:rPr>
          <w:b/>
          <w:bCs/>
          <w:szCs w:val="22"/>
        </w:rPr>
        <w:t>e solicitudes nacionales</w:t>
      </w:r>
    </w:p>
    <w:p w:rsidR="00ED5EAC" w:rsidRPr="005142DA" w:rsidRDefault="00ED5EAC" w:rsidP="00D81C04"/>
    <w:p w:rsidR="00ED5EAC" w:rsidRPr="005142DA" w:rsidRDefault="00E10E08" w:rsidP="00E10E08">
      <w:r w:rsidRPr="005142DA">
        <w:t>SE, EP, US, CN, CA, KR, JP, AU y DE.</w:t>
      </w:r>
    </w:p>
    <w:p w:rsidR="00ED5EAC" w:rsidRPr="005142DA" w:rsidRDefault="00ED5EAC" w:rsidP="00D81C04"/>
    <w:p w:rsidR="00ED5EAC" w:rsidRPr="005142DA" w:rsidRDefault="00ED5EAC" w:rsidP="00D81C04"/>
    <w:p w:rsidR="00ED5EAC" w:rsidRPr="005142DA" w:rsidRDefault="002C7B81" w:rsidP="002C7B81">
      <w:pPr>
        <w:keepNext/>
        <w:rPr>
          <w:b/>
        </w:rPr>
      </w:pPr>
      <w:r w:rsidRPr="005142DA">
        <w:rPr>
          <w:b/>
        </w:rPr>
        <w:t>Tiempo medio de tramitación de patentes nacionales</w:t>
      </w:r>
    </w:p>
    <w:p w:rsidR="00D81C04" w:rsidRPr="005142DA" w:rsidRDefault="00D81C04" w:rsidP="00D81C04">
      <w:pPr>
        <w:keepNext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7011"/>
        <w:gridCol w:w="1157"/>
      </w:tblGrid>
      <w:tr w:rsidR="00D81C04" w:rsidRPr="005142DA" w:rsidTr="006E1FC7">
        <w:tc>
          <w:tcPr>
            <w:tcW w:w="1403" w:type="dxa"/>
          </w:tcPr>
          <w:p w:rsidR="00D81C04" w:rsidRPr="005142DA" w:rsidRDefault="002C7B81" w:rsidP="002C7B81">
            <w:pPr>
              <w:keepNext/>
              <w:jc w:val="center"/>
              <w:rPr>
                <w:b/>
                <w:i/>
              </w:rPr>
            </w:pPr>
            <w:r w:rsidRPr="005142DA">
              <w:rPr>
                <w:b/>
                <w:i/>
              </w:rPr>
              <w:t>Indicador</w:t>
            </w:r>
          </w:p>
        </w:tc>
        <w:tc>
          <w:tcPr>
            <w:tcW w:w="7011" w:type="dxa"/>
          </w:tcPr>
          <w:p w:rsidR="00D81C04" w:rsidRPr="005142DA" w:rsidRDefault="002C7B81" w:rsidP="002C7B81">
            <w:pPr>
              <w:keepNext/>
              <w:jc w:val="center"/>
              <w:rPr>
                <w:b/>
                <w:i/>
              </w:rPr>
            </w:pPr>
            <w:r w:rsidRPr="005142DA">
              <w:rPr>
                <w:b/>
                <w:i/>
              </w:rPr>
              <w:t>Calculado a partir de</w:t>
            </w:r>
          </w:p>
        </w:tc>
        <w:tc>
          <w:tcPr>
            <w:tcW w:w="1157" w:type="dxa"/>
          </w:tcPr>
          <w:p w:rsidR="00D81C04" w:rsidRPr="005142DA" w:rsidRDefault="002C7B81" w:rsidP="002C7B81">
            <w:pPr>
              <w:keepNext/>
              <w:jc w:val="center"/>
              <w:rPr>
                <w:b/>
                <w:i/>
              </w:rPr>
            </w:pPr>
            <w:r w:rsidRPr="005142DA">
              <w:rPr>
                <w:b/>
                <w:i/>
              </w:rPr>
              <w:t>Plazo (en meses)</w:t>
            </w:r>
          </w:p>
        </w:tc>
      </w:tr>
      <w:tr w:rsidR="00D81C04" w:rsidRPr="005142DA" w:rsidTr="006E1FC7">
        <w:tc>
          <w:tcPr>
            <w:tcW w:w="1403" w:type="dxa"/>
          </w:tcPr>
          <w:p w:rsidR="00D81C04" w:rsidRPr="005142DA" w:rsidRDefault="002C7B81" w:rsidP="002C7B81">
            <w:pPr>
              <w:keepNext/>
            </w:pPr>
            <w:r w:rsidRPr="005142DA">
              <w:t>Hasta la búsqueda</w:t>
            </w:r>
          </w:p>
        </w:tc>
        <w:tc>
          <w:tcPr>
            <w:tcW w:w="7011" w:type="dxa"/>
          </w:tcPr>
          <w:p w:rsidR="00ED5EAC" w:rsidRPr="005142DA" w:rsidRDefault="002C7B81" w:rsidP="002C7B81">
            <w:pPr>
              <w:keepNext/>
            </w:pPr>
            <w:r w:rsidRPr="005142DA">
              <w:t>Solo la primera presentación.</w:t>
            </w:r>
            <w:r w:rsidR="00D81C04" w:rsidRPr="005142DA">
              <w:t xml:space="preserve">  </w:t>
            </w:r>
            <w:r w:rsidRPr="005142DA">
              <w:t xml:space="preserve">Cálculo correspondiente </w:t>
            </w:r>
            <w:r w:rsidR="00901461" w:rsidRPr="005142DA">
              <w:t>a las búsquedas notificadas durante e</w:t>
            </w:r>
            <w:r w:rsidRPr="005142DA">
              <w:t>l añ</w:t>
            </w:r>
            <w:r w:rsidR="005142DA" w:rsidRPr="005142DA">
              <w:t>o 2</w:t>
            </w:r>
            <w:r w:rsidRPr="005142DA">
              <w:t>016.</w:t>
            </w:r>
          </w:p>
          <w:p w:rsidR="00D81C04" w:rsidRPr="005142DA" w:rsidRDefault="00C306D3" w:rsidP="00C306D3">
            <w:pPr>
              <w:keepNext/>
            </w:pPr>
            <w:r w:rsidRPr="005142DA">
              <w:t>Plazo transcurrido entre el día de presentación y el día de notificación de la búsqueda realizada.</w:t>
            </w:r>
          </w:p>
        </w:tc>
        <w:tc>
          <w:tcPr>
            <w:tcW w:w="1157" w:type="dxa"/>
          </w:tcPr>
          <w:p w:rsidR="00D81C04" w:rsidRPr="005142DA" w:rsidRDefault="00D81C04" w:rsidP="00ED5EAC">
            <w:pPr>
              <w:keepNext/>
              <w:jc w:val="center"/>
            </w:pPr>
            <w:r w:rsidRPr="005142DA">
              <w:t>7</w:t>
            </w:r>
            <w:r w:rsidR="00ED5EAC" w:rsidRPr="005142DA">
              <w:t>,</w:t>
            </w:r>
            <w:r w:rsidRPr="005142DA">
              <w:t>0</w:t>
            </w:r>
          </w:p>
        </w:tc>
      </w:tr>
      <w:tr w:rsidR="00D81C04" w:rsidRPr="005142DA" w:rsidTr="006E1FC7">
        <w:tc>
          <w:tcPr>
            <w:tcW w:w="1403" w:type="dxa"/>
          </w:tcPr>
          <w:p w:rsidR="00D81C04" w:rsidRPr="005142DA" w:rsidRDefault="00C306D3" w:rsidP="00C306D3">
            <w:pPr>
              <w:keepNext/>
            </w:pPr>
            <w:r w:rsidRPr="005142DA">
              <w:t>Hasta el primer examen</w:t>
            </w:r>
          </w:p>
        </w:tc>
        <w:tc>
          <w:tcPr>
            <w:tcW w:w="7011" w:type="dxa"/>
          </w:tcPr>
          <w:p w:rsidR="00ED5EAC" w:rsidRPr="005142DA" w:rsidRDefault="00C306D3" w:rsidP="00C306D3">
            <w:pPr>
              <w:keepNext/>
            </w:pPr>
            <w:r w:rsidRPr="005142DA">
              <w:t>Solo la primera presentación.</w:t>
            </w:r>
            <w:r w:rsidR="00D81C04" w:rsidRPr="005142DA">
              <w:t xml:space="preserve">  </w:t>
            </w:r>
            <w:r w:rsidRPr="005142DA">
              <w:t>Plazo transcurrido entre el día de presentación y el día de notificación de la búsqueda realizada y del examen al solicitante durante el añ</w:t>
            </w:r>
            <w:r w:rsidR="005142DA" w:rsidRPr="005142DA">
              <w:t>o 2</w:t>
            </w:r>
            <w:r w:rsidRPr="005142DA">
              <w:t>016.</w:t>
            </w:r>
          </w:p>
          <w:p w:rsidR="00D81C04" w:rsidRPr="005142DA" w:rsidRDefault="00C306D3" w:rsidP="00C306D3">
            <w:pPr>
              <w:keepNext/>
            </w:pPr>
            <w:r w:rsidRPr="005142DA">
              <w:t>Cabe señalar que la búsqueda y el examen se realizan conjuntamente.</w:t>
            </w:r>
          </w:p>
        </w:tc>
        <w:tc>
          <w:tcPr>
            <w:tcW w:w="1157" w:type="dxa"/>
          </w:tcPr>
          <w:p w:rsidR="00D81C04" w:rsidRPr="005142DA" w:rsidRDefault="00D81C04" w:rsidP="00ED5EAC">
            <w:pPr>
              <w:keepNext/>
              <w:jc w:val="center"/>
            </w:pPr>
            <w:r w:rsidRPr="005142DA">
              <w:t>7</w:t>
            </w:r>
            <w:r w:rsidR="00ED5EAC" w:rsidRPr="005142DA">
              <w:t>,</w:t>
            </w:r>
            <w:r w:rsidRPr="005142DA">
              <w:t>0</w:t>
            </w:r>
          </w:p>
        </w:tc>
      </w:tr>
      <w:tr w:rsidR="00D81C04" w:rsidRPr="005142DA" w:rsidTr="006E1FC7">
        <w:tc>
          <w:tcPr>
            <w:tcW w:w="1403" w:type="dxa"/>
          </w:tcPr>
          <w:p w:rsidR="00D81C04" w:rsidRPr="005142DA" w:rsidRDefault="00C306D3" w:rsidP="00C306D3">
            <w:pPr>
              <w:keepNext/>
            </w:pPr>
            <w:r w:rsidRPr="005142DA">
              <w:t>Hasta la concesión</w:t>
            </w:r>
          </w:p>
        </w:tc>
        <w:tc>
          <w:tcPr>
            <w:tcW w:w="7011" w:type="dxa"/>
          </w:tcPr>
          <w:p w:rsidR="00ED5EAC" w:rsidRPr="005142DA" w:rsidRDefault="00C306D3" w:rsidP="00C306D3">
            <w:pPr>
              <w:keepNext/>
            </w:pPr>
            <w:r w:rsidRPr="005142DA">
              <w:t>Solo la primera presentación.</w:t>
            </w:r>
            <w:r w:rsidR="00D81C04" w:rsidRPr="005142DA">
              <w:t xml:space="preserve">  </w:t>
            </w:r>
            <w:r w:rsidRPr="005142DA">
              <w:t xml:space="preserve">Cálculo correspondiente a las solicitudes concedidas </w:t>
            </w:r>
            <w:r w:rsidR="00901461" w:rsidRPr="005142DA">
              <w:t xml:space="preserve">durante </w:t>
            </w:r>
            <w:r w:rsidRPr="005142DA">
              <w:t>el añ</w:t>
            </w:r>
            <w:r w:rsidR="005142DA" w:rsidRPr="005142DA">
              <w:t>o 2</w:t>
            </w:r>
            <w:r w:rsidRPr="005142DA">
              <w:t>016.</w:t>
            </w:r>
          </w:p>
          <w:p w:rsidR="00D81C04" w:rsidRPr="005142DA" w:rsidRDefault="00ED5EAC" w:rsidP="00ED5EAC">
            <w:pPr>
              <w:keepNext/>
            </w:pPr>
            <w:r w:rsidRPr="005142DA">
              <w:t>Plazo transcurrido entre el día de presentación y el día de concesión y publicación de la patente.</w:t>
            </w:r>
          </w:p>
        </w:tc>
        <w:tc>
          <w:tcPr>
            <w:tcW w:w="1157" w:type="dxa"/>
          </w:tcPr>
          <w:p w:rsidR="00D81C04" w:rsidRPr="005142DA" w:rsidRDefault="00D81C04" w:rsidP="00ED5EAC">
            <w:pPr>
              <w:keepNext/>
              <w:jc w:val="center"/>
            </w:pPr>
            <w:r w:rsidRPr="005142DA">
              <w:t>28</w:t>
            </w:r>
            <w:r w:rsidR="00ED5EAC" w:rsidRPr="005142DA">
              <w:t>,</w:t>
            </w:r>
            <w:r w:rsidRPr="005142DA">
              <w:t>9</w:t>
            </w:r>
          </w:p>
        </w:tc>
      </w:tr>
    </w:tbl>
    <w:p w:rsidR="00ED5EAC" w:rsidRPr="005142DA" w:rsidRDefault="00ED5EAC" w:rsidP="00D81C04"/>
    <w:p w:rsidR="00ED5EAC" w:rsidRPr="005142DA" w:rsidRDefault="00ED5EAC" w:rsidP="00D81C04"/>
    <w:p w:rsidR="00ED5EAC" w:rsidRPr="005142DA" w:rsidRDefault="00ED5EAC" w:rsidP="00ED5EAC">
      <w:pPr>
        <w:rPr>
          <w:b/>
        </w:rPr>
      </w:pPr>
      <w:r w:rsidRPr="005142DA">
        <w:rPr>
          <w:b/>
        </w:rPr>
        <w:t>Retrasos en la tramitación de solicitudes a nivel nacional</w:t>
      </w:r>
    </w:p>
    <w:p w:rsidR="00D81C04" w:rsidRPr="005142DA" w:rsidRDefault="00D81C04" w:rsidP="00D81C04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D81C04" w:rsidRPr="005142DA" w:rsidTr="006E1FC7">
        <w:tc>
          <w:tcPr>
            <w:tcW w:w="6345" w:type="dxa"/>
          </w:tcPr>
          <w:p w:rsidR="00D81C04" w:rsidRPr="005142DA" w:rsidRDefault="00ED5EAC" w:rsidP="00ED5EAC">
            <w:pPr>
              <w:jc w:val="center"/>
              <w:rPr>
                <w:b/>
              </w:rPr>
            </w:pPr>
            <w:r w:rsidRPr="005142DA">
              <w:rPr>
                <w:b/>
              </w:rPr>
              <w:t>Medida</w:t>
            </w:r>
          </w:p>
        </w:tc>
        <w:tc>
          <w:tcPr>
            <w:tcW w:w="3261" w:type="dxa"/>
          </w:tcPr>
          <w:p w:rsidR="00D81C04" w:rsidRPr="005142DA" w:rsidRDefault="00ED5EAC" w:rsidP="00ED5EAC">
            <w:pPr>
              <w:jc w:val="center"/>
              <w:rPr>
                <w:b/>
              </w:rPr>
            </w:pPr>
            <w:r w:rsidRPr="005142DA">
              <w:rPr>
                <w:b/>
              </w:rPr>
              <w:t>Número de solicitudes</w:t>
            </w:r>
          </w:p>
        </w:tc>
      </w:tr>
      <w:tr w:rsidR="00D81C04" w:rsidRPr="005142DA" w:rsidTr="006E1FC7">
        <w:tc>
          <w:tcPr>
            <w:tcW w:w="6345" w:type="dxa"/>
          </w:tcPr>
          <w:p w:rsidR="00D81C04" w:rsidRPr="005142DA" w:rsidRDefault="00ED5EAC" w:rsidP="00ED5EAC">
            <w:r w:rsidRPr="005142DA">
              <w:t>Todas las solitudes pendientes</w:t>
            </w:r>
          </w:p>
        </w:tc>
        <w:tc>
          <w:tcPr>
            <w:tcW w:w="3261" w:type="dxa"/>
          </w:tcPr>
          <w:p w:rsidR="00D81C04" w:rsidRPr="005142DA" w:rsidRDefault="00ED5EAC" w:rsidP="00ED5EAC">
            <w:pPr>
              <w:jc w:val="right"/>
            </w:pPr>
            <w:r w:rsidRPr="005142DA">
              <w:t>4.174</w:t>
            </w:r>
          </w:p>
        </w:tc>
      </w:tr>
      <w:tr w:rsidR="00D81C04" w:rsidRPr="005142DA" w:rsidTr="006E1FC7">
        <w:tc>
          <w:tcPr>
            <w:tcW w:w="6345" w:type="dxa"/>
          </w:tcPr>
          <w:p w:rsidR="00D81C04" w:rsidRPr="005142DA" w:rsidRDefault="00ED5EAC" w:rsidP="00ED5EAC">
            <w:r w:rsidRPr="005142DA">
              <w:t>Solicitudes en espera de la búsqueda (una vez abonadas las tasas correspondientes)</w:t>
            </w:r>
          </w:p>
        </w:tc>
        <w:tc>
          <w:tcPr>
            <w:tcW w:w="3261" w:type="dxa"/>
          </w:tcPr>
          <w:p w:rsidR="00D81C04" w:rsidRPr="005142DA" w:rsidRDefault="00ED5EAC" w:rsidP="00ED5EAC">
            <w:pPr>
              <w:jc w:val="right"/>
            </w:pPr>
            <w:r w:rsidRPr="005142DA">
              <w:t>1.241</w:t>
            </w:r>
          </w:p>
        </w:tc>
      </w:tr>
    </w:tbl>
    <w:p w:rsidR="00ED5EAC" w:rsidRPr="005142DA" w:rsidRDefault="00ED5EAC" w:rsidP="00D81C04"/>
    <w:p w:rsidR="00ED5EAC" w:rsidRPr="005142DA" w:rsidRDefault="00ED5EAC" w:rsidP="00D81C04"/>
    <w:p w:rsidR="00ED5EAC" w:rsidRPr="005142DA" w:rsidRDefault="00ED5EAC" w:rsidP="00ED5EAC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7 – APOYO REQUERIDO</w:t>
      </w:r>
    </w:p>
    <w:p w:rsidR="00ED5EAC" w:rsidRPr="005142DA" w:rsidRDefault="00ED5EAC" w:rsidP="00ED5EAC">
      <w:pPr>
        <w:rPr>
          <w:iCs/>
        </w:rPr>
      </w:pPr>
      <w:r w:rsidRPr="005142DA">
        <w:rPr>
          <w:iCs/>
        </w:rPr>
        <w:t>No se requiere ningún apoyo especial.</w:t>
      </w:r>
    </w:p>
    <w:p w:rsidR="00ED5EAC" w:rsidRPr="005142DA" w:rsidRDefault="00ED5EAC" w:rsidP="00D81C04"/>
    <w:p w:rsidR="00ED5EAC" w:rsidRPr="005142DA" w:rsidRDefault="00D81C04" w:rsidP="00D81C04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t>8 – O</w:t>
      </w:r>
      <w:r w:rsidR="00ED5EAC" w:rsidRPr="005142DA">
        <w:rPr>
          <w:rFonts w:eastAsia="Times New Roman"/>
          <w:b/>
          <w:bCs/>
          <w:caps/>
          <w:kern w:val="32"/>
          <w:szCs w:val="22"/>
        </w:rPr>
        <w:t>TROS</w:t>
      </w:r>
    </w:p>
    <w:p w:rsidR="00ED5EAC" w:rsidRPr="005142DA" w:rsidRDefault="00D81C04" w:rsidP="00D81C04">
      <w:pPr>
        <w:rPr>
          <w:iCs/>
          <w:szCs w:val="22"/>
        </w:rPr>
      </w:pPr>
      <w:r w:rsidRPr="005142DA">
        <w:rPr>
          <w:iCs/>
          <w:szCs w:val="22"/>
        </w:rPr>
        <w:t>No</w:t>
      </w:r>
      <w:r w:rsidR="00ED5EAC" w:rsidRPr="005142DA">
        <w:rPr>
          <w:iCs/>
          <w:szCs w:val="22"/>
        </w:rPr>
        <w:t xml:space="preserve"> procede.</w:t>
      </w:r>
    </w:p>
    <w:p w:rsidR="00ED5EAC" w:rsidRPr="005142DA" w:rsidRDefault="00ED5EAC" w:rsidP="00D81C04">
      <w:pPr>
        <w:rPr>
          <w:szCs w:val="22"/>
        </w:rPr>
      </w:pPr>
    </w:p>
    <w:p w:rsidR="00ED5EAC" w:rsidRPr="005142DA" w:rsidRDefault="00D81C04" w:rsidP="00ED5EAC">
      <w:pPr>
        <w:keepNext/>
        <w:pBdr>
          <w:top w:val="single" w:sz="4" w:space="1" w:color="auto"/>
          <w:bottom w:val="single" w:sz="4" w:space="1" w:color="auto"/>
        </w:pBdr>
        <w:spacing w:before="360" w:after="200"/>
        <w:outlineLvl w:val="0"/>
        <w:rPr>
          <w:rFonts w:eastAsia="Times New Roman"/>
          <w:b/>
          <w:bCs/>
          <w:caps/>
          <w:kern w:val="32"/>
          <w:szCs w:val="22"/>
        </w:rPr>
      </w:pPr>
      <w:r w:rsidRPr="005142DA">
        <w:rPr>
          <w:rFonts w:eastAsia="Times New Roman"/>
          <w:b/>
          <w:bCs/>
          <w:caps/>
          <w:kern w:val="32"/>
          <w:szCs w:val="22"/>
        </w:rPr>
        <w:lastRenderedPageBreak/>
        <w:t xml:space="preserve">9 – </w:t>
      </w:r>
      <w:r w:rsidR="00ED5EAC" w:rsidRPr="005142DA">
        <w:rPr>
          <w:rFonts w:eastAsia="Times New Roman"/>
          <w:b/>
          <w:bCs/>
          <w:caps/>
          <w:kern w:val="32"/>
          <w:szCs w:val="22"/>
        </w:rPr>
        <w:t>EVALUACIÓN POR OTRAS ADMINISTRACIONES</w:t>
      </w:r>
    </w:p>
    <w:p w:rsidR="00ED5EAC" w:rsidRPr="005142DA" w:rsidRDefault="00025D31" w:rsidP="00F448A9">
      <w:pPr>
        <w:rPr>
          <w:szCs w:val="22"/>
        </w:rPr>
      </w:pPr>
      <w:r w:rsidRPr="005142DA">
        <w:rPr>
          <w:iCs/>
          <w:szCs w:val="22"/>
        </w:rPr>
        <w:t>Tradicionalmente, la PRV ha participado en distintas actividades de evaluación y análisis comparativos con otras Administraciones internacionales</w:t>
      </w:r>
      <w:r w:rsidR="00A16383">
        <w:rPr>
          <w:iCs/>
          <w:szCs w:val="22"/>
        </w:rPr>
        <w:t>.  S</w:t>
      </w:r>
      <w:r w:rsidRPr="005142DA">
        <w:rPr>
          <w:iCs/>
          <w:szCs w:val="22"/>
        </w:rPr>
        <w:t>eguirá realizando esa labor en el futuro y está abierta a las sugerencias de cualquier Oficina nacional o internacional relativas a programas de evaluación mutua.</w:t>
      </w:r>
      <w:r w:rsidR="00D81C04" w:rsidRPr="005142DA">
        <w:rPr>
          <w:iCs/>
          <w:szCs w:val="22"/>
        </w:rPr>
        <w:t xml:space="preserve">  </w:t>
      </w:r>
      <w:r w:rsidR="00F448A9" w:rsidRPr="005142DA">
        <w:rPr>
          <w:iCs/>
          <w:szCs w:val="22"/>
        </w:rPr>
        <w:t>La PRV participará en la evaluación propuesta por el Canadá (CIPO) que tendrá lugar e</w:t>
      </w:r>
      <w:r w:rsidR="005142DA" w:rsidRPr="005142DA">
        <w:rPr>
          <w:iCs/>
          <w:szCs w:val="22"/>
        </w:rPr>
        <w:t>n 2</w:t>
      </w:r>
      <w:r w:rsidR="00F448A9" w:rsidRPr="005142DA">
        <w:rPr>
          <w:iCs/>
          <w:szCs w:val="22"/>
        </w:rPr>
        <w:t>018 en el marco de la Reunión del Subgrupo encargado de la Calidad.</w:t>
      </w:r>
    </w:p>
    <w:p w:rsidR="00ED5EAC" w:rsidRPr="005142DA" w:rsidRDefault="00ED5EAC" w:rsidP="00F0310F"/>
    <w:p w:rsidR="00ED5EAC" w:rsidRPr="005142DA" w:rsidRDefault="00ED5EAC" w:rsidP="0045694F"/>
    <w:p w:rsidR="00ED5EAC" w:rsidRPr="001054CE" w:rsidRDefault="0045694F" w:rsidP="0045694F">
      <w:pPr>
        <w:ind w:left="5534"/>
      </w:pPr>
      <w:r w:rsidRPr="005142DA">
        <w:t>[</w:t>
      </w:r>
      <w:r w:rsidR="00F0310F" w:rsidRPr="005142DA">
        <w:t>Fin del Anexo y del documento</w:t>
      </w:r>
      <w:r w:rsidRPr="005142DA">
        <w:t>]</w:t>
      </w:r>
    </w:p>
    <w:p w:rsidR="00152CEA" w:rsidRPr="001054CE" w:rsidRDefault="00152CEA" w:rsidP="001054CE">
      <w:pPr>
        <w:pStyle w:val="ONUME"/>
        <w:numPr>
          <w:ilvl w:val="0"/>
          <w:numId w:val="0"/>
        </w:numPr>
      </w:pPr>
    </w:p>
    <w:sectPr w:rsidR="00152CEA" w:rsidRPr="001054CE" w:rsidSect="00AA5F7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AE" w:rsidRDefault="003F5AAE">
      <w:r>
        <w:separator/>
      </w:r>
    </w:p>
  </w:endnote>
  <w:endnote w:type="continuationSeparator" w:id="0">
    <w:p w:rsidR="003F5AAE" w:rsidRPr="009D30E6" w:rsidRDefault="003F5AA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5AAE" w:rsidRPr="007E663E" w:rsidRDefault="003F5AA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F5AAE" w:rsidRPr="007E663E" w:rsidRDefault="003F5AA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AE" w:rsidRDefault="003F5AAE">
      <w:r>
        <w:separator/>
      </w:r>
    </w:p>
  </w:footnote>
  <w:footnote w:type="continuationSeparator" w:id="0">
    <w:p w:rsidR="003F5AAE" w:rsidRPr="009D30E6" w:rsidRDefault="003F5AA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5AAE" w:rsidRPr="007E663E" w:rsidRDefault="003F5AA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F5AAE" w:rsidRPr="007E663E" w:rsidRDefault="003F5AA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3F5AAE" w:rsidP="00477D6B">
    <w:pPr>
      <w:jc w:val="right"/>
    </w:pPr>
    <w:bookmarkStart w:id="7" w:name="Code2"/>
    <w:bookmarkEnd w:id="7"/>
    <w:r>
      <w:t>PCT/CTC/30/6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F5AAE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9" w:rsidRPr="00AA5F79" w:rsidRDefault="0045694F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</w:t>
    </w:r>
    <w:r w:rsidR="004E738B">
      <w:rPr>
        <w:lang w:val="fr-FR"/>
      </w:rPr>
      <w:t>1</w:t>
    </w:r>
    <w:r w:rsidR="00F0310F">
      <w:rPr>
        <w:lang w:val="fr-FR"/>
      </w:rPr>
      <w:t>8</w:t>
    </w:r>
  </w:p>
  <w:p w:rsidR="00AA5F79" w:rsidRPr="00AA5F79" w:rsidRDefault="0045694F" w:rsidP="00477D6B">
    <w:pPr>
      <w:jc w:val="right"/>
      <w:rPr>
        <w:lang w:val="fr-FR"/>
      </w:rPr>
    </w:pPr>
    <w:r w:rsidRPr="00AA5F79">
      <w:rPr>
        <w:lang w:val="fr-FR"/>
      </w:rPr>
      <w:t>Anex</w:t>
    </w:r>
    <w:r w:rsidR="00EB20A3">
      <w:rPr>
        <w:lang w:val="fr-FR"/>
      </w:rPr>
      <w:t>o</w:t>
    </w:r>
    <w:r w:rsidRPr="00AA5F79">
      <w:rPr>
        <w:lang w:val="fr-FR"/>
      </w:rPr>
      <w:t xml:space="preserve">, </w:t>
    </w:r>
    <w:r w:rsidR="00EB20A3">
      <w:rPr>
        <w:lang w:val="fr-FR"/>
      </w:rPr>
      <w:t>página</w:t>
    </w:r>
    <w:r w:rsidRPr="00AA5F79">
      <w:rPr>
        <w:lang w:val="fr-FR"/>
      </w:rPr>
      <w:t xml:space="preserve">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092A4D">
      <w:rPr>
        <w:noProof/>
        <w:lang w:val="fr-FR"/>
      </w:rPr>
      <w:t>8</w:t>
    </w:r>
    <w:r>
      <w:fldChar w:fldCharType="end"/>
    </w:r>
  </w:p>
  <w:p w:rsidR="00AA5F79" w:rsidRPr="00AA5F79" w:rsidRDefault="00092A4D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9" w:rsidRDefault="0045694F" w:rsidP="00AA5F79">
    <w:pPr>
      <w:pStyle w:val="Header"/>
      <w:jc w:val="right"/>
    </w:pPr>
    <w:r>
      <w:t>PCT/CTC/30/</w:t>
    </w:r>
    <w:r w:rsidR="004E738B">
      <w:t>1</w:t>
    </w:r>
    <w:r w:rsidR="00F0310F">
      <w:t>8</w:t>
    </w:r>
  </w:p>
  <w:p w:rsidR="00AA5F79" w:rsidRDefault="0045694F" w:rsidP="00AA5F79">
    <w:pPr>
      <w:pStyle w:val="Header"/>
      <w:jc w:val="right"/>
    </w:pPr>
    <w:r>
      <w:t>A</w:t>
    </w:r>
    <w:r w:rsidR="00EB20A3">
      <w:t>N</w:t>
    </w:r>
    <w:r>
      <w:t>EX</w:t>
    </w:r>
    <w:r w:rsidR="00EB20A3">
      <w:t>O</w:t>
    </w:r>
  </w:p>
  <w:p w:rsidR="00AA5F79" w:rsidRDefault="00092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D54767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574"/>
        </w:tabs>
        <w:ind w:left="574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B5D232F"/>
    <w:multiLevelType w:val="multilevel"/>
    <w:tmpl w:val="FFD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606D"/>
    <w:multiLevelType w:val="multilevel"/>
    <w:tmpl w:val="E1D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5C73"/>
    <w:multiLevelType w:val="hybridMultilevel"/>
    <w:tmpl w:val="FA38FB9C"/>
    <w:lvl w:ilvl="0" w:tplc="F70ABB6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F25568"/>
    <w:multiLevelType w:val="hybridMultilevel"/>
    <w:tmpl w:val="6F0200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C381A1A"/>
    <w:multiLevelType w:val="hybridMultilevel"/>
    <w:tmpl w:val="1050438A"/>
    <w:lvl w:ilvl="0" w:tplc="4F64034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366DB"/>
    <w:multiLevelType w:val="hybridMultilevel"/>
    <w:tmpl w:val="3474D770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BA6089"/>
    <w:multiLevelType w:val="hybridMultilevel"/>
    <w:tmpl w:val="1AEC1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6543A"/>
    <w:multiLevelType w:val="hybridMultilevel"/>
    <w:tmpl w:val="18721A9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C5DC3"/>
    <w:multiLevelType w:val="hybridMultilevel"/>
    <w:tmpl w:val="ACEEA6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73041"/>
    <w:multiLevelType w:val="hybridMultilevel"/>
    <w:tmpl w:val="CA0601FC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22761"/>
    <w:multiLevelType w:val="hybridMultilevel"/>
    <w:tmpl w:val="2732F37C"/>
    <w:lvl w:ilvl="0" w:tplc="60E0E7FC">
      <w:start w:val="1"/>
      <w:numFmt w:val="lowerLetter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8">
    <w:nsid w:val="7FC57685"/>
    <w:multiLevelType w:val="hybridMultilevel"/>
    <w:tmpl w:val="196463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"/>
    <w:docVar w:name="TermBaseURL" w:val="empty"/>
    <w:docVar w:name="TextBases" w:val="TextBase TMs\WorkspaceSTS\Administration &amp; Finance\FAB Main|Team Server TMs\Spanish|TextBase TMs\WorkspaceSTS\Outreach\POW Main|TextBase TMs\WorkspaceSTS\Administration &amp; Finance\Current Budget|TextBase TMs\WorkspaceSTS\Administration &amp; Finance\FAB Instruments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Patents &amp; Innovation\P Instruments|TextBase TMs\WorkspaceSTS\Treaties &amp; Laws\WIPO Lex|TextBase TMs\WorkspaceSTS\UPOV\UPOV Main|TextBase TMs\WorkspaceSTS\XLegacy\LegacySTS|TextBase TMs\WorkspaceSTS\Patents &amp; Innovation\Patents Main"/>
    <w:docVar w:name="TextBaseURL" w:val="empty"/>
    <w:docVar w:name="UILng" w:val="en"/>
  </w:docVars>
  <w:rsids>
    <w:rsidRoot w:val="003F5AAE"/>
    <w:rsid w:val="00010686"/>
    <w:rsid w:val="00017175"/>
    <w:rsid w:val="00025D31"/>
    <w:rsid w:val="00052915"/>
    <w:rsid w:val="00092A4D"/>
    <w:rsid w:val="000D59C7"/>
    <w:rsid w:val="000E3BB3"/>
    <w:rsid w:val="000F5E56"/>
    <w:rsid w:val="001054CE"/>
    <w:rsid w:val="001362EE"/>
    <w:rsid w:val="001377CF"/>
    <w:rsid w:val="00147789"/>
    <w:rsid w:val="00152CEA"/>
    <w:rsid w:val="00180615"/>
    <w:rsid w:val="001828BB"/>
    <w:rsid w:val="001832A6"/>
    <w:rsid w:val="0018782A"/>
    <w:rsid w:val="001D0BEC"/>
    <w:rsid w:val="00210198"/>
    <w:rsid w:val="00210468"/>
    <w:rsid w:val="00212D2D"/>
    <w:rsid w:val="002433B6"/>
    <w:rsid w:val="002634C4"/>
    <w:rsid w:val="002A5921"/>
    <w:rsid w:val="002A5D3B"/>
    <w:rsid w:val="002C5F98"/>
    <w:rsid w:val="002C7B81"/>
    <w:rsid w:val="002D4E6B"/>
    <w:rsid w:val="002E0F47"/>
    <w:rsid w:val="002F4E68"/>
    <w:rsid w:val="00307A6F"/>
    <w:rsid w:val="00317DC2"/>
    <w:rsid w:val="00354647"/>
    <w:rsid w:val="00366B00"/>
    <w:rsid w:val="00377273"/>
    <w:rsid w:val="003845C1"/>
    <w:rsid w:val="00387287"/>
    <w:rsid w:val="003920E2"/>
    <w:rsid w:val="00396AE9"/>
    <w:rsid w:val="003E48F1"/>
    <w:rsid w:val="003E4C18"/>
    <w:rsid w:val="003F347A"/>
    <w:rsid w:val="003F5AAE"/>
    <w:rsid w:val="00423E3E"/>
    <w:rsid w:val="00427AF4"/>
    <w:rsid w:val="0045231F"/>
    <w:rsid w:val="0045694F"/>
    <w:rsid w:val="004647DA"/>
    <w:rsid w:val="0046793F"/>
    <w:rsid w:val="00477808"/>
    <w:rsid w:val="00477D6B"/>
    <w:rsid w:val="004A6C37"/>
    <w:rsid w:val="004C0C2E"/>
    <w:rsid w:val="004C588E"/>
    <w:rsid w:val="004C6B95"/>
    <w:rsid w:val="004E297D"/>
    <w:rsid w:val="004E738B"/>
    <w:rsid w:val="004F1B8E"/>
    <w:rsid w:val="005142DA"/>
    <w:rsid w:val="00531B02"/>
    <w:rsid w:val="005332F0"/>
    <w:rsid w:val="00537D3F"/>
    <w:rsid w:val="0054221E"/>
    <w:rsid w:val="00544744"/>
    <w:rsid w:val="0055013B"/>
    <w:rsid w:val="00571B99"/>
    <w:rsid w:val="005777DC"/>
    <w:rsid w:val="00587230"/>
    <w:rsid w:val="005B66A3"/>
    <w:rsid w:val="005F47E5"/>
    <w:rsid w:val="00605827"/>
    <w:rsid w:val="00607793"/>
    <w:rsid w:val="00646496"/>
    <w:rsid w:val="0066154B"/>
    <w:rsid w:val="00661946"/>
    <w:rsid w:val="006738B3"/>
    <w:rsid w:val="00675021"/>
    <w:rsid w:val="0069533F"/>
    <w:rsid w:val="006A06C6"/>
    <w:rsid w:val="006B5D0A"/>
    <w:rsid w:val="006D303C"/>
    <w:rsid w:val="007114F2"/>
    <w:rsid w:val="007224C8"/>
    <w:rsid w:val="007824F8"/>
    <w:rsid w:val="00794BE2"/>
    <w:rsid w:val="007A5581"/>
    <w:rsid w:val="007B134A"/>
    <w:rsid w:val="007B71FE"/>
    <w:rsid w:val="007D2978"/>
    <w:rsid w:val="007D781E"/>
    <w:rsid w:val="007E663E"/>
    <w:rsid w:val="007F0400"/>
    <w:rsid w:val="007F653B"/>
    <w:rsid w:val="007F73CA"/>
    <w:rsid w:val="00815082"/>
    <w:rsid w:val="00822F42"/>
    <w:rsid w:val="0082580A"/>
    <w:rsid w:val="00835804"/>
    <w:rsid w:val="0088395E"/>
    <w:rsid w:val="008840D1"/>
    <w:rsid w:val="00896E21"/>
    <w:rsid w:val="008B2CC1"/>
    <w:rsid w:val="008E6BD6"/>
    <w:rsid w:val="008F5C87"/>
    <w:rsid w:val="00901461"/>
    <w:rsid w:val="0090731E"/>
    <w:rsid w:val="00923A56"/>
    <w:rsid w:val="00953629"/>
    <w:rsid w:val="00966A22"/>
    <w:rsid w:val="00972F03"/>
    <w:rsid w:val="0099056B"/>
    <w:rsid w:val="009934B1"/>
    <w:rsid w:val="009A0C8B"/>
    <w:rsid w:val="009B2922"/>
    <w:rsid w:val="009B6241"/>
    <w:rsid w:val="009E4B43"/>
    <w:rsid w:val="009F0DA3"/>
    <w:rsid w:val="00A16383"/>
    <w:rsid w:val="00A16FC0"/>
    <w:rsid w:val="00A32C9E"/>
    <w:rsid w:val="00A67EA4"/>
    <w:rsid w:val="00A94BAA"/>
    <w:rsid w:val="00A96F8F"/>
    <w:rsid w:val="00AB613D"/>
    <w:rsid w:val="00AE7F20"/>
    <w:rsid w:val="00B5786F"/>
    <w:rsid w:val="00B65A0A"/>
    <w:rsid w:val="00B66E1D"/>
    <w:rsid w:val="00B67CDC"/>
    <w:rsid w:val="00B72BED"/>
    <w:rsid w:val="00B72D36"/>
    <w:rsid w:val="00B8744A"/>
    <w:rsid w:val="00BC4164"/>
    <w:rsid w:val="00BD2DCC"/>
    <w:rsid w:val="00BF1750"/>
    <w:rsid w:val="00C07EA1"/>
    <w:rsid w:val="00C1119D"/>
    <w:rsid w:val="00C306D3"/>
    <w:rsid w:val="00C76226"/>
    <w:rsid w:val="00C90559"/>
    <w:rsid w:val="00CA2251"/>
    <w:rsid w:val="00D01814"/>
    <w:rsid w:val="00D56C7C"/>
    <w:rsid w:val="00D71B4D"/>
    <w:rsid w:val="00D75D51"/>
    <w:rsid w:val="00D81C04"/>
    <w:rsid w:val="00D86991"/>
    <w:rsid w:val="00D90289"/>
    <w:rsid w:val="00D93D55"/>
    <w:rsid w:val="00D949B9"/>
    <w:rsid w:val="00D950B7"/>
    <w:rsid w:val="00DC4C60"/>
    <w:rsid w:val="00E0079A"/>
    <w:rsid w:val="00E10E08"/>
    <w:rsid w:val="00E444DA"/>
    <w:rsid w:val="00E45C84"/>
    <w:rsid w:val="00E504E5"/>
    <w:rsid w:val="00E5490D"/>
    <w:rsid w:val="00E654F3"/>
    <w:rsid w:val="00E97751"/>
    <w:rsid w:val="00EB20A3"/>
    <w:rsid w:val="00EB7A3E"/>
    <w:rsid w:val="00EC401A"/>
    <w:rsid w:val="00ED5EAC"/>
    <w:rsid w:val="00EF530A"/>
    <w:rsid w:val="00EF6622"/>
    <w:rsid w:val="00EF78A9"/>
    <w:rsid w:val="00F0310F"/>
    <w:rsid w:val="00F10DE8"/>
    <w:rsid w:val="00F120B1"/>
    <w:rsid w:val="00F448A9"/>
    <w:rsid w:val="00F55408"/>
    <w:rsid w:val="00F66152"/>
    <w:rsid w:val="00F80845"/>
    <w:rsid w:val="00F84474"/>
    <w:rsid w:val="00FA0F0D"/>
    <w:rsid w:val="00FD59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7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7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7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7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7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7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7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uiPriority w:val="99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4C58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7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7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7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7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7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7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7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uiPriority w:val="99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  <w:style w:type="character" w:customStyle="1" w:styleId="shorttext">
    <w:name w:val="short_text"/>
    <w:basedOn w:val="DefaultParagraphFont"/>
    <w:uiPriority w:val="99"/>
    <w:rsid w:val="004C5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30 (S)</Template>
  <TotalTime>1</TotalTime>
  <Pages>9</Pages>
  <Words>2598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PCT/CTC/30/18</vt:lpstr>
    </vt:vector>
  </TitlesOfParts>
  <Company>WIPO</Company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PCT/CTC/30/18</dc:title>
  <dc:subject>Extension of Appointment of the Swedish Patent and Registration Office as an International Searching and Preliminary Examining Authority under the PCT</dc:subject>
  <dc:creator>CEVALLOS DUQUE Nilo</dc:creator>
  <cp:lastModifiedBy>MARLOW Thomas</cp:lastModifiedBy>
  <cp:revision>2</cp:revision>
  <dcterms:created xsi:type="dcterms:W3CDTF">2017-03-24T08:33:00Z</dcterms:created>
  <dcterms:modified xsi:type="dcterms:W3CDTF">2017-03-24T08:33:00Z</dcterms:modified>
</cp:coreProperties>
</file>