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2343A" w:rsidTr="0088395E">
        <w:tc>
          <w:tcPr>
            <w:tcW w:w="4513" w:type="dxa"/>
            <w:tcBorders>
              <w:bottom w:val="single" w:sz="4" w:space="0" w:color="auto"/>
            </w:tcBorders>
            <w:tcMar>
              <w:bottom w:w="170" w:type="dxa"/>
            </w:tcMar>
          </w:tcPr>
          <w:p w:rsidR="00E504E5" w:rsidRPr="0072343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72343A" w:rsidRDefault="00B66E1D" w:rsidP="00AB613D">
            <w:r w:rsidRPr="0072343A">
              <w:rPr>
                <w:noProof/>
                <w:lang w:val="en-US" w:eastAsia="en-US"/>
              </w:rPr>
              <w:drawing>
                <wp:inline distT="0" distB="0" distL="0" distR="0" wp14:anchorId="1005FB33" wp14:editId="5082855B">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2343A" w:rsidRDefault="00E504E5" w:rsidP="00AB613D">
            <w:pPr>
              <w:jc w:val="right"/>
            </w:pPr>
            <w:r w:rsidRPr="0072343A">
              <w:rPr>
                <w:b/>
                <w:sz w:val="40"/>
                <w:szCs w:val="40"/>
              </w:rPr>
              <w:t>S</w:t>
            </w:r>
          </w:p>
        </w:tc>
      </w:tr>
      <w:tr w:rsidR="008B2CC1" w:rsidRPr="0072343A"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72343A" w:rsidRDefault="00B66E1D" w:rsidP="00B66E1D">
            <w:pPr>
              <w:jc w:val="right"/>
              <w:rPr>
                <w:rFonts w:ascii="Arial Black" w:hAnsi="Arial Black"/>
                <w:caps/>
                <w:sz w:val="15"/>
              </w:rPr>
            </w:pPr>
            <w:r w:rsidRPr="0072343A">
              <w:rPr>
                <w:rFonts w:ascii="Arial Black" w:hAnsi="Arial Black"/>
                <w:caps/>
                <w:sz w:val="15"/>
              </w:rPr>
              <w:t>PCT/CTC/30/</w:t>
            </w:r>
            <w:bookmarkStart w:id="1" w:name="Code"/>
            <w:bookmarkEnd w:id="1"/>
            <w:r w:rsidR="00051171" w:rsidRPr="0072343A">
              <w:rPr>
                <w:rFonts w:ascii="Arial Black" w:hAnsi="Arial Black"/>
                <w:caps/>
                <w:sz w:val="15"/>
              </w:rPr>
              <w:t>12</w:t>
            </w:r>
          </w:p>
        </w:tc>
      </w:tr>
      <w:tr w:rsidR="008B2CC1" w:rsidRPr="0072343A" w:rsidTr="00AB613D">
        <w:trPr>
          <w:trHeight w:hRule="exact" w:val="170"/>
        </w:trPr>
        <w:tc>
          <w:tcPr>
            <w:tcW w:w="9356" w:type="dxa"/>
            <w:gridSpan w:val="3"/>
            <w:noWrap/>
            <w:tcMar>
              <w:left w:w="0" w:type="dxa"/>
              <w:right w:w="0" w:type="dxa"/>
            </w:tcMar>
            <w:vAlign w:val="bottom"/>
          </w:tcPr>
          <w:p w:rsidR="008B2CC1" w:rsidRPr="0072343A" w:rsidRDefault="008B2CC1" w:rsidP="0046793F">
            <w:pPr>
              <w:jc w:val="right"/>
              <w:rPr>
                <w:rFonts w:ascii="Arial Black" w:hAnsi="Arial Black"/>
                <w:caps/>
                <w:sz w:val="15"/>
              </w:rPr>
            </w:pPr>
            <w:r w:rsidRPr="0072343A">
              <w:rPr>
                <w:rFonts w:ascii="Arial Black" w:hAnsi="Arial Black"/>
                <w:caps/>
                <w:sz w:val="15"/>
              </w:rPr>
              <w:t xml:space="preserve">ORIGINAL: </w:t>
            </w:r>
            <w:bookmarkStart w:id="2" w:name="Original"/>
            <w:bookmarkEnd w:id="2"/>
            <w:r w:rsidR="00051171" w:rsidRPr="0072343A">
              <w:rPr>
                <w:rFonts w:ascii="Arial Black" w:hAnsi="Arial Black"/>
                <w:caps/>
                <w:sz w:val="15"/>
              </w:rPr>
              <w:t xml:space="preserve"> INGLÉS</w:t>
            </w:r>
          </w:p>
        </w:tc>
      </w:tr>
      <w:tr w:rsidR="008B2CC1" w:rsidRPr="0072343A" w:rsidTr="00AB613D">
        <w:trPr>
          <w:trHeight w:hRule="exact" w:val="198"/>
        </w:trPr>
        <w:tc>
          <w:tcPr>
            <w:tcW w:w="9356" w:type="dxa"/>
            <w:gridSpan w:val="3"/>
            <w:tcMar>
              <w:left w:w="0" w:type="dxa"/>
              <w:right w:w="0" w:type="dxa"/>
            </w:tcMar>
            <w:vAlign w:val="bottom"/>
          </w:tcPr>
          <w:p w:rsidR="008B2CC1" w:rsidRPr="0072343A" w:rsidRDefault="00675021" w:rsidP="0046793F">
            <w:pPr>
              <w:jc w:val="right"/>
              <w:rPr>
                <w:rFonts w:ascii="Arial Black" w:hAnsi="Arial Black"/>
                <w:caps/>
                <w:sz w:val="15"/>
              </w:rPr>
            </w:pPr>
            <w:r w:rsidRPr="0072343A">
              <w:rPr>
                <w:rFonts w:ascii="Arial Black" w:hAnsi="Arial Black"/>
                <w:caps/>
                <w:sz w:val="15"/>
              </w:rPr>
              <w:t>fecha</w:t>
            </w:r>
            <w:r w:rsidR="008B2CC1" w:rsidRPr="0072343A">
              <w:rPr>
                <w:rFonts w:ascii="Arial Black" w:hAnsi="Arial Black"/>
                <w:caps/>
                <w:sz w:val="15"/>
              </w:rPr>
              <w:t xml:space="preserve">: </w:t>
            </w:r>
            <w:bookmarkStart w:id="3" w:name="Date"/>
            <w:bookmarkEnd w:id="3"/>
            <w:r w:rsidR="00051171" w:rsidRPr="0072343A">
              <w:rPr>
                <w:rFonts w:ascii="Arial Black" w:hAnsi="Arial Black"/>
                <w:caps/>
                <w:sz w:val="15"/>
              </w:rPr>
              <w:t xml:space="preserve"> 16 DE MARZO DE 2017</w:t>
            </w:r>
          </w:p>
        </w:tc>
      </w:tr>
    </w:tbl>
    <w:p w:rsidR="008B2CC1" w:rsidRPr="0072343A" w:rsidRDefault="008B2CC1" w:rsidP="008B2CC1"/>
    <w:p w:rsidR="008B2CC1" w:rsidRPr="0072343A" w:rsidRDefault="008B2CC1" w:rsidP="008B2CC1"/>
    <w:p w:rsidR="008B2CC1" w:rsidRPr="0072343A" w:rsidRDefault="008B2CC1" w:rsidP="008B2CC1"/>
    <w:p w:rsidR="008B2CC1" w:rsidRPr="0072343A" w:rsidRDefault="008B2CC1" w:rsidP="008B2CC1"/>
    <w:p w:rsidR="008B2CC1" w:rsidRPr="0072343A" w:rsidRDefault="008B2CC1" w:rsidP="008B2CC1"/>
    <w:p w:rsidR="00B67CDC" w:rsidRPr="0072343A" w:rsidRDefault="00B66E1D" w:rsidP="00B67CDC">
      <w:pPr>
        <w:rPr>
          <w:b/>
          <w:sz w:val="28"/>
          <w:szCs w:val="28"/>
        </w:rPr>
      </w:pPr>
      <w:r w:rsidRPr="0072343A">
        <w:rPr>
          <w:b/>
          <w:sz w:val="28"/>
          <w:szCs w:val="28"/>
        </w:rPr>
        <w:t>Tratado de Cooperac</w:t>
      </w:r>
      <w:r w:rsidR="007D2978" w:rsidRPr="0072343A">
        <w:rPr>
          <w:b/>
          <w:sz w:val="28"/>
          <w:szCs w:val="28"/>
        </w:rPr>
        <w:t>ió</w:t>
      </w:r>
      <w:r w:rsidRPr="0072343A">
        <w:rPr>
          <w:b/>
          <w:sz w:val="28"/>
          <w:szCs w:val="28"/>
        </w:rPr>
        <w:t>n en materia de Patentes (PCT)</w:t>
      </w:r>
    </w:p>
    <w:p w:rsidR="00B66E1D" w:rsidRPr="0072343A" w:rsidRDefault="007D2978" w:rsidP="00B67CDC">
      <w:pPr>
        <w:rPr>
          <w:b/>
          <w:sz w:val="28"/>
          <w:szCs w:val="28"/>
        </w:rPr>
      </w:pPr>
      <w:r w:rsidRPr="0072343A">
        <w:rPr>
          <w:b/>
          <w:sz w:val="28"/>
          <w:szCs w:val="28"/>
        </w:rPr>
        <w:t>Comité de Cooperació</w:t>
      </w:r>
      <w:r w:rsidR="00B66E1D" w:rsidRPr="0072343A">
        <w:rPr>
          <w:b/>
          <w:sz w:val="28"/>
          <w:szCs w:val="28"/>
        </w:rPr>
        <w:t>n Técnica</w:t>
      </w:r>
    </w:p>
    <w:p w:rsidR="003845C1" w:rsidRPr="0072343A" w:rsidRDefault="003845C1" w:rsidP="003845C1"/>
    <w:p w:rsidR="003845C1" w:rsidRPr="0072343A" w:rsidRDefault="003845C1" w:rsidP="003845C1"/>
    <w:p w:rsidR="00B67CDC" w:rsidRPr="0072343A" w:rsidRDefault="007D2978" w:rsidP="00B67CDC">
      <w:pPr>
        <w:rPr>
          <w:b/>
          <w:sz w:val="24"/>
          <w:szCs w:val="24"/>
        </w:rPr>
      </w:pPr>
      <w:r w:rsidRPr="0072343A">
        <w:rPr>
          <w:b/>
          <w:sz w:val="24"/>
          <w:szCs w:val="24"/>
        </w:rPr>
        <w:t>Trigésima sesió</w:t>
      </w:r>
      <w:r w:rsidR="00B66E1D" w:rsidRPr="0072343A">
        <w:rPr>
          <w:b/>
          <w:sz w:val="24"/>
          <w:szCs w:val="24"/>
        </w:rPr>
        <w:t>n</w:t>
      </w:r>
    </w:p>
    <w:p w:rsidR="00B67CDC" w:rsidRPr="0072343A" w:rsidRDefault="00B66E1D" w:rsidP="00B67CDC">
      <w:pPr>
        <w:rPr>
          <w:b/>
          <w:sz w:val="24"/>
          <w:szCs w:val="24"/>
        </w:rPr>
      </w:pPr>
      <w:r w:rsidRPr="0072343A">
        <w:rPr>
          <w:b/>
          <w:sz w:val="24"/>
          <w:szCs w:val="24"/>
        </w:rPr>
        <w:t>Ginebra, 8 a 12 de mayo de 2017</w:t>
      </w:r>
    </w:p>
    <w:p w:rsidR="008B2CC1" w:rsidRPr="0072343A" w:rsidRDefault="008B2CC1" w:rsidP="008B2CC1"/>
    <w:p w:rsidR="008B2CC1" w:rsidRPr="0072343A" w:rsidRDefault="008B2CC1" w:rsidP="008B2CC1"/>
    <w:p w:rsidR="008B2CC1" w:rsidRPr="0072343A" w:rsidRDefault="008B2CC1" w:rsidP="008B2CC1"/>
    <w:p w:rsidR="00051171" w:rsidRPr="0072343A" w:rsidRDefault="00CF6D13" w:rsidP="00051171">
      <w:pPr>
        <w:rPr>
          <w:caps/>
          <w:sz w:val="24"/>
        </w:rPr>
      </w:pPr>
      <w:bookmarkStart w:id="4" w:name="TitleOfDoc"/>
      <w:bookmarkEnd w:id="4"/>
      <w:r w:rsidRPr="0072343A">
        <w:rPr>
          <w:caps/>
          <w:sz w:val="24"/>
        </w:rPr>
        <w:t xml:space="preserve">Prórroga de la designación de la Oficina Nacional de Patentes y Registros de Finlandia </w:t>
      </w:r>
      <w:r w:rsidR="00506A41">
        <w:rPr>
          <w:caps/>
          <w:sz w:val="24"/>
        </w:rPr>
        <w:t>COMO</w:t>
      </w:r>
      <w:r w:rsidR="00734483" w:rsidRPr="0072343A">
        <w:rPr>
          <w:caps/>
          <w:sz w:val="24"/>
        </w:rPr>
        <w:t xml:space="preserve"> Administración encargada de la búsqueda internacional y del examen preliminar internacional en virtud del PCT </w:t>
      </w:r>
      <w:r w:rsidRPr="0072343A">
        <w:rPr>
          <w:caps/>
          <w:sz w:val="24"/>
          <w:highlight w:val="yellow"/>
        </w:rPr>
        <w:t xml:space="preserve">  </w:t>
      </w:r>
    </w:p>
    <w:p w:rsidR="00051171" w:rsidRPr="0072343A" w:rsidRDefault="00051171" w:rsidP="00051171"/>
    <w:p w:rsidR="00051171" w:rsidRPr="0072343A" w:rsidRDefault="00051171" w:rsidP="00051171">
      <w:pPr>
        <w:rPr>
          <w:i/>
        </w:rPr>
      </w:pPr>
      <w:bookmarkStart w:id="5" w:name="Prepared"/>
      <w:bookmarkEnd w:id="5"/>
      <w:r w:rsidRPr="0072343A">
        <w:rPr>
          <w:i/>
        </w:rPr>
        <w:t>Document</w:t>
      </w:r>
      <w:r w:rsidR="00CF6D13" w:rsidRPr="0072343A">
        <w:rPr>
          <w:i/>
        </w:rPr>
        <w:t>o</w:t>
      </w:r>
      <w:r w:rsidRPr="0072343A">
        <w:rPr>
          <w:i/>
        </w:rPr>
        <w:t xml:space="preserve"> prepar</w:t>
      </w:r>
      <w:r w:rsidR="00CF6D13" w:rsidRPr="0072343A">
        <w:rPr>
          <w:i/>
        </w:rPr>
        <w:t xml:space="preserve">ado por la Oficina Internacional  </w:t>
      </w:r>
    </w:p>
    <w:p w:rsidR="00051171" w:rsidRPr="0072343A" w:rsidRDefault="00051171" w:rsidP="00051171"/>
    <w:p w:rsidR="00051171" w:rsidRPr="0072343A" w:rsidRDefault="00051171" w:rsidP="00051171"/>
    <w:p w:rsidR="00051171" w:rsidRPr="0072343A" w:rsidRDefault="00051171" w:rsidP="00051171"/>
    <w:p w:rsidR="00051171" w:rsidRPr="0072343A" w:rsidRDefault="00051171" w:rsidP="00051171"/>
    <w:p w:rsidR="00051171" w:rsidRPr="0072343A" w:rsidRDefault="00800DB4" w:rsidP="00051171">
      <w:pPr>
        <w:pStyle w:val="ONUME"/>
      </w:pPr>
      <w:bookmarkStart w:id="6" w:name="_Ref447032909"/>
      <w:r w:rsidRPr="0072343A">
        <w:t>Todas las Administraciones Internacionales existentes fueron designadas por la Asamblea de</w:t>
      </w:r>
      <w:r w:rsidR="00506A41">
        <w:t xml:space="preserve"> la Unión </w:t>
      </w:r>
      <w:r w:rsidRPr="0072343A">
        <w:t xml:space="preserve">PCT por un plazo que </w:t>
      </w:r>
      <w:r w:rsidR="00646D9C" w:rsidRPr="0072343A">
        <w:t>expirará</w:t>
      </w:r>
      <w:r w:rsidRPr="0072343A">
        <w:t xml:space="preserve"> el 31 de diciembre de </w:t>
      </w:r>
      <w:r w:rsidR="00051171" w:rsidRPr="0072343A">
        <w:t>2017.</w:t>
      </w:r>
      <w:r w:rsidR="00EB7E2B">
        <w:t xml:space="preserve">  Por consiguiente, en </w:t>
      </w:r>
      <w:r w:rsidR="00051171" w:rsidRPr="0072343A">
        <w:t>2017</w:t>
      </w:r>
      <w:r w:rsidR="00FD6F78" w:rsidRPr="0072343A">
        <w:t xml:space="preserve"> la Asamblea </w:t>
      </w:r>
      <w:r w:rsidR="00BB6B4D" w:rsidRPr="0072343A">
        <w:t>estará llamada a</w:t>
      </w:r>
      <w:r w:rsidR="00FD6F78" w:rsidRPr="0072343A">
        <w:t xml:space="preserve"> adoptar una decisión con respecto a la</w:t>
      </w:r>
      <w:r w:rsidR="00BB6B4D" w:rsidRPr="0072343A">
        <w:t xml:space="preserve"> prórroga de la designación de c</w:t>
      </w:r>
      <w:r w:rsidR="00FD6F78" w:rsidRPr="0072343A">
        <w:t>a</w:t>
      </w:r>
      <w:r w:rsidR="00BB6B4D" w:rsidRPr="0072343A">
        <w:t>da una de las Administraciones i</w:t>
      </w:r>
      <w:r w:rsidR="00FD6F78" w:rsidRPr="0072343A">
        <w:t xml:space="preserve">nternacionales existentes </w:t>
      </w:r>
      <w:r w:rsidR="00646D9C" w:rsidRPr="0072343A">
        <w:t xml:space="preserve">que aspiren a </w:t>
      </w:r>
      <w:r w:rsidR="00FD6F78" w:rsidRPr="0072343A">
        <w:t>una prórroga de su designación, teniendo en cuenta la recomendación previamente solicitada a</w:t>
      </w:r>
      <w:r w:rsidR="00BB6B4D" w:rsidRPr="0072343A">
        <w:t xml:space="preserve"> </w:t>
      </w:r>
      <w:r w:rsidR="00FD6F78" w:rsidRPr="0072343A">
        <w:t xml:space="preserve">este Comité </w:t>
      </w:r>
      <w:r w:rsidR="00051171" w:rsidRPr="0072343A">
        <w:t>(</w:t>
      </w:r>
      <w:r w:rsidR="00FD6F78" w:rsidRPr="0072343A">
        <w:t xml:space="preserve">véanse los Artículos </w:t>
      </w:r>
      <w:r w:rsidR="00051171" w:rsidRPr="0072343A">
        <w:t>16</w:t>
      </w:r>
      <w:r w:rsidR="00FD6F78" w:rsidRPr="0072343A">
        <w:t>.</w:t>
      </w:r>
      <w:r w:rsidR="00051171" w:rsidRPr="0072343A">
        <w:t xml:space="preserve">3)e) </w:t>
      </w:r>
      <w:r w:rsidR="00FD6F78" w:rsidRPr="0072343A">
        <w:t>y 32.</w:t>
      </w:r>
      <w:r w:rsidR="00051171" w:rsidRPr="0072343A">
        <w:t>3)</w:t>
      </w:r>
      <w:r w:rsidR="00FD6F78" w:rsidRPr="0072343A">
        <w:t xml:space="preserve"> del PCT</w:t>
      </w:r>
      <w:r w:rsidR="00051171" w:rsidRPr="0072343A">
        <w:t>).</w:t>
      </w:r>
      <w:bookmarkEnd w:id="6"/>
      <w:r w:rsidR="00051171" w:rsidRPr="0072343A">
        <w:t xml:space="preserve"> </w:t>
      </w:r>
      <w:r w:rsidR="00FD6F78" w:rsidRPr="0072343A">
        <w:t xml:space="preserve"> El documento</w:t>
      </w:r>
      <w:r w:rsidR="0028310F" w:rsidRPr="0072343A">
        <w:t xml:space="preserve"> PCT/CTC/30/INF/1 </w:t>
      </w:r>
      <w:r w:rsidR="00BB6B4D" w:rsidRPr="0072343A">
        <w:t xml:space="preserve">contiene más </w:t>
      </w:r>
      <w:r w:rsidR="0028310F" w:rsidRPr="0072343A">
        <w:t xml:space="preserve">información </w:t>
      </w:r>
      <w:r w:rsidR="00BB6B4D" w:rsidRPr="0072343A">
        <w:t>sobre</w:t>
      </w:r>
      <w:r w:rsidR="0028310F" w:rsidRPr="0072343A">
        <w:t xml:space="preserve"> este proceso y </w:t>
      </w:r>
      <w:r w:rsidR="00BB6B4D" w:rsidRPr="0072343A">
        <w:t>sobre</w:t>
      </w:r>
      <w:r w:rsidR="0028310F" w:rsidRPr="0072343A">
        <w:t xml:space="preserve"> la función del Comité en el marco del mismo</w:t>
      </w:r>
      <w:r w:rsidR="00051171" w:rsidRPr="0072343A">
        <w:t>.</w:t>
      </w:r>
    </w:p>
    <w:p w:rsidR="00506A41" w:rsidRPr="000060CE" w:rsidRDefault="00800DB4" w:rsidP="00506A41">
      <w:pPr>
        <w:pStyle w:val="ONUME"/>
      </w:pPr>
      <w:r w:rsidRPr="0072343A">
        <w:t xml:space="preserve">El 7 de marzo de </w:t>
      </w:r>
      <w:r w:rsidR="00051171" w:rsidRPr="0072343A">
        <w:t>2017,</w:t>
      </w:r>
      <w:r w:rsidRPr="0072343A">
        <w:t xml:space="preserve"> la Oficina Nacional de Patentes y Registros de Finlandia presentó </w:t>
      </w:r>
      <w:r w:rsidR="00646D9C" w:rsidRPr="0072343A">
        <w:t>la</w:t>
      </w:r>
      <w:r w:rsidRPr="0072343A">
        <w:t xml:space="preserve"> solicitud de prórroga de su designación como Administración encargada de la búsqueda internacional y del examen preliminar internacional en virtud del PCT.  </w:t>
      </w:r>
      <w:r w:rsidR="00506A41" w:rsidRPr="000060CE">
        <w:t>Dicha solicitud se reproduce en el Anexo a este documento.</w:t>
      </w:r>
    </w:p>
    <w:p w:rsidR="00051171" w:rsidRPr="00506A41" w:rsidRDefault="00734483" w:rsidP="00051171">
      <w:pPr>
        <w:pStyle w:val="ONUME"/>
        <w:ind w:left="5533"/>
        <w:rPr>
          <w:i/>
        </w:rPr>
      </w:pPr>
      <w:r w:rsidRPr="00506A41">
        <w:rPr>
          <w:i/>
        </w:rPr>
        <w:t xml:space="preserve">Se invita al Comité a dar su </w:t>
      </w:r>
      <w:r w:rsidR="00800DB4" w:rsidRPr="00506A41">
        <w:rPr>
          <w:i/>
        </w:rPr>
        <w:t>opinión sobre este asunto</w:t>
      </w:r>
      <w:r w:rsidR="00051171" w:rsidRPr="00506A41">
        <w:rPr>
          <w:i/>
        </w:rPr>
        <w:t>.</w:t>
      </w:r>
    </w:p>
    <w:p w:rsidR="00051171" w:rsidRPr="0072343A" w:rsidRDefault="00051171" w:rsidP="00051171">
      <w:pPr>
        <w:pStyle w:val="ONUME"/>
        <w:numPr>
          <w:ilvl w:val="0"/>
          <w:numId w:val="0"/>
        </w:numPr>
      </w:pPr>
    </w:p>
    <w:p w:rsidR="00F84474" w:rsidRPr="0072343A" w:rsidRDefault="00051171" w:rsidP="00051171">
      <w:pPr>
        <w:pStyle w:val="Endofdocument-Annex"/>
        <w:rPr>
          <w:lang w:val="es-ES"/>
        </w:rPr>
      </w:pPr>
      <w:r w:rsidRPr="0072343A">
        <w:rPr>
          <w:lang w:val="es-ES"/>
        </w:rPr>
        <w:t>[Sigue el Anexo]</w:t>
      </w:r>
    </w:p>
    <w:p w:rsidR="00051171" w:rsidRPr="0072343A" w:rsidRDefault="00051171">
      <w:pPr>
        <w:sectPr w:rsidR="00051171" w:rsidRPr="0072343A" w:rsidSect="00051171">
          <w:headerReference w:type="default" r:id="rId9"/>
          <w:pgSz w:w="11907" w:h="16840" w:code="9"/>
          <w:pgMar w:top="567" w:right="1134" w:bottom="1418" w:left="1418" w:header="510" w:footer="1021" w:gutter="0"/>
          <w:cols w:space="720"/>
          <w:titlePg/>
          <w:docGrid w:linePitch="299"/>
        </w:sectPr>
      </w:pPr>
    </w:p>
    <w:p w:rsidR="000D0A9F" w:rsidRPr="0072343A" w:rsidRDefault="0028310F" w:rsidP="000D0A9F">
      <w:pPr>
        <w:pStyle w:val="ONUME"/>
        <w:numPr>
          <w:ilvl w:val="0"/>
          <w:numId w:val="0"/>
        </w:numPr>
        <w:jc w:val="center"/>
        <w:rPr>
          <w:caps/>
        </w:rPr>
      </w:pPr>
      <w:r w:rsidRPr="0072343A">
        <w:rPr>
          <w:caps/>
        </w:rPr>
        <w:lastRenderedPageBreak/>
        <w:t>solicitud por parte DE LA OFICINA NACIONAL DE PATENTES Y REGISTROS DE FINLANDIA de una prórroga de su designación como Administración encargada de la búsqueda internacional y del examen preliminar internacional en virtud del PCT</w:t>
      </w:r>
    </w:p>
    <w:p w:rsidR="000D0A9F" w:rsidRPr="0072343A" w:rsidRDefault="000D0A9F" w:rsidP="000D0A9F">
      <w:pPr>
        <w:pStyle w:val="SectionHeading"/>
        <w:rPr>
          <w:lang w:val="es-ES"/>
        </w:rPr>
      </w:pPr>
      <w:r w:rsidRPr="0072343A">
        <w:rPr>
          <w:lang w:val="es-ES"/>
        </w:rPr>
        <w:t>1 – General</w:t>
      </w:r>
    </w:p>
    <w:p w:rsidR="000D0A9F" w:rsidRPr="0072343A" w:rsidRDefault="0028310F" w:rsidP="000D0A9F">
      <w:pPr>
        <w:rPr>
          <w:b/>
        </w:rPr>
      </w:pPr>
      <w:r w:rsidRPr="0072343A">
        <w:rPr>
          <w:b/>
        </w:rPr>
        <w:t>Denominación de la Oficina nacional o de la Organización intergubernamental</w:t>
      </w:r>
      <w:r w:rsidR="000D0A9F" w:rsidRPr="0072343A">
        <w:rPr>
          <w:b/>
        </w:rPr>
        <w:t xml:space="preserve">:  </w:t>
      </w:r>
    </w:p>
    <w:p w:rsidR="000D0A9F" w:rsidRPr="0072343A" w:rsidRDefault="000D0A9F" w:rsidP="000D0A9F"/>
    <w:p w:rsidR="000D0A9F" w:rsidRPr="0072343A" w:rsidRDefault="00C121CD" w:rsidP="000D0A9F">
      <w:r w:rsidRPr="0072343A">
        <w:t>Oficina Nacional de Patentes y Registros de Finlandia</w:t>
      </w:r>
    </w:p>
    <w:p w:rsidR="00C121CD" w:rsidRPr="0072343A" w:rsidRDefault="00C121CD" w:rsidP="000D0A9F"/>
    <w:p w:rsidR="000D0A9F" w:rsidRPr="0072343A" w:rsidRDefault="008C4B6B" w:rsidP="000D0A9F">
      <w:pPr>
        <w:rPr>
          <w:b/>
        </w:rPr>
      </w:pPr>
      <w:r w:rsidRPr="0072343A">
        <w:rPr>
          <w:b/>
        </w:rPr>
        <w:t xml:space="preserve">Fecha en la cual la solicitud de designación fue recibida por el Director </w:t>
      </w:r>
      <w:r w:rsidR="000D0A9F" w:rsidRPr="0072343A">
        <w:rPr>
          <w:b/>
        </w:rPr>
        <w:t>General:</w:t>
      </w:r>
    </w:p>
    <w:p w:rsidR="000D0A9F" w:rsidRPr="0072343A" w:rsidRDefault="000D0A9F" w:rsidP="000D0A9F"/>
    <w:p w:rsidR="000D0A9F" w:rsidRPr="0072343A" w:rsidRDefault="0032530C" w:rsidP="000D0A9F">
      <w:r w:rsidRPr="0072343A">
        <w:t xml:space="preserve">7 de marzo de </w:t>
      </w:r>
      <w:r w:rsidR="000D0A9F" w:rsidRPr="0072343A">
        <w:t>2017</w:t>
      </w:r>
    </w:p>
    <w:p w:rsidR="000D0A9F" w:rsidRPr="0072343A" w:rsidRDefault="000D0A9F" w:rsidP="000D0A9F"/>
    <w:p w:rsidR="000D0A9F" w:rsidRPr="0072343A" w:rsidRDefault="0032530C" w:rsidP="000D0A9F">
      <w:pPr>
        <w:rPr>
          <w:szCs w:val="22"/>
        </w:rPr>
      </w:pPr>
      <w:r w:rsidRPr="0072343A">
        <w:rPr>
          <w:b/>
          <w:bCs/>
          <w:szCs w:val="22"/>
        </w:rPr>
        <w:t xml:space="preserve">Período de sesiones de la Asamblea en el cual </w:t>
      </w:r>
      <w:r w:rsidR="001804C9" w:rsidRPr="0072343A">
        <w:rPr>
          <w:b/>
          <w:bCs/>
          <w:szCs w:val="22"/>
        </w:rPr>
        <w:t>aspira a ser designada</w:t>
      </w:r>
      <w:r w:rsidR="000D0A9F" w:rsidRPr="0072343A">
        <w:rPr>
          <w:b/>
          <w:bCs/>
          <w:szCs w:val="22"/>
        </w:rPr>
        <w:t>:</w:t>
      </w:r>
      <w:r w:rsidR="000D0A9F" w:rsidRPr="0072343A">
        <w:rPr>
          <w:szCs w:val="22"/>
        </w:rPr>
        <w:t xml:space="preserve">  </w:t>
      </w:r>
    </w:p>
    <w:p w:rsidR="000D0A9F" w:rsidRPr="0072343A" w:rsidRDefault="000D0A9F" w:rsidP="000D0A9F"/>
    <w:p w:rsidR="000D0A9F" w:rsidRPr="0072343A" w:rsidRDefault="00C121CD" w:rsidP="000D0A9F">
      <w:r w:rsidRPr="0072343A">
        <w:t>C</w:t>
      </w:r>
      <w:r w:rsidR="0032530C" w:rsidRPr="0072343A">
        <w:t>uadragésimo noveno período de sesiones de la Asamblea del PCT</w:t>
      </w:r>
    </w:p>
    <w:p w:rsidR="0032530C" w:rsidRPr="0072343A" w:rsidRDefault="0032530C" w:rsidP="000D0A9F"/>
    <w:p w:rsidR="000D0A9F" w:rsidRPr="0072343A" w:rsidRDefault="008C4B6B" w:rsidP="000D0A9F">
      <w:pPr>
        <w:rPr>
          <w:szCs w:val="22"/>
        </w:rPr>
      </w:pPr>
      <w:r w:rsidRPr="0072343A">
        <w:rPr>
          <w:b/>
          <w:bCs/>
          <w:szCs w:val="22"/>
        </w:rPr>
        <w:t>Fecha prevista en la que podría comenzar la actividad en calidad de Administración encargada de la búsqueda internacional y del examen preliminar internacional</w:t>
      </w:r>
      <w:r w:rsidR="000D0A9F" w:rsidRPr="0072343A">
        <w:rPr>
          <w:b/>
          <w:bCs/>
          <w:szCs w:val="22"/>
        </w:rPr>
        <w:t>:</w:t>
      </w:r>
      <w:r w:rsidR="000D0A9F" w:rsidRPr="0072343A">
        <w:rPr>
          <w:szCs w:val="22"/>
        </w:rPr>
        <w:t xml:space="preserve">  </w:t>
      </w:r>
    </w:p>
    <w:p w:rsidR="000D0A9F" w:rsidRPr="0072343A" w:rsidRDefault="000D0A9F" w:rsidP="000D0A9F"/>
    <w:p w:rsidR="000D0A9F" w:rsidRPr="0072343A" w:rsidRDefault="008C4B6B" w:rsidP="000D0A9F">
      <w:pPr>
        <w:rPr>
          <w:noProof/>
        </w:rPr>
      </w:pPr>
      <w:r w:rsidRPr="0072343A">
        <w:rPr>
          <w:noProof/>
        </w:rPr>
        <w:t xml:space="preserve">1 de enero de </w:t>
      </w:r>
      <w:r w:rsidR="000D0A9F" w:rsidRPr="0072343A">
        <w:rPr>
          <w:noProof/>
        </w:rPr>
        <w:t xml:space="preserve">2018, </w:t>
      </w:r>
      <w:r w:rsidRPr="0072343A">
        <w:rPr>
          <w:noProof/>
        </w:rPr>
        <w:t xml:space="preserve">fecha en la cual entraría en vigor la prórroga de </w:t>
      </w:r>
      <w:r w:rsidR="00BB6B4D" w:rsidRPr="0072343A">
        <w:rPr>
          <w:noProof/>
        </w:rPr>
        <w:t>su</w:t>
      </w:r>
      <w:r w:rsidRPr="0072343A">
        <w:rPr>
          <w:noProof/>
        </w:rPr>
        <w:t xml:space="preserve"> actual designación como Administración encargada de la búsqueda internacional y del examen preliminar internacional</w:t>
      </w:r>
      <w:r w:rsidR="000D0A9F" w:rsidRPr="0072343A">
        <w:rPr>
          <w:noProof/>
        </w:rPr>
        <w:t xml:space="preserve">. </w:t>
      </w:r>
    </w:p>
    <w:p w:rsidR="000D0A9F" w:rsidRPr="0072343A" w:rsidRDefault="000D0A9F" w:rsidP="000D0A9F"/>
    <w:p w:rsidR="000D0A9F" w:rsidRPr="0072343A" w:rsidRDefault="008C4B6B" w:rsidP="000D0A9F">
      <w:pPr>
        <w:rPr>
          <w:b/>
          <w:bCs/>
          <w:szCs w:val="22"/>
        </w:rPr>
      </w:pPr>
      <w:r w:rsidRPr="0072343A">
        <w:rPr>
          <w:b/>
          <w:noProof/>
        </w:rPr>
        <w:t xml:space="preserve">Administración(es) encargada(s) de la búsqueda internacional y del examen preliminar internacional </w:t>
      </w:r>
      <w:r w:rsidR="00703415" w:rsidRPr="0072343A">
        <w:rPr>
          <w:b/>
          <w:noProof/>
        </w:rPr>
        <w:t>existente(s) que haya(n) prestado su asistencia para evaluar el grado de cumplimiento de los criterios</w:t>
      </w:r>
      <w:r w:rsidR="000D0A9F" w:rsidRPr="0072343A">
        <w:rPr>
          <w:b/>
          <w:bCs/>
          <w:szCs w:val="22"/>
        </w:rPr>
        <w:t>:</w:t>
      </w:r>
    </w:p>
    <w:p w:rsidR="000D0A9F" w:rsidRPr="0072343A" w:rsidRDefault="000D0A9F" w:rsidP="000D0A9F">
      <w:r w:rsidRPr="0072343A">
        <w:t xml:space="preserve">  </w:t>
      </w:r>
    </w:p>
    <w:p w:rsidR="000D0A9F" w:rsidRPr="0072343A" w:rsidRDefault="00DA408C" w:rsidP="000D0A9F">
      <w:r>
        <w:softHyphen/>
      </w:r>
      <w:r>
        <w:softHyphen/>
        <w:t>N</w:t>
      </w:r>
      <w:r w:rsidR="000D0A9F" w:rsidRPr="0072343A">
        <w:t>/a</w:t>
      </w:r>
    </w:p>
    <w:p w:rsidR="000D0A9F" w:rsidRPr="0072343A" w:rsidRDefault="000D0A9F" w:rsidP="000D0A9F">
      <w:pPr>
        <w:pStyle w:val="SectionHeading"/>
        <w:rPr>
          <w:lang w:val="es-ES"/>
        </w:rPr>
      </w:pPr>
      <w:r w:rsidRPr="0072343A">
        <w:rPr>
          <w:lang w:val="es-ES"/>
        </w:rPr>
        <w:t xml:space="preserve">2 – </w:t>
      </w:r>
      <w:r w:rsidR="0084599C" w:rsidRPr="0072343A">
        <w:rPr>
          <w:lang w:val="es-ES"/>
        </w:rPr>
        <w:t xml:space="preserve">Criterios </w:t>
      </w:r>
      <w:r w:rsidRPr="00D36760">
        <w:rPr>
          <w:lang w:val="es-ES"/>
        </w:rPr>
        <w:t>Sustantiv</w:t>
      </w:r>
      <w:r w:rsidR="0084599C" w:rsidRPr="00D36760">
        <w:rPr>
          <w:lang w:val="es-ES"/>
        </w:rPr>
        <w:t>os</w:t>
      </w:r>
      <w:proofErr w:type="gramStart"/>
      <w:r w:rsidRPr="0072343A">
        <w:rPr>
          <w:lang w:val="es-ES"/>
        </w:rPr>
        <w:t xml:space="preserve">:  </w:t>
      </w:r>
      <w:r w:rsidR="0084599C" w:rsidRPr="0072343A">
        <w:rPr>
          <w:lang w:val="es-ES"/>
        </w:rPr>
        <w:t>requisitos</w:t>
      </w:r>
      <w:proofErr w:type="gramEnd"/>
      <w:r w:rsidR="0084599C" w:rsidRPr="0072343A">
        <w:rPr>
          <w:lang w:val="es-ES"/>
        </w:rPr>
        <w:t xml:space="preserve"> mínimos para la designación </w:t>
      </w:r>
    </w:p>
    <w:p w:rsidR="000D0A9F" w:rsidRPr="0072343A" w:rsidRDefault="000D0A9F" w:rsidP="000D0A9F">
      <w:pPr>
        <w:rPr>
          <w:sz w:val="16"/>
          <w:szCs w:val="16"/>
        </w:rPr>
      </w:pPr>
    </w:p>
    <w:p w:rsidR="000D0A9F" w:rsidRPr="0072343A" w:rsidRDefault="000D0A9F" w:rsidP="000D0A9F">
      <w:pPr>
        <w:pStyle w:val="SectionHeading"/>
        <w:spacing w:before="0"/>
        <w:rPr>
          <w:lang w:val="es-ES"/>
        </w:rPr>
      </w:pPr>
      <w:r w:rsidRPr="0072343A">
        <w:rPr>
          <w:lang w:val="es-ES"/>
        </w:rPr>
        <w:t xml:space="preserve">2.1 – </w:t>
      </w:r>
      <w:r w:rsidR="004E7F29" w:rsidRPr="0072343A">
        <w:rPr>
          <w:lang w:val="es-ES"/>
        </w:rPr>
        <w:t>CAPACIDAD DE BÚSQUEDA Y EXAMEN</w:t>
      </w:r>
    </w:p>
    <w:p w:rsidR="000D0A9F" w:rsidRPr="0072343A" w:rsidRDefault="000D0A9F" w:rsidP="000D0A9F">
      <w:pPr>
        <w:rPr>
          <w:b/>
          <w:i/>
        </w:rPr>
      </w:pPr>
      <w:r w:rsidRPr="0072343A">
        <w:rPr>
          <w:b/>
          <w:i/>
        </w:rPr>
        <w:t>R</w:t>
      </w:r>
      <w:r w:rsidR="00F25F72" w:rsidRPr="0072343A">
        <w:rPr>
          <w:b/>
          <w:i/>
        </w:rPr>
        <w:t xml:space="preserve">eglas </w:t>
      </w:r>
      <w:r w:rsidRPr="0072343A">
        <w:rPr>
          <w:b/>
          <w:i/>
        </w:rPr>
        <w:t>36.1</w:t>
      </w:r>
      <w:r w:rsidR="006C6AA3">
        <w:rPr>
          <w:b/>
          <w:i/>
        </w:rPr>
        <w:t>.</w:t>
      </w:r>
      <w:r w:rsidRPr="0072343A">
        <w:rPr>
          <w:b/>
          <w:i/>
        </w:rPr>
        <w:t xml:space="preserve">i) </w:t>
      </w:r>
      <w:r w:rsidR="00F25F72" w:rsidRPr="0072343A">
        <w:rPr>
          <w:b/>
          <w:i/>
        </w:rPr>
        <w:t>y 63.1</w:t>
      </w:r>
      <w:r w:rsidR="006C6AA3">
        <w:rPr>
          <w:b/>
          <w:i/>
        </w:rPr>
        <w:t>.</w:t>
      </w:r>
      <w:r w:rsidRPr="0072343A">
        <w:rPr>
          <w:b/>
          <w:i/>
        </w:rPr>
        <w:t>i)</w:t>
      </w:r>
      <w:proofErr w:type="gramStart"/>
      <w:r w:rsidRPr="0072343A">
        <w:rPr>
          <w:b/>
          <w:i/>
        </w:rPr>
        <w:t xml:space="preserve">:  </w:t>
      </w:r>
      <w:r w:rsidR="004E7F29" w:rsidRPr="0072343A">
        <w:rPr>
          <w:b/>
          <w:i/>
        </w:rPr>
        <w:t>la</w:t>
      </w:r>
      <w:proofErr w:type="gramEnd"/>
      <w:r w:rsidR="004E7F29" w:rsidRPr="0072343A">
        <w:rPr>
          <w:b/>
          <w:i/>
        </w:rPr>
        <w:t xml:space="preserve"> Oficina nacional o la organización intergubernamental deberá tener, por lo menos, 100 empleados con plena dedicación, con calificaciones técnicas suficientes para efectuar las búsquedas</w:t>
      </w:r>
      <w:r w:rsidR="00F25F72" w:rsidRPr="0072343A">
        <w:rPr>
          <w:b/>
          <w:i/>
        </w:rPr>
        <w:t xml:space="preserve"> y los exámenes</w:t>
      </w:r>
      <w:r w:rsidRPr="0072343A">
        <w:rPr>
          <w:b/>
          <w:i/>
        </w:rPr>
        <w:t>.</w:t>
      </w:r>
    </w:p>
    <w:p w:rsidR="000D0A9F" w:rsidRPr="0072343A" w:rsidRDefault="000D0A9F" w:rsidP="000D0A9F">
      <w:pPr>
        <w:keepNext/>
        <w:keepLines/>
        <w:rPr>
          <w:b/>
          <w:bCs/>
          <w:szCs w:val="22"/>
        </w:rPr>
      </w:pPr>
    </w:p>
    <w:p w:rsidR="000D0A9F" w:rsidRPr="0072343A" w:rsidRDefault="00F25F72" w:rsidP="000D0A9F">
      <w:pPr>
        <w:keepNext/>
        <w:keepLines/>
        <w:rPr>
          <w:b/>
          <w:bCs/>
          <w:color w:val="4BACC6" w:themeColor="accent5"/>
          <w:szCs w:val="22"/>
        </w:rPr>
      </w:pPr>
      <w:r w:rsidRPr="0072343A">
        <w:rPr>
          <w:b/>
          <w:bCs/>
          <w:szCs w:val="22"/>
        </w:rPr>
        <w:t>Número de empleados cualificados para efectuar las búsquedas y los exámenes</w:t>
      </w:r>
      <w:r w:rsidR="000D0A9F" w:rsidRPr="0072343A">
        <w:rPr>
          <w:b/>
          <w:bCs/>
          <w:szCs w:val="22"/>
        </w:rPr>
        <w:t>:</w:t>
      </w:r>
      <w:r w:rsidR="000D0A9F" w:rsidRPr="0072343A">
        <w:t xml:space="preserve">  </w:t>
      </w:r>
      <w:r w:rsidR="000D0A9F" w:rsidRPr="0072343A">
        <w:rPr>
          <w:i/>
        </w:rPr>
        <w:t>(s</w:t>
      </w:r>
      <w:r w:rsidRPr="0072343A">
        <w:rPr>
          <w:i/>
        </w:rPr>
        <w:t xml:space="preserve">ituación a </w:t>
      </w:r>
      <w:r w:rsidR="000D0A9F" w:rsidRPr="0072343A">
        <w:rPr>
          <w:i/>
        </w:rPr>
        <w:t>31</w:t>
      </w:r>
      <w:r w:rsidRPr="0072343A">
        <w:rPr>
          <w:i/>
        </w:rPr>
        <w:t xml:space="preserve"> de diciembre de </w:t>
      </w:r>
      <w:r w:rsidR="000D0A9F" w:rsidRPr="0072343A">
        <w:rPr>
          <w:i/>
        </w:rPr>
        <w:t>2016)</w:t>
      </w:r>
    </w:p>
    <w:p w:rsidR="000D0A9F" w:rsidRPr="0072343A" w:rsidRDefault="000D0A9F" w:rsidP="000D0A9F"/>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613"/>
        <w:gridCol w:w="1696"/>
        <w:gridCol w:w="2148"/>
      </w:tblGrid>
      <w:tr w:rsidR="00C121CD" w:rsidRPr="0072343A" w:rsidTr="008C4B6B">
        <w:trPr>
          <w:cantSplit/>
        </w:trPr>
        <w:tc>
          <w:tcPr>
            <w:tcW w:w="3527" w:type="dxa"/>
            <w:shd w:val="clear" w:color="auto" w:fill="auto"/>
          </w:tcPr>
          <w:p w:rsidR="000D0A9F" w:rsidRPr="0072343A" w:rsidRDefault="004E7F29" w:rsidP="008C4B6B">
            <w:pPr>
              <w:rPr>
                <w:b/>
              </w:rPr>
            </w:pPr>
            <w:r w:rsidRPr="0072343A">
              <w:rPr>
                <w:b/>
              </w:rPr>
              <w:t>Sector de la tecnología</w:t>
            </w:r>
          </w:p>
        </w:tc>
        <w:tc>
          <w:tcPr>
            <w:tcW w:w="1684" w:type="dxa"/>
            <w:shd w:val="clear" w:color="auto" w:fill="auto"/>
          </w:tcPr>
          <w:p w:rsidR="000D0A9F" w:rsidRPr="0072343A" w:rsidRDefault="004E7F29" w:rsidP="008C4B6B">
            <w:pPr>
              <w:rPr>
                <w:b/>
              </w:rPr>
            </w:pPr>
            <w:r w:rsidRPr="0072343A">
              <w:rPr>
                <w:b/>
              </w:rPr>
              <w:t>Número (equivalente de puestos a tiempo completo)</w:t>
            </w:r>
          </w:p>
        </w:tc>
        <w:tc>
          <w:tcPr>
            <w:tcW w:w="1684" w:type="dxa"/>
          </w:tcPr>
          <w:p w:rsidR="000D0A9F" w:rsidRPr="0072343A" w:rsidRDefault="00C121CD" w:rsidP="00C121CD">
            <w:pPr>
              <w:rPr>
                <w:b/>
              </w:rPr>
            </w:pPr>
            <w:r w:rsidRPr="0072343A">
              <w:rPr>
                <w:b/>
              </w:rPr>
              <w:t xml:space="preserve">Experiencia media como examinadores </w:t>
            </w:r>
            <w:r w:rsidR="000D0A9F" w:rsidRPr="0072343A">
              <w:rPr>
                <w:b/>
              </w:rPr>
              <w:t>(</w:t>
            </w:r>
            <w:r w:rsidRPr="0072343A">
              <w:rPr>
                <w:b/>
              </w:rPr>
              <w:t>años</w:t>
            </w:r>
            <w:r w:rsidR="000D0A9F" w:rsidRPr="0072343A">
              <w:rPr>
                <w:b/>
              </w:rPr>
              <w:t>)</w:t>
            </w:r>
          </w:p>
        </w:tc>
        <w:tc>
          <w:tcPr>
            <w:tcW w:w="1684" w:type="dxa"/>
          </w:tcPr>
          <w:p w:rsidR="000D0A9F" w:rsidRPr="0072343A" w:rsidRDefault="00C121CD" w:rsidP="0061696B">
            <w:pPr>
              <w:rPr>
                <w:b/>
              </w:rPr>
            </w:pPr>
            <w:r w:rsidRPr="0072343A">
              <w:rPr>
                <w:b/>
              </w:rPr>
              <w:t xml:space="preserve">Desglose de las </w:t>
            </w:r>
            <w:r w:rsidR="0061696B" w:rsidRPr="0072343A">
              <w:rPr>
                <w:b/>
              </w:rPr>
              <w:t>calificaciones Máster</w:t>
            </w:r>
            <w:r w:rsidR="000D0A9F" w:rsidRPr="0072343A">
              <w:rPr>
                <w:b/>
              </w:rPr>
              <w:t>/</w:t>
            </w:r>
            <w:r w:rsidR="0061696B" w:rsidRPr="0072343A">
              <w:rPr>
                <w:b/>
              </w:rPr>
              <w:t>Doctorado</w:t>
            </w:r>
            <w:r w:rsidR="000D0A9F" w:rsidRPr="0072343A">
              <w:rPr>
                <w:b/>
              </w:rPr>
              <w:t xml:space="preserve">, </w:t>
            </w:r>
            <w:r w:rsidR="0061696B" w:rsidRPr="0072343A">
              <w:rPr>
                <w:b/>
              </w:rPr>
              <w:t>Doctor en ciencias</w:t>
            </w:r>
          </w:p>
        </w:tc>
      </w:tr>
      <w:tr w:rsidR="00C121CD" w:rsidRPr="0072343A" w:rsidTr="008C4B6B">
        <w:trPr>
          <w:cantSplit/>
        </w:trPr>
        <w:tc>
          <w:tcPr>
            <w:tcW w:w="3527" w:type="dxa"/>
            <w:shd w:val="clear" w:color="auto" w:fill="auto"/>
          </w:tcPr>
          <w:p w:rsidR="000D0A9F" w:rsidRPr="0072343A" w:rsidRDefault="000D0A9F" w:rsidP="004E7F29">
            <w:r w:rsidRPr="0072343A">
              <w:t>Mec</w:t>
            </w:r>
            <w:r w:rsidR="004E7F29" w:rsidRPr="0072343A">
              <w:t>ánica</w:t>
            </w:r>
          </w:p>
        </w:tc>
        <w:tc>
          <w:tcPr>
            <w:tcW w:w="1684" w:type="dxa"/>
            <w:shd w:val="clear" w:color="auto" w:fill="auto"/>
          </w:tcPr>
          <w:p w:rsidR="000D0A9F" w:rsidRPr="0072343A" w:rsidRDefault="000D0A9F" w:rsidP="008C4B6B">
            <w:pPr>
              <w:ind w:right="459"/>
              <w:jc w:val="right"/>
            </w:pPr>
            <w:r w:rsidRPr="0072343A">
              <w:t>31</w:t>
            </w:r>
          </w:p>
        </w:tc>
        <w:tc>
          <w:tcPr>
            <w:tcW w:w="1684" w:type="dxa"/>
          </w:tcPr>
          <w:p w:rsidR="000D0A9F" w:rsidRPr="0072343A" w:rsidRDefault="000D0A9F" w:rsidP="008C4B6B">
            <w:pPr>
              <w:ind w:right="459"/>
              <w:jc w:val="right"/>
            </w:pPr>
            <w:r w:rsidRPr="0072343A">
              <w:t>13</w:t>
            </w:r>
          </w:p>
        </w:tc>
        <w:tc>
          <w:tcPr>
            <w:tcW w:w="1684" w:type="dxa"/>
          </w:tcPr>
          <w:p w:rsidR="000D0A9F" w:rsidRPr="0072343A" w:rsidRDefault="000D0A9F" w:rsidP="008C4B6B">
            <w:r w:rsidRPr="0072343A">
              <w:t>28/3</w:t>
            </w:r>
          </w:p>
        </w:tc>
      </w:tr>
      <w:tr w:rsidR="00C121CD" w:rsidRPr="0072343A" w:rsidTr="008C4B6B">
        <w:trPr>
          <w:cantSplit/>
        </w:trPr>
        <w:tc>
          <w:tcPr>
            <w:tcW w:w="3527" w:type="dxa"/>
            <w:shd w:val="clear" w:color="auto" w:fill="auto"/>
          </w:tcPr>
          <w:p w:rsidR="000D0A9F" w:rsidRPr="0072343A" w:rsidRDefault="004E7F29" w:rsidP="008C4B6B">
            <w:r w:rsidRPr="0072343A">
              <w:t>Electricidad/electrónica</w:t>
            </w:r>
          </w:p>
        </w:tc>
        <w:tc>
          <w:tcPr>
            <w:tcW w:w="1684" w:type="dxa"/>
            <w:shd w:val="clear" w:color="auto" w:fill="auto"/>
          </w:tcPr>
          <w:p w:rsidR="000D0A9F" w:rsidRPr="0072343A" w:rsidRDefault="000D0A9F" w:rsidP="008C4B6B">
            <w:pPr>
              <w:ind w:right="459"/>
              <w:jc w:val="right"/>
            </w:pPr>
            <w:r w:rsidRPr="0072343A">
              <w:t>41</w:t>
            </w:r>
          </w:p>
        </w:tc>
        <w:tc>
          <w:tcPr>
            <w:tcW w:w="1684" w:type="dxa"/>
          </w:tcPr>
          <w:p w:rsidR="000D0A9F" w:rsidRPr="0072343A" w:rsidRDefault="000D0A9F" w:rsidP="008C4B6B">
            <w:pPr>
              <w:ind w:right="459"/>
              <w:jc w:val="right"/>
            </w:pPr>
            <w:r w:rsidRPr="0072343A">
              <w:t>13</w:t>
            </w:r>
          </w:p>
        </w:tc>
        <w:tc>
          <w:tcPr>
            <w:tcW w:w="1684" w:type="dxa"/>
          </w:tcPr>
          <w:p w:rsidR="000D0A9F" w:rsidRPr="0072343A" w:rsidRDefault="000D0A9F" w:rsidP="008C4B6B">
            <w:r w:rsidRPr="0072343A">
              <w:t>13/28</w:t>
            </w:r>
          </w:p>
        </w:tc>
      </w:tr>
      <w:tr w:rsidR="00C121CD" w:rsidRPr="0072343A" w:rsidTr="008C4B6B">
        <w:trPr>
          <w:cantSplit/>
        </w:trPr>
        <w:tc>
          <w:tcPr>
            <w:tcW w:w="3527" w:type="dxa"/>
            <w:shd w:val="clear" w:color="auto" w:fill="auto"/>
          </w:tcPr>
          <w:p w:rsidR="000D0A9F" w:rsidRPr="0072343A" w:rsidRDefault="004E7F29" w:rsidP="008C4B6B">
            <w:r w:rsidRPr="0072343A">
              <w:t>Química</w:t>
            </w:r>
          </w:p>
        </w:tc>
        <w:tc>
          <w:tcPr>
            <w:tcW w:w="1684" w:type="dxa"/>
            <w:shd w:val="clear" w:color="auto" w:fill="auto"/>
          </w:tcPr>
          <w:p w:rsidR="000D0A9F" w:rsidRPr="0072343A" w:rsidRDefault="000D0A9F" w:rsidP="008C4B6B">
            <w:pPr>
              <w:ind w:right="459"/>
              <w:jc w:val="right"/>
            </w:pPr>
            <w:r w:rsidRPr="0072343A">
              <w:t>23</w:t>
            </w:r>
          </w:p>
        </w:tc>
        <w:tc>
          <w:tcPr>
            <w:tcW w:w="1684" w:type="dxa"/>
          </w:tcPr>
          <w:p w:rsidR="000D0A9F" w:rsidRPr="0072343A" w:rsidRDefault="000D0A9F" w:rsidP="008C4B6B">
            <w:pPr>
              <w:ind w:right="459"/>
              <w:jc w:val="right"/>
            </w:pPr>
            <w:r w:rsidRPr="0072343A">
              <w:t>15</w:t>
            </w:r>
          </w:p>
        </w:tc>
        <w:tc>
          <w:tcPr>
            <w:tcW w:w="1684" w:type="dxa"/>
          </w:tcPr>
          <w:p w:rsidR="000D0A9F" w:rsidRPr="0072343A" w:rsidRDefault="000D0A9F" w:rsidP="008C4B6B">
            <w:r w:rsidRPr="0072343A">
              <w:t>14/9</w:t>
            </w:r>
          </w:p>
        </w:tc>
      </w:tr>
      <w:tr w:rsidR="00C121CD" w:rsidRPr="0072343A" w:rsidTr="008C4B6B">
        <w:trPr>
          <w:cantSplit/>
        </w:trPr>
        <w:tc>
          <w:tcPr>
            <w:tcW w:w="3527" w:type="dxa"/>
            <w:shd w:val="clear" w:color="auto" w:fill="auto"/>
          </w:tcPr>
          <w:p w:rsidR="000D0A9F" w:rsidRPr="0072343A" w:rsidRDefault="004E7F29" w:rsidP="008C4B6B">
            <w:r w:rsidRPr="0072343A">
              <w:t>Biotecnología</w:t>
            </w:r>
          </w:p>
        </w:tc>
        <w:tc>
          <w:tcPr>
            <w:tcW w:w="1684" w:type="dxa"/>
            <w:shd w:val="clear" w:color="auto" w:fill="auto"/>
          </w:tcPr>
          <w:p w:rsidR="000D0A9F" w:rsidRPr="0072343A" w:rsidRDefault="000D0A9F" w:rsidP="008C4B6B">
            <w:pPr>
              <w:ind w:right="459"/>
              <w:jc w:val="right"/>
            </w:pPr>
            <w:r w:rsidRPr="0072343A">
              <w:t>8</w:t>
            </w:r>
          </w:p>
        </w:tc>
        <w:tc>
          <w:tcPr>
            <w:tcW w:w="1684" w:type="dxa"/>
          </w:tcPr>
          <w:p w:rsidR="000D0A9F" w:rsidRPr="0072343A" w:rsidRDefault="000D0A9F" w:rsidP="008C4B6B">
            <w:pPr>
              <w:ind w:right="459"/>
              <w:jc w:val="right"/>
            </w:pPr>
            <w:r w:rsidRPr="0072343A">
              <w:t>15</w:t>
            </w:r>
          </w:p>
        </w:tc>
        <w:tc>
          <w:tcPr>
            <w:tcW w:w="1684" w:type="dxa"/>
          </w:tcPr>
          <w:p w:rsidR="000D0A9F" w:rsidRPr="0072343A" w:rsidRDefault="000D0A9F" w:rsidP="008C4B6B">
            <w:r w:rsidRPr="0072343A">
              <w:t>4/4</w:t>
            </w:r>
          </w:p>
        </w:tc>
      </w:tr>
      <w:tr w:rsidR="00C121CD" w:rsidRPr="0072343A" w:rsidTr="008C4B6B">
        <w:trPr>
          <w:cantSplit/>
        </w:trPr>
        <w:tc>
          <w:tcPr>
            <w:tcW w:w="3527" w:type="dxa"/>
            <w:shd w:val="clear" w:color="auto" w:fill="auto"/>
          </w:tcPr>
          <w:p w:rsidR="000D0A9F" w:rsidRPr="0072343A" w:rsidRDefault="000D0A9F" w:rsidP="008C4B6B">
            <w:pPr>
              <w:rPr>
                <w:i/>
              </w:rPr>
            </w:pPr>
            <w:r w:rsidRPr="0072343A">
              <w:rPr>
                <w:i/>
              </w:rPr>
              <w:t>Total</w:t>
            </w:r>
          </w:p>
        </w:tc>
        <w:tc>
          <w:tcPr>
            <w:tcW w:w="1684" w:type="dxa"/>
            <w:shd w:val="clear" w:color="auto" w:fill="auto"/>
          </w:tcPr>
          <w:p w:rsidR="000D0A9F" w:rsidRPr="0072343A" w:rsidRDefault="000D0A9F" w:rsidP="008C4B6B">
            <w:pPr>
              <w:ind w:right="459"/>
              <w:jc w:val="right"/>
              <w:rPr>
                <w:i/>
              </w:rPr>
            </w:pPr>
            <w:r w:rsidRPr="0072343A">
              <w:rPr>
                <w:i/>
              </w:rPr>
              <w:t>103</w:t>
            </w:r>
          </w:p>
        </w:tc>
        <w:tc>
          <w:tcPr>
            <w:tcW w:w="1684" w:type="dxa"/>
          </w:tcPr>
          <w:p w:rsidR="000D0A9F" w:rsidRPr="0072343A" w:rsidRDefault="000D0A9F" w:rsidP="008C4B6B">
            <w:pPr>
              <w:ind w:right="459"/>
              <w:jc w:val="right"/>
              <w:rPr>
                <w:i/>
              </w:rPr>
            </w:pPr>
            <w:r w:rsidRPr="0072343A">
              <w:rPr>
                <w:i/>
              </w:rPr>
              <w:t>13</w:t>
            </w:r>
          </w:p>
        </w:tc>
        <w:tc>
          <w:tcPr>
            <w:tcW w:w="1684" w:type="dxa"/>
          </w:tcPr>
          <w:p w:rsidR="000D0A9F" w:rsidRPr="0072343A" w:rsidRDefault="000D0A9F" w:rsidP="008C4B6B">
            <w:pPr>
              <w:rPr>
                <w:i/>
              </w:rPr>
            </w:pPr>
            <w:r w:rsidRPr="0072343A">
              <w:rPr>
                <w:i/>
              </w:rPr>
              <w:t>59/44</w:t>
            </w:r>
          </w:p>
        </w:tc>
      </w:tr>
    </w:tbl>
    <w:p w:rsidR="000D0A9F" w:rsidRPr="0072343A" w:rsidRDefault="000D0A9F" w:rsidP="000D0A9F">
      <w:pPr>
        <w:rPr>
          <w:rStyle w:val="InsertedText"/>
          <w:b/>
          <w:bCs/>
        </w:rPr>
      </w:pPr>
    </w:p>
    <w:p w:rsidR="000D0A9F" w:rsidRPr="0072343A" w:rsidRDefault="00C121CD" w:rsidP="000D0A9F">
      <w:pPr>
        <w:keepNext/>
        <w:keepLines/>
        <w:rPr>
          <w:b/>
        </w:rPr>
      </w:pPr>
      <w:r w:rsidRPr="0072343A">
        <w:rPr>
          <w:b/>
        </w:rPr>
        <w:lastRenderedPageBreak/>
        <w:t>Programas de formación</w:t>
      </w:r>
    </w:p>
    <w:p w:rsidR="000D0A9F" w:rsidRPr="0072343A" w:rsidRDefault="000D0A9F" w:rsidP="000D0A9F">
      <w:pPr>
        <w:keepNext/>
        <w:keepLines/>
      </w:pPr>
    </w:p>
    <w:p w:rsidR="000D0A9F" w:rsidRPr="0072343A" w:rsidRDefault="00D07941" w:rsidP="000D0A9F">
      <w:pPr>
        <w:keepNext/>
        <w:keepLines/>
        <w:rPr>
          <w:i/>
        </w:rPr>
      </w:pPr>
      <w:r w:rsidRPr="0072343A">
        <w:rPr>
          <w:i/>
        </w:rPr>
        <w:t>Programas de formación dirigidos a los nuevos examinadores</w:t>
      </w:r>
    </w:p>
    <w:p w:rsidR="000D0A9F" w:rsidRPr="0072343A" w:rsidRDefault="000D0A9F" w:rsidP="000D0A9F">
      <w:pPr>
        <w:keepNext/>
        <w:keepLines/>
      </w:pPr>
    </w:p>
    <w:p w:rsidR="000D0A9F" w:rsidRPr="0072343A" w:rsidRDefault="00D07941" w:rsidP="000D0A9F">
      <w:r w:rsidRPr="0072343A">
        <w:t>Los nuevos examinadores reciben una formación de 18 meses de duración, diseñada para desarrollar sus competencias en las tareas de búsqueda y examen de patentes.  El programa formativo cons</w:t>
      </w:r>
      <w:r w:rsidR="00BB6B4D" w:rsidRPr="0072343A">
        <w:t>ta de</w:t>
      </w:r>
      <w:r w:rsidRPr="0072343A">
        <w:t xml:space="preserve"> clases presenciales, </w:t>
      </w:r>
      <w:r w:rsidR="00D46606" w:rsidRPr="0072343A">
        <w:t>ejercicios de proyectos</w:t>
      </w:r>
      <w:r w:rsidR="00BB6B4D" w:rsidRPr="0072343A">
        <w:t xml:space="preserve"> </w:t>
      </w:r>
      <w:r w:rsidRPr="0072343A">
        <w:t>y</w:t>
      </w:r>
      <w:r w:rsidR="00BB6B4D" w:rsidRPr="0072343A">
        <w:t xml:space="preserve"> </w:t>
      </w:r>
      <w:r w:rsidRPr="0072343A">
        <w:t>formación en el lugar de trabajo.</w:t>
      </w:r>
    </w:p>
    <w:p w:rsidR="000D0A9F" w:rsidRPr="0072343A" w:rsidRDefault="000D0A9F" w:rsidP="000D0A9F">
      <w:r w:rsidRPr="0072343A">
        <w:t xml:space="preserve"> </w:t>
      </w:r>
    </w:p>
    <w:p w:rsidR="000D0A9F" w:rsidRPr="0072343A" w:rsidRDefault="00D46606" w:rsidP="000D0A9F">
      <w:r w:rsidRPr="0072343A">
        <w:t xml:space="preserve">La formación en el lugar de trabajo se lleva a cabo bajo la dirección de un tutor.  Cada nuevo examinador tiene </w:t>
      </w:r>
      <w:r w:rsidR="00BB6B4D" w:rsidRPr="0072343A">
        <w:t xml:space="preserve">asignado </w:t>
      </w:r>
      <w:r w:rsidRPr="0072343A">
        <w:t xml:space="preserve">un tutor personal.  Los tutores son examinadores principales de patentes con una experiencia mínima de cinco años.  El tutor </w:t>
      </w:r>
      <w:r w:rsidR="005955A7" w:rsidRPr="0072343A">
        <w:t xml:space="preserve">imparte enseñanzas prácticas </w:t>
      </w:r>
      <w:r w:rsidR="00BB6B4D" w:rsidRPr="0072343A">
        <w:t xml:space="preserve">y transmite al nuevo examinador </w:t>
      </w:r>
      <w:r w:rsidR="005955A7" w:rsidRPr="0072343A">
        <w:t>los fundamentos sobre patentes.  El tutor explica cómo se tra</w:t>
      </w:r>
      <w:r w:rsidR="00BB6B4D" w:rsidRPr="0072343A">
        <w:t xml:space="preserve">mitan </w:t>
      </w:r>
      <w:r w:rsidR="005955A7" w:rsidRPr="0072343A">
        <w:t xml:space="preserve">las solicitudes de patentes y ayuda al nuevo examinador </w:t>
      </w:r>
      <w:r w:rsidR="00BB6B4D" w:rsidRPr="0072343A">
        <w:t xml:space="preserve">siempre que resulta </w:t>
      </w:r>
      <w:r w:rsidR="005955A7" w:rsidRPr="0072343A">
        <w:t xml:space="preserve">necesario.  La formación en el lugar de trabajo </w:t>
      </w:r>
      <w:r w:rsidR="00BB6B4D" w:rsidRPr="0072343A">
        <w:t xml:space="preserve">se basa en </w:t>
      </w:r>
      <w:r w:rsidR="005955A7" w:rsidRPr="0072343A">
        <w:t xml:space="preserve">que cada nuevo examinador trabaja con solicitudes de patente </w:t>
      </w:r>
      <w:r w:rsidR="001804C9" w:rsidRPr="0072343A">
        <w:t>reales y el tutor revisa todas las opiniones escritas y decisiones.</w:t>
      </w:r>
      <w:r w:rsidR="000D0A9F" w:rsidRPr="0072343A">
        <w:t xml:space="preserve"> </w:t>
      </w:r>
    </w:p>
    <w:p w:rsidR="000D0A9F" w:rsidRPr="0072343A" w:rsidRDefault="000D0A9F" w:rsidP="000D0A9F"/>
    <w:p w:rsidR="000D0A9F" w:rsidRPr="0072343A" w:rsidRDefault="001804C9" w:rsidP="000D0A9F">
      <w:r w:rsidRPr="0072343A">
        <w:t xml:space="preserve">La formación presencial en el aula que reciben los nuevos examinadores es impartida por </w:t>
      </w:r>
      <w:r w:rsidR="00BB6B4D" w:rsidRPr="0072343A">
        <w:t xml:space="preserve">los </w:t>
      </w:r>
      <w:r w:rsidRPr="0072343A">
        <w:t>examinadores principales.  La formaci</w:t>
      </w:r>
      <w:r w:rsidR="001C7C44" w:rsidRPr="0072343A">
        <w:t>ón presencial en el aula abarca</w:t>
      </w:r>
      <w:r w:rsidRPr="0072343A">
        <w:t xml:space="preserve"> 18 </w:t>
      </w:r>
      <w:r w:rsidR="001C7C44" w:rsidRPr="0072343A">
        <w:t xml:space="preserve">temas.  Las clases consisten en presentaciones clásicas, sesiones participativas con debate, </w:t>
      </w:r>
      <w:r w:rsidR="00BB6B4D" w:rsidRPr="0072343A">
        <w:t xml:space="preserve">ejercicios de proyectos </w:t>
      </w:r>
      <w:r w:rsidR="001C7C44" w:rsidRPr="0072343A">
        <w:t xml:space="preserve">y ejercicios de informática.  El tiempo de formación presencial en el aula suma un total de 16 </w:t>
      </w:r>
      <w:r w:rsidR="006C6AA3">
        <w:t>jornadas laborales</w:t>
      </w:r>
      <w:r w:rsidR="001C7C44" w:rsidRPr="0072343A">
        <w:t xml:space="preserve">.  Cada nuevo examinador participa en </w:t>
      </w:r>
      <w:r w:rsidR="006C6AA3">
        <w:t xml:space="preserve">las </w:t>
      </w:r>
      <w:r w:rsidR="001C7C44" w:rsidRPr="0072343A">
        <w:t xml:space="preserve">sesiones de formación presencial en el aula durante </w:t>
      </w:r>
      <w:r w:rsidR="006C6AA3">
        <w:t>su</w:t>
      </w:r>
      <w:r w:rsidR="001C7C44" w:rsidRPr="0072343A">
        <w:t xml:space="preserve"> primer año de trabajo.  </w:t>
      </w:r>
      <w:r w:rsidR="000D0A9F" w:rsidRPr="0072343A">
        <w:t xml:space="preserve"> </w:t>
      </w:r>
    </w:p>
    <w:p w:rsidR="000D0A9F" w:rsidRPr="0072343A" w:rsidRDefault="000D0A9F" w:rsidP="000D0A9F"/>
    <w:tbl>
      <w:tblPr>
        <w:tblStyle w:val="TableGrid"/>
        <w:tblW w:w="0" w:type="auto"/>
        <w:tblLook w:val="04A0" w:firstRow="1" w:lastRow="0" w:firstColumn="1" w:lastColumn="0" w:noHBand="0" w:noVBand="1"/>
      </w:tblPr>
      <w:tblGrid>
        <w:gridCol w:w="6912"/>
        <w:gridCol w:w="2410"/>
      </w:tblGrid>
      <w:tr w:rsidR="000D0A9F" w:rsidRPr="0072343A" w:rsidTr="00E70B05">
        <w:tc>
          <w:tcPr>
            <w:tcW w:w="6912" w:type="dxa"/>
          </w:tcPr>
          <w:p w:rsidR="000D0A9F" w:rsidRPr="0072343A" w:rsidRDefault="00C820AC" w:rsidP="00E70B05">
            <w:pPr>
              <w:rPr>
                <w:b/>
              </w:rPr>
            </w:pPr>
            <w:r w:rsidRPr="0072343A">
              <w:rPr>
                <w:b/>
              </w:rPr>
              <w:t>TEMA</w:t>
            </w:r>
            <w:r w:rsidR="001C7C44" w:rsidRPr="0072343A">
              <w:rPr>
                <w:b/>
              </w:rPr>
              <w:t xml:space="preserve"> </w:t>
            </w:r>
            <w:r w:rsidR="000D0A9F" w:rsidRPr="0072343A">
              <w:rPr>
                <w:b/>
              </w:rPr>
              <w:t xml:space="preserve"> (</w:t>
            </w:r>
            <w:r w:rsidR="001C7C44" w:rsidRPr="0072343A">
              <w:rPr>
                <w:b/>
              </w:rPr>
              <w:t xml:space="preserve">CLASES DIRIGIDAS A LOS NUEVOS </w:t>
            </w:r>
            <w:r w:rsidR="00E70B05" w:rsidRPr="0072343A">
              <w:rPr>
                <w:b/>
              </w:rPr>
              <w:t>E</w:t>
            </w:r>
            <w:r w:rsidR="001C7C44" w:rsidRPr="0072343A">
              <w:rPr>
                <w:b/>
              </w:rPr>
              <w:t>XAMINADORES)</w:t>
            </w:r>
          </w:p>
        </w:tc>
        <w:tc>
          <w:tcPr>
            <w:tcW w:w="2410" w:type="dxa"/>
          </w:tcPr>
          <w:p w:rsidR="000D0A9F" w:rsidRPr="0072343A" w:rsidRDefault="000D0A9F" w:rsidP="00C820AC">
            <w:pPr>
              <w:rPr>
                <w:b/>
              </w:rPr>
            </w:pPr>
            <w:r w:rsidRPr="0072343A">
              <w:rPr>
                <w:b/>
              </w:rPr>
              <w:t>DURA</w:t>
            </w:r>
            <w:r w:rsidR="00C820AC" w:rsidRPr="0072343A">
              <w:rPr>
                <w:b/>
              </w:rPr>
              <w:t>CIÓN</w:t>
            </w:r>
            <w:r w:rsidRPr="0072343A">
              <w:rPr>
                <w:b/>
              </w:rPr>
              <w:t xml:space="preserve"> (HO</w:t>
            </w:r>
            <w:r w:rsidR="00C820AC" w:rsidRPr="0072343A">
              <w:rPr>
                <w:b/>
              </w:rPr>
              <w:t>RAS</w:t>
            </w:r>
            <w:r w:rsidRPr="0072343A">
              <w:rPr>
                <w:b/>
              </w:rPr>
              <w:t>)</w:t>
            </w:r>
          </w:p>
        </w:tc>
      </w:tr>
      <w:tr w:rsidR="000D0A9F" w:rsidRPr="0072343A" w:rsidTr="00E70B05">
        <w:tc>
          <w:tcPr>
            <w:tcW w:w="6912" w:type="dxa"/>
          </w:tcPr>
          <w:p w:rsidR="000D0A9F" w:rsidRPr="0072343A" w:rsidRDefault="00141312" w:rsidP="00141312">
            <w:r w:rsidRPr="0072343A">
              <w:t xml:space="preserve">Solicitud de patente y reivindicaciones </w:t>
            </w:r>
          </w:p>
        </w:tc>
        <w:tc>
          <w:tcPr>
            <w:tcW w:w="2410" w:type="dxa"/>
          </w:tcPr>
          <w:p w:rsidR="000D0A9F" w:rsidRPr="0072343A" w:rsidRDefault="000D0A9F" w:rsidP="008C4B6B">
            <w:pPr>
              <w:ind w:right="1026"/>
              <w:jc w:val="right"/>
            </w:pPr>
            <w:r w:rsidRPr="0072343A">
              <w:t>7</w:t>
            </w:r>
          </w:p>
        </w:tc>
      </w:tr>
      <w:tr w:rsidR="000D0A9F" w:rsidRPr="0072343A" w:rsidTr="00E70B05">
        <w:tc>
          <w:tcPr>
            <w:tcW w:w="6912" w:type="dxa"/>
          </w:tcPr>
          <w:p w:rsidR="000D0A9F" w:rsidRPr="0072343A" w:rsidRDefault="00141312" w:rsidP="00141312">
            <w:r w:rsidRPr="0072343A">
              <w:t xml:space="preserve">Sistemas de clasificación </w:t>
            </w:r>
          </w:p>
        </w:tc>
        <w:tc>
          <w:tcPr>
            <w:tcW w:w="2410" w:type="dxa"/>
          </w:tcPr>
          <w:p w:rsidR="000D0A9F" w:rsidRPr="0072343A" w:rsidRDefault="000D0A9F" w:rsidP="008C4B6B">
            <w:pPr>
              <w:ind w:right="1026"/>
              <w:jc w:val="right"/>
            </w:pPr>
            <w:r w:rsidRPr="0072343A">
              <w:t>16</w:t>
            </w:r>
          </w:p>
        </w:tc>
      </w:tr>
      <w:tr w:rsidR="000D0A9F" w:rsidRPr="0072343A" w:rsidTr="00E70B05">
        <w:tc>
          <w:tcPr>
            <w:tcW w:w="6912" w:type="dxa"/>
          </w:tcPr>
          <w:p w:rsidR="000D0A9F" w:rsidRPr="0072343A" w:rsidRDefault="00141312" w:rsidP="00141312">
            <w:r w:rsidRPr="0072343A">
              <w:t>Búsqueda de información</w:t>
            </w:r>
            <w:r w:rsidR="000D0A9F" w:rsidRPr="0072343A">
              <w:t>, part</w:t>
            </w:r>
            <w:r w:rsidRPr="0072343A">
              <w:t>e</w:t>
            </w:r>
            <w:r w:rsidR="000D0A9F" w:rsidRPr="0072343A">
              <w:t xml:space="preserve"> I</w:t>
            </w:r>
          </w:p>
        </w:tc>
        <w:tc>
          <w:tcPr>
            <w:tcW w:w="2410" w:type="dxa"/>
          </w:tcPr>
          <w:p w:rsidR="000D0A9F" w:rsidRPr="0072343A" w:rsidRDefault="000D0A9F" w:rsidP="008C4B6B">
            <w:pPr>
              <w:ind w:right="1026"/>
              <w:jc w:val="right"/>
            </w:pPr>
            <w:r w:rsidRPr="0072343A">
              <w:t>6</w:t>
            </w:r>
          </w:p>
        </w:tc>
      </w:tr>
      <w:tr w:rsidR="000D0A9F" w:rsidRPr="0072343A" w:rsidTr="00E70B05">
        <w:tc>
          <w:tcPr>
            <w:tcW w:w="6912" w:type="dxa"/>
          </w:tcPr>
          <w:p w:rsidR="000D0A9F" w:rsidRPr="0072343A" w:rsidRDefault="00141312" w:rsidP="008C4B6B">
            <w:r w:rsidRPr="0072343A">
              <w:t>Búsqueda de información</w:t>
            </w:r>
            <w:r w:rsidR="000D0A9F" w:rsidRPr="0072343A">
              <w:t>, part</w:t>
            </w:r>
            <w:r w:rsidRPr="0072343A">
              <w:t>e</w:t>
            </w:r>
            <w:r w:rsidR="000D0A9F" w:rsidRPr="0072343A">
              <w:t xml:space="preserve"> II</w:t>
            </w:r>
          </w:p>
        </w:tc>
        <w:tc>
          <w:tcPr>
            <w:tcW w:w="2410" w:type="dxa"/>
          </w:tcPr>
          <w:p w:rsidR="000D0A9F" w:rsidRPr="0072343A" w:rsidRDefault="000D0A9F" w:rsidP="008C4B6B">
            <w:pPr>
              <w:ind w:right="1026"/>
              <w:jc w:val="right"/>
            </w:pPr>
            <w:r w:rsidRPr="0072343A">
              <w:t>6</w:t>
            </w:r>
          </w:p>
        </w:tc>
      </w:tr>
      <w:tr w:rsidR="000D0A9F" w:rsidRPr="0072343A" w:rsidTr="00E70B05">
        <w:tc>
          <w:tcPr>
            <w:tcW w:w="6912" w:type="dxa"/>
          </w:tcPr>
          <w:p w:rsidR="000D0A9F" w:rsidRPr="0072343A" w:rsidRDefault="00141312" w:rsidP="00141312">
            <w:r w:rsidRPr="0072343A">
              <w:t>Búsqueda de la novedad</w:t>
            </w:r>
          </w:p>
        </w:tc>
        <w:tc>
          <w:tcPr>
            <w:tcW w:w="2410" w:type="dxa"/>
          </w:tcPr>
          <w:p w:rsidR="000D0A9F" w:rsidRPr="0072343A" w:rsidRDefault="000D0A9F" w:rsidP="008C4B6B">
            <w:pPr>
              <w:ind w:right="1026"/>
              <w:jc w:val="right"/>
            </w:pPr>
            <w:r w:rsidRPr="0072343A">
              <w:t>2</w:t>
            </w:r>
          </w:p>
        </w:tc>
      </w:tr>
      <w:tr w:rsidR="000D0A9F" w:rsidRPr="0072343A" w:rsidTr="00E70B05">
        <w:tc>
          <w:tcPr>
            <w:tcW w:w="6912" w:type="dxa"/>
          </w:tcPr>
          <w:p w:rsidR="000D0A9F" w:rsidRPr="0072343A" w:rsidRDefault="000D0A9F" w:rsidP="00141312">
            <w:r w:rsidRPr="0072343A">
              <w:t>Patentabili</w:t>
            </w:r>
            <w:r w:rsidR="00141312" w:rsidRPr="0072343A">
              <w:t>dad</w:t>
            </w:r>
          </w:p>
        </w:tc>
        <w:tc>
          <w:tcPr>
            <w:tcW w:w="2410" w:type="dxa"/>
          </w:tcPr>
          <w:p w:rsidR="000D0A9F" w:rsidRPr="0072343A" w:rsidRDefault="000D0A9F" w:rsidP="008C4B6B">
            <w:pPr>
              <w:ind w:right="1026"/>
              <w:jc w:val="right"/>
            </w:pPr>
            <w:r w:rsidRPr="0072343A">
              <w:t>13</w:t>
            </w:r>
          </w:p>
        </w:tc>
      </w:tr>
      <w:tr w:rsidR="000D0A9F" w:rsidRPr="0072343A" w:rsidTr="00E70B05">
        <w:tc>
          <w:tcPr>
            <w:tcW w:w="6912" w:type="dxa"/>
          </w:tcPr>
          <w:p w:rsidR="000D0A9F" w:rsidRPr="0072343A" w:rsidRDefault="000D0A9F" w:rsidP="00141312">
            <w:r w:rsidRPr="0072343A">
              <w:t>Opini</w:t>
            </w:r>
            <w:r w:rsidR="00141312" w:rsidRPr="0072343A">
              <w:t xml:space="preserve">ón sobre la </w:t>
            </w:r>
            <w:r w:rsidRPr="0072343A">
              <w:t>patentabili</w:t>
            </w:r>
            <w:r w:rsidR="00141312" w:rsidRPr="0072343A">
              <w:t xml:space="preserve">dad e informe de búsqueda </w:t>
            </w:r>
            <w:r w:rsidRPr="0072343A">
              <w:t xml:space="preserve"> </w:t>
            </w:r>
          </w:p>
        </w:tc>
        <w:tc>
          <w:tcPr>
            <w:tcW w:w="2410" w:type="dxa"/>
          </w:tcPr>
          <w:p w:rsidR="000D0A9F" w:rsidRPr="0072343A" w:rsidRDefault="000D0A9F" w:rsidP="008C4B6B">
            <w:pPr>
              <w:ind w:right="1026"/>
              <w:jc w:val="right"/>
            </w:pPr>
            <w:r w:rsidRPr="0072343A">
              <w:t>16</w:t>
            </w:r>
          </w:p>
        </w:tc>
      </w:tr>
      <w:tr w:rsidR="000D0A9F" w:rsidRPr="0072343A" w:rsidTr="00E70B05">
        <w:tc>
          <w:tcPr>
            <w:tcW w:w="6912" w:type="dxa"/>
          </w:tcPr>
          <w:p w:rsidR="000D0A9F" w:rsidRPr="0072343A" w:rsidRDefault="00141312" w:rsidP="00141312">
            <w:r w:rsidRPr="0072343A">
              <w:t xml:space="preserve">Servicio de búsqueda </w:t>
            </w:r>
            <w:r w:rsidR="000D0A9F" w:rsidRPr="0072343A">
              <w:t>(</w:t>
            </w:r>
            <w:r w:rsidRPr="0072343A">
              <w:t xml:space="preserve">servicio </w:t>
            </w:r>
            <w:r w:rsidR="000D0A9F" w:rsidRPr="0072343A">
              <w:t>comercial)</w:t>
            </w:r>
          </w:p>
        </w:tc>
        <w:tc>
          <w:tcPr>
            <w:tcW w:w="2410" w:type="dxa"/>
          </w:tcPr>
          <w:p w:rsidR="000D0A9F" w:rsidRPr="0072343A" w:rsidRDefault="000D0A9F" w:rsidP="008C4B6B">
            <w:pPr>
              <w:ind w:right="1026"/>
              <w:jc w:val="right"/>
            </w:pPr>
            <w:r w:rsidRPr="0072343A">
              <w:t>2</w:t>
            </w:r>
          </w:p>
        </w:tc>
      </w:tr>
      <w:tr w:rsidR="000D0A9F" w:rsidRPr="0072343A" w:rsidTr="00E70B05">
        <w:tc>
          <w:tcPr>
            <w:tcW w:w="6912" w:type="dxa"/>
          </w:tcPr>
          <w:p w:rsidR="000D0A9F" w:rsidRPr="0072343A" w:rsidRDefault="000D0A9F" w:rsidP="00477193">
            <w:r w:rsidRPr="0072343A">
              <w:t>Decision</w:t>
            </w:r>
            <w:r w:rsidR="00141312" w:rsidRPr="0072343A">
              <w:t>e</w:t>
            </w:r>
            <w:r w:rsidRPr="0072343A">
              <w:t>s dur</w:t>
            </w:r>
            <w:r w:rsidR="00141312" w:rsidRPr="0072343A">
              <w:t xml:space="preserve">ante </w:t>
            </w:r>
            <w:r w:rsidR="00477193" w:rsidRPr="0072343A">
              <w:t xml:space="preserve">el procedimiento de solicitud de patente </w:t>
            </w:r>
          </w:p>
        </w:tc>
        <w:tc>
          <w:tcPr>
            <w:tcW w:w="2410" w:type="dxa"/>
          </w:tcPr>
          <w:p w:rsidR="000D0A9F" w:rsidRPr="0072343A" w:rsidRDefault="000D0A9F" w:rsidP="008C4B6B">
            <w:pPr>
              <w:ind w:right="1026"/>
              <w:jc w:val="right"/>
            </w:pPr>
            <w:r w:rsidRPr="0072343A">
              <w:t>3</w:t>
            </w:r>
          </w:p>
        </w:tc>
      </w:tr>
      <w:tr w:rsidR="000D0A9F" w:rsidRPr="0072343A" w:rsidTr="00E70B05">
        <w:tc>
          <w:tcPr>
            <w:tcW w:w="6912" w:type="dxa"/>
          </w:tcPr>
          <w:p w:rsidR="000D0A9F" w:rsidRPr="0072343A" w:rsidRDefault="000D0A9F" w:rsidP="00477193">
            <w:r w:rsidRPr="0072343A">
              <w:t>Re</w:t>
            </w:r>
            <w:r w:rsidR="00477193" w:rsidRPr="0072343A">
              <w:t xml:space="preserve">chazo de la solicitud </w:t>
            </w:r>
          </w:p>
        </w:tc>
        <w:tc>
          <w:tcPr>
            <w:tcW w:w="2410" w:type="dxa"/>
          </w:tcPr>
          <w:p w:rsidR="000D0A9F" w:rsidRPr="0072343A" w:rsidRDefault="000D0A9F" w:rsidP="008C4B6B">
            <w:pPr>
              <w:ind w:right="1026"/>
              <w:jc w:val="right"/>
            </w:pPr>
            <w:r w:rsidRPr="0072343A">
              <w:t>6</w:t>
            </w:r>
          </w:p>
        </w:tc>
      </w:tr>
      <w:tr w:rsidR="000D0A9F" w:rsidRPr="0072343A" w:rsidTr="00E70B05">
        <w:tc>
          <w:tcPr>
            <w:tcW w:w="6912" w:type="dxa"/>
          </w:tcPr>
          <w:p w:rsidR="000D0A9F" w:rsidRPr="0072343A" w:rsidRDefault="00E70B05" w:rsidP="00E70B05">
            <w:r w:rsidRPr="0072343A">
              <w:t xml:space="preserve">Problemas especiales de tipo técnico </w:t>
            </w:r>
          </w:p>
        </w:tc>
        <w:tc>
          <w:tcPr>
            <w:tcW w:w="2410" w:type="dxa"/>
          </w:tcPr>
          <w:p w:rsidR="000D0A9F" w:rsidRPr="0072343A" w:rsidRDefault="000D0A9F" w:rsidP="008C4B6B">
            <w:pPr>
              <w:ind w:right="1026"/>
              <w:jc w:val="right"/>
            </w:pPr>
            <w:r w:rsidRPr="0072343A">
              <w:t>3</w:t>
            </w:r>
          </w:p>
        </w:tc>
      </w:tr>
      <w:tr w:rsidR="000D0A9F" w:rsidRPr="0072343A" w:rsidTr="00E70B05">
        <w:tc>
          <w:tcPr>
            <w:tcW w:w="6912" w:type="dxa"/>
          </w:tcPr>
          <w:p w:rsidR="000D0A9F" w:rsidRPr="0072343A" w:rsidRDefault="00E70B05" w:rsidP="00E70B05">
            <w:r w:rsidRPr="0072343A">
              <w:t xml:space="preserve">Modelos de utilidad </w:t>
            </w:r>
          </w:p>
        </w:tc>
        <w:tc>
          <w:tcPr>
            <w:tcW w:w="2410" w:type="dxa"/>
          </w:tcPr>
          <w:p w:rsidR="000D0A9F" w:rsidRPr="0072343A" w:rsidRDefault="000D0A9F" w:rsidP="008C4B6B">
            <w:pPr>
              <w:ind w:right="1026"/>
              <w:jc w:val="right"/>
            </w:pPr>
            <w:r w:rsidRPr="0072343A">
              <w:t>2</w:t>
            </w:r>
          </w:p>
        </w:tc>
      </w:tr>
      <w:tr w:rsidR="000D0A9F" w:rsidRPr="0072343A" w:rsidTr="00E70B05">
        <w:tc>
          <w:tcPr>
            <w:tcW w:w="6912" w:type="dxa"/>
          </w:tcPr>
          <w:p w:rsidR="000D0A9F" w:rsidRPr="0072343A" w:rsidRDefault="00E70B05" w:rsidP="00E70B05">
            <w:r w:rsidRPr="0072343A">
              <w:t xml:space="preserve">Unidad de la invención </w:t>
            </w:r>
          </w:p>
        </w:tc>
        <w:tc>
          <w:tcPr>
            <w:tcW w:w="2410" w:type="dxa"/>
          </w:tcPr>
          <w:p w:rsidR="000D0A9F" w:rsidRPr="0072343A" w:rsidRDefault="000D0A9F" w:rsidP="008C4B6B">
            <w:pPr>
              <w:ind w:right="1026"/>
              <w:jc w:val="right"/>
            </w:pPr>
            <w:r w:rsidRPr="0072343A">
              <w:t>2</w:t>
            </w:r>
          </w:p>
        </w:tc>
      </w:tr>
      <w:tr w:rsidR="000D0A9F" w:rsidRPr="0072343A" w:rsidTr="00E70B05">
        <w:tc>
          <w:tcPr>
            <w:tcW w:w="6912" w:type="dxa"/>
          </w:tcPr>
          <w:p w:rsidR="000D0A9F" w:rsidRPr="0072343A" w:rsidRDefault="00E70B05" w:rsidP="00E70B05">
            <w:r w:rsidRPr="0072343A">
              <w:t xml:space="preserve">El Sistema </w:t>
            </w:r>
            <w:r w:rsidR="000D0A9F" w:rsidRPr="0072343A">
              <w:t xml:space="preserve">PCT </w:t>
            </w:r>
          </w:p>
        </w:tc>
        <w:tc>
          <w:tcPr>
            <w:tcW w:w="2410" w:type="dxa"/>
          </w:tcPr>
          <w:p w:rsidR="000D0A9F" w:rsidRPr="0072343A" w:rsidRDefault="000D0A9F" w:rsidP="008C4B6B">
            <w:pPr>
              <w:ind w:right="1026"/>
              <w:jc w:val="right"/>
            </w:pPr>
            <w:r w:rsidRPr="0072343A">
              <w:t>3</w:t>
            </w:r>
          </w:p>
        </w:tc>
      </w:tr>
      <w:tr w:rsidR="000D0A9F" w:rsidRPr="0072343A" w:rsidTr="00E70B05">
        <w:tc>
          <w:tcPr>
            <w:tcW w:w="6912" w:type="dxa"/>
          </w:tcPr>
          <w:p w:rsidR="000D0A9F" w:rsidRPr="0072343A" w:rsidRDefault="00F05E96" w:rsidP="00F05E96">
            <w:r w:rsidRPr="0072343A">
              <w:t>Procedimiento del PCT ante la Administración encargada de la búsqueda internacional</w:t>
            </w:r>
          </w:p>
        </w:tc>
        <w:tc>
          <w:tcPr>
            <w:tcW w:w="2410" w:type="dxa"/>
          </w:tcPr>
          <w:p w:rsidR="000D0A9F" w:rsidRPr="0072343A" w:rsidRDefault="000D0A9F" w:rsidP="008C4B6B">
            <w:pPr>
              <w:ind w:right="1026"/>
              <w:jc w:val="right"/>
            </w:pPr>
            <w:r w:rsidRPr="0072343A">
              <w:t>16</w:t>
            </w:r>
          </w:p>
        </w:tc>
      </w:tr>
      <w:tr w:rsidR="000D0A9F" w:rsidRPr="0072343A" w:rsidTr="00E70B05">
        <w:tc>
          <w:tcPr>
            <w:tcW w:w="6912" w:type="dxa"/>
          </w:tcPr>
          <w:p w:rsidR="000D0A9F" w:rsidRPr="0072343A" w:rsidRDefault="00F05E96" w:rsidP="008C4B6B">
            <w:r w:rsidRPr="0072343A">
              <w:t xml:space="preserve">Procedimiento </w:t>
            </w:r>
            <w:r w:rsidR="00BB6B4D" w:rsidRPr="0072343A">
              <w:t xml:space="preserve">del PCT </w:t>
            </w:r>
            <w:r w:rsidRPr="0072343A">
              <w:t>ante la Administración encargada del examen preliminar internacional</w:t>
            </w:r>
          </w:p>
        </w:tc>
        <w:tc>
          <w:tcPr>
            <w:tcW w:w="2410" w:type="dxa"/>
          </w:tcPr>
          <w:p w:rsidR="000D0A9F" w:rsidRPr="0072343A" w:rsidRDefault="000D0A9F" w:rsidP="008C4B6B">
            <w:pPr>
              <w:ind w:right="1026"/>
              <w:jc w:val="right"/>
            </w:pPr>
            <w:r w:rsidRPr="0072343A">
              <w:t>3</w:t>
            </w:r>
          </w:p>
        </w:tc>
      </w:tr>
      <w:tr w:rsidR="000D0A9F" w:rsidRPr="0072343A" w:rsidTr="00E70B05">
        <w:tc>
          <w:tcPr>
            <w:tcW w:w="6912" w:type="dxa"/>
          </w:tcPr>
          <w:p w:rsidR="000D0A9F" w:rsidRPr="0072343A" w:rsidRDefault="00E70B05" w:rsidP="00E70B05">
            <w:r w:rsidRPr="0072343A">
              <w:t xml:space="preserve">Casos especiales en el procedimiento de solicitud de patente </w:t>
            </w:r>
          </w:p>
        </w:tc>
        <w:tc>
          <w:tcPr>
            <w:tcW w:w="2410" w:type="dxa"/>
          </w:tcPr>
          <w:p w:rsidR="000D0A9F" w:rsidRPr="0072343A" w:rsidRDefault="000D0A9F" w:rsidP="008C4B6B">
            <w:pPr>
              <w:ind w:right="1026"/>
              <w:jc w:val="right"/>
            </w:pPr>
            <w:r w:rsidRPr="0072343A">
              <w:t>3</w:t>
            </w:r>
          </w:p>
        </w:tc>
      </w:tr>
    </w:tbl>
    <w:p w:rsidR="000D0A9F" w:rsidRPr="0072343A" w:rsidRDefault="000D0A9F" w:rsidP="000D0A9F"/>
    <w:p w:rsidR="000D0A9F" w:rsidRPr="0072343A" w:rsidRDefault="00F05E96" w:rsidP="000D0A9F">
      <w:r w:rsidRPr="0072343A">
        <w:t xml:space="preserve">Además de tomar parte en el programa de capacitación interno, todos los nuevos examinadores participan </w:t>
      </w:r>
      <w:r w:rsidR="00BB6B4D" w:rsidRPr="0072343A">
        <w:t xml:space="preserve">también </w:t>
      </w:r>
      <w:r w:rsidRPr="0072343A">
        <w:t>en formaciones ex</w:t>
      </w:r>
      <w:r w:rsidR="00337677" w:rsidRPr="0072343A">
        <w:t>t</w:t>
      </w:r>
      <w:r w:rsidRPr="0072343A">
        <w:t xml:space="preserve">ernas </w:t>
      </w:r>
      <w:r w:rsidR="00BB6B4D" w:rsidRPr="0072343A">
        <w:t xml:space="preserve">que se imparten </w:t>
      </w:r>
      <w:r w:rsidRPr="0072343A">
        <w:t xml:space="preserve">en la Universidad </w:t>
      </w:r>
      <w:r w:rsidR="000D0A9F" w:rsidRPr="0072343A">
        <w:t xml:space="preserve">Aalto </w:t>
      </w:r>
      <w:r w:rsidR="00337677" w:rsidRPr="0072343A">
        <w:t xml:space="preserve">de </w:t>
      </w:r>
      <w:r w:rsidR="000D0A9F" w:rsidRPr="0072343A">
        <w:t xml:space="preserve">Helsinki.  </w:t>
      </w:r>
      <w:r w:rsidR="00337677" w:rsidRPr="0072343A">
        <w:t xml:space="preserve">El programa formativo </w:t>
      </w:r>
      <w:r w:rsidR="000D0A9F" w:rsidRPr="0072343A">
        <w:t>“Patent</w:t>
      </w:r>
      <w:r w:rsidR="00337677" w:rsidRPr="0072343A">
        <w:t>e</w:t>
      </w:r>
      <w:r w:rsidR="000D0A9F" w:rsidRPr="0072343A">
        <w:t>s – Industr</w:t>
      </w:r>
      <w:r w:rsidR="00337677" w:rsidRPr="0072343A">
        <w:t>ia</w:t>
      </w:r>
      <w:r w:rsidR="000D0A9F" w:rsidRPr="0072343A">
        <w:t xml:space="preserve"> – Tec</w:t>
      </w:r>
      <w:r w:rsidR="00337677" w:rsidRPr="0072343A">
        <w:t>nología</w:t>
      </w:r>
      <w:r w:rsidR="000D0A9F" w:rsidRPr="0072343A">
        <w:t xml:space="preserve">” </w:t>
      </w:r>
      <w:r w:rsidR="00337677" w:rsidRPr="0072343A">
        <w:t xml:space="preserve">es convocado anualmente por la Universidad </w:t>
      </w:r>
      <w:r w:rsidR="000D0A9F" w:rsidRPr="0072343A">
        <w:t>Aalto</w:t>
      </w:r>
      <w:r w:rsidR="00337677" w:rsidRPr="0072343A">
        <w:t xml:space="preserve"> en colaboración con la Oficina Nacional de Patentes y Registros de Finlandia.  La finalidad de</w:t>
      </w:r>
      <w:r w:rsidR="00BB6B4D" w:rsidRPr="0072343A">
        <w:t xml:space="preserve"> dicho</w:t>
      </w:r>
      <w:r w:rsidR="00337677" w:rsidRPr="0072343A">
        <w:t xml:space="preserve"> programa es familiarizar a los participantes con los sistemas internacionales de patentes, así como proporcionarles un conocimiento básico sobre los derechos de propiedad intelectual, </w:t>
      </w:r>
      <w:r w:rsidR="00BB4546" w:rsidRPr="0072343A">
        <w:t xml:space="preserve">con atención especial a los derechos de propiedad industrial y a los procesos de concesión de patentes tanto en Finlandia como en otros países.  Este programa va dirigido no sólo a </w:t>
      </w:r>
      <w:r w:rsidR="00BB6B4D" w:rsidRPr="0072343A">
        <w:t xml:space="preserve">los </w:t>
      </w:r>
      <w:r w:rsidR="00BB4546" w:rsidRPr="0072343A">
        <w:t>nuevos examinadores</w:t>
      </w:r>
      <w:r w:rsidR="00BB6B4D" w:rsidRPr="0072343A">
        <w:t>,</w:t>
      </w:r>
      <w:r w:rsidR="00BB4546" w:rsidRPr="0072343A">
        <w:t xml:space="preserve"> sino también a abogados de patentes, ingenieros de patentes y otros profesionales especializados en el ámbito de los </w:t>
      </w:r>
      <w:r w:rsidR="00BB4546" w:rsidRPr="0072343A">
        <w:lastRenderedPageBreak/>
        <w:t xml:space="preserve">derechos de P.I.  El programa incluye la asistencia a ponencias, la redacción de una solicitud de patente, tres exámenes y la elaboración de un proyecto.  La duración del programa </w:t>
      </w:r>
      <w:r w:rsidR="00D91F11" w:rsidRPr="0072343A">
        <w:t>es de</w:t>
      </w:r>
      <w:r w:rsidR="00BB4546" w:rsidRPr="0072343A">
        <w:t xml:space="preserve"> 20 </w:t>
      </w:r>
      <w:r w:rsidR="006C6AA3">
        <w:t>jornadas</w:t>
      </w:r>
      <w:r w:rsidR="00BB4546" w:rsidRPr="0072343A">
        <w:t xml:space="preserve"> laborales (véase </w:t>
      </w:r>
      <w:r w:rsidR="00D91F11" w:rsidRPr="0072343A">
        <w:t>el cuadro siguiente).  Cuatro de los días de formación se desarrollan en la OEP, en Múnich, Alemania.</w:t>
      </w:r>
      <w:r w:rsidR="000D0A9F" w:rsidRPr="0072343A">
        <w:t xml:space="preserve"> </w:t>
      </w:r>
    </w:p>
    <w:p w:rsidR="000D0A9F" w:rsidRPr="0072343A" w:rsidRDefault="000D0A9F" w:rsidP="000D0A9F"/>
    <w:tbl>
      <w:tblPr>
        <w:tblStyle w:val="TableGrid"/>
        <w:tblW w:w="0" w:type="auto"/>
        <w:tblLook w:val="04A0" w:firstRow="1" w:lastRow="0" w:firstColumn="1" w:lastColumn="0" w:noHBand="0" w:noVBand="1"/>
      </w:tblPr>
      <w:tblGrid>
        <w:gridCol w:w="8128"/>
        <w:gridCol w:w="1402"/>
      </w:tblGrid>
      <w:tr w:rsidR="000D0A9F" w:rsidRPr="0072343A" w:rsidTr="008C4B6B">
        <w:tc>
          <w:tcPr>
            <w:tcW w:w="8128" w:type="dxa"/>
          </w:tcPr>
          <w:p w:rsidR="000D0A9F" w:rsidRPr="0072343A" w:rsidRDefault="000D0A9F" w:rsidP="00D91F11">
            <w:pPr>
              <w:keepNext/>
              <w:rPr>
                <w:b/>
              </w:rPr>
            </w:pPr>
            <w:r w:rsidRPr="0072343A">
              <w:rPr>
                <w:b/>
              </w:rPr>
              <w:t>M</w:t>
            </w:r>
            <w:r w:rsidR="00D91F11" w:rsidRPr="0072343A">
              <w:rPr>
                <w:b/>
              </w:rPr>
              <w:t xml:space="preserve">ÓDULO </w:t>
            </w:r>
            <w:r w:rsidRPr="0072343A">
              <w:rPr>
                <w:b/>
              </w:rPr>
              <w:t>(PATENT</w:t>
            </w:r>
            <w:r w:rsidR="00D91F11" w:rsidRPr="0072343A">
              <w:rPr>
                <w:b/>
              </w:rPr>
              <w:t>E</w:t>
            </w:r>
            <w:r w:rsidRPr="0072343A">
              <w:rPr>
                <w:b/>
              </w:rPr>
              <w:t>S – INDUSTR</w:t>
            </w:r>
            <w:r w:rsidR="00D91F11" w:rsidRPr="0072343A">
              <w:rPr>
                <w:b/>
              </w:rPr>
              <w:t>IA</w:t>
            </w:r>
            <w:r w:rsidRPr="0072343A">
              <w:rPr>
                <w:b/>
              </w:rPr>
              <w:t xml:space="preserve"> – TEC</w:t>
            </w:r>
            <w:r w:rsidR="00D91F11" w:rsidRPr="0072343A">
              <w:rPr>
                <w:b/>
              </w:rPr>
              <w:t>NOLOGÍA</w:t>
            </w:r>
            <w:r w:rsidRPr="0072343A">
              <w:rPr>
                <w:b/>
              </w:rPr>
              <w:t>)</w:t>
            </w:r>
          </w:p>
        </w:tc>
        <w:tc>
          <w:tcPr>
            <w:tcW w:w="1365" w:type="dxa"/>
          </w:tcPr>
          <w:p w:rsidR="000D0A9F" w:rsidRPr="0072343A" w:rsidRDefault="000D0A9F" w:rsidP="00F05E96">
            <w:pPr>
              <w:keepNext/>
              <w:rPr>
                <w:b/>
              </w:rPr>
            </w:pPr>
            <w:r w:rsidRPr="0072343A">
              <w:rPr>
                <w:b/>
              </w:rPr>
              <w:t>DURA</w:t>
            </w:r>
            <w:r w:rsidR="00F05E96" w:rsidRPr="0072343A">
              <w:rPr>
                <w:b/>
              </w:rPr>
              <w:t>CIÓN</w:t>
            </w:r>
            <w:r w:rsidRPr="0072343A">
              <w:rPr>
                <w:b/>
              </w:rPr>
              <w:t xml:space="preserve"> (D</w:t>
            </w:r>
            <w:r w:rsidR="00F05E96" w:rsidRPr="0072343A">
              <w:rPr>
                <w:b/>
              </w:rPr>
              <w:t>ÍAS</w:t>
            </w:r>
            <w:r w:rsidRPr="0072343A">
              <w:rPr>
                <w:b/>
              </w:rPr>
              <w:t>)</w:t>
            </w:r>
          </w:p>
        </w:tc>
      </w:tr>
      <w:tr w:rsidR="000D0A9F" w:rsidRPr="0072343A" w:rsidTr="008C4B6B">
        <w:tc>
          <w:tcPr>
            <w:tcW w:w="8128" w:type="dxa"/>
          </w:tcPr>
          <w:p w:rsidR="000D0A9F" w:rsidRPr="0072343A" w:rsidRDefault="00D91F11" w:rsidP="00D91F11">
            <w:pPr>
              <w:keepNext/>
            </w:pPr>
            <w:r w:rsidRPr="0072343A">
              <w:t>Derechos de propiedad industrial</w:t>
            </w:r>
            <w:r w:rsidR="000D0A9F" w:rsidRPr="0072343A">
              <w:t xml:space="preserve"> </w:t>
            </w:r>
            <w:r w:rsidRPr="0072343A">
              <w:t>y emprendimiento</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D91F11" w:rsidP="00D91F11">
            <w:pPr>
              <w:keepNext/>
            </w:pPr>
            <w:r w:rsidRPr="0072343A">
              <w:t xml:space="preserve">Mecanismos de protección de los derechos de propiedad industrial </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D91F11" w:rsidP="00D91F11">
            <w:pPr>
              <w:keepNext/>
            </w:pPr>
            <w:r w:rsidRPr="0072343A">
              <w:t xml:space="preserve">Concesión de patentes en </w:t>
            </w:r>
            <w:r w:rsidR="000D0A9F" w:rsidRPr="0072343A">
              <w:t>Finland</w:t>
            </w:r>
            <w:r w:rsidRPr="0072343A">
              <w:t>ia</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0D0A9F" w:rsidP="00D91F11">
            <w:pPr>
              <w:keepNext/>
            </w:pPr>
            <w:r w:rsidRPr="0072343A">
              <w:t>Proce</w:t>
            </w:r>
            <w:r w:rsidR="00D91F11" w:rsidRPr="0072343A">
              <w:t xml:space="preserve">dimiento de solicitud de </w:t>
            </w:r>
            <w:r w:rsidRPr="0072343A">
              <w:t>patent</w:t>
            </w:r>
            <w:r w:rsidR="00D91F11" w:rsidRPr="0072343A">
              <w:t>e</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D91F11" w:rsidP="00287D8B">
            <w:pPr>
              <w:keepNext/>
            </w:pPr>
            <w:r w:rsidRPr="0072343A">
              <w:t>Sistemas i</w:t>
            </w:r>
            <w:r w:rsidR="000D0A9F" w:rsidRPr="0072343A">
              <w:t>nterna</w:t>
            </w:r>
            <w:r w:rsidR="00287D8B" w:rsidRPr="0072343A">
              <w:t>c</w:t>
            </w:r>
            <w:r w:rsidR="000D0A9F" w:rsidRPr="0072343A">
              <w:t>ional</w:t>
            </w:r>
            <w:r w:rsidRPr="0072343A">
              <w:t>es</w:t>
            </w:r>
            <w:r w:rsidR="000D0A9F" w:rsidRPr="0072343A">
              <w:t xml:space="preserve"> </w:t>
            </w:r>
            <w:r w:rsidRPr="0072343A">
              <w:t xml:space="preserve">de solicitud de </w:t>
            </w:r>
            <w:r w:rsidR="000D0A9F" w:rsidRPr="0072343A">
              <w:t>patent</w:t>
            </w:r>
            <w:r w:rsidRPr="0072343A">
              <w:t>es</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287D8B" w:rsidP="00287D8B">
            <w:pPr>
              <w:keepNext/>
            </w:pPr>
            <w:r w:rsidRPr="0072343A">
              <w:t xml:space="preserve">Características especiales de los sistemas nacionales de patentes </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0D0A9F" w:rsidP="00287D8B">
            <w:pPr>
              <w:keepNext/>
            </w:pPr>
            <w:r w:rsidRPr="0072343A">
              <w:t>Seminar</w:t>
            </w:r>
            <w:r w:rsidR="00287D8B" w:rsidRPr="0072343A">
              <w:t xml:space="preserve">io sobre las actividades de la Oficina Europea de Patentes (tiene lugar en Múnich, en la OEP) </w:t>
            </w:r>
            <w:r w:rsidRPr="0072343A">
              <w:t xml:space="preserve"> </w:t>
            </w:r>
          </w:p>
        </w:tc>
        <w:tc>
          <w:tcPr>
            <w:tcW w:w="1365" w:type="dxa"/>
          </w:tcPr>
          <w:p w:rsidR="000D0A9F" w:rsidRPr="0072343A" w:rsidRDefault="000D0A9F" w:rsidP="008C4B6B">
            <w:pPr>
              <w:keepNext/>
              <w:jc w:val="center"/>
            </w:pPr>
            <w:r w:rsidRPr="0072343A">
              <w:t>4</w:t>
            </w:r>
          </w:p>
        </w:tc>
      </w:tr>
      <w:tr w:rsidR="000D0A9F" w:rsidRPr="0072343A" w:rsidTr="008C4B6B">
        <w:tc>
          <w:tcPr>
            <w:tcW w:w="8128" w:type="dxa"/>
          </w:tcPr>
          <w:p w:rsidR="000D0A9F" w:rsidRPr="0072343A" w:rsidRDefault="000D0A9F" w:rsidP="00287D8B">
            <w:pPr>
              <w:keepNext/>
            </w:pPr>
            <w:r w:rsidRPr="0072343A">
              <w:t>Patent</w:t>
            </w:r>
            <w:r w:rsidR="00287D8B" w:rsidRPr="0072343A">
              <w:t>e</w:t>
            </w:r>
            <w:r w:rsidRPr="0072343A">
              <w:t xml:space="preserve">s </w:t>
            </w:r>
            <w:r w:rsidR="00287D8B" w:rsidRPr="0072343A">
              <w:t xml:space="preserve">y competencia </w:t>
            </w:r>
          </w:p>
        </w:tc>
        <w:tc>
          <w:tcPr>
            <w:tcW w:w="1365" w:type="dxa"/>
          </w:tcPr>
          <w:p w:rsidR="000D0A9F" w:rsidRPr="0072343A" w:rsidRDefault="000D0A9F" w:rsidP="008C4B6B">
            <w:pPr>
              <w:keepNext/>
              <w:jc w:val="center"/>
            </w:pPr>
            <w:r w:rsidRPr="0072343A">
              <w:t>2</w:t>
            </w:r>
          </w:p>
        </w:tc>
      </w:tr>
      <w:tr w:rsidR="000D0A9F" w:rsidRPr="0072343A" w:rsidTr="008C4B6B">
        <w:tc>
          <w:tcPr>
            <w:tcW w:w="8128" w:type="dxa"/>
          </w:tcPr>
          <w:p w:rsidR="000D0A9F" w:rsidRPr="0072343A" w:rsidRDefault="000D0A9F" w:rsidP="00287D8B">
            <w:r w:rsidRPr="0072343A">
              <w:t>Utiliz</w:t>
            </w:r>
            <w:r w:rsidR="00287D8B" w:rsidRPr="0072343A">
              <w:t xml:space="preserve">ación de los derechos de propiedad industrial </w:t>
            </w:r>
          </w:p>
        </w:tc>
        <w:tc>
          <w:tcPr>
            <w:tcW w:w="1365" w:type="dxa"/>
          </w:tcPr>
          <w:p w:rsidR="000D0A9F" w:rsidRPr="0072343A" w:rsidRDefault="000D0A9F" w:rsidP="008C4B6B">
            <w:pPr>
              <w:jc w:val="center"/>
            </w:pPr>
            <w:r w:rsidRPr="0072343A">
              <w:t>2</w:t>
            </w:r>
          </w:p>
        </w:tc>
      </w:tr>
    </w:tbl>
    <w:p w:rsidR="000D0A9F" w:rsidRPr="0072343A" w:rsidRDefault="000D0A9F" w:rsidP="000D0A9F"/>
    <w:p w:rsidR="000D0A9F" w:rsidRPr="0072343A" w:rsidRDefault="000D0A9F" w:rsidP="000D0A9F"/>
    <w:p w:rsidR="000D0A9F" w:rsidRPr="0072343A" w:rsidRDefault="000D0A9F" w:rsidP="000D0A9F">
      <w:r w:rsidRPr="0072343A">
        <w:t>A</w:t>
      </w:r>
      <w:r w:rsidR="00287D8B" w:rsidRPr="0072343A">
        <w:t xml:space="preserve">l término del período de 18 meses, todos los nuevos examinadores deben someterse a un examen oral.  Una vez superado este examen, el nuevo examinador ya puede trabajar de forma independiente. </w:t>
      </w:r>
    </w:p>
    <w:p w:rsidR="000D0A9F" w:rsidRPr="0072343A" w:rsidRDefault="000D0A9F" w:rsidP="000D0A9F"/>
    <w:p w:rsidR="000D0A9F" w:rsidRPr="0072343A" w:rsidRDefault="00287D8B" w:rsidP="000D0A9F">
      <w:pPr>
        <w:rPr>
          <w:i/>
        </w:rPr>
      </w:pPr>
      <w:r w:rsidRPr="0072343A">
        <w:rPr>
          <w:i/>
        </w:rPr>
        <w:t>Actividades de formación continua para los examinadores existente</w:t>
      </w:r>
      <w:r w:rsidR="000D0A9F" w:rsidRPr="0072343A">
        <w:rPr>
          <w:i/>
        </w:rPr>
        <w:t>s</w:t>
      </w:r>
    </w:p>
    <w:p w:rsidR="000D0A9F" w:rsidRPr="0072343A" w:rsidRDefault="000D0A9F" w:rsidP="000D0A9F"/>
    <w:p w:rsidR="000D0A9F" w:rsidRPr="0072343A" w:rsidRDefault="00287D8B" w:rsidP="000D0A9F">
      <w:r w:rsidRPr="0072343A">
        <w:t xml:space="preserve">Los examinadores principales existentes asisten a los cursos y seminarios </w:t>
      </w:r>
      <w:r w:rsidR="00BF24F3" w:rsidRPr="0072343A">
        <w:t>impartidos por</w:t>
      </w:r>
      <w:r w:rsidRPr="0072343A">
        <w:t xml:space="preserve"> la </w:t>
      </w:r>
      <w:r w:rsidR="00BF24F3" w:rsidRPr="0072343A">
        <w:t xml:space="preserve">Academia Europea de Patentes de la OEP.  Los cursos elegidos son programas avanzados o cursos de alto nivel para expertos.  También participan en cursos de enseñanza a distancia.  Los examinadores que reciben formación en la Academia Europea de Patentes tienen el deber de transmitir posteriormente los conocimientos adquiridos a los demás examinadores de la Oficina Nacional de Patentes y Registros de Finlandia.  Típicamente, unos diez examinadores asisten cada año a los distintos cursos y seminarios organizados por la Academia Europea de Patentes de la OEP.    </w:t>
      </w:r>
      <w:r w:rsidRPr="0072343A">
        <w:t xml:space="preserve"> </w:t>
      </w:r>
    </w:p>
    <w:p w:rsidR="000D0A9F" w:rsidRPr="0072343A" w:rsidRDefault="000D0A9F" w:rsidP="000D0A9F"/>
    <w:p w:rsidR="000D0A9F" w:rsidRPr="0072343A" w:rsidRDefault="00BF24F3" w:rsidP="000D0A9F">
      <w:r w:rsidRPr="0072343A">
        <w:t xml:space="preserve">Los examinadores existentes también participan en cursos y seminarios sobre derechos de P.I. organizados por otras organizaciones, como por ejemplo, el </w:t>
      </w:r>
      <w:r w:rsidR="00043585" w:rsidRPr="0072343A">
        <w:t xml:space="preserve">Instituto de Agentes Acreditados ante la Oficina Europea de Patentes </w:t>
      </w:r>
      <w:r w:rsidR="000D0A9F" w:rsidRPr="0072343A">
        <w:t>(EPI) o</w:t>
      </w:r>
      <w:r w:rsidR="00043585" w:rsidRPr="0072343A">
        <w:t xml:space="preserve"> el </w:t>
      </w:r>
      <w:r w:rsidR="00FF5A2E" w:rsidRPr="0072343A">
        <w:t>Centro Universitario de Derechos de P.I. (</w:t>
      </w:r>
      <w:r w:rsidR="00043585" w:rsidRPr="0072343A">
        <w:rPr>
          <w:i/>
        </w:rPr>
        <w:t>IPR University Center</w:t>
      </w:r>
      <w:r w:rsidR="00FF5A2E" w:rsidRPr="0072343A">
        <w:t>)</w:t>
      </w:r>
      <w:r w:rsidR="00043585" w:rsidRPr="0072343A">
        <w:t xml:space="preserve"> (un instituto establecido conjuntamente por cinco universidades finlandesas)</w:t>
      </w:r>
      <w:r w:rsidR="000D0A9F" w:rsidRPr="0072343A">
        <w:t xml:space="preserve">. </w:t>
      </w:r>
    </w:p>
    <w:p w:rsidR="000D0A9F" w:rsidRPr="0072343A" w:rsidRDefault="000D0A9F" w:rsidP="000D0A9F"/>
    <w:p w:rsidR="000D0A9F" w:rsidRPr="0072343A" w:rsidRDefault="00043585" w:rsidP="000D0A9F">
      <w:r w:rsidRPr="0072343A">
        <w:t xml:space="preserve">Los examinadores existentes toman parte asimismo en conferencias y seminarios científicos nacionales e internacionales con el fin de </w:t>
      </w:r>
      <w:r w:rsidR="00571273" w:rsidRPr="0072343A">
        <w:t>ampliar</w:t>
      </w:r>
      <w:r w:rsidRPr="0072343A">
        <w:t xml:space="preserve"> sus conocimientos técnicos especializados.</w:t>
      </w:r>
      <w:r w:rsidR="000D0A9F" w:rsidRPr="0072343A">
        <w:t xml:space="preserve"> </w:t>
      </w:r>
    </w:p>
    <w:p w:rsidR="000D0A9F" w:rsidRPr="0072343A" w:rsidRDefault="000D0A9F" w:rsidP="000D0A9F"/>
    <w:p w:rsidR="000D0A9F" w:rsidRPr="0072343A" w:rsidRDefault="00571273" w:rsidP="000D0A9F">
      <w:r w:rsidRPr="0072343A">
        <w:t xml:space="preserve">La Oficina Nacional de Patentes y Registros de Finlandia ofrece además a sus examinadores existentes otras actividades internas de formación sobre temas de actualidad.  </w:t>
      </w:r>
      <w:r w:rsidR="000D0A9F" w:rsidRPr="0072343A">
        <w:t xml:space="preserve"> </w:t>
      </w:r>
    </w:p>
    <w:p w:rsidR="000D0A9F" w:rsidRPr="0072343A" w:rsidRDefault="000D0A9F" w:rsidP="000D0A9F"/>
    <w:p w:rsidR="000D0A9F" w:rsidRPr="0072343A" w:rsidRDefault="00571273" w:rsidP="000D0A9F">
      <w:r w:rsidRPr="0072343A">
        <w:t>Regularmente se organizan cursos de formación para los tutores.  Estos cursos duran cinco días.  También se ofrecen cursos de idiomas a los examinadores (</w:t>
      </w:r>
      <w:r w:rsidR="0072343A" w:rsidRPr="0072343A">
        <w:t>inglés</w:t>
      </w:r>
      <w:r w:rsidRPr="0072343A">
        <w:t xml:space="preserve"> </w:t>
      </w:r>
      <w:r w:rsidR="0031516F" w:rsidRPr="0072343A">
        <w:t xml:space="preserve">para </w:t>
      </w:r>
      <w:r w:rsidR="009D4257" w:rsidRPr="0072343A">
        <w:t xml:space="preserve">actuaciones </w:t>
      </w:r>
      <w:r w:rsidR="0031516F" w:rsidRPr="0072343A">
        <w:t>oficiales, sueco, francés y alemán).</w:t>
      </w:r>
    </w:p>
    <w:p w:rsidR="000D0A9F" w:rsidRPr="0072343A" w:rsidRDefault="000D0A9F" w:rsidP="000D0A9F"/>
    <w:p w:rsidR="000D0A9F" w:rsidRPr="0072343A" w:rsidRDefault="000D0A9F" w:rsidP="000D0A9F">
      <w:r w:rsidRPr="0072343A">
        <w:t>Tradi</w:t>
      </w:r>
      <w:r w:rsidR="009D4257" w:rsidRPr="0072343A">
        <w:t xml:space="preserve">cionalmente también se han establecido colaboraciones </w:t>
      </w:r>
      <w:r w:rsidR="00F0206B" w:rsidRPr="0072343A">
        <w:t xml:space="preserve">bilaterales con otras oficinas de patentes.  Por ejemplo, cabe citar la organización de seminarios conjuntos con la </w:t>
      </w:r>
      <w:r w:rsidRPr="0072343A">
        <w:t>USPTO</w:t>
      </w:r>
      <w:r w:rsidR="00F0206B" w:rsidRPr="0072343A">
        <w:t xml:space="preserve">.  También se han llevado a cabo con la SIPO intercambios de corta duración entre </w:t>
      </w:r>
      <w:r w:rsidR="003A7DE0" w:rsidRPr="0072343A">
        <w:t>e</w:t>
      </w:r>
      <w:r w:rsidR="00F0206B" w:rsidRPr="0072343A">
        <w:t xml:space="preserve">xaminadores de ambas oficinas.  </w:t>
      </w:r>
    </w:p>
    <w:p w:rsidR="000D0A9F" w:rsidRPr="0072343A" w:rsidRDefault="000D0A9F" w:rsidP="000D0A9F">
      <w:pPr>
        <w:rPr>
          <w:noProof/>
          <w:szCs w:val="22"/>
        </w:rPr>
      </w:pPr>
    </w:p>
    <w:p w:rsidR="000D0A9F" w:rsidRPr="0072343A" w:rsidRDefault="000D0A9F" w:rsidP="000D0A9F">
      <w:pPr>
        <w:rPr>
          <w:noProof/>
          <w:szCs w:val="22"/>
        </w:rPr>
      </w:pPr>
    </w:p>
    <w:p w:rsidR="000D0A9F" w:rsidRPr="0072343A" w:rsidRDefault="000D0A9F" w:rsidP="000D0A9F">
      <w:pPr>
        <w:rPr>
          <w:b/>
          <w:i/>
        </w:rPr>
      </w:pPr>
      <w:r w:rsidRPr="0072343A">
        <w:rPr>
          <w:b/>
          <w:i/>
        </w:rPr>
        <w:lastRenderedPageBreak/>
        <w:t>R</w:t>
      </w:r>
      <w:r w:rsidR="00F0206B" w:rsidRPr="0072343A">
        <w:rPr>
          <w:b/>
          <w:i/>
        </w:rPr>
        <w:t>eglas 36.1.</w:t>
      </w:r>
      <w:r w:rsidRPr="0072343A">
        <w:rPr>
          <w:b/>
          <w:i/>
        </w:rPr>
        <w:t xml:space="preserve">ii) </w:t>
      </w:r>
      <w:r w:rsidR="00F0206B" w:rsidRPr="0072343A">
        <w:rPr>
          <w:b/>
          <w:i/>
        </w:rPr>
        <w:t>y</w:t>
      </w:r>
      <w:r w:rsidRPr="0072343A">
        <w:rPr>
          <w:b/>
          <w:i/>
        </w:rPr>
        <w:t xml:space="preserve"> 63.1</w:t>
      </w:r>
      <w:r w:rsidR="00F0206B" w:rsidRPr="0072343A">
        <w:rPr>
          <w:b/>
          <w:i/>
        </w:rPr>
        <w:t>.</w:t>
      </w:r>
      <w:r w:rsidRPr="0072343A">
        <w:rPr>
          <w:b/>
          <w:i/>
        </w:rPr>
        <w:t xml:space="preserve">ii):  </w:t>
      </w:r>
      <w:r w:rsidR="00F0206B" w:rsidRPr="0072343A">
        <w:rPr>
          <w:b/>
          <w:i/>
        </w:rPr>
        <w:t xml:space="preserve">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   </w:t>
      </w:r>
    </w:p>
    <w:p w:rsidR="000D0A9F" w:rsidRPr="0072343A" w:rsidRDefault="00F0206B" w:rsidP="000D0A9F">
      <w:pPr>
        <w:rPr>
          <w:szCs w:val="22"/>
        </w:rPr>
      </w:pPr>
      <w:r w:rsidRPr="0072343A">
        <w:rPr>
          <w:szCs w:val="22"/>
        </w:rPr>
        <w:t xml:space="preserve">   </w:t>
      </w:r>
    </w:p>
    <w:p w:rsidR="000D0A9F" w:rsidRPr="0072343A" w:rsidRDefault="000D0A9F" w:rsidP="000D0A9F">
      <w:pPr>
        <w:keepNext/>
        <w:rPr>
          <w:b/>
          <w:bCs/>
          <w:szCs w:val="22"/>
        </w:rPr>
      </w:pPr>
      <w:r w:rsidRPr="0072343A">
        <w:rPr>
          <w:b/>
          <w:bCs/>
          <w:szCs w:val="22"/>
        </w:rPr>
        <w:t>Acces</w:t>
      </w:r>
      <w:r w:rsidR="00F0206B" w:rsidRPr="0072343A">
        <w:rPr>
          <w:b/>
          <w:bCs/>
          <w:szCs w:val="22"/>
        </w:rPr>
        <w:t>o a la documentación mínima a los fines de la búsqueda</w:t>
      </w:r>
      <w:r w:rsidRPr="0072343A">
        <w:rPr>
          <w:b/>
          <w:bCs/>
          <w:szCs w:val="22"/>
        </w:rPr>
        <w:t>:</w:t>
      </w:r>
      <w:r w:rsidRPr="0072343A">
        <w:rPr>
          <w:szCs w:val="22"/>
        </w:rPr>
        <w:t xml:space="preserve">  </w:t>
      </w:r>
    </w:p>
    <w:p w:rsidR="000D0A9F" w:rsidRPr="0072343A" w:rsidRDefault="000D0A9F" w:rsidP="000D0A9F">
      <w:pPr>
        <w:rPr>
          <w:szCs w:val="22"/>
        </w:rPr>
      </w:pPr>
      <w:r w:rsidRPr="0072343A">
        <w:rPr>
          <w:szCs w:val="22"/>
        </w:rPr>
        <w:t>(</w:t>
      </w:r>
      <w:r w:rsidRPr="0072343A">
        <w:rPr>
          <w:color w:val="4BACC6" w:themeColor="accent5"/>
          <w:szCs w:val="22"/>
        </w:rPr>
        <w:t>x</w:t>
      </w:r>
      <w:r w:rsidRPr="0072343A">
        <w:rPr>
          <w:szCs w:val="22"/>
        </w:rPr>
        <w:t>)</w:t>
      </w:r>
      <w:r w:rsidRPr="0072343A">
        <w:rPr>
          <w:szCs w:val="22"/>
        </w:rPr>
        <w:tab/>
      </w:r>
      <w:r w:rsidR="00F0206B" w:rsidRPr="0072343A">
        <w:rPr>
          <w:szCs w:val="22"/>
        </w:rPr>
        <w:t>Pleno acceso</w:t>
      </w:r>
    </w:p>
    <w:p w:rsidR="000D0A9F" w:rsidRPr="0072343A" w:rsidRDefault="000D0A9F" w:rsidP="000D0A9F">
      <w:pPr>
        <w:rPr>
          <w:szCs w:val="22"/>
        </w:rPr>
      </w:pPr>
    </w:p>
    <w:p w:rsidR="000D0A9F" w:rsidRPr="0072343A" w:rsidRDefault="000D0A9F" w:rsidP="000D0A9F">
      <w:pPr>
        <w:keepNext/>
        <w:rPr>
          <w:szCs w:val="22"/>
        </w:rPr>
      </w:pPr>
      <w:r w:rsidRPr="0072343A">
        <w:rPr>
          <w:b/>
          <w:bCs/>
          <w:szCs w:val="22"/>
        </w:rPr>
        <w:t>S</w:t>
      </w:r>
      <w:r w:rsidR="00F0206B" w:rsidRPr="0072343A">
        <w:rPr>
          <w:b/>
          <w:bCs/>
          <w:szCs w:val="22"/>
        </w:rPr>
        <w:t>istemas de búsqueda</w:t>
      </w:r>
      <w:r w:rsidRPr="0072343A">
        <w:rPr>
          <w:b/>
          <w:bCs/>
          <w:szCs w:val="22"/>
        </w:rPr>
        <w:t>:</w:t>
      </w:r>
      <w:r w:rsidRPr="0072343A">
        <w:rPr>
          <w:szCs w:val="22"/>
        </w:rPr>
        <w:t xml:space="preserve">  </w:t>
      </w:r>
    </w:p>
    <w:p w:rsidR="000D0A9F" w:rsidRPr="0072343A" w:rsidRDefault="000D0A9F" w:rsidP="000D0A9F">
      <w:pPr>
        <w:keepNext/>
      </w:pPr>
    </w:p>
    <w:p w:rsidR="000D0A9F" w:rsidRPr="0072343A" w:rsidRDefault="00DC68BB" w:rsidP="000D0A9F">
      <w:pPr>
        <w:keepNext/>
      </w:pPr>
      <w:r w:rsidRPr="0072343A">
        <w:t xml:space="preserve">Los examinadores de patentes de la Oficina Nacional de Patentes y Registros de Finlandia disponen de todo el equipamiento necesario </w:t>
      </w:r>
      <w:r w:rsidR="000D0A9F" w:rsidRPr="0072343A">
        <w:t xml:space="preserve">(hardware </w:t>
      </w:r>
      <w:r w:rsidRPr="0072343A">
        <w:t>y</w:t>
      </w:r>
      <w:r w:rsidR="000D0A9F" w:rsidRPr="0072343A">
        <w:t xml:space="preserve"> software) </w:t>
      </w:r>
      <w:r w:rsidRPr="0072343A">
        <w:t>para efectuar búsquedas y exámenes eficientes</w:t>
      </w:r>
      <w:r w:rsidR="000D0A9F" w:rsidRPr="0072343A">
        <w:t>.</w:t>
      </w:r>
    </w:p>
    <w:p w:rsidR="000D0A9F" w:rsidRPr="0072343A" w:rsidRDefault="000D0A9F" w:rsidP="000D0A9F">
      <w:pPr>
        <w:keepNext/>
      </w:pPr>
    </w:p>
    <w:p w:rsidR="000D0A9F" w:rsidRPr="0072343A" w:rsidRDefault="00DC68BB" w:rsidP="000D0A9F">
      <w:r w:rsidRPr="0072343A">
        <w:t xml:space="preserve">Los examinadores tienen acceso a </w:t>
      </w:r>
      <w:r w:rsidR="000D0A9F" w:rsidRPr="0072343A">
        <w:t xml:space="preserve">EPOQUENET </w:t>
      </w:r>
      <w:r w:rsidRPr="0072343A">
        <w:t xml:space="preserve">y a otras bases de datos y herramientas de búsqueda para </w:t>
      </w:r>
      <w:r w:rsidR="003D051F" w:rsidRPr="0072343A">
        <w:t xml:space="preserve">poder </w:t>
      </w:r>
      <w:r w:rsidRPr="0072343A">
        <w:t xml:space="preserve">cumplir el requisito </w:t>
      </w:r>
      <w:r w:rsidR="003D051F" w:rsidRPr="0072343A">
        <w:t xml:space="preserve">de consulta de </w:t>
      </w:r>
      <w:r w:rsidRPr="0072343A">
        <w:t xml:space="preserve">la documentación mínima </w:t>
      </w:r>
      <w:r w:rsidR="003D051F" w:rsidRPr="0072343A">
        <w:t>establecida</w:t>
      </w:r>
      <w:r w:rsidR="00E8789F" w:rsidRPr="0072343A">
        <w:t xml:space="preserve"> en la Regla 34 </w:t>
      </w:r>
      <w:r w:rsidR="003D051F" w:rsidRPr="0072343A">
        <w:t xml:space="preserve">del Reglamento del </w:t>
      </w:r>
      <w:r w:rsidR="000D0A9F" w:rsidRPr="0072343A">
        <w:t>PCT.</w:t>
      </w:r>
    </w:p>
    <w:p w:rsidR="000D0A9F" w:rsidRPr="0072343A" w:rsidRDefault="000D0A9F" w:rsidP="000D0A9F"/>
    <w:p w:rsidR="000D0A9F" w:rsidRPr="0072343A" w:rsidRDefault="003D051F" w:rsidP="000D0A9F">
      <w:r w:rsidRPr="0072343A">
        <w:t>La aplicación</w:t>
      </w:r>
      <w:r w:rsidR="000D0A9F" w:rsidRPr="0072343A">
        <w:t xml:space="preserve"> EPOQUENET </w:t>
      </w:r>
      <w:r w:rsidR="00FA102F" w:rsidRPr="0072343A">
        <w:t xml:space="preserve">proporciona a los examinadores acceso a todas las bases de datos de patentes de conformidad con el requisito de documentación mínima del sistema PCT.  Los examinadores también tienen acceso a bases de datos de traducciones que incluyen a los mayores países asiáticos </w:t>
      </w:r>
      <w:r w:rsidR="000D0A9F" w:rsidRPr="0072343A">
        <w:t>(China, Jap</w:t>
      </w:r>
      <w:r w:rsidR="00FA102F" w:rsidRPr="0072343A">
        <w:t>ón y C</w:t>
      </w:r>
      <w:r w:rsidR="000D0A9F" w:rsidRPr="0072343A">
        <w:t xml:space="preserve">orea).  </w:t>
      </w:r>
      <w:r w:rsidR="00FB3CFB" w:rsidRPr="0072343A">
        <w:t xml:space="preserve">La base de datos comercial </w:t>
      </w:r>
      <w:r w:rsidR="000D0A9F" w:rsidRPr="0072343A">
        <w:t xml:space="preserve">WPI (Derwent World Patent Index) </w:t>
      </w:r>
      <w:r w:rsidR="00FB3CFB" w:rsidRPr="0072343A">
        <w:t xml:space="preserve">y otras bases de datos de literatura distinta de la de patentes como </w:t>
      </w:r>
      <w:r w:rsidR="000D0A9F" w:rsidRPr="0072343A">
        <w:t xml:space="preserve">EMBASE, IEEE, INSPEC </w:t>
      </w:r>
      <w:r w:rsidR="00FB3CFB" w:rsidRPr="0072343A">
        <w:t>y</w:t>
      </w:r>
      <w:r w:rsidR="000D0A9F" w:rsidRPr="0072343A">
        <w:t xml:space="preserve"> MEDLINE </w:t>
      </w:r>
      <w:r w:rsidR="00FB3CFB" w:rsidRPr="0072343A">
        <w:t xml:space="preserve">también son utilizadas a través de la aplicación </w:t>
      </w:r>
      <w:r w:rsidR="000D0A9F" w:rsidRPr="0072343A">
        <w:t>EPOQUENET.</w:t>
      </w:r>
    </w:p>
    <w:p w:rsidR="000D0A9F" w:rsidRPr="0072343A" w:rsidRDefault="000D0A9F" w:rsidP="000D0A9F"/>
    <w:p w:rsidR="000D0A9F" w:rsidRPr="0072343A" w:rsidRDefault="002359B2" w:rsidP="000D0A9F">
      <w:r w:rsidRPr="0072343A">
        <w:t xml:space="preserve">La aplicación </w:t>
      </w:r>
      <w:r w:rsidR="000D0A9F" w:rsidRPr="0072343A">
        <w:t xml:space="preserve">STN </w:t>
      </w:r>
      <w:r w:rsidRPr="0072343A">
        <w:t xml:space="preserve">también está a disposición de los examinadores.  </w:t>
      </w:r>
      <w:r w:rsidR="000D0A9F" w:rsidRPr="0072343A">
        <w:t>STN,</w:t>
      </w:r>
      <w:r w:rsidRPr="0072343A">
        <w:t xml:space="preserve"> que contiene bases de datos como CAS R</w:t>
      </w:r>
      <w:r w:rsidR="000D0A9F" w:rsidRPr="0072343A">
        <w:t xml:space="preserve">egistry, USGENE </w:t>
      </w:r>
      <w:r w:rsidRPr="0072343A">
        <w:t>y</w:t>
      </w:r>
      <w:r w:rsidR="000D0A9F" w:rsidRPr="0072343A">
        <w:t xml:space="preserve"> DGene, </w:t>
      </w:r>
      <w:r w:rsidRPr="0072343A">
        <w:t xml:space="preserve">se utiliza principalmente para realizar búsquedas en los campos de la química y la biotecnología.  A través de </w:t>
      </w:r>
      <w:r w:rsidR="000D0A9F" w:rsidRPr="0072343A">
        <w:t xml:space="preserve">EPOQUENET </w:t>
      </w:r>
      <w:r w:rsidRPr="0072343A">
        <w:t xml:space="preserve">y de </w:t>
      </w:r>
      <w:r w:rsidR="000536E4" w:rsidRPr="0072343A">
        <w:t xml:space="preserve">otras herramientas de búsqueda y portales, los examinadores pueden acceder a una amplia gama de publicaciones periódicas y de literatura distinta de la de patentes.  Las publicaciones disponibles proceden de diversos grupos editoriales </w:t>
      </w:r>
      <w:r w:rsidR="000D0A9F" w:rsidRPr="0072343A">
        <w:t>(</w:t>
      </w:r>
      <w:r w:rsidR="00401A43" w:rsidRPr="0072343A">
        <w:t xml:space="preserve">por ejemplo, </w:t>
      </w:r>
      <w:r w:rsidR="000D0A9F" w:rsidRPr="0072343A">
        <w:t xml:space="preserve">EBSCO, Elsevier, Springer </w:t>
      </w:r>
      <w:r w:rsidR="00401A43" w:rsidRPr="0072343A">
        <w:t>y</w:t>
      </w:r>
      <w:r w:rsidR="000D0A9F" w:rsidRPr="0072343A">
        <w:t xml:space="preserve"> Wiley).</w:t>
      </w:r>
    </w:p>
    <w:p w:rsidR="000D0A9F" w:rsidRPr="0072343A" w:rsidRDefault="000D0A9F" w:rsidP="000D0A9F"/>
    <w:p w:rsidR="000D0A9F" w:rsidRPr="0072343A" w:rsidRDefault="009816FC" w:rsidP="000D0A9F">
      <w:r w:rsidRPr="0072343A">
        <w:t>Gracias a l</w:t>
      </w:r>
      <w:r w:rsidR="00D305F4" w:rsidRPr="0072343A">
        <w:t>as herramientas mencionadas</w:t>
      </w:r>
      <w:r w:rsidRPr="0072343A">
        <w:t xml:space="preserve">, </w:t>
      </w:r>
      <w:r w:rsidR="00D305F4" w:rsidRPr="0072343A">
        <w:t xml:space="preserve">los examinadores </w:t>
      </w:r>
      <w:r w:rsidRPr="0072343A">
        <w:t xml:space="preserve">tienen garantizado el </w:t>
      </w:r>
      <w:r w:rsidR="00D305F4" w:rsidRPr="0072343A">
        <w:t>acceso, al menos, a la documentación mínima establecida en la Regla 34 del Reglamento del PCT</w:t>
      </w:r>
      <w:r w:rsidR="000D0A9F" w:rsidRPr="0072343A">
        <w:t>.</w:t>
      </w:r>
    </w:p>
    <w:p w:rsidR="000D0A9F" w:rsidRPr="0072343A" w:rsidRDefault="000D0A9F" w:rsidP="000D0A9F"/>
    <w:p w:rsidR="000D0A9F" w:rsidRPr="0072343A" w:rsidRDefault="000D0A9F" w:rsidP="000D0A9F"/>
    <w:p w:rsidR="000D0A9F" w:rsidRPr="0072343A" w:rsidRDefault="000D0A9F" w:rsidP="000D0A9F">
      <w:pPr>
        <w:rPr>
          <w:b/>
          <w:i/>
        </w:rPr>
      </w:pPr>
      <w:r w:rsidRPr="0072343A">
        <w:rPr>
          <w:b/>
          <w:i/>
        </w:rPr>
        <w:t>R</w:t>
      </w:r>
      <w:r w:rsidR="00482811" w:rsidRPr="0072343A">
        <w:rPr>
          <w:b/>
          <w:i/>
        </w:rPr>
        <w:t>eglas 36.1.</w:t>
      </w:r>
      <w:r w:rsidRPr="0072343A">
        <w:rPr>
          <w:b/>
          <w:i/>
        </w:rPr>
        <w:t xml:space="preserve">iii) </w:t>
      </w:r>
      <w:r w:rsidR="00482811" w:rsidRPr="0072343A">
        <w:rPr>
          <w:b/>
          <w:i/>
        </w:rPr>
        <w:t>y 63.1.</w:t>
      </w:r>
      <w:r w:rsidRPr="0072343A">
        <w:rPr>
          <w:b/>
          <w:i/>
        </w:rPr>
        <w:t xml:space="preserve">iii):  </w:t>
      </w:r>
      <w:r w:rsidR="00482811" w:rsidRPr="0072343A">
        <w:rPr>
          <w:b/>
          <w:i/>
        </w:rPr>
        <w:t>esa Oficina u organización deberá disponer de un personal capacitado para proceder a la búsqueda y al examen en los sectores técnicos adecuados y que posea los conocimientos lingüísticos necesarios para comprender, por lo menos, los idiomas en los que esté redactada o traducida la documentación mínima mencionada en la Regla 34</w:t>
      </w:r>
      <w:r w:rsidRPr="0072343A">
        <w:rPr>
          <w:b/>
          <w:i/>
        </w:rPr>
        <w:t>.</w:t>
      </w:r>
    </w:p>
    <w:p w:rsidR="000D0A9F" w:rsidRPr="0072343A" w:rsidRDefault="000D0A9F" w:rsidP="000D0A9F"/>
    <w:p w:rsidR="000D0A9F" w:rsidRPr="0072343A" w:rsidRDefault="00482811" w:rsidP="000D0A9F">
      <w:pPr>
        <w:rPr>
          <w:b/>
          <w:bCs/>
          <w:szCs w:val="22"/>
        </w:rPr>
      </w:pPr>
      <w:r w:rsidRPr="0072343A">
        <w:rPr>
          <w:b/>
          <w:bCs/>
          <w:szCs w:val="22"/>
        </w:rPr>
        <w:t>Idioma</w:t>
      </w:r>
      <w:r w:rsidR="000D0A9F" w:rsidRPr="0072343A">
        <w:rPr>
          <w:b/>
          <w:bCs/>
          <w:szCs w:val="22"/>
        </w:rPr>
        <w:t xml:space="preserve">(s) </w:t>
      </w:r>
      <w:r w:rsidR="00C947BA" w:rsidRPr="0072343A">
        <w:rPr>
          <w:b/>
          <w:bCs/>
          <w:szCs w:val="22"/>
        </w:rPr>
        <w:t>en los que las solicitudes nacionales pueden ser presentadas y tramitadas</w:t>
      </w:r>
      <w:r w:rsidR="000D0A9F" w:rsidRPr="0072343A">
        <w:rPr>
          <w:b/>
          <w:bCs/>
          <w:szCs w:val="22"/>
        </w:rPr>
        <w:t>:</w:t>
      </w:r>
      <w:r w:rsidR="000D0A9F" w:rsidRPr="0072343A">
        <w:rPr>
          <w:szCs w:val="22"/>
        </w:rPr>
        <w:t xml:space="preserve">  </w:t>
      </w:r>
    </w:p>
    <w:p w:rsidR="000D0A9F" w:rsidRPr="0072343A" w:rsidRDefault="000D0A9F" w:rsidP="000D0A9F"/>
    <w:p w:rsidR="000D0A9F" w:rsidRPr="0072343A" w:rsidRDefault="000D0A9F" w:rsidP="000D0A9F">
      <w:r w:rsidRPr="0072343A">
        <w:t>Fin</w:t>
      </w:r>
      <w:r w:rsidR="00C947BA" w:rsidRPr="0072343A">
        <w:t xml:space="preserve">és, sueco, inglés </w:t>
      </w:r>
      <w:r w:rsidRPr="0072343A">
        <w:t xml:space="preserve"> </w:t>
      </w:r>
    </w:p>
    <w:p w:rsidR="000D0A9F" w:rsidRPr="0072343A" w:rsidRDefault="000D0A9F" w:rsidP="000D0A9F"/>
    <w:p w:rsidR="000D0A9F" w:rsidRPr="0072343A" w:rsidRDefault="000D0A9F" w:rsidP="000D0A9F">
      <w:pPr>
        <w:rPr>
          <w:b/>
          <w:bCs/>
          <w:szCs w:val="22"/>
        </w:rPr>
      </w:pPr>
      <w:r w:rsidRPr="0072343A">
        <w:rPr>
          <w:b/>
          <w:bCs/>
          <w:szCs w:val="22"/>
        </w:rPr>
        <w:t>O</w:t>
      </w:r>
      <w:r w:rsidR="00C947BA" w:rsidRPr="0072343A">
        <w:rPr>
          <w:b/>
          <w:bCs/>
          <w:szCs w:val="22"/>
        </w:rPr>
        <w:t xml:space="preserve">tros idiomas en los que un gran número de examinadores </w:t>
      </w:r>
      <w:r w:rsidR="00CB6EDC">
        <w:rPr>
          <w:b/>
          <w:bCs/>
          <w:szCs w:val="22"/>
        </w:rPr>
        <w:t xml:space="preserve">son </w:t>
      </w:r>
      <w:r w:rsidR="00C947BA" w:rsidRPr="0072343A">
        <w:rPr>
          <w:b/>
          <w:bCs/>
          <w:szCs w:val="22"/>
        </w:rPr>
        <w:t>competen</w:t>
      </w:r>
      <w:r w:rsidR="00CB6EDC">
        <w:rPr>
          <w:b/>
          <w:bCs/>
          <w:szCs w:val="22"/>
        </w:rPr>
        <w:t>te</w:t>
      </w:r>
      <w:r w:rsidR="00C947BA" w:rsidRPr="0072343A">
        <w:rPr>
          <w:b/>
          <w:bCs/>
          <w:szCs w:val="22"/>
        </w:rPr>
        <w:t>s</w:t>
      </w:r>
      <w:r w:rsidRPr="0072343A">
        <w:rPr>
          <w:b/>
          <w:bCs/>
          <w:szCs w:val="22"/>
        </w:rPr>
        <w:t>:</w:t>
      </w:r>
      <w:r w:rsidRPr="0072343A">
        <w:rPr>
          <w:szCs w:val="22"/>
        </w:rPr>
        <w:t xml:space="preserve">  </w:t>
      </w:r>
    </w:p>
    <w:p w:rsidR="000D0A9F" w:rsidRPr="0072343A" w:rsidRDefault="000D0A9F" w:rsidP="000D0A9F"/>
    <w:p w:rsidR="000D0A9F" w:rsidRPr="0072343A" w:rsidRDefault="00C947BA" w:rsidP="000D0A9F">
      <w:r w:rsidRPr="0072343A">
        <w:t xml:space="preserve">Alemán, francés </w:t>
      </w:r>
    </w:p>
    <w:p w:rsidR="000D0A9F" w:rsidRPr="0072343A" w:rsidRDefault="000D0A9F" w:rsidP="000D0A9F"/>
    <w:p w:rsidR="000D0A9F" w:rsidRPr="0072343A" w:rsidRDefault="000D0A9F" w:rsidP="00CB6EDC">
      <w:pPr>
        <w:keepNext/>
        <w:keepLines/>
        <w:rPr>
          <w:szCs w:val="22"/>
        </w:rPr>
      </w:pPr>
      <w:r w:rsidRPr="0072343A">
        <w:rPr>
          <w:b/>
          <w:bCs/>
          <w:szCs w:val="22"/>
        </w:rPr>
        <w:lastRenderedPageBreak/>
        <w:t>Servic</w:t>
      </w:r>
      <w:r w:rsidR="00C947BA" w:rsidRPr="0072343A">
        <w:rPr>
          <w:b/>
          <w:bCs/>
          <w:szCs w:val="22"/>
        </w:rPr>
        <w:t xml:space="preserve">ios disponibles de ayuda a la búsqueda y para la comprensión </w:t>
      </w:r>
      <w:r w:rsidR="00CB6EDC">
        <w:rPr>
          <w:b/>
          <w:bCs/>
          <w:szCs w:val="22"/>
        </w:rPr>
        <w:t>del estado de la técnica en otro</w:t>
      </w:r>
      <w:r w:rsidR="00C947BA" w:rsidRPr="0072343A">
        <w:rPr>
          <w:b/>
          <w:bCs/>
          <w:szCs w:val="22"/>
        </w:rPr>
        <w:t xml:space="preserve">s </w:t>
      </w:r>
      <w:r w:rsidR="00CB6EDC">
        <w:rPr>
          <w:b/>
          <w:bCs/>
          <w:szCs w:val="22"/>
        </w:rPr>
        <w:t>idiomas</w:t>
      </w:r>
      <w:r w:rsidR="00C947BA" w:rsidRPr="0072343A">
        <w:rPr>
          <w:b/>
          <w:bCs/>
          <w:szCs w:val="22"/>
        </w:rPr>
        <w:t>:</w:t>
      </w:r>
      <w:r w:rsidRPr="0072343A">
        <w:rPr>
          <w:szCs w:val="22"/>
        </w:rPr>
        <w:t xml:space="preserve">  </w:t>
      </w:r>
    </w:p>
    <w:p w:rsidR="000D0A9F" w:rsidRPr="0072343A" w:rsidRDefault="000D0A9F" w:rsidP="00CB6EDC">
      <w:pPr>
        <w:keepNext/>
        <w:keepLines/>
      </w:pPr>
    </w:p>
    <w:p w:rsidR="000D0A9F" w:rsidRPr="0072343A" w:rsidRDefault="00C947BA" w:rsidP="00CB6EDC">
      <w:pPr>
        <w:keepNext/>
        <w:keepLines/>
      </w:pPr>
      <w:r w:rsidRPr="0072343A">
        <w:t xml:space="preserve">Traductores internos, servicios de traducción automática </w:t>
      </w:r>
    </w:p>
    <w:p w:rsidR="000D0A9F" w:rsidRPr="0072343A" w:rsidRDefault="000D0A9F" w:rsidP="000D0A9F"/>
    <w:p w:rsidR="000D0A9F" w:rsidRPr="0072343A" w:rsidRDefault="000D0A9F" w:rsidP="000D0A9F">
      <w:pPr>
        <w:pStyle w:val="SectionHeading"/>
        <w:rPr>
          <w:lang w:val="es-ES"/>
        </w:rPr>
      </w:pPr>
      <w:r w:rsidRPr="0072343A">
        <w:rPr>
          <w:lang w:val="es-ES"/>
        </w:rPr>
        <w:t xml:space="preserve">2.2 – </w:t>
      </w:r>
      <w:r w:rsidR="00703415" w:rsidRPr="0072343A">
        <w:rPr>
          <w:lang w:val="es-ES"/>
        </w:rPr>
        <w:t>Gestión de la calidad</w:t>
      </w:r>
    </w:p>
    <w:p w:rsidR="000D0A9F" w:rsidRPr="0072343A" w:rsidRDefault="000D0A9F" w:rsidP="000D0A9F">
      <w:pPr>
        <w:rPr>
          <w:b/>
          <w:i/>
        </w:rPr>
      </w:pPr>
      <w:r w:rsidRPr="0072343A">
        <w:rPr>
          <w:b/>
          <w:i/>
        </w:rPr>
        <w:t>R</w:t>
      </w:r>
      <w:r w:rsidR="00C947BA" w:rsidRPr="0072343A">
        <w:rPr>
          <w:b/>
          <w:i/>
        </w:rPr>
        <w:t>eglas</w:t>
      </w:r>
      <w:r w:rsidRPr="0072343A">
        <w:rPr>
          <w:b/>
          <w:i/>
        </w:rPr>
        <w:t xml:space="preserve"> 36.1</w:t>
      </w:r>
      <w:r w:rsidR="00C947BA" w:rsidRPr="0072343A">
        <w:rPr>
          <w:b/>
          <w:i/>
        </w:rPr>
        <w:t>.</w:t>
      </w:r>
      <w:r w:rsidRPr="0072343A">
        <w:rPr>
          <w:b/>
          <w:i/>
        </w:rPr>
        <w:t xml:space="preserve">iv) </w:t>
      </w:r>
      <w:r w:rsidR="00C947BA" w:rsidRPr="0072343A">
        <w:rPr>
          <w:b/>
          <w:i/>
        </w:rPr>
        <w:t>y</w:t>
      </w:r>
      <w:r w:rsidRPr="0072343A">
        <w:rPr>
          <w:b/>
          <w:i/>
        </w:rPr>
        <w:t xml:space="preserve"> 63.1</w:t>
      </w:r>
      <w:r w:rsidR="00C947BA" w:rsidRPr="0072343A">
        <w:rPr>
          <w:b/>
          <w:i/>
        </w:rPr>
        <w:t>.</w:t>
      </w:r>
      <w:r w:rsidRPr="0072343A">
        <w:rPr>
          <w:b/>
          <w:i/>
        </w:rPr>
        <w:t xml:space="preserve">iv):  </w:t>
      </w:r>
      <w:r w:rsidR="00C947BA" w:rsidRPr="0072343A">
        <w:rPr>
          <w:b/>
          <w:i/>
        </w:rPr>
        <w:t>esa Oficina u organización deberá disponer de un sistema de gestión de calidad y un sistema de revisión interna, conforme a las reglas comunes de la búsqueda internacional</w:t>
      </w:r>
      <w:r w:rsidRPr="0072343A">
        <w:rPr>
          <w:b/>
          <w:i/>
        </w:rPr>
        <w:t>.</w:t>
      </w:r>
    </w:p>
    <w:p w:rsidR="000D0A9F" w:rsidRPr="0072343A" w:rsidRDefault="000D0A9F" w:rsidP="000D0A9F"/>
    <w:p w:rsidR="000D0A9F" w:rsidRPr="0072343A" w:rsidRDefault="00C947BA" w:rsidP="000D0A9F">
      <w:pPr>
        <w:rPr>
          <w:szCs w:val="22"/>
        </w:rPr>
      </w:pPr>
      <w:r w:rsidRPr="0072343A">
        <w:rPr>
          <w:b/>
          <w:bCs/>
          <w:szCs w:val="22"/>
        </w:rPr>
        <w:t>Sistema nacional de gestión de calidad</w:t>
      </w:r>
      <w:r w:rsidR="000D0A9F" w:rsidRPr="0072343A">
        <w:rPr>
          <w:b/>
          <w:bCs/>
          <w:szCs w:val="22"/>
        </w:rPr>
        <w:t>:</w:t>
      </w:r>
    </w:p>
    <w:p w:rsidR="000D0A9F" w:rsidRPr="0072343A" w:rsidRDefault="000D0A9F" w:rsidP="000D0A9F"/>
    <w:p w:rsidR="000D0A9F" w:rsidRPr="0072343A" w:rsidRDefault="009816FC" w:rsidP="000D0A9F">
      <w:r w:rsidRPr="0072343A">
        <w:t xml:space="preserve">La Oficina Nacional de Patentes y Registros de Finlandia obtuvo la primera certificación </w:t>
      </w:r>
      <w:r w:rsidR="000D0A9F" w:rsidRPr="0072343A">
        <w:t>ISO 9001:2000</w:t>
      </w:r>
      <w:r w:rsidRPr="0072343A">
        <w:t xml:space="preserve"> con relación a sus procedimientos de tramitación en el marco del sistema PCT (como Oficina receptora y como Administración encargada de la búsqueda internacional y del examen preliminar internacional) en 2006.  En 2007, la certificación </w:t>
      </w:r>
      <w:r w:rsidR="00CA330D" w:rsidRPr="0072343A">
        <w:t>fue hecha</w:t>
      </w:r>
      <w:r w:rsidRPr="0072343A">
        <w:t xml:space="preserve"> extensiva también al procedimiento de tramitación de las solicitudes de patente nacionales.  </w:t>
      </w:r>
      <w:r w:rsidR="000D0A9F" w:rsidRPr="0072343A">
        <w:t xml:space="preserve"> </w:t>
      </w:r>
    </w:p>
    <w:p w:rsidR="000D0A9F" w:rsidRPr="0072343A" w:rsidRDefault="000D0A9F" w:rsidP="000D0A9F"/>
    <w:p w:rsidR="000D0A9F" w:rsidRPr="0072343A" w:rsidRDefault="0032451C" w:rsidP="000D0A9F">
      <w:r w:rsidRPr="0072343A">
        <w:t xml:space="preserve">La última certificación ha sido llevada a cabo por el organismo certificador en otoño de 2016 conforme a la Norma revisada </w:t>
      </w:r>
      <w:r w:rsidR="000D0A9F" w:rsidRPr="0072343A">
        <w:t xml:space="preserve">ISO 9001:2015.  </w:t>
      </w:r>
      <w:r w:rsidRPr="0072343A">
        <w:t xml:space="preserve">La certificación abarca ahora la tramitación de los modelos de utilidad, la tramitación de las solicitudes de patente nacionales y la tramitación de las solicitudes internacionales en virtud del </w:t>
      </w:r>
      <w:r w:rsidR="000D0A9F" w:rsidRPr="0072343A">
        <w:t xml:space="preserve">PCT.  </w:t>
      </w:r>
    </w:p>
    <w:p w:rsidR="000D0A9F" w:rsidRPr="0072343A" w:rsidRDefault="000D0A9F" w:rsidP="000D0A9F"/>
    <w:p w:rsidR="000D0A9F" w:rsidRPr="0072343A" w:rsidRDefault="0032451C" w:rsidP="000D0A9F">
      <w:r w:rsidRPr="0072343A">
        <w:t xml:space="preserve">La Oficina Nacional de Patentes y Registros de Finlandia remitió el último informe sobre su sistema de gestión de la calidad a la Oficina Internacional, </w:t>
      </w:r>
      <w:r w:rsidR="00541CA2" w:rsidRPr="0072343A">
        <w:t>de conformidad con</w:t>
      </w:r>
      <w:r w:rsidRPr="0072343A">
        <w:t xml:space="preserve"> lo dispuesto en el Capítulo 21 de las Directrices de búsqueda internacional y de examen preliminar internacional, el 30 de noviembre de 2016.  Puede ser consultado en el sitio web de la OMPI</w:t>
      </w:r>
      <w:r w:rsidR="000D0A9F" w:rsidRPr="0072343A">
        <w:t xml:space="preserve">: </w:t>
      </w:r>
      <w:hyperlink r:id="rId10" w:history="1">
        <w:r w:rsidR="000D0A9F" w:rsidRPr="0072343A">
          <w:rPr>
            <w:rStyle w:val="Hyperlink"/>
          </w:rPr>
          <w:t>http://www.wipo.int/pct/en/quality/authorities.html</w:t>
        </w:r>
      </w:hyperlink>
      <w:r w:rsidR="000D0A9F" w:rsidRPr="0072343A">
        <w:t xml:space="preserve">. </w:t>
      </w:r>
    </w:p>
    <w:p w:rsidR="000D0A9F" w:rsidRPr="0072343A" w:rsidRDefault="000D0A9F" w:rsidP="000D0A9F">
      <w:pPr>
        <w:pStyle w:val="SectionHeading"/>
        <w:rPr>
          <w:lang w:val="es-ES"/>
        </w:rPr>
      </w:pPr>
      <w:r w:rsidRPr="0072343A">
        <w:rPr>
          <w:lang w:val="es-ES"/>
        </w:rPr>
        <w:t xml:space="preserve">3 – </w:t>
      </w:r>
      <w:r w:rsidR="00B07AD2" w:rsidRPr="0072343A">
        <w:rPr>
          <w:lang w:val="es-ES"/>
        </w:rPr>
        <w:t>Ámbito de a</w:t>
      </w:r>
      <w:r w:rsidR="00CB6EDC">
        <w:rPr>
          <w:lang w:val="es-ES"/>
        </w:rPr>
        <w:t>PLICACIÓN</w:t>
      </w:r>
      <w:r w:rsidR="00B07AD2" w:rsidRPr="0072343A">
        <w:rPr>
          <w:lang w:val="es-ES"/>
        </w:rPr>
        <w:t xml:space="preserve"> previsto </w:t>
      </w:r>
    </w:p>
    <w:p w:rsidR="000D0A9F" w:rsidRPr="0072343A" w:rsidRDefault="00B07AD2" w:rsidP="000D0A9F">
      <w:pPr>
        <w:rPr>
          <w:b/>
          <w:bCs/>
          <w:szCs w:val="22"/>
        </w:rPr>
      </w:pPr>
      <w:r w:rsidRPr="0072343A">
        <w:rPr>
          <w:b/>
          <w:bCs/>
          <w:szCs w:val="22"/>
        </w:rPr>
        <w:t>Idioma</w:t>
      </w:r>
      <w:r w:rsidR="000D0A9F" w:rsidRPr="0072343A">
        <w:rPr>
          <w:b/>
          <w:bCs/>
          <w:szCs w:val="22"/>
        </w:rPr>
        <w:t xml:space="preserve">(s) </w:t>
      </w:r>
      <w:r w:rsidRPr="0072343A">
        <w:rPr>
          <w:b/>
          <w:bCs/>
          <w:szCs w:val="22"/>
        </w:rPr>
        <w:t>en los que se ofrecen los servicios</w:t>
      </w:r>
      <w:r w:rsidR="000D0A9F" w:rsidRPr="0072343A">
        <w:rPr>
          <w:b/>
          <w:bCs/>
          <w:szCs w:val="22"/>
        </w:rPr>
        <w:t>:</w:t>
      </w:r>
    </w:p>
    <w:p w:rsidR="000D0A9F" w:rsidRPr="0072343A" w:rsidRDefault="000D0A9F" w:rsidP="000D0A9F"/>
    <w:p w:rsidR="000D0A9F" w:rsidRPr="0072343A" w:rsidRDefault="00B07AD2" w:rsidP="000D0A9F">
      <w:r w:rsidRPr="0072343A">
        <w:t xml:space="preserve">Inglés, finés, sueco </w:t>
      </w:r>
    </w:p>
    <w:p w:rsidR="000D0A9F" w:rsidRPr="0072343A" w:rsidRDefault="000D0A9F" w:rsidP="000D0A9F"/>
    <w:p w:rsidR="000D0A9F" w:rsidRPr="0072343A" w:rsidRDefault="00B07AD2" w:rsidP="000D0A9F">
      <w:pPr>
        <w:rPr>
          <w:b/>
          <w:bCs/>
          <w:szCs w:val="22"/>
        </w:rPr>
      </w:pPr>
      <w:r w:rsidRPr="0072343A">
        <w:rPr>
          <w:b/>
          <w:bCs/>
          <w:szCs w:val="22"/>
        </w:rPr>
        <w:t>Estado</w:t>
      </w:r>
      <w:r w:rsidR="000D0A9F" w:rsidRPr="0072343A">
        <w:rPr>
          <w:b/>
          <w:bCs/>
          <w:szCs w:val="22"/>
        </w:rPr>
        <w:t xml:space="preserve">s </w:t>
      </w:r>
      <w:r w:rsidRPr="0072343A">
        <w:rPr>
          <w:b/>
          <w:bCs/>
          <w:szCs w:val="22"/>
        </w:rPr>
        <w:t>u Oficinas</w:t>
      </w:r>
      <w:r w:rsidR="00CB6EDC">
        <w:rPr>
          <w:b/>
          <w:bCs/>
          <w:szCs w:val="22"/>
        </w:rPr>
        <w:t xml:space="preserve"> receptora</w:t>
      </w:r>
      <w:r w:rsidRPr="0072343A">
        <w:rPr>
          <w:b/>
          <w:bCs/>
          <w:szCs w:val="22"/>
        </w:rPr>
        <w:t xml:space="preserve">s para las cuales la </w:t>
      </w:r>
      <w:r w:rsidR="00707EDD" w:rsidRPr="0072343A">
        <w:rPr>
          <w:b/>
          <w:bCs/>
          <w:szCs w:val="22"/>
        </w:rPr>
        <w:t xml:space="preserve">Oficina se ofrecería como </w:t>
      </w:r>
      <w:r w:rsidRPr="0072343A">
        <w:rPr>
          <w:b/>
          <w:bCs/>
          <w:szCs w:val="22"/>
        </w:rPr>
        <w:t xml:space="preserve">Administración </w:t>
      </w:r>
      <w:r w:rsidR="00707EDD" w:rsidRPr="0072343A">
        <w:rPr>
          <w:b/>
          <w:bCs/>
          <w:szCs w:val="22"/>
        </w:rPr>
        <w:t>competente</w:t>
      </w:r>
      <w:r w:rsidR="000D0A9F" w:rsidRPr="0072343A">
        <w:rPr>
          <w:b/>
          <w:bCs/>
          <w:szCs w:val="22"/>
        </w:rPr>
        <w:t>:</w:t>
      </w:r>
    </w:p>
    <w:p w:rsidR="000D0A9F" w:rsidRPr="0072343A" w:rsidRDefault="000D0A9F" w:rsidP="000D0A9F"/>
    <w:p w:rsidR="000D0A9F" w:rsidRPr="0072343A" w:rsidRDefault="00FF5A2E" w:rsidP="000D0A9F">
      <w:r w:rsidRPr="0072343A">
        <w:t>C</w:t>
      </w:r>
      <w:r w:rsidR="006B0835" w:rsidRPr="0072343A">
        <w:t xml:space="preserve">ualquier otro Estado contratante, conforme a las obligaciones asumidas por la Administración en el marco de la Organización Europea de Patentes.  </w:t>
      </w:r>
    </w:p>
    <w:p w:rsidR="000D0A9F" w:rsidRPr="0072343A" w:rsidRDefault="000D0A9F" w:rsidP="000D0A9F"/>
    <w:p w:rsidR="000D0A9F" w:rsidRPr="0072343A" w:rsidRDefault="000D0A9F" w:rsidP="000D0A9F">
      <w:pPr>
        <w:rPr>
          <w:b/>
          <w:bCs/>
          <w:szCs w:val="22"/>
        </w:rPr>
      </w:pPr>
      <w:r w:rsidRPr="0072343A">
        <w:rPr>
          <w:b/>
          <w:bCs/>
          <w:szCs w:val="22"/>
        </w:rPr>
        <w:t>Limita</w:t>
      </w:r>
      <w:r w:rsidR="00B07AD2" w:rsidRPr="0072343A">
        <w:rPr>
          <w:b/>
          <w:bCs/>
          <w:szCs w:val="22"/>
        </w:rPr>
        <w:t xml:space="preserve">ciones en </w:t>
      </w:r>
      <w:r w:rsidR="00CB6EDC">
        <w:rPr>
          <w:b/>
          <w:bCs/>
          <w:szCs w:val="22"/>
        </w:rPr>
        <w:t>e</w:t>
      </w:r>
      <w:r w:rsidR="00B07AD2" w:rsidRPr="0072343A">
        <w:rPr>
          <w:b/>
          <w:bCs/>
          <w:szCs w:val="22"/>
        </w:rPr>
        <w:t>l ámbito de a</w:t>
      </w:r>
      <w:r w:rsidR="00CB6EDC">
        <w:rPr>
          <w:b/>
          <w:bCs/>
          <w:szCs w:val="22"/>
        </w:rPr>
        <w:t>plicación</w:t>
      </w:r>
      <w:r w:rsidRPr="0072343A">
        <w:rPr>
          <w:b/>
          <w:bCs/>
          <w:szCs w:val="22"/>
        </w:rPr>
        <w:t>:</w:t>
      </w:r>
    </w:p>
    <w:p w:rsidR="000D0A9F" w:rsidRPr="0072343A" w:rsidRDefault="000D0A9F" w:rsidP="000D0A9F"/>
    <w:p w:rsidR="000D0A9F" w:rsidRPr="0072343A" w:rsidRDefault="0072343A" w:rsidP="000D0A9F">
      <w:r w:rsidRPr="0072343A">
        <w:t>N/a</w:t>
      </w:r>
    </w:p>
    <w:p w:rsidR="000D0A9F" w:rsidRPr="0072343A" w:rsidRDefault="000D0A9F" w:rsidP="000D0A9F">
      <w:pPr>
        <w:pStyle w:val="SectionHeading"/>
        <w:rPr>
          <w:lang w:val="es-ES"/>
        </w:rPr>
      </w:pPr>
      <w:r w:rsidRPr="0072343A">
        <w:rPr>
          <w:lang w:val="es-ES"/>
        </w:rPr>
        <w:t xml:space="preserve">4 – </w:t>
      </w:r>
      <w:r w:rsidR="00703415" w:rsidRPr="0072343A">
        <w:rPr>
          <w:lang w:val="es-ES"/>
        </w:rPr>
        <w:t>declaración de motivació</w:t>
      </w:r>
      <w:r w:rsidRPr="0072343A">
        <w:rPr>
          <w:lang w:val="es-ES"/>
        </w:rPr>
        <w:t>n</w:t>
      </w:r>
    </w:p>
    <w:p w:rsidR="000D0A9F" w:rsidRPr="0072343A" w:rsidRDefault="00646D9C" w:rsidP="000D0A9F">
      <w:r w:rsidRPr="0072343A">
        <w:t xml:space="preserve">La Oficina Nacional de Patentes y Registros de Finlandia atesora una larga historia como administración examinadora de patentes.  La primera patente finlandesa fue concedida en </w:t>
      </w:r>
      <w:r w:rsidR="000D0A9F" w:rsidRPr="0072343A">
        <w:t xml:space="preserve">1842, </w:t>
      </w:r>
      <w:r w:rsidR="00E9043D" w:rsidRPr="0072343A">
        <w:t xml:space="preserve">esto es </w:t>
      </w:r>
      <w:r w:rsidR="000D0A9F" w:rsidRPr="0072343A">
        <w:t>175</w:t>
      </w:r>
      <w:r w:rsidR="00CA330D" w:rsidRPr="0072343A">
        <w:t xml:space="preserve"> años</w:t>
      </w:r>
      <w:r w:rsidR="000D0A9F" w:rsidRPr="0072343A">
        <w:t xml:space="preserve"> </w:t>
      </w:r>
      <w:r w:rsidR="00E9043D" w:rsidRPr="0072343A">
        <w:t>atrás</w:t>
      </w:r>
      <w:r w:rsidR="000D0A9F" w:rsidRPr="0072343A">
        <w:t xml:space="preserve">.  </w:t>
      </w:r>
      <w:r w:rsidR="00E9043D" w:rsidRPr="0072343A">
        <w:t xml:space="preserve">La oficina central independiente </w:t>
      </w:r>
      <w:r w:rsidR="000D0A9F" w:rsidRPr="0072343A">
        <w:t xml:space="preserve">– </w:t>
      </w:r>
      <w:r w:rsidR="00E9043D" w:rsidRPr="0072343A">
        <w:t>la Oficina Nacional de Patentes y Registros de Finlandia</w:t>
      </w:r>
      <w:r w:rsidR="000D0A9F" w:rsidRPr="0072343A">
        <w:t xml:space="preserve">– </w:t>
      </w:r>
      <w:r w:rsidR="00E9043D" w:rsidRPr="0072343A">
        <w:t xml:space="preserve">inició su andadura en </w:t>
      </w:r>
      <w:r w:rsidR="000D0A9F" w:rsidRPr="0072343A">
        <w:t xml:space="preserve">1942, </w:t>
      </w:r>
      <w:r w:rsidR="00E9043D" w:rsidRPr="0072343A">
        <w:t xml:space="preserve">hace ya </w:t>
      </w:r>
      <w:r w:rsidR="000D0A9F" w:rsidRPr="0072343A">
        <w:t xml:space="preserve">75 </w:t>
      </w:r>
      <w:r w:rsidR="00E9043D" w:rsidRPr="0072343A">
        <w:t>años</w:t>
      </w:r>
      <w:r w:rsidR="000D0A9F" w:rsidRPr="0072343A">
        <w:t>.</w:t>
      </w:r>
    </w:p>
    <w:p w:rsidR="000D0A9F" w:rsidRPr="0072343A" w:rsidRDefault="000D0A9F" w:rsidP="000D0A9F"/>
    <w:p w:rsidR="000D0A9F" w:rsidRPr="0072343A" w:rsidRDefault="00E9043D" w:rsidP="000D0A9F">
      <w:r w:rsidRPr="0072343A">
        <w:lastRenderedPageBreak/>
        <w:t xml:space="preserve">La Oficina Nacional de Patentes y Registros de Finlandia viene actuando en calidad de Administración encargada de la búsqueda internacional y del examen preliminar internacional en virtud del PCT desde el año </w:t>
      </w:r>
      <w:r w:rsidR="000D0A9F" w:rsidRPr="0072343A">
        <w:t>2005.</w:t>
      </w:r>
      <w:r w:rsidRPr="0072343A">
        <w:t xml:space="preserve">  La oficina está altamente</w:t>
      </w:r>
      <w:r w:rsidR="000D0A9F" w:rsidRPr="0072343A">
        <w:t xml:space="preserve"> motiva</w:t>
      </w:r>
      <w:r w:rsidRPr="0072343A">
        <w:t xml:space="preserve">da por continuar con dicha tarea.  Una de nuestras prioridades </w:t>
      </w:r>
      <w:r w:rsidR="00CA330D" w:rsidRPr="0072343A">
        <w:t>gubernamentales</w:t>
      </w:r>
      <w:r w:rsidRPr="0072343A">
        <w:t xml:space="preserve"> es garantizar la continuidad de dicho estatus para la </w:t>
      </w:r>
      <w:r w:rsidR="00CA330D" w:rsidRPr="0072343A">
        <w:t>O</w:t>
      </w:r>
      <w:r w:rsidRPr="0072343A">
        <w:t xml:space="preserve">ficina, </w:t>
      </w:r>
      <w:r w:rsidR="00CA330D" w:rsidRPr="0072343A">
        <w:t>y</w:t>
      </w:r>
      <w:r w:rsidRPr="0072343A">
        <w:t xml:space="preserve"> que esta siga actuando como Administración encargada de la búsqueda internacional y del examen preliminar internacional </w:t>
      </w:r>
      <w:r w:rsidR="00CA330D" w:rsidRPr="0072343A">
        <w:t xml:space="preserve">en virtud del PCT </w:t>
      </w:r>
      <w:r w:rsidRPr="0072343A">
        <w:t>en el futuro</w:t>
      </w:r>
      <w:r w:rsidR="000D0A9F" w:rsidRPr="0072343A">
        <w:t xml:space="preserve">. </w:t>
      </w:r>
    </w:p>
    <w:p w:rsidR="000D0A9F" w:rsidRPr="0072343A" w:rsidRDefault="000D0A9F" w:rsidP="000D0A9F"/>
    <w:p w:rsidR="000D0A9F" w:rsidRPr="0072343A" w:rsidRDefault="000D0A9F" w:rsidP="000D0A9F">
      <w:r w:rsidRPr="0072343A">
        <w:t>Finland</w:t>
      </w:r>
      <w:r w:rsidR="00E9043D" w:rsidRPr="0072343A">
        <w:t>ia es conocida por sus industrias de</w:t>
      </w:r>
      <w:r w:rsidR="005D3AD7" w:rsidRPr="0072343A">
        <w:t xml:space="preserve"> alta tecnología, y es nuestro deseo garantizar la prestación de un buen servicio, ofreciendo un contacto a nivel local y en las lenguas locales a nuestros clientes, entre los cuales figuran inventores, pequeñas y medianas empresa</w:t>
      </w:r>
      <w:r w:rsidR="00D36760">
        <w:t>s e industrias de gran escala.</w:t>
      </w:r>
    </w:p>
    <w:p w:rsidR="000D0A9F" w:rsidRPr="0072343A" w:rsidRDefault="000D0A9F" w:rsidP="000D0A9F"/>
    <w:p w:rsidR="000D0A9F" w:rsidRPr="0072343A" w:rsidRDefault="005D3AD7" w:rsidP="000D0A9F">
      <w:r w:rsidRPr="0072343A">
        <w:t xml:space="preserve">Durante años, Finlandia ha ocupado puestos altos en las estadísticas sobre número de solicitudes de patente presentadas anualmente en relación con su población.  En el </w:t>
      </w:r>
      <w:r w:rsidR="00D10A2B" w:rsidRPr="0072343A">
        <w:t xml:space="preserve">Índice Mundial de Innovación 2016 Finlandia figuró clasificada en quinta posición entre las naciones más innovadoras del ranking.  </w:t>
      </w:r>
    </w:p>
    <w:p w:rsidR="000D0A9F" w:rsidRPr="0072343A" w:rsidRDefault="000D0A9F" w:rsidP="000D0A9F"/>
    <w:p w:rsidR="000D0A9F" w:rsidRPr="0072343A" w:rsidRDefault="00D10A2B" w:rsidP="000D0A9F">
      <w:r w:rsidRPr="0072343A">
        <w:t>La industria finlandesa, y en general el conjunto de nuestros clientes, están satisfechos con la calidad de nuestr</w:t>
      </w:r>
      <w:r w:rsidR="00607A53" w:rsidRPr="0072343A">
        <w:t xml:space="preserve">a labor de </w:t>
      </w:r>
      <w:r w:rsidRPr="0072343A">
        <w:t>examen y han expresado su deseo de que la Oficina Nacional de Patentes y Registros de Finlandia</w:t>
      </w:r>
      <w:r w:rsidR="00E248A3" w:rsidRPr="0072343A">
        <w:t xml:space="preserve"> continúe actuando en calidad de Administración encargada de la búsqueda internacional y del examen preliminar internacional en virtud del PCT.  Las estadísticas más recientes muestran que, en más de la mitad de las solicitudes PCT presentadas ante la Oficina Nacional de Patentes y Registros de Finlandia, el solicitante ha seleccionado a esta última como Administración encargada de la búsqueda internacional entre las tres alternativas posibles (muchos de los solicitantes ya ostentan una solicitud de prioridad nacional finlandesa).  Esto demuestra una gran confianza en nuestr</w:t>
      </w:r>
      <w:r w:rsidR="004B508A" w:rsidRPr="0072343A">
        <w:t>o trabajo</w:t>
      </w:r>
      <w:r w:rsidR="00E248A3" w:rsidRPr="0072343A">
        <w:t>.  Los solicitantes aprecian evidentemente el hecho de que la búsqueda y el examen de las solicitudes PCT s</w:t>
      </w:r>
      <w:r w:rsidR="004B508A" w:rsidRPr="0072343A">
        <w:t xml:space="preserve">ean </w:t>
      </w:r>
      <w:r w:rsidR="00E248A3" w:rsidRPr="0072343A">
        <w:t xml:space="preserve">llevados a cabo por un examinador distinto a aquél que tramitó la solicitud de prioridad. </w:t>
      </w:r>
      <w:r w:rsidR="000D0A9F" w:rsidRPr="0072343A">
        <w:t xml:space="preserve"> </w:t>
      </w:r>
    </w:p>
    <w:p w:rsidR="000D0A9F" w:rsidRPr="0072343A" w:rsidRDefault="000D0A9F" w:rsidP="000D0A9F"/>
    <w:p w:rsidR="000D0A9F" w:rsidRPr="0072343A" w:rsidRDefault="004B508A" w:rsidP="000D0A9F">
      <w:r w:rsidRPr="0072343A">
        <w:t>El número de solicitudes PCT ha experimentado un incremento sostenido en el tiempo.  Contamos con un personal muy cualificado, experimentado y con un alto grado de formación académica, y disponemos de todos los recursos materiales necesarios.  En base a estos hechos, la Oficina Nacional de Patentes y Registros de Finlandia está preparada para compartir la carga de trabajo del sistema PCT, no sólo por lo que respecta a las solicitudes internacionales de solicitantes finlandeses, sino también a las solicitudes que puedan provenir de otras fuentes, y todo ello conforme a las obligaciones establecidas en el marco de la Organización Europea de Patentes</w:t>
      </w:r>
      <w:r w:rsidR="000D0A9F" w:rsidRPr="0072343A">
        <w:t>.</w:t>
      </w:r>
    </w:p>
    <w:p w:rsidR="000D0A9F" w:rsidRPr="0072343A" w:rsidRDefault="000D0A9F" w:rsidP="00D36760">
      <w:pPr>
        <w:pStyle w:val="SectionHeading"/>
        <w:rPr>
          <w:lang w:val="es-ES"/>
        </w:rPr>
      </w:pPr>
      <w:r w:rsidRPr="0072343A">
        <w:rPr>
          <w:lang w:val="es-ES"/>
        </w:rPr>
        <w:lastRenderedPageBreak/>
        <w:t xml:space="preserve">5 – </w:t>
      </w:r>
      <w:r w:rsidR="00703415" w:rsidRPr="0072343A">
        <w:rPr>
          <w:lang w:val="es-ES"/>
        </w:rPr>
        <w:t xml:space="preserve">ESTADO SOLICITANTE </w:t>
      </w:r>
    </w:p>
    <w:p w:rsidR="000D0A9F" w:rsidRPr="0072343A" w:rsidRDefault="00703415" w:rsidP="00D36760">
      <w:pPr>
        <w:keepNext/>
        <w:rPr>
          <w:b/>
          <w:bCs/>
          <w:szCs w:val="22"/>
        </w:rPr>
      </w:pPr>
      <w:r w:rsidRPr="0072343A">
        <w:rPr>
          <w:b/>
          <w:bCs/>
          <w:szCs w:val="22"/>
        </w:rPr>
        <w:t xml:space="preserve">Ubicación </w:t>
      </w:r>
      <w:r w:rsidR="00DD1CEB" w:rsidRPr="0072343A">
        <w:rPr>
          <w:b/>
          <w:bCs/>
          <w:szCs w:val="22"/>
        </w:rPr>
        <w:t>regional</w:t>
      </w:r>
      <w:r w:rsidRPr="0072343A">
        <w:rPr>
          <w:b/>
          <w:bCs/>
          <w:szCs w:val="22"/>
        </w:rPr>
        <w:t xml:space="preserve"> </w:t>
      </w:r>
    </w:p>
    <w:p w:rsidR="000D0A9F" w:rsidRPr="0072343A" w:rsidRDefault="000D0A9F" w:rsidP="00D36760">
      <w:pPr>
        <w:keepNext/>
        <w:rPr>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0D0A9F" w:rsidRPr="0072343A" w:rsidTr="008C4B6B">
        <w:trPr>
          <w:trHeight w:val="3674"/>
        </w:trPr>
        <w:tc>
          <w:tcPr>
            <w:tcW w:w="8985" w:type="dxa"/>
            <w:shd w:val="clear" w:color="auto" w:fill="auto"/>
          </w:tcPr>
          <w:p w:rsidR="000D0A9F" w:rsidRPr="0072343A" w:rsidRDefault="000D0A9F" w:rsidP="00D36760">
            <w:pPr>
              <w:keepNext/>
              <w:rPr>
                <w:szCs w:val="22"/>
              </w:rPr>
            </w:pPr>
            <w:r w:rsidRPr="0072343A">
              <w:rPr>
                <w:noProof/>
                <w:lang w:val="en-US" w:eastAsia="en-US"/>
              </w:rPr>
              <w:drawing>
                <wp:inline distT="0" distB="0" distL="0" distR="0" wp14:anchorId="11B942F2" wp14:editId="0B49FD4F">
                  <wp:extent cx="3879801" cy="3263090"/>
                  <wp:effectExtent l="0" t="0" r="6985"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89270" cy="3271054"/>
                          </a:xfrm>
                          <a:prstGeom prst="rect">
                            <a:avLst/>
                          </a:prstGeom>
                        </pic:spPr>
                      </pic:pic>
                    </a:graphicData>
                  </a:graphic>
                </wp:inline>
              </w:drawing>
            </w:r>
          </w:p>
        </w:tc>
      </w:tr>
    </w:tbl>
    <w:p w:rsidR="000D0A9F" w:rsidRPr="0072343A" w:rsidRDefault="000D0A9F" w:rsidP="000D0A9F">
      <w:pPr>
        <w:rPr>
          <w:i/>
          <w:iCs/>
          <w:szCs w:val="22"/>
        </w:rPr>
      </w:pPr>
    </w:p>
    <w:p w:rsidR="000D0A9F" w:rsidRPr="0072343A" w:rsidRDefault="000D0A9F" w:rsidP="000D0A9F">
      <w:pPr>
        <w:pStyle w:val="mw-mmv-image-desc"/>
        <w:shd w:val="clear" w:color="auto" w:fill="F8F9FA"/>
        <w:textAlignment w:val="top"/>
        <w:rPr>
          <w:lang w:val="es-ES"/>
        </w:rPr>
      </w:pPr>
      <w:r w:rsidRPr="0072343A">
        <w:rPr>
          <w:bdr w:val="single" w:sz="6" w:space="0" w:color="808080" w:frame="1"/>
          <w:shd w:val="clear" w:color="auto" w:fill="218439"/>
          <w:lang w:val="es-ES"/>
        </w:rPr>
        <w:t> </w:t>
      </w:r>
      <w:r w:rsidRPr="0072343A">
        <w:rPr>
          <w:lang w:val="es-ES"/>
        </w:rPr>
        <w:t xml:space="preserve">  </w:t>
      </w:r>
      <w:r w:rsidRPr="0072343A">
        <w:rPr>
          <w:b/>
          <w:bCs/>
          <w:lang w:val="es-ES"/>
        </w:rPr>
        <w:t>(</w:t>
      </w:r>
      <w:r w:rsidR="00DD1CEB" w:rsidRPr="0072343A">
        <w:rPr>
          <w:b/>
          <w:bCs/>
          <w:lang w:val="es-ES"/>
        </w:rPr>
        <w:t>Verde oscuro</w:t>
      </w:r>
      <w:r w:rsidRPr="0072343A">
        <w:rPr>
          <w:b/>
          <w:bCs/>
          <w:lang w:val="es-ES"/>
        </w:rPr>
        <w:t>)</w:t>
      </w:r>
      <w:r w:rsidRPr="0072343A">
        <w:rPr>
          <w:lang w:val="es-ES"/>
        </w:rPr>
        <w:t xml:space="preserve"> Finland</w:t>
      </w:r>
      <w:r w:rsidR="00DD1CEB" w:rsidRPr="0072343A">
        <w:rPr>
          <w:lang w:val="es-ES"/>
        </w:rPr>
        <w:t>ia</w:t>
      </w:r>
      <w:r w:rsidRPr="0072343A">
        <w:rPr>
          <w:lang w:val="es-ES"/>
        </w:rPr>
        <w:t xml:space="preserve">.  </w:t>
      </w:r>
      <w:r w:rsidRPr="0072343A">
        <w:rPr>
          <w:bdr w:val="single" w:sz="6" w:space="0" w:color="808080" w:frame="1"/>
          <w:shd w:val="clear" w:color="auto" w:fill="C6DEBD"/>
          <w:lang w:val="es-ES"/>
        </w:rPr>
        <w:t> </w:t>
      </w:r>
      <w:r w:rsidRPr="0072343A">
        <w:rPr>
          <w:lang w:val="es-ES"/>
        </w:rPr>
        <w:t xml:space="preserve">  </w:t>
      </w:r>
      <w:r w:rsidRPr="0072343A">
        <w:rPr>
          <w:b/>
          <w:bCs/>
          <w:lang w:val="es-ES"/>
        </w:rPr>
        <w:t>(</w:t>
      </w:r>
      <w:r w:rsidR="00DD1CEB" w:rsidRPr="0072343A">
        <w:rPr>
          <w:b/>
          <w:bCs/>
          <w:lang w:val="es-ES"/>
        </w:rPr>
        <w:t>Verde claro</w:t>
      </w:r>
      <w:r w:rsidRPr="0072343A">
        <w:rPr>
          <w:b/>
          <w:bCs/>
          <w:lang w:val="es-ES"/>
        </w:rPr>
        <w:t>)</w:t>
      </w:r>
      <w:r w:rsidRPr="0072343A">
        <w:rPr>
          <w:lang w:val="es-ES"/>
        </w:rPr>
        <w:t xml:space="preserve"> </w:t>
      </w:r>
      <w:r w:rsidR="00DD1CEB" w:rsidRPr="0072343A">
        <w:rPr>
          <w:lang w:val="es-ES"/>
        </w:rPr>
        <w:t xml:space="preserve">Resto de la Unión Europea </w:t>
      </w:r>
      <w:r w:rsidRPr="0072343A">
        <w:rPr>
          <w:lang w:val="es-ES"/>
        </w:rPr>
        <w:t>(U</w:t>
      </w:r>
      <w:r w:rsidR="00DD1CEB" w:rsidRPr="0072343A">
        <w:rPr>
          <w:lang w:val="es-ES"/>
        </w:rPr>
        <w:t>E</w:t>
      </w:r>
      <w:r w:rsidRPr="0072343A">
        <w:rPr>
          <w:lang w:val="es-ES"/>
        </w:rPr>
        <w:t xml:space="preserve">).  </w:t>
      </w:r>
      <w:r w:rsidRPr="0072343A">
        <w:rPr>
          <w:bdr w:val="single" w:sz="6" w:space="0" w:color="808080" w:frame="1"/>
          <w:shd w:val="clear" w:color="auto" w:fill="C0C1C5"/>
          <w:lang w:val="es-ES"/>
        </w:rPr>
        <w:t> </w:t>
      </w:r>
      <w:r w:rsidRPr="0072343A">
        <w:rPr>
          <w:lang w:val="es-ES"/>
        </w:rPr>
        <w:t xml:space="preserve">  </w:t>
      </w:r>
      <w:r w:rsidRPr="0072343A">
        <w:rPr>
          <w:b/>
          <w:bCs/>
          <w:lang w:val="es-ES"/>
        </w:rPr>
        <w:t>(</w:t>
      </w:r>
      <w:r w:rsidR="00DD1CEB" w:rsidRPr="0072343A">
        <w:rPr>
          <w:b/>
          <w:bCs/>
          <w:lang w:val="es-ES"/>
        </w:rPr>
        <w:t>Gris oscuro</w:t>
      </w:r>
      <w:r w:rsidRPr="0072343A">
        <w:rPr>
          <w:b/>
          <w:bCs/>
          <w:lang w:val="es-ES"/>
        </w:rPr>
        <w:t>)</w:t>
      </w:r>
      <w:r w:rsidRPr="0072343A">
        <w:rPr>
          <w:lang w:val="es-ES"/>
        </w:rPr>
        <w:t xml:space="preserve"> </w:t>
      </w:r>
      <w:r w:rsidR="00DD1CEB" w:rsidRPr="0072343A">
        <w:rPr>
          <w:lang w:val="es-ES"/>
        </w:rPr>
        <w:t>Resto de Europa</w:t>
      </w:r>
      <w:r w:rsidRPr="0072343A">
        <w:rPr>
          <w:lang w:val="es-ES"/>
        </w:rPr>
        <w:t xml:space="preserve">.  </w:t>
      </w:r>
      <w:r w:rsidRPr="0072343A">
        <w:rPr>
          <w:bdr w:val="single" w:sz="6" w:space="0" w:color="808080" w:frame="1"/>
          <w:shd w:val="clear" w:color="auto" w:fill="CCCED1"/>
          <w:lang w:val="es-ES"/>
        </w:rPr>
        <w:t> </w:t>
      </w:r>
      <w:r w:rsidRPr="0072343A">
        <w:rPr>
          <w:lang w:val="es-ES"/>
        </w:rPr>
        <w:t xml:space="preserve">  </w:t>
      </w:r>
      <w:r w:rsidRPr="0072343A">
        <w:rPr>
          <w:b/>
          <w:bCs/>
          <w:lang w:val="es-ES"/>
        </w:rPr>
        <w:t>(</w:t>
      </w:r>
      <w:r w:rsidR="00DD1CEB" w:rsidRPr="0072343A">
        <w:rPr>
          <w:b/>
          <w:bCs/>
          <w:lang w:val="es-ES"/>
        </w:rPr>
        <w:t>Gris claro</w:t>
      </w:r>
      <w:r w:rsidRPr="0072343A">
        <w:rPr>
          <w:b/>
          <w:bCs/>
          <w:lang w:val="es-ES"/>
        </w:rPr>
        <w:t>)</w:t>
      </w:r>
      <w:r w:rsidRPr="0072343A">
        <w:rPr>
          <w:lang w:val="es-ES"/>
        </w:rPr>
        <w:t xml:space="preserve"> </w:t>
      </w:r>
      <w:r w:rsidR="00DD1CEB" w:rsidRPr="0072343A">
        <w:rPr>
          <w:lang w:val="es-ES"/>
        </w:rPr>
        <w:t>Región circundante</w:t>
      </w:r>
    </w:p>
    <w:p w:rsidR="000D0A9F" w:rsidRPr="0072343A" w:rsidRDefault="00DD1CEB" w:rsidP="000D0A9F">
      <w:pPr>
        <w:rPr>
          <w:szCs w:val="22"/>
        </w:rPr>
      </w:pPr>
      <w:r w:rsidRPr="0072343A">
        <w:rPr>
          <w:b/>
          <w:bCs/>
          <w:szCs w:val="22"/>
        </w:rPr>
        <w:t>Pertenencia a organizaciones regionales</w:t>
      </w:r>
      <w:r w:rsidR="000D0A9F" w:rsidRPr="0072343A">
        <w:rPr>
          <w:b/>
          <w:bCs/>
          <w:szCs w:val="22"/>
        </w:rPr>
        <w:t>:</w:t>
      </w:r>
      <w:r w:rsidR="000D0A9F" w:rsidRPr="0072343A">
        <w:rPr>
          <w:szCs w:val="22"/>
        </w:rPr>
        <w:t xml:space="preserve">  </w:t>
      </w:r>
    </w:p>
    <w:p w:rsidR="000D0A9F" w:rsidRPr="0072343A" w:rsidRDefault="000D0A9F" w:rsidP="000D0A9F"/>
    <w:p w:rsidR="000D0A9F" w:rsidRPr="0072343A" w:rsidRDefault="00DD1CEB" w:rsidP="000D0A9F">
      <w:r w:rsidRPr="0072343A">
        <w:t xml:space="preserve">Unión </w:t>
      </w:r>
      <w:r w:rsidR="000D0A9F" w:rsidRPr="0072343A">
        <w:t>Europea</w:t>
      </w:r>
      <w:r w:rsidRPr="0072343A">
        <w:t xml:space="preserve"> </w:t>
      </w:r>
    </w:p>
    <w:p w:rsidR="000D0A9F" w:rsidRPr="0072343A" w:rsidRDefault="005D3102" w:rsidP="000D0A9F">
      <w:r w:rsidRPr="0072343A">
        <w:t xml:space="preserve">Oficina de Propiedad Intelectual de la Unión Europea (EUIPO) </w:t>
      </w:r>
    </w:p>
    <w:p w:rsidR="000D0A9F" w:rsidRPr="0072343A" w:rsidRDefault="005D3102" w:rsidP="000D0A9F">
      <w:r w:rsidRPr="0072343A">
        <w:t xml:space="preserve">Organización Europea de Patentes </w:t>
      </w:r>
      <w:r w:rsidR="000D0A9F" w:rsidRPr="0072343A">
        <w:t>(</w:t>
      </w:r>
      <w:r w:rsidRPr="0072343A">
        <w:t>O</w:t>
      </w:r>
      <w:r w:rsidR="000D0A9F" w:rsidRPr="0072343A">
        <w:t>EP)</w:t>
      </w:r>
    </w:p>
    <w:p w:rsidR="000D0A9F" w:rsidRPr="0072343A" w:rsidRDefault="000D0A9F" w:rsidP="000D0A9F"/>
    <w:p w:rsidR="000D0A9F" w:rsidRPr="0072343A" w:rsidRDefault="000D0A9F" w:rsidP="000D0A9F">
      <w:r w:rsidRPr="0072343A">
        <w:rPr>
          <w:b/>
          <w:bCs/>
          <w:szCs w:val="22"/>
        </w:rPr>
        <w:t>Po</w:t>
      </w:r>
      <w:r w:rsidR="005D3102" w:rsidRPr="0072343A">
        <w:rPr>
          <w:b/>
          <w:bCs/>
          <w:szCs w:val="22"/>
        </w:rPr>
        <w:t>blación</w:t>
      </w:r>
      <w:proofErr w:type="gramStart"/>
      <w:r w:rsidRPr="0072343A">
        <w:rPr>
          <w:b/>
          <w:bCs/>
          <w:szCs w:val="22"/>
        </w:rPr>
        <w:t>:</w:t>
      </w:r>
      <w:r w:rsidRPr="0072343A">
        <w:rPr>
          <w:szCs w:val="22"/>
        </w:rPr>
        <w:t xml:space="preserve">  </w:t>
      </w:r>
      <w:r w:rsidR="005D3102" w:rsidRPr="0072343A">
        <w:t>5,</w:t>
      </w:r>
      <w:r w:rsidRPr="0072343A">
        <w:t>5</w:t>
      </w:r>
      <w:proofErr w:type="gramEnd"/>
      <w:r w:rsidRPr="0072343A">
        <w:t xml:space="preserve"> mil</w:t>
      </w:r>
      <w:r w:rsidR="005D3102" w:rsidRPr="0072343A">
        <w:t>lones</w:t>
      </w:r>
      <w:r w:rsidRPr="0072343A">
        <w:t xml:space="preserve"> </w:t>
      </w:r>
    </w:p>
    <w:p w:rsidR="000D0A9F" w:rsidRPr="0072343A" w:rsidRDefault="000D0A9F" w:rsidP="000D0A9F"/>
    <w:p w:rsidR="000D0A9F" w:rsidRPr="0072343A" w:rsidRDefault="005D3102" w:rsidP="000D0A9F">
      <w:r w:rsidRPr="0072343A">
        <w:rPr>
          <w:b/>
          <w:bCs/>
          <w:szCs w:val="22"/>
        </w:rPr>
        <w:t>PIB</w:t>
      </w:r>
      <w:r w:rsidR="000D0A9F" w:rsidRPr="0072343A">
        <w:rPr>
          <w:b/>
          <w:bCs/>
          <w:szCs w:val="22"/>
        </w:rPr>
        <w:t xml:space="preserve"> </w:t>
      </w:r>
      <w:r w:rsidRPr="00CB6EDC">
        <w:rPr>
          <w:b/>
          <w:bCs/>
          <w:iCs/>
          <w:szCs w:val="22"/>
        </w:rPr>
        <w:t>per cá</w:t>
      </w:r>
      <w:r w:rsidR="000D0A9F" w:rsidRPr="00CB6EDC">
        <w:rPr>
          <w:b/>
          <w:bCs/>
          <w:iCs/>
          <w:szCs w:val="22"/>
        </w:rPr>
        <w:t>pita</w:t>
      </w:r>
      <w:proofErr w:type="gramStart"/>
      <w:r w:rsidR="000D0A9F" w:rsidRPr="0072343A">
        <w:rPr>
          <w:b/>
          <w:bCs/>
          <w:szCs w:val="22"/>
        </w:rPr>
        <w:t xml:space="preserve">:  </w:t>
      </w:r>
      <w:r w:rsidR="000D0A9F" w:rsidRPr="0072343A">
        <w:t>39</w:t>
      </w:r>
      <w:r w:rsidRPr="0072343A">
        <w:t>.</w:t>
      </w:r>
      <w:r w:rsidR="000D0A9F" w:rsidRPr="0072343A">
        <w:t>164</w:t>
      </w:r>
      <w:proofErr w:type="gramEnd"/>
      <w:r w:rsidR="000D0A9F" w:rsidRPr="0072343A">
        <w:t xml:space="preserve"> euros</w:t>
      </w:r>
    </w:p>
    <w:p w:rsidR="000D0A9F" w:rsidRPr="0072343A" w:rsidRDefault="000D0A9F" w:rsidP="000D0A9F"/>
    <w:p w:rsidR="000D0A9F" w:rsidRPr="0072343A" w:rsidRDefault="00CB6EDC" w:rsidP="000D0A9F">
      <w:r>
        <w:rPr>
          <w:b/>
          <w:bCs/>
          <w:szCs w:val="22"/>
        </w:rPr>
        <w:t xml:space="preserve">Gasto en </w:t>
      </w:r>
      <w:r w:rsidR="005D3102" w:rsidRPr="0072343A">
        <w:rPr>
          <w:b/>
          <w:bCs/>
          <w:szCs w:val="22"/>
        </w:rPr>
        <w:t xml:space="preserve">I+D </w:t>
      </w:r>
      <w:r>
        <w:rPr>
          <w:b/>
          <w:bCs/>
          <w:szCs w:val="22"/>
        </w:rPr>
        <w:t>estimado</w:t>
      </w:r>
      <w:r w:rsidR="005D3102" w:rsidRPr="0072343A">
        <w:rPr>
          <w:b/>
          <w:bCs/>
          <w:szCs w:val="22"/>
        </w:rPr>
        <w:t xml:space="preserve"> </w:t>
      </w:r>
      <w:r w:rsidR="000D0A9F" w:rsidRPr="0072343A">
        <w:rPr>
          <w:b/>
          <w:bCs/>
          <w:szCs w:val="22"/>
        </w:rPr>
        <w:t xml:space="preserve">(% </w:t>
      </w:r>
      <w:r w:rsidR="005D3102" w:rsidRPr="0072343A">
        <w:rPr>
          <w:b/>
          <w:bCs/>
          <w:szCs w:val="22"/>
        </w:rPr>
        <w:t>del PIB</w:t>
      </w:r>
      <w:r w:rsidR="000D0A9F" w:rsidRPr="0072343A">
        <w:rPr>
          <w:b/>
          <w:bCs/>
          <w:szCs w:val="22"/>
        </w:rPr>
        <w:t>)</w:t>
      </w:r>
      <w:proofErr w:type="gramStart"/>
      <w:r w:rsidR="000D0A9F" w:rsidRPr="0072343A">
        <w:rPr>
          <w:b/>
          <w:bCs/>
          <w:szCs w:val="22"/>
        </w:rPr>
        <w:t>:</w:t>
      </w:r>
      <w:r w:rsidR="000D0A9F" w:rsidRPr="0072343A">
        <w:rPr>
          <w:szCs w:val="22"/>
        </w:rPr>
        <w:t xml:space="preserve">  </w:t>
      </w:r>
      <w:r w:rsidR="005D3102" w:rsidRPr="0072343A">
        <w:t>3</w:t>
      </w:r>
      <w:proofErr w:type="gramEnd"/>
      <w:r w:rsidR="005D3102" w:rsidRPr="0072343A">
        <w:t xml:space="preserve">% del PIB </w:t>
      </w:r>
    </w:p>
    <w:p w:rsidR="000D0A9F" w:rsidRPr="0072343A" w:rsidRDefault="000D0A9F" w:rsidP="000D0A9F"/>
    <w:p w:rsidR="000D0A9F" w:rsidRPr="0072343A" w:rsidRDefault="000D0A9F" w:rsidP="000D0A9F">
      <w:r w:rsidRPr="0072343A">
        <w:rPr>
          <w:b/>
          <w:bCs/>
          <w:szCs w:val="22"/>
        </w:rPr>
        <w:t>N</w:t>
      </w:r>
      <w:r w:rsidR="005D3102" w:rsidRPr="0072343A">
        <w:rPr>
          <w:b/>
          <w:bCs/>
          <w:szCs w:val="22"/>
        </w:rPr>
        <w:t xml:space="preserve">úmero de universidades </w:t>
      </w:r>
      <w:r w:rsidR="00CB6EDC">
        <w:rPr>
          <w:b/>
          <w:bCs/>
          <w:szCs w:val="22"/>
        </w:rPr>
        <w:t>dedicadas a la investigación</w:t>
      </w:r>
      <w:r w:rsidRPr="0072343A">
        <w:rPr>
          <w:b/>
          <w:bCs/>
          <w:szCs w:val="22"/>
        </w:rPr>
        <w:t xml:space="preserve">: </w:t>
      </w:r>
      <w:r w:rsidRPr="0072343A">
        <w:t xml:space="preserve">14 </w:t>
      </w:r>
    </w:p>
    <w:p w:rsidR="000D0A9F" w:rsidRPr="0072343A" w:rsidRDefault="000D0A9F" w:rsidP="000D0A9F"/>
    <w:p w:rsidR="000D0A9F" w:rsidRPr="0072343A" w:rsidRDefault="003144FA" w:rsidP="000D0A9F">
      <w:pPr>
        <w:rPr>
          <w:b/>
          <w:bCs/>
          <w:szCs w:val="22"/>
        </w:rPr>
      </w:pPr>
      <w:r w:rsidRPr="0072343A">
        <w:rPr>
          <w:b/>
          <w:bCs/>
          <w:szCs w:val="22"/>
        </w:rPr>
        <w:t>Breve descripción</w:t>
      </w:r>
      <w:r w:rsidR="00CA330D" w:rsidRPr="0072343A">
        <w:rPr>
          <w:b/>
          <w:bCs/>
          <w:szCs w:val="22"/>
        </w:rPr>
        <w:t xml:space="preserve"> </w:t>
      </w:r>
      <w:r w:rsidRPr="0072343A">
        <w:rPr>
          <w:b/>
          <w:bCs/>
          <w:szCs w:val="22"/>
        </w:rPr>
        <w:t xml:space="preserve">de la red nacional de información sobre patentes (por ejemplo bibliotecas especializadas en patentes, centros de apoyo a la tecnología </w:t>
      </w:r>
      <w:r w:rsidR="00BF403F" w:rsidRPr="0072343A">
        <w:rPr>
          <w:b/>
          <w:bCs/>
          <w:szCs w:val="22"/>
        </w:rPr>
        <w:t>y a la</w:t>
      </w:r>
      <w:r w:rsidRPr="0072343A">
        <w:rPr>
          <w:b/>
          <w:bCs/>
          <w:szCs w:val="22"/>
        </w:rPr>
        <w:t xml:space="preserve"> innovación</w:t>
      </w:r>
      <w:r w:rsidR="00B248C2" w:rsidRPr="0072343A">
        <w:rPr>
          <w:b/>
          <w:bCs/>
          <w:szCs w:val="22"/>
        </w:rPr>
        <w:t>, etc.</w:t>
      </w:r>
      <w:r w:rsidRPr="0072343A">
        <w:rPr>
          <w:b/>
          <w:bCs/>
          <w:szCs w:val="22"/>
        </w:rPr>
        <w:t>)</w:t>
      </w:r>
      <w:r w:rsidR="000D0A9F" w:rsidRPr="0072343A">
        <w:rPr>
          <w:b/>
          <w:bCs/>
          <w:szCs w:val="22"/>
        </w:rPr>
        <w:t xml:space="preserve">:  </w:t>
      </w:r>
    </w:p>
    <w:p w:rsidR="000D0A9F" w:rsidRPr="0072343A" w:rsidRDefault="000D0A9F" w:rsidP="000D0A9F"/>
    <w:p w:rsidR="000D0A9F" w:rsidRPr="0072343A" w:rsidRDefault="00B248C2" w:rsidP="000D0A9F">
      <w:r w:rsidRPr="0072343A">
        <w:t xml:space="preserve">La </w:t>
      </w:r>
      <w:r w:rsidR="00484BBC" w:rsidRPr="0072343A">
        <w:t xml:space="preserve">Agencia </w:t>
      </w:r>
      <w:r w:rsidR="00354CDC" w:rsidRPr="0072343A">
        <w:t>F</w:t>
      </w:r>
      <w:r w:rsidR="00484BBC" w:rsidRPr="0072343A">
        <w:t xml:space="preserve">inlandesa </w:t>
      </w:r>
      <w:r w:rsidR="00BF403F" w:rsidRPr="0072343A">
        <w:t>de</w:t>
      </w:r>
      <w:r w:rsidR="00354CDC" w:rsidRPr="0072343A">
        <w:t xml:space="preserve"> F</w:t>
      </w:r>
      <w:r w:rsidR="00484BBC" w:rsidRPr="0072343A">
        <w:t>inancia</w:t>
      </w:r>
      <w:r w:rsidR="00BF403F" w:rsidRPr="0072343A">
        <w:t>miento</w:t>
      </w:r>
      <w:r w:rsidR="00354CDC" w:rsidRPr="0072343A">
        <w:t xml:space="preserve"> </w:t>
      </w:r>
      <w:r w:rsidR="00BF403F" w:rsidRPr="0072343A">
        <w:t>para</w:t>
      </w:r>
      <w:r w:rsidR="00354CDC" w:rsidRPr="0072343A">
        <w:t xml:space="preserve"> la I</w:t>
      </w:r>
      <w:r w:rsidR="00484BBC" w:rsidRPr="0072343A">
        <w:t>nnovación (</w:t>
      </w:r>
      <w:r w:rsidR="0067000D" w:rsidRPr="0067000D">
        <w:t>Tekes</w:t>
      </w:r>
      <w:r w:rsidR="00484BBC" w:rsidRPr="0072343A">
        <w:t>) es</w:t>
      </w:r>
      <w:r w:rsidRPr="0072343A">
        <w:t xml:space="preserve"> </w:t>
      </w:r>
      <w:r w:rsidR="00484BBC" w:rsidRPr="0072343A">
        <w:t>un</w:t>
      </w:r>
      <w:r w:rsidRPr="0072343A">
        <w:t xml:space="preserve"> organismo </w:t>
      </w:r>
      <w:r w:rsidR="00484BBC" w:rsidRPr="0072343A">
        <w:t xml:space="preserve">altamente especializado y sostenido con fondos </w:t>
      </w:r>
      <w:r w:rsidRPr="0072343A">
        <w:t>público</w:t>
      </w:r>
      <w:r w:rsidR="00484BBC" w:rsidRPr="0072343A">
        <w:t xml:space="preserve">s dedicado a la </w:t>
      </w:r>
      <w:r w:rsidRPr="0072343A">
        <w:t xml:space="preserve">financiación </w:t>
      </w:r>
      <w:r w:rsidR="00484BBC" w:rsidRPr="0072343A">
        <w:t xml:space="preserve">de la </w:t>
      </w:r>
      <w:r w:rsidRPr="0072343A">
        <w:t>investigación</w:t>
      </w:r>
      <w:r w:rsidR="00484BBC" w:rsidRPr="0072343A">
        <w:t>, el</w:t>
      </w:r>
      <w:r w:rsidRPr="0072343A">
        <w:t xml:space="preserve"> desarrollo </w:t>
      </w:r>
      <w:r w:rsidR="00484BBC" w:rsidRPr="0072343A">
        <w:t xml:space="preserve">y la innovación en Finlandia.  Los expertos de </w:t>
      </w:r>
      <w:r w:rsidR="00484BBC" w:rsidRPr="0067000D">
        <w:t>Tekes</w:t>
      </w:r>
      <w:r w:rsidR="00484BBC" w:rsidRPr="0072343A">
        <w:t xml:space="preserve"> lideran equipos regionales en las distintas </w:t>
      </w:r>
      <w:r w:rsidR="006C6AA3">
        <w:t>áreas</w:t>
      </w:r>
      <w:r w:rsidR="00484BBC" w:rsidRPr="0072343A">
        <w:t xml:space="preserve"> de Finlandia, </w:t>
      </w:r>
      <w:r w:rsidR="00BF403F" w:rsidRPr="0072343A">
        <w:t xml:space="preserve">que reúnen a </w:t>
      </w:r>
      <w:r w:rsidR="00484BBC" w:rsidRPr="0072343A">
        <w:t xml:space="preserve">especialistas en el desarrollo de invenciones y </w:t>
      </w:r>
      <w:r w:rsidR="00E46DCD" w:rsidRPr="0072343A">
        <w:t xml:space="preserve">su </w:t>
      </w:r>
      <w:r w:rsidR="00484BBC" w:rsidRPr="0072343A">
        <w:t xml:space="preserve">comercialización.  </w:t>
      </w:r>
    </w:p>
    <w:p w:rsidR="000D0A9F" w:rsidRPr="0072343A" w:rsidRDefault="000D0A9F" w:rsidP="000D0A9F"/>
    <w:p w:rsidR="000D0A9F" w:rsidRPr="0072343A" w:rsidRDefault="00354CDC" w:rsidP="000D0A9F">
      <w:r w:rsidRPr="0072343A">
        <w:lastRenderedPageBreak/>
        <w:t xml:space="preserve">Los Centros para el Desarrollo Económico, el Transporte y el Medioambiente </w:t>
      </w:r>
      <w:r w:rsidR="000D0A9F" w:rsidRPr="0072343A">
        <w:t>(</w:t>
      </w:r>
      <w:r w:rsidR="000D0A9F" w:rsidRPr="0072343A">
        <w:rPr>
          <w:i/>
        </w:rPr>
        <w:t>ELY Centres</w:t>
      </w:r>
      <w:r w:rsidR="000D0A9F" w:rsidRPr="0072343A">
        <w:t xml:space="preserve">) </w:t>
      </w:r>
      <w:r w:rsidRPr="0072343A">
        <w:t xml:space="preserve">están ubicados </w:t>
      </w:r>
      <w:r w:rsidR="004E0082" w:rsidRPr="0072343A">
        <w:t>por todo el país y son responsables de ejecutar a nivel regional las competencias de implementación</w:t>
      </w:r>
      <w:r w:rsidR="00BF403F" w:rsidRPr="0072343A">
        <w:t xml:space="preserve"> y desarrollo del G</w:t>
      </w:r>
      <w:r w:rsidR="004E0082" w:rsidRPr="0072343A">
        <w:t>obierno central</w:t>
      </w:r>
      <w:r w:rsidR="000D0A9F" w:rsidRPr="0072343A">
        <w:t>.</w:t>
      </w:r>
    </w:p>
    <w:p w:rsidR="000D0A9F" w:rsidRPr="0072343A" w:rsidRDefault="000D0A9F" w:rsidP="000D0A9F"/>
    <w:p w:rsidR="000D0A9F" w:rsidRPr="0072343A" w:rsidRDefault="004E0082" w:rsidP="000D0A9F">
      <w:r w:rsidRPr="0072343A">
        <w:t xml:space="preserve">Las principales universidades cuentan con centros propios de apoyo a la innovación.  Por otra parte, el </w:t>
      </w:r>
      <w:r w:rsidR="00BF403F" w:rsidRPr="0072343A">
        <w:t>Centro Universitario de Derechos de P.I. (</w:t>
      </w:r>
      <w:r w:rsidR="00BF403F" w:rsidRPr="0072343A">
        <w:rPr>
          <w:i/>
        </w:rPr>
        <w:t>IPR University Center</w:t>
      </w:r>
      <w:r w:rsidR="00BF403F" w:rsidRPr="0072343A">
        <w:t>)</w:t>
      </w:r>
      <w:r w:rsidR="000D0A9F" w:rsidRPr="0072343A">
        <w:t xml:space="preserve">, </w:t>
      </w:r>
      <w:r w:rsidRPr="0072343A">
        <w:t>un instituto establecido conjuntamente por cinco universidades finlandesas, coordina y promueve la educación y la investigación en materia de derechos de propiedad intelectual e industrial</w:t>
      </w:r>
      <w:r w:rsidR="000D0A9F" w:rsidRPr="0072343A">
        <w:t>.</w:t>
      </w:r>
    </w:p>
    <w:p w:rsidR="000D0A9F" w:rsidRPr="0072343A" w:rsidRDefault="000D0A9F" w:rsidP="000D0A9F"/>
    <w:p w:rsidR="000D0A9F" w:rsidRPr="0072343A" w:rsidRDefault="004C4C1F" w:rsidP="000D0A9F">
      <w:r w:rsidRPr="0072343A">
        <w:t xml:space="preserve">La Biblioteca de Patentes </w:t>
      </w:r>
      <w:r w:rsidR="006C6AA3">
        <w:t>de</w:t>
      </w:r>
      <w:r w:rsidRPr="0072343A">
        <w:t xml:space="preserve"> la Oficina Nacional de Patentes y Registros de Finlandia mantiene una colección de libros y publicaciones periódicas sobre temas de P.I., que se encuentra a disposición del público.  También colabora con otros Centros </w:t>
      </w:r>
      <w:r w:rsidR="000D0A9F" w:rsidRPr="0072343A">
        <w:t xml:space="preserve">PatLib </w:t>
      </w:r>
      <w:r w:rsidRPr="0072343A">
        <w:t>y ofrece libre acceso a las bases de datos de patentes</w:t>
      </w:r>
      <w:r w:rsidR="000D0A9F" w:rsidRPr="0072343A">
        <w:t>.</w:t>
      </w:r>
    </w:p>
    <w:p w:rsidR="000D0A9F" w:rsidRPr="0072343A" w:rsidRDefault="000D0A9F" w:rsidP="000D0A9F"/>
    <w:p w:rsidR="000D0A9F" w:rsidRPr="0072343A" w:rsidRDefault="00A80BCB" w:rsidP="000D0A9F">
      <w:pPr>
        <w:rPr>
          <w:szCs w:val="22"/>
        </w:rPr>
      </w:pPr>
      <w:r w:rsidRPr="0072343A">
        <w:rPr>
          <w:b/>
          <w:bCs/>
          <w:szCs w:val="22"/>
        </w:rPr>
        <w:t>Principales industrias locales</w:t>
      </w:r>
      <w:r w:rsidR="000D0A9F" w:rsidRPr="0072343A">
        <w:rPr>
          <w:b/>
          <w:bCs/>
          <w:szCs w:val="22"/>
        </w:rPr>
        <w:t>:</w:t>
      </w:r>
      <w:r w:rsidR="000D0A9F" w:rsidRPr="0072343A">
        <w:rPr>
          <w:szCs w:val="22"/>
        </w:rPr>
        <w:t xml:space="preserve">  </w:t>
      </w:r>
    </w:p>
    <w:p w:rsidR="000D0A9F" w:rsidRPr="0072343A" w:rsidRDefault="000D0A9F" w:rsidP="000D0A9F"/>
    <w:p w:rsidR="000D0A9F" w:rsidRPr="0072343A" w:rsidRDefault="00A80BCB" w:rsidP="000D0A9F">
      <w:r w:rsidRPr="0072343A">
        <w:t>Productos de la industria química</w:t>
      </w:r>
      <w:r w:rsidR="000D0A9F" w:rsidRPr="0072343A">
        <w:t xml:space="preserve">, </w:t>
      </w:r>
      <w:r w:rsidRPr="0072343A">
        <w:t xml:space="preserve">productos de la industria forestal, </w:t>
      </w:r>
      <w:r w:rsidR="000D0A9F" w:rsidRPr="0072343A">
        <w:t xml:space="preserve">metal </w:t>
      </w:r>
      <w:r w:rsidRPr="0072343A">
        <w:t>y productos del metal</w:t>
      </w:r>
      <w:r w:rsidR="000D0A9F" w:rsidRPr="0072343A">
        <w:t>, ma</w:t>
      </w:r>
      <w:r w:rsidRPr="0072343A">
        <w:t>quinaria y equipo</w:t>
      </w:r>
      <w:r w:rsidR="000D0A9F" w:rsidRPr="0072343A">
        <w:t xml:space="preserve">, </w:t>
      </w:r>
      <w:r w:rsidRPr="0072343A">
        <w:t>productos alimentarios</w:t>
      </w:r>
      <w:r w:rsidR="000D0A9F" w:rsidRPr="0072343A">
        <w:t xml:space="preserve">, </w:t>
      </w:r>
      <w:r w:rsidRPr="0072343A">
        <w:t xml:space="preserve">productos de la industria </w:t>
      </w:r>
      <w:r w:rsidR="003144FA" w:rsidRPr="0072343A">
        <w:t>eléctrica y electrónica.</w:t>
      </w:r>
      <w:r w:rsidR="000D0A9F" w:rsidRPr="0072343A">
        <w:t xml:space="preserve"> </w:t>
      </w:r>
    </w:p>
    <w:p w:rsidR="000D0A9F" w:rsidRPr="0072343A" w:rsidRDefault="000D0A9F" w:rsidP="000D0A9F"/>
    <w:p w:rsidR="000D0A9F" w:rsidRPr="0072343A" w:rsidRDefault="003144FA" w:rsidP="000D0A9F">
      <w:pPr>
        <w:rPr>
          <w:szCs w:val="22"/>
        </w:rPr>
      </w:pPr>
      <w:r w:rsidRPr="0072343A">
        <w:rPr>
          <w:b/>
          <w:bCs/>
          <w:szCs w:val="22"/>
        </w:rPr>
        <w:t xml:space="preserve">Estados con los que existen relaciones comerciales de primer orden: </w:t>
      </w:r>
      <w:r w:rsidR="000D0A9F" w:rsidRPr="0072343A">
        <w:rPr>
          <w:szCs w:val="22"/>
        </w:rPr>
        <w:t xml:space="preserve">  </w:t>
      </w:r>
    </w:p>
    <w:p w:rsidR="000D0A9F" w:rsidRPr="0072343A" w:rsidRDefault="000D0A9F" w:rsidP="000D0A9F"/>
    <w:p w:rsidR="000D0A9F" w:rsidRPr="0072343A" w:rsidRDefault="003144FA" w:rsidP="000D0A9F">
      <w:r w:rsidRPr="0072343A">
        <w:t xml:space="preserve">Alemania, Suecia, </w:t>
      </w:r>
      <w:r w:rsidR="00541CA2" w:rsidRPr="0072343A">
        <w:t xml:space="preserve">Federación de </w:t>
      </w:r>
      <w:r w:rsidRPr="0072343A">
        <w:t xml:space="preserve">Rusia, </w:t>
      </w:r>
      <w:r w:rsidR="00541CA2" w:rsidRPr="0072343A">
        <w:t>Países Bajos</w:t>
      </w:r>
      <w:r w:rsidRPr="0072343A">
        <w:t>, China</w:t>
      </w:r>
      <w:r w:rsidR="00E46DCD" w:rsidRPr="0072343A">
        <w:t>,</w:t>
      </w:r>
      <w:r w:rsidR="00BF403F" w:rsidRPr="0072343A">
        <w:t xml:space="preserve"> Estados Unidos de América</w:t>
      </w:r>
    </w:p>
    <w:p w:rsidR="000D0A9F" w:rsidRPr="0072343A" w:rsidRDefault="000D0A9F" w:rsidP="000D0A9F"/>
    <w:p w:rsidR="000D0A9F" w:rsidRPr="0072343A" w:rsidRDefault="000D0A9F" w:rsidP="000D0A9F">
      <w:pPr>
        <w:rPr>
          <w:szCs w:val="22"/>
        </w:rPr>
      </w:pPr>
      <w:r w:rsidRPr="0072343A">
        <w:rPr>
          <w:b/>
          <w:bCs/>
          <w:szCs w:val="22"/>
        </w:rPr>
        <w:t>Ot</w:t>
      </w:r>
      <w:r w:rsidR="003144FA" w:rsidRPr="0072343A">
        <w:rPr>
          <w:b/>
          <w:bCs/>
          <w:szCs w:val="22"/>
        </w:rPr>
        <w:t xml:space="preserve">ra </w:t>
      </w:r>
      <w:r w:rsidRPr="0072343A">
        <w:rPr>
          <w:b/>
          <w:bCs/>
          <w:szCs w:val="22"/>
        </w:rPr>
        <w:t>informa</w:t>
      </w:r>
      <w:r w:rsidR="003144FA" w:rsidRPr="0072343A">
        <w:rPr>
          <w:b/>
          <w:bCs/>
          <w:szCs w:val="22"/>
        </w:rPr>
        <w:t>ción clave</w:t>
      </w:r>
      <w:r w:rsidRPr="0072343A">
        <w:rPr>
          <w:b/>
          <w:bCs/>
          <w:szCs w:val="22"/>
        </w:rPr>
        <w:t>:</w:t>
      </w:r>
    </w:p>
    <w:p w:rsidR="000D0A9F" w:rsidRPr="0072343A" w:rsidRDefault="000D0A9F" w:rsidP="000D0A9F"/>
    <w:p w:rsidR="000D0A9F" w:rsidRPr="0072343A" w:rsidRDefault="0026729B" w:rsidP="000D0A9F">
      <w:r w:rsidRPr="0072343A">
        <w:t>Existe una estrategia nacional en materia de derecho</w:t>
      </w:r>
      <w:r w:rsidR="00B35629" w:rsidRPr="0072343A">
        <w:t>s de propiedad intelectual (la E</w:t>
      </w:r>
      <w:r w:rsidRPr="0072343A">
        <w:t xml:space="preserve">strategia sobre derechos de P.I.), </w:t>
      </w:r>
      <w:r w:rsidR="00907101" w:rsidRPr="0072343A">
        <w:t xml:space="preserve">que fue </w:t>
      </w:r>
      <w:r w:rsidRPr="0072343A">
        <w:t xml:space="preserve">adoptada </w:t>
      </w:r>
      <w:r w:rsidR="00753321" w:rsidRPr="0072343A">
        <w:t>por el Gobierno mediante un Decreto de 26 de marzo de 2009.  El Programa de Gobierno de 2011 incluyó la decis</w:t>
      </w:r>
      <w:r w:rsidR="00B35629" w:rsidRPr="0072343A">
        <w:t>ión de seguir implementando la E</w:t>
      </w:r>
      <w:r w:rsidR="00753321" w:rsidRPr="0072343A">
        <w:t xml:space="preserve">strategia sobre derechos de P.I., </w:t>
      </w:r>
      <w:r w:rsidR="00907101" w:rsidRPr="0072343A">
        <w:t xml:space="preserve">si bien </w:t>
      </w:r>
      <w:r w:rsidR="00B35629" w:rsidRPr="0072343A">
        <w:t>con la introducción de</w:t>
      </w:r>
      <w:r w:rsidR="00907101" w:rsidRPr="0072343A">
        <w:t xml:space="preserve"> algunas </w:t>
      </w:r>
      <w:r w:rsidR="00753321" w:rsidRPr="0072343A">
        <w:t>reforma</w:t>
      </w:r>
      <w:r w:rsidR="00907101" w:rsidRPr="0072343A">
        <w:t xml:space="preserve">s en </w:t>
      </w:r>
      <w:r w:rsidR="00753321" w:rsidRPr="0072343A">
        <w:t xml:space="preserve">el plan de acción </w:t>
      </w:r>
      <w:r w:rsidR="00B35629" w:rsidRPr="0072343A">
        <w:t>de la E</w:t>
      </w:r>
      <w:r w:rsidR="00753321" w:rsidRPr="0072343A">
        <w:t>strategia</w:t>
      </w:r>
      <w:r w:rsidR="00907101" w:rsidRPr="0072343A">
        <w:t xml:space="preserve">, para adaptarlo a </w:t>
      </w:r>
      <w:r w:rsidR="00753321" w:rsidRPr="0072343A">
        <w:t>los cambios producidos en  el entorno y a las prioridades del Gobierno.</w:t>
      </w:r>
    </w:p>
    <w:p w:rsidR="000D0A9F" w:rsidRPr="0072343A" w:rsidRDefault="000D0A9F" w:rsidP="000D0A9F"/>
    <w:p w:rsidR="000D0A9F" w:rsidRPr="0072343A" w:rsidRDefault="00907101" w:rsidP="000D0A9F">
      <w:r w:rsidRPr="0072343A">
        <w:t xml:space="preserve">En abril de </w:t>
      </w:r>
      <w:r w:rsidR="000D0A9F" w:rsidRPr="0072343A">
        <w:t xml:space="preserve">2014, </w:t>
      </w:r>
      <w:r w:rsidRPr="0072343A">
        <w:t xml:space="preserve">se promulgó </w:t>
      </w:r>
      <w:r w:rsidR="00B35629" w:rsidRPr="0072343A">
        <w:t xml:space="preserve">a través de otro </w:t>
      </w:r>
      <w:r w:rsidRPr="0072343A">
        <w:t xml:space="preserve">Decreto </w:t>
      </w:r>
      <w:r w:rsidR="0067000D">
        <w:t>gubernamental</w:t>
      </w:r>
      <w:r w:rsidR="00C76F47" w:rsidRPr="0072343A">
        <w:t xml:space="preserve"> </w:t>
      </w:r>
      <w:r w:rsidRPr="0072343A">
        <w:t xml:space="preserve">el programa </w:t>
      </w:r>
      <w:r w:rsidR="00806A8C" w:rsidRPr="0072343A">
        <w:t xml:space="preserve">político </w:t>
      </w:r>
      <w:r w:rsidRPr="0072343A">
        <w:t xml:space="preserve">(2014-2020) </w:t>
      </w:r>
      <w:r w:rsidR="00806A8C" w:rsidRPr="0072343A">
        <w:t xml:space="preserve">para la </w:t>
      </w:r>
      <w:r w:rsidRPr="0072343A">
        <w:t>creación de valor intangible</w:t>
      </w:r>
      <w:r w:rsidR="00806A8C" w:rsidRPr="0072343A">
        <w:t>.</w:t>
      </w:r>
      <w:r w:rsidR="00C76F47" w:rsidRPr="0072343A">
        <w:t xml:space="preserve">  </w:t>
      </w:r>
      <w:r w:rsidR="006D7CB5" w:rsidRPr="0072343A">
        <w:t>D</w:t>
      </w:r>
      <w:r w:rsidR="00C76F47" w:rsidRPr="0072343A">
        <w:t xml:space="preserve">icho programa </w:t>
      </w:r>
      <w:r w:rsidR="006D7CB5" w:rsidRPr="0072343A">
        <w:t>aúna</w:t>
      </w:r>
      <w:r w:rsidR="00C76F47" w:rsidRPr="0072343A">
        <w:t xml:space="preserve"> las </w:t>
      </w:r>
      <w:r w:rsidR="00F95063" w:rsidRPr="0072343A">
        <w:t xml:space="preserve">nuevas </w:t>
      </w:r>
      <w:r w:rsidR="00C76F47" w:rsidRPr="0072343A">
        <w:t xml:space="preserve">medidas </w:t>
      </w:r>
      <w:r w:rsidR="00F95063" w:rsidRPr="0072343A">
        <w:t xml:space="preserve">políticas </w:t>
      </w:r>
      <w:r w:rsidR="00C76F47" w:rsidRPr="0072343A">
        <w:t xml:space="preserve">revisadas de </w:t>
      </w:r>
      <w:r w:rsidR="006D7CB5" w:rsidRPr="0072343A">
        <w:t>la E</w:t>
      </w:r>
      <w:r w:rsidR="00F95063" w:rsidRPr="0072343A">
        <w:t xml:space="preserve">strategia sobre derechos de P.I., las medidas políticas clave para la promoción de las empresas y de la iniciativa empresarial en las industrias creativas, y </w:t>
      </w:r>
      <w:r w:rsidR="006D7CB5" w:rsidRPr="0072343A">
        <w:t>la actualización del</w:t>
      </w:r>
      <w:r w:rsidR="00F95063" w:rsidRPr="0072343A">
        <w:t xml:space="preserve"> programa nacional para el diseño.  </w:t>
      </w:r>
    </w:p>
    <w:p w:rsidR="000D0A9F" w:rsidRPr="0072343A" w:rsidRDefault="000D0A9F" w:rsidP="000D0A9F"/>
    <w:p w:rsidR="000D0A9F" w:rsidRPr="0072343A" w:rsidRDefault="00F95063" w:rsidP="000D0A9F">
      <w:r w:rsidRPr="0072343A">
        <w:t xml:space="preserve">El objetivo del programa político para la creación de valor intangible es reforzar los requisitos previos </w:t>
      </w:r>
      <w:r w:rsidR="00FE3417" w:rsidRPr="0072343A">
        <w:t>que favorezcan las inversiones en activos intangibles, fortalecer las capacidades y conocimientos especializados relacionados con la utilización del capital intelectual y con la creación de valor intangible, y promover el desarrollo de empresas esencialmente innovadoras en Finlandia.</w:t>
      </w:r>
    </w:p>
    <w:p w:rsidR="000D0A9F" w:rsidRPr="0072343A" w:rsidRDefault="000D0A9F" w:rsidP="000D0A9F"/>
    <w:p w:rsidR="000D0A9F" w:rsidRPr="0072343A" w:rsidRDefault="00FE3417" w:rsidP="000D0A9F">
      <w:r w:rsidRPr="0072343A">
        <w:t xml:space="preserve">El programa político para la creación de valor intangible </w:t>
      </w:r>
      <w:r w:rsidR="00D936A3" w:rsidRPr="0072343A">
        <w:t>orientará</w:t>
      </w:r>
      <w:r w:rsidRPr="0072343A">
        <w:t xml:space="preserve"> la labor de los organismos gubernamentales en la gestión de los presupuestos </w:t>
      </w:r>
      <w:r w:rsidR="00D936A3" w:rsidRPr="0072343A">
        <w:t>de</w:t>
      </w:r>
      <w:r w:rsidRPr="0072343A">
        <w:t xml:space="preserve"> las distintas ramas de la </w:t>
      </w:r>
      <w:r w:rsidR="00D936A3" w:rsidRPr="0072343A">
        <w:t>administración</w:t>
      </w:r>
      <w:r w:rsidRPr="0072343A">
        <w:t>.</w:t>
      </w:r>
    </w:p>
    <w:p w:rsidR="000D0A9F" w:rsidRPr="0072343A" w:rsidRDefault="000D0A9F" w:rsidP="00D36760">
      <w:pPr>
        <w:pStyle w:val="SectionHeading"/>
        <w:rPr>
          <w:lang w:val="es-ES"/>
        </w:rPr>
      </w:pPr>
      <w:r w:rsidRPr="0072343A">
        <w:rPr>
          <w:lang w:val="es-ES"/>
        </w:rPr>
        <w:lastRenderedPageBreak/>
        <w:t>6 – P</w:t>
      </w:r>
      <w:r w:rsidR="006209C2" w:rsidRPr="0072343A">
        <w:rPr>
          <w:lang w:val="es-ES"/>
        </w:rPr>
        <w:t xml:space="preserve">erfil de las solicitudes de patentes </w:t>
      </w:r>
    </w:p>
    <w:p w:rsidR="000D0A9F" w:rsidRPr="0072343A" w:rsidRDefault="000D0A9F" w:rsidP="00D36760">
      <w:pPr>
        <w:keepNext/>
        <w:rPr>
          <w:b/>
          <w:bCs/>
          <w:szCs w:val="22"/>
        </w:rPr>
      </w:pPr>
      <w:r w:rsidRPr="0072343A">
        <w:rPr>
          <w:b/>
          <w:bCs/>
          <w:szCs w:val="22"/>
        </w:rPr>
        <w:t>N</w:t>
      </w:r>
      <w:r w:rsidR="006209C2" w:rsidRPr="0072343A">
        <w:rPr>
          <w:b/>
          <w:bCs/>
          <w:szCs w:val="22"/>
        </w:rPr>
        <w:t xml:space="preserve">úmero de solicitudes </w:t>
      </w:r>
      <w:r w:rsidR="007032EF">
        <w:rPr>
          <w:b/>
          <w:bCs/>
          <w:szCs w:val="22"/>
        </w:rPr>
        <w:t xml:space="preserve">de patente </w:t>
      </w:r>
      <w:r w:rsidR="006209C2" w:rsidRPr="0072343A">
        <w:rPr>
          <w:b/>
          <w:bCs/>
          <w:szCs w:val="22"/>
        </w:rPr>
        <w:t xml:space="preserve">nacional recibidas </w:t>
      </w:r>
      <w:r w:rsidRPr="0072343A">
        <w:rPr>
          <w:b/>
          <w:bCs/>
          <w:szCs w:val="22"/>
        </w:rPr>
        <w:t xml:space="preserve">– </w:t>
      </w:r>
      <w:r w:rsidR="006209C2" w:rsidRPr="0072343A">
        <w:rPr>
          <w:b/>
          <w:bCs/>
          <w:szCs w:val="22"/>
        </w:rPr>
        <w:t>por campo técnico</w:t>
      </w:r>
      <w:r w:rsidRPr="0072343A">
        <w:rPr>
          <w:b/>
          <w:bCs/>
          <w:szCs w:val="22"/>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0D0A9F" w:rsidRPr="0072343A" w:rsidTr="008C4B6B">
        <w:trPr>
          <w:cantSplit/>
        </w:trPr>
        <w:tc>
          <w:tcPr>
            <w:tcW w:w="2518" w:type="dxa"/>
            <w:tcBorders>
              <w:tl2br w:val="single" w:sz="4" w:space="0" w:color="auto"/>
            </w:tcBorders>
            <w:shd w:val="clear" w:color="auto" w:fill="auto"/>
          </w:tcPr>
          <w:p w:rsidR="000D0A9F" w:rsidRPr="0072343A" w:rsidRDefault="000D0A9F" w:rsidP="00D36760">
            <w:pPr>
              <w:keepNext/>
              <w:jc w:val="right"/>
              <w:rPr>
                <w:b/>
                <w:bCs/>
                <w:szCs w:val="22"/>
              </w:rPr>
            </w:pPr>
          </w:p>
          <w:p w:rsidR="000D0A9F" w:rsidRPr="0072343A" w:rsidRDefault="00FE3417" w:rsidP="00D36760">
            <w:pPr>
              <w:keepNext/>
              <w:jc w:val="right"/>
              <w:rPr>
                <w:b/>
                <w:bCs/>
                <w:szCs w:val="22"/>
              </w:rPr>
            </w:pPr>
            <w:r w:rsidRPr="0072343A">
              <w:rPr>
                <w:b/>
                <w:bCs/>
                <w:szCs w:val="22"/>
              </w:rPr>
              <w:t>Año</w:t>
            </w:r>
          </w:p>
          <w:p w:rsidR="000D0A9F" w:rsidRPr="0072343A" w:rsidRDefault="00FE3417" w:rsidP="00D36760">
            <w:pPr>
              <w:keepNext/>
              <w:rPr>
                <w:b/>
                <w:bCs/>
                <w:szCs w:val="22"/>
              </w:rPr>
            </w:pPr>
            <w:r w:rsidRPr="0072343A">
              <w:rPr>
                <w:b/>
                <w:bCs/>
                <w:szCs w:val="22"/>
              </w:rPr>
              <w:t>Campo técnico</w:t>
            </w:r>
          </w:p>
        </w:tc>
        <w:tc>
          <w:tcPr>
            <w:tcW w:w="1360" w:type="dxa"/>
            <w:shd w:val="clear" w:color="auto" w:fill="auto"/>
            <w:vAlign w:val="center"/>
          </w:tcPr>
          <w:p w:rsidR="000D0A9F" w:rsidRPr="0072343A" w:rsidRDefault="000D0A9F" w:rsidP="00D36760">
            <w:pPr>
              <w:keepNext/>
              <w:jc w:val="center"/>
              <w:rPr>
                <w:szCs w:val="22"/>
              </w:rPr>
            </w:pPr>
            <w:r w:rsidRPr="0072343A">
              <w:rPr>
                <w:szCs w:val="22"/>
              </w:rPr>
              <w:t>2012</w:t>
            </w:r>
          </w:p>
        </w:tc>
        <w:tc>
          <w:tcPr>
            <w:tcW w:w="1361" w:type="dxa"/>
            <w:shd w:val="clear" w:color="auto" w:fill="auto"/>
            <w:vAlign w:val="center"/>
          </w:tcPr>
          <w:p w:rsidR="000D0A9F" w:rsidRPr="0072343A" w:rsidRDefault="000D0A9F" w:rsidP="00D36760">
            <w:pPr>
              <w:keepNext/>
              <w:jc w:val="center"/>
              <w:rPr>
                <w:szCs w:val="22"/>
              </w:rPr>
            </w:pPr>
            <w:r w:rsidRPr="0072343A">
              <w:rPr>
                <w:szCs w:val="22"/>
              </w:rPr>
              <w:t>2013</w:t>
            </w:r>
          </w:p>
        </w:tc>
        <w:tc>
          <w:tcPr>
            <w:tcW w:w="1361" w:type="dxa"/>
            <w:shd w:val="clear" w:color="auto" w:fill="auto"/>
            <w:vAlign w:val="center"/>
          </w:tcPr>
          <w:p w:rsidR="000D0A9F" w:rsidRPr="0072343A" w:rsidRDefault="000D0A9F" w:rsidP="00D36760">
            <w:pPr>
              <w:keepNext/>
              <w:jc w:val="center"/>
              <w:rPr>
                <w:szCs w:val="22"/>
              </w:rPr>
            </w:pPr>
            <w:r w:rsidRPr="0072343A">
              <w:rPr>
                <w:szCs w:val="22"/>
              </w:rPr>
              <w:t>2014</w:t>
            </w:r>
          </w:p>
        </w:tc>
        <w:tc>
          <w:tcPr>
            <w:tcW w:w="1361" w:type="dxa"/>
            <w:shd w:val="clear" w:color="auto" w:fill="auto"/>
            <w:vAlign w:val="center"/>
          </w:tcPr>
          <w:p w:rsidR="000D0A9F" w:rsidRPr="0072343A" w:rsidRDefault="000D0A9F" w:rsidP="00D36760">
            <w:pPr>
              <w:keepNext/>
              <w:jc w:val="center"/>
              <w:rPr>
                <w:szCs w:val="22"/>
              </w:rPr>
            </w:pPr>
            <w:r w:rsidRPr="0072343A">
              <w:rPr>
                <w:szCs w:val="22"/>
              </w:rPr>
              <w:t>2015</w:t>
            </w:r>
          </w:p>
        </w:tc>
        <w:tc>
          <w:tcPr>
            <w:tcW w:w="1361" w:type="dxa"/>
            <w:shd w:val="clear" w:color="auto" w:fill="auto"/>
            <w:vAlign w:val="center"/>
          </w:tcPr>
          <w:p w:rsidR="000D0A9F" w:rsidRPr="0072343A" w:rsidRDefault="000D0A9F" w:rsidP="00D36760">
            <w:pPr>
              <w:keepNext/>
              <w:jc w:val="center"/>
              <w:rPr>
                <w:szCs w:val="22"/>
              </w:rPr>
            </w:pPr>
            <w:r w:rsidRPr="0072343A">
              <w:rPr>
                <w:szCs w:val="22"/>
              </w:rPr>
              <w:t>2016</w:t>
            </w:r>
          </w:p>
        </w:tc>
      </w:tr>
      <w:tr w:rsidR="006209C2" w:rsidRPr="0072343A" w:rsidTr="008C4B6B">
        <w:trPr>
          <w:cantSplit/>
        </w:trPr>
        <w:tc>
          <w:tcPr>
            <w:tcW w:w="2518" w:type="dxa"/>
            <w:shd w:val="clear" w:color="auto" w:fill="auto"/>
          </w:tcPr>
          <w:p w:rsidR="006209C2" w:rsidRPr="0072343A" w:rsidRDefault="006209C2" w:rsidP="00D36760">
            <w:pPr>
              <w:keepNext/>
            </w:pPr>
            <w:r w:rsidRPr="0072343A">
              <w:t>Mecánica</w:t>
            </w:r>
          </w:p>
        </w:tc>
        <w:tc>
          <w:tcPr>
            <w:tcW w:w="1360" w:type="dxa"/>
            <w:shd w:val="clear" w:color="auto" w:fill="auto"/>
          </w:tcPr>
          <w:p w:rsidR="006209C2" w:rsidRPr="0072343A" w:rsidRDefault="006209C2" w:rsidP="00D36760">
            <w:pPr>
              <w:keepNext/>
              <w:ind w:right="260"/>
              <w:jc w:val="right"/>
            </w:pPr>
            <w:r w:rsidRPr="0072343A">
              <w:t>841</w:t>
            </w:r>
          </w:p>
        </w:tc>
        <w:tc>
          <w:tcPr>
            <w:tcW w:w="1361" w:type="dxa"/>
            <w:shd w:val="clear" w:color="auto" w:fill="auto"/>
          </w:tcPr>
          <w:p w:rsidR="006209C2" w:rsidRPr="0072343A" w:rsidRDefault="006209C2" w:rsidP="00D36760">
            <w:pPr>
              <w:keepNext/>
              <w:ind w:right="260"/>
              <w:jc w:val="right"/>
            </w:pPr>
            <w:r w:rsidRPr="0072343A">
              <w:t>731</w:t>
            </w:r>
          </w:p>
        </w:tc>
        <w:tc>
          <w:tcPr>
            <w:tcW w:w="1361" w:type="dxa"/>
            <w:shd w:val="clear" w:color="auto" w:fill="auto"/>
          </w:tcPr>
          <w:p w:rsidR="006209C2" w:rsidRPr="0072343A" w:rsidRDefault="006209C2" w:rsidP="00D36760">
            <w:pPr>
              <w:keepNext/>
              <w:ind w:right="260"/>
              <w:jc w:val="right"/>
            </w:pPr>
            <w:r w:rsidRPr="0072343A">
              <w:t>706</w:t>
            </w:r>
          </w:p>
        </w:tc>
        <w:tc>
          <w:tcPr>
            <w:tcW w:w="1361" w:type="dxa"/>
            <w:shd w:val="clear" w:color="auto" w:fill="auto"/>
          </w:tcPr>
          <w:p w:rsidR="006209C2" w:rsidRPr="0072343A" w:rsidRDefault="006209C2" w:rsidP="00D36760">
            <w:pPr>
              <w:keepNext/>
              <w:ind w:right="260"/>
              <w:jc w:val="right"/>
            </w:pPr>
            <w:r w:rsidRPr="0072343A">
              <w:t>674</w:t>
            </w:r>
          </w:p>
        </w:tc>
        <w:tc>
          <w:tcPr>
            <w:tcW w:w="1361" w:type="dxa"/>
            <w:shd w:val="clear" w:color="auto" w:fill="auto"/>
          </w:tcPr>
          <w:p w:rsidR="006209C2" w:rsidRPr="0072343A" w:rsidRDefault="006209C2" w:rsidP="00D36760">
            <w:pPr>
              <w:keepNext/>
              <w:ind w:right="260"/>
              <w:jc w:val="right"/>
            </w:pPr>
            <w:r w:rsidRPr="0072343A">
              <w:t>623</w:t>
            </w:r>
          </w:p>
        </w:tc>
      </w:tr>
      <w:tr w:rsidR="006209C2" w:rsidRPr="0072343A" w:rsidTr="008C4B6B">
        <w:trPr>
          <w:cantSplit/>
        </w:trPr>
        <w:tc>
          <w:tcPr>
            <w:tcW w:w="2518" w:type="dxa"/>
            <w:shd w:val="clear" w:color="auto" w:fill="auto"/>
          </w:tcPr>
          <w:p w:rsidR="006209C2" w:rsidRPr="0072343A" w:rsidRDefault="006209C2" w:rsidP="00D36760">
            <w:pPr>
              <w:keepNext/>
            </w:pPr>
            <w:r w:rsidRPr="0072343A">
              <w:t>Electricidad/electrónica</w:t>
            </w:r>
          </w:p>
        </w:tc>
        <w:tc>
          <w:tcPr>
            <w:tcW w:w="1360" w:type="dxa"/>
            <w:shd w:val="clear" w:color="auto" w:fill="auto"/>
          </w:tcPr>
          <w:p w:rsidR="006209C2" w:rsidRPr="0072343A" w:rsidRDefault="006209C2" w:rsidP="00D36760">
            <w:pPr>
              <w:keepNext/>
              <w:ind w:right="260"/>
              <w:jc w:val="right"/>
            </w:pPr>
            <w:r w:rsidRPr="0072343A">
              <w:t>409</w:t>
            </w:r>
          </w:p>
        </w:tc>
        <w:tc>
          <w:tcPr>
            <w:tcW w:w="1361" w:type="dxa"/>
            <w:shd w:val="clear" w:color="auto" w:fill="auto"/>
          </w:tcPr>
          <w:p w:rsidR="006209C2" w:rsidRPr="0072343A" w:rsidRDefault="006209C2" w:rsidP="00D36760">
            <w:pPr>
              <w:keepNext/>
              <w:ind w:right="260"/>
              <w:jc w:val="right"/>
            </w:pPr>
            <w:r w:rsidRPr="0072343A">
              <w:t>444</w:t>
            </w:r>
          </w:p>
        </w:tc>
        <w:tc>
          <w:tcPr>
            <w:tcW w:w="1361" w:type="dxa"/>
            <w:shd w:val="clear" w:color="auto" w:fill="auto"/>
          </w:tcPr>
          <w:p w:rsidR="006209C2" w:rsidRPr="0072343A" w:rsidRDefault="006209C2" w:rsidP="00D36760">
            <w:pPr>
              <w:keepNext/>
              <w:ind w:right="260"/>
              <w:jc w:val="right"/>
            </w:pPr>
            <w:r w:rsidRPr="0072343A">
              <w:t>371</w:t>
            </w:r>
          </w:p>
        </w:tc>
        <w:tc>
          <w:tcPr>
            <w:tcW w:w="1361" w:type="dxa"/>
            <w:shd w:val="clear" w:color="auto" w:fill="auto"/>
          </w:tcPr>
          <w:p w:rsidR="006209C2" w:rsidRPr="0072343A" w:rsidRDefault="006209C2" w:rsidP="00D36760">
            <w:pPr>
              <w:keepNext/>
              <w:ind w:right="260"/>
              <w:jc w:val="right"/>
            </w:pPr>
            <w:r w:rsidRPr="0072343A">
              <w:t>318</w:t>
            </w:r>
          </w:p>
        </w:tc>
        <w:tc>
          <w:tcPr>
            <w:tcW w:w="1361" w:type="dxa"/>
            <w:shd w:val="clear" w:color="auto" w:fill="auto"/>
          </w:tcPr>
          <w:p w:rsidR="006209C2" w:rsidRPr="0072343A" w:rsidRDefault="006209C2" w:rsidP="00D36760">
            <w:pPr>
              <w:keepNext/>
              <w:ind w:right="260"/>
              <w:jc w:val="right"/>
            </w:pPr>
            <w:r w:rsidRPr="0072343A">
              <w:t>346</w:t>
            </w:r>
          </w:p>
        </w:tc>
      </w:tr>
      <w:tr w:rsidR="006209C2" w:rsidRPr="0072343A" w:rsidTr="008C4B6B">
        <w:trPr>
          <w:cantSplit/>
        </w:trPr>
        <w:tc>
          <w:tcPr>
            <w:tcW w:w="2518" w:type="dxa"/>
            <w:shd w:val="clear" w:color="auto" w:fill="auto"/>
          </w:tcPr>
          <w:p w:rsidR="006209C2" w:rsidRPr="0072343A" w:rsidRDefault="006209C2" w:rsidP="00D36760">
            <w:pPr>
              <w:keepNext/>
            </w:pPr>
            <w:r w:rsidRPr="0072343A">
              <w:t>Química</w:t>
            </w:r>
          </w:p>
        </w:tc>
        <w:tc>
          <w:tcPr>
            <w:tcW w:w="1360" w:type="dxa"/>
            <w:shd w:val="clear" w:color="auto" w:fill="auto"/>
          </w:tcPr>
          <w:p w:rsidR="006209C2" w:rsidRPr="0072343A" w:rsidRDefault="006209C2" w:rsidP="00D36760">
            <w:pPr>
              <w:keepNext/>
              <w:ind w:right="260"/>
              <w:jc w:val="right"/>
            </w:pPr>
            <w:r w:rsidRPr="0072343A">
              <w:t>447</w:t>
            </w:r>
          </w:p>
        </w:tc>
        <w:tc>
          <w:tcPr>
            <w:tcW w:w="1361" w:type="dxa"/>
            <w:shd w:val="clear" w:color="auto" w:fill="auto"/>
          </w:tcPr>
          <w:p w:rsidR="006209C2" w:rsidRPr="0072343A" w:rsidRDefault="006209C2" w:rsidP="00D36760">
            <w:pPr>
              <w:keepNext/>
              <w:ind w:right="260"/>
              <w:jc w:val="right"/>
            </w:pPr>
            <w:r w:rsidRPr="0072343A">
              <w:t>415</w:t>
            </w:r>
          </w:p>
        </w:tc>
        <w:tc>
          <w:tcPr>
            <w:tcW w:w="1361" w:type="dxa"/>
            <w:shd w:val="clear" w:color="auto" w:fill="auto"/>
          </w:tcPr>
          <w:p w:rsidR="006209C2" w:rsidRPr="0072343A" w:rsidRDefault="006209C2" w:rsidP="00D36760">
            <w:pPr>
              <w:keepNext/>
              <w:ind w:right="260"/>
              <w:jc w:val="right"/>
            </w:pPr>
            <w:r w:rsidRPr="0072343A">
              <w:t>362</w:t>
            </w:r>
          </w:p>
        </w:tc>
        <w:tc>
          <w:tcPr>
            <w:tcW w:w="1361" w:type="dxa"/>
            <w:shd w:val="clear" w:color="auto" w:fill="auto"/>
          </w:tcPr>
          <w:p w:rsidR="006209C2" w:rsidRPr="0072343A" w:rsidRDefault="006209C2" w:rsidP="00D36760">
            <w:pPr>
              <w:keepNext/>
              <w:ind w:right="260"/>
              <w:jc w:val="right"/>
            </w:pPr>
            <w:r w:rsidRPr="0072343A">
              <w:t>334</w:t>
            </w:r>
          </w:p>
        </w:tc>
        <w:tc>
          <w:tcPr>
            <w:tcW w:w="1361" w:type="dxa"/>
            <w:shd w:val="clear" w:color="auto" w:fill="auto"/>
          </w:tcPr>
          <w:p w:rsidR="006209C2" w:rsidRPr="0072343A" w:rsidRDefault="006209C2" w:rsidP="00D36760">
            <w:pPr>
              <w:keepNext/>
              <w:ind w:right="260"/>
              <w:jc w:val="right"/>
            </w:pPr>
            <w:r w:rsidRPr="0072343A">
              <w:t>309</w:t>
            </w:r>
          </w:p>
        </w:tc>
      </w:tr>
      <w:tr w:rsidR="006209C2" w:rsidRPr="0072343A" w:rsidTr="008C4B6B">
        <w:trPr>
          <w:cantSplit/>
        </w:trPr>
        <w:tc>
          <w:tcPr>
            <w:tcW w:w="2518" w:type="dxa"/>
            <w:shd w:val="clear" w:color="auto" w:fill="auto"/>
          </w:tcPr>
          <w:p w:rsidR="006209C2" w:rsidRPr="0072343A" w:rsidRDefault="006209C2" w:rsidP="00D36760">
            <w:pPr>
              <w:keepNext/>
            </w:pPr>
            <w:r w:rsidRPr="0072343A">
              <w:t>Biotecnología</w:t>
            </w:r>
          </w:p>
        </w:tc>
        <w:tc>
          <w:tcPr>
            <w:tcW w:w="1360" w:type="dxa"/>
            <w:shd w:val="clear" w:color="auto" w:fill="auto"/>
          </w:tcPr>
          <w:p w:rsidR="006209C2" w:rsidRPr="0072343A" w:rsidRDefault="006209C2" w:rsidP="00D36760">
            <w:pPr>
              <w:keepNext/>
              <w:ind w:right="260"/>
              <w:jc w:val="right"/>
            </w:pPr>
            <w:r w:rsidRPr="0072343A">
              <w:t>130</w:t>
            </w:r>
          </w:p>
        </w:tc>
        <w:tc>
          <w:tcPr>
            <w:tcW w:w="1361" w:type="dxa"/>
            <w:shd w:val="clear" w:color="auto" w:fill="auto"/>
          </w:tcPr>
          <w:p w:rsidR="006209C2" w:rsidRPr="0072343A" w:rsidRDefault="006209C2" w:rsidP="00D36760">
            <w:pPr>
              <w:keepNext/>
              <w:ind w:right="260"/>
              <w:jc w:val="right"/>
            </w:pPr>
            <w:r w:rsidRPr="0072343A">
              <w:t>147</w:t>
            </w:r>
          </w:p>
        </w:tc>
        <w:tc>
          <w:tcPr>
            <w:tcW w:w="1361" w:type="dxa"/>
            <w:shd w:val="clear" w:color="auto" w:fill="auto"/>
          </w:tcPr>
          <w:p w:rsidR="006209C2" w:rsidRPr="0072343A" w:rsidRDefault="006209C2" w:rsidP="00D36760">
            <w:pPr>
              <w:keepNext/>
              <w:ind w:right="260"/>
              <w:jc w:val="right"/>
            </w:pPr>
            <w:r w:rsidRPr="0072343A">
              <w:t>106</w:t>
            </w:r>
          </w:p>
        </w:tc>
        <w:tc>
          <w:tcPr>
            <w:tcW w:w="1361" w:type="dxa"/>
            <w:shd w:val="clear" w:color="auto" w:fill="auto"/>
          </w:tcPr>
          <w:p w:rsidR="006209C2" w:rsidRPr="0072343A" w:rsidRDefault="006209C2" w:rsidP="00D36760">
            <w:pPr>
              <w:keepNext/>
              <w:ind w:right="260"/>
              <w:jc w:val="right"/>
            </w:pPr>
            <w:r w:rsidRPr="0072343A">
              <w:t>90</w:t>
            </w:r>
          </w:p>
        </w:tc>
        <w:tc>
          <w:tcPr>
            <w:tcW w:w="1361" w:type="dxa"/>
            <w:shd w:val="clear" w:color="auto" w:fill="auto"/>
          </w:tcPr>
          <w:p w:rsidR="006209C2" w:rsidRPr="0072343A" w:rsidRDefault="006209C2" w:rsidP="00D36760">
            <w:pPr>
              <w:keepNext/>
              <w:ind w:right="260"/>
              <w:jc w:val="right"/>
            </w:pPr>
            <w:r w:rsidRPr="0072343A">
              <w:t>90</w:t>
            </w:r>
          </w:p>
        </w:tc>
      </w:tr>
      <w:tr w:rsidR="000D0A9F" w:rsidRPr="0072343A" w:rsidTr="008C4B6B">
        <w:trPr>
          <w:cantSplit/>
        </w:trPr>
        <w:tc>
          <w:tcPr>
            <w:tcW w:w="2518" w:type="dxa"/>
            <w:shd w:val="clear" w:color="auto" w:fill="auto"/>
          </w:tcPr>
          <w:p w:rsidR="000D0A9F" w:rsidRPr="0072343A" w:rsidRDefault="000D0A9F" w:rsidP="00D36760">
            <w:pPr>
              <w:keepNext/>
              <w:rPr>
                <w:i/>
                <w:iCs/>
                <w:szCs w:val="22"/>
              </w:rPr>
            </w:pPr>
            <w:r w:rsidRPr="0072343A">
              <w:rPr>
                <w:i/>
                <w:iCs/>
                <w:szCs w:val="22"/>
              </w:rPr>
              <w:t>Total</w:t>
            </w:r>
          </w:p>
        </w:tc>
        <w:tc>
          <w:tcPr>
            <w:tcW w:w="1360" w:type="dxa"/>
            <w:shd w:val="clear" w:color="auto" w:fill="auto"/>
          </w:tcPr>
          <w:p w:rsidR="000D0A9F" w:rsidRPr="0072343A" w:rsidRDefault="006209C2" w:rsidP="00D36760">
            <w:pPr>
              <w:keepNext/>
              <w:ind w:right="260"/>
              <w:jc w:val="right"/>
            </w:pPr>
            <w:r w:rsidRPr="0072343A">
              <w:t>1.</w:t>
            </w:r>
            <w:r w:rsidR="000D0A9F" w:rsidRPr="0072343A">
              <w:t>827</w:t>
            </w:r>
          </w:p>
        </w:tc>
        <w:tc>
          <w:tcPr>
            <w:tcW w:w="1361" w:type="dxa"/>
            <w:shd w:val="clear" w:color="auto" w:fill="auto"/>
          </w:tcPr>
          <w:p w:rsidR="000D0A9F" w:rsidRPr="0072343A" w:rsidRDefault="006209C2" w:rsidP="00D36760">
            <w:pPr>
              <w:keepNext/>
              <w:ind w:right="260"/>
              <w:jc w:val="right"/>
            </w:pPr>
            <w:r w:rsidRPr="0072343A">
              <w:t>1.</w:t>
            </w:r>
            <w:r w:rsidR="000D0A9F" w:rsidRPr="0072343A">
              <w:t>737</w:t>
            </w:r>
          </w:p>
        </w:tc>
        <w:tc>
          <w:tcPr>
            <w:tcW w:w="1361" w:type="dxa"/>
            <w:shd w:val="clear" w:color="auto" w:fill="auto"/>
          </w:tcPr>
          <w:p w:rsidR="000D0A9F" w:rsidRPr="0072343A" w:rsidRDefault="006209C2" w:rsidP="00D36760">
            <w:pPr>
              <w:keepNext/>
              <w:ind w:right="260"/>
              <w:jc w:val="right"/>
            </w:pPr>
            <w:r w:rsidRPr="0072343A">
              <w:t>1.</w:t>
            </w:r>
            <w:r w:rsidR="000D0A9F" w:rsidRPr="0072343A">
              <w:t>545</w:t>
            </w:r>
          </w:p>
        </w:tc>
        <w:tc>
          <w:tcPr>
            <w:tcW w:w="1361" w:type="dxa"/>
            <w:shd w:val="clear" w:color="auto" w:fill="auto"/>
          </w:tcPr>
          <w:p w:rsidR="000D0A9F" w:rsidRPr="0072343A" w:rsidRDefault="006209C2" w:rsidP="00D36760">
            <w:pPr>
              <w:keepNext/>
              <w:ind w:right="260"/>
              <w:jc w:val="right"/>
            </w:pPr>
            <w:r w:rsidRPr="0072343A">
              <w:t>1.</w:t>
            </w:r>
            <w:r w:rsidR="000D0A9F" w:rsidRPr="0072343A">
              <w:t>416</w:t>
            </w:r>
          </w:p>
        </w:tc>
        <w:tc>
          <w:tcPr>
            <w:tcW w:w="1361" w:type="dxa"/>
            <w:shd w:val="clear" w:color="auto" w:fill="auto"/>
          </w:tcPr>
          <w:p w:rsidR="000D0A9F" w:rsidRPr="0072343A" w:rsidRDefault="006209C2" w:rsidP="00D36760">
            <w:pPr>
              <w:keepNext/>
              <w:ind w:right="260"/>
              <w:jc w:val="right"/>
            </w:pPr>
            <w:r w:rsidRPr="0072343A">
              <w:t>1.</w:t>
            </w:r>
            <w:r w:rsidR="000D0A9F" w:rsidRPr="0072343A">
              <w:t>368</w:t>
            </w:r>
          </w:p>
        </w:tc>
      </w:tr>
    </w:tbl>
    <w:p w:rsidR="000D0A9F" w:rsidRPr="0072343A" w:rsidRDefault="000D0A9F" w:rsidP="00D36760">
      <w:pPr>
        <w:keepNext/>
        <w:rPr>
          <w:szCs w:val="22"/>
        </w:rPr>
      </w:pPr>
    </w:p>
    <w:p w:rsidR="000D0A9F" w:rsidRPr="0072343A" w:rsidRDefault="00260BBF" w:rsidP="0067000D">
      <w:pPr>
        <w:keepNext/>
        <w:rPr>
          <w:b/>
          <w:bCs/>
          <w:szCs w:val="22"/>
        </w:rPr>
      </w:pPr>
      <w:r w:rsidRPr="0072343A">
        <w:rPr>
          <w:b/>
          <w:bCs/>
          <w:szCs w:val="22"/>
        </w:rPr>
        <w:t xml:space="preserve">Número de solicitudes </w:t>
      </w:r>
      <w:r w:rsidR="007032EF">
        <w:rPr>
          <w:b/>
          <w:bCs/>
          <w:szCs w:val="22"/>
        </w:rPr>
        <w:t xml:space="preserve">de patente </w:t>
      </w:r>
      <w:r w:rsidRPr="0072343A">
        <w:rPr>
          <w:b/>
          <w:bCs/>
          <w:szCs w:val="22"/>
        </w:rPr>
        <w:t>nacional recibidas</w:t>
      </w:r>
      <w:r w:rsidR="000D0A9F" w:rsidRPr="0072343A">
        <w:rPr>
          <w:b/>
          <w:bCs/>
          <w:szCs w:val="22"/>
        </w:rPr>
        <w:t xml:space="preserve"> – </w:t>
      </w:r>
      <w:r w:rsidRPr="0072343A">
        <w:rPr>
          <w:b/>
          <w:bCs/>
          <w:szCs w:val="22"/>
        </w:rPr>
        <w:t>según la vía utilizada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0D0A9F" w:rsidRPr="0072343A" w:rsidTr="008C4B6B">
        <w:trPr>
          <w:cantSplit/>
        </w:trPr>
        <w:tc>
          <w:tcPr>
            <w:tcW w:w="2518" w:type="dxa"/>
            <w:tcBorders>
              <w:tl2br w:val="single" w:sz="4" w:space="0" w:color="auto"/>
            </w:tcBorders>
            <w:shd w:val="clear" w:color="auto" w:fill="auto"/>
          </w:tcPr>
          <w:p w:rsidR="000D0A9F" w:rsidRPr="0072343A" w:rsidRDefault="000D0A9F" w:rsidP="008C4B6B">
            <w:pPr>
              <w:jc w:val="right"/>
              <w:rPr>
                <w:b/>
                <w:bCs/>
                <w:szCs w:val="22"/>
              </w:rPr>
            </w:pPr>
          </w:p>
          <w:p w:rsidR="000D0A9F" w:rsidRPr="0072343A" w:rsidRDefault="00260BBF" w:rsidP="008C4B6B">
            <w:pPr>
              <w:jc w:val="right"/>
              <w:rPr>
                <w:b/>
                <w:bCs/>
                <w:szCs w:val="22"/>
              </w:rPr>
            </w:pPr>
            <w:r w:rsidRPr="0072343A">
              <w:rPr>
                <w:b/>
                <w:bCs/>
                <w:szCs w:val="22"/>
              </w:rPr>
              <w:t>Año</w:t>
            </w:r>
          </w:p>
          <w:p w:rsidR="000D0A9F" w:rsidRPr="0072343A" w:rsidRDefault="00260BBF" w:rsidP="008C4B6B">
            <w:pPr>
              <w:rPr>
                <w:b/>
                <w:bCs/>
                <w:szCs w:val="22"/>
              </w:rPr>
            </w:pPr>
            <w:r w:rsidRPr="0072343A">
              <w:rPr>
                <w:b/>
                <w:bCs/>
                <w:szCs w:val="22"/>
              </w:rPr>
              <w:t>Vía</w:t>
            </w:r>
          </w:p>
        </w:tc>
        <w:tc>
          <w:tcPr>
            <w:tcW w:w="1360" w:type="dxa"/>
            <w:shd w:val="clear" w:color="auto" w:fill="auto"/>
            <w:vAlign w:val="center"/>
          </w:tcPr>
          <w:p w:rsidR="000D0A9F" w:rsidRPr="0072343A" w:rsidRDefault="000D0A9F" w:rsidP="008C4B6B">
            <w:pPr>
              <w:jc w:val="center"/>
              <w:rPr>
                <w:szCs w:val="22"/>
              </w:rPr>
            </w:pPr>
            <w:r w:rsidRPr="0072343A">
              <w:rPr>
                <w:szCs w:val="22"/>
              </w:rPr>
              <w:t>2012</w:t>
            </w:r>
          </w:p>
        </w:tc>
        <w:tc>
          <w:tcPr>
            <w:tcW w:w="1361" w:type="dxa"/>
            <w:shd w:val="clear" w:color="auto" w:fill="auto"/>
            <w:vAlign w:val="center"/>
          </w:tcPr>
          <w:p w:rsidR="000D0A9F" w:rsidRPr="0072343A" w:rsidRDefault="000D0A9F" w:rsidP="008C4B6B">
            <w:pPr>
              <w:jc w:val="center"/>
              <w:rPr>
                <w:szCs w:val="22"/>
              </w:rPr>
            </w:pPr>
            <w:r w:rsidRPr="0072343A">
              <w:rPr>
                <w:szCs w:val="22"/>
              </w:rPr>
              <w:t>2013</w:t>
            </w:r>
          </w:p>
        </w:tc>
        <w:tc>
          <w:tcPr>
            <w:tcW w:w="1361" w:type="dxa"/>
            <w:shd w:val="clear" w:color="auto" w:fill="auto"/>
            <w:vAlign w:val="center"/>
          </w:tcPr>
          <w:p w:rsidR="000D0A9F" w:rsidRPr="0072343A" w:rsidRDefault="000D0A9F" w:rsidP="008C4B6B">
            <w:pPr>
              <w:jc w:val="center"/>
              <w:rPr>
                <w:szCs w:val="22"/>
              </w:rPr>
            </w:pPr>
            <w:r w:rsidRPr="0072343A">
              <w:rPr>
                <w:szCs w:val="22"/>
              </w:rPr>
              <w:t>2014</w:t>
            </w:r>
          </w:p>
        </w:tc>
        <w:tc>
          <w:tcPr>
            <w:tcW w:w="1361" w:type="dxa"/>
            <w:shd w:val="clear" w:color="auto" w:fill="auto"/>
            <w:vAlign w:val="center"/>
          </w:tcPr>
          <w:p w:rsidR="000D0A9F" w:rsidRPr="0072343A" w:rsidRDefault="000D0A9F" w:rsidP="008C4B6B">
            <w:pPr>
              <w:jc w:val="center"/>
              <w:rPr>
                <w:szCs w:val="22"/>
              </w:rPr>
            </w:pPr>
            <w:r w:rsidRPr="0072343A">
              <w:rPr>
                <w:szCs w:val="22"/>
              </w:rPr>
              <w:t>2015</w:t>
            </w:r>
          </w:p>
        </w:tc>
        <w:tc>
          <w:tcPr>
            <w:tcW w:w="1361" w:type="dxa"/>
            <w:shd w:val="clear" w:color="auto" w:fill="auto"/>
            <w:vAlign w:val="center"/>
          </w:tcPr>
          <w:p w:rsidR="000D0A9F" w:rsidRPr="0072343A" w:rsidRDefault="000D0A9F" w:rsidP="008C4B6B">
            <w:pPr>
              <w:jc w:val="center"/>
              <w:rPr>
                <w:szCs w:val="22"/>
              </w:rPr>
            </w:pPr>
            <w:r w:rsidRPr="0072343A">
              <w:rPr>
                <w:szCs w:val="22"/>
              </w:rPr>
              <w:t>2016</w:t>
            </w:r>
          </w:p>
        </w:tc>
      </w:tr>
      <w:tr w:rsidR="000D0A9F" w:rsidRPr="0072343A" w:rsidTr="008C4B6B">
        <w:trPr>
          <w:cantSplit/>
        </w:trPr>
        <w:tc>
          <w:tcPr>
            <w:tcW w:w="2518" w:type="dxa"/>
            <w:shd w:val="clear" w:color="auto" w:fill="auto"/>
          </w:tcPr>
          <w:p w:rsidR="000D0A9F" w:rsidRPr="0072343A" w:rsidRDefault="00260BBF" w:rsidP="00260BBF">
            <w:pPr>
              <w:rPr>
                <w:szCs w:val="22"/>
              </w:rPr>
            </w:pPr>
            <w:r w:rsidRPr="0072343A">
              <w:rPr>
                <w:szCs w:val="22"/>
              </w:rPr>
              <w:t>Primera presentación nacional</w:t>
            </w:r>
            <w:r w:rsidR="000D0A9F" w:rsidRPr="0072343A">
              <w:rPr>
                <w:szCs w:val="22"/>
              </w:rPr>
              <w:t>/</w:t>
            </w:r>
            <w:r w:rsidR="006B36DD">
              <w:rPr>
                <w:szCs w:val="22"/>
              </w:rPr>
              <w:t xml:space="preserve"> prioridad </w:t>
            </w:r>
            <w:r w:rsidRPr="0072343A">
              <w:rPr>
                <w:szCs w:val="22"/>
              </w:rPr>
              <w:t>na</w:t>
            </w:r>
            <w:r w:rsidR="006B36DD">
              <w:rPr>
                <w:szCs w:val="22"/>
              </w:rPr>
              <w:t>cional</w:t>
            </w:r>
          </w:p>
        </w:tc>
        <w:tc>
          <w:tcPr>
            <w:tcW w:w="1360" w:type="dxa"/>
            <w:shd w:val="clear" w:color="auto" w:fill="auto"/>
          </w:tcPr>
          <w:p w:rsidR="000D0A9F" w:rsidRPr="0072343A" w:rsidRDefault="00260BBF" w:rsidP="008C4B6B">
            <w:pPr>
              <w:ind w:right="260"/>
              <w:jc w:val="right"/>
            </w:pPr>
            <w:r w:rsidRPr="0072343A">
              <w:t>1.</w:t>
            </w:r>
            <w:r w:rsidR="000D0A9F" w:rsidRPr="0072343A">
              <w:t>740</w:t>
            </w:r>
          </w:p>
        </w:tc>
        <w:tc>
          <w:tcPr>
            <w:tcW w:w="1361" w:type="dxa"/>
            <w:shd w:val="clear" w:color="auto" w:fill="auto"/>
          </w:tcPr>
          <w:p w:rsidR="000D0A9F" w:rsidRPr="0072343A" w:rsidRDefault="00260BBF" w:rsidP="008C4B6B">
            <w:pPr>
              <w:ind w:right="260"/>
              <w:jc w:val="right"/>
            </w:pPr>
            <w:r w:rsidRPr="0072343A">
              <w:t>1.</w:t>
            </w:r>
            <w:r w:rsidR="000D0A9F" w:rsidRPr="0072343A">
              <w:t>639</w:t>
            </w:r>
          </w:p>
        </w:tc>
        <w:tc>
          <w:tcPr>
            <w:tcW w:w="1361" w:type="dxa"/>
            <w:shd w:val="clear" w:color="auto" w:fill="auto"/>
          </w:tcPr>
          <w:p w:rsidR="000D0A9F" w:rsidRPr="0072343A" w:rsidRDefault="00260BBF" w:rsidP="008C4B6B">
            <w:pPr>
              <w:ind w:right="260"/>
              <w:jc w:val="right"/>
            </w:pPr>
            <w:r w:rsidRPr="0072343A">
              <w:t>1.</w:t>
            </w:r>
            <w:r w:rsidR="000D0A9F" w:rsidRPr="0072343A">
              <w:t>474</w:t>
            </w:r>
          </w:p>
        </w:tc>
        <w:tc>
          <w:tcPr>
            <w:tcW w:w="1361" w:type="dxa"/>
            <w:shd w:val="clear" w:color="auto" w:fill="auto"/>
          </w:tcPr>
          <w:p w:rsidR="000D0A9F" w:rsidRPr="0072343A" w:rsidRDefault="00260BBF" w:rsidP="008C4B6B">
            <w:pPr>
              <w:ind w:right="260"/>
              <w:jc w:val="right"/>
            </w:pPr>
            <w:r w:rsidRPr="0072343A">
              <w:t>1.</w:t>
            </w:r>
            <w:r w:rsidR="000D0A9F" w:rsidRPr="0072343A">
              <w:t>333</w:t>
            </w:r>
          </w:p>
        </w:tc>
        <w:tc>
          <w:tcPr>
            <w:tcW w:w="1361" w:type="dxa"/>
            <w:shd w:val="clear" w:color="auto" w:fill="auto"/>
          </w:tcPr>
          <w:p w:rsidR="000D0A9F" w:rsidRPr="0072343A" w:rsidRDefault="00260BBF" w:rsidP="008C4B6B">
            <w:pPr>
              <w:ind w:right="260"/>
              <w:jc w:val="right"/>
            </w:pPr>
            <w:r w:rsidRPr="0072343A">
              <w:t>1.</w:t>
            </w:r>
            <w:r w:rsidR="000D0A9F" w:rsidRPr="0072343A">
              <w:t>313</w:t>
            </w:r>
          </w:p>
        </w:tc>
      </w:tr>
      <w:tr w:rsidR="000D0A9F" w:rsidRPr="0072343A" w:rsidTr="008C4B6B">
        <w:trPr>
          <w:cantSplit/>
        </w:trPr>
        <w:tc>
          <w:tcPr>
            <w:tcW w:w="2518" w:type="dxa"/>
            <w:shd w:val="clear" w:color="auto" w:fill="auto"/>
          </w:tcPr>
          <w:p w:rsidR="000D0A9F" w:rsidRPr="0072343A" w:rsidRDefault="00260BBF" w:rsidP="008C4B6B">
            <w:pPr>
              <w:rPr>
                <w:szCs w:val="22"/>
              </w:rPr>
            </w:pPr>
            <w:r w:rsidRPr="0072343A">
              <w:rPr>
                <w:szCs w:val="22"/>
              </w:rPr>
              <w:t>Prioridad por la vía de París</w:t>
            </w:r>
          </w:p>
        </w:tc>
        <w:tc>
          <w:tcPr>
            <w:tcW w:w="1360" w:type="dxa"/>
            <w:shd w:val="clear" w:color="auto" w:fill="auto"/>
          </w:tcPr>
          <w:p w:rsidR="000D0A9F" w:rsidRPr="0072343A" w:rsidRDefault="000D0A9F" w:rsidP="008C4B6B">
            <w:pPr>
              <w:ind w:right="260"/>
              <w:jc w:val="right"/>
            </w:pPr>
            <w:r w:rsidRPr="0072343A">
              <w:t>87</w:t>
            </w:r>
          </w:p>
        </w:tc>
        <w:tc>
          <w:tcPr>
            <w:tcW w:w="1361" w:type="dxa"/>
            <w:shd w:val="clear" w:color="auto" w:fill="auto"/>
          </w:tcPr>
          <w:p w:rsidR="000D0A9F" w:rsidRPr="0072343A" w:rsidRDefault="000D0A9F" w:rsidP="008C4B6B">
            <w:pPr>
              <w:ind w:right="260"/>
              <w:jc w:val="right"/>
            </w:pPr>
            <w:r w:rsidRPr="0072343A">
              <w:t>98</w:t>
            </w:r>
          </w:p>
        </w:tc>
        <w:tc>
          <w:tcPr>
            <w:tcW w:w="1361" w:type="dxa"/>
            <w:shd w:val="clear" w:color="auto" w:fill="auto"/>
          </w:tcPr>
          <w:p w:rsidR="000D0A9F" w:rsidRPr="0072343A" w:rsidRDefault="000D0A9F" w:rsidP="008C4B6B">
            <w:pPr>
              <w:ind w:right="260"/>
              <w:jc w:val="right"/>
            </w:pPr>
            <w:r w:rsidRPr="0072343A">
              <w:t>71</w:t>
            </w:r>
          </w:p>
        </w:tc>
        <w:tc>
          <w:tcPr>
            <w:tcW w:w="1361" w:type="dxa"/>
            <w:shd w:val="clear" w:color="auto" w:fill="auto"/>
          </w:tcPr>
          <w:p w:rsidR="000D0A9F" w:rsidRPr="0072343A" w:rsidRDefault="000D0A9F" w:rsidP="008C4B6B">
            <w:pPr>
              <w:ind w:right="260"/>
              <w:jc w:val="right"/>
            </w:pPr>
            <w:r w:rsidRPr="0072343A">
              <w:t>83</w:t>
            </w:r>
          </w:p>
        </w:tc>
        <w:tc>
          <w:tcPr>
            <w:tcW w:w="1361" w:type="dxa"/>
            <w:shd w:val="clear" w:color="auto" w:fill="auto"/>
          </w:tcPr>
          <w:p w:rsidR="000D0A9F" w:rsidRPr="0072343A" w:rsidRDefault="000D0A9F" w:rsidP="008C4B6B">
            <w:pPr>
              <w:ind w:right="260"/>
              <w:jc w:val="right"/>
            </w:pPr>
            <w:r w:rsidRPr="0072343A">
              <w:t>55</w:t>
            </w:r>
          </w:p>
        </w:tc>
      </w:tr>
      <w:tr w:rsidR="000D0A9F" w:rsidRPr="0072343A" w:rsidTr="008C4B6B">
        <w:trPr>
          <w:cantSplit/>
        </w:trPr>
        <w:tc>
          <w:tcPr>
            <w:tcW w:w="2518" w:type="dxa"/>
            <w:shd w:val="clear" w:color="auto" w:fill="auto"/>
          </w:tcPr>
          <w:p w:rsidR="000D0A9F" w:rsidRPr="0072343A" w:rsidRDefault="00260BBF" w:rsidP="00260BBF">
            <w:pPr>
              <w:rPr>
                <w:szCs w:val="22"/>
              </w:rPr>
            </w:pPr>
            <w:r w:rsidRPr="0072343A">
              <w:rPr>
                <w:szCs w:val="22"/>
              </w:rPr>
              <w:t>Entrada en la fase nacional del PCT</w:t>
            </w:r>
          </w:p>
        </w:tc>
        <w:tc>
          <w:tcPr>
            <w:tcW w:w="1360" w:type="dxa"/>
            <w:shd w:val="clear" w:color="auto" w:fill="auto"/>
          </w:tcPr>
          <w:p w:rsidR="000D0A9F" w:rsidRPr="0072343A" w:rsidRDefault="000D0A9F" w:rsidP="008C4B6B">
            <w:pPr>
              <w:ind w:right="260"/>
              <w:jc w:val="right"/>
            </w:pPr>
            <w:r w:rsidRPr="0072343A">
              <w:t>47</w:t>
            </w:r>
          </w:p>
        </w:tc>
        <w:tc>
          <w:tcPr>
            <w:tcW w:w="1361" w:type="dxa"/>
            <w:shd w:val="clear" w:color="auto" w:fill="auto"/>
          </w:tcPr>
          <w:p w:rsidR="000D0A9F" w:rsidRPr="0072343A" w:rsidRDefault="000D0A9F" w:rsidP="008C4B6B">
            <w:pPr>
              <w:ind w:right="260"/>
              <w:jc w:val="right"/>
            </w:pPr>
            <w:r w:rsidRPr="0072343A">
              <w:t>38</w:t>
            </w:r>
          </w:p>
        </w:tc>
        <w:tc>
          <w:tcPr>
            <w:tcW w:w="1361" w:type="dxa"/>
            <w:shd w:val="clear" w:color="auto" w:fill="auto"/>
          </w:tcPr>
          <w:p w:rsidR="000D0A9F" w:rsidRPr="0072343A" w:rsidRDefault="000D0A9F" w:rsidP="008C4B6B">
            <w:pPr>
              <w:ind w:right="260"/>
              <w:jc w:val="right"/>
            </w:pPr>
            <w:r w:rsidRPr="0072343A">
              <w:t>41</w:t>
            </w:r>
          </w:p>
        </w:tc>
        <w:tc>
          <w:tcPr>
            <w:tcW w:w="1361" w:type="dxa"/>
            <w:shd w:val="clear" w:color="auto" w:fill="auto"/>
          </w:tcPr>
          <w:p w:rsidR="000D0A9F" w:rsidRPr="0072343A" w:rsidRDefault="000D0A9F" w:rsidP="008C4B6B">
            <w:pPr>
              <w:ind w:right="260"/>
              <w:jc w:val="right"/>
            </w:pPr>
            <w:r w:rsidRPr="0072343A">
              <w:t>43</w:t>
            </w:r>
          </w:p>
        </w:tc>
        <w:tc>
          <w:tcPr>
            <w:tcW w:w="1361" w:type="dxa"/>
            <w:shd w:val="clear" w:color="auto" w:fill="auto"/>
          </w:tcPr>
          <w:p w:rsidR="000D0A9F" w:rsidRPr="0072343A" w:rsidRDefault="000D0A9F" w:rsidP="008C4B6B">
            <w:pPr>
              <w:ind w:right="260"/>
              <w:jc w:val="right"/>
            </w:pPr>
            <w:r w:rsidRPr="0072343A">
              <w:t>27</w:t>
            </w:r>
          </w:p>
        </w:tc>
      </w:tr>
    </w:tbl>
    <w:p w:rsidR="000D0A9F" w:rsidRPr="0072343A" w:rsidRDefault="000D0A9F" w:rsidP="000D0A9F">
      <w:pPr>
        <w:rPr>
          <w:szCs w:val="22"/>
        </w:rPr>
      </w:pPr>
    </w:p>
    <w:p w:rsidR="000D0A9F" w:rsidRPr="0072343A" w:rsidRDefault="00260BBF" w:rsidP="000D0A9F">
      <w:pPr>
        <w:rPr>
          <w:b/>
          <w:bCs/>
          <w:szCs w:val="22"/>
        </w:rPr>
      </w:pPr>
      <w:r w:rsidRPr="0072343A">
        <w:rPr>
          <w:b/>
          <w:bCs/>
          <w:szCs w:val="22"/>
        </w:rPr>
        <w:t xml:space="preserve">Número de solicitudes nacionales recibidas en calidad de Oficina receptora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0D0A9F" w:rsidRPr="0072343A" w:rsidTr="008C4B6B">
        <w:trPr>
          <w:cantSplit/>
        </w:trPr>
        <w:tc>
          <w:tcPr>
            <w:tcW w:w="2518" w:type="dxa"/>
            <w:tcBorders>
              <w:tl2br w:val="single" w:sz="4" w:space="0" w:color="auto"/>
            </w:tcBorders>
            <w:shd w:val="clear" w:color="auto" w:fill="auto"/>
          </w:tcPr>
          <w:p w:rsidR="000D0A9F" w:rsidRPr="0072343A" w:rsidRDefault="000D0A9F" w:rsidP="008C4B6B">
            <w:pPr>
              <w:jc w:val="right"/>
              <w:rPr>
                <w:b/>
                <w:bCs/>
                <w:szCs w:val="22"/>
              </w:rPr>
            </w:pPr>
          </w:p>
          <w:p w:rsidR="000D0A9F" w:rsidRPr="0072343A" w:rsidRDefault="00260BBF" w:rsidP="008C4B6B">
            <w:pPr>
              <w:jc w:val="right"/>
              <w:rPr>
                <w:b/>
                <w:bCs/>
                <w:szCs w:val="22"/>
              </w:rPr>
            </w:pPr>
            <w:r w:rsidRPr="0072343A">
              <w:rPr>
                <w:b/>
                <w:bCs/>
                <w:szCs w:val="22"/>
              </w:rPr>
              <w:t>Año</w:t>
            </w:r>
          </w:p>
          <w:p w:rsidR="000D0A9F" w:rsidRPr="0072343A" w:rsidRDefault="00260BBF" w:rsidP="008C4B6B">
            <w:pPr>
              <w:rPr>
                <w:b/>
                <w:bCs/>
                <w:szCs w:val="22"/>
              </w:rPr>
            </w:pPr>
            <w:r w:rsidRPr="0072343A">
              <w:rPr>
                <w:b/>
                <w:bCs/>
                <w:szCs w:val="22"/>
              </w:rPr>
              <w:t>Campo técnico</w:t>
            </w:r>
          </w:p>
        </w:tc>
        <w:tc>
          <w:tcPr>
            <w:tcW w:w="1360" w:type="dxa"/>
            <w:shd w:val="clear" w:color="auto" w:fill="auto"/>
            <w:vAlign w:val="center"/>
          </w:tcPr>
          <w:p w:rsidR="000D0A9F" w:rsidRPr="0072343A" w:rsidRDefault="000D0A9F" w:rsidP="008C4B6B">
            <w:pPr>
              <w:jc w:val="center"/>
              <w:rPr>
                <w:szCs w:val="22"/>
              </w:rPr>
            </w:pPr>
            <w:r w:rsidRPr="0072343A">
              <w:rPr>
                <w:szCs w:val="22"/>
              </w:rPr>
              <w:t>2012</w:t>
            </w:r>
          </w:p>
        </w:tc>
        <w:tc>
          <w:tcPr>
            <w:tcW w:w="1361" w:type="dxa"/>
            <w:shd w:val="clear" w:color="auto" w:fill="auto"/>
            <w:vAlign w:val="center"/>
          </w:tcPr>
          <w:p w:rsidR="000D0A9F" w:rsidRPr="0072343A" w:rsidRDefault="000D0A9F" w:rsidP="008C4B6B">
            <w:pPr>
              <w:jc w:val="center"/>
              <w:rPr>
                <w:szCs w:val="22"/>
              </w:rPr>
            </w:pPr>
            <w:r w:rsidRPr="0072343A">
              <w:rPr>
                <w:szCs w:val="22"/>
              </w:rPr>
              <w:t>2013</w:t>
            </w:r>
          </w:p>
        </w:tc>
        <w:tc>
          <w:tcPr>
            <w:tcW w:w="1361" w:type="dxa"/>
            <w:shd w:val="clear" w:color="auto" w:fill="auto"/>
            <w:vAlign w:val="center"/>
          </w:tcPr>
          <w:p w:rsidR="000D0A9F" w:rsidRPr="0072343A" w:rsidRDefault="000D0A9F" w:rsidP="008C4B6B">
            <w:pPr>
              <w:jc w:val="center"/>
              <w:rPr>
                <w:szCs w:val="22"/>
              </w:rPr>
            </w:pPr>
          </w:p>
          <w:p w:rsidR="000D0A9F" w:rsidRPr="0072343A" w:rsidRDefault="000D0A9F" w:rsidP="008C4B6B">
            <w:pPr>
              <w:jc w:val="center"/>
              <w:rPr>
                <w:szCs w:val="22"/>
              </w:rPr>
            </w:pPr>
            <w:r w:rsidRPr="0072343A">
              <w:rPr>
                <w:szCs w:val="22"/>
              </w:rPr>
              <w:t>2014</w:t>
            </w:r>
          </w:p>
          <w:p w:rsidR="000D0A9F" w:rsidRPr="0072343A" w:rsidRDefault="000D0A9F" w:rsidP="008C4B6B">
            <w:pPr>
              <w:jc w:val="center"/>
              <w:rPr>
                <w:szCs w:val="22"/>
              </w:rPr>
            </w:pPr>
          </w:p>
        </w:tc>
        <w:tc>
          <w:tcPr>
            <w:tcW w:w="1361" w:type="dxa"/>
            <w:shd w:val="clear" w:color="auto" w:fill="auto"/>
            <w:vAlign w:val="center"/>
          </w:tcPr>
          <w:p w:rsidR="000D0A9F" w:rsidRPr="0072343A" w:rsidRDefault="000D0A9F" w:rsidP="008C4B6B">
            <w:pPr>
              <w:jc w:val="center"/>
              <w:rPr>
                <w:szCs w:val="22"/>
              </w:rPr>
            </w:pPr>
            <w:r w:rsidRPr="0072343A">
              <w:rPr>
                <w:szCs w:val="22"/>
              </w:rPr>
              <w:t>2015</w:t>
            </w:r>
          </w:p>
        </w:tc>
        <w:tc>
          <w:tcPr>
            <w:tcW w:w="1361" w:type="dxa"/>
            <w:shd w:val="clear" w:color="auto" w:fill="auto"/>
            <w:vAlign w:val="center"/>
          </w:tcPr>
          <w:p w:rsidR="000D0A9F" w:rsidRPr="0072343A" w:rsidRDefault="000D0A9F" w:rsidP="008C4B6B">
            <w:pPr>
              <w:jc w:val="center"/>
              <w:rPr>
                <w:szCs w:val="22"/>
              </w:rPr>
            </w:pPr>
            <w:r w:rsidRPr="0072343A">
              <w:rPr>
                <w:szCs w:val="22"/>
              </w:rPr>
              <w:t>2016</w:t>
            </w:r>
          </w:p>
        </w:tc>
      </w:tr>
      <w:tr w:rsidR="00260BBF" w:rsidRPr="0072343A" w:rsidTr="008C4B6B">
        <w:trPr>
          <w:cantSplit/>
        </w:trPr>
        <w:tc>
          <w:tcPr>
            <w:tcW w:w="2518" w:type="dxa"/>
            <w:shd w:val="clear" w:color="auto" w:fill="auto"/>
          </w:tcPr>
          <w:p w:rsidR="00260BBF" w:rsidRPr="0072343A" w:rsidRDefault="00260BBF" w:rsidP="0032451C">
            <w:r w:rsidRPr="0072343A">
              <w:t>Mecánica</w:t>
            </w:r>
          </w:p>
        </w:tc>
        <w:tc>
          <w:tcPr>
            <w:tcW w:w="1360"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r>
      <w:tr w:rsidR="00260BBF" w:rsidRPr="0072343A" w:rsidTr="008C4B6B">
        <w:trPr>
          <w:cantSplit/>
        </w:trPr>
        <w:tc>
          <w:tcPr>
            <w:tcW w:w="2518" w:type="dxa"/>
            <w:shd w:val="clear" w:color="auto" w:fill="auto"/>
          </w:tcPr>
          <w:p w:rsidR="00260BBF" w:rsidRPr="0072343A" w:rsidRDefault="00260BBF" w:rsidP="0032451C">
            <w:r w:rsidRPr="0072343A">
              <w:t>Electricidad/electrónica</w:t>
            </w:r>
          </w:p>
        </w:tc>
        <w:tc>
          <w:tcPr>
            <w:tcW w:w="1360"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r>
      <w:tr w:rsidR="00260BBF" w:rsidRPr="0072343A" w:rsidTr="008C4B6B">
        <w:trPr>
          <w:cantSplit/>
        </w:trPr>
        <w:tc>
          <w:tcPr>
            <w:tcW w:w="2518" w:type="dxa"/>
            <w:shd w:val="clear" w:color="auto" w:fill="auto"/>
          </w:tcPr>
          <w:p w:rsidR="00260BBF" w:rsidRPr="0072343A" w:rsidRDefault="00260BBF" w:rsidP="0032451C">
            <w:r w:rsidRPr="0072343A">
              <w:t>Química</w:t>
            </w:r>
          </w:p>
        </w:tc>
        <w:tc>
          <w:tcPr>
            <w:tcW w:w="1360"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r>
      <w:tr w:rsidR="00260BBF" w:rsidRPr="0072343A" w:rsidTr="008C4B6B">
        <w:trPr>
          <w:cantSplit/>
        </w:trPr>
        <w:tc>
          <w:tcPr>
            <w:tcW w:w="2518" w:type="dxa"/>
            <w:shd w:val="clear" w:color="auto" w:fill="auto"/>
          </w:tcPr>
          <w:p w:rsidR="00260BBF" w:rsidRPr="0072343A" w:rsidRDefault="00260BBF" w:rsidP="0032451C">
            <w:r w:rsidRPr="0072343A">
              <w:t>Biotecnología</w:t>
            </w:r>
          </w:p>
        </w:tc>
        <w:tc>
          <w:tcPr>
            <w:tcW w:w="1360"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c>
          <w:tcPr>
            <w:tcW w:w="1361" w:type="dxa"/>
            <w:shd w:val="clear" w:color="auto" w:fill="auto"/>
          </w:tcPr>
          <w:p w:rsidR="00260BBF" w:rsidRPr="0072343A" w:rsidRDefault="00260BBF" w:rsidP="008C4B6B"/>
        </w:tc>
      </w:tr>
      <w:tr w:rsidR="000D0A9F" w:rsidRPr="0072343A" w:rsidTr="008C4B6B">
        <w:trPr>
          <w:cantSplit/>
        </w:trPr>
        <w:tc>
          <w:tcPr>
            <w:tcW w:w="2518" w:type="dxa"/>
            <w:shd w:val="clear" w:color="auto" w:fill="auto"/>
          </w:tcPr>
          <w:p w:rsidR="000D0A9F" w:rsidRPr="0072343A" w:rsidRDefault="000D0A9F" w:rsidP="008C4B6B">
            <w:pPr>
              <w:rPr>
                <w:i/>
              </w:rPr>
            </w:pPr>
            <w:r w:rsidRPr="0072343A">
              <w:rPr>
                <w:i/>
              </w:rPr>
              <w:t>Total</w:t>
            </w:r>
          </w:p>
        </w:tc>
        <w:tc>
          <w:tcPr>
            <w:tcW w:w="1360" w:type="dxa"/>
            <w:shd w:val="clear" w:color="auto" w:fill="auto"/>
          </w:tcPr>
          <w:p w:rsidR="000D0A9F" w:rsidRPr="0072343A" w:rsidRDefault="00260BBF" w:rsidP="008C4B6B">
            <w:pPr>
              <w:ind w:right="260"/>
              <w:jc w:val="right"/>
              <w:rPr>
                <w:i/>
              </w:rPr>
            </w:pPr>
            <w:r w:rsidRPr="0072343A">
              <w:rPr>
                <w:i/>
              </w:rPr>
              <w:t>1.</w:t>
            </w:r>
            <w:r w:rsidR="000D0A9F" w:rsidRPr="0072343A">
              <w:rPr>
                <w:i/>
              </w:rPr>
              <w:t>358</w:t>
            </w:r>
          </w:p>
        </w:tc>
        <w:tc>
          <w:tcPr>
            <w:tcW w:w="1361" w:type="dxa"/>
            <w:shd w:val="clear" w:color="auto" w:fill="auto"/>
          </w:tcPr>
          <w:p w:rsidR="000D0A9F" w:rsidRPr="0072343A" w:rsidRDefault="00260BBF" w:rsidP="008C4B6B">
            <w:pPr>
              <w:ind w:right="260"/>
              <w:jc w:val="right"/>
              <w:rPr>
                <w:i/>
              </w:rPr>
            </w:pPr>
            <w:r w:rsidRPr="0072343A">
              <w:rPr>
                <w:i/>
              </w:rPr>
              <w:t>1.</w:t>
            </w:r>
            <w:r w:rsidR="000D0A9F" w:rsidRPr="0072343A">
              <w:rPr>
                <w:i/>
              </w:rPr>
              <w:t>265</w:t>
            </w:r>
          </w:p>
        </w:tc>
        <w:tc>
          <w:tcPr>
            <w:tcW w:w="1361" w:type="dxa"/>
            <w:shd w:val="clear" w:color="auto" w:fill="auto"/>
          </w:tcPr>
          <w:p w:rsidR="000D0A9F" w:rsidRPr="0072343A" w:rsidRDefault="00260BBF" w:rsidP="008C4B6B">
            <w:pPr>
              <w:ind w:right="260"/>
              <w:jc w:val="right"/>
              <w:rPr>
                <w:i/>
              </w:rPr>
            </w:pPr>
            <w:r w:rsidRPr="0072343A">
              <w:rPr>
                <w:i/>
              </w:rPr>
              <w:t>1.</w:t>
            </w:r>
            <w:r w:rsidR="000D0A9F" w:rsidRPr="0072343A">
              <w:rPr>
                <w:i/>
              </w:rPr>
              <w:t>112</w:t>
            </w:r>
          </w:p>
        </w:tc>
        <w:tc>
          <w:tcPr>
            <w:tcW w:w="1361" w:type="dxa"/>
            <w:shd w:val="clear" w:color="auto" w:fill="auto"/>
          </w:tcPr>
          <w:p w:rsidR="000D0A9F" w:rsidRPr="0072343A" w:rsidRDefault="00260BBF" w:rsidP="008C4B6B">
            <w:pPr>
              <w:ind w:right="260"/>
              <w:jc w:val="right"/>
              <w:rPr>
                <w:i/>
              </w:rPr>
            </w:pPr>
            <w:r w:rsidRPr="0072343A">
              <w:rPr>
                <w:i/>
              </w:rPr>
              <w:t>1.</w:t>
            </w:r>
            <w:r w:rsidR="000D0A9F" w:rsidRPr="0072343A">
              <w:rPr>
                <w:i/>
              </w:rPr>
              <w:t>005</w:t>
            </w:r>
          </w:p>
        </w:tc>
        <w:tc>
          <w:tcPr>
            <w:tcW w:w="1361" w:type="dxa"/>
            <w:shd w:val="clear" w:color="auto" w:fill="auto"/>
          </w:tcPr>
          <w:p w:rsidR="000D0A9F" w:rsidRPr="0072343A" w:rsidRDefault="000D0A9F" w:rsidP="008C4B6B">
            <w:pPr>
              <w:ind w:right="260"/>
              <w:jc w:val="right"/>
              <w:rPr>
                <w:i/>
              </w:rPr>
            </w:pPr>
            <w:r w:rsidRPr="0072343A">
              <w:rPr>
                <w:i/>
              </w:rPr>
              <w:t>969</w:t>
            </w:r>
          </w:p>
        </w:tc>
      </w:tr>
    </w:tbl>
    <w:p w:rsidR="000D0A9F" w:rsidRPr="0072343A" w:rsidRDefault="000D0A9F" w:rsidP="000D0A9F">
      <w:pPr>
        <w:rPr>
          <w:szCs w:val="22"/>
        </w:rPr>
      </w:pPr>
    </w:p>
    <w:p w:rsidR="000D0A9F" w:rsidRPr="0072343A" w:rsidRDefault="00260BBF" w:rsidP="000D0A9F">
      <w:pPr>
        <w:rPr>
          <w:szCs w:val="22"/>
        </w:rPr>
      </w:pPr>
      <w:r w:rsidRPr="0072343A">
        <w:rPr>
          <w:b/>
          <w:bCs/>
          <w:szCs w:val="22"/>
        </w:rPr>
        <w:t xml:space="preserve">Principales Oficinas/Estados </w:t>
      </w:r>
      <w:r w:rsidR="006B36DD" w:rsidRPr="00D77A27">
        <w:rPr>
          <w:b/>
          <w:bCs/>
        </w:rPr>
        <w:t>que son origen de las prioridades en las solicitudes nacionales:</w:t>
      </w:r>
    </w:p>
    <w:p w:rsidR="000D0A9F" w:rsidRPr="0072343A" w:rsidRDefault="000D0A9F" w:rsidP="000D0A9F"/>
    <w:p w:rsidR="000D0A9F" w:rsidRPr="0072343A" w:rsidRDefault="000D0A9F" w:rsidP="000D0A9F">
      <w:r w:rsidRPr="0072343A">
        <w:t>WO, EP, US, DE, CN, CA</w:t>
      </w:r>
    </w:p>
    <w:p w:rsidR="000D0A9F" w:rsidRPr="0072343A" w:rsidRDefault="000D0A9F" w:rsidP="000D0A9F"/>
    <w:p w:rsidR="000D0A9F" w:rsidRPr="0072343A" w:rsidRDefault="00260BBF" w:rsidP="000D0A9F">
      <w:pPr>
        <w:rPr>
          <w:b/>
          <w:bCs/>
          <w:szCs w:val="22"/>
        </w:rPr>
      </w:pPr>
      <w:r w:rsidRPr="0072343A">
        <w:rPr>
          <w:b/>
          <w:bCs/>
          <w:szCs w:val="22"/>
        </w:rPr>
        <w:t xml:space="preserve">Tiempo medio </w:t>
      </w:r>
      <w:r w:rsidR="006B36DD">
        <w:rPr>
          <w:b/>
          <w:bCs/>
          <w:szCs w:val="22"/>
        </w:rPr>
        <w:t>de</w:t>
      </w:r>
      <w:r w:rsidRPr="0072343A">
        <w:rPr>
          <w:b/>
          <w:bCs/>
          <w:szCs w:val="22"/>
        </w:rPr>
        <w:t xml:space="preserve"> tramitación de las patentes nacionales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0D0A9F" w:rsidRPr="0072343A" w:rsidTr="008C4B6B">
        <w:trPr>
          <w:cantSplit/>
        </w:trPr>
        <w:tc>
          <w:tcPr>
            <w:tcW w:w="2518" w:type="dxa"/>
            <w:shd w:val="clear" w:color="auto" w:fill="auto"/>
          </w:tcPr>
          <w:p w:rsidR="000D0A9F" w:rsidRPr="0072343A" w:rsidRDefault="000D0A9F" w:rsidP="00260BBF">
            <w:pPr>
              <w:rPr>
                <w:b/>
                <w:bCs/>
                <w:szCs w:val="22"/>
              </w:rPr>
            </w:pPr>
            <w:r w:rsidRPr="0072343A">
              <w:rPr>
                <w:b/>
                <w:bCs/>
                <w:szCs w:val="22"/>
              </w:rPr>
              <w:t>Indica</w:t>
            </w:r>
            <w:r w:rsidR="00260BBF" w:rsidRPr="0072343A">
              <w:rPr>
                <w:b/>
                <w:bCs/>
                <w:szCs w:val="22"/>
              </w:rPr>
              <w:t>dor</w:t>
            </w:r>
          </w:p>
        </w:tc>
        <w:tc>
          <w:tcPr>
            <w:tcW w:w="3402" w:type="dxa"/>
            <w:shd w:val="clear" w:color="auto" w:fill="auto"/>
          </w:tcPr>
          <w:p w:rsidR="000D0A9F" w:rsidRPr="0072343A" w:rsidRDefault="006B36DD" w:rsidP="006B36DD">
            <w:pPr>
              <w:rPr>
                <w:b/>
                <w:bCs/>
                <w:szCs w:val="22"/>
              </w:rPr>
            </w:pPr>
            <w:r>
              <w:rPr>
                <w:b/>
                <w:bCs/>
                <w:szCs w:val="22"/>
              </w:rPr>
              <w:t>Medida desde</w:t>
            </w:r>
          </w:p>
        </w:tc>
        <w:tc>
          <w:tcPr>
            <w:tcW w:w="3118" w:type="dxa"/>
            <w:shd w:val="clear" w:color="auto" w:fill="auto"/>
          </w:tcPr>
          <w:p w:rsidR="000D0A9F" w:rsidRPr="0072343A" w:rsidRDefault="00260BBF" w:rsidP="00260BBF">
            <w:pPr>
              <w:rPr>
                <w:b/>
                <w:bCs/>
                <w:szCs w:val="22"/>
              </w:rPr>
            </w:pPr>
            <w:r w:rsidRPr="0072343A">
              <w:rPr>
                <w:b/>
                <w:bCs/>
                <w:szCs w:val="22"/>
              </w:rPr>
              <w:t>Tiempo</w:t>
            </w:r>
            <w:r w:rsidR="000D0A9F" w:rsidRPr="0072343A">
              <w:rPr>
                <w:b/>
                <w:bCs/>
                <w:szCs w:val="22"/>
              </w:rPr>
              <w:t xml:space="preserve"> (m</w:t>
            </w:r>
            <w:r w:rsidRPr="0072343A">
              <w:rPr>
                <w:b/>
                <w:bCs/>
                <w:szCs w:val="22"/>
              </w:rPr>
              <w:t>ese</w:t>
            </w:r>
            <w:r w:rsidR="000D0A9F" w:rsidRPr="0072343A">
              <w:rPr>
                <w:b/>
                <w:bCs/>
                <w:szCs w:val="22"/>
              </w:rPr>
              <w:t>s)</w:t>
            </w:r>
          </w:p>
        </w:tc>
      </w:tr>
      <w:tr w:rsidR="000D0A9F" w:rsidRPr="0072343A" w:rsidTr="008C4B6B">
        <w:trPr>
          <w:cantSplit/>
        </w:trPr>
        <w:tc>
          <w:tcPr>
            <w:tcW w:w="2518" w:type="dxa"/>
            <w:shd w:val="clear" w:color="auto" w:fill="auto"/>
          </w:tcPr>
          <w:p w:rsidR="000D0A9F" w:rsidRPr="0072343A" w:rsidRDefault="00DB4C09" w:rsidP="008C4B6B">
            <w:pPr>
              <w:rPr>
                <w:szCs w:val="22"/>
              </w:rPr>
            </w:pPr>
            <w:r w:rsidRPr="0072343A">
              <w:rPr>
                <w:szCs w:val="22"/>
              </w:rPr>
              <w:t>Búsqueda</w:t>
            </w:r>
          </w:p>
        </w:tc>
        <w:tc>
          <w:tcPr>
            <w:tcW w:w="3402" w:type="dxa"/>
            <w:shd w:val="clear" w:color="auto" w:fill="auto"/>
          </w:tcPr>
          <w:p w:rsidR="000D0A9F" w:rsidRPr="0072343A" w:rsidRDefault="00DB4C09" w:rsidP="008C4B6B">
            <w:r w:rsidRPr="0072343A">
              <w:t>Presentación de la solicitud</w:t>
            </w:r>
          </w:p>
        </w:tc>
        <w:tc>
          <w:tcPr>
            <w:tcW w:w="3118" w:type="dxa"/>
            <w:shd w:val="clear" w:color="auto" w:fill="auto"/>
          </w:tcPr>
          <w:p w:rsidR="000D0A9F" w:rsidRPr="0072343A" w:rsidRDefault="000D0A9F" w:rsidP="008C4B6B">
            <w:pPr>
              <w:ind w:right="2082"/>
              <w:jc w:val="right"/>
            </w:pPr>
            <w:r w:rsidRPr="0072343A">
              <w:t xml:space="preserve">6 </w:t>
            </w:r>
          </w:p>
        </w:tc>
      </w:tr>
      <w:tr w:rsidR="00DB4C09" w:rsidRPr="0072343A" w:rsidTr="008C4B6B">
        <w:trPr>
          <w:cantSplit/>
        </w:trPr>
        <w:tc>
          <w:tcPr>
            <w:tcW w:w="2518" w:type="dxa"/>
            <w:shd w:val="clear" w:color="auto" w:fill="auto"/>
          </w:tcPr>
          <w:p w:rsidR="00DB4C09" w:rsidRPr="0072343A" w:rsidRDefault="00DB4C09" w:rsidP="008C4B6B">
            <w:pPr>
              <w:rPr>
                <w:szCs w:val="22"/>
              </w:rPr>
            </w:pPr>
            <w:r w:rsidRPr="0072343A">
              <w:rPr>
                <w:szCs w:val="22"/>
              </w:rPr>
              <w:t>Primer examen</w:t>
            </w:r>
          </w:p>
        </w:tc>
        <w:tc>
          <w:tcPr>
            <w:tcW w:w="3402" w:type="dxa"/>
            <w:shd w:val="clear" w:color="auto" w:fill="auto"/>
          </w:tcPr>
          <w:p w:rsidR="00DB4C09" w:rsidRPr="0072343A" w:rsidRDefault="00DB4C09" w:rsidP="0032451C">
            <w:r w:rsidRPr="0072343A">
              <w:t>Presentación de la solicitud</w:t>
            </w:r>
          </w:p>
        </w:tc>
        <w:tc>
          <w:tcPr>
            <w:tcW w:w="3118" w:type="dxa"/>
            <w:shd w:val="clear" w:color="auto" w:fill="auto"/>
          </w:tcPr>
          <w:p w:rsidR="00DB4C09" w:rsidRPr="0072343A" w:rsidRDefault="00DB4C09" w:rsidP="008C4B6B">
            <w:pPr>
              <w:ind w:right="2082"/>
              <w:jc w:val="right"/>
            </w:pPr>
            <w:r w:rsidRPr="0072343A">
              <w:t xml:space="preserve">6 </w:t>
            </w:r>
          </w:p>
        </w:tc>
      </w:tr>
      <w:tr w:rsidR="00DB4C09" w:rsidRPr="0072343A" w:rsidTr="008C4B6B">
        <w:trPr>
          <w:cantSplit/>
          <w:trHeight w:val="174"/>
        </w:trPr>
        <w:tc>
          <w:tcPr>
            <w:tcW w:w="2518" w:type="dxa"/>
            <w:shd w:val="clear" w:color="auto" w:fill="auto"/>
          </w:tcPr>
          <w:p w:rsidR="00DB4C09" w:rsidRPr="0072343A" w:rsidRDefault="00DB4C09" w:rsidP="008C4B6B">
            <w:pPr>
              <w:rPr>
                <w:szCs w:val="22"/>
              </w:rPr>
            </w:pPr>
            <w:r w:rsidRPr="0072343A">
              <w:rPr>
                <w:szCs w:val="22"/>
              </w:rPr>
              <w:t>Concesión</w:t>
            </w:r>
          </w:p>
        </w:tc>
        <w:tc>
          <w:tcPr>
            <w:tcW w:w="3402" w:type="dxa"/>
            <w:shd w:val="clear" w:color="auto" w:fill="auto"/>
          </w:tcPr>
          <w:p w:rsidR="00DB4C09" w:rsidRPr="0072343A" w:rsidRDefault="00DB4C09" w:rsidP="0032451C">
            <w:r w:rsidRPr="0072343A">
              <w:t>Presentación de la solicitud</w:t>
            </w:r>
          </w:p>
        </w:tc>
        <w:tc>
          <w:tcPr>
            <w:tcW w:w="3118" w:type="dxa"/>
            <w:shd w:val="clear" w:color="auto" w:fill="auto"/>
          </w:tcPr>
          <w:p w:rsidR="00DB4C09" w:rsidRPr="0072343A" w:rsidRDefault="00DB4C09" w:rsidP="008C4B6B">
            <w:pPr>
              <w:ind w:right="2082"/>
              <w:jc w:val="right"/>
            </w:pPr>
            <w:r w:rsidRPr="0072343A">
              <w:t>38</w:t>
            </w:r>
          </w:p>
        </w:tc>
      </w:tr>
    </w:tbl>
    <w:p w:rsidR="000D0A9F" w:rsidRPr="0072343A" w:rsidRDefault="000D0A9F" w:rsidP="000D0A9F">
      <w:pPr>
        <w:keepNext/>
        <w:keepLines/>
        <w:rPr>
          <w:bCs/>
          <w:szCs w:val="22"/>
        </w:rPr>
      </w:pPr>
    </w:p>
    <w:p w:rsidR="000D0A9F" w:rsidRPr="0072343A" w:rsidRDefault="00C06890" w:rsidP="000D0A9F">
      <w:pPr>
        <w:keepNext/>
        <w:keepLines/>
        <w:rPr>
          <w:b/>
          <w:bCs/>
          <w:szCs w:val="22"/>
        </w:rPr>
      </w:pPr>
      <w:r w:rsidRPr="0072343A">
        <w:rPr>
          <w:b/>
          <w:bCs/>
          <w:szCs w:val="22"/>
        </w:rPr>
        <w:t>Retraso en la tramitación de solicitudes a nivel nacional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118"/>
      </w:tblGrid>
      <w:tr w:rsidR="000D0A9F" w:rsidRPr="0072343A" w:rsidTr="00DB4C09">
        <w:trPr>
          <w:cantSplit/>
        </w:trPr>
        <w:tc>
          <w:tcPr>
            <w:tcW w:w="4928" w:type="dxa"/>
            <w:shd w:val="clear" w:color="auto" w:fill="auto"/>
          </w:tcPr>
          <w:p w:rsidR="000D0A9F" w:rsidRPr="0072343A" w:rsidRDefault="000D0A9F" w:rsidP="00DB4C09">
            <w:pPr>
              <w:keepNext/>
              <w:keepLines/>
              <w:rPr>
                <w:b/>
                <w:bCs/>
                <w:szCs w:val="22"/>
              </w:rPr>
            </w:pPr>
            <w:r w:rsidRPr="0072343A">
              <w:rPr>
                <w:b/>
                <w:bCs/>
                <w:szCs w:val="22"/>
              </w:rPr>
              <w:t>Me</w:t>
            </w:r>
            <w:r w:rsidR="00DB4C09" w:rsidRPr="0072343A">
              <w:rPr>
                <w:b/>
                <w:bCs/>
                <w:szCs w:val="22"/>
              </w:rPr>
              <w:t>dida</w:t>
            </w:r>
          </w:p>
        </w:tc>
        <w:tc>
          <w:tcPr>
            <w:tcW w:w="3118" w:type="dxa"/>
            <w:shd w:val="clear" w:color="auto" w:fill="auto"/>
          </w:tcPr>
          <w:p w:rsidR="000D0A9F" w:rsidRPr="0072343A" w:rsidRDefault="000D0A9F" w:rsidP="00DB4C09">
            <w:pPr>
              <w:keepNext/>
              <w:keepLines/>
              <w:rPr>
                <w:b/>
                <w:bCs/>
                <w:szCs w:val="22"/>
              </w:rPr>
            </w:pPr>
            <w:r w:rsidRPr="0072343A">
              <w:rPr>
                <w:b/>
                <w:bCs/>
                <w:szCs w:val="22"/>
              </w:rPr>
              <w:t>N</w:t>
            </w:r>
            <w:r w:rsidR="00DB4C09" w:rsidRPr="0072343A">
              <w:rPr>
                <w:b/>
                <w:bCs/>
                <w:szCs w:val="22"/>
              </w:rPr>
              <w:t xml:space="preserve">úmero de solicitudes </w:t>
            </w:r>
          </w:p>
        </w:tc>
      </w:tr>
      <w:tr w:rsidR="000D0A9F" w:rsidRPr="0072343A" w:rsidTr="00DB4C09">
        <w:trPr>
          <w:cantSplit/>
        </w:trPr>
        <w:tc>
          <w:tcPr>
            <w:tcW w:w="4928" w:type="dxa"/>
            <w:shd w:val="clear" w:color="auto" w:fill="auto"/>
          </w:tcPr>
          <w:p w:rsidR="000D0A9F" w:rsidRPr="0072343A" w:rsidRDefault="00DB4C09" w:rsidP="008C4B6B">
            <w:pPr>
              <w:keepNext/>
              <w:keepLines/>
              <w:rPr>
                <w:szCs w:val="22"/>
              </w:rPr>
            </w:pPr>
            <w:r w:rsidRPr="0072343A">
              <w:rPr>
                <w:szCs w:val="22"/>
              </w:rPr>
              <w:t>Todas las solicitudes pendientes</w:t>
            </w:r>
          </w:p>
        </w:tc>
        <w:tc>
          <w:tcPr>
            <w:tcW w:w="3118" w:type="dxa"/>
            <w:shd w:val="clear" w:color="auto" w:fill="auto"/>
          </w:tcPr>
          <w:p w:rsidR="000D0A9F" w:rsidRPr="0072343A" w:rsidRDefault="00DB4C09" w:rsidP="008C4B6B">
            <w:pPr>
              <w:ind w:right="1309"/>
              <w:jc w:val="right"/>
              <w:rPr>
                <w:highlight w:val="yellow"/>
              </w:rPr>
            </w:pPr>
            <w:r w:rsidRPr="0072343A">
              <w:t>3.</w:t>
            </w:r>
            <w:r w:rsidR="000D0A9F" w:rsidRPr="0072343A">
              <w:t>300</w:t>
            </w:r>
          </w:p>
        </w:tc>
      </w:tr>
      <w:tr w:rsidR="000D0A9F" w:rsidRPr="0072343A" w:rsidTr="00DB4C09">
        <w:trPr>
          <w:cantSplit/>
        </w:trPr>
        <w:tc>
          <w:tcPr>
            <w:tcW w:w="4928" w:type="dxa"/>
            <w:shd w:val="clear" w:color="auto" w:fill="auto"/>
          </w:tcPr>
          <w:p w:rsidR="000D0A9F" w:rsidRPr="0072343A" w:rsidRDefault="00DB4C09" w:rsidP="00DB4C09">
            <w:pPr>
              <w:keepNext/>
              <w:keepLines/>
              <w:rPr>
                <w:szCs w:val="22"/>
              </w:rPr>
            </w:pPr>
            <w:r w:rsidRPr="0072343A">
              <w:rPr>
                <w:szCs w:val="22"/>
              </w:rPr>
              <w:t xml:space="preserve">Solicitudes en espera de </w:t>
            </w:r>
            <w:r w:rsidR="00973499" w:rsidRPr="0072343A">
              <w:rPr>
                <w:szCs w:val="22"/>
              </w:rPr>
              <w:t xml:space="preserve">la </w:t>
            </w:r>
            <w:r w:rsidRPr="0072343A">
              <w:rPr>
                <w:szCs w:val="22"/>
              </w:rPr>
              <w:t xml:space="preserve">búsqueda </w:t>
            </w:r>
            <w:r w:rsidR="000D0A9F" w:rsidRPr="0072343A">
              <w:rPr>
                <w:szCs w:val="22"/>
              </w:rPr>
              <w:t>(</w:t>
            </w:r>
            <w:r w:rsidRPr="0072343A">
              <w:rPr>
                <w:szCs w:val="22"/>
              </w:rPr>
              <w:t>una vez abonadas las tasas correspondientes</w:t>
            </w:r>
            <w:r w:rsidR="000D0A9F" w:rsidRPr="0072343A">
              <w:rPr>
                <w:szCs w:val="22"/>
              </w:rPr>
              <w:t>)</w:t>
            </w:r>
          </w:p>
        </w:tc>
        <w:tc>
          <w:tcPr>
            <w:tcW w:w="3118" w:type="dxa"/>
            <w:shd w:val="clear" w:color="auto" w:fill="auto"/>
          </w:tcPr>
          <w:p w:rsidR="000D0A9F" w:rsidRPr="0072343A" w:rsidRDefault="000D0A9F" w:rsidP="008C4B6B">
            <w:pPr>
              <w:ind w:right="1309"/>
              <w:jc w:val="right"/>
            </w:pPr>
            <w:r w:rsidRPr="0072343A">
              <w:t>555</w:t>
            </w:r>
          </w:p>
        </w:tc>
      </w:tr>
      <w:tr w:rsidR="000D0A9F" w:rsidRPr="0072343A" w:rsidTr="00DB4C09">
        <w:trPr>
          <w:cantSplit/>
        </w:trPr>
        <w:tc>
          <w:tcPr>
            <w:tcW w:w="4928" w:type="dxa"/>
            <w:shd w:val="clear" w:color="auto" w:fill="auto"/>
          </w:tcPr>
          <w:p w:rsidR="000D0A9F" w:rsidRPr="0072343A" w:rsidRDefault="00DB4C09" w:rsidP="008C4B6B">
            <w:pPr>
              <w:keepLines/>
              <w:rPr>
                <w:szCs w:val="22"/>
              </w:rPr>
            </w:pPr>
            <w:r w:rsidRPr="0072343A">
              <w:rPr>
                <w:szCs w:val="22"/>
              </w:rPr>
              <w:t xml:space="preserve">Solicitudes en espera del primer examen </w:t>
            </w:r>
            <w:r w:rsidR="000D0A9F" w:rsidRPr="0072343A">
              <w:rPr>
                <w:szCs w:val="22"/>
              </w:rPr>
              <w:t>(</w:t>
            </w:r>
            <w:r w:rsidRPr="0072343A">
              <w:rPr>
                <w:szCs w:val="22"/>
              </w:rPr>
              <w:t>una vez abonadas las tasas correspondientes</w:t>
            </w:r>
            <w:r w:rsidR="000D0A9F" w:rsidRPr="0072343A">
              <w:rPr>
                <w:szCs w:val="22"/>
              </w:rPr>
              <w:t>)</w:t>
            </w:r>
          </w:p>
        </w:tc>
        <w:tc>
          <w:tcPr>
            <w:tcW w:w="3118" w:type="dxa"/>
            <w:shd w:val="clear" w:color="auto" w:fill="auto"/>
          </w:tcPr>
          <w:p w:rsidR="000D0A9F" w:rsidRPr="0072343A" w:rsidRDefault="000D0A9F" w:rsidP="008C4B6B">
            <w:pPr>
              <w:ind w:right="1309"/>
              <w:jc w:val="right"/>
            </w:pPr>
            <w:r w:rsidRPr="0072343A">
              <w:t>555</w:t>
            </w:r>
          </w:p>
        </w:tc>
      </w:tr>
    </w:tbl>
    <w:p w:rsidR="000D0A9F" w:rsidRPr="0072343A" w:rsidRDefault="000D0A9F" w:rsidP="000D0A9F">
      <w:pPr>
        <w:pStyle w:val="SectionHeading"/>
        <w:rPr>
          <w:lang w:val="es-ES"/>
        </w:rPr>
      </w:pPr>
      <w:r w:rsidRPr="0072343A">
        <w:rPr>
          <w:lang w:val="es-ES"/>
        </w:rPr>
        <w:lastRenderedPageBreak/>
        <w:t xml:space="preserve">7 – </w:t>
      </w:r>
      <w:r w:rsidR="00C06890" w:rsidRPr="0072343A">
        <w:rPr>
          <w:lang w:val="es-ES"/>
        </w:rPr>
        <w:t xml:space="preserve">APOYO </w:t>
      </w:r>
      <w:r w:rsidR="006B36DD">
        <w:rPr>
          <w:lang w:val="es-ES"/>
        </w:rPr>
        <w:t>REQUERI</w:t>
      </w:r>
      <w:r w:rsidR="00C06890" w:rsidRPr="0072343A">
        <w:rPr>
          <w:lang w:val="es-ES"/>
        </w:rPr>
        <w:t xml:space="preserve">DO </w:t>
      </w:r>
    </w:p>
    <w:p w:rsidR="000D0A9F" w:rsidRPr="0072343A" w:rsidRDefault="0067000D" w:rsidP="000D0A9F">
      <w:r>
        <w:t>N.a.</w:t>
      </w:r>
    </w:p>
    <w:p w:rsidR="000D0A9F" w:rsidRPr="0072343A" w:rsidRDefault="000D0A9F" w:rsidP="000D0A9F">
      <w:pPr>
        <w:pStyle w:val="SectionHeading"/>
        <w:rPr>
          <w:lang w:val="es-ES"/>
        </w:rPr>
      </w:pPr>
      <w:r w:rsidRPr="0072343A">
        <w:rPr>
          <w:lang w:val="es-ES"/>
        </w:rPr>
        <w:t>8 – Ot</w:t>
      </w:r>
      <w:r w:rsidR="00C06890" w:rsidRPr="0072343A">
        <w:rPr>
          <w:lang w:val="es-ES"/>
        </w:rPr>
        <w:t>ROS</w:t>
      </w:r>
    </w:p>
    <w:p w:rsidR="000D0A9F" w:rsidRPr="0072343A" w:rsidRDefault="0067000D" w:rsidP="000D0A9F">
      <w:pPr>
        <w:rPr>
          <w:szCs w:val="22"/>
        </w:rPr>
      </w:pPr>
      <w:r>
        <w:rPr>
          <w:szCs w:val="22"/>
        </w:rPr>
        <w:t>N.a.</w:t>
      </w:r>
    </w:p>
    <w:p w:rsidR="000D0A9F" w:rsidRPr="0072343A" w:rsidRDefault="000D0A9F" w:rsidP="000D0A9F">
      <w:pPr>
        <w:pStyle w:val="SectionHeading"/>
        <w:rPr>
          <w:lang w:val="es-ES"/>
        </w:rPr>
      </w:pPr>
      <w:r w:rsidRPr="0072343A">
        <w:rPr>
          <w:lang w:val="es-ES"/>
        </w:rPr>
        <w:t xml:space="preserve">9 – </w:t>
      </w:r>
      <w:r w:rsidR="00C06890" w:rsidRPr="0072343A">
        <w:rPr>
          <w:lang w:val="es-ES"/>
        </w:rPr>
        <w:t>EVALUACIÓN POR OTRAS ADMINISTRACIONES</w:t>
      </w:r>
    </w:p>
    <w:p w:rsidR="000D0A9F" w:rsidRPr="0072343A" w:rsidRDefault="0067000D" w:rsidP="0067000D">
      <w:pPr>
        <w:spacing w:after="120"/>
      </w:pPr>
      <w:r>
        <w:t>N.a.</w:t>
      </w:r>
    </w:p>
    <w:p w:rsidR="00152CEA" w:rsidRPr="00D36760" w:rsidRDefault="000D0A9F" w:rsidP="0067000D">
      <w:pPr>
        <w:pStyle w:val="Endofdocument-Annex"/>
        <w:rPr>
          <w:lang w:val="es-ES"/>
        </w:rPr>
      </w:pPr>
      <w:r w:rsidRPr="0072343A">
        <w:rPr>
          <w:lang w:val="es-ES"/>
        </w:rPr>
        <w:t>[Fin del Anexo y del documento]</w:t>
      </w:r>
    </w:p>
    <w:sectPr w:rsidR="00152CEA" w:rsidRPr="00D36760" w:rsidSect="00051171">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C4" w:rsidRDefault="00D719C4">
      <w:r>
        <w:separator/>
      </w:r>
    </w:p>
  </w:endnote>
  <w:endnote w:type="continuationSeparator" w:id="0">
    <w:p w:rsidR="00D719C4" w:rsidRPr="009D30E6" w:rsidRDefault="00D719C4" w:rsidP="007E663E">
      <w:pPr>
        <w:rPr>
          <w:sz w:val="17"/>
          <w:szCs w:val="17"/>
        </w:rPr>
      </w:pPr>
      <w:r w:rsidRPr="009D30E6">
        <w:rPr>
          <w:sz w:val="17"/>
          <w:szCs w:val="17"/>
        </w:rPr>
        <w:separator/>
      </w:r>
    </w:p>
    <w:p w:rsidR="00D719C4" w:rsidRPr="007E663E" w:rsidRDefault="00D719C4" w:rsidP="007E663E">
      <w:pPr>
        <w:spacing w:after="60"/>
        <w:rPr>
          <w:sz w:val="17"/>
          <w:szCs w:val="17"/>
        </w:rPr>
      </w:pPr>
      <w:r>
        <w:rPr>
          <w:sz w:val="17"/>
        </w:rPr>
        <w:t>[Continuación de la nota de la página anterior]</w:t>
      </w:r>
    </w:p>
  </w:endnote>
  <w:endnote w:type="continuationNotice" w:id="1">
    <w:p w:rsidR="00D719C4" w:rsidRPr="007E663E" w:rsidRDefault="00D719C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C4" w:rsidRDefault="00D719C4">
      <w:r>
        <w:separator/>
      </w:r>
    </w:p>
  </w:footnote>
  <w:footnote w:type="continuationSeparator" w:id="0">
    <w:p w:rsidR="00D719C4" w:rsidRPr="009D30E6" w:rsidRDefault="00D719C4" w:rsidP="007E663E">
      <w:pPr>
        <w:rPr>
          <w:sz w:val="17"/>
          <w:szCs w:val="17"/>
        </w:rPr>
      </w:pPr>
      <w:r w:rsidRPr="009D30E6">
        <w:rPr>
          <w:sz w:val="17"/>
          <w:szCs w:val="17"/>
        </w:rPr>
        <w:separator/>
      </w:r>
    </w:p>
    <w:p w:rsidR="00D719C4" w:rsidRPr="007E663E" w:rsidRDefault="00D719C4" w:rsidP="007E663E">
      <w:pPr>
        <w:spacing w:after="60"/>
        <w:rPr>
          <w:sz w:val="17"/>
          <w:szCs w:val="17"/>
        </w:rPr>
      </w:pPr>
      <w:r>
        <w:rPr>
          <w:sz w:val="17"/>
        </w:rPr>
        <w:t>[Continuación de la nota de la página anterior]</w:t>
      </w:r>
    </w:p>
  </w:footnote>
  <w:footnote w:type="continuationNotice" w:id="1">
    <w:p w:rsidR="00D719C4" w:rsidRPr="007E663E" w:rsidRDefault="00D719C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rsidP="00477D6B">
    <w:pPr>
      <w:jc w:val="right"/>
    </w:pPr>
    <w:bookmarkStart w:id="7" w:name="Code2"/>
    <w:bookmarkEnd w:id="7"/>
    <w:r>
      <w:t>PCT/CTC/30/12</w:t>
    </w:r>
  </w:p>
  <w:p w:rsidR="0032451C" w:rsidRDefault="0032451C" w:rsidP="00477D6B">
    <w:pPr>
      <w:jc w:val="right"/>
    </w:pPr>
    <w:r>
      <w:t xml:space="preserve">página </w:t>
    </w:r>
    <w:r>
      <w:fldChar w:fldCharType="begin"/>
    </w:r>
    <w:r>
      <w:instrText xml:space="preserve"> PAGE  \* MERGEFORMAT </w:instrText>
    </w:r>
    <w:r>
      <w:fldChar w:fldCharType="separate"/>
    </w:r>
    <w:r>
      <w:rPr>
        <w:noProof/>
      </w:rPr>
      <w:t>3</w:t>
    </w:r>
    <w:r>
      <w:fldChar w:fldCharType="end"/>
    </w:r>
  </w:p>
  <w:p w:rsidR="0032451C" w:rsidRDefault="0032451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rsidP="00477D6B">
    <w:pPr>
      <w:jc w:val="right"/>
    </w:pPr>
    <w:r>
      <w:t>PCT/CTC/30/12</w:t>
    </w:r>
  </w:p>
  <w:p w:rsidR="0032451C" w:rsidRDefault="0032451C" w:rsidP="00477D6B">
    <w:pPr>
      <w:jc w:val="right"/>
    </w:pPr>
    <w:r>
      <w:t xml:space="preserve">Anexo, página </w:t>
    </w:r>
    <w:r>
      <w:fldChar w:fldCharType="begin"/>
    </w:r>
    <w:r>
      <w:instrText xml:space="preserve"> PAGE  \* MERGEFORMAT </w:instrText>
    </w:r>
    <w:r>
      <w:fldChar w:fldCharType="separate"/>
    </w:r>
    <w:r w:rsidR="00E753F4">
      <w:rPr>
        <w:noProof/>
      </w:rPr>
      <w:t>9</w:t>
    </w:r>
    <w:r>
      <w:fldChar w:fldCharType="end"/>
    </w:r>
  </w:p>
  <w:p w:rsidR="0032451C" w:rsidRDefault="0032451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51C" w:rsidRDefault="0032451C" w:rsidP="00051171">
    <w:pPr>
      <w:pStyle w:val="Header"/>
      <w:jc w:val="right"/>
    </w:pPr>
    <w:r>
      <w:t>PCT/CTC/30/12</w:t>
    </w:r>
  </w:p>
  <w:p w:rsidR="0032451C" w:rsidRDefault="0032451C" w:rsidP="00051171">
    <w:pPr>
      <w:pStyle w:val="Header"/>
      <w:jc w:val="right"/>
    </w:pPr>
    <w:r>
      <w:t>ANEXO</w:t>
    </w:r>
  </w:p>
  <w:p w:rsidR="0032451C" w:rsidRDefault="0032451C" w:rsidP="000511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71"/>
    <w:rsid w:val="00010686"/>
    <w:rsid w:val="00043585"/>
    <w:rsid w:val="00051171"/>
    <w:rsid w:val="00052915"/>
    <w:rsid w:val="000536E4"/>
    <w:rsid w:val="000D0A9F"/>
    <w:rsid w:val="000E3BB3"/>
    <w:rsid w:val="000F5E56"/>
    <w:rsid w:val="001362EE"/>
    <w:rsid w:val="00141312"/>
    <w:rsid w:val="00152CEA"/>
    <w:rsid w:val="001545BF"/>
    <w:rsid w:val="001804C9"/>
    <w:rsid w:val="001832A6"/>
    <w:rsid w:val="001C7C44"/>
    <w:rsid w:val="002359B2"/>
    <w:rsid w:val="002366F7"/>
    <w:rsid w:val="00260BBF"/>
    <w:rsid w:val="002634C4"/>
    <w:rsid w:val="0026729B"/>
    <w:rsid w:val="00273C07"/>
    <w:rsid w:val="0028310F"/>
    <w:rsid w:val="00287D8B"/>
    <w:rsid w:val="002A6D84"/>
    <w:rsid w:val="002E0F47"/>
    <w:rsid w:val="002F4E68"/>
    <w:rsid w:val="003144FA"/>
    <w:rsid w:val="0031516F"/>
    <w:rsid w:val="0032451C"/>
    <w:rsid w:val="0032530C"/>
    <w:rsid w:val="00337677"/>
    <w:rsid w:val="00354647"/>
    <w:rsid w:val="00354CDC"/>
    <w:rsid w:val="0035566A"/>
    <w:rsid w:val="00377273"/>
    <w:rsid w:val="003845C1"/>
    <w:rsid w:val="00387287"/>
    <w:rsid w:val="003A7DE0"/>
    <w:rsid w:val="003D051F"/>
    <w:rsid w:val="003E48F1"/>
    <w:rsid w:val="003F347A"/>
    <w:rsid w:val="00401A43"/>
    <w:rsid w:val="00423E3E"/>
    <w:rsid w:val="00427AF4"/>
    <w:rsid w:val="0045231F"/>
    <w:rsid w:val="00453A3C"/>
    <w:rsid w:val="004647DA"/>
    <w:rsid w:val="0046793F"/>
    <w:rsid w:val="00477193"/>
    <w:rsid w:val="00477808"/>
    <w:rsid w:val="00477D6B"/>
    <w:rsid w:val="00482811"/>
    <w:rsid w:val="00484BBC"/>
    <w:rsid w:val="004A6C37"/>
    <w:rsid w:val="004B508A"/>
    <w:rsid w:val="004C4C1F"/>
    <w:rsid w:val="004E0082"/>
    <w:rsid w:val="004E297D"/>
    <w:rsid w:val="004E7F29"/>
    <w:rsid w:val="00506A41"/>
    <w:rsid w:val="00523B09"/>
    <w:rsid w:val="00531B02"/>
    <w:rsid w:val="005332F0"/>
    <w:rsid w:val="00541CA2"/>
    <w:rsid w:val="0055013B"/>
    <w:rsid w:val="00571273"/>
    <w:rsid w:val="00571B99"/>
    <w:rsid w:val="005955A7"/>
    <w:rsid w:val="005D3102"/>
    <w:rsid w:val="005D3AD7"/>
    <w:rsid w:val="00605827"/>
    <w:rsid w:val="00607A53"/>
    <w:rsid w:val="0061696B"/>
    <w:rsid w:val="006209C2"/>
    <w:rsid w:val="00646D9C"/>
    <w:rsid w:val="0067000D"/>
    <w:rsid w:val="00675021"/>
    <w:rsid w:val="006A06C6"/>
    <w:rsid w:val="006B0835"/>
    <w:rsid w:val="006B36DD"/>
    <w:rsid w:val="006C6AA3"/>
    <w:rsid w:val="006D7CB5"/>
    <w:rsid w:val="007032EF"/>
    <w:rsid w:val="00703415"/>
    <w:rsid w:val="00707EDD"/>
    <w:rsid w:val="007224C8"/>
    <w:rsid w:val="0072343A"/>
    <w:rsid w:val="00734483"/>
    <w:rsid w:val="00753321"/>
    <w:rsid w:val="00794BE2"/>
    <w:rsid w:val="007A5581"/>
    <w:rsid w:val="007B71FE"/>
    <w:rsid w:val="007D2978"/>
    <w:rsid w:val="007D781E"/>
    <w:rsid w:val="007E663E"/>
    <w:rsid w:val="00800DB4"/>
    <w:rsid w:val="00806A8C"/>
    <w:rsid w:val="00815082"/>
    <w:rsid w:val="0083307B"/>
    <w:rsid w:val="0084599C"/>
    <w:rsid w:val="0088395E"/>
    <w:rsid w:val="008B2CC1"/>
    <w:rsid w:val="008C4B6B"/>
    <w:rsid w:val="008E6BD6"/>
    <w:rsid w:val="00907101"/>
    <w:rsid w:val="0090731E"/>
    <w:rsid w:val="00966A22"/>
    <w:rsid w:val="00972F03"/>
    <w:rsid w:val="00973499"/>
    <w:rsid w:val="009816FC"/>
    <w:rsid w:val="009A0C8B"/>
    <w:rsid w:val="009B6241"/>
    <w:rsid w:val="009D4257"/>
    <w:rsid w:val="00A16FC0"/>
    <w:rsid w:val="00A1713F"/>
    <w:rsid w:val="00A32C9E"/>
    <w:rsid w:val="00A80BCB"/>
    <w:rsid w:val="00AB613D"/>
    <w:rsid w:val="00AE7F20"/>
    <w:rsid w:val="00B0068D"/>
    <w:rsid w:val="00B07AD2"/>
    <w:rsid w:val="00B248C2"/>
    <w:rsid w:val="00B35629"/>
    <w:rsid w:val="00B65A0A"/>
    <w:rsid w:val="00B66E1D"/>
    <w:rsid w:val="00B67CDC"/>
    <w:rsid w:val="00B72333"/>
    <w:rsid w:val="00B72D36"/>
    <w:rsid w:val="00B80C3E"/>
    <w:rsid w:val="00BB4546"/>
    <w:rsid w:val="00BB6B4D"/>
    <w:rsid w:val="00BC4164"/>
    <w:rsid w:val="00BD2DCC"/>
    <w:rsid w:val="00BF24F3"/>
    <w:rsid w:val="00BF403F"/>
    <w:rsid w:val="00C06890"/>
    <w:rsid w:val="00C121CD"/>
    <w:rsid w:val="00C76F47"/>
    <w:rsid w:val="00C820AC"/>
    <w:rsid w:val="00C90559"/>
    <w:rsid w:val="00C947BA"/>
    <w:rsid w:val="00CA2251"/>
    <w:rsid w:val="00CA330D"/>
    <w:rsid w:val="00CB6EDC"/>
    <w:rsid w:val="00CC64F1"/>
    <w:rsid w:val="00CF6D13"/>
    <w:rsid w:val="00D07941"/>
    <w:rsid w:val="00D10A2B"/>
    <w:rsid w:val="00D305F4"/>
    <w:rsid w:val="00D36760"/>
    <w:rsid w:val="00D46606"/>
    <w:rsid w:val="00D56C7C"/>
    <w:rsid w:val="00D719C4"/>
    <w:rsid w:val="00D71B4D"/>
    <w:rsid w:val="00D90289"/>
    <w:rsid w:val="00D91F11"/>
    <w:rsid w:val="00D936A3"/>
    <w:rsid w:val="00D93D55"/>
    <w:rsid w:val="00DA408C"/>
    <w:rsid w:val="00DB4C09"/>
    <w:rsid w:val="00DC0B16"/>
    <w:rsid w:val="00DC4C60"/>
    <w:rsid w:val="00DC68BB"/>
    <w:rsid w:val="00DD1CEB"/>
    <w:rsid w:val="00E0079A"/>
    <w:rsid w:val="00E0798A"/>
    <w:rsid w:val="00E248A3"/>
    <w:rsid w:val="00E444DA"/>
    <w:rsid w:val="00E45C84"/>
    <w:rsid w:val="00E46DCD"/>
    <w:rsid w:val="00E504E5"/>
    <w:rsid w:val="00E70B05"/>
    <w:rsid w:val="00E753F4"/>
    <w:rsid w:val="00E8789F"/>
    <w:rsid w:val="00E9043D"/>
    <w:rsid w:val="00EA4B8C"/>
    <w:rsid w:val="00EB7A3E"/>
    <w:rsid w:val="00EB7E2B"/>
    <w:rsid w:val="00EC401A"/>
    <w:rsid w:val="00ED0A63"/>
    <w:rsid w:val="00EF530A"/>
    <w:rsid w:val="00EF6622"/>
    <w:rsid w:val="00EF78A9"/>
    <w:rsid w:val="00F0206B"/>
    <w:rsid w:val="00F05E96"/>
    <w:rsid w:val="00F25F72"/>
    <w:rsid w:val="00F51540"/>
    <w:rsid w:val="00F55408"/>
    <w:rsid w:val="00F66152"/>
    <w:rsid w:val="00F80845"/>
    <w:rsid w:val="00F84474"/>
    <w:rsid w:val="00F95063"/>
    <w:rsid w:val="00FA0F0D"/>
    <w:rsid w:val="00FA102F"/>
    <w:rsid w:val="00FB3CFB"/>
    <w:rsid w:val="00FD59D1"/>
    <w:rsid w:val="00FD6F78"/>
    <w:rsid w:val="00FE3417"/>
    <w:rsid w:val="00FF1305"/>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locked/>
    <w:rsid w:val="00051171"/>
    <w:rPr>
      <w:rFonts w:ascii="Arial" w:eastAsia="SimSun" w:hAnsi="Arial" w:cs="Arial"/>
      <w:sz w:val="22"/>
      <w:lang w:val="es-ES" w:eastAsia="zh-CN"/>
    </w:rPr>
  </w:style>
  <w:style w:type="character" w:customStyle="1" w:styleId="InsertedText">
    <w:name w:val="Inserted Text"/>
    <w:qFormat/>
    <w:rsid w:val="000D0A9F"/>
    <w:rPr>
      <w:color w:val="0000FF"/>
      <w:u w:val="single"/>
    </w:rPr>
  </w:style>
  <w:style w:type="paragraph" w:customStyle="1" w:styleId="SectionHeading">
    <w:name w:val="Section Heading"/>
    <w:basedOn w:val="Heading1"/>
    <w:link w:val="SectionHeadingChar"/>
    <w:qFormat/>
    <w:rsid w:val="000D0A9F"/>
    <w:pPr>
      <w:pBdr>
        <w:top w:val="single" w:sz="4" w:space="1" w:color="auto"/>
        <w:bottom w:val="single" w:sz="4" w:space="1" w:color="auto"/>
      </w:pBdr>
      <w:spacing w:before="360" w:after="200"/>
    </w:pPr>
    <w:rPr>
      <w:rFonts w:ascii="Arial Bold" w:hAnsi="Arial Bold"/>
      <w:lang w:val="en-US"/>
    </w:rPr>
  </w:style>
  <w:style w:type="character" w:customStyle="1" w:styleId="SectionHeadingChar">
    <w:name w:val="Section Heading Char"/>
    <w:basedOn w:val="DefaultParagraphFont"/>
    <w:link w:val="SectionHeading"/>
    <w:rsid w:val="000D0A9F"/>
    <w:rPr>
      <w:rFonts w:ascii="Arial Bold" w:eastAsia="SimSun" w:hAnsi="Arial Bold" w:cs="Arial"/>
      <w:b/>
      <w:bCs/>
      <w:caps/>
      <w:kern w:val="32"/>
      <w:sz w:val="22"/>
      <w:szCs w:val="32"/>
      <w:lang w:eastAsia="zh-CN"/>
    </w:rPr>
  </w:style>
  <w:style w:type="character" w:styleId="Hyperlink">
    <w:name w:val="Hyperlink"/>
    <w:basedOn w:val="DefaultParagraphFont"/>
    <w:uiPriority w:val="99"/>
    <w:unhideWhenUsed/>
    <w:rsid w:val="000D0A9F"/>
  </w:style>
  <w:style w:type="paragraph" w:customStyle="1" w:styleId="mw-mmv-image-desc">
    <w:name w:val="mw-mmv-image-desc"/>
    <w:basedOn w:val="Normal"/>
    <w:rsid w:val="000D0A9F"/>
    <w:pPr>
      <w:spacing w:before="100" w:beforeAutospacing="1" w:after="100" w:afterAutospacing="1"/>
    </w:pPr>
    <w:rPr>
      <w:rFonts w:ascii="Times New Roman" w:eastAsia="Times New Roman" w:hAnsi="Times New Roman" w:cs="Times New Roman"/>
      <w:color w:val="555555"/>
      <w:sz w:val="23"/>
      <w:szCs w:val="23"/>
      <w:lang w:val="fi-FI" w:eastAsia="fi-FI"/>
    </w:rPr>
  </w:style>
  <w:style w:type="table" w:styleId="TableGrid">
    <w:name w:val="Table Grid"/>
    <w:basedOn w:val="TableNormal"/>
    <w:uiPriority w:val="39"/>
    <w:rsid w:val="000D0A9F"/>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307B"/>
    <w:rPr>
      <w:rFonts w:ascii="Tahoma" w:hAnsi="Tahoma" w:cs="Tahoma"/>
      <w:sz w:val="16"/>
      <w:szCs w:val="16"/>
    </w:rPr>
  </w:style>
  <w:style w:type="character" w:customStyle="1" w:styleId="BalloonTextChar">
    <w:name w:val="Balloon Text Char"/>
    <w:basedOn w:val="DefaultParagraphFont"/>
    <w:link w:val="BalloonText"/>
    <w:rsid w:val="0083307B"/>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ONUMEChar">
    <w:name w:val="ONUM E Char"/>
    <w:basedOn w:val="DefaultParagraphFont"/>
    <w:link w:val="ONUME"/>
    <w:uiPriority w:val="99"/>
    <w:locked/>
    <w:rsid w:val="00051171"/>
    <w:rPr>
      <w:rFonts w:ascii="Arial" w:eastAsia="SimSun" w:hAnsi="Arial" w:cs="Arial"/>
      <w:sz w:val="22"/>
      <w:lang w:val="es-ES" w:eastAsia="zh-CN"/>
    </w:rPr>
  </w:style>
  <w:style w:type="character" w:customStyle="1" w:styleId="InsertedText">
    <w:name w:val="Inserted Text"/>
    <w:qFormat/>
    <w:rsid w:val="000D0A9F"/>
    <w:rPr>
      <w:color w:val="0000FF"/>
      <w:u w:val="single"/>
    </w:rPr>
  </w:style>
  <w:style w:type="paragraph" w:customStyle="1" w:styleId="SectionHeading">
    <w:name w:val="Section Heading"/>
    <w:basedOn w:val="Heading1"/>
    <w:link w:val="SectionHeadingChar"/>
    <w:qFormat/>
    <w:rsid w:val="000D0A9F"/>
    <w:pPr>
      <w:pBdr>
        <w:top w:val="single" w:sz="4" w:space="1" w:color="auto"/>
        <w:bottom w:val="single" w:sz="4" w:space="1" w:color="auto"/>
      </w:pBdr>
      <w:spacing w:before="360" w:after="200"/>
    </w:pPr>
    <w:rPr>
      <w:rFonts w:ascii="Arial Bold" w:hAnsi="Arial Bold"/>
      <w:lang w:val="en-US"/>
    </w:rPr>
  </w:style>
  <w:style w:type="character" w:customStyle="1" w:styleId="SectionHeadingChar">
    <w:name w:val="Section Heading Char"/>
    <w:basedOn w:val="DefaultParagraphFont"/>
    <w:link w:val="SectionHeading"/>
    <w:rsid w:val="000D0A9F"/>
    <w:rPr>
      <w:rFonts w:ascii="Arial Bold" w:eastAsia="SimSun" w:hAnsi="Arial Bold" w:cs="Arial"/>
      <w:b/>
      <w:bCs/>
      <w:caps/>
      <w:kern w:val="32"/>
      <w:sz w:val="22"/>
      <w:szCs w:val="32"/>
      <w:lang w:eastAsia="zh-CN"/>
    </w:rPr>
  </w:style>
  <w:style w:type="character" w:styleId="Hyperlink">
    <w:name w:val="Hyperlink"/>
    <w:basedOn w:val="DefaultParagraphFont"/>
    <w:uiPriority w:val="99"/>
    <w:unhideWhenUsed/>
    <w:rsid w:val="000D0A9F"/>
  </w:style>
  <w:style w:type="paragraph" w:customStyle="1" w:styleId="mw-mmv-image-desc">
    <w:name w:val="mw-mmv-image-desc"/>
    <w:basedOn w:val="Normal"/>
    <w:rsid w:val="000D0A9F"/>
    <w:pPr>
      <w:spacing w:before="100" w:beforeAutospacing="1" w:after="100" w:afterAutospacing="1"/>
    </w:pPr>
    <w:rPr>
      <w:rFonts w:ascii="Times New Roman" w:eastAsia="Times New Roman" w:hAnsi="Times New Roman" w:cs="Times New Roman"/>
      <w:color w:val="555555"/>
      <w:sz w:val="23"/>
      <w:szCs w:val="23"/>
      <w:lang w:val="fi-FI" w:eastAsia="fi-FI"/>
    </w:rPr>
  </w:style>
  <w:style w:type="table" w:styleId="TableGrid">
    <w:name w:val="Table Grid"/>
    <w:basedOn w:val="TableNormal"/>
    <w:uiPriority w:val="39"/>
    <w:rsid w:val="000D0A9F"/>
    <w:rPr>
      <w:rFonts w:asciiTheme="minorHAnsi" w:eastAsiaTheme="minorHAnsi" w:hAnsiTheme="minorHAnsi" w:cstheme="minorBidi"/>
      <w:sz w:val="22"/>
      <w:szCs w:val="22"/>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307B"/>
    <w:rPr>
      <w:rFonts w:ascii="Tahoma" w:hAnsi="Tahoma" w:cs="Tahoma"/>
      <w:sz w:val="16"/>
      <w:szCs w:val="16"/>
    </w:rPr>
  </w:style>
  <w:style w:type="character" w:customStyle="1" w:styleId="BalloonTextChar">
    <w:name w:val="Balloon Text Char"/>
    <w:basedOn w:val="DefaultParagraphFont"/>
    <w:link w:val="BalloonText"/>
    <w:rsid w:val="0083307B"/>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pct/en/quality/authoritie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3472</Words>
  <Characters>19859</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PCT/CTC/30/12</vt:lpstr>
      <vt:lpstr>PCT/CTC/30/12</vt:lpstr>
    </vt:vector>
  </TitlesOfParts>
  <Company>WIPO</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PCT/CTC/30/12</dc:title>
  <dc:subject>Extension of Appointment of the Finnish Patent and Registration Office as an International Searching and Preliminary Examining Authority under the PCT</dc:subject>
  <dc:creator>CEVALLOS DUQUE Nilo</dc:creator>
  <cp:lastModifiedBy>MARLOW Thomas</cp:lastModifiedBy>
  <cp:revision>2</cp:revision>
  <dcterms:created xsi:type="dcterms:W3CDTF">2017-03-21T10:32:00Z</dcterms:created>
  <dcterms:modified xsi:type="dcterms:W3CDTF">2017-03-21T10:32:00Z</dcterms:modified>
</cp:coreProperties>
</file>