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5099A" w:rsidP="00916EE2">
            <w:r>
              <w:rPr>
                <w:noProof/>
                <w:lang w:eastAsia="en-US"/>
              </w:rPr>
              <w:drawing>
                <wp:inline distT="0" distB="0" distL="0" distR="0" wp14:anchorId="1702CE3B" wp14:editId="61AE7AFC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A5AD8" w:rsidP="00AF761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A5AD8">
              <w:rPr>
                <w:rFonts w:ascii="Arial Black" w:hAnsi="Arial Black"/>
                <w:caps/>
                <w:sz w:val="15"/>
              </w:rPr>
              <w:t>PCT/WG/7/</w:t>
            </w:r>
            <w:bookmarkStart w:id="0" w:name="Code"/>
            <w:bookmarkEnd w:id="0"/>
            <w:r w:rsidR="00AF7618">
              <w:rPr>
                <w:rFonts w:ascii="Arial Black" w:hAnsi="Arial Black"/>
                <w:caps/>
                <w:sz w:val="15"/>
              </w:rPr>
              <w:t xml:space="preserve">16 </w:t>
            </w:r>
            <w:r w:rsidR="00AF7618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B24007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D535B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D535B8">
              <w:rPr>
                <w:rFonts w:ascii="Arial Black" w:hAnsi="Arial Black"/>
                <w:caps/>
                <w:sz w:val="15"/>
              </w:rPr>
              <w:t>April</w:t>
            </w:r>
            <w:r w:rsidR="00B24007">
              <w:rPr>
                <w:rFonts w:ascii="Arial Black" w:hAnsi="Arial Black"/>
                <w:caps/>
                <w:sz w:val="15"/>
              </w:rPr>
              <w:t xml:space="preserve"> </w:t>
            </w:r>
            <w:r w:rsidR="00AF7618">
              <w:rPr>
                <w:rFonts w:ascii="Arial Black" w:hAnsi="Arial Black"/>
                <w:caps/>
                <w:sz w:val="15"/>
              </w:rPr>
              <w:t>24</w:t>
            </w:r>
            <w:r w:rsidR="00B24007">
              <w:rPr>
                <w:rFonts w:ascii="Arial Black" w:hAnsi="Arial Black"/>
                <w:caps/>
                <w:sz w:val="15"/>
              </w:rPr>
              <w:t>, 2014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E979D1" w:rsidRPr="00E979D1" w:rsidRDefault="00E979D1" w:rsidP="00E979D1">
      <w:pPr>
        <w:rPr>
          <w:b/>
          <w:sz w:val="28"/>
          <w:szCs w:val="28"/>
        </w:rPr>
      </w:pPr>
      <w:r w:rsidRPr="00E979D1">
        <w:rPr>
          <w:b/>
          <w:sz w:val="28"/>
          <w:szCs w:val="28"/>
        </w:rPr>
        <w:t>Patent Cooperation Treaty (PCT)</w:t>
      </w:r>
    </w:p>
    <w:p w:rsidR="008B2CC1" w:rsidRPr="003845C1" w:rsidRDefault="00E979D1" w:rsidP="00E979D1">
      <w:pPr>
        <w:rPr>
          <w:b/>
          <w:sz w:val="28"/>
          <w:szCs w:val="28"/>
        </w:rPr>
      </w:pPr>
      <w:r w:rsidRPr="00E979D1">
        <w:rPr>
          <w:b/>
          <w:sz w:val="28"/>
          <w:szCs w:val="28"/>
        </w:rPr>
        <w:t>Working Group</w:t>
      </w:r>
    </w:p>
    <w:p w:rsidR="003845C1" w:rsidRDefault="003845C1" w:rsidP="003845C1"/>
    <w:p w:rsidR="003845C1" w:rsidRDefault="003845C1" w:rsidP="003845C1"/>
    <w:p w:rsidR="008B2CC1" w:rsidRPr="003845C1" w:rsidRDefault="00242E6A" w:rsidP="008B2CC1">
      <w:pPr>
        <w:rPr>
          <w:b/>
          <w:sz w:val="24"/>
          <w:szCs w:val="24"/>
        </w:rPr>
      </w:pPr>
      <w:r w:rsidRPr="00242E6A">
        <w:rPr>
          <w:b/>
          <w:sz w:val="24"/>
          <w:szCs w:val="24"/>
        </w:rPr>
        <w:t>Seventh Session</w:t>
      </w:r>
    </w:p>
    <w:p w:rsidR="008B2CC1" w:rsidRPr="003845C1" w:rsidRDefault="00242E6A" w:rsidP="008B2CC1">
      <w:pPr>
        <w:rPr>
          <w:b/>
          <w:sz w:val="24"/>
          <w:szCs w:val="24"/>
        </w:rPr>
      </w:pPr>
      <w:r w:rsidRPr="00242E6A">
        <w:rPr>
          <w:b/>
          <w:sz w:val="24"/>
          <w:szCs w:val="24"/>
        </w:rPr>
        <w:t>Geneva, June 10 to 13, 2014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AF3751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general power of attorney</w:t>
      </w:r>
    </w:p>
    <w:p w:rsidR="008B2CC1" w:rsidRPr="008B2CC1" w:rsidRDefault="008B2CC1" w:rsidP="008B2CC1"/>
    <w:p w:rsidR="008B2CC1" w:rsidRPr="008B2CC1" w:rsidRDefault="00B24007" w:rsidP="008B2CC1">
      <w:pPr>
        <w:rPr>
          <w:i/>
        </w:rPr>
      </w:pPr>
      <w:bookmarkStart w:id="4" w:name="Prepared"/>
      <w:bookmarkEnd w:id="4"/>
      <w:r>
        <w:rPr>
          <w:i/>
        </w:rPr>
        <w:t>Document prepared by the International Bureau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595215" w:rsidRDefault="00595215" w:rsidP="00595215">
      <w:pPr>
        <w:pStyle w:val="Heading1"/>
      </w:pPr>
      <w:r>
        <w:t>Summary</w:t>
      </w:r>
    </w:p>
    <w:p w:rsidR="00595215" w:rsidRDefault="00685AFE" w:rsidP="00595215">
      <w:pPr>
        <w:pStyle w:val="ONUME"/>
        <w:keepLines/>
      </w:pPr>
      <w:r>
        <w:t xml:space="preserve">It is proposed </w:t>
      </w:r>
      <w:r w:rsidR="00560177">
        <w:t xml:space="preserve">to amend Rule 90.5(d) </w:t>
      </w:r>
      <w:r w:rsidR="00D535B8">
        <w:t xml:space="preserve">to require </w:t>
      </w:r>
      <w:r w:rsidR="003B2F1F">
        <w:t xml:space="preserve">an agent who has been appointed by </w:t>
      </w:r>
      <w:r w:rsidR="00560177">
        <w:t xml:space="preserve">means of </w:t>
      </w:r>
      <w:r w:rsidR="003B2F1F">
        <w:t xml:space="preserve">a general power of attorney and who submits a notice of withdrawal </w:t>
      </w:r>
      <w:r w:rsidR="004C015B">
        <w:t>pursuant to Rule</w:t>
      </w:r>
      <w:r w:rsidR="00454FB1">
        <w:t> </w:t>
      </w:r>
      <w:r w:rsidR="004C015B">
        <w:t>90</w:t>
      </w:r>
      <w:r w:rsidR="004C015B" w:rsidRPr="004C015B">
        <w:rPr>
          <w:i/>
        </w:rPr>
        <w:t>bis</w:t>
      </w:r>
      <w:r w:rsidR="004C015B">
        <w:t xml:space="preserve"> </w:t>
      </w:r>
      <w:r w:rsidR="003B2F1F">
        <w:t xml:space="preserve">to the International Bureau </w:t>
      </w:r>
      <w:r w:rsidR="00560177">
        <w:t>to</w:t>
      </w:r>
      <w:r w:rsidR="003B2F1F">
        <w:t xml:space="preserve"> </w:t>
      </w:r>
      <w:r w:rsidR="00D535B8">
        <w:t xml:space="preserve">also </w:t>
      </w:r>
      <w:r w:rsidR="003B2F1F">
        <w:t>submit a copy of the general power of attorney to the International Bureau</w:t>
      </w:r>
      <w:r>
        <w:t>.</w:t>
      </w:r>
    </w:p>
    <w:p w:rsidR="00294BE4" w:rsidRDefault="00454FB1" w:rsidP="008B7E0C">
      <w:pPr>
        <w:pStyle w:val="ONUME"/>
      </w:pPr>
      <w:r>
        <w:t>Furthermore, i</w:t>
      </w:r>
      <w:r w:rsidR="00294BE4">
        <w:t>t is proposed to delete</w:t>
      </w:r>
      <w:r w:rsidR="00294BE4" w:rsidRPr="00294BE4">
        <w:t xml:space="preserve"> </w:t>
      </w:r>
      <w:r w:rsidR="00294BE4">
        <w:t xml:space="preserve">the reference to </w:t>
      </w:r>
      <w:r w:rsidR="00D535B8">
        <w:t xml:space="preserve">the </w:t>
      </w:r>
      <w:r w:rsidR="004C015B">
        <w:t>“</w:t>
      </w:r>
      <w:r w:rsidR="00294BE4" w:rsidRPr="00294BE4">
        <w:t>In</w:t>
      </w:r>
      <w:r w:rsidR="00294BE4">
        <w:t>t</w:t>
      </w:r>
      <w:r w:rsidR="004C015B">
        <w:t>ernational Searching Authority”</w:t>
      </w:r>
      <w:r w:rsidR="00294BE4">
        <w:t xml:space="preserve"> in Rule 90.5(d)</w:t>
      </w:r>
      <w:r>
        <w:t>,</w:t>
      </w:r>
      <w:r w:rsidR="00294BE4" w:rsidRPr="00294BE4">
        <w:t xml:space="preserve"> since th</w:t>
      </w:r>
      <w:r w:rsidR="00D535B8">
        <w:t>at</w:t>
      </w:r>
      <w:r w:rsidR="004C015B">
        <w:t xml:space="preserve"> Authorit</w:t>
      </w:r>
      <w:r w:rsidR="00F904F4">
        <w:t>y</w:t>
      </w:r>
      <w:r w:rsidR="004C015B">
        <w:t xml:space="preserve"> do</w:t>
      </w:r>
      <w:r w:rsidR="00F904F4">
        <w:t>es</w:t>
      </w:r>
      <w:r w:rsidR="004C015B">
        <w:t xml:space="preserve"> not receive </w:t>
      </w:r>
      <w:r w:rsidR="00F904F4">
        <w:t>a</w:t>
      </w:r>
      <w:r w:rsidR="00D535B8">
        <w:t>ny</w:t>
      </w:r>
      <w:r w:rsidR="00F904F4">
        <w:t xml:space="preserve"> </w:t>
      </w:r>
      <w:r w:rsidR="00294BE4" w:rsidRPr="00294BE4">
        <w:t>notice</w:t>
      </w:r>
      <w:r>
        <w:t>s</w:t>
      </w:r>
      <w:r w:rsidR="00294BE4" w:rsidRPr="00294BE4">
        <w:t xml:space="preserve"> of withdrawal under </w:t>
      </w:r>
      <w:r w:rsidR="004C015B">
        <w:t>Rule 90</w:t>
      </w:r>
      <w:r w:rsidR="004C015B" w:rsidRPr="004C015B">
        <w:rPr>
          <w:i/>
        </w:rPr>
        <w:t>bis</w:t>
      </w:r>
      <w:r w:rsidR="00294BE4" w:rsidRPr="00294BE4">
        <w:t>.</w:t>
      </w:r>
    </w:p>
    <w:p w:rsidR="00685AFE" w:rsidRDefault="00685AFE" w:rsidP="00685AFE">
      <w:pPr>
        <w:pStyle w:val="Heading1"/>
      </w:pPr>
      <w:r>
        <w:t>Background</w:t>
      </w:r>
    </w:p>
    <w:p w:rsidR="00454FB1" w:rsidRDefault="00F904F4" w:rsidP="00454FB1">
      <w:pPr>
        <w:pStyle w:val="ONUME"/>
      </w:pPr>
      <w:r>
        <w:t xml:space="preserve">Under </w:t>
      </w:r>
      <w:r w:rsidR="00685AFE">
        <w:t>present</w:t>
      </w:r>
      <w:r>
        <w:t xml:space="preserve"> Rule 90</w:t>
      </w:r>
      <w:r w:rsidRPr="00454FB1">
        <w:rPr>
          <w:i/>
        </w:rPr>
        <w:t>bis</w:t>
      </w:r>
      <w:r w:rsidR="00685AFE">
        <w:t xml:space="preserve">, </w:t>
      </w:r>
      <w:r w:rsidR="003B2F1F">
        <w:t xml:space="preserve">agents </w:t>
      </w:r>
      <w:r w:rsidR="00454FB1">
        <w:t xml:space="preserve">who have been appointed by means of a general power of attorney </w:t>
      </w:r>
      <w:r w:rsidR="003B2F1F">
        <w:t xml:space="preserve">may submit notices of withdrawal </w:t>
      </w:r>
      <w:r>
        <w:t xml:space="preserve">(of the international application, designations, priority claims, the request for supplementary search, the demand and elections) (also) </w:t>
      </w:r>
      <w:r w:rsidR="003B2F1F">
        <w:t>to the International Bureau</w:t>
      </w:r>
      <w:r w:rsidR="007B4290">
        <w:t>.</w:t>
      </w:r>
      <w:r w:rsidR="00454FB1">
        <w:t xml:space="preserve">  </w:t>
      </w:r>
      <w:r w:rsidR="00294BE4">
        <w:t xml:space="preserve">Before </w:t>
      </w:r>
      <w:r w:rsidR="00C7740B">
        <w:t xml:space="preserve">the introduction </w:t>
      </w:r>
      <w:r>
        <w:t>(through the addition of Rule 90.5(c)</w:t>
      </w:r>
      <w:r w:rsidR="00D535B8">
        <w:t>,</w:t>
      </w:r>
      <w:r>
        <w:t xml:space="preserve"> see PCT/A/32/8, Annex III) </w:t>
      </w:r>
      <w:r w:rsidR="00C7740B">
        <w:t xml:space="preserve">of the possibility </w:t>
      </w:r>
      <w:r w:rsidR="00AB3E98">
        <w:t xml:space="preserve">for Offices and Authorities </w:t>
      </w:r>
      <w:r w:rsidR="00C7740B">
        <w:t xml:space="preserve">to waive the requirement </w:t>
      </w:r>
      <w:r w:rsidR="00AB3E98">
        <w:t xml:space="preserve">to receive </w:t>
      </w:r>
      <w:r w:rsidR="00C7740B">
        <w:t>a copy of a general power of attorney</w:t>
      </w:r>
      <w:r w:rsidR="00294BE4">
        <w:t>, the International Bu</w:t>
      </w:r>
      <w:r w:rsidR="00C7740B">
        <w:t>reau always</w:t>
      </w:r>
      <w:r w:rsidR="008B7E0C">
        <w:t xml:space="preserve"> receive</w:t>
      </w:r>
      <w:r w:rsidR="00D604BB">
        <w:t xml:space="preserve">d a </w:t>
      </w:r>
      <w:r w:rsidR="008B7E0C">
        <w:t>cop</w:t>
      </w:r>
      <w:r w:rsidR="00C7740B">
        <w:t>y</w:t>
      </w:r>
      <w:r w:rsidR="008B7E0C">
        <w:t xml:space="preserve"> of </w:t>
      </w:r>
      <w:r w:rsidR="00C7740B">
        <w:t xml:space="preserve">a </w:t>
      </w:r>
      <w:r w:rsidR="008B7E0C">
        <w:t xml:space="preserve">general </w:t>
      </w:r>
      <w:r w:rsidR="00C7740B">
        <w:t>power</w:t>
      </w:r>
      <w:r w:rsidR="002349EC">
        <w:t xml:space="preserve"> of attorn</w:t>
      </w:r>
      <w:r w:rsidR="004C015B">
        <w:t>ey</w:t>
      </w:r>
      <w:r w:rsidR="002349EC">
        <w:t xml:space="preserve"> from </w:t>
      </w:r>
      <w:r w:rsidR="00D604BB">
        <w:t>the Office</w:t>
      </w:r>
      <w:r w:rsidR="00294BE4">
        <w:t xml:space="preserve"> </w:t>
      </w:r>
      <w:r w:rsidR="00D604BB">
        <w:t>or Authority</w:t>
      </w:r>
      <w:r w:rsidR="002349EC">
        <w:t xml:space="preserve"> </w:t>
      </w:r>
      <w:r>
        <w:t xml:space="preserve">to which such </w:t>
      </w:r>
      <w:r w:rsidR="008A703C">
        <w:t xml:space="preserve">copy of a </w:t>
      </w:r>
      <w:r>
        <w:t>general power of attorney had been submitted</w:t>
      </w:r>
      <w:r w:rsidR="008A703C">
        <w:t xml:space="preserve">; </w:t>
      </w:r>
      <w:r>
        <w:t xml:space="preserve"> </w:t>
      </w:r>
      <w:r w:rsidR="002349EC">
        <w:t>thus</w:t>
      </w:r>
      <w:r w:rsidR="008A703C">
        <w:t>,</w:t>
      </w:r>
      <w:r w:rsidR="002349EC">
        <w:t xml:space="preserve"> </w:t>
      </w:r>
      <w:r w:rsidR="008A703C">
        <w:t xml:space="preserve">the International Bureau always had such a copy </w:t>
      </w:r>
      <w:r w:rsidR="009F7F91">
        <w:t xml:space="preserve">on </w:t>
      </w:r>
      <w:r w:rsidR="002349EC">
        <w:t>file</w:t>
      </w:r>
      <w:r w:rsidR="00B41C2F">
        <w:t xml:space="preserve"> whenever a </w:t>
      </w:r>
      <w:r w:rsidR="001E10BB">
        <w:t xml:space="preserve">notice of </w:t>
      </w:r>
      <w:r w:rsidR="00B41C2F">
        <w:t xml:space="preserve">withdrawal was </w:t>
      </w:r>
      <w:r w:rsidR="001E10BB">
        <w:t>submitted</w:t>
      </w:r>
      <w:r w:rsidR="00B41C2F">
        <w:t xml:space="preserve"> </w:t>
      </w:r>
      <w:r w:rsidR="00B93E62">
        <w:t>to it</w:t>
      </w:r>
      <w:r w:rsidR="008B7E0C">
        <w:t>.  However, through the introduction of</w:t>
      </w:r>
      <w:r w:rsidR="00294BE4">
        <w:t xml:space="preserve"> </w:t>
      </w:r>
      <w:r w:rsidR="002349EC">
        <w:t xml:space="preserve">the </w:t>
      </w:r>
      <w:r w:rsidR="00D604BB">
        <w:t xml:space="preserve">possibility to </w:t>
      </w:r>
      <w:r w:rsidR="002349EC" w:rsidRPr="00BF362F">
        <w:t>waive</w:t>
      </w:r>
      <w:r w:rsidR="00D604BB">
        <w:t xml:space="preserve"> that requirement</w:t>
      </w:r>
      <w:r w:rsidR="008B7E0C">
        <w:t xml:space="preserve">, </w:t>
      </w:r>
      <w:r w:rsidR="00094403">
        <w:t xml:space="preserve">applicants changed their practice in this regard and </w:t>
      </w:r>
      <w:r w:rsidR="009343BB">
        <w:t xml:space="preserve">now </w:t>
      </w:r>
      <w:r w:rsidR="00094403">
        <w:t>of</w:t>
      </w:r>
      <w:r w:rsidR="00D604BB">
        <w:t xml:space="preserve">ten no </w:t>
      </w:r>
      <w:r w:rsidR="008A703C">
        <w:t xml:space="preserve">longer </w:t>
      </w:r>
      <w:r w:rsidR="00D604BB">
        <w:t>submit a copy of</w:t>
      </w:r>
      <w:r w:rsidR="00094403">
        <w:t xml:space="preserve"> a general power of attorney to Offices and Authorities</w:t>
      </w:r>
      <w:r w:rsidR="00D535B8">
        <w:t>.</w:t>
      </w:r>
    </w:p>
    <w:p w:rsidR="002349EC" w:rsidRDefault="002349EC" w:rsidP="00454FB1">
      <w:pPr>
        <w:pStyle w:val="ONUME"/>
      </w:pPr>
      <w:r>
        <w:lastRenderedPageBreak/>
        <w:t>This means in practice that</w:t>
      </w:r>
      <w:r w:rsidR="008B7E0C">
        <w:t xml:space="preserve">, at present, where </w:t>
      </w:r>
      <w:r>
        <w:t>the International Bureau receives a notice of withdrawal</w:t>
      </w:r>
      <w:r w:rsidR="008B7E0C">
        <w:t xml:space="preserve"> from the agent who was appointed by </w:t>
      </w:r>
      <w:r w:rsidR="001E10BB">
        <w:t xml:space="preserve">means of </w:t>
      </w:r>
      <w:r w:rsidR="008B7E0C">
        <w:t>a general power of attorney</w:t>
      </w:r>
      <w:r>
        <w:t>, it neither has a copy of the general power of attorney</w:t>
      </w:r>
      <w:r w:rsidR="008B7E0C">
        <w:t xml:space="preserve"> on file</w:t>
      </w:r>
      <w:r w:rsidR="00D535B8">
        <w:t>,</w:t>
      </w:r>
      <w:r w:rsidR="008B5E4E">
        <w:t xml:space="preserve"> </w:t>
      </w:r>
      <w:r>
        <w:t xml:space="preserve">nor can the International Bureau </w:t>
      </w:r>
      <w:r w:rsidR="001E10BB">
        <w:t xml:space="preserve">accept </w:t>
      </w:r>
      <w:r>
        <w:t>a copy of it</w:t>
      </w:r>
      <w:r w:rsidR="008A703C">
        <w:t>, as Rule 90.5(d) does not envisage the International Bureau to be a recipient of such a copy submitted by the applicant</w:t>
      </w:r>
      <w:r>
        <w:t>.</w:t>
      </w:r>
      <w:r w:rsidR="007B0498">
        <w:t xml:space="preserve">  </w:t>
      </w:r>
      <w:r w:rsidR="006C707A">
        <w:t xml:space="preserve">In such a case, the International Bureau is required to invite the agent to submit </w:t>
      </w:r>
      <w:r w:rsidR="00DD763C">
        <w:t xml:space="preserve">a separate power of attorney to </w:t>
      </w:r>
      <w:r w:rsidR="006C707A">
        <w:t>it.</w:t>
      </w:r>
    </w:p>
    <w:p w:rsidR="008B7E0C" w:rsidRDefault="00F17399" w:rsidP="00F17399">
      <w:pPr>
        <w:pStyle w:val="ONUME"/>
      </w:pPr>
      <w:r>
        <w:t xml:space="preserve">In addition, </w:t>
      </w:r>
      <w:r w:rsidR="008A703C">
        <w:t xml:space="preserve">present </w:t>
      </w:r>
      <w:r>
        <w:t>Rule 90.5(d) states that</w:t>
      </w:r>
      <w:r w:rsidR="008A703C">
        <w:t>,</w:t>
      </w:r>
      <w:r>
        <w:t xml:space="preserve"> if an agent submits a notice of withdrawal to the </w:t>
      </w:r>
      <w:r w:rsidRPr="00F17399">
        <w:t>International Searching Authority</w:t>
      </w:r>
      <w:r>
        <w:t xml:space="preserve">, a copy of the general power of attorney should also be submitted to that Authority. </w:t>
      </w:r>
      <w:r w:rsidR="00E65E35">
        <w:t xml:space="preserve"> However, </w:t>
      </w:r>
      <w:r w:rsidR="008A703C">
        <w:t>under Rule 90</w:t>
      </w:r>
      <w:r w:rsidR="008A703C" w:rsidRPr="008A703C">
        <w:rPr>
          <w:i/>
        </w:rPr>
        <w:t>bis</w:t>
      </w:r>
      <w:r w:rsidR="008A703C">
        <w:t xml:space="preserve">, </w:t>
      </w:r>
      <w:r w:rsidRPr="00F17399">
        <w:t>I</w:t>
      </w:r>
      <w:r>
        <w:t>nternational Searching Authori</w:t>
      </w:r>
      <w:r w:rsidRPr="00F17399">
        <w:t xml:space="preserve">ties </w:t>
      </w:r>
      <w:r w:rsidR="0028795B">
        <w:t xml:space="preserve">are not competent to </w:t>
      </w:r>
      <w:r w:rsidRPr="00F17399">
        <w:t>receive any notices of withdrawals</w:t>
      </w:r>
      <w:r w:rsidR="0028795B">
        <w:t>.</w:t>
      </w:r>
      <w:r w:rsidR="008B7E0C">
        <w:t xml:space="preserve">  </w:t>
      </w:r>
    </w:p>
    <w:p w:rsidR="005D6C61" w:rsidRDefault="005D6C61" w:rsidP="005D6C61">
      <w:pPr>
        <w:pStyle w:val="Heading1"/>
      </w:pPr>
      <w:r>
        <w:t>Proposal</w:t>
      </w:r>
    </w:p>
    <w:p w:rsidR="00E7268D" w:rsidRDefault="005D6C61" w:rsidP="00595215">
      <w:pPr>
        <w:pStyle w:val="ONUME"/>
        <w:keepLines/>
      </w:pPr>
      <w:r>
        <w:t xml:space="preserve">It is </w:t>
      </w:r>
      <w:r w:rsidR="008A703C">
        <w:t xml:space="preserve">thus </w:t>
      </w:r>
      <w:r>
        <w:t xml:space="preserve">proposed to amend Rule </w:t>
      </w:r>
      <w:r w:rsidR="003B2F1F">
        <w:t>90</w:t>
      </w:r>
      <w:r>
        <w:t>.</w:t>
      </w:r>
      <w:r w:rsidR="003B2F1F">
        <w:t>5(d</w:t>
      </w:r>
      <w:r>
        <w:t>)</w:t>
      </w:r>
      <w:r w:rsidR="00E7268D">
        <w:t xml:space="preserve"> </w:t>
      </w:r>
      <w:r w:rsidR="003B2F1F">
        <w:t xml:space="preserve">so that an agent who has been appointed by a general power of attorney and who submits a notice of withdrawal to the International Bureau </w:t>
      </w:r>
      <w:r w:rsidR="008A703C">
        <w:t xml:space="preserve">would be required to </w:t>
      </w:r>
      <w:r w:rsidR="003B2F1F">
        <w:t>submit a copy of the general power of attorney to the International Bureau</w:t>
      </w:r>
      <w:r w:rsidR="00271A94">
        <w:t xml:space="preserve"> together with the notice of withdrawal</w:t>
      </w:r>
      <w:r w:rsidR="003B2F1F">
        <w:t xml:space="preserve">. </w:t>
      </w:r>
      <w:r w:rsidR="008A703C">
        <w:t xml:space="preserve"> </w:t>
      </w:r>
      <w:r w:rsidR="00AB3E98">
        <w:t xml:space="preserve">This </w:t>
      </w:r>
      <w:r w:rsidR="008A703C">
        <w:t xml:space="preserve">would enable </w:t>
      </w:r>
      <w:r w:rsidR="007B4290">
        <w:t>the International Bureau</w:t>
      </w:r>
      <w:r w:rsidR="008A703C">
        <w:t>, in cases where it</w:t>
      </w:r>
      <w:r w:rsidR="007B4290">
        <w:t xml:space="preserve"> receives a notice of withdrawal together with a copy of the general power of attorney, to process the </w:t>
      </w:r>
      <w:r w:rsidR="007D7DE6">
        <w:t xml:space="preserve">notice of </w:t>
      </w:r>
      <w:r w:rsidR="007B4290">
        <w:t>withdrawal without requiring the agent to submit a separate power of attorney</w:t>
      </w:r>
      <w:r w:rsidR="00E7268D">
        <w:t>.</w:t>
      </w:r>
    </w:p>
    <w:p w:rsidR="00094E18" w:rsidRDefault="00094E18" w:rsidP="00595215">
      <w:pPr>
        <w:pStyle w:val="ONUME"/>
        <w:keepLines/>
      </w:pPr>
      <w:r>
        <w:t xml:space="preserve">In addition, it is proposed to amend Rule 90.5(d) </w:t>
      </w:r>
      <w:r w:rsidR="00271A94">
        <w:t xml:space="preserve">so as </w:t>
      </w:r>
      <w:r>
        <w:t>to delete the reference to the International Searching Authority</w:t>
      </w:r>
      <w:r w:rsidR="00271A94">
        <w:t>,</w:t>
      </w:r>
      <w:r>
        <w:t xml:space="preserve"> since th</w:t>
      </w:r>
      <w:r w:rsidR="00AB3E98">
        <w:t xml:space="preserve">at </w:t>
      </w:r>
      <w:r>
        <w:t>Authorit</w:t>
      </w:r>
      <w:r w:rsidR="00AB3E98">
        <w:t>y</w:t>
      </w:r>
      <w:r>
        <w:t xml:space="preserve"> do</w:t>
      </w:r>
      <w:r w:rsidR="00E542BE">
        <w:t>es</w:t>
      </w:r>
      <w:r>
        <w:t xml:space="preserve"> not receive notices o</w:t>
      </w:r>
      <w:r w:rsidR="001E10BB">
        <w:t>f withdrawals under Rule 90</w:t>
      </w:r>
      <w:r w:rsidR="001E10BB" w:rsidRPr="001E10BB">
        <w:rPr>
          <w:i/>
        </w:rPr>
        <w:t>bis</w:t>
      </w:r>
      <w:r w:rsidR="00025232">
        <w:t>.</w:t>
      </w:r>
      <w:r>
        <w:t xml:space="preserve"> </w:t>
      </w:r>
    </w:p>
    <w:p w:rsidR="00346E7B" w:rsidRPr="00EE5300" w:rsidRDefault="00346E7B" w:rsidP="00E7268D">
      <w:pPr>
        <w:pStyle w:val="ONUME"/>
        <w:keepNext/>
        <w:keepLines/>
        <w:ind w:left="5528"/>
        <w:rPr>
          <w:i/>
        </w:rPr>
      </w:pPr>
      <w:r w:rsidRPr="00EF2F0C">
        <w:rPr>
          <w:i/>
        </w:rPr>
        <w:t xml:space="preserve">The </w:t>
      </w:r>
      <w:r>
        <w:rPr>
          <w:i/>
        </w:rPr>
        <w:t>Working Group is invited</w:t>
      </w:r>
      <w:r w:rsidR="00E7268D">
        <w:rPr>
          <w:i/>
        </w:rPr>
        <w:t xml:space="preserve"> to consider the proposal set out in the Annex to this document.</w:t>
      </w:r>
    </w:p>
    <w:p w:rsidR="00595215" w:rsidRDefault="00595215" w:rsidP="00595215">
      <w:pPr>
        <w:pStyle w:val="Endofdocument-Annex"/>
      </w:pPr>
    </w:p>
    <w:p w:rsidR="00D4092A" w:rsidRDefault="00595215" w:rsidP="00595215">
      <w:pPr>
        <w:pStyle w:val="Endofdocument-Annex"/>
      </w:pPr>
      <w:r>
        <w:t>[</w:t>
      </w:r>
      <w:r w:rsidR="00D4092A">
        <w:t>Annex follows]</w:t>
      </w:r>
    </w:p>
    <w:p w:rsidR="00D4092A" w:rsidRDefault="00D4092A">
      <w:pPr>
        <w:sectPr w:rsidR="00D4092A" w:rsidSect="00B24007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D4092A" w:rsidRDefault="00D4092A" w:rsidP="00D4092A">
      <w:pPr>
        <w:jc w:val="right"/>
      </w:pPr>
      <w:r>
        <w:lastRenderedPageBreak/>
        <w:t>PCT/WG/7/</w:t>
      </w:r>
      <w:r w:rsidR="002A6BC9">
        <w:t>16</w:t>
      </w:r>
    </w:p>
    <w:p w:rsidR="00D4092A" w:rsidRDefault="00D4092A" w:rsidP="00D4092A">
      <w:pPr>
        <w:jc w:val="right"/>
      </w:pPr>
      <w:r>
        <w:t>ANNEX</w:t>
      </w:r>
    </w:p>
    <w:p w:rsidR="00D4092A" w:rsidRDefault="00D4092A" w:rsidP="00E7268D">
      <w:pPr>
        <w:jc w:val="center"/>
      </w:pPr>
    </w:p>
    <w:p w:rsidR="00E7268D" w:rsidRDefault="00E7268D" w:rsidP="00E7268D">
      <w:pPr>
        <w:jc w:val="center"/>
      </w:pPr>
      <w:r w:rsidRPr="00E63141">
        <w:t>PROPOSED AMENDMENTS TO THE PCT REGULATIONS</w:t>
      </w:r>
      <w:r w:rsidRPr="00E63141">
        <w:rPr>
          <w:rStyle w:val="FootnoteReference"/>
        </w:rPr>
        <w:footnoteReference w:id="2"/>
      </w:r>
    </w:p>
    <w:p w:rsidR="00E7268D" w:rsidRDefault="00E7268D" w:rsidP="00E7268D">
      <w:pPr>
        <w:jc w:val="center"/>
      </w:pPr>
    </w:p>
    <w:p w:rsidR="00E7268D" w:rsidRDefault="00E7268D" w:rsidP="00E7268D">
      <w:pPr>
        <w:jc w:val="center"/>
      </w:pPr>
    </w:p>
    <w:p w:rsidR="00E7268D" w:rsidRDefault="00E7268D" w:rsidP="00E7268D">
      <w:pPr>
        <w:jc w:val="center"/>
      </w:pPr>
      <w:r w:rsidRPr="00E63141">
        <w:t>TABLE OF CONTENTS</w:t>
      </w:r>
    </w:p>
    <w:p w:rsidR="00E7268D" w:rsidRDefault="00E7268D" w:rsidP="00E7268D"/>
    <w:p w:rsidR="00E7180E" w:rsidRDefault="00113CE0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r>
        <w:fldChar w:fldCharType="begin"/>
      </w:r>
      <w:r>
        <w:instrText xml:space="preserve"> TOC \h \z \t "Leg # Title,1,Leg SubRule #,2" </w:instrText>
      </w:r>
      <w:r>
        <w:fldChar w:fldCharType="separate"/>
      </w:r>
      <w:hyperlink w:anchor="_Toc386012937" w:history="1">
        <w:r w:rsidR="00E7180E" w:rsidRPr="00AD1E92">
          <w:rPr>
            <w:rStyle w:val="Hyperlink"/>
            <w:noProof/>
          </w:rPr>
          <w:t>Rule 90 Agents and Common Representatives</w:t>
        </w:r>
        <w:r w:rsidR="00E7180E">
          <w:rPr>
            <w:noProof/>
            <w:webHidden/>
          </w:rPr>
          <w:tab/>
        </w:r>
        <w:r w:rsidR="00E7180E">
          <w:rPr>
            <w:noProof/>
            <w:webHidden/>
          </w:rPr>
          <w:fldChar w:fldCharType="begin"/>
        </w:r>
        <w:r w:rsidR="00E7180E">
          <w:rPr>
            <w:noProof/>
            <w:webHidden/>
          </w:rPr>
          <w:instrText xml:space="preserve"> PAGEREF _Toc386012937 \h </w:instrText>
        </w:r>
        <w:r w:rsidR="00E7180E">
          <w:rPr>
            <w:noProof/>
            <w:webHidden/>
          </w:rPr>
        </w:r>
        <w:r w:rsidR="00E7180E">
          <w:rPr>
            <w:noProof/>
            <w:webHidden/>
          </w:rPr>
          <w:fldChar w:fldCharType="separate"/>
        </w:r>
        <w:r w:rsidR="00496B25">
          <w:rPr>
            <w:noProof/>
            <w:webHidden/>
          </w:rPr>
          <w:t>2</w:t>
        </w:r>
        <w:r w:rsidR="00E7180E">
          <w:rPr>
            <w:noProof/>
            <w:webHidden/>
          </w:rPr>
          <w:fldChar w:fldCharType="end"/>
        </w:r>
      </w:hyperlink>
    </w:p>
    <w:p w:rsidR="00E7180E" w:rsidRDefault="00496B25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86012938" w:history="1">
        <w:r w:rsidR="00E7180E" w:rsidRPr="00AD1E92">
          <w:rPr>
            <w:rStyle w:val="Hyperlink"/>
            <w:noProof/>
          </w:rPr>
          <w:t>90.1 to 90.4   [No change]</w:t>
        </w:r>
        <w:r w:rsidR="00E7180E">
          <w:rPr>
            <w:noProof/>
            <w:webHidden/>
          </w:rPr>
          <w:tab/>
        </w:r>
        <w:r w:rsidR="00E7180E">
          <w:rPr>
            <w:noProof/>
            <w:webHidden/>
          </w:rPr>
          <w:fldChar w:fldCharType="begin"/>
        </w:r>
        <w:r w:rsidR="00E7180E">
          <w:rPr>
            <w:noProof/>
            <w:webHidden/>
          </w:rPr>
          <w:instrText xml:space="preserve"> PAGEREF _Toc386012938 \h </w:instrText>
        </w:r>
        <w:r w:rsidR="00E7180E">
          <w:rPr>
            <w:noProof/>
            <w:webHidden/>
          </w:rPr>
        </w:r>
        <w:r w:rsidR="00E7180E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E7180E">
          <w:rPr>
            <w:noProof/>
            <w:webHidden/>
          </w:rPr>
          <w:fldChar w:fldCharType="end"/>
        </w:r>
      </w:hyperlink>
    </w:p>
    <w:p w:rsidR="00E7180E" w:rsidRDefault="00496B25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86012939" w:history="1">
        <w:r w:rsidR="00E7180E" w:rsidRPr="00AD1E92">
          <w:rPr>
            <w:rStyle w:val="Hyperlink"/>
            <w:noProof/>
          </w:rPr>
          <w:t>90.5   General Power of Attorney</w:t>
        </w:r>
        <w:r w:rsidR="00E7180E">
          <w:rPr>
            <w:noProof/>
            <w:webHidden/>
          </w:rPr>
          <w:tab/>
        </w:r>
        <w:r w:rsidR="00E7180E">
          <w:rPr>
            <w:noProof/>
            <w:webHidden/>
          </w:rPr>
          <w:fldChar w:fldCharType="begin"/>
        </w:r>
        <w:r w:rsidR="00E7180E">
          <w:rPr>
            <w:noProof/>
            <w:webHidden/>
          </w:rPr>
          <w:instrText xml:space="preserve"> PAGEREF _Toc386012939 \h </w:instrText>
        </w:r>
        <w:r w:rsidR="00E7180E">
          <w:rPr>
            <w:noProof/>
            <w:webHidden/>
          </w:rPr>
        </w:r>
        <w:r w:rsidR="00E7180E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E7180E">
          <w:rPr>
            <w:noProof/>
            <w:webHidden/>
          </w:rPr>
          <w:fldChar w:fldCharType="end"/>
        </w:r>
      </w:hyperlink>
    </w:p>
    <w:p w:rsidR="00E7180E" w:rsidRDefault="00496B25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386012940" w:history="1">
        <w:r w:rsidR="00E7180E" w:rsidRPr="00AD1E92">
          <w:rPr>
            <w:rStyle w:val="Hyperlink"/>
            <w:noProof/>
          </w:rPr>
          <w:t>90.6   [No change]</w:t>
        </w:r>
        <w:r w:rsidR="00E7180E">
          <w:rPr>
            <w:noProof/>
            <w:webHidden/>
          </w:rPr>
          <w:tab/>
        </w:r>
        <w:r w:rsidR="00E7180E">
          <w:rPr>
            <w:noProof/>
            <w:webHidden/>
          </w:rPr>
          <w:fldChar w:fldCharType="begin"/>
        </w:r>
        <w:r w:rsidR="00E7180E">
          <w:rPr>
            <w:noProof/>
            <w:webHidden/>
          </w:rPr>
          <w:instrText xml:space="preserve"> PAGEREF _Toc386012940 \h </w:instrText>
        </w:r>
        <w:r w:rsidR="00E7180E">
          <w:rPr>
            <w:noProof/>
            <w:webHidden/>
          </w:rPr>
        </w:r>
        <w:r w:rsidR="00E7180E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E7180E">
          <w:rPr>
            <w:noProof/>
            <w:webHidden/>
          </w:rPr>
          <w:fldChar w:fldCharType="end"/>
        </w:r>
      </w:hyperlink>
    </w:p>
    <w:p w:rsidR="00E7268D" w:rsidRDefault="00113CE0" w:rsidP="00E7268D">
      <w:r>
        <w:fldChar w:fldCharType="end"/>
      </w:r>
    </w:p>
    <w:p w:rsidR="00E7268D" w:rsidRDefault="00E7268D" w:rsidP="00E7268D"/>
    <w:p w:rsidR="00E75A26" w:rsidRPr="00E75A26" w:rsidRDefault="00E75A26" w:rsidP="00113CE0">
      <w:pPr>
        <w:pStyle w:val="LegTitle"/>
      </w:pPr>
      <w:bookmarkStart w:id="6" w:name="_Toc386012937"/>
      <w:r w:rsidRPr="00113CE0">
        <w:lastRenderedPageBreak/>
        <w:t>Rule</w:t>
      </w:r>
      <w:r w:rsidRPr="00E75A26">
        <w:t xml:space="preserve"> </w:t>
      </w:r>
      <w:r w:rsidR="001D165F">
        <w:t>90</w:t>
      </w:r>
      <w:r w:rsidRPr="00E75A26">
        <w:br/>
      </w:r>
      <w:r w:rsidR="001D165F">
        <w:t>Agents and Common Representatives</w:t>
      </w:r>
      <w:bookmarkEnd w:id="6"/>
    </w:p>
    <w:p w:rsidR="00E75A26" w:rsidRPr="00E75A26" w:rsidRDefault="001D165F" w:rsidP="001D165F">
      <w:pPr>
        <w:pStyle w:val="LegSubRule"/>
      </w:pPr>
      <w:bookmarkStart w:id="7" w:name="_Toc386012938"/>
      <w:r>
        <w:t>90</w:t>
      </w:r>
      <w:r w:rsidR="00E75A26" w:rsidRPr="00E75A26">
        <w:t>.1</w:t>
      </w:r>
      <w:r>
        <w:t xml:space="preserve"> to 90.4</w:t>
      </w:r>
      <w:r w:rsidR="00E75A26" w:rsidRPr="00E75A26">
        <w:t>   </w:t>
      </w:r>
      <w:r w:rsidR="00113CE0">
        <w:t>[No change]</w:t>
      </w:r>
      <w:bookmarkEnd w:id="7"/>
    </w:p>
    <w:p w:rsidR="00E75A26" w:rsidRPr="00E75A26" w:rsidRDefault="001D165F" w:rsidP="00113CE0">
      <w:pPr>
        <w:pStyle w:val="LegSubRule"/>
      </w:pPr>
      <w:bookmarkStart w:id="8" w:name="_Toc386012939"/>
      <w:r>
        <w:t>90</w:t>
      </w:r>
      <w:r w:rsidR="00E75A26" w:rsidRPr="00E75A26">
        <w:t>.</w:t>
      </w:r>
      <w:r>
        <w:t>5</w:t>
      </w:r>
      <w:r w:rsidR="00E75A26" w:rsidRPr="00E75A26">
        <w:t>   </w:t>
      </w:r>
      <w:r>
        <w:t>General Power of Attorney</w:t>
      </w:r>
      <w:bookmarkEnd w:id="8"/>
    </w:p>
    <w:p w:rsidR="001D165F" w:rsidRDefault="001D165F" w:rsidP="00477E42">
      <w:pPr>
        <w:pStyle w:val="Lega"/>
        <w:jc w:val="left"/>
      </w:pPr>
      <w:r>
        <w:tab/>
        <w:t>(a)  </w:t>
      </w:r>
      <w:r w:rsidR="008A703C">
        <w:t>[No change]</w:t>
      </w:r>
      <w:proofErr w:type="gramStart"/>
      <w:r w:rsidR="008B5E4E">
        <w:t>  </w:t>
      </w:r>
      <w:r>
        <w:t>Appointment</w:t>
      </w:r>
      <w:proofErr w:type="gramEnd"/>
      <w:r>
        <w:t xml:space="preserve"> of an agent in relation to a particular international application may be effected by referring in the request, the demand or a separate notice to an existing separate power of attorney appointing that agent to represent the applicant in relation to any international application which may be filed by that applicant (i.e., a "general power of attorney"), provided that:</w:t>
      </w:r>
    </w:p>
    <w:p w:rsidR="001D165F" w:rsidRDefault="001D165F" w:rsidP="008B5E4E">
      <w:pPr>
        <w:pStyle w:val="Legi"/>
      </w:pPr>
      <w:r>
        <w:tab/>
        <w:t>(</w:t>
      </w:r>
      <w:proofErr w:type="spellStart"/>
      <w:r>
        <w:t>i</w:t>
      </w:r>
      <w:proofErr w:type="spellEnd"/>
      <w:r>
        <w:t>)</w:t>
      </w:r>
      <w:r w:rsidR="008B5E4E">
        <w:tab/>
      </w:r>
      <w:r>
        <w:t xml:space="preserve">  </w:t>
      </w:r>
      <w:proofErr w:type="gramStart"/>
      <w:r>
        <w:t>the</w:t>
      </w:r>
      <w:proofErr w:type="gramEnd"/>
      <w:r>
        <w:t xml:space="preserve"> general power of attorney has been deposited in accordance with paragraph</w:t>
      </w:r>
      <w:r w:rsidR="00477E42">
        <w:t> </w:t>
      </w:r>
      <w:r>
        <w:t>(b), and</w:t>
      </w:r>
    </w:p>
    <w:p w:rsidR="00E75A26" w:rsidRPr="00E75A26" w:rsidRDefault="001D165F" w:rsidP="008B5E4E">
      <w:pPr>
        <w:pStyle w:val="Legi"/>
      </w:pPr>
      <w:r>
        <w:tab/>
        <w:t>(ii)</w:t>
      </w:r>
      <w:r w:rsidR="008B5E4E">
        <w:tab/>
      </w:r>
      <w:r>
        <w:t xml:space="preserve">  </w:t>
      </w:r>
      <w:proofErr w:type="gramStart"/>
      <w:r>
        <w:t>a</w:t>
      </w:r>
      <w:proofErr w:type="gramEnd"/>
      <w:r>
        <w:t xml:space="preserve"> copy of it is attached to the request, the demand or the separate notice, as the case may be; that copy need not be signed.</w:t>
      </w:r>
    </w:p>
    <w:p w:rsidR="00E75A26" w:rsidRDefault="00E75A26" w:rsidP="008B5E4E">
      <w:pPr>
        <w:pStyle w:val="Lega"/>
        <w:jc w:val="left"/>
      </w:pPr>
      <w:r w:rsidRPr="00E75A26">
        <w:tab/>
        <w:t>(</w:t>
      </w:r>
      <w:r w:rsidR="001D165F">
        <w:t>b)  </w:t>
      </w:r>
      <w:r w:rsidR="008A703C">
        <w:t>[No change]</w:t>
      </w:r>
      <w:r w:rsidR="008B5E4E">
        <w:t>  </w:t>
      </w:r>
      <w:r w:rsidR="001D165F" w:rsidRPr="001D165F">
        <w:t>The general power of attorney shall be deposited with the receiving Office, provided that, where it appoints an agent under Rule 90.1(b), (b-</w:t>
      </w:r>
      <w:proofErr w:type="spellStart"/>
      <w:r w:rsidR="001D165F" w:rsidRPr="001D165F">
        <w:t>bis</w:t>
      </w:r>
      <w:proofErr w:type="spellEnd"/>
      <w:r w:rsidR="001D165F" w:rsidRPr="001D165F">
        <w:t>), (c) or (d)(ii), it shall be deposited with the International Searching Authority, the Authority specified for supplementary search or the International Preliminary Examining Authority, as the case may be.</w:t>
      </w:r>
    </w:p>
    <w:p w:rsidR="001D165F" w:rsidRDefault="001D165F" w:rsidP="008B5E4E">
      <w:pPr>
        <w:pStyle w:val="Lega"/>
        <w:jc w:val="left"/>
      </w:pPr>
      <w:r>
        <w:tab/>
        <w:t>(c)</w:t>
      </w:r>
      <w:r w:rsidR="008B5E4E">
        <w:t>  </w:t>
      </w:r>
      <w:r w:rsidR="008A703C">
        <w:t>[No change]</w:t>
      </w:r>
      <w:r w:rsidR="008B5E4E">
        <w:t>  </w:t>
      </w:r>
      <w:r w:rsidRPr="001D165F">
        <w:t>Any receiving Office, any International Searching Authority, any Authority competent to carry out supplementary searches and any International Preliminary Examining Authority may waive the requirement under paragraph (a)(ii) that a copy of the general power of attorney is attached to the request, the demand or the separate notice, as the case may be.</w:t>
      </w:r>
    </w:p>
    <w:p w:rsidR="00113CE0" w:rsidRDefault="001D165F" w:rsidP="008B5E4E">
      <w:pPr>
        <w:pStyle w:val="Lega"/>
        <w:jc w:val="left"/>
      </w:pPr>
      <w:r>
        <w:lastRenderedPageBreak/>
        <w:tab/>
        <w:t>(d)</w:t>
      </w:r>
      <w:r w:rsidR="008B5E4E">
        <w:t>  </w:t>
      </w:r>
      <w:r w:rsidRPr="001D165F">
        <w:t>Notwithstanding paragraph (c), where the agent submits any notice of withdrawal referred to in Rules 90</w:t>
      </w:r>
      <w:r w:rsidRPr="001D165F">
        <w:rPr>
          <w:i/>
        </w:rPr>
        <w:t>bis</w:t>
      </w:r>
      <w:r w:rsidRPr="001D165F">
        <w:t>.1 to 90</w:t>
      </w:r>
      <w:r w:rsidRPr="001D165F">
        <w:rPr>
          <w:i/>
        </w:rPr>
        <w:t>bis</w:t>
      </w:r>
      <w:r w:rsidRPr="001D165F">
        <w:t>.4 to the rec</w:t>
      </w:r>
      <w:bookmarkStart w:id="9" w:name="_GoBack"/>
      <w:bookmarkEnd w:id="9"/>
      <w:r w:rsidRPr="001D165F">
        <w:t xml:space="preserve">eiving Office, </w:t>
      </w:r>
      <w:r w:rsidRPr="001D165F">
        <w:rPr>
          <w:rStyle w:val="DeletedText"/>
        </w:rPr>
        <w:t xml:space="preserve">the International Searching Authority, </w:t>
      </w:r>
      <w:r w:rsidRPr="001D165F">
        <w:t>the Authority specified for supplementary search</w:t>
      </w:r>
      <w:r w:rsidRPr="001D165F">
        <w:rPr>
          <w:rStyle w:val="InsertedText"/>
        </w:rPr>
        <w:t>,</w:t>
      </w:r>
      <w:r w:rsidRPr="001D165F">
        <w:rPr>
          <w:rStyle w:val="DeletedText"/>
        </w:rPr>
        <w:t xml:space="preserve"> or</w:t>
      </w:r>
      <w:r w:rsidRPr="001D165F">
        <w:t xml:space="preserve"> the International Preliminary Examining Authority</w:t>
      </w:r>
      <w:r w:rsidRPr="003C5091">
        <w:rPr>
          <w:rStyle w:val="InsertedText"/>
          <w:color w:val="0070C0"/>
        </w:rPr>
        <w:t xml:space="preserve"> or the International Bureau</w:t>
      </w:r>
      <w:r w:rsidRPr="001D165F">
        <w:t>, as the case may be, a copy of the general power of attorney shall be submitted to that Office</w:t>
      </w:r>
      <w:r w:rsidR="00783F81">
        <w:rPr>
          <w:rStyle w:val="InsertedText"/>
        </w:rPr>
        <w:t>,</w:t>
      </w:r>
      <w:r w:rsidR="00783F81">
        <w:t xml:space="preserve"> </w:t>
      </w:r>
      <w:r w:rsidR="00783F81" w:rsidRPr="00783F81">
        <w:rPr>
          <w:rStyle w:val="DeletedText"/>
        </w:rPr>
        <w:t>or</w:t>
      </w:r>
      <w:r w:rsidRPr="001D165F">
        <w:t xml:space="preserve"> Authority</w:t>
      </w:r>
      <w:r w:rsidR="00271A94">
        <w:t xml:space="preserve"> </w:t>
      </w:r>
      <w:r w:rsidR="00271A94" w:rsidRPr="003C5091">
        <w:rPr>
          <w:rStyle w:val="InsertedText"/>
          <w:color w:val="0070C0"/>
        </w:rPr>
        <w:t>or Bureau</w:t>
      </w:r>
      <w:r w:rsidRPr="001D165F">
        <w:t>.</w:t>
      </w:r>
    </w:p>
    <w:p w:rsidR="00783F81" w:rsidRPr="00E75A26" w:rsidRDefault="00783F81" w:rsidP="00783F81">
      <w:pPr>
        <w:pStyle w:val="LegSubRule"/>
      </w:pPr>
      <w:bookmarkStart w:id="10" w:name="_Toc386012940"/>
      <w:r w:rsidRPr="00783F81">
        <w:rPr>
          <w:i w:val="0"/>
        </w:rPr>
        <w:t>90.6</w:t>
      </w:r>
      <w:r>
        <w:t> </w:t>
      </w:r>
      <w:r w:rsidRPr="00E75A26">
        <w:t>  </w:t>
      </w:r>
      <w:r>
        <w:t>[No change]</w:t>
      </w:r>
      <w:bookmarkEnd w:id="10"/>
    </w:p>
    <w:p w:rsidR="00E75A26" w:rsidRDefault="00E75A26" w:rsidP="00E7268D"/>
    <w:p w:rsidR="00E7268D" w:rsidRDefault="00E7268D" w:rsidP="00E7268D"/>
    <w:p w:rsidR="00D4092A" w:rsidRDefault="00651267" w:rsidP="00651267">
      <w:pPr>
        <w:pStyle w:val="Endofdocument-Annex"/>
      </w:pPr>
      <w:r>
        <w:t>[End of Annex and of document]</w:t>
      </w:r>
    </w:p>
    <w:sectPr w:rsidR="00D4092A" w:rsidSect="00651267"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307" w:rsidRDefault="00A36307">
      <w:r>
        <w:separator/>
      </w:r>
    </w:p>
  </w:endnote>
  <w:endnote w:type="continuationSeparator" w:id="0">
    <w:p w:rsidR="00A36307" w:rsidRDefault="00A36307" w:rsidP="003B38C1">
      <w:r>
        <w:separator/>
      </w:r>
    </w:p>
    <w:p w:rsidR="00A36307" w:rsidRPr="003B38C1" w:rsidRDefault="00A3630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36307" w:rsidRPr="003B38C1" w:rsidRDefault="00A3630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307" w:rsidRDefault="00A36307">
      <w:r>
        <w:separator/>
      </w:r>
    </w:p>
  </w:footnote>
  <w:footnote w:type="continuationSeparator" w:id="0">
    <w:p w:rsidR="00A36307" w:rsidRDefault="00A36307" w:rsidP="008B60B2">
      <w:r>
        <w:separator/>
      </w:r>
    </w:p>
    <w:p w:rsidR="00A36307" w:rsidRPr="00ED77FB" w:rsidRDefault="00A3630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36307" w:rsidRPr="00ED77FB" w:rsidRDefault="00A3630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E7268D" w:rsidRPr="00DE7A0C" w:rsidRDefault="00E7268D" w:rsidP="00E7268D">
      <w:pPr>
        <w:pStyle w:val="FootnoteText"/>
        <w:tabs>
          <w:tab w:val="left" w:pos="567"/>
        </w:tabs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DE7A0C">
        <w:t>Proposed additions and deletions are indicated, respectively, by underlining and striking through the text concerned.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2A" w:rsidRPr="00D4092A" w:rsidRDefault="00D4092A" w:rsidP="00D4092A">
    <w:pPr>
      <w:jc w:val="right"/>
      <w:rPr>
        <w:lang w:val="fr-CH"/>
      </w:rPr>
    </w:pPr>
    <w:bookmarkStart w:id="5" w:name="Code2"/>
    <w:bookmarkEnd w:id="5"/>
    <w:r w:rsidRPr="00D4092A">
      <w:rPr>
        <w:lang w:val="fr-CH"/>
      </w:rPr>
      <w:t>PCT/WG/7/</w:t>
    </w:r>
    <w:r w:rsidR="002A6BC9">
      <w:rPr>
        <w:lang w:val="fr-CH"/>
      </w:rPr>
      <w:t>16</w:t>
    </w:r>
  </w:p>
  <w:p w:rsidR="00EC4E49" w:rsidRPr="00D4092A" w:rsidRDefault="00651267" w:rsidP="00477D6B">
    <w:pPr>
      <w:jc w:val="right"/>
      <w:rPr>
        <w:lang w:val="fr-CH"/>
      </w:rPr>
    </w:pPr>
    <w:proofErr w:type="spellStart"/>
    <w:r>
      <w:rPr>
        <w:lang w:val="fr-CH"/>
      </w:rPr>
      <w:t>Annex</w:t>
    </w:r>
    <w:proofErr w:type="spellEnd"/>
    <w:r>
      <w:rPr>
        <w:lang w:val="fr-CH"/>
      </w:rPr>
      <w:t xml:space="preserve">, </w:t>
    </w:r>
    <w:r w:rsidR="00EC4E49" w:rsidRPr="00D4092A">
      <w:rPr>
        <w:lang w:val="fr-CH"/>
      </w:rPr>
      <w:t xml:space="preserve">page </w:t>
    </w:r>
    <w:r w:rsidR="00EC4E49">
      <w:fldChar w:fldCharType="begin"/>
    </w:r>
    <w:r w:rsidR="00EC4E49" w:rsidRPr="00D4092A">
      <w:rPr>
        <w:lang w:val="fr-CH"/>
      </w:rPr>
      <w:instrText xml:space="preserve"> PAGE  \* MERGEFORMAT </w:instrText>
    </w:r>
    <w:r w:rsidR="00EC4E49">
      <w:fldChar w:fldCharType="separate"/>
    </w:r>
    <w:r w:rsidR="00496B25">
      <w:rPr>
        <w:noProof/>
        <w:lang w:val="fr-CH"/>
      </w:rPr>
      <w:t>3</w:t>
    </w:r>
    <w:r w:rsidR="00EC4E49">
      <w:fldChar w:fldCharType="end"/>
    </w:r>
  </w:p>
  <w:p w:rsidR="00EC4E49" w:rsidRDefault="00EC4E49" w:rsidP="00477D6B">
    <w:pPr>
      <w:jc w:val="right"/>
      <w:rPr>
        <w:lang w:val="fr-CH"/>
      </w:rPr>
    </w:pPr>
  </w:p>
  <w:p w:rsidR="00113CE0" w:rsidRPr="00D4092A" w:rsidRDefault="00113CE0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FEC6B13E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07"/>
    <w:rsid w:val="00023F27"/>
    <w:rsid w:val="00025232"/>
    <w:rsid w:val="00034DED"/>
    <w:rsid w:val="00043CAA"/>
    <w:rsid w:val="00050628"/>
    <w:rsid w:val="0005099A"/>
    <w:rsid w:val="00073911"/>
    <w:rsid w:val="00075432"/>
    <w:rsid w:val="00081E17"/>
    <w:rsid w:val="000820E3"/>
    <w:rsid w:val="000871C7"/>
    <w:rsid w:val="00094403"/>
    <w:rsid w:val="00094E18"/>
    <w:rsid w:val="000968ED"/>
    <w:rsid w:val="000A591D"/>
    <w:rsid w:val="000E1783"/>
    <w:rsid w:val="000F5E56"/>
    <w:rsid w:val="00113CE0"/>
    <w:rsid w:val="001223C2"/>
    <w:rsid w:val="001362EE"/>
    <w:rsid w:val="001832A6"/>
    <w:rsid w:val="001A4CBF"/>
    <w:rsid w:val="001D165F"/>
    <w:rsid w:val="001E10BB"/>
    <w:rsid w:val="002005E3"/>
    <w:rsid w:val="0021695C"/>
    <w:rsid w:val="002312EC"/>
    <w:rsid w:val="0023300C"/>
    <w:rsid w:val="002349EC"/>
    <w:rsid w:val="00242E6A"/>
    <w:rsid w:val="002634C4"/>
    <w:rsid w:val="00271A94"/>
    <w:rsid w:val="0028795B"/>
    <w:rsid w:val="002928D3"/>
    <w:rsid w:val="00294BE4"/>
    <w:rsid w:val="002A6BC9"/>
    <w:rsid w:val="002E29EF"/>
    <w:rsid w:val="002F058A"/>
    <w:rsid w:val="002F1FE6"/>
    <w:rsid w:val="002F4E68"/>
    <w:rsid w:val="00312F7F"/>
    <w:rsid w:val="00346E7B"/>
    <w:rsid w:val="00361450"/>
    <w:rsid w:val="0036347E"/>
    <w:rsid w:val="003673CF"/>
    <w:rsid w:val="00376F25"/>
    <w:rsid w:val="003845C1"/>
    <w:rsid w:val="003A6F89"/>
    <w:rsid w:val="003B2F1F"/>
    <w:rsid w:val="003B38C1"/>
    <w:rsid w:val="003C5091"/>
    <w:rsid w:val="003C7840"/>
    <w:rsid w:val="00423E3E"/>
    <w:rsid w:val="00427AF4"/>
    <w:rsid w:val="00454FB1"/>
    <w:rsid w:val="004647DA"/>
    <w:rsid w:val="0046705F"/>
    <w:rsid w:val="00470616"/>
    <w:rsid w:val="00474062"/>
    <w:rsid w:val="00477D6B"/>
    <w:rsid w:val="00477E42"/>
    <w:rsid w:val="00496B25"/>
    <w:rsid w:val="004C015B"/>
    <w:rsid w:val="004E0F9C"/>
    <w:rsid w:val="005019FF"/>
    <w:rsid w:val="0053057A"/>
    <w:rsid w:val="00530AB6"/>
    <w:rsid w:val="005339DF"/>
    <w:rsid w:val="00560177"/>
    <w:rsid w:val="00560A29"/>
    <w:rsid w:val="00580E30"/>
    <w:rsid w:val="00595215"/>
    <w:rsid w:val="005C0553"/>
    <w:rsid w:val="005C6649"/>
    <w:rsid w:val="005D6C61"/>
    <w:rsid w:val="00605827"/>
    <w:rsid w:val="00620F61"/>
    <w:rsid w:val="00623185"/>
    <w:rsid w:val="00646050"/>
    <w:rsid w:val="006476DC"/>
    <w:rsid w:val="00651267"/>
    <w:rsid w:val="00651DB6"/>
    <w:rsid w:val="006713CA"/>
    <w:rsid w:val="00676C5C"/>
    <w:rsid w:val="00685AFE"/>
    <w:rsid w:val="00695E53"/>
    <w:rsid w:val="006C5827"/>
    <w:rsid w:val="006C707A"/>
    <w:rsid w:val="006F1A53"/>
    <w:rsid w:val="00732EE0"/>
    <w:rsid w:val="007376D7"/>
    <w:rsid w:val="00750CA4"/>
    <w:rsid w:val="00762678"/>
    <w:rsid w:val="007740D2"/>
    <w:rsid w:val="00783F81"/>
    <w:rsid w:val="00787F6C"/>
    <w:rsid w:val="007A2634"/>
    <w:rsid w:val="007B0498"/>
    <w:rsid w:val="007B4290"/>
    <w:rsid w:val="007D1613"/>
    <w:rsid w:val="007D7DE6"/>
    <w:rsid w:val="007E304C"/>
    <w:rsid w:val="00826017"/>
    <w:rsid w:val="00871F72"/>
    <w:rsid w:val="0088449E"/>
    <w:rsid w:val="008A3D37"/>
    <w:rsid w:val="008A703C"/>
    <w:rsid w:val="008B2CC1"/>
    <w:rsid w:val="008B5E4E"/>
    <w:rsid w:val="008B60B2"/>
    <w:rsid w:val="008B7E0C"/>
    <w:rsid w:val="008D4F0C"/>
    <w:rsid w:val="0090731E"/>
    <w:rsid w:val="00916EE2"/>
    <w:rsid w:val="009343BB"/>
    <w:rsid w:val="00942D98"/>
    <w:rsid w:val="00957136"/>
    <w:rsid w:val="00966A22"/>
    <w:rsid w:val="0096722F"/>
    <w:rsid w:val="00980843"/>
    <w:rsid w:val="00986B2B"/>
    <w:rsid w:val="00992984"/>
    <w:rsid w:val="009E2791"/>
    <w:rsid w:val="009E3F6F"/>
    <w:rsid w:val="009F499F"/>
    <w:rsid w:val="009F7F91"/>
    <w:rsid w:val="00A02EF4"/>
    <w:rsid w:val="00A2005E"/>
    <w:rsid w:val="00A31F14"/>
    <w:rsid w:val="00A36307"/>
    <w:rsid w:val="00A42DAF"/>
    <w:rsid w:val="00A45BD8"/>
    <w:rsid w:val="00A54DFB"/>
    <w:rsid w:val="00A631EA"/>
    <w:rsid w:val="00A823E4"/>
    <w:rsid w:val="00A869B7"/>
    <w:rsid w:val="00AA5AD8"/>
    <w:rsid w:val="00AB3E98"/>
    <w:rsid w:val="00AC205C"/>
    <w:rsid w:val="00AF0A6B"/>
    <w:rsid w:val="00AF3751"/>
    <w:rsid w:val="00AF5CB4"/>
    <w:rsid w:val="00AF7618"/>
    <w:rsid w:val="00B03E48"/>
    <w:rsid w:val="00B05A69"/>
    <w:rsid w:val="00B24007"/>
    <w:rsid w:val="00B41C2F"/>
    <w:rsid w:val="00B64224"/>
    <w:rsid w:val="00B73E1E"/>
    <w:rsid w:val="00B93E62"/>
    <w:rsid w:val="00B9734B"/>
    <w:rsid w:val="00BA50CB"/>
    <w:rsid w:val="00BE5A78"/>
    <w:rsid w:val="00BF362F"/>
    <w:rsid w:val="00BF5069"/>
    <w:rsid w:val="00BF7103"/>
    <w:rsid w:val="00C05550"/>
    <w:rsid w:val="00C11BFE"/>
    <w:rsid w:val="00C16BDE"/>
    <w:rsid w:val="00C27C65"/>
    <w:rsid w:val="00C71F3F"/>
    <w:rsid w:val="00C7740B"/>
    <w:rsid w:val="00CB7BE4"/>
    <w:rsid w:val="00CE7F63"/>
    <w:rsid w:val="00D25401"/>
    <w:rsid w:val="00D4092A"/>
    <w:rsid w:val="00D45252"/>
    <w:rsid w:val="00D535B8"/>
    <w:rsid w:val="00D53A7D"/>
    <w:rsid w:val="00D604BB"/>
    <w:rsid w:val="00D62CBC"/>
    <w:rsid w:val="00D71B4D"/>
    <w:rsid w:val="00D93D55"/>
    <w:rsid w:val="00DD2FD8"/>
    <w:rsid w:val="00DD763C"/>
    <w:rsid w:val="00DF1F78"/>
    <w:rsid w:val="00DF233A"/>
    <w:rsid w:val="00E00CC4"/>
    <w:rsid w:val="00E1630A"/>
    <w:rsid w:val="00E335FE"/>
    <w:rsid w:val="00E542BE"/>
    <w:rsid w:val="00E65E35"/>
    <w:rsid w:val="00E7180E"/>
    <w:rsid w:val="00E7268D"/>
    <w:rsid w:val="00E75A26"/>
    <w:rsid w:val="00E835FF"/>
    <w:rsid w:val="00E979D1"/>
    <w:rsid w:val="00EC4E49"/>
    <w:rsid w:val="00ED77FB"/>
    <w:rsid w:val="00EE45FA"/>
    <w:rsid w:val="00EF346E"/>
    <w:rsid w:val="00EF7B61"/>
    <w:rsid w:val="00F1078D"/>
    <w:rsid w:val="00F1705D"/>
    <w:rsid w:val="00F17399"/>
    <w:rsid w:val="00F627F3"/>
    <w:rsid w:val="00F66152"/>
    <w:rsid w:val="00F904F4"/>
    <w:rsid w:val="00F9195C"/>
    <w:rsid w:val="00F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595215"/>
    <w:rPr>
      <w:vertAlign w:val="superscript"/>
    </w:rPr>
  </w:style>
  <w:style w:type="character" w:customStyle="1" w:styleId="ONUMEChar">
    <w:name w:val="ONUM E Char"/>
    <w:basedOn w:val="DefaultParagraphFont"/>
    <w:link w:val="ONUME"/>
    <w:rsid w:val="00346E7B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D409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4092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092A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4092A"/>
    <w:rPr>
      <w:rFonts w:ascii="Arial" w:eastAsia="SimSun" w:hAnsi="Arial" w:cs="Arial"/>
      <w:b/>
      <w:bCs/>
      <w:sz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E7268D"/>
    <w:rPr>
      <w:rFonts w:ascii="Arial" w:eastAsia="SimSun" w:hAnsi="Arial" w:cs="Arial"/>
      <w:sz w:val="18"/>
      <w:lang w:eastAsia="zh-CN"/>
    </w:rPr>
  </w:style>
  <w:style w:type="paragraph" w:customStyle="1" w:styleId="LegTitle">
    <w:name w:val="Leg # Title"/>
    <w:basedOn w:val="Normal"/>
    <w:next w:val="Normal"/>
    <w:rsid w:val="00113CE0"/>
    <w:pPr>
      <w:keepNext/>
      <w:keepLines/>
      <w:pageBreakBefore/>
      <w:spacing w:before="240" w:line="480" w:lineRule="auto"/>
      <w:jc w:val="center"/>
    </w:pPr>
    <w:rPr>
      <w:rFonts w:eastAsia="Times New Roman"/>
      <w:b/>
      <w:snapToGrid w:val="0"/>
      <w:szCs w:val="22"/>
      <w:lang w:eastAsia="en-US"/>
    </w:rPr>
  </w:style>
  <w:style w:type="paragraph" w:customStyle="1" w:styleId="LegSubRule">
    <w:name w:val="Leg SubRule #"/>
    <w:basedOn w:val="Normal"/>
    <w:rsid w:val="00113CE0"/>
    <w:pPr>
      <w:keepNext/>
      <w:tabs>
        <w:tab w:val="left" w:pos="510"/>
      </w:tabs>
      <w:spacing w:before="119" w:line="480" w:lineRule="auto"/>
      <w:ind w:left="533" w:hanging="533"/>
      <w:jc w:val="both"/>
      <w:outlineLvl w:val="0"/>
    </w:pPr>
    <w:rPr>
      <w:rFonts w:eastAsia="Times New Roman"/>
      <w:i/>
      <w:snapToGrid w:val="0"/>
      <w:szCs w:val="22"/>
      <w:lang w:eastAsia="en-US"/>
    </w:rPr>
  </w:style>
  <w:style w:type="paragraph" w:customStyle="1" w:styleId="Lega">
    <w:name w:val="Leg (a)"/>
    <w:basedOn w:val="Normal"/>
    <w:rsid w:val="00113CE0"/>
    <w:pPr>
      <w:tabs>
        <w:tab w:val="left" w:pos="454"/>
      </w:tabs>
      <w:spacing w:before="119" w:after="480" w:line="480" w:lineRule="auto"/>
      <w:jc w:val="both"/>
    </w:pPr>
    <w:rPr>
      <w:rFonts w:eastAsia="Times New Roman"/>
      <w:snapToGrid w:val="0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rsid w:val="00113CE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13CE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13CE0"/>
    <w:rPr>
      <w:color w:val="0000FF" w:themeColor="hyperlink"/>
      <w:u w:val="single"/>
    </w:rPr>
  </w:style>
  <w:style w:type="paragraph" w:customStyle="1" w:styleId="Legi">
    <w:name w:val="Leg (i)"/>
    <w:basedOn w:val="Lega"/>
    <w:rsid w:val="00113CE0"/>
    <w:pPr>
      <w:tabs>
        <w:tab w:val="clear" w:pos="454"/>
        <w:tab w:val="right" w:pos="1020"/>
        <w:tab w:val="left" w:pos="1191"/>
      </w:tabs>
      <w:spacing w:before="60"/>
    </w:pPr>
  </w:style>
  <w:style w:type="character" w:customStyle="1" w:styleId="DeletedText">
    <w:name w:val="Deleted Text"/>
    <w:basedOn w:val="DefaultParagraphFont"/>
    <w:uiPriority w:val="1"/>
    <w:qFormat/>
    <w:rsid w:val="00113CE0"/>
    <w:rPr>
      <w:strike/>
      <w:color w:val="FF0000"/>
    </w:rPr>
  </w:style>
  <w:style w:type="character" w:customStyle="1" w:styleId="InsertedText">
    <w:name w:val="Inserted Text"/>
    <w:basedOn w:val="DefaultParagraphFont"/>
    <w:uiPriority w:val="1"/>
    <w:qFormat/>
    <w:rsid w:val="00113CE0"/>
    <w:rPr>
      <w:color w:val="1F497D" w:themeColor="tex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595215"/>
    <w:rPr>
      <w:vertAlign w:val="superscript"/>
    </w:rPr>
  </w:style>
  <w:style w:type="character" w:customStyle="1" w:styleId="ONUMEChar">
    <w:name w:val="ONUM E Char"/>
    <w:basedOn w:val="DefaultParagraphFont"/>
    <w:link w:val="ONUME"/>
    <w:rsid w:val="00346E7B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D409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4092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092A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4092A"/>
    <w:rPr>
      <w:rFonts w:ascii="Arial" w:eastAsia="SimSun" w:hAnsi="Arial" w:cs="Arial"/>
      <w:b/>
      <w:bCs/>
      <w:sz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E7268D"/>
    <w:rPr>
      <w:rFonts w:ascii="Arial" w:eastAsia="SimSun" w:hAnsi="Arial" w:cs="Arial"/>
      <w:sz w:val="18"/>
      <w:lang w:eastAsia="zh-CN"/>
    </w:rPr>
  </w:style>
  <w:style w:type="paragraph" w:customStyle="1" w:styleId="LegTitle">
    <w:name w:val="Leg # Title"/>
    <w:basedOn w:val="Normal"/>
    <w:next w:val="Normal"/>
    <w:rsid w:val="00113CE0"/>
    <w:pPr>
      <w:keepNext/>
      <w:keepLines/>
      <w:pageBreakBefore/>
      <w:spacing w:before="240" w:line="480" w:lineRule="auto"/>
      <w:jc w:val="center"/>
    </w:pPr>
    <w:rPr>
      <w:rFonts w:eastAsia="Times New Roman"/>
      <w:b/>
      <w:snapToGrid w:val="0"/>
      <w:szCs w:val="22"/>
      <w:lang w:eastAsia="en-US"/>
    </w:rPr>
  </w:style>
  <w:style w:type="paragraph" w:customStyle="1" w:styleId="LegSubRule">
    <w:name w:val="Leg SubRule #"/>
    <w:basedOn w:val="Normal"/>
    <w:rsid w:val="00113CE0"/>
    <w:pPr>
      <w:keepNext/>
      <w:tabs>
        <w:tab w:val="left" w:pos="510"/>
      </w:tabs>
      <w:spacing w:before="119" w:line="480" w:lineRule="auto"/>
      <w:ind w:left="533" w:hanging="533"/>
      <w:jc w:val="both"/>
      <w:outlineLvl w:val="0"/>
    </w:pPr>
    <w:rPr>
      <w:rFonts w:eastAsia="Times New Roman"/>
      <w:i/>
      <w:snapToGrid w:val="0"/>
      <w:szCs w:val="22"/>
      <w:lang w:eastAsia="en-US"/>
    </w:rPr>
  </w:style>
  <w:style w:type="paragraph" w:customStyle="1" w:styleId="Lega">
    <w:name w:val="Leg (a)"/>
    <w:basedOn w:val="Normal"/>
    <w:rsid w:val="00113CE0"/>
    <w:pPr>
      <w:tabs>
        <w:tab w:val="left" w:pos="454"/>
      </w:tabs>
      <w:spacing w:before="119" w:after="480" w:line="480" w:lineRule="auto"/>
      <w:jc w:val="both"/>
    </w:pPr>
    <w:rPr>
      <w:rFonts w:eastAsia="Times New Roman"/>
      <w:snapToGrid w:val="0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rsid w:val="00113CE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13CE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13CE0"/>
    <w:rPr>
      <w:color w:val="0000FF" w:themeColor="hyperlink"/>
      <w:u w:val="single"/>
    </w:rPr>
  </w:style>
  <w:style w:type="paragraph" w:customStyle="1" w:styleId="Legi">
    <w:name w:val="Leg (i)"/>
    <w:basedOn w:val="Lega"/>
    <w:rsid w:val="00113CE0"/>
    <w:pPr>
      <w:tabs>
        <w:tab w:val="clear" w:pos="454"/>
        <w:tab w:val="right" w:pos="1020"/>
        <w:tab w:val="left" w:pos="1191"/>
      </w:tabs>
      <w:spacing w:before="60"/>
    </w:pPr>
  </w:style>
  <w:style w:type="character" w:customStyle="1" w:styleId="DeletedText">
    <w:name w:val="Deleted Text"/>
    <w:basedOn w:val="DefaultParagraphFont"/>
    <w:uiPriority w:val="1"/>
    <w:qFormat/>
    <w:rsid w:val="00113CE0"/>
    <w:rPr>
      <w:strike/>
      <w:color w:val="FF0000"/>
    </w:rPr>
  </w:style>
  <w:style w:type="character" w:customStyle="1" w:styleId="InsertedText">
    <w:name w:val="Inserted Text"/>
    <w:basedOn w:val="DefaultParagraphFont"/>
    <w:uiPriority w:val="1"/>
    <w:qFormat/>
    <w:rsid w:val="00113CE0"/>
    <w:rPr>
      <w:color w:val="1F497D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5426E-AB56-4D0E-BEC5-814536BF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7 (E)</Template>
  <TotalTime>2</TotalTime>
  <Pages>5</Pages>
  <Words>926</Words>
  <Characters>5108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PCT/WG/7/</vt:lpstr>
    </vt:vector>
  </TitlesOfParts>
  <Company>WIPO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PCT/WG/7/</dc:title>
  <dc:subject>General Power of Attorney</dc:subject>
  <dc:creator>MATTHES Claus</dc:creator>
  <cp:lastModifiedBy>MARLOW Thomas</cp:lastModifiedBy>
  <cp:revision>5</cp:revision>
  <cp:lastPrinted>2014-04-24T09:53:00Z</cp:lastPrinted>
  <dcterms:created xsi:type="dcterms:W3CDTF">2014-04-23T09:25:00Z</dcterms:created>
  <dcterms:modified xsi:type="dcterms:W3CDTF">2014-04-24T09:54:00Z</dcterms:modified>
</cp:coreProperties>
</file>