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AB54AE" w:rsidP="00F97ED4">
            <w:pPr>
              <w:pStyle w:val="DocumentCodeAR"/>
              <w:bidi/>
              <w:rPr>
                <w:rtl/>
              </w:rPr>
            </w:pPr>
            <w:proofErr w:type="spellStart"/>
            <w:r>
              <w:t>PCT</w:t>
            </w:r>
            <w:proofErr w:type="spellEnd"/>
            <w:r w:rsidR="00772E46">
              <w:t>/</w:t>
            </w:r>
            <w:proofErr w:type="spellStart"/>
            <w:r w:rsidR="00C742C5">
              <w:t>WG</w:t>
            </w:r>
            <w:proofErr w:type="spellEnd"/>
            <w:r w:rsidR="00100F97">
              <w:t>/</w:t>
            </w:r>
            <w:r w:rsidR="00CE7F8E">
              <w:t>11</w:t>
            </w:r>
            <w:r w:rsidR="00B6101C" w:rsidRPr="00B6101C">
              <w:t>/</w:t>
            </w:r>
            <w:r w:rsidR="00F97ED4">
              <w:t>1 PROV.</w:t>
            </w:r>
            <w:r w:rsidR="00A661D2">
              <w:t>2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F97ED4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F97ED4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A661D2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F97ED4">
              <w:rPr>
                <w:rFonts w:hint="cs"/>
                <w:rtl/>
              </w:rPr>
              <w:t>19</w:t>
            </w:r>
            <w:r w:rsidRPr="00B6101C">
              <w:rPr>
                <w:rFonts w:hint="cs"/>
                <w:rtl/>
              </w:rPr>
              <w:t xml:space="preserve"> </w:t>
            </w:r>
            <w:r w:rsidR="00A661D2">
              <w:rPr>
                <w:rFonts w:hint="cs"/>
                <w:rtl/>
              </w:rPr>
              <w:t>أبريل</w:t>
            </w:r>
            <w:r w:rsidRPr="00B6101C">
              <w:rPr>
                <w:rFonts w:hint="cs"/>
                <w:rtl/>
              </w:rPr>
              <w:t xml:space="preserve"> </w:t>
            </w:r>
            <w:r w:rsidR="005C64F7">
              <w:rPr>
                <w:rFonts w:hint="cs"/>
                <w:rtl/>
              </w:rPr>
              <w:t>201</w:t>
            </w:r>
            <w:r w:rsidR="00CE7F8E">
              <w:rPr>
                <w:rFonts w:hint="cs"/>
                <w:rtl/>
              </w:rPr>
              <w:t>8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AB54AE" w:rsidP="00983389">
      <w:pPr>
        <w:pStyle w:val="MeetingTitleAR"/>
        <w:bidi/>
        <w:ind w:right="550"/>
        <w:rPr>
          <w:rtl/>
        </w:rPr>
      </w:pPr>
      <w:r>
        <w:rPr>
          <w:rFonts w:hint="cs"/>
          <w:rtl/>
        </w:rPr>
        <w:t>معاهدة التعاو</w:t>
      </w:r>
      <w:bookmarkStart w:id="2" w:name="_GoBack"/>
      <w:bookmarkEnd w:id="2"/>
      <w:r>
        <w:rPr>
          <w:rFonts w:hint="cs"/>
          <w:rtl/>
        </w:rPr>
        <w:t>ن بشأن البراءات</w:t>
      </w:r>
    </w:p>
    <w:p w:rsidR="00AB54AE" w:rsidRPr="00AB54AE" w:rsidRDefault="00C742C5" w:rsidP="00AB54AE">
      <w:pPr>
        <w:pStyle w:val="MeetingTitleAR"/>
        <w:bidi/>
        <w:ind w:right="550"/>
        <w:rPr>
          <w:rtl/>
        </w:rPr>
      </w:pPr>
      <w:r>
        <w:rPr>
          <w:rFonts w:hint="cs"/>
          <w:rtl/>
        </w:rPr>
        <w:t>الفريق العامل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CE7F8E" w:rsidRDefault="00F27305" w:rsidP="00CE7F8E">
      <w:pPr>
        <w:pStyle w:val="MeetingSessionAR"/>
        <w:bidi/>
        <w:rPr>
          <w:rFonts w:ascii="Cambria Math" w:hAnsi="Cambria Math"/>
          <w:rtl/>
          <w:lang w:val="fr-FR" w:bidi="ar-EG"/>
        </w:rPr>
      </w:pPr>
      <w:r w:rsidRPr="00783D11">
        <w:rPr>
          <w:rFonts w:ascii="Cambria Math" w:hAnsi="Cambria Math"/>
          <w:rtl/>
        </w:rPr>
        <w:t xml:space="preserve">الدورة </w:t>
      </w:r>
      <w:r w:rsidR="00CE7F8E">
        <w:rPr>
          <w:rFonts w:ascii="Cambria Math" w:hAnsi="Cambria Math" w:hint="cs"/>
          <w:rtl/>
          <w:lang w:val="fr-FR" w:bidi="ar-EG"/>
        </w:rPr>
        <w:t>الحادية عشرة</w:t>
      </w:r>
    </w:p>
    <w:p w:rsidR="00D61541" w:rsidRPr="00D61541" w:rsidRDefault="00D61541" w:rsidP="007F680B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CE7F8E">
        <w:rPr>
          <w:rFonts w:hint="cs"/>
          <w:rtl/>
        </w:rPr>
        <w:t>18</w:t>
      </w:r>
      <w:r w:rsidR="00C742C5">
        <w:rPr>
          <w:rFonts w:hint="cs"/>
          <w:rtl/>
        </w:rPr>
        <w:t xml:space="preserve"> إلى </w:t>
      </w:r>
      <w:r w:rsidR="007F680B">
        <w:rPr>
          <w:rFonts w:hint="cs"/>
          <w:rtl/>
        </w:rPr>
        <w:t>2</w:t>
      </w:r>
      <w:r w:rsidR="008369C1">
        <w:rPr>
          <w:rFonts w:hint="cs"/>
          <w:rtl/>
        </w:rPr>
        <w:t>2</w:t>
      </w:r>
      <w:r w:rsidR="00D07291">
        <w:rPr>
          <w:rFonts w:hint="cs"/>
          <w:rtl/>
        </w:rPr>
        <w:t xml:space="preserve"> </w:t>
      </w:r>
      <w:r w:rsidR="00CE7F8E">
        <w:rPr>
          <w:rFonts w:hint="cs"/>
          <w:rtl/>
        </w:rPr>
        <w:t>يونيو</w:t>
      </w:r>
      <w:r w:rsidR="00C742C5">
        <w:rPr>
          <w:rFonts w:hint="cs"/>
          <w:rtl/>
        </w:rPr>
        <w:t xml:space="preserve"> </w:t>
      </w:r>
      <w:r w:rsidR="005C64F7">
        <w:rPr>
          <w:rFonts w:hint="cs"/>
          <w:rtl/>
        </w:rPr>
        <w:t>201</w:t>
      </w:r>
      <w:r w:rsidR="00CE7F8E">
        <w:rPr>
          <w:rFonts w:hint="cs"/>
          <w:rtl/>
        </w:rPr>
        <w:t>8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F97ED4" w:rsidP="00FB7EC9">
      <w:pPr>
        <w:pStyle w:val="DocumentTitleAR"/>
        <w:bidi/>
        <w:rPr>
          <w:rtl/>
        </w:rPr>
      </w:pPr>
      <w:r>
        <w:rPr>
          <w:rFonts w:hint="cs"/>
          <w:rtl/>
        </w:rPr>
        <w:t>مشروع جدول الأعمال</w:t>
      </w:r>
      <w:r w:rsidR="00A661D2">
        <w:rPr>
          <w:rFonts w:hint="cs"/>
          <w:rtl/>
        </w:rPr>
        <w:t xml:space="preserve"> المعدَّل</w:t>
      </w:r>
    </w:p>
    <w:p w:rsidR="00D61541" w:rsidRDefault="00D61541" w:rsidP="003A410A">
      <w:pPr>
        <w:pStyle w:val="PreparedbyAR"/>
        <w:bidi/>
        <w:spacing w:after="600"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F97ED4">
        <w:rPr>
          <w:rFonts w:hint="cs"/>
          <w:rtl/>
        </w:rPr>
        <w:t xml:space="preserve"> الأمانة</w:t>
      </w:r>
    </w:p>
    <w:p w:rsidR="009F0B21" w:rsidRDefault="009F0B21" w:rsidP="003A410A">
      <w:pPr>
        <w:pStyle w:val="NumberedParaAR"/>
        <w:spacing w:after="160"/>
        <w:rPr>
          <w:rtl/>
        </w:rPr>
      </w:pPr>
      <w:r>
        <w:rPr>
          <w:rtl/>
        </w:rPr>
        <w:t>افتتاح الدورة</w:t>
      </w:r>
    </w:p>
    <w:p w:rsidR="009F0B21" w:rsidRDefault="009F0B21" w:rsidP="003A410A">
      <w:pPr>
        <w:pStyle w:val="NumberedParaAR"/>
        <w:spacing w:after="160"/>
        <w:rPr>
          <w:rtl/>
        </w:rPr>
      </w:pPr>
      <w:r>
        <w:rPr>
          <w:rtl/>
        </w:rPr>
        <w:t>انتخاب الرئيس ونائبي الرئيس</w:t>
      </w:r>
    </w:p>
    <w:p w:rsidR="009F0B21" w:rsidRDefault="009F0B21" w:rsidP="003A410A">
      <w:pPr>
        <w:pStyle w:val="NumberedParaAR"/>
        <w:spacing w:after="160"/>
        <w:rPr>
          <w:rFonts w:hint="cs"/>
        </w:rPr>
      </w:pPr>
      <w:r>
        <w:rPr>
          <w:rtl/>
        </w:rPr>
        <w:t>اعتماد جدول الأعمال</w:t>
      </w:r>
    </w:p>
    <w:p w:rsidR="003A410A" w:rsidRDefault="003A410A" w:rsidP="003A410A">
      <w:pPr>
        <w:pStyle w:val="NumberedParaAR"/>
        <w:spacing w:after="160"/>
      </w:pPr>
      <w:r>
        <w:rPr>
          <w:rtl/>
        </w:rPr>
        <w:t>إحصاءات قطاع معاهدة التعاون بشأن البراءات</w:t>
      </w:r>
    </w:p>
    <w:p w:rsidR="003A410A" w:rsidRDefault="003A410A" w:rsidP="003A410A">
      <w:pPr>
        <w:pStyle w:val="NumberedParaAR"/>
        <w:spacing w:after="160"/>
      </w:pPr>
      <w:r>
        <w:rPr>
          <w:rtl/>
        </w:rPr>
        <w:t>استقصاء لآراء مستخدمي معاهدة التعاون بشأن البراءات</w:t>
      </w:r>
    </w:p>
    <w:p w:rsidR="003A410A" w:rsidRDefault="003A410A" w:rsidP="003A410A">
      <w:pPr>
        <w:pStyle w:val="NumberedParaAR"/>
        <w:spacing w:after="160"/>
      </w:pPr>
      <w:r>
        <w:rPr>
          <w:rtl/>
        </w:rPr>
        <w:t>اجتماع الإدارات الدولية العاملة في ظل معاهدة التعاون بشأن البراءات: تقرير عن الدورة الخامسة والعشرين</w:t>
      </w:r>
    </w:p>
    <w:p w:rsidR="003A410A" w:rsidRDefault="003A410A" w:rsidP="003A410A">
      <w:pPr>
        <w:pStyle w:val="NumberedParaAR"/>
        <w:spacing w:after="160"/>
      </w:pPr>
      <w:r>
        <w:rPr>
          <w:rtl/>
        </w:rPr>
        <w:t>الخدمات الشبكية لمعاهدة التعاون بشأن البراءات</w:t>
      </w:r>
    </w:p>
    <w:p w:rsidR="003A410A" w:rsidRDefault="003A410A" w:rsidP="003A410A">
      <w:pPr>
        <w:pStyle w:val="NumberedParaAR"/>
        <w:spacing w:after="160"/>
      </w:pPr>
      <w:r>
        <w:rPr>
          <w:rtl/>
        </w:rPr>
        <w:t>ملاحظات الاطراف الأخرى</w:t>
      </w:r>
    </w:p>
    <w:p w:rsidR="003A410A" w:rsidRDefault="003A410A" w:rsidP="003A410A">
      <w:pPr>
        <w:pStyle w:val="NumberedParaAR"/>
        <w:spacing w:after="160"/>
      </w:pPr>
      <w:r>
        <w:rPr>
          <w:rtl/>
        </w:rPr>
        <w:t xml:space="preserve">أنظمة للمساعدة على دخول المرحلة الوطنية </w:t>
      </w:r>
    </w:p>
    <w:p w:rsidR="003A410A" w:rsidRDefault="003A410A" w:rsidP="003A410A">
      <w:pPr>
        <w:pStyle w:val="NumberedParaAR"/>
        <w:spacing w:after="160"/>
      </w:pPr>
      <w:r>
        <w:rPr>
          <w:rtl/>
        </w:rPr>
        <w:t>تقرير عن توفير بيانات دخول المرحلة الوطنية وفقا للقاعدة 95</w:t>
      </w:r>
    </w:p>
    <w:p w:rsidR="003A410A" w:rsidRDefault="003A410A" w:rsidP="003A410A">
      <w:pPr>
        <w:pStyle w:val="NumberedParaAR"/>
        <w:spacing w:after="160"/>
      </w:pPr>
      <w:r>
        <w:rPr>
          <w:rtl/>
        </w:rPr>
        <w:t>تطوير نظام البراءات في المستقبل</w:t>
      </w:r>
    </w:p>
    <w:p w:rsidR="003A410A" w:rsidRDefault="003A410A" w:rsidP="003A410A">
      <w:pPr>
        <w:pStyle w:val="NumberedParaAR"/>
        <w:spacing w:after="160"/>
      </w:pPr>
      <w:r>
        <w:rPr>
          <w:rtl/>
        </w:rPr>
        <w:t>الطلبات الدولية المتصلة بعقوبات مجلس الأمن التابع للأمم المتحدة</w:t>
      </w:r>
    </w:p>
    <w:p w:rsidR="003A410A" w:rsidRDefault="003A410A" w:rsidP="003A410A">
      <w:pPr>
        <w:pStyle w:val="NumberedParaAR"/>
        <w:spacing w:after="160"/>
      </w:pPr>
      <w:r>
        <w:rPr>
          <w:rtl/>
        </w:rPr>
        <w:t>تقرير مرحلي: مشروع تجريبي بشأن مقاصة رسوم معاهدة البراءات</w:t>
      </w:r>
    </w:p>
    <w:p w:rsidR="003A410A" w:rsidRDefault="003A410A" w:rsidP="003A410A">
      <w:pPr>
        <w:pStyle w:val="NumberedParaAR"/>
        <w:spacing w:after="160"/>
      </w:pPr>
      <w:r>
        <w:rPr>
          <w:rtl/>
        </w:rPr>
        <w:lastRenderedPageBreak/>
        <w:t>تخفيضات الرسوم لبعض مودِعي الطلبات من بعض البلدان، لا سيما البلدان النامية والبلدان الأقل نموًا</w:t>
      </w:r>
    </w:p>
    <w:p w:rsidR="003A410A" w:rsidRDefault="003A410A" w:rsidP="003A410A">
      <w:pPr>
        <w:pStyle w:val="NumberedParaAR"/>
        <w:numPr>
          <w:ilvl w:val="0"/>
          <w:numId w:val="0"/>
        </w:numPr>
        <w:spacing w:after="160"/>
        <w:ind w:left="566"/>
      </w:pPr>
      <w:r>
        <w:rPr>
          <w:rFonts w:hint="cs"/>
          <w:rtl/>
        </w:rPr>
        <w:t>(أ)</w:t>
      </w:r>
      <w:r>
        <w:rPr>
          <w:rFonts w:hint="cs"/>
          <w:rtl/>
        </w:rPr>
        <w:tab/>
      </w:r>
      <w:r>
        <w:rPr>
          <w:rtl/>
        </w:rPr>
        <w:t>سياسة رسوم لمعاهدة التعاون بشأن البراءات لتحفيز إيداع البراءات من قبل الجامعات:</w:t>
      </w:r>
    </w:p>
    <w:p w:rsidR="003A410A" w:rsidRDefault="003A410A" w:rsidP="003A410A">
      <w:pPr>
        <w:pStyle w:val="NumberedParaAR"/>
        <w:numPr>
          <w:ilvl w:val="0"/>
          <w:numId w:val="0"/>
        </w:numPr>
        <w:spacing w:after="160"/>
        <w:ind w:left="1700" w:hanging="567"/>
      </w:pPr>
      <w:r>
        <w:rPr>
          <w:rFonts w:hint="cs"/>
          <w:rtl/>
        </w:rPr>
        <w:t>"1"</w:t>
      </w:r>
      <w:r>
        <w:rPr>
          <w:rFonts w:hint="cs"/>
          <w:rtl/>
        </w:rPr>
        <w:tab/>
      </w:r>
      <w:r>
        <w:rPr>
          <w:rtl/>
        </w:rPr>
        <w:t>تقرير من حلقة العمل</w:t>
      </w:r>
    </w:p>
    <w:p w:rsidR="003A410A" w:rsidRDefault="003A410A" w:rsidP="003A410A">
      <w:pPr>
        <w:pStyle w:val="NumberedParaAR"/>
        <w:numPr>
          <w:ilvl w:val="0"/>
          <w:numId w:val="0"/>
        </w:numPr>
        <w:spacing w:after="160"/>
        <w:ind w:left="1700" w:hanging="567"/>
      </w:pPr>
      <w:r>
        <w:rPr>
          <w:rFonts w:hint="cs"/>
          <w:rtl/>
        </w:rPr>
        <w:t>"2"</w:t>
      </w:r>
      <w:r>
        <w:rPr>
          <w:rFonts w:hint="cs"/>
          <w:rtl/>
        </w:rPr>
        <w:tab/>
      </w:r>
      <w:r>
        <w:rPr>
          <w:rtl/>
        </w:rPr>
        <w:t>اقتراح بشأن وضع سياسة رسوم لمعاهدة التعاون بشأن البراءات لتحفيز إيداع البراءات من قبل جامعات من بعض البلدان، لا سيما البلدان النامية والبلدان الأقل نموا</w:t>
      </w:r>
    </w:p>
    <w:p w:rsidR="003A410A" w:rsidRDefault="003A410A" w:rsidP="003A410A">
      <w:pPr>
        <w:pStyle w:val="NumberedParaAR"/>
        <w:numPr>
          <w:ilvl w:val="0"/>
          <w:numId w:val="0"/>
        </w:numPr>
        <w:spacing w:after="160"/>
        <w:ind w:left="566"/>
      </w:pPr>
      <w:r>
        <w:rPr>
          <w:rFonts w:hint="cs"/>
          <w:rtl/>
        </w:rPr>
        <w:t>(ب)</w:t>
      </w:r>
      <w:r>
        <w:rPr>
          <w:rFonts w:hint="cs"/>
          <w:rtl/>
        </w:rPr>
        <w:tab/>
      </w:r>
      <w:r>
        <w:rPr>
          <w:rtl/>
        </w:rPr>
        <w:t>تحديث التقرير المرحلي بشأن تنفيذ تغييرات على تخفيضات الرسوم</w:t>
      </w:r>
    </w:p>
    <w:p w:rsidR="003A410A" w:rsidRDefault="003A410A" w:rsidP="003A410A">
      <w:pPr>
        <w:pStyle w:val="NumberedParaAR"/>
        <w:spacing w:after="160"/>
      </w:pPr>
      <w:r>
        <w:rPr>
          <w:rtl/>
        </w:rPr>
        <w:t>تنسيق المساعدة التقنية في إطار معاهدة التعاون بشأن البراءات</w:t>
      </w:r>
    </w:p>
    <w:p w:rsidR="003A410A" w:rsidRDefault="003A410A" w:rsidP="003A410A">
      <w:pPr>
        <w:pStyle w:val="NumberedParaAR"/>
        <w:spacing w:after="160"/>
      </w:pPr>
      <w:r>
        <w:rPr>
          <w:rtl/>
        </w:rPr>
        <w:t>تدريب فاحصي البراءات</w:t>
      </w:r>
    </w:p>
    <w:p w:rsidR="003A410A" w:rsidRDefault="003A410A" w:rsidP="003A410A">
      <w:pPr>
        <w:pStyle w:val="NumberedParaAR"/>
        <w:numPr>
          <w:ilvl w:val="0"/>
          <w:numId w:val="0"/>
        </w:numPr>
        <w:spacing w:after="160"/>
        <w:ind w:left="566"/>
      </w:pPr>
      <w:r>
        <w:rPr>
          <w:rFonts w:hint="cs"/>
          <w:rtl/>
        </w:rPr>
        <w:t>(أ)</w:t>
      </w:r>
      <w:r>
        <w:rPr>
          <w:rFonts w:hint="cs"/>
          <w:rtl/>
        </w:rPr>
        <w:tab/>
      </w:r>
      <w:r>
        <w:rPr>
          <w:rtl/>
        </w:rPr>
        <w:t>دراسة استقصائية حول تدريب فاحصي البراءات</w:t>
      </w:r>
    </w:p>
    <w:p w:rsidR="003A410A" w:rsidRDefault="003A410A" w:rsidP="003A410A">
      <w:pPr>
        <w:pStyle w:val="NumberedParaAR"/>
        <w:numPr>
          <w:ilvl w:val="0"/>
          <w:numId w:val="0"/>
        </w:numPr>
        <w:spacing w:after="160"/>
        <w:ind w:left="566"/>
      </w:pPr>
      <w:r>
        <w:rPr>
          <w:rFonts w:hint="cs"/>
          <w:rtl/>
        </w:rPr>
        <w:t>(ب)</w:t>
      </w:r>
      <w:r>
        <w:rPr>
          <w:rFonts w:hint="cs"/>
          <w:rtl/>
        </w:rPr>
        <w:tab/>
      </w:r>
      <w:r>
        <w:rPr>
          <w:rtl/>
        </w:rPr>
        <w:t>التنسيق في مجال تدريب فاحصي البراءات</w:t>
      </w:r>
    </w:p>
    <w:p w:rsidR="003A410A" w:rsidRDefault="003A410A" w:rsidP="003A410A">
      <w:pPr>
        <w:pStyle w:val="NumberedParaAR"/>
        <w:spacing w:after="160"/>
      </w:pPr>
      <w:r>
        <w:rPr>
          <w:rtl/>
        </w:rPr>
        <w:t xml:space="preserve">تضمين العناصر أو الأجزاء الناقصة بالإحالة  </w:t>
      </w:r>
    </w:p>
    <w:p w:rsidR="003A410A" w:rsidRDefault="003A410A" w:rsidP="003A410A">
      <w:pPr>
        <w:pStyle w:val="NumberedParaAR"/>
        <w:numPr>
          <w:ilvl w:val="0"/>
          <w:numId w:val="0"/>
        </w:numPr>
        <w:spacing w:after="160"/>
        <w:ind w:left="566"/>
      </w:pPr>
      <w:r>
        <w:rPr>
          <w:rFonts w:hint="cs"/>
          <w:rtl/>
        </w:rPr>
        <w:t>(أ)</w:t>
      </w:r>
      <w:r>
        <w:rPr>
          <w:rFonts w:hint="cs"/>
          <w:rtl/>
        </w:rPr>
        <w:tab/>
      </w:r>
      <w:r>
        <w:rPr>
          <w:rtl/>
        </w:rPr>
        <w:t>تقرير من حلقة العمل</w:t>
      </w:r>
    </w:p>
    <w:p w:rsidR="003A410A" w:rsidRDefault="003A410A" w:rsidP="003A410A">
      <w:pPr>
        <w:pStyle w:val="NumberedParaAR"/>
        <w:numPr>
          <w:ilvl w:val="0"/>
          <w:numId w:val="0"/>
        </w:numPr>
        <w:spacing w:after="160"/>
        <w:ind w:left="566"/>
      </w:pPr>
      <w:r>
        <w:rPr>
          <w:rFonts w:hint="cs"/>
          <w:rtl/>
        </w:rPr>
        <w:t>(ب)</w:t>
      </w:r>
      <w:r>
        <w:rPr>
          <w:rFonts w:hint="cs"/>
          <w:rtl/>
        </w:rPr>
        <w:tab/>
      </w:r>
      <w:r>
        <w:rPr>
          <w:rtl/>
        </w:rPr>
        <w:t>شروط تصويب الطلب الدولي في حال إيداع عناصر أو أجزاء "عن خطأ"</w:t>
      </w:r>
    </w:p>
    <w:p w:rsidR="003A410A" w:rsidRDefault="003A410A" w:rsidP="003A410A">
      <w:pPr>
        <w:pStyle w:val="NumberedParaAR"/>
        <w:spacing w:after="160"/>
      </w:pPr>
      <w:r>
        <w:rPr>
          <w:rtl/>
        </w:rPr>
        <w:t>إحالة مهمات المكتب المعيَّن والمختار</w:t>
      </w:r>
    </w:p>
    <w:p w:rsidR="003A410A" w:rsidRDefault="003A410A" w:rsidP="003A410A">
      <w:pPr>
        <w:pStyle w:val="NumberedParaAR"/>
        <w:spacing w:after="160"/>
      </w:pPr>
      <w:r>
        <w:rPr>
          <w:rtl/>
        </w:rPr>
        <w:t>وسائل الحماية في حالة انقطاع الاتصال الذي يؤثر في المكاتب</w:t>
      </w:r>
    </w:p>
    <w:p w:rsidR="003A410A" w:rsidRDefault="003A410A" w:rsidP="003A410A">
      <w:pPr>
        <w:pStyle w:val="NumberedParaAR"/>
        <w:spacing w:after="160"/>
      </w:pPr>
      <w:r>
        <w:rPr>
          <w:rtl/>
        </w:rPr>
        <w:t>البدء المبكّر للفصل الثاني من معاهدة البراءات</w:t>
      </w:r>
    </w:p>
    <w:p w:rsidR="003A410A" w:rsidRDefault="003A410A" w:rsidP="003A410A">
      <w:pPr>
        <w:pStyle w:val="NumberedParaAR"/>
        <w:spacing w:after="160"/>
      </w:pPr>
      <w:r>
        <w:rPr>
          <w:rtl/>
        </w:rPr>
        <w:t>المشروع الرائد للبحث والفحص التعاونيين في إطار معاهدة التعاون بشأن البراءات: تقرير مرحلي</w:t>
      </w:r>
    </w:p>
    <w:p w:rsidR="003A410A" w:rsidRDefault="003A410A" w:rsidP="003A410A">
      <w:pPr>
        <w:pStyle w:val="NumberedParaAR"/>
        <w:spacing w:after="160"/>
      </w:pPr>
      <w:r>
        <w:rPr>
          <w:rtl/>
        </w:rPr>
        <w:t>الحد الأدنى للوثائق المنصوص عليها في معاهدة التعاون بشأن البراءات: تقرير مرحلي</w:t>
      </w:r>
    </w:p>
    <w:p w:rsidR="003A410A" w:rsidRDefault="003A410A" w:rsidP="003A410A">
      <w:pPr>
        <w:pStyle w:val="NumberedParaAR"/>
        <w:spacing w:after="160"/>
      </w:pPr>
      <w:r>
        <w:rPr>
          <w:rtl/>
        </w:rPr>
        <w:t>استمارة طلب التعيين كإدارة للبحث الدولي وإدارة للفحص التمهيدي الدولي في إطار معاهدة التعاون بشأن البراءات</w:t>
      </w:r>
    </w:p>
    <w:p w:rsidR="003A410A" w:rsidRDefault="003A410A" w:rsidP="003A410A">
      <w:pPr>
        <w:pStyle w:val="NumberedParaAR"/>
        <w:spacing w:after="160"/>
      </w:pPr>
      <w:r>
        <w:rPr>
          <w:rtl/>
        </w:rPr>
        <w:t>معايير الكشف التسلسلي بناء على معاهدة التعاون بشأن البراءات</w:t>
      </w:r>
    </w:p>
    <w:p w:rsidR="003A410A" w:rsidRDefault="003A410A" w:rsidP="003A410A">
      <w:pPr>
        <w:pStyle w:val="NumberedParaAR"/>
        <w:numPr>
          <w:ilvl w:val="0"/>
          <w:numId w:val="0"/>
        </w:numPr>
        <w:spacing w:after="160"/>
        <w:ind w:left="566"/>
      </w:pPr>
      <w:r>
        <w:rPr>
          <w:rFonts w:hint="cs"/>
          <w:rtl/>
        </w:rPr>
        <w:t>(أ)</w:t>
      </w:r>
      <w:r>
        <w:rPr>
          <w:rFonts w:hint="cs"/>
          <w:rtl/>
        </w:rPr>
        <w:tab/>
      </w:r>
      <w:r>
        <w:rPr>
          <w:rtl/>
        </w:rPr>
        <w:t>فرقة العمل المعنية بقوائم الكشف التسلسلي: تقرير مرحلي</w:t>
      </w:r>
    </w:p>
    <w:p w:rsidR="003A410A" w:rsidRDefault="003A410A" w:rsidP="003A410A">
      <w:pPr>
        <w:pStyle w:val="NumberedParaAR"/>
        <w:numPr>
          <w:ilvl w:val="0"/>
          <w:numId w:val="0"/>
        </w:numPr>
        <w:spacing w:after="160"/>
        <w:ind w:left="566"/>
      </w:pPr>
      <w:r>
        <w:rPr>
          <w:rFonts w:hint="cs"/>
          <w:rtl/>
        </w:rPr>
        <w:t>(ب)</w:t>
      </w:r>
      <w:r>
        <w:rPr>
          <w:rFonts w:hint="cs"/>
          <w:rtl/>
        </w:rPr>
        <w:tab/>
      </w:r>
      <w:r>
        <w:rPr>
          <w:rtl/>
        </w:rPr>
        <w:t xml:space="preserve">تنفيذ معيار </w:t>
      </w:r>
      <w:proofErr w:type="spellStart"/>
      <w:r>
        <w:rPr>
          <w:rtl/>
        </w:rPr>
        <w:t>الويبو</w:t>
      </w:r>
      <w:proofErr w:type="spellEnd"/>
      <w:r>
        <w:rPr>
          <w:rtl/>
        </w:rPr>
        <w:t xml:space="preserve"> </w:t>
      </w:r>
      <w:r>
        <w:t>ST.26</w:t>
      </w:r>
      <w:r>
        <w:rPr>
          <w:rtl/>
        </w:rPr>
        <w:t xml:space="preserve"> في معاهدة التعاون بشأن البراءات</w:t>
      </w:r>
    </w:p>
    <w:p w:rsidR="003A410A" w:rsidRDefault="003A410A" w:rsidP="003A410A">
      <w:pPr>
        <w:pStyle w:val="NumberedParaAR"/>
        <w:spacing w:after="160"/>
      </w:pPr>
      <w:r>
        <w:rPr>
          <w:rtl/>
        </w:rPr>
        <w:t>استخدام رموز التصنيف الوطني في الطلبات الدولية</w:t>
      </w:r>
    </w:p>
    <w:p w:rsidR="003A410A" w:rsidRDefault="003A410A" w:rsidP="003A410A">
      <w:pPr>
        <w:pStyle w:val="NumberedParaAR"/>
        <w:spacing w:after="160"/>
      </w:pPr>
      <w:r>
        <w:rPr>
          <w:rtl/>
        </w:rPr>
        <w:t>لغات الترجمة الفورية المستخدمة في دورات الفريق العامل لمعاهدة التعاون بشأن البراءات</w:t>
      </w:r>
    </w:p>
    <w:p w:rsidR="003A410A" w:rsidRDefault="003A410A" w:rsidP="003A410A">
      <w:pPr>
        <w:pStyle w:val="NumberedParaAR"/>
        <w:spacing w:after="160"/>
      </w:pPr>
      <w:r>
        <w:rPr>
          <w:rtl/>
        </w:rPr>
        <w:t>مسائل أخرى</w:t>
      </w:r>
    </w:p>
    <w:p w:rsidR="003A410A" w:rsidRDefault="003A410A" w:rsidP="003A410A">
      <w:pPr>
        <w:pStyle w:val="NumberedParaAR"/>
        <w:spacing w:after="160"/>
      </w:pPr>
      <w:r>
        <w:rPr>
          <w:rtl/>
        </w:rPr>
        <w:t>ملخص الرئيس</w:t>
      </w:r>
    </w:p>
    <w:p w:rsidR="003A410A" w:rsidRDefault="003A410A" w:rsidP="003A410A">
      <w:pPr>
        <w:pStyle w:val="NumberedParaAR"/>
        <w:spacing w:after="0"/>
      </w:pPr>
      <w:r>
        <w:rPr>
          <w:rtl/>
        </w:rPr>
        <w:t>اختتام الدورة</w:t>
      </w:r>
    </w:p>
    <w:p w:rsidR="00EE73F4" w:rsidRPr="00EE73F4" w:rsidRDefault="00F97ED4" w:rsidP="003A410A">
      <w:pPr>
        <w:pStyle w:val="EndofDocumentAR"/>
        <w:spacing w:after="0"/>
        <w:rPr>
          <w:rtl/>
        </w:rPr>
      </w:pPr>
      <w:r>
        <w:rPr>
          <w:rtl/>
        </w:rPr>
        <w:t>[نهاية الوثيقة]</w:t>
      </w:r>
    </w:p>
    <w:sectPr w:rsidR="00EE73F4" w:rsidRPr="00EE73F4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712" w:rsidRDefault="00622712">
      <w:r>
        <w:separator/>
      </w:r>
    </w:p>
  </w:endnote>
  <w:endnote w:type="continuationSeparator" w:id="0">
    <w:p w:rsidR="00622712" w:rsidRDefault="0062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712" w:rsidRDefault="00622712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622712" w:rsidRDefault="00622712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AB54AE" w:rsidP="003A410A">
    <w:proofErr w:type="spellStart"/>
    <w:r>
      <w:t>PCT</w:t>
    </w:r>
    <w:proofErr w:type="spellEnd"/>
    <w:r w:rsidR="00772E46">
      <w:t>/</w:t>
    </w:r>
    <w:proofErr w:type="spellStart"/>
    <w:r w:rsidR="00C742C5">
      <w:t>WG</w:t>
    </w:r>
    <w:proofErr w:type="spellEnd"/>
    <w:r w:rsidR="002F77FC">
      <w:t>/</w:t>
    </w:r>
    <w:r w:rsidR="00AF538E" w:rsidRPr="00AF538E">
      <w:rPr>
        <w:rFonts w:hint="cs"/>
        <w:szCs w:val="22"/>
        <w:rtl/>
      </w:rPr>
      <w:t>1</w:t>
    </w:r>
    <w:r w:rsidR="00FE0413">
      <w:rPr>
        <w:szCs w:val="22"/>
      </w:rPr>
      <w:t>1</w:t>
    </w:r>
    <w:r w:rsidR="002F77FC">
      <w:t>/</w:t>
    </w:r>
    <w:r w:rsidR="003A410A">
      <w:t>1 Prov. 2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835B1F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D4"/>
    <w:rsid w:val="00002CBE"/>
    <w:rsid w:val="00003232"/>
    <w:rsid w:val="000033DA"/>
    <w:rsid w:val="000041D4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547A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5B00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88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410A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4201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37480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43FC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4F7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712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C746B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80B"/>
    <w:rsid w:val="007F6EA4"/>
    <w:rsid w:val="007F6F4E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6A00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B1F"/>
    <w:rsid w:val="008362AE"/>
    <w:rsid w:val="008369C1"/>
    <w:rsid w:val="00837719"/>
    <w:rsid w:val="00840419"/>
    <w:rsid w:val="00840A24"/>
    <w:rsid w:val="00840F1B"/>
    <w:rsid w:val="0084117A"/>
    <w:rsid w:val="00842586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B21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1D2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278B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4AE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38E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6789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42C5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E7F8E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291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3F4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57FAA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97ED4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413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enali\Desktop\43887\PCT_WG_11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CF3B1-893D-473D-B5B9-A3F4252C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PCT_WG_11_AR.dotx</Template>
  <TotalTime>10</TotalTime>
  <Pages>2</Pages>
  <Words>383</Words>
  <Characters>1913</Characters>
  <Application>Microsoft Office Word</Application>
  <DocSecurity>0</DocSecurity>
  <Lines>70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PCT/WG/9/-- (Arabic)</vt:lpstr>
    </vt:vector>
  </TitlesOfParts>
  <Company>World Intellectual Property Organization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PCT/WG/9/-- (Arabic)</dc:title>
  <dc:creator>BEN ALI Lassad</dc:creator>
  <cp:lastModifiedBy>NA</cp:lastModifiedBy>
  <cp:revision>4</cp:revision>
  <cp:lastPrinted>2018-04-20T14:43:00Z</cp:lastPrinted>
  <dcterms:created xsi:type="dcterms:W3CDTF">2018-04-20T14:36:00Z</dcterms:created>
  <dcterms:modified xsi:type="dcterms:W3CDTF">2018-04-20T14:46:00Z</dcterms:modified>
</cp:coreProperties>
</file>