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F754EB" w:rsidRPr="005639FB" w14:paraId="77D69968" w14:textId="77777777" w:rsidTr="00B6101C">
        <w:tc>
          <w:tcPr>
            <w:tcW w:w="4843" w:type="dxa"/>
            <w:tcBorders>
              <w:bottom w:val="single" w:sz="4" w:space="0" w:color="auto"/>
            </w:tcBorders>
          </w:tcPr>
          <w:p w14:paraId="6F9FAA9E" w14:textId="77777777" w:rsidR="001667B6" w:rsidRPr="005639FB"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14:paraId="5B617332" w14:textId="77777777" w:rsidR="001667B6" w:rsidRPr="005639FB" w:rsidRDefault="00772E46" w:rsidP="00246E87">
            <w:pPr>
              <w:bidi/>
              <w:spacing w:after="20"/>
              <w:rPr>
                <w:rFonts w:ascii="Arabic Typesetting" w:hAnsi="Arabic Typesetting" w:cs="Arabic Typesetting"/>
                <w:sz w:val="36"/>
                <w:szCs w:val="36"/>
                <w:rtl/>
              </w:rPr>
            </w:pPr>
            <w:r w:rsidRPr="005639FB">
              <w:rPr>
                <w:noProof/>
              </w:rPr>
              <w:drawing>
                <wp:inline distT="0" distB="0" distL="0" distR="0" wp14:anchorId="0ADA1768" wp14:editId="6BC09DA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14:paraId="448D327C" w14:textId="77777777" w:rsidR="001667B6" w:rsidRPr="005639FB" w:rsidRDefault="001667B6" w:rsidP="001667B6">
            <w:pPr>
              <w:rPr>
                <w:b/>
                <w:bCs/>
                <w:sz w:val="40"/>
                <w:szCs w:val="40"/>
              </w:rPr>
            </w:pPr>
            <w:r w:rsidRPr="005639FB">
              <w:rPr>
                <w:b/>
                <w:bCs/>
                <w:sz w:val="40"/>
                <w:szCs w:val="40"/>
              </w:rPr>
              <w:t>A</w:t>
            </w:r>
          </w:p>
        </w:tc>
      </w:tr>
      <w:tr w:rsidR="00F754EB" w:rsidRPr="005639FB" w14:paraId="607C136A" w14:textId="77777777" w:rsidTr="00B6101C">
        <w:trPr>
          <w:trHeight w:val="333"/>
        </w:trPr>
        <w:tc>
          <w:tcPr>
            <w:tcW w:w="9571" w:type="dxa"/>
            <w:gridSpan w:val="3"/>
            <w:tcBorders>
              <w:top w:val="single" w:sz="4" w:space="0" w:color="auto"/>
            </w:tcBorders>
            <w:vAlign w:val="bottom"/>
          </w:tcPr>
          <w:p w14:paraId="7EC82D3A" w14:textId="77777777" w:rsidR="00B6101C" w:rsidRPr="005639FB" w:rsidRDefault="00AB54AE" w:rsidP="00725D20">
            <w:pPr>
              <w:pStyle w:val="DocumentCodeAR"/>
              <w:bidi/>
              <w:rPr>
                <w:rtl/>
              </w:rPr>
            </w:pPr>
            <w:r w:rsidRPr="005639FB">
              <w:t>PCT</w:t>
            </w:r>
            <w:r w:rsidR="00772E46" w:rsidRPr="005639FB">
              <w:t>/</w:t>
            </w:r>
            <w:r w:rsidR="00C742C5" w:rsidRPr="005639FB">
              <w:t>WG</w:t>
            </w:r>
            <w:r w:rsidR="00100F97" w:rsidRPr="005639FB">
              <w:t>/</w:t>
            </w:r>
            <w:r w:rsidR="00AF538E" w:rsidRPr="005639FB">
              <w:t>10</w:t>
            </w:r>
            <w:r w:rsidR="00B6101C" w:rsidRPr="005639FB">
              <w:t>/</w:t>
            </w:r>
            <w:r w:rsidR="00725D20" w:rsidRPr="005639FB">
              <w:t>3</w:t>
            </w:r>
          </w:p>
        </w:tc>
      </w:tr>
      <w:tr w:rsidR="00F754EB" w:rsidRPr="005639FB" w14:paraId="4099A25E" w14:textId="77777777" w:rsidTr="00BF164F">
        <w:tc>
          <w:tcPr>
            <w:tcW w:w="9571" w:type="dxa"/>
            <w:gridSpan w:val="3"/>
          </w:tcPr>
          <w:p w14:paraId="1301A167" w14:textId="77777777" w:rsidR="001667B6" w:rsidRPr="005639FB" w:rsidRDefault="00B6101C" w:rsidP="00725D20">
            <w:pPr>
              <w:pStyle w:val="DocumentLanguageAR"/>
              <w:bidi/>
              <w:rPr>
                <w:rtl/>
                <w:lang w:val="fr-FR" w:bidi="ar-EG"/>
              </w:rPr>
            </w:pPr>
            <w:r w:rsidRPr="005639FB">
              <w:rPr>
                <w:rFonts w:hint="cs"/>
                <w:rtl/>
              </w:rPr>
              <w:t xml:space="preserve">الأصل: </w:t>
            </w:r>
            <w:r w:rsidR="00725D20" w:rsidRPr="005639FB">
              <w:rPr>
                <w:rFonts w:hint="cs"/>
                <w:rtl/>
              </w:rPr>
              <w:t>بالإنكليزية</w:t>
            </w:r>
          </w:p>
        </w:tc>
      </w:tr>
      <w:tr w:rsidR="001667B6" w:rsidRPr="005639FB" w14:paraId="756DCF10" w14:textId="77777777" w:rsidTr="00BF164F">
        <w:tc>
          <w:tcPr>
            <w:tcW w:w="9571" w:type="dxa"/>
            <w:gridSpan w:val="3"/>
          </w:tcPr>
          <w:p w14:paraId="60F6C198" w14:textId="77777777" w:rsidR="001667B6" w:rsidRPr="005639FB" w:rsidRDefault="00B6101C" w:rsidP="00725D20">
            <w:pPr>
              <w:pStyle w:val="DocumentDateAR"/>
              <w:bidi/>
              <w:rPr>
                <w:rtl/>
              </w:rPr>
            </w:pPr>
            <w:r w:rsidRPr="005639FB">
              <w:rPr>
                <w:rFonts w:hint="cs"/>
                <w:rtl/>
              </w:rPr>
              <w:t xml:space="preserve">التاريخ: </w:t>
            </w:r>
            <w:r w:rsidR="00725D20" w:rsidRPr="005639FB">
              <w:rPr>
                <w:rFonts w:hint="cs"/>
                <w:rtl/>
              </w:rPr>
              <w:t>16 فبراي</w:t>
            </w:r>
            <w:r w:rsidRPr="005639FB">
              <w:rPr>
                <w:rFonts w:hint="cs"/>
                <w:rtl/>
              </w:rPr>
              <w:t xml:space="preserve">ر </w:t>
            </w:r>
            <w:r w:rsidR="005C64F7" w:rsidRPr="005639FB">
              <w:rPr>
                <w:rFonts w:hint="cs"/>
                <w:rtl/>
              </w:rPr>
              <w:t>201</w:t>
            </w:r>
            <w:r w:rsidR="00AF538E" w:rsidRPr="005639FB">
              <w:rPr>
                <w:rFonts w:hint="cs"/>
                <w:rtl/>
              </w:rPr>
              <w:t>7</w:t>
            </w:r>
          </w:p>
        </w:tc>
      </w:tr>
    </w:tbl>
    <w:p w14:paraId="10AD99C4" w14:textId="77777777" w:rsidR="000F5E56" w:rsidRPr="005639FB" w:rsidRDefault="000F5E56" w:rsidP="001667B6">
      <w:pPr>
        <w:bidi/>
        <w:spacing w:line="360" w:lineRule="exact"/>
        <w:rPr>
          <w:rFonts w:ascii="Arabic Typesetting" w:hAnsi="Arabic Typesetting" w:cs="Arabic Typesetting"/>
          <w:sz w:val="36"/>
          <w:szCs w:val="36"/>
          <w:rtl/>
        </w:rPr>
      </w:pPr>
    </w:p>
    <w:p w14:paraId="6EF0BEE7" w14:textId="77777777" w:rsidR="001667B6" w:rsidRPr="005639FB" w:rsidRDefault="001667B6" w:rsidP="001667B6">
      <w:pPr>
        <w:bidi/>
        <w:spacing w:line="360" w:lineRule="exact"/>
        <w:rPr>
          <w:rFonts w:ascii="Arabic Typesetting" w:hAnsi="Arabic Typesetting" w:cs="Arabic Typesetting"/>
          <w:sz w:val="36"/>
          <w:szCs w:val="36"/>
          <w:rtl/>
        </w:rPr>
      </w:pPr>
    </w:p>
    <w:p w14:paraId="24D8A7CB" w14:textId="77777777" w:rsidR="00F27305" w:rsidRPr="005639FB" w:rsidRDefault="00F27305" w:rsidP="00F27305">
      <w:pPr>
        <w:bidi/>
        <w:spacing w:line="360" w:lineRule="exact"/>
        <w:rPr>
          <w:rFonts w:ascii="Arabic Typesetting" w:hAnsi="Arabic Typesetting" w:cs="Arabic Typesetting"/>
          <w:sz w:val="36"/>
          <w:szCs w:val="36"/>
          <w:rtl/>
        </w:rPr>
      </w:pPr>
    </w:p>
    <w:p w14:paraId="26A9E499" w14:textId="77777777" w:rsidR="001667B6" w:rsidRPr="005639FB" w:rsidRDefault="00AB54AE" w:rsidP="00983389">
      <w:pPr>
        <w:pStyle w:val="MeetingTitleAR"/>
        <w:bidi/>
        <w:ind w:right="550"/>
        <w:rPr>
          <w:rtl/>
        </w:rPr>
      </w:pPr>
      <w:r w:rsidRPr="005639FB">
        <w:rPr>
          <w:rFonts w:hint="cs"/>
          <w:rtl/>
        </w:rPr>
        <w:t>معاهدة التعاون بشأن البراءات</w:t>
      </w:r>
    </w:p>
    <w:p w14:paraId="5EB390DB" w14:textId="77777777" w:rsidR="00AB54AE" w:rsidRPr="005639FB" w:rsidRDefault="00C742C5" w:rsidP="00AB54AE">
      <w:pPr>
        <w:pStyle w:val="MeetingTitleAR"/>
        <w:bidi/>
        <w:ind w:right="550"/>
        <w:rPr>
          <w:rtl/>
        </w:rPr>
      </w:pPr>
      <w:r w:rsidRPr="005639FB">
        <w:rPr>
          <w:rFonts w:hint="cs"/>
          <w:rtl/>
        </w:rPr>
        <w:t>الفريق العامل</w:t>
      </w:r>
    </w:p>
    <w:p w14:paraId="29C90225" w14:textId="77777777" w:rsidR="001667B6" w:rsidRPr="005639FB" w:rsidRDefault="001667B6" w:rsidP="001667B6">
      <w:pPr>
        <w:bidi/>
        <w:spacing w:line="360" w:lineRule="exact"/>
        <w:rPr>
          <w:rFonts w:ascii="Arabic Typesetting" w:hAnsi="Arabic Typesetting" w:cs="Arabic Typesetting"/>
          <w:sz w:val="36"/>
          <w:szCs w:val="36"/>
          <w:rtl/>
        </w:rPr>
      </w:pPr>
    </w:p>
    <w:p w14:paraId="1F63FE17" w14:textId="77777777" w:rsidR="001667B6" w:rsidRPr="005639FB" w:rsidRDefault="00F27305" w:rsidP="00AF538E">
      <w:pPr>
        <w:pStyle w:val="MeetingSessionAR"/>
        <w:bidi/>
        <w:rPr>
          <w:rFonts w:ascii="Cambria Math" w:hAnsi="Cambria Math"/>
          <w:rtl/>
        </w:rPr>
      </w:pPr>
      <w:r w:rsidRPr="005639FB">
        <w:rPr>
          <w:rFonts w:ascii="Cambria Math" w:hAnsi="Cambria Math"/>
          <w:rtl/>
        </w:rPr>
        <w:t xml:space="preserve">الدورة </w:t>
      </w:r>
      <w:r w:rsidR="00AF538E" w:rsidRPr="005639FB">
        <w:rPr>
          <w:rFonts w:ascii="Cambria Math" w:hAnsi="Cambria Math" w:hint="cs"/>
          <w:rtl/>
        </w:rPr>
        <w:t>العاشرة</w:t>
      </w:r>
    </w:p>
    <w:p w14:paraId="5A17781E" w14:textId="77777777" w:rsidR="00D61541" w:rsidRPr="005639FB" w:rsidRDefault="00D61541" w:rsidP="008369C1">
      <w:pPr>
        <w:pStyle w:val="MeetingDatesAR"/>
        <w:bidi/>
        <w:rPr>
          <w:rtl/>
        </w:rPr>
      </w:pPr>
      <w:r w:rsidRPr="005639FB">
        <w:rPr>
          <w:rFonts w:hint="cs"/>
          <w:rtl/>
        </w:rPr>
        <w:t xml:space="preserve">جنيف، من </w:t>
      </w:r>
      <w:r w:rsidR="008369C1" w:rsidRPr="005639FB">
        <w:rPr>
          <w:rFonts w:hint="cs"/>
          <w:rtl/>
        </w:rPr>
        <w:t>8</w:t>
      </w:r>
      <w:r w:rsidR="00C742C5" w:rsidRPr="005639FB">
        <w:rPr>
          <w:rFonts w:hint="cs"/>
          <w:rtl/>
        </w:rPr>
        <w:t xml:space="preserve"> إلى </w:t>
      </w:r>
      <w:r w:rsidR="008369C1" w:rsidRPr="005639FB">
        <w:rPr>
          <w:rFonts w:hint="cs"/>
          <w:rtl/>
        </w:rPr>
        <w:t>12</w:t>
      </w:r>
      <w:r w:rsidR="00D07291" w:rsidRPr="005639FB">
        <w:rPr>
          <w:rFonts w:hint="cs"/>
          <w:rtl/>
        </w:rPr>
        <w:t xml:space="preserve"> مايو</w:t>
      </w:r>
      <w:r w:rsidR="00C742C5" w:rsidRPr="005639FB">
        <w:rPr>
          <w:rFonts w:hint="cs"/>
          <w:rtl/>
        </w:rPr>
        <w:t xml:space="preserve"> </w:t>
      </w:r>
      <w:r w:rsidR="005C64F7" w:rsidRPr="005639FB">
        <w:rPr>
          <w:rFonts w:hint="cs"/>
          <w:rtl/>
        </w:rPr>
        <w:t>201</w:t>
      </w:r>
      <w:r w:rsidR="008369C1" w:rsidRPr="005639FB">
        <w:rPr>
          <w:rFonts w:hint="cs"/>
          <w:rtl/>
        </w:rPr>
        <w:t>7</w:t>
      </w:r>
    </w:p>
    <w:p w14:paraId="516806D7" w14:textId="77777777" w:rsidR="00D61541" w:rsidRPr="005639FB" w:rsidRDefault="00D61541" w:rsidP="00D61541">
      <w:pPr>
        <w:bidi/>
        <w:spacing w:line="360" w:lineRule="exact"/>
        <w:rPr>
          <w:rFonts w:ascii="Arabic Typesetting" w:hAnsi="Arabic Typesetting" w:cs="Arabic Typesetting"/>
          <w:sz w:val="36"/>
          <w:szCs w:val="36"/>
          <w:rtl/>
        </w:rPr>
      </w:pPr>
    </w:p>
    <w:p w14:paraId="1EDB4E2F" w14:textId="77777777" w:rsidR="00D61541" w:rsidRPr="005639FB" w:rsidRDefault="00D61541" w:rsidP="00D61541">
      <w:pPr>
        <w:bidi/>
        <w:spacing w:line="360" w:lineRule="exact"/>
        <w:rPr>
          <w:rFonts w:ascii="Arabic Typesetting" w:hAnsi="Arabic Typesetting" w:cs="Arabic Typesetting"/>
          <w:sz w:val="36"/>
          <w:szCs w:val="36"/>
          <w:rtl/>
        </w:rPr>
      </w:pPr>
    </w:p>
    <w:p w14:paraId="5E532003" w14:textId="485589BC" w:rsidR="00725D20" w:rsidRPr="005639FB" w:rsidRDefault="00725D20" w:rsidP="00831031">
      <w:pPr>
        <w:pStyle w:val="DocumentTitleAR"/>
        <w:bidi/>
      </w:pPr>
      <w:r w:rsidRPr="005639FB">
        <w:rPr>
          <w:rtl/>
        </w:rPr>
        <w:t>اجتماع الإدارات الدولية العاملة في ظل معاهدة التعاون بشأن البراءات: تقرير عن الدورة ال</w:t>
      </w:r>
      <w:r w:rsidRPr="005639FB">
        <w:rPr>
          <w:rFonts w:hint="cs"/>
          <w:rtl/>
        </w:rPr>
        <w:t>رابعة</w:t>
      </w:r>
      <w:r w:rsidR="00831031" w:rsidRPr="005639FB">
        <w:rPr>
          <w:rFonts w:cs="Times New Roman" w:hint="eastAsia"/>
          <w:rtl/>
        </w:rPr>
        <w:t> </w:t>
      </w:r>
      <w:r w:rsidRPr="005639FB">
        <w:rPr>
          <w:rtl/>
        </w:rPr>
        <w:t>والعشرين</w:t>
      </w:r>
    </w:p>
    <w:p w14:paraId="3600031C" w14:textId="77777777" w:rsidR="00D61541" w:rsidRPr="005639FB" w:rsidRDefault="00725D20" w:rsidP="00931859">
      <w:pPr>
        <w:pStyle w:val="PreparedbyAR"/>
        <w:bidi/>
        <w:rPr>
          <w:rtl/>
        </w:rPr>
      </w:pPr>
      <w:r w:rsidRPr="005639FB">
        <w:rPr>
          <w:rFonts w:hint="cs"/>
          <w:rtl/>
        </w:rPr>
        <w:t xml:space="preserve">وثيقة </w:t>
      </w:r>
      <w:r w:rsidR="00D61541" w:rsidRPr="005639FB">
        <w:rPr>
          <w:rFonts w:hint="cs"/>
          <w:rtl/>
        </w:rPr>
        <w:t>من إعداد</w:t>
      </w:r>
      <w:r w:rsidRPr="005639FB">
        <w:rPr>
          <w:rFonts w:hint="cs"/>
          <w:rtl/>
        </w:rPr>
        <w:t xml:space="preserve"> المكتب الدولي</w:t>
      </w:r>
    </w:p>
    <w:p w14:paraId="398411DA" w14:textId="275EC3EA" w:rsidR="002900ED" w:rsidRPr="005639FB" w:rsidRDefault="002900ED" w:rsidP="00725D20">
      <w:pPr>
        <w:pStyle w:val="NumberedParaAR"/>
      </w:pPr>
      <w:r w:rsidRPr="005639FB">
        <w:rPr>
          <w:rtl/>
        </w:rPr>
        <w:t>يعرض مرفقُ هذه الوثيقة ملخص رئيس الدورة ال</w:t>
      </w:r>
      <w:r w:rsidR="00725D20" w:rsidRPr="005639FB">
        <w:rPr>
          <w:rFonts w:hint="cs"/>
          <w:rtl/>
        </w:rPr>
        <w:t>رابعة</w:t>
      </w:r>
      <w:r w:rsidRPr="005639FB">
        <w:rPr>
          <w:rtl/>
        </w:rPr>
        <w:t xml:space="preserve"> والعشرين لاجتماع الإدارات الدولية العاملة في ظل معاهدة التعاون بشأن البراءات الذي عُقد في </w:t>
      </w:r>
      <w:r w:rsidR="00725D20" w:rsidRPr="005639FB">
        <w:rPr>
          <w:rtl/>
        </w:rPr>
        <w:t xml:space="preserve">ريكيافيك، </w:t>
      </w:r>
      <w:proofErr w:type="spellStart"/>
      <w:r w:rsidR="00725D20" w:rsidRPr="005639FB">
        <w:rPr>
          <w:rtl/>
        </w:rPr>
        <w:t>آيسلندا</w:t>
      </w:r>
      <w:proofErr w:type="spellEnd"/>
      <w:r w:rsidRPr="005639FB">
        <w:rPr>
          <w:rtl/>
        </w:rPr>
        <w:t xml:space="preserve">، في الفترة من 8 إلى 10 </w:t>
      </w:r>
      <w:r w:rsidR="00725D20" w:rsidRPr="005639FB">
        <w:rPr>
          <w:rFonts w:hint="cs"/>
          <w:rtl/>
        </w:rPr>
        <w:t>فبراير</w:t>
      </w:r>
      <w:r w:rsidRPr="005639FB">
        <w:rPr>
          <w:rtl/>
        </w:rPr>
        <w:t xml:space="preserve"> </w:t>
      </w:r>
      <w:r w:rsidR="00725D20" w:rsidRPr="005639FB">
        <w:rPr>
          <w:rFonts w:hint="cs"/>
          <w:rtl/>
        </w:rPr>
        <w:t xml:space="preserve">2017. </w:t>
      </w:r>
      <w:r w:rsidRPr="005639FB">
        <w:rPr>
          <w:rtl/>
        </w:rPr>
        <w:t xml:space="preserve">ويحتوي المرفق الثاني لملخص الرئيس </w:t>
      </w:r>
      <w:bookmarkStart w:id="2" w:name="_GoBack"/>
      <w:bookmarkEnd w:id="2"/>
      <w:r w:rsidRPr="005639FB">
        <w:rPr>
          <w:rtl/>
        </w:rPr>
        <w:t>على مُلخَّص رئيس الدورة غير الرسمية السا</w:t>
      </w:r>
      <w:r w:rsidR="00725D20" w:rsidRPr="005639FB">
        <w:rPr>
          <w:rFonts w:hint="cs"/>
          <w:rtl/>
        </w:rPr>
        <w:t>بعة</w:t>
      </w:r>
      <w:r w:rsidRPr="005639FB">
        <w:rPr>
          <w:rtl/>
        </w:rPr>
        <w:t xml:space="preserve"> للفريق الفرعي المعني بالجودة التابع لاجتماع الإدارات الدولية العاملة في ظل معاهدة التعاون بشأن البراءات، التي عُقدت في </w:t>
      </w:r>
      <w:r w:rsidR="00725D20" w:rsidRPr="005639FB">
        <w:rPr>
          <w:rtl/>
        </w:rPr>
        <w:t>ريكيافيك</w:t>
      </w:r>
      <w:r w:rsidRPr="005639FB">
        <w:rPr>
          <w:rtl/>
        </w:rPr>
        <w:t xml:space="preserve"> يومَي 6 و</w:t>
      </w:r>
      <w:r w:rsidR="00725D20" w:rsidRPr="005639FB">
        <w:rPr>
          <w:rFonts w:hint="cs"/>
          <w:rtl/>
        </w:rPr>
        <w:t>7</w:t>
      </w:r>
      <w:r w:rsidRPr="005639FB">
        <w:rPr>
          <w:rtl/>
        </w:rPr>
        <w:t xml:space="preserve"> </w:t>
      </w:r>
      <w:r w:rsidR="00725D20" w:rsidRPr="005639FB">
        <w:rPr>
          <w:rFonts w:hint="cs"/>
          <w:rtl/>
        </w:rPr>
        <w:t>فبراي</w:t>
      </w:r>
      <w:r w:rsidRPr="005639FB">
        <w:rPr>
          <w:rtl/>
        </w:rPr>
        <w:t>ر 2017، أي قُبيل اجتماع الإدارات</w:t>
      </w:r>
      <w:r w:rsidR="00725D20" w:rsidRPr="005639FB">
        <w:rPr>
          <w:rFonts w:hint="cs"/>
          <w:rtl/>
        </w:rPr>
        <w:t> </w:t>
      </w:r>
      <w:r w:rsidRPr="005639FB">
        <w:rPr>
          <w:rtl/>
        </w:rPr>
        <w:t>الدولية</w:t>
      </w:r>
      <w:r w:rsidRPr="005639FB">
        <w:t>.</w:t>
      </w:r>
    </w:p>
    <w:p w14:paraId="1AADB961" w14:textId="77777777" w:rsidR="002900ED" w:rsidRPr="005639FB" w:rsidRDefault="002900ED" w:rsidP="001D6068">
      <w:pPr>
        <w:pStyle w:val="DecisionParaAR"/>
        <w:spacing w:after="480"/>
      </w:pPr>
      <w:r w:rsidRPr="005639FB">
        <w:rPr>
          <w:rtl/>
        </w:rPr>
        <w:t>إن الفريق العامل مدعوٌّ إلى الإحاط</w:t>
      </w:r>
      <w:r w:rsidR="003D46C1" w:rsidRPr="005639FB">
        <w:rPr>
          <w:rtl/>
        </w:rPr>
        <w:t>ة علماً بملخص رئيس الدورة ال</w:t>
      </w:r>
      <w:r w:rsidR="003D46C1" w:rsidRPr="005639FB">
        <w:rPr>
          <w:rFonts w:hint="cs"/>
          <w:rtl/>
        </w:rPr>
        <w:t>رابع</w:t>
      </w:r>
      <w:r w:rsidRPr="005639FB">
        <w:rPr>
          <w:rtl/>
        </w:rPr>
        <w:t xml:space="preserve">ة والعشرين لاجتماع الإدارات الدولية العاملة في ظل معاهدة التعاون بشأن البراءات (الوثيقة </w:t>
      </w:r>
      <w:r w:rsidR="002E1948" w:rsidRPr="005639FB">
        <w:t>PCT</w:t>
      </w:r>
      <w:r w:rsidRPr="005639FB">
        <w:t>/MIA/24/15</w:t>
      </w:r>
      <w:r w:rsidRPr="005639FB">
        <w:rPr>
          <w:rtl/>
        </w:rPr>
        <w:t>)، الوارد في مرفق هذه الوثيقة.</w:t>
      </w:r>
    </w:p>
    <w:p w14:paraId="3D51843A" w14:textId="77777777" w:rsidR="002900ED" w:rsidRPr="005639FB" w:rsidRDefault="002900ED" w:rsidP="001D6068">
      <w:pPr>
        <w:pStyle w:val="EndofDocumentAR"/>
        <w:spacing w:after="480"/>
        <w:sectPr w:rsidR="002900ED" w:rsidRPr="005639FB" w:rsidSect="00725D20">
          <w:headerReference w:type="default" r:id="rId10"/>
          <w:endnotePr>
            <w:numFmt w:val="decimal"/>
          </w:endnotePr>
          <w:pgSz w:w="11907" w:h="16840" w:code="9"/>
          <w:pgMar w:top="567" w:right="1134" w:bottom="1418" w:left="1418" w:header="510" w:footer="1021" w:gutter="0"/>
          <w:cols w:space="720"/>
          <w:titlePg/>
          <w:docGrid w:linePitch="299"/>
        </w:sectPr>
      </w:pPr>
      <w:r w:rsidRPr="005639FB">
        <w:rPr>
          <w:rtl/>
        </w:rPr>
        <w:t>[يلي ذلك المرفق]</w:t>
      </w:r>
    </w:p>
    <w:p w14:paraId="7B4A71A5" w14:textId="77777777" w:rsidR="00486B17" w:rsidRPr="005639FB" w:rsidRDefault="00AA70FE" w:rsidP="00A513BF">
      <w:pPr>
        <w:pStyle w:val="NormalParaAR"/>
        <w:rPr>
          <w:sz w:val="40"/>
          <w:szCs w:val="40"/>
          <w:rtl/>
        </w:rPr>
      </w:pPr>
      <w:r w:rsidRPr="005639FB">
        <w:rPr>
          <w:sz w:val="40"/>
          <w:szCs w:val="40"/>
          <w:rtl/>
        </w:rPr>
        <w:lastRenderedPageBreak/>
        <w:t>اجتماع الإدارات الدولية العاملة في ظل معاهدة التعاون بشأن البراءات</w:t>
      </w:r>
      <w:r w:rsidR="00486B17" w:rsidRPr="005639FB">
        <w:rPr>
          <w:sz w:val="40"/>
          <w:szCs w:val="40"/>
          <w:rtl/>
        </w:rPr>
        <w:t xml:space="preserve"> </w:t>
      </w:r>
    </w:p>
    <w:p w14:paraId="71F6B934" w14:textId="77777777" w:rsidR="00486B17" w:rsidRPr="005639FB" w:rsidRDefault="00486B17" w:rsidP="00A513BF">
      <w:pPr>
        <w:pStyle w:val="NormalParaAR"/>
        <w:rPr>
          <w:sz w:val="40"/>
          <w:szCs w:val="40"/>
          <w:rtl/>
        </w:rPr>
      </w:pPr>
      <w:r w:rsidRPr="005639FB">
        <w:rPr>
          <w:sz w:val="40"/>
          <w:szCs w:val="40"/>
          <w:rtl/>
        </w:rPr>
        <w:t>الدورة ال</w:t>
      </w:r>
      <w:r w:rsidRPr="005639FB">
        <w:rPr>
          <w:rFonts w:hint="cs"/>
          <w:sz w:val="40"/>
          <w:szCs w:val="40"/>
          <w:rtl/>
        </w:rPr>
        <w:t>رابعة</w:t>
      </w:r>
      <w:r w:rsidRPr="005639FB">
        <w:rPr>
          <w:sz w:val="40"/>
          <w:szCs w:val="40"/>
          <w:rtl/>
        </w:rPr>
        <w:t xml:space="preserve"> والعشر</w:t>
      </w:r>
      <w:r w:rsidRPr="005639FB">
        <w:rPr>
          <w:rFonts w:hint="cs"/>
          <w:sz w:val="40"/>
          <w:szCs w:val="40"/>
          <w:rtl/>
        </w:rPr>
        <w:t>و</w:t>
      </w:r>
      <w:r w:rsidRPr="005639FB">
        <w:rPr>
          <w:sz w:val="40"/>
          <w:szCs w:val="40"/>
          <w:rtl/>
        </w:rPr>
        <w:t>ن</w:t>
      </w:r>
      <w:r w:rsidRPr="005639FB">
        <w:rPr>
          <w:rFonts w:hint="cs"/>
          <w:sz w:val="40"/>
          <w:szCs w:val="40"/>
          <w:rtl/>
        </w:rPr>
        <w:t>،</w:t>
      </w:r>
      <w:r w:rsidRPr="005639FB">
        <w:rPr>
          <w:sz w:val="40"/>
          <w:szCs w:val="40"/>
          <w:rtl/>
        </w:rPr>
        <w:t xml:space="preserve"> ريكيافيك، من 8 إلى 10 </w:t>
      </w:r>
      <w:r w:rsidRPr="005639FB">
        <w:rPr>
          <w:rFonts w:hint="cs"/>
          <w:sz w:val="40"/>
          <w:szCs w:val="40"/>
          <w:rtl/>
        </w:rPr>
        <w:t>فبراير</w:t>
      </w:r>
      <w:r w:rsidRPr="005639FB">
        <w:rPr>
          <w:sz w:val="40"/>
          <w:szCs w:val="40"/>
          <w:rtl/>
        </w:rPr>
        <w:t xml:space="preserve"> </w:t>
      </w:r>
      <w:r w:rsidRPr="005639FB">
        <w:rPr>
          <w:rFonts w:hint="cs"/>
          <w:sz w:val="40"/>
          <w:szCs w:val="40"/>
          <w:rtl/>
        </w:rPr>
        <w:t>2017</w:t>
      </w:r>
    </w:p>
    <w:p w14:paraId="212C003F" w14:textId="77777777" w:rsidR="00AA70FE" w:rsidRPr="005639FB" w:rsidRDefault="00486B17" w:rsidP="00A513BF">
      <w:pPr>
        <w:pStyle w:val="NormalParaAR"/>
      </w:pPr>
      <w:r w:rsidRPr="005639FB">
        <w:rPr>
          <w:rFonts w:hint="cs"/>
          <w:caps/>
          <w:sz w:val="40"/>
          <w:szCs w:val="40"/>
          <w:rtl/>
        </w:rPr>
        <w:t>ملخص الرئيس</w:t>
      </w:r>
      <w:r w:rsidR="00AA70FE" w:rsidRPr="005639FB">
        <w:br/>
      </w:r>
      <w:r w:rsidRPr="005639FB">
        <w:rPr>
          <w:rtl/>
        </w:rPr>
        <w:t xml:space="preserve">(أحاط الاجتماع علماً به؛ مُستنسَخ من الوثيقة </w:t>
      </w:r>
      <w:r w:rsidRPr="005639FB">
        <w:t>PCT/MIA/24/15</w:t>
      </w:r>
      <w:r w:rsidRPr="005639FB">
        <w:rPr>
          <w:rtl/>
        </w:rPr>
        <w:t>)</w:t>
      </w:r>
    </w:p>
    <w:p w14:paraId="30122A35" w14:textId="77777777" w:rsidR="00AA70FE" w:rsidRPr="005639FB" w:rsidRDefault="00AA70FE" w:rsidP="00A513BF">
      <w:pPr>
        <w:pStyle w:val="Heading1AR"/>
        <w:spacing w:after="240" w:line="360" w:lineRule="exact"/>
      </w:pPr>
      <w:r w:rsidRPr="005639FB">
        <w:rPr>
          <w:rtl/>
        </w:rPr>
        <w:t>مقدمة</w:t>
      </w:r>
    </w:p>
    <w:p w14:paraId="43EA0B5F" w14:textId="77777777" w:rsidR="00E85B61" w:rsidRPr="005639FB" w:rsidRDefault="00E85B61" w:rsidP="00A513BF">
      <w:pPr>
        <w:pStyle w:val="NumberedParaAR"/>
        <w:numPr>
          <w:ilvl w:val="0"/>
          <w:numId w:val="5"/>
        </w:numPr>
      </w:pPr>
      <w:r w:rsidRPr="005639FB">
        <w:rPr>
          <w:rFonts w:hint="cs"/>
          <w:rtl/>
        </w:rPr>
        <w:t xml:space="preserve">عقد </w:t>
      </w:r>
      <w:r w:rsidRPr="005639FB">
        <w:rPr>
          <w:rtl/>
        </w:rPr>
        <w:t>اجتماع الإدارات الدولية العاملة في ظل معاهدة التعاون بشأن البراءات</w:t>
      </w:r>
      <w:r w:rsidRPr="005639FB">
        <w:rPr>
          <w:rFonts w:hint="cs"/>
          <w:rtl/>
        </w:rPr>
        <w:t xml:space="preserve"> ("الاجتماع")</w:t>
      </w:r>
      <w:r w:rsidRPr="005639FB">
        <w:rPr>
          <w:rtl/>
        </w:rPr>
        <w:t xml:space="preserve"> </w:t>
      </w:r>
      <w:r w:rsidRPr="005639FB">
        <w:rPr>
          <w:rFonts w:hint="cs"/>
          <w:rtl/>
        </w:rPr>
        <w:t xml:space="preserve">دورته الرابعة والعشرين </w:t>
      </w:r>
      <w:r w:rsidRPr="005639FB">
        <w:rPr>
          <w:rtl/>
        </w:rPr>
        <w:t xml:space="preserve">في ريكيافيك، في الفترة من 8 إلى 10 </w:t>
      </w:r>
      <w:r w:rsidRPr="005639FB">
        <w:rPr>
          <w:rFonts w:hint="cs"/>
          <w:rtl/>
        </w:rPr>
        <w:t>فبراير</w:t>
      </w:r>
      <w:r w:rsidRPr="005639FB">
        <w:rPr>
          <w:rtl/>
        </w:rPr>
        <w:t xml:space="preserve"> </w:t>
      </w:r>
      <w:r w:rsidR="00F8747D" w:rsidRPr="005639FB">
        <w:rPr>
          <w:rFonts w:hint="cs"/>
          <w:rtl/>
        </w:rPr>
        <w:t>2017.</w:t>
      </w:r>
    </w:p>
    <w:p w14:paraId="04C3065E" w14:textId="245B605D" w:rsidR="00AA70FE" w:rsidRPr="005639FB" w:rsidRDefault="00AA70FE" w:rsidP="00A513BF">
      <w:pPr>
        <w:pStyle w:val="NumberedParaAR"/>
        <w:numPr>
          <w:ilvl w:val="0"/>
          <w:numId w:val="5"/>
        </w:numPr>
      </w:pPr>
      <w:r w:rsidRPr="005639FB">
        <w:rPr>
          <w:rtl/>
        </w:rPr>
        <w:t>وكانت إدارات البحث الدولي والفحص التمهيدي الدولي التالية مُمثَّلةً في الدورة: مكتب البراءات النمساوي، والمعهد الوطني البرازيلي للملكية الصناعية، والمكتب الكندي للملكية الفك</w:t>
      </w:r>
      <w:r w:rsidR="00F8747D" w:rsidRPr="005639FB">
        <w:rPr>
          <w:rtl/>
        </w:rPr>
        <w:t>رية، ومكتب براءات الاختراع المصري</w:t>
      </w:r>
      <w:r w:rsidR="00F8747D" w:rsidRPr="005639FB">
        <w:rPr>
          <w:rFonts w:hint="cs"/>
          <w:rtl/>
        </w:rPr>
        <w:t>،</w:t>
      </w:r>
      <w:r w:rsidR="00F8747D" w:rsidRPr="005639FB">
        <w:rPr>
          <w:rtl/>
        </w:rPr>
        <w:t xml:space="preserve"> والمكتب الأوروبي للبراءات</w:t>
      </w:r>
      <w:r w:rsidRPr="005639FB">
        <w:rPr>
          <w:rtl/>
        </w:rPr>
        <w:t>، والدائرة الاتحادية للملكية الفكرية التابعة للاتحاد الروسي (</w:t>
      </w:r>
      <w:proofErr w:type="spellStart"/>
      <w:r w:rsidRPr="005639FB">
        <w:t>Rospatent</w:t>
      </w:r>
      <w:proofErr w:type="spellEnd"/>
      <w:r w:rsidRPr="005639FB">
        <w:rPr>
          <w:rtl/>
        </w:rPr>
        <w:t xml:space="preserve">)، والمكتب الفنلندي للبراءات والتسجيل، والمكتب الهندي للبراءات، ومكتب الملكية الفكرية في سنغافورة، ومكتب أستراليا للملكية الفكرية، </w:t>
      </w:r>
      <w:r w:rsidR="00F8747D" w:rsidRPr="005639FB">
        <w:rPr>
          <w:rtl/>
        </w:rPr>
        <w:t xml:space="preserve">ومكتب البراءات الإسرائيلي، </w:t>
      </w:r>
      <w:r w:rsidRPr="005639FB">
        <w:rPr>
          <w:rtl/>
        </w:rPr>
        <w:t>ومكتب اليابان للبراءات، و</w:t>
      </w:r>
      <w:r w:rsidR="00775D53" w:rsidRPr="005639FB">
        <w:rPr>
          <w:rtl/>
        </w:rPr>
        <w:t>مكتب كوريا للملكية الفكرية</w:t>
      </w:r>
      <w:r w:rsidRPr="005639FB">
        <w:rPr>
          <w:rtl/>
        </w:rPr>
        <w:t xml:space="preserve">، والمعهد الوطني الشيلي للملكية الصناعية، ومعهد بلدان أوروبا الشمالية للبراءات، والمكتب الإسباني للبراءات والعلامات التجارية، ومكتب الملكية الفكرية الحكومي لجمهورية الصين الشعبية، والمكتب السويدي للبراءات والتسجيل، </w:t>
      </w:r>
      <w:r w:rsidR="00277BE5" w:rsidRPr="005639FB">
        <w:rPr>
          <w:rFonts w:hint="cs"/>
          <w:rtl/>
        </w:rPr>
        <w:t xml:space="preserve">ومكتب </w:t>
      </w:r>
      <w:r w:rsidR="00F8747D" w:rsidRPr="005639FB">
        <w:rPr>
          <w:rFonts w:hint="cs"/>
          <w:rtl/>
        </w:rPr>
        <w:t>تركي</w:t>
      </w:r>
      <w:r w:rsidR="00277BE5" w:rsidRPr="005639FB">
        <w:rPr>
          <w:rFonts w:hint="cs"/>
          <w:rtl/>
        </w:rPr>
        <w:t>ا</w:t>
      </w:r>
      <w:r w:rsidR="00F8747D" w:rsidRPr="005639FB">
        <w:rPr>
          <w:rFonts w:hint="cs"/>
          <w:rtl/>
        </w:rPr>
        <w:t xml:space="preserve"> للبراءات والعلامات التجارية، والمعهد الأوكراني </w:t>
      </w:r>
      <w:r w:rsidR="00F8747D" w:rsidRPr="005639FB">
        <w:rPr>
          <w:rtl/>
        </w:rPr>
        <w:t>للملكية الفكرية</w:t>
      </w:r>
      <w:r w:rsidR="00F8747D" w:rsidRPr="005639FB">
        <w:rPr>
          <w:rFonts w:hint="cs"/>
          <w:rtl/>
        </w:rPr>
        <w:t>،</w:t>
      </w:r>
      <w:r w:rsidR="00F8747D" w:rsidRPr="005639FB">
        <w:rPr>
          <w:rtl/>
        </w:rPr>
        <w:t xml:space="preserve"> </w:t>
      </w:r>
      <w:r w:rsidRPr="005639FB">
        <w:rPr>
          <w:rtl/>
        </w:rPr>
        <w:t>ومكتب الولايات المتحدة الأمريكية للب</w:t>
      </w:r>
      <w:r w:rsidR="00F8747D" w:rsidRPr="005639FB">
        <w:rPr>
          <w:rtl/>
        </w:rPr>
        <w:t>راءات والعلامات التجارية، ومعهد</w:t>
      </w:r>
      <w:r w:rsidR="00F8747D" w:rsidRPr="005639FB">
        <w:rPr>
          <w:rFonts w:hint="cs"/>
          <w:rtl/>
        </w:rPr>
        <w:t xml:space="preserve"> </w:t>
      </w:r>
      <w:proofErr w:type="spellStart"/>
      <w:r w:rsidRPr="005639FB">
        <w:rPr>
          <w:rtl/>
        </w:rPr>
        <w:t>فيسغراد</w:t>
      </w:r>
      <w:proofErr w:type="spellEnd"/>
      <w:r w:rsidR="006237D8" w:rsidRPr="005639FB">
        <w:rPr>
          <w:rFonts w:hint="cs"/>
          <w:rtl/>
        </w:rPr>
        <w:t> </w:t>
      </w:r>
      <w:r w:rsidRPr="005639FB">
        <w:rPr>
          <w:rtl/>
        </w:rPr>
        <w:t>للبراءات.</w:t>
      </w:r>
    </w:p>
    <w:p w14:paraId="48D8093B" w14:textId="77777777" w:rsidR="00AA70FE" w:rsidRPr="005639FB" w:rsidRDefault="00AA70FE" w:rsidP="00A513BF">
      <w:pPr>
        <w:pStyle w:val="NumberedParaAR"/>
      </w:pPr>
      <w:r w:rsidRPr="005639FB">
        <w:rPr>
          <w:rtl/>
        </w:rPr>
        <w:t>وترد قائمة المشاركين في المرفق الأول لهذه الوثيقة.</w:t>
      </w:r>
    </w:p>
    <w:p w14:paraId="22E70868" w14:textId="77777777" w:rsidR="006237D8" w:rsidRPr="005639FB" w:rsidRDefault="00AA70FE" w:rsidP="00A513BF">
      <w:pPr>
        <w:pStyle w:val="Heading1AR"/>
        <w:spacing w:after="240" w:line="360" w:lineRule="exact"/>
      </w:pPr>
      <w:r w:rsidRPr="005639FB">
        <w:rPr>
          <w:rtl/>
        </w:rPr>
        <w:t>البند 1: افتتاح الدورة</w:t>
      </w:r>
    </w:p>
    <w:p w14:paraId="143A4DCF" w14:textId="009319CA" w:rsidR="008E5452" w:rsidRPr="005639FB" w:rsidRDefault="00AA70FE" w:rsidP="00A513BF">
      <w:pPr>
        <w:pStyle w:val="NumberedParaAR"/>
      </w:pPr>
      <w:r w:rsidRPr="005639FB">
        <w:rPr>
          <w:rtl/>
        </w:rPr>
        <w:t xml:space="preserve">رحَّب السيد جون </w:t>
      </w:r>
      <w:proofErr w:type="spellStart"/>
      <w:r w:rsidRPr="005639FB">
        <w:rPr>
          <w:rtl/>
        </w:rPr>
        <w:t>سانديج</w:t>
      </w:r>
      <w:proofErr w:type="spellEnd"/>
      <w:r w:rsidRPr="005639FB">
        <w:rPr>
          <w:rtl/>
        </w:rPr>
        <w:t xml:space="preserve">، نائب المدير العام </w:t>
      </w:r>
      <w:proofErr w:type="spellStart"/>
      <w:r w:rsidRPr="005639FB">
        <w:rPr>
          <w:rtl/>
        </w:rPr>
        <w:t>للويبو</w:t>
      </w:r>
      <w:proofErr w:type="spellEnd"/>
      <w:r w:rsidRPr="005639FB">
        <w:rPr>
          <w:rtl/>
        </w:rPr>
        <w:t>، ب</w:t>
      </w:r>
      <w:r w:rsidR="008E5452" w:rsidRPr="005639FB">
        <w:rPr>
          <w:rtl/>
        </w:rPr>
        <w:t>المشاركين نيابةً عن المدير العا</w:t>
      </w:r>
      <w:r w:rsidR="008E5452" w:rsidRPr="005639FB">
        <w:rPr>
          <w:rFonts w:hint="cs"/>
          <w:rtl/>
        </w:rPr>
        <w:t>م.</w:t>
      </w:r>
      <w:r w:rsidRPr="005639FB">
        <w:t xml:space="preserve"> </w:t>
      </w:r>
      <w:r w:rsidR="00B74C7B" w:rsidRPr="005639FB">
        <w:rPr>
          <w:rFonts w:hint="cs"/>
          <w:rtl/>
          <w:lang w:bidi="ar"/>
        </w:rPr>
        <w:t xml:space="preserve">وفي كلمته الافتتاحية، خصّ بالترحيب رئيس وأعضاء وفد </w:t>
      </w:r>
      <w:r w:rsidR="00277BE5" w:rsidRPr="005639FB">
        <w:rPr>
          <w:rFonts w:hint="cs"/>
          <w:rtl/>
        </w:rPr>
        <w:t xml:space="preserve">مكتب </w:t>
      </w:r>
      <w:r w:rsidR="00B74C7B" w:rsidRPr="005639FB">
        <w:rPr>
          <w:rFonts w:hint="cs"/>
          <w:rtl/>
        </w:rPr>
        <w:t>تركي</w:t>
      </w:r>
      <w:r w:rsidR="00277BE5" w:rsidRPr="005639FB">
        <w:rPr>
          <w:rFonts w:hint="cs"/>
          <w:rtl/>
        </w:rPr>
        <w:t>ا</w:t>
      </w:r>
      <w:r w:rsidR="00B74C7B" w:rsidRPr="005639FB">
        <w:rPr>
          <w:rFonts w:hint="cs"/>
          <w:rtl/>
        </w:rPr>
        <w:t xml:space="preserve"> للبراءات والعلامات التجارية</w:t>
      </w:r>
      <w:r w:rsidR="00B74C7B" w:rsidRPr="005639FB">
        <w:rPr>
          <w:rFonts w:hint="cs"/>
          <w:rtl/>
          <w:lang w:bidi="ar"/>
        </w:rPr>
        <w:t xml:space="preserve"> الذين يحضرون الاجتماع للمرة الأولى بعد تعيين مكتبهم </w:t>
      </w:r>
      <w:r w:rsidR="00B74C7B" w:rsidRPr="005639FB">
        <w:rPr>
          <w:rtl/>
          <w:lang w:bidi="ar"/>
        </w:rPr>
        <w:t>كإدارة للبحث الدولي والفحص التمهيدي الدو</w:t>
      </w:r>
      <w:r w:rsidR="00B74C7B" w:rsidRPr="005639FB">
        <w:rPr>
          <w:rFonts w:hint="cs"/>
          <w:rtl/>
          <w:lang w:bidi="ar"/>
        </w:rPr>
        <w:t>لي في الدورة الثامنة والأربعين ل</w:t>
      </w:r>
      <w:r w:rsidR="00B74C7B" w:rsidRPr="005639FB">
        <w:rPr>
          <w:rtl/>
          <w:lang w:bidi="ar"/>
        </w:rPr>
        <w:t>جمعية معاهدة التعاون بشأن البراءات</w:t>
      </w:r>
      <w:r w:rsidR="00B74C7B" w:rsidRPr="005639FB">
        <w:rPr>
          <w:rFonts w:hint="cs"/>
          <w:rtl/>
          <w:lang w:bidi="ar"/>
        </w:rPr>
        <w:t xml:space="preserve"> في أكتوبر 2016. وأشار</w:t>
      </w:r>
      <w:r w:rsidR="00B74C7B" w:rsidRPr="005639FB">
        <w:rPr>
          <w:rtl/>
        </w:rPr>
        <w:t xml:space="preserve"> نائب المدير العام</w:t>
      </w:r>
      <w:r w:rsidR="00B74C7B" w:rsidRPr="005639FB">
        <w:rPr>
          <w:rFonts w:hint="cs"/>
          <w:rtl/>
          <w:lang w:bidi="ar"/>
        </w:rPr>
        <w:t xml:space="preserve"> إلى اجتياز عتبة 3 ملايين طلب </w:t>
      </w:r>
      <w:r w:rsidR="001A7009" w:rsidRPr="005639FB">
        <w:rPr>
          <w:rFonts w:hint="cs"/>
          <w:rtl/>
          <w:lang w:bidi="ar"/>
        </w:rPr>
        <w:t xml:space="preserve">منشور </w:t>
      </w:r>
      <w:r w:rsidR="00B74C7B" w:rsidRPr="005639FB">
        <w:rPr>
          <w:rFonts w:hint="cs"/>
          <w:rtl/>
          <w:lang w:bidi="ar"/>
        </w:rPr>
        <w:t xml:space="preserve">بموجب معاهدة التعاون بشأن البراءات </w:t>
      </w:r>
      <w:r w:rsidR="001A7009" w:rsidRPr="005639FB">
        <w:rPr>
          <w:rFonts w:hint="cs"/>
          <w:rtl/>
          <w:lang w:bidi="ar"/>
        </w:rPr>
        <w:t>يوم</w:t>
      </w:r>
      <w:r w:rsidR="00341B41" w:rsidRPr="005639FB">
        <w:rPr>
          <w:rFonts w:hint="eastAsia"/>
          <w:lang w:bidi="ar"/>
        </w:rPr>
        <w:t> </w:t>
      </w:r>
      <w:r w:rsidR="001A7009" w:rsidRPr="005639FB">
        <w:rPr>
          <w:rFonts w:hint="cs"/>
          <w:rtl/>
          <w:lang w:bidi="ar"/>
        </w:rPr>
        <w:t>2 فبراير</w:t>
      </w:r>
      <w:r w:rsidR="00B74C7B" w:rsidRPr="005639FB">
        <w:rPr>
          <w:rFonts w:hint="cs"/>
          <w:rtl/>
          <w:lang w:bidi="ar"/>
        </w:rPr>
        <w:t xml:space="preserve"> 2017. و</w:t>
      </w:r>
      <w:r w:rsidR="008F3903" w:rsidRPr="005639FB">
        <w:rPr>
          <w:rFonts w:hint="cs"/>
          <w:rtl/>
          <w:lang w:bidi="ar-SY"/>
        </w:rPr>
        <w:t xml:space="preserve">قال إن </w:t>
      </w:r>
      <w:r w:rsidR="008F3903" w:rsidRPr="005639FB">
        <w:rPr>
          <w:rFonts w:hint="cs"/>
          <w:rtl/>
          <w:lang w:bidi="ar"/>
        </w:rPr>
        <w:t>عمل الإدارات الدولية لتحقيق</w:t>
      </w:r>
      <w:r w:rsidR="00B74C7B" w:rsidRPr="005639FB">
        <w:rPr>
          <w:rFonts w:hint="cs"/>
          <w:rtl/>
          <w:lang w:bidi="ar"/>
        </w:rPr>
        <w:t xml:space="preserve"> </w:t>
      </w:r>
      <w:r w:rsidR="008F3903" w:rsidRPr="005639FB">
        <w:rPr>
          <w:rtl/>
          <w:lang w:bidi="ar"/>
        </w:rPr>
        <w:t>نواتج عمل دولي</w:t>
      </w:r>
      <w:r w:rsidR="008F3903" w:rsidRPr="005639FB">
        <w:rPr>
          <w:rFonts w:hint="cs"/>
          <w:rtl/>
          <w:lang w:bidi="ar"/>
        </w:rPr>
        <w:t xml:space="preserve"> تستوفي أعلى المعايير كان أساس </w:t>
      </w:r>
      <w:r w:rsidR="00B74C7B" w:rsidRPr="005639FB">
        <w:rPr>
          <w:rFonts w:hint="cs"/>
          <w:rtl/>
          <w:lang w:bidi="ar"/>
        </w:rPr>
        <w:t>نجاح معا</w:t>
      </w:r>
      <w:r w:rsidR="008F3903" w:rsidRPr="005639FB">
        <w:rPr>
          <w:rFonts w:hint="cs"/>
          <w:rtl/>
          <w:lang w:bidi="ar"/>
        </w:rPr>
        <w:t>هدة التعاون بشأن البراءات، مما جعلها الخيار الأفضل لمقدمي الطلبات ال</w:t>
      </w:r>
      <w:r w:rsidR="00B74C7B" w:rsidRPr="005639FB">
        <w:rPr>
          <w:rFonts w:hint="cs"/>
          <w:rtl/>
          <w:lang w:bidi="ar"/>
        </w:rPr>
        <w:t>س</w:t>
      </w:r>
      <w:r w:rsidR="008F3903" w:rsidRPr="005639FB">
        <w:rPr>
          <w:rFonts w:hint="cs"/>
          <w:rtl/>
          <w:lang w:bidi="ar"/>
        </w:rPr>
        <w:t>اعي</w:t>
      </w:r>
      <w:r w:rsidR="00B74C7B" w:rsidRPr="005639FB">
        <w:rPr>
          <w:rFonts w:hint="cs"/>
          <w:rtl/>
          <w:lang w:bidi="ar"/>
        </w:rPr>
        <w:t xml:space="preserve">ن </w:t>
      </w:r>
      <w:r w:rsidR="008F3903" w:rsidRPr="005639FB">
        <w:rPr>
          <w:rFonts w:hint="cs"/>
          <w:rtl/>
          <w:lang w:bidi="ar"/>
        </w:rPr>
        <w:t>ل</w:t>
      </w:r>
      <w:r w:rsidR="00B74C7B" w:rsidRPr="005639FB">
        <w:rPr>
          <w:rFonts w:hint="cs"/>
          <w:rtl/>
          <w:lang w:bidi="ar"/>
        </w:rPr>
        <w:t xml:space="preserve">حماية </w:t>
      </w:r>
      <w:r w:rsidR="008F3903" w:rsidRPr="005639FB">
        <w:rPr>
          <w:rFonts w:hint="cs"/>
          <w:rtl/>
          <w:lang w:bidi="ar"/>
        </w:rPr>
        <w:t>ال</w:t>
      </w:r>
      <w:r w:rsidR="00B74C7B" w:rsidRPr="005639FB">
        <w:rPr>
          <w:rFonts w:hint="cs"/>
          <w:rtl/>
          <w:lang w:bidi="ar"/>
        </w:rPr>
        <w:t>براءات</w:t>
      </w:r>
      <w:r w:rsidR="008F3903" w:rsidRPr="005639FB">
        <w:rPr>
          <w:rFonts w:hint="cs"/>
          <w:rtl/>
          <w:lang w:bidi="ar"/>
        </w:rPr>
        <w:t xml:space="preserve"> </w:t>
      </w:r>
      <w:r w:rsidR="00B74C7B" w:rsidRPr="005639FB">
        <w:rPr>
          <w:rFonts w:hint="cs"/>
          <w:rtl/>
          <w:lang w:bidi="ar"/>
        </w:rPr>
        <w:t xml:space="preserve">دوليا. </w:t>
      </w:r>
      <w:r w:rsidR="008F3903" w:rsidRPr="005639FB">
        <w:rPr>
          <w:rFonts w:hint="cs"/>
          <w:rtl/>
          <w:lang w:bidi="ar"/>
        </w:rPr>
        <w:t>وتزامن وقت</w:t>
      </w:r>
      <w:r w:rsidR="00B74C7B" w:rsidRPr="005639FB">
        <w:rPr>
          <w:rFonts w:hint="cs"/>
          <w:rtl/>
          <w:lang w:bidi="ar"/>
        </w:rPr>
        <w:t xml:space="preserve"> هذا الإنجاز، </w:t>
      </w:r>
      <w:r w:rsidR="008F3903" w:rsidRPr="005639FB">
        <w:rPr>
          <w:rFonts w:hint="cs"/>
          <w:rtl/>
          <w:lang w:bidi="ar"/>
        </w:rPr>
        <w:t>مع صدور مذكرة لل</w:t>
      </w:r>
      <w:r w:rsidR="00B74C7B" w:rsidRPr="005639FB">
        <w:rPr>
          <w:rFonts w:hint="cs"/>
          <w:rtl/>
          <w:lang w:bidi="ar"/>
        </w:rPr>
        <w:t>مدير العام بعنوان "نظام معاهدة التعا</w:t>
      </w:r>
      <w:r w:rsidR="008F3903" w:rsidRPr="005639FB">
        <w:rPr>
          <w:rFonts w:hint="cs"/>
          <w:rtl/>
          <w:lang w:bidi="ar"/>
        </w:rPr>
        <w:t>ون بشأن البراءات - نظرة عامة والتوجهات والأولويات المستقبلية الممكنة"</w:t>
      </w:r>
      <w:r w:rsidR="00B74C7B" w:rsidRPr="005639FB">
        <w:rPr>
          <w:rFonts w:hint="cs"/>
          <w:rtl/>
          <w:lang w:bidi="ar"/>
        </w:rPr>
        <w:t xml:space="preserve"> </w:t>
      </w:r>
      <w:r w:rsidR="008F3903" w:rsidRPr="005639FB">
        <w:rPr>
          <w:rFonts w:hint="cs"/>
          <w:rtl/>
          <w:lang w:bidi="ar"/>
        </w:rPr>
        <w:t xml:space="preserve">نشرت </w:t>
      </w:r>
      <w:r w:rsidR="00B74C7B" w:rsidRPr="005639FB">
        <w:rPr>
          <w:rFonts w:hint="cs"/>
          <w:rtl/>
          <w:lang w:bidi="ar"/>
        </w:rPr>
        <w:t>"</w:t>
      </w:r>
      <w:r w:rsidR="008F3903" w:rsidRPr="005639FB">
        <w:rPr>
          <w:rFonts w:hint="cs"/>
          <w:rtl/>
          <w:lang w:bidi="ar"/>
        </w:rPr>
        <w:t>كغذاء للفكر"</w:t>
      </w:r>
      <w:r w:rsidR="00B74C7B" w:rsidRPr="005639FB">
        <w:rPr>
          <w:rFonts w:hint="cs"/>
          <w:rtl/>
          <w:lang w:bidi="ar"/>
        </w:rPr>
        <w:t xml:space="preserve"> </w:t>
      </w:r>
      <w:r w:rsidR="008F3903" w:rsidRPr="005639FB">
        <w:rPr>
          <w:rFonts w:hint="cs"/>
          <w:rtl/>
          <w:lang w:bidi="ar"/>
        </w:rPr>
        <w:t xml:space="preserve">بشأن </w:t>
      </w:r>
      <w:r w:rsidR="00B74C7B" w:rsidRPr="005639FB">
        <w:rPr>
          <w:rFonts w:hint="cs"/>
          <w:rtl/>
          <w:lang w:bidi="ar"/>
        </w:rPr>
        <w:t xml:space="preserve">توجهات </w:t>
      </w:r>
      <w:r w:rsidR="008F3903" w:rsidRPr="005639FB">
        <w:rPr>
          <w:rFonts w:hint="cs"/>
          <w:rtl/>
          <w:lang w:bidi="ar"/>
        </w:rPr>
        <w:t xml:space="preserve">العمل </w:t>
      </w:r>
      <w:r w:rsidR="00B74C7B" w:rsidRPr="005639FB">
        <w:rPr>
          <w:rFonts w:hint="cs"/>
          <w:rtl/>
          <w:lang w:bidi="ar"/>
        </w:rPr>
        <w:t>المستقبل</w:t>
      </w:r>
      <w:r w:rsidR="008F3903" w:rsidRPr="005639FB">
        <w:rPr>
          <w:rFonts w:hint="cs"/>
          <w:rtl/>
          <w:lang w:bidi="ar"/>
        </w:rPr>
        <w:t>ي وأولوياته</w:t>
      </w:r>
      <w:r w:rsidR="00B74C7B" w:rsidRPr="005639FB">
        <w:rPr>
          <w:rFonts w:hint="cs"/>
          <w:rtl/>
          <w:lang w:bidi="ar"/>
        </w:rPr>
        <w:t xml:space="preserve"> في زيادة تحسين </w:t>
      </w:r>
      <w:r w:rsidR="00E051CC" w:rsidRPr="005639FB">
        <w:rPr>
          <w:rFonts w:hint="cs"/>
          <w:rtl/>
          <w:lang w:bidi="ar"/>
        </w:rPr>
        <w:t>نظام معاهدة التعاون بشأن</w:t>
      </w:r>
      <w:r w:rsidR="00E051CC" w:rsidRPr="005639FB">
        <w:rPr>
          <w:rFonts w:hint="eastAsia"/>
          <w:rtl/>
          <w:lang w:bidi="ar"/>
        </w:rPr>
        <w:t> </w:t>
      </w:r>
      <w:r w:rsidR="00B74C7B" w:rsidRPr="005639FB">
        <w:rPr>
          <w:rFonts w:hint="cs"/>
          <w:rtl/>
          <w:lang w:bidi="ar"/>
        </w:rPr>
        <w:t>البراءات.</w:t>
      </w:r>
    </w:p>
    <w:p w14:paraId="7D17DADA" w14:textId="5E196643" w:rsidR="00E051CC" w:rsidRPr="005639FB" w:rsidRDefault="001C17CF" w:rsidP="00127FD7">
      <w:pPr>
        <w:pStyle w:val="NumberedParaAR"/>
      </w:pPr>
      <w:r w:rsidRPr="005639FB">
        <w:rPr>
          <w:rFonts w:hint="cs"/>
          <w:rtl/>
        </w:rPr>
        <w:t xml:space="preserve">ورحبت </w:t>
      </w:r>
      <w:r w:rsidR="00E051CC" w:rsidRPr="005639FB">
        <w:rPr>
          <w:rtl/>
        </w:rPr>
        <w:t xml:space="preserve">السيدة </w:t>
      </w:r>
      <w:proofErr w:type="spellStart"/>
      <w:r w:rsidRPr="005639FB">
        <w:rPr>
          <w:rtl/>
        </w:rPr>
        <w:t>بورغيلدور</w:t>
      </w:r>
      <w:proofErr w:type="spellEnd"/>
      <w:r w:rsidRPr="005639FB">
        <w:rPr>
          <w:rtl/>
        </w:rPr>
        <w:t xml:space="preserve"> </w:t>
      </w:r>
      <w:proofErr w:type="spellStart"/>
      <w:r w:rsidRPr="005639FB">
        <w:rPr>
          <w:rtl/>
        </w:rPr>
        <w:t>إرلنسدوتير</w:t>
      </w:r>
      <w:proofErr w:type="spellEnd"/>
      <w:r w:rsidRPr="005639FB">
        <w:rPr>
          <w:rtl/>
        </w:rPr>
        <w:t xml:space="preserve">، رئيسة مجلس </w:t>
      </w:r>
      <w:r w:rsidR="00127FD7" w:rsidRPr="005639FB">
        <w:rPr>
          <w:rFonts w:hint="cs"/>
          <w:rtl/>
        </w:rPr>
        <w:t xml:space="preserve">معهد </w:t>
      </w:r>
      <w:r w:rsidR="00127FD7" w:rsidRPr="005639FB">
        <w:rPr>
          <w:rtl/>
        </w:rPr>
        <w:t xml:space="preserve">بلدان أوروبا الشمالية للبراءات </w:t>
      </w:r>
      <w:r w:rsidR="00E051CC" w:rsidRPr="005639FB">
        <w:rPr>
          <w:rtl/>
        </w:rPr>
        <w:t>ورئيس</w:t>
      </w:r>
      <w:r w:rsidRPr="005639FB">
        <w:rPr>
          <w:rFonts w:hint="cs"/>
          <w:rtl/>
        </w:rPr>
        <w:t>ة</w:t>
      </w:r>
      <w:r w:rsidR="00E051CC" w:rsidRPr="005639FB">
        <w:rPr>
          <w:rtl/>
        </w:rPr>
        <w:t xml:space="preserve"> </w:t>
      </w:r>
      <w:r w:rsidRPr="005639FB">
        <w:rPr>
          <w:rtl/>
        </w:rPr>
        <w:t>مكتب أيسلندا</w:t>
      </w:r>
      <w:r w:rsidRPr="005639FB">
        <w:rPr>
          <w:rFonts w:hint="cs"/>
          <w:rtl/>
        </w:rPr>
        <w:t xml:space="preserve"> للبراءات</w:t>
      </w:r>
      <w:r w:rsidRPr="005639FB">
        <w:rPr>
          <w:rtl/>
        </w:rPr>
        <w:t xml:space="preserve">، </w:t>
      </w:r>
      <w:r w:rsidR="00E051CC" w:rsidRPr="005639FB">
        <w:rPr>
          <w:rtl/>
        </w:rPr>
        <w:t xml:space="preserve">بالمشاركين نيابة عن </w:t>
      </w:r>
      <w:r w:rsidR="00127FD7" w:rsidRPr="005639FB">
        <w:rPr>
          <w:rFonts w:hint="cs"/>
          <w:rtl/>
        </w:rPr>
        <w:t xml:space="preserve">معهد </w:t>
      </w:r>
      <w:r w:rsidR="00127FD7" w:rsidRPr="005639FB">
        <w:rPr>
          <w:rtl/>
        </w:rPr>
        <w:t>بلدان أوروبا الشمالية للبراءات</w:t>
      </w:r>
      <w:r w:rsidR="00E051CC" w:rsidRPr="005639FB">
        <w:rPr>
          <w:rtl/>
        </w:rPr>
        <w:t xml:space="preserve">. </w:t>
      </w:r>
      <w:r w:rsidRPr="005639FB">
        <w:rPr>
          <w:rFonts w:hint="cs"/>
          <w:rtl/>
        </w:rPr>
        <w:t>و</w:t>
      </w:r>
      <w:r w:rsidRPr="005639FB">
        <w:rPr>
          <w:rtl/>
        </w:rPr>
        <w:t>شددت في كلمتها الافتتاحية</w:t>
      </w:r>
      <w:r w:rsidR="00E051CC" w:rsidRPr="005639FB">
        <w:rPr>
          <w:rtl/>
        </w:rPr>
        <w:t xml:space="preserve"> على أهم</w:t>
      </w:r>
      <w:r w:rsidRPr="005639FB">
        <w:rPr>
          <w:rtl/>
        </w:rPr>
        <w:t xml:space="preserve">ية الإدارات الدولية </w:t>
      </w:r>
      <w:r w:rsidRPr="005639FB">
        <w:rPr>
          <w:rFonts w:hint="cs"/>
          <w:rtl/>
        </w:rPr>
        <w:t>ك</w:t>
      </w:r>
      <w:r w:rsidR="00E051CC" w:rsidRPr="005639FB">
        <w:rPr>
          <w:rtl/>
        </w:rPr>
        <w:t>ركيزة في نظام مع</w:t>
      </w:r>
      <w:r w:rsidRPr="005639FB">
        <w:rPr>
          <w:rtl/>
        </w:rPr>
        <w:t xml:space="preserve">اهدة التعاون بشأن البراءات. </w:t>
      </w:r>
      <w:r w:rsidRPr="005639FB">
        <w:rPr>
          <w:rFonts w:hint="cs"/>
          <w:rtl/>
        </w:rPr>
        <w:t>و</w:t>
      </w:r>
      <w:r w:rsidR="00E051CC" w:rsidRPr="005639FB">
        <w:rPr>
          <w:rtl/>
        </w:rPr>
        <w:t>أوضحت السيدة</w:t>
      </w:r>
      <w:r w:rsidRPr="005639FB">
        <w:rPr>
          <w:rFonts w:hint="cs"/>
          <w:rtl/>
        </w:rPr>
        <w:t xml:space="preserve"> </w:t>
      </w:r>
      <w:proofErr w:type="spellStart"/>
      <w:r w:rsidRPr="005639FB">
        <w:rPr>
          <w:rtl/>
        </w:rPr>
        <w:t>إرلنسدوتير</w:t>
      </w:r>
      <w:proofErr w:type="spellEnd"/>
      <w:r w:rsidRPr="005639FB">
        <w:rPr>
          <w:rtl/>
        </w:rPr>
        <w:t xml:space="preserve"> </w:t>
      </w:r>
      <w:r w:rsidR="00E051CC" w:rsidRPr="005639FB">
        <w:rPr>
          <w:rtl/>
        </w:rPr>
        <w:t xml:space="preserve">دور </w:t>
      </w:r>
      <w:r w:rsidR="00C71764" w:rsidRPr="005639FB">
        <w:rPr>
          <w:rFonts w:hint="cs"/>
          <w:rtl/>
        </w:rPr>
        <w:t>ال</w:t>
      </w:r>
      <w:r w:rsidR="00C71764" w:rsidRPr="005639FB">
        <w:rPr>
          <w:rtl/>
        </w:rPr>
        <w:t>معهد في ت</w:t>
      </w:r>
      <w:r w:rsidR="00C71764" w:rsidRPr="005639FB">
        <w:rPr>
          <w:rFonts w:hint="cs"/>
          <w:rtl/>
        </w:rPr>
        <w:t>زويد</w:t>
      </w:r>
      <w:r w:rsidR="00E051CC" w:rsidRPr="005639FB">
        <w:rPr>
          <w:rtl/>
        </w:rPr>
        <w:t xml:space="preserve"> </w:t>
      </w:r>
      <w:r w:rsidR="00C71764" w:rsidRPr="005639FB">
        <w:rPr>
          <w:rFonts w:hint="cs"/>
          <w:rtl/>
        </w:rPr>
        <w:t>ا</w:t>
      </w:r>
      <w:r w:rsidR="00C71764" w:rsidRPr="005639FB">
        <w:rPr>
          <w:rtl/>
        </w:rPr>
        <w:t>لعملاء في جميع أنحاء العالم</w:t>
      </w:r>
      <w:r w:rsidR="00C71764" w:rsidRPr="005639FB">
        <w:rPr>
          <w:rtl/>
          <w:lang w:bidi="ar"/>
        </w:rPr>
        <w:t xml:space="preserve"> </w:t>
      </w:r>
      <w:r w:rsidR="00C71764" w:rsidRPr="005639FB">
        <w:rPr>
          <w:rFonts w:hint="cs"/>
          <w:rtl/>
          <w:lang w:bidi="ar"/>
        </w:rPr>
        <w:t>ب</w:t>
      </w:r>
      <w:r w:rsidR="00C71764" w:rsidRPr="005639FB">
        <w:rPr>
          <w:rtl/>
          <w:lang w:bidi="ar"/>
        </w:rPr>
        <w:t xml:space="preserve">نواتج </w:t>
      </w:r>
      <w:r w:rsidR="00C71764" w:rsidRPr="005639FB">
        <w:rPr>
          <w:rFonts w:hint="cs"/>
          <w:rtl/>
          <w:lang w:bidi="ar"/>
        </w:rPr>
        <w:t>ال</w:t>
      </w:r>
      <w:r w:rsidR="00E051CC" w:rsidRPr="005639FB">
        <w:rPr>
          <w:rtl/>
        </w:rPr>
        <w:t xml:space="preserve">عمل </w:t>
      </w:r>
      <w:r w:rsidR="00C71764" w:rsidRPr="005639FB">
        <w:rPr>
          <w:rFonts w:hint="cs"/>
          <w:rtl/>
        </w:rPr>
        <w:t>ال</w:t>
      </w:r>
      <w:r w:rsidR="00C71764" w:rsidRPr="005639FB">
        <w:rPr>
          <w:rtl/>
        </w:rPr>
        <w:t>دولي</w:t>
      </w:r>
      <w:r w:rsidR="00C71764" w:rsidRPr="005639FB">
        <w:rPr>
          <w:rFonts w:hint="cs"/>
          <w:rtl/>
        </w:rPr>
        <w:t xml:space="preserve"> في إطار </w:t>
      </w:r>
      <w:r w:rsidR="00E051CC" w:rsidRPr="005639FB">
        <w:rPr>
          <w:rtl/>
        </w:rPr>
        <w:t>معا</w:t>
      </w:r>
      <w:r w:rsidR="00C71764" w:rsidRPr="005639FB">
        <w:rPr>
          <w:rtl/>
        </w:rPr>
        <w:t>هدة التعاون بشأن البراءات</w:t>
      </w:r>
      <w:r w:rsidR="00E051CC" w:rsidRPr="005639FB">
        <w:rPr>
          <w:rtl/>
        </w:rPr>
        <w:t xml:space="preserve"> </w:t>
      </w:r>
      <w:r w:rsidR="00C71764" w:rsidRPr="005639FB">
        <w:rPr>
          <w:rFonts w:hint="cs"/>
          <w:rtl/>
        </w:rPr>
        <w:t xml:space="preserve">والبحث </w:t>
      </w:r>
      <w:r w:rsidR="00C71764" w:rsidRPr="005639FB">
        <w:rPr>
          <w:rtl/>
        </w:rPr>
        <w:t xml:space="preserve">التجاري </w:t>
      </w:r>
      <w:r w:rsidR="00C71764" w:rsidRPr="005639FB">
        <w:rPr>
          <w:rFonts w:hint="cs"/>
          <w:rtl/>
        </w:rPr>
        <w:t xml:space="preserve">في حالة </w:t>
      </w:r>
      <w:r w:rsidR="00E051CC" w:rsidRPr="005639FB">
        <w:rPr>
          <w:rtl/>
        </w:rPr>
        <w:t xml:space="preserve">التقنية الصناعية </w:t>
      </w:r>
      <w:r w:rsidR="00C71764" w:rsidRPr="005639FB">
        <w:rPr>
          <w:rtl/>
        </w:rPr>
        <w:t>السابقة</w:t>
      </w:r>
      <w:r w:rsidR="00E051CC" w:rsidRPr="005639FB">
        <w:rPr>
          <w:rtl/>
        </w:rPr>
        <w:t>.</w:t>
      </w:r>
    </w:p>
    <w:p w14:paraId="17321940" w14:textId="0AD0A4CA" w:rsidR="00C71764" w:rsidRPr="005639FB" w:rsidRDefault="00C71764" w:rsidP="00A513BF">
      <w:pPr>
        <w:pStyle w:val="NumberedParaAR"/>
      </w:pPr>
      <w:r w:rsidRPr="005639FB">
        <w:rPr>
          <w:rtl/>
        </w:rPr>
        <w:t xml:space="preserve">وأشار الأستاذ الدكتور حبيب </w:t>
      </w:r>
      <w:r w:rsidRPr="005639FB">
        <w:rPr>
          <w:rFonts w:hint="cs"/>
          <w:rtl/>
        </w:rPr>
        <w:t>أ</w:t>
      </w:r>
      <w:r w:rsidRPr="005639FB">
        <w:rPr>
          <w:rtl/>
        </w:rPr>
        <w:t xml:space="preserve">سان، رئيس </w:t>
      </w:r>
      <w:r w:rsidR="00277BE5" w:rsidRPr="005639FB">
        <w:rPr>
          <w:rFonts w:hint="cs"/>
          <w:rtl/>
        </w:rPr>
        <w:t xml:space="preserve">مكتب </w:t>
      </w:r>
      <w:r w:rsidRPr="005639FB">
        <w:rPr>
          <w:rFonts w:hint="cs"/>
          <w:rtl/>
        </w:rPr>
        <w:t>تركي</w:t>
      </w:r>
      <w:r w:rsidR="00277BE5" w:rsidRPr="005639FB">
        <w:rPr>
          <w:rFonts w:hint="cs"/>
          <w:rtl/>
        </w:rPr>
        <w:t>ا</w:t>
      </w:r>
      <w:r w:rsidRPr="005639FB">
        <w:rPr>
          <w:rFonts w:hint="cs"/>
          <w:rtl/>
        </w:rPr>
        <w:t xml:space="preserve"> للبراءات والعلامات التجارية</w:t>
      </w:r>
      <w:r w:rsidRPr="005639FB">
        <w:rPr>
          <w:rtl/>
        </w:rPr>
        <w:t xml:space="preserve"> </w:t>
      </w:r>
      <w:r w:rsidR="00277BE5" w:rsidRPr="005639FB">
        <w:rPr>
          <w:rFonts w:hint="cs"/>
          <w:rtl/>
        </w:rPr>
        <w:t xml:space="preserve">إلى </w:t>
      </w:r>
      <w:r w:rsidR="00277BE5" w:rsidRPr="005639FB">
        <w:rPr>
          <w:rtl/>
        </w:rPr>
        <w:t>أن</w:t>
      </w:r>
      <w:r w:rsidR="00277BE5" w:rsidRPr="005639FB">
        <w:rPr>
          <w:rFonts w:hint="cs"/>
          <w:rtl/>
        </w:rPr>
        <w:t>ها</w:t>
      </w:r>
      <w:r w:rsidRPr="005639FB">
        <w:rPr>
          <w:rtl/>
        </w:rPr>
        <w:t xml:space="preserve"> </w:t>
      </w:r>
      <w:r w:rsidR="00277BE5" w:rsidRPr="005639FB">
        <w:rPr>
          <w:rFonts w:hint="cs"/>
          <w:rtl/>
        </w:rPr>
        <w:t>ا</w:t>
      </w:r>
      <w:r w:rsidRPr="005639FB">
        <w:rPr>
          <w:rtl/>
        </w:rPr>
        <w:t xml:space="preserve">لمرة الأولى التي </w:t>
      </w:r>
      <w:r w:rsidR="00277BE5" w:rsidRPr="005639FB">
        <w:rPr>
          <w:rFonts w:hint="cs"/>
          <w:rtl/>
        </w:rPr>
        <w:t>يحضر فيها ال</w:t>
      </w:r>
      <w:r w:rsidR="00277BE5" w:rsidRPr="005639FB">
        <w:rPr>
          <w:rtl/>
        </w:rPr>
        <w:t>مكت</w:t>
      </w:r>
      <w:r w:rsidR="00277BE5" w:rsidRPr="005639FB">
        <w:rPr>
          <w:rFonts w:hint="cs"/>
          <w:rtl/>
        </w:rPr>
        <w:t>ب</w:t>
      </w:r>
      <w:r w:rsidR="00277BE5" w:rsidRPr="005639FB">
        <w:rPr>
          <w:rtl/>
        </w:rPr>
        <w:t xml:space="preserve"> الاجتماع بعد تعيينه </w:t>
      </w:r>
      <w:r w:rsidR="00277BE5" w:rsidRPr="005639FB">
        <w:rPr>
          <w:rtl/>
          <w:lang w:bidi="ar"/>
        </w:rPr>
        <w:t>كإدارة للبحث الدولي والفحص التمهيدي الدو</w:t>
      </w:r>
      <w:r w:rsidR="00277BE5" w:rsidRPr="005639FB">
        <w:rPr>
          <w:rFonts w:hint="cs"/>
          <w:rtl/>
          <w:lang w:bidi="ar"/>
        </w:rPr>
        <w:t>لي في الدورة الثامنة والأربعين ل</w:t>
      </w:r>
      <w:r w:rsidR="00277BE5" w:rsidRPr="005639FB">
        <w:rPr>
          <w:rtl/>
          <w:lang w:bidi="ar"/>
        </w:rPr>
        <w:t xml:space="preserve">جمعية </w:t>
      </w:r>
      <w:r w:rsidR="00277BE5" w:rsidRPr="005639FB">
        <w:rPr>
          <w:rtl/>
          <w:lang w:bidi="ar"/>
        </w:rPr>
        <w:lastRenderedPageBreak/>
        <w:t>معاهدة التعاون بشأن البراءات</w:t>
      </w:r>
      <w:r w:rsidR="00277BE5" w:rsidRPr="005639FB">
        <w:rPr>
          <w:rFonts w:hint="cs"/>
          <w:rtl/>
          <w:lang w:bidi="ar"/>
        </w:rPr>
        <w:t xml:space="preserve"> في أكتوبر 2016. وشكر </w:t>
      </w:r>
      <w:r w:rsidR="00277BE5" w:rsidRPr="005639FB">
        <w:rPr>
          <w:rtl/>
        </w:rPr>
        <w:t xml:space="preserve">الدكتور </w:t>
      </w:r>
      <w:r w:rsidR="00277BE5" w:rsidRPr="005639FB">
        <w:rPr>
          <w:rFonts w:hint="cs"/>
          <w:rtl/>
        </w:rPr>
        <w:t>أ</w:t>
      </w:r>
      <w:r w:rsidR="00277BE5" w:rsidRPr="005639FB">
        <w:rPr>
          <w:rtl/>
        </w:rPr>
        <w:t>سان</w:t>
      </w:r>
      <w:r w:rsidR="00277BE5" w:rsidRPr="005639FB">
        <w:rPr>
          <w:rFonts w:hint="cs"/>
          <w:rtl/>
        </w:rPr>
        <w:t xml:space="preserve"> </w:t>
      </w:r>
      <w:r w:rsidRPr="005639FB">
        <w:rPr>
          <w:rtl/>
        </w:rPr>
        <w:t>ا</w:t>
      </w:r>
      <w:r w:rsidR="00277BE5" w:rsidRPr="005639FB">
        <w:rPr>
          <w:rtl/>
        </w:rPr>
        <w:t>لدول الأعضاء على ثقته</w:t>
      </w:r>
      <w:r w:rsidR="00277BE5" w:rsidRPr="005639FB">
        <w:rPr>
          <w:rFonts w:hint="cs"/>
          <w:rtl/>
        </w:rPr>
        <w:t>ا</w:t>
      </w:r>
      <w:r w:rsidRPr="005639FB">
        <w:rPr>
          <w:rtl/>
        </w:rPr>
        <w:t xml:space="preserve"> في </w:t>
      </w:r>
      <w:r w:rsidR="00277BE5" w:rsidRPr="005639FB">
        <w:rPr>
          <w:rFonts w:hint="cs"/>
          <w:rtl/>
        </w:rPr>
        <w:t>أ</w:t>
      </w:r>
      <w:r w:rsidR="00277BE5" w:rsidRPr="005639FB">
        <w:rPr>
          <w:rtl/>
        </w:rPr>
        <w:t>د</w:t>
      </w:r>
      <w:r w:rsidR="00277BE5" w:rsidRPr="005639FB">
        <w:rPr>
          <w:rFonts w:hint="cs"/>
          <w:rtl/>
        </w:rPr>
        <w:t>اء</w:t>
      </w:r>
      <w:r w:rsidRPr="005639FB">
        <w:rPr>
          <w:rtl/>
        </w:rPr>
        <w:t xml:space="preserve"> </w:t>
      </w:r>
      <w:r w:rsidR="00277BE5" w:rsidRPr="005639FB">
        <w:rPr>
          <w:rFonts w:hint="cs"/>
          <w:rtl/>
        </w:rPr>
        <w:t>ال</w:t>
      </w:r>
      <w:r w:rsidR="00277BE5" w:rsidRPr="005639FB">
        <w:rPr>
          <w:rtl/>
        </w:rPr>
        <w:t xml:space="preserve">مكتب </w:t>
      </w:r>
      <w:r w:rsidRPr="005639FB">
        <w:rPr>
          <w:rtl/>
        </w:rPr>
        <w:t>وظائف</w:t>
      </w:r>
      <w:r w:rsidR="00277BE5" w:rsidRPr="005639FB">
        <w:rPr>
          <w:rFonts w:hint="cs"/>
          <w:rtl/>
        </w:rPr>
        <w:t>ه</w:t>
      </w:r>
      <w:r w:rsidRPr="005639FB">
        <w:rPr>
          <w:rtl/>
        </w:rPr>
        <w:t xml:space="preserve"> </w:t>
      </w:r>
      <w:r w:rsidR="00277BE5" w:rsidRPr="005639FB">
        <w:rPr>
          <w:rFonts w:hint="cs"/>
          <w:rtl/>
        </w:rPr>
        <w:t>ال</w:t>
      </w:r>
      <w:r w:rsidR="00277BE5" w:rsidRPr="005639FB">
        <w:rPr>
          <w:rtl/>
        </w:rPr>
        <w:t>جديدة</w:t>
      </w:r>
      <w:r w:rsidRPr="005639FB">
        <w:rPr>
          <w:rtl/>
        </w:rPr>
        <w:t>، و</w:t>
      </w:r>
      <w:r w:rsidR="00277BE5" w:rsidRPr="005639FB">
        <w:rPr>
          <w:rFonts w:hint="cs"/>
          <w:rtl/>
        </w:rPr>
        <w:t xml:space="preserve">أشاد بمساعدة </w:t>
      </w:r>
      <w:r w:rsidR="00775D53" w:rsidRPr="005639FB">
        <w:rPr>
          <w:rtl/>
        </w:rPr>
        <w:t>مكتب كوريا للملكية الفكرية</w:t>
      </w:r>
      <w:r w:rsidR="00277BE5" w:rsidRPr="005639FB">
        <w:rPr>
          <w:rFonts w:hint="cs"/>
          <w:rtl/>
        </w:rPr>
        <w:t xml:space="preserve"> </w:t>
      </w:r>
      <w:r w:rsidR="00277BE5" w:rsidRPr="005639FB">
        <w:rPr>
          <w:rtl/>
        </w:rPr>
        <w:t>والمكتب الإسباني للبراءات والعلامات التجارية</w:t>
      </w:r>
      <w:r w:rsidR="00277BE5" w:rsidRPr="005639FB">
        <w:rPr>
          <w:rFonts w:hint="cs"/>
          <w:rtl/>
        </w:rPr>
        <w:t xml:space="preserve"> </w:t>
      </w:r>
      <w:r w:rsidRPr="005639FB">
        <w:rPr>
          <w:rtl/>
        </w:rPr>
        <w:t xml:space="preserve">في هذه العملية. </w:t>
      </w:r>
      <w:r w:rsidR="00277BE5" w:rsidRPr="005639FB">
        <w:rPr>
          <w:rFonts w:hint="cs"/>
          <w:rtl/>
        </w:rPr>
        <w:t xml:space="preserve">وذكر أن المكتب شهد </w:t>
      </w:r>
      <w:r w:rsidRPr="005639FB">
        <w:rPr>
          <w:rtl/>
        </w:rPr>
        <w:t>منذ تعيين</w:t>
      </w:r>
      <w:r w:rsidR="00277BE5" w:rsidRPr="005639FB">
        <w:rPr>
          <w:rFonts w:hint="cs"/>
          <w:rtl/>
        </w:rPr>
        <w:t>ه</w:t>
      </w:r>
      <w:r w:rsidR="00C86E68" w:rsidRPr="005639FB">
        <w:rPr>
          <w:rtl/>
        </w:rPr>
        <w:t xml:space="preserve"> تغييرات كبيرة حدثت نتيجة </w:t>
      </w:r>
      <w:r w:rsidRPr="005639FB">
        <w:rPr>
          <w:rtl/>
        </w:rPr>
        <w:t>اعتماد قان</w:t>
      </w:r>
      <w:r w:rsidR="00277BE5" w:rsidRPr="005639FB">
        <w:rPr>
          <w:rtl/>
        </w:rPr>
        <w:t xml:space="preserve">ون الملكية الصناعية الجديد. </w:t>
      </w:r>
      <w:r w:rsidR="00277BE5" w:rsidRPr="005639FB">
        <w:rPr>
          <w:rFonts w:hint="cs"/>
          <w:rtl/>
        </w:rPr>
        <w:t>فقد</w:t>
      </w:r>
      <w:r w:rsidRPr="005639FB">
        <w:rPr>
          <w:rtl/>
        </w:rPr>
        <w:t xml:space="preserve"> </w:t>
      </w:r>
      <w:r w:rsidR="00C86E68" w:rsidRPr="005639FB">
        <w:rPr>
          <w:rtl/>
        </w:rPr>
        <w:t xml:space="preserve">تغير </w:t>
      </w:r>
      <w:r w:rsidRPr="005639FB">
        <w:rPr>
          <w:rtl/>
        </w:rPr>
        <w:t xml:space="preserve">اسم </w:t>
      </w:r>
      <w:r w:rsidR="000F69EE" w:rsidRPr="005639FB">
        <w:rPr>
          <w:rFonts w:hint="cs"/>
          <w:rtl/>
        </w:rPr>
        <w:t>ال</w:t>
      </w:r>
      <w:r w:rsidRPr="005639FB">
        <w:rPr>
          <w:rtl/>
        </w:rPr>
        <w:t xml:space="preserve">مكتب من </w:t>
      </w:r>
      <w:r w:rsidR="000F69EE" w:rsidRPr="005639FB">
        <w:rPr>
          <w:rtl/>
        </w:rPr>
        <w:t>معهد تركيا للبراءات</w:t>
      </w:r>
      <w:r w:rsidRPr="005639FB">
        <w:rPr>
          <w:rtl/>
        </w:rPr>
        <w:t xml:space="preserve"> </w:t>
      </w:r>
      <w:r w:rsidR="000F69EE" w:rsidRPr="005639FB">
        <w:rPr>
          <w:rFonts w:hint="cs"/>
          <w:rtl/>
        </w:rPr>
        <w:t>إلى</w:t>
      </w:r>
      <w:r w:rsidRPr="005639FB">
        <w:rPr>
          <w:rtl/>
        </w:rPr>
        <w:t xml:space="preserve"> </w:t>
      </w:r>
      <w:r w:rsidR="000F69EE" w:rsidRPr="005639FB">
        <w:rPr>
          <w:rFonts w:hint="cs"/>
          <w:rtl/>
        </w:rPr>
        <w:t>مكتب تركيا للبراءات والعلامات التجارية</w:t>
      </w:r>
      <w:r w:rsidRPr="005639FB">
        <w:rPr>
          <w:rtl/>
        </w:rPr>
        <w:t xml:space="preserve">. </w:t>
      </w:r>
      <w:r w:rsidR="000F69EE" w:rsidRPr="005639FB">
        <w:rPr>
          <w:rFonts w:hint="cs"/>
          <w:rtl/>
        </w:rPr>
        <w:t>وقد</w:t>
      </w:r>
      <w:r w:rsidRPr="005639FB">
        <w:rPr>
          <w:rtl/>
        </w:rPr>
        <w:t xml:space="preserve"> </w:t>
      </w:r>
      <w:r w:rsidR="000F69EE" w:rsidRPr="005639FB">
        <w:rPr>
          <w:rFonts w:hint="cs"/>
          <w:rtl/>
        </w:rPr>
        <w:t xml:space="preserve">أتاح </w:t>
      </w:r>
      <w:r w:rsidR="000F69EE" w:rsidRPr="005639FB">
        <w:rPr>
          <w:rtl/>
        </w:rPr>
        <w:t xml:space="preserve">القانون الجديد توظيف </w:t>
      </w:r>
      <w:r w:rsidR="000F69EE" w:rsidRPr="005639FB">
        <w:rPr>
          <w:rFonts w:hint="cs"/>
          <w:rtl/>
        </w:rPr>
        <w:t xml:space="preserve">50 فاحص </w:t>
      </w:r>
      <w:r w:rsidR="000F69EE" w:rsidRPr="005639FB">
        <w:rPr>
          <w:rtl/>
        </w:rPr>
        <w:t>براء</w:t>
      </w:r>
      <w:r w:rsidR="000F69EE" w:rsidRPr="005639FB">
        <w:rPr>
          <w:rFonts w:hint="cs"/>
          <w:rtl/>
        </w:rPr>
        <w:t>ات</w:t>
      </w:r>
      <w:r w:rsidRPr="005639FB">
        <w:rPr>
          <w:rtl/>
        </w:rPr>
        <w:t xml:space="preserve"> </w:t>
      </w:r>
      <w:r w:rsidR="000F69EE" w:rsidRPr="005639FB">
        <w:rPr>
          <w:rFonts w:hint="cs"/>
          <w:rtl/>
        </w:rPr>
        <w:t>جديد</w:t>
      </w:r>
      <w:r w:rsidR="000F69EE" w:rsidRPr="005639FB">
        <w:rPr>
          <w:rtl/>
        </w:rPr>
        <w:t xml:space="preserve"> لتعزيز </w:t>
      </w:r>
      <w:r w:rsidR="000F69EE" w:rsidRPr="005639FB">
        <w:rPr>
          <w:rFonts w:hint="cs"/>
          <w:rtl/>
        </w:rPr>
        <w:t>كفاءة</w:t>
      </w:r>
      <w:r w:rsidR="000F69EE" w:rsidRPr="005639FB">
        <w:rPr>
          <w:rtl/>
        </w:rPr>
        <w:t xml:space="preserve"> المكتب وقدرته على توفير الخدمات </w:t>
      </w:r>
      <w:r w:rsidR="000F69EE" w:rsidRPr="005639FB">
        <w:rPr>
          <w:rFonts w:hint="cs"/>
          <w:rtl/>
        </w:rPr>
        <w:t>في</w:t>
      </w:r>
      <w:r w:rsidR="000F69EE" w:rsidRPr="005639FB">
        <w:rPr>
          <w:rtl/>
        </w:rPr>
        <w:t xml:space="preserve"> المنطقة.</w:t>
      </w:r>
      <w:r w:rsidRPr="005639FB">
        <w:rPr>
          <w:rtl/>
        </w:rPr>
        <w:t xml:space="preserve"> </w:t>
      </w:r>
      <w:r w:rsidR="000F69EE" w:rsidRPr="005639FB">
        <w:rPr>
          <w:rFonts w:hint="cs"/>
          <w:rtl/>
        </w:rPr>
        <w:t>وجرى ا</w:t>
      </w:r>
      <w:r w:rsidRPr="005639FB">
        <w:rPr>
          <w:rtl/>
        </w:rPr>
        <w:t xml:space="preserve">ختصار إجراءات </w:t>
      </w:r>
      <w:r w:rsidR="000F69EE" w:rsidRPr="005639FB">
        <w:rPr>
          <w:rtl/>
        </w:rPr>
        <w:t>منح البراء</w:t>
      </w:r>
      <w:r w:rsidR="000F69EE" w:rsidRPr="005639FB">
        <w:rPr>
          <w:rFonts w:hint="cs"/>
          <w:rtl/>
        </w:rPr>
        <w:t>ات</w:t>
      </w:r>
      <w:r w:rsidRPr="005639FB">
        <w:rPr>
          <w:rtl/>
        </w:rPr>
        <w:t xml:space="preserve"> وتبسيط</w:t>
      </w:r>
      <w:r w:rsidR="000F69EE" w:rsidRPr="005639FB">
        <w:rPr>
          <w:rFonts w:hint="cs"/>
          <w:rtl/>
        </w:rPr>
        <w:t>ها</w:t>
      </w:r>
      <w:r w:rsidRPr="005639FB">
        <w:rPr>
          <w:rtl/>
        </w:rPr>
        <w:t xml:space="preserve">. </w:t>
      </w:r>
      <w:r w:rsidR="000F69EE" w:rsidRPr="005639FB">
        <w:rPr>
          <w:rFonts w:hint="cs"/>
          <w:rtl/>
        </w:rPr>
        <w:t>و</w:t>
      </w:r>
      <w:r w:rsidR="000F69EE" w:rsidRPr="005639FB">
        <w:rPr>
          <w:rtl/>
        </w:rPr>
        <w:t>أ</w:t>
      </w:r>
      <w:r w:rsidR="000F69EE" w:rsidRPr="005639FB">
        <w:rPr>
          <w:rFonts w:hint="cs"/>
          <w:rtl/>
        </w:rPr>
        <w:t>درجت</w:t>
      </w:r>
      <w:r w:rsidRPr="005639FB">
        <w:rPr>
          <w:rtl/>
        </w:rPr>
        <w:t xml:space="preserve"> إجراءات الاعتراض </w:t>
      </w:r>
      <w:r w:rsidR="000F69EE" w:rsidRPr="005639FB">
        <w:rPr>
          <w:rFonts w:hint="cs"/>
          <w:rtl/>
        </w:rPr>
        <w:t>اللاحقة ل</w:t>
      </w:r>
      <w:r w:rsidR="000F69EE" w:rsidRPr="005639FB">
        <w:rPr>
          <w:rtl/>
        </w:rPr>
        <w:t>منح</w:t>
      </w:r>
      <w:r w:rsidRPr="005639FB">
        <w:rPr>
          <w:rtl/>
        </w:rPr>
        <w:t xml:space="preserve"> </w:t>
      </w:r>
      <w:r w:rsidR="000F69EE" w:rsidRPr="005639FB">
        <w:rPr>
          <w:rFonts w:hint="cs"/>
          <w:rtl/>
        </w:rPr>
        <w:t xml:space="preserve">البراءة بغية </w:t>
      </w:r>
      <w:r w:rsidRPr="005639FB">
        <w:rPr>
          <w:rtl/>
        </w:rPr>
        <w:t xml:space="preserve">ضمان جودة </w:t>
      </w:r>
      <w:r w:rsidR="000F69EE" w:rsidRPr="005639FB">
        <w:rPr>
          <w:rFonts w:hint="cs"/>
          <w:rtl/>
        </w:rPr>
        <w:t>ال</w:t>
      </w:r>
      <w:r w:rsidR="000F69EE" w:rsidRPr="005639FB">
        <w:rPr>
          <w:rtl/>
        </w:rPr>
        <w:t>براءات ال</w:t>
      </w:r>
      <w:r w:rsidR="000F69EE" w:rsidRPr="005639FB">
        <w:rPr>
          <w:rFonts w:hint="cs"/>
          <w:rtl/>
        </w:rPr>
        <w:t>ساري</w:t>
      </w:r>
      <w:r w:rsidR="000F69EE" w:rsidRPr="005639FB">
        <w:rPr>
          <w:rtl/>
        </w:rPr>
        <w:t>ة. و</w:t>
      </w:r>
      <w:r w:rsidR="000F69EE" w:rsidRPr="005639FB">
        <w:rPr>
          <w:rFonts w:hint="cs"/>
          <w:rtl/>
        </w:rPr>
        <w:t>قدم</w:t>
      </w:r>
      <w:r w:rsidRPr="005639FB">
        <w:rPr>
          <w:rtl/>
        </w:rPr>
        <w:t>ت تحسينات</w:t>
      </w:r>
      <w:r w:rsidR="000F69EE" w:rsidRPr="005639FB">
        <w:rPr>
          <w:rtl/>
        </w:rPr>
        <w:t xml:space="preserve"> إجرائية مختلفة، مثل</w:t>
      </w:r>
      <w:r w:rsidRPr="005639FB">
        <w:rPr>
          <w:rtl/>
        </w:rPr>
        <w:t xml:space="preserve"> </w:t>
      </w:r>
      <w:r w:rsidR="000F69EE" w:rsidRPr="005639FB">
        <w:rPr>
          <w:rFonts w:hint="cs"/>
          <w:rtl/>
        </w:rPr>
        <w:t xml:space="preserve">ردّ </w:t>
      </w:r>
      <w:r w:rsidRPr="005639FB">
        <w:rPr>
          <w:rtl/>
        </w:rPr>
        <w:t xml:space="preserve">الحقوق. </w:t>
      </w:r>
      <w:r w:rsidR="000F69EE" w:rsidRPr="005639FB">
        <w:rPr>
          <w:rFonts w:hint="cs"/>
          <w:rtl/>
        </w:rPr>
        <w:t>و</w:t>
      </w:r>
      <w:r w:rsidR="000F69EE" w:rsidRPr="005639FB">
        <w:rPr>
          <w:rtl/>
        </w:rPr>
        <w:t xml:space="preserve">أعطيت ملكية الاختراعات </w:t>
      </w:r>
      <w:r w:rsidR="000F69EE" w:rsidRPr="005639FB">
        <w:rPr>
          <w:rFonts w:hint="cs"/>
          <w:rtl/>
        </w:rPr>
        <w:t xml:space="preserve">التي تنتجها </w:t>
      </w:r>
      <w:r w:rsidR="000F69EE" w:rsidRPr="005639FB">
        <w:rPr>
          <w:rtl/>
        </w:rPr>
        <w:t xml:space="preserve">الجامعات </w:t>
      </w:r>
      <w:r w:rsidRPr="005639FB">
        <w:rPr>
          <w:rtl/>
        </w:rPr>
        <w:t xml:space="preserve">إلى الجامعات نفسها بدلا من الأكاديميين، مع </w:t>
      </w:r>
      <w:r w:rsidR="0047277E" w:rsidRPr="005639FB">
        <w:rPr>
          <w:rFonts w:hint="cs"/>
          <w:rtl/>
        </w:rPr>
        <w:t xml:space="preserve">ضمان حصول </w:t>
      </w:r>
      <w:r w:rsidR="0047277E" w:rsidRPr="005639FB">
        <w:rPr>
          <w:rtl/>
        </w:rPr>
        <w:t xml:space="preserve">الأكاديميين </w:t>
      </w:r>
      <w:r w:rsidR="0047277E" w:rsidRPr="005639FB">
        <w:rPr>
          <w:rFonts w:hint="cs"/>
          <w:rtl/>
        </w:rPr>
        <w:t xml:space="preserve">ما </w:t>
      </w:r>
      <w:r w:rsidRPr="005639FB">
        <w:rPr>
          <w:rtl/>
        </w:rPr>
        <w:t>لا يقل عن 30 ف</w:t>
      </w:r>
      <w:r w:rsidR="0047277E" w:rsidRPr="005639FB">
        <w:rPr>
          <w:rtl/>
        </w:rPr>
        <w:t>ي المائة من الدخل الم</w:t>
      </w:r>
      <w:r w:rsidRPr="005639FB">
        <w:rPr>
          <w:rtl/>
        </w:rPr>
        <w:t>ول</w:t>
      </w:r>
      <w:r w:rsidR="0047277E" w:rsidRPr="005639FB">
        <w:rPr>
          <w:rFonts w:hint="cs"/>
          <w:rtl/>
        </w:rPr>
        <w:t>ّ</w:t>
      </w:r>
      <w:r w:rsidR="0047277E" w:rsidRPr="005639FB">
        <w:rPr>
          <w:rtl/>
        </w:rPr>
        <w:t xml:space="preserve">د من تسويق الاختراع. </w:t>
      </w:r>
      <w:r w:rsidR="0047277E" w:rsidRPr="005639FB">
        <w:rPr>
          <w:rFonts w:hint="cs"/>
          <w:rtl/>
        </w:rPr>
        <w:t>و</w:t>
      </w:r>
      <w:r w:rsidR="0047277E" w:rsidRPr="005639FB">
        <w:rPr>
          <w:rtl/>
        </w:rPr>
        <w:t>أد</w:t>
      </w:r>
      <w:r w:rsidR="0047277E" w:rsidRPr="005639FB">
        <w:rPr>
          <w:rFonts w:hint="cs"/>
          <w:rtl/>
        </w:rPr>
        <w:t>رج</w:t>
      </w:r>
      <w:r w:rsidR="0047277E" w:rsidRPr="005639FB">
        <w:rPr>
          <w:rtl/>
        </w:rPr>
        <w:t>ت أحكام خاصة ل</w:t>
      </w:r>
      <w:r w:rsidRPr="005639FB">
        <w:rPr>
          <w:rtl/>
        </w:rPr>
        <w:t xml:space="preserve">حق استخدام الاختراعات </w:t>
      </w:r>
      <w:r w:rsidR="0047277E" w:rsidRPr="005639FB">
        <w:rPr>
          <w:rFonts w:hint="cs"/>
          <w:rtl/>
        </w:rPr>
        <w:t>التي تمولها ال</w:t>
      </w:r>
      <w:r w:rsidR="0047277E" w:rsidRPr="005639FB">
        <w:rPr>
          <w:rtl/>
        </w:rPr>
        <w:t xml:space="preserve">دولة </w:t>
      </w:r>
      <w:r w:rsidR="0047277E" w:rsidRPr="005639FB">
        <w:rPr>
          <w:rFonts w:hint="cs"/>
          <w:rtl/>
        </w:rPr>
        <w:t>من قبل</w:t>
      </w:r>
      <w:r w:rsidR="0047277E" w:rsidRPr="005639FB">
        <w:rPr>
          <w:rtl/>
        </w:rPr>
        <w:t xml:space="preserve"> المؤسسات العامة. و</w:t>
      </w:r>
      <w:r w:rsidR="0047277E" w:rsidRPr="005639FB">
        <w:rPr>
          <w:rFonts w:hint="cs"/>
          <w:rtl/>
        </w:rPr>
        <w:t>أضيفت</w:t>
      </w:r>
      <w:r w:rsidRPr="005639FB">
        <w:rPr>
          <w:rtl/>
        </w:rPr>
        <w:t xml:space="preserve"> أحكام بشأن الكشف عن منشأ الاخ</w:t>
      </w:r>
      <w:r w:rsidR="0047277E" w:rsidRPr="005639FB">
        <w:rPr>
          <w:rtl/>
        </w:rPr>
        <w:t>تراعات القائمة على الموارد ال</w:t>
      </w:r>
      <w:r w:rsidR="0047277E" w:rsidRPr="005639FB">
        <w:rPr>
          <w:rFonts w:hint="cs"/>
          <w:rtl/>
        </w:rPr>
        <w:t>وراث</w:t>
      </w:r>
      <w:r w:rsidRPr="005639FB">
        <w:rPr>
          <w:rtl/>
        </w:rPr>
        <w:t>ية.</w:t>
      </w:r>
    </w:p>
    <w:p w14:paraId="4BC51F25" w14:textId="77777777" w:rsidR="00AA70FE" w:rsidRPr="005639FB" w:rsidRDefault="00AA70FE" w:rsidP="00A513BF">
      <w:pPr>
        <w:pStyle w:val="Heading1AR"/>
        <w:spacing w:after="240" w:line="360" w:lineRule="exact"/>
      </w:pPr>
      <w:r w:rsidRPr="005639FB">
        <w:rPr>
          <w:rtl/>
        </w:rPr>
        <w:t>البند 2: انتخاب الرئيس</w:t>
      </w:r>
    </w:p>
    <w:p w14:paraId="64489B2B" w14:textId="16B4C6C7" w:rsidR="00AA70FE" w:rsidRPr="005639FB" w:rsidRDefault="0047277E" w:rsidP="00127FD7">
      <w:pPr>
        <w:pStyle w:val="NumberedParaAR"/>
      </w:pPr>
      <w:r w:rsidRPr="005639FB">
        <w:rPr>
          <w:rFonts w:hint="cs"/>
          <w:rtl/>
        </w:rPr>
        <w:t xml:space="preserve">وترأست الجلسة </w:t>
      </w:r>
      <w:r w:rsidRPr="005639FB">
        <w:rPr>
          <w:rtl/>
        </w:rPr>
        <w:t xml:space="preserve">السيدة </w:t>
      </w:r>
      <w:proofErr w:type="spellStart"/>
      <w:r w:rsidRPr="005639FB">
        <w:rPr>
          <w:rtl/>
        </w:rPr>
        <w:t>بورغيلدور</w:t>
      </w:r>
      <w:proofErr w:type="spellEnd"/>
      <w:r w:rsidRPr="005639FB">
        <w:rPr>
          <w:rtl/>
        </w:rPr>
        <w:t xml:space="preserve"> </w:t>
      </w:r>
      <w:proofErr w:type="spellStart"/>
      <w:r w:rsidRPr="005639FB">
        <w:rPr>
          <w:rtl/>
        </w:rPr>
        <w:t>إرلنسدوتير</w:t>
      </w:r>
      <w:proofErr w:type="spellEnd"/>
      <w:r w:rsidRPr="005639FB">
        <w:rPr>
          <w:rtl/>
        </w:rPr>
        <w:t xml:space="preserve">، رئيسة مجلس </w:t>
      </w:r>
      <w:r w:rsidR="00127FD7" w:rsidRPr="005639FB">
        <w:rPr>
          <w:rFonts w:hint="cs"/>
          <w:rtl/>
        </w:rPr>
        <w:t xml:space="preserve">معهد </w:t>
      </w:r>
      <w:r w:rsidR="00127FD7" w:rsidRPr="005639FB">
        <w:rPr>
          <w:rtl/>
        </w:rPr>
        <w:t>بلدان أوروبا الشمالية للبراءات</w:t>
      </w:r>
      <w:r w:rsidRPr="005639FB">
        <w:rPr>
          <w:rFonts w:hint="cs"/>
          <w:rtl/>
        </w:rPr>
        <w:t>.</w:t>
      </w:r>
    </w:p>
    <w:p w14:paraId="50759A76" w14:textId="77777777" w:rsidR="00AA70FE" w:rsidRPr="005639FB" w:rsidRDefault="00AA70FE" w:rsidP="00A513BF">
      <w:pPr>
        <w:pStyle w:val="Heading1AR"/>
        <w:spacing w:after="240" w:line="360" w:lineRule="exact"/>
      </w:pPr>
      <w:r w:rsidRPr="005639FB">
        <w:rPr>
          <w:rtl/>
        </w:rPr>
        <w:t>البند 3: اعتماد جدول الأعمال</w:t>
      </w:r>
    </w:p>
    <w:p w14:paraId="4AB3728A" w14:textId="77777777" w:rsidR="00AA70FE" w:rsidRPr="005639FB" w:rsidRDefault="00AA70FE" w:rsidP="00A513BF">
      <w:pPr>
        <w:pStyle w:val="NumberedParaAR"/>
        <w:ind w:left="715"/>
      </w:pPr>
      <w:r w:rsidRPr="005639FB">
        <w:rPr>
          <w:rtl/>
        </w:rPr>
        <w:t xml:space="preserve">اعتمد الاجتماعُ جدولَ الأعمال الوارد في الوثيقة </w:t>
      </w:r>
      <w:r w:rsidRPr="005639FB">
        <w:t>PCT/MIA/24/1 Rev</w:t>
      </w:r>
      <w:r w:rsidRPr="005639FB">
        <w:rPr>
          <w:rtl/>
        </w:rPr>
        <w:t>.</w:t>
      </w:r>
    </w:p>
    <w:p w14:paraId="613DF185" w14:textId="77777777" w:rsidR="00AA70FE" w:rsidRPr="005639FB" w:rsidRDefault="00AA70FE" w:rsidP="00A513BF">
      <w:pPr>
        <w:pStyle w:val="Heading1AR"/>
        <w:spacing w:after="240" w:line="360" w:lineRule="exact"/>
      </w:pPr>
      <w:r w:rsidRPr="005639FB">
        <w:rPr>
          <w:rtl/>
        </w:rPr>
        <w:t>البند 4: إحصاءات معاهدة التعاون بشأن البراءات</w:t>
      </w:r>
    </w:p>
    <w:p w14:paraId="20676FE8" w14:textId="77777777" w:rsidR="00AA70FE" w:rsidRPr="005639FB" w:rsidRDefault="00AA70FE" w:rsidP="00A513BF">
      <w:pPr>
        <w:pStyle w:val="NumberedParaAR"/>
        <w:ind w:left="720"/>
      </w:pPr>
      <w:r w:rsidRPr="005639FB">
        <w:rPr>
          <w:rtl/>
        </w:rPr>
        <w:t>أحاط الاجتماعُ علماً بالعرض الذي قدَّمه المكتبُ الدولي بشأن أحدث إحصاءات معاهدة التعاون بشأن</w:t>
      </w:r>
      <w:r w:rsidR="005E22B0" w:rsidRPr="005639FB">
        <w:rPr>
          <w:rFonts w:hint="cs"/>
          <w:rtl/>
        </w:rPr>
        <w:t> </w:t>
      </w:r>
      <w:r w:rsidRPr="005639FB">
        <w:rPr>
          <w:rtl/>
        </w:rPr>
        <w:t>البراءات</w:t>
      </w:r>
      <w:r w:rsidR="00840585" w:rsidRPr="005639FB">
        <w:rPr>
          <w:rStyle w:val="FootnoteReference"/>
          <w:sz w:val="36"/>
          <w:szCs w:val="36"/>
          <w:rtl/>
        </w:rPr>
        <w:footnoteReference w:id="1"/>
      </w:r>
      <w:r w:rsidRPr="005639FB">
        <w:rPr>
          <w:rtl/>
        </w:rPr>
        <w:t>.</w:t>
      </w:r>
    </w:p>
    <w:p w14:paraId="3B3CE309" w14:textId="77777777" w:rsidR="00AA70FE" w:rsidRPr="005639FB" w:rsidRDefault="00AA70FE" w:rsidP="00A513BF">
      <w:pPr>
        <w:pStyle w:val="Heading1AR"/>
        <w:spacing w:after="240" w:line="360" w:lineRule="exact"/>
      </w:pPr>
      <w:r w:rsidRPr="005639FB">
        <w:rPr>
          <w:rtl/>
        </w:rPr>
        <w:t>البند 5: المسائل الناشئة عن الفريق الفرعي المعني بالجودة</w:t>
      </w:r>
    </w:p>
    <w:p w14:paraId="29DE9C40" w14:textId="25BFF710" w:rsidR="00AA70FE" w:rsidRPr="005639FB" w:rsidRDefault="00AA70FE" w:rsidP="00A513BF">
      <w:pPr>
        <w:pStyle w:val="NumberedParaAR"/>
        <w:ind w:left="720"/>
      </w:pPr>
      <w:r w:rsidRPr="005639FB">
        <w:rPr>
          <w:rtl/>
        </w:rPr>
        <w:t>أحاط الاجتماع علماً مع الموافقة بملخص رئيس اجتماع الفريق الفرعي المعني ب</w:t>
      </w:r>
      <w:r w:rsidR="0060749E" w:rsidRPr="005639FB">
        <w:rPr>
          <w:rtl/>
        </w:rPr>
        <w:t xml:space="preserve">الجودة المبين في المرفق الثاني </w:t>
      </w:r>
      <w:r w:rsidR="0060749E" w:rsidRPr="005639FB">
        <w:rPr>
          <w:rFonts w:hint="cs"/>
          <w:rtl/>
        </w:rPr>
        <w:t>ل</w:t>
      </w:r>
      <w:r w:rsidRPr="005639FB">
        <w:rPr>
          <w:rtl/>
        </w:rPr>
        <w:t>هذه الوثيقة، ووافق على التوصيات الواردة في ملخص الرئيس وعلى مواصلة ولاية الفريق الف</w:t>
      </w:r>
      <w:r w:rsidR="0060749E" w:rsidRPr="005639FB">
        <w:rPr>
          <w:rtl/>
        </w:rPr>
        <w:t>رعي، بما في ذلك عقد اجتماع للفريق الفرعي</w:t>
      </w:r>
      <w:r w:rsidRPr="005639FB">
        <w:rPr>
          <w:rtl/>
        </w:rPr>
        <w:t xml:space="preserve"> </w:t>
      </w:r>
      <w:r w:rsidR="0060749E" w:rsidRPr="005639FB">
        <w:rPr>
          <w:rFonts w:hint="cs"/>
          <w:rtl/>
        </w:rPr>
        <w:t xml:space="preserve">في </w:t>
      </w:r>
      <w:r w:rsidRPr="005639FB">
        <w:rPr>
          <w:rtl/>
        </w:rPr>
        <w:t>عام 2018.</w:t>
      </w:r>
    </w:p>
    <w:p w14:paraId="5C1CFDC5" w14:textId="77777777" w:rsidR="00AA70FE" w:rsidRPr="005639FB" w:rsidRDefault="00AA70FE" w:rsidP="00A513BF">
      <w:pPr>
        <w:pStyle w:val="Heading1AR"/>
        <w:spacing w:after="240" w:line="360" w:lineRule="exact"/>
      </w:pPr>
      <w:r w:rsidRPr="005639FB">
        <w:rPr>
          <w:rtl/>
        </w:rPr>
        <w:t>البند 6: الخدمات الشبكية لمعاهدة التعاون بشأن البراءات</w:t>
      </w:r>
    </w:p>
    <w:p w14:paraId="5F404315" w14:textId="233C7D94" w:rsidR="00AA70FE" w:rsidRPr="005639FB" w:rsidRDefault="00AA70FE" w:rsidP="00A513BF">
      <w:pPr>
        <w:pStyle w:val="NumberedParaAR"/>
      </w:pPr>
      <w:r w:rsidRPr="005639FB">
        <w:rPr>
          <w:rtl/>
        </w:rPr>
        <w:t xml:space="preserve">استندت المناقشات إلى الوثيقة </w:t>
      </w:r>
      <w:r w:rsidRPr="005639FB">
        <w:t>PCT/MIA/24/9</w:t>
      </w:r>
      <w:r w:rsidRPr="005639FB">
        <w:rPr>
          <w:rtl/>
        </w:rPr>
        <w:t>.</w:t>
      </w:r>
    </w:p>
    <w:p w14:paraId="62AA49F1" w14:textId="5AEE8743" w:rsidR="000B7DD0" w:rsidRPr="005639FB" w:rsidRDefault="000B7DD0" w:rsidP="00A513BF">
      <w:pPr>
        <w:pStyle w:val="NumberedParaAR"/>
      </w:pPr>
      <w:r w:rsidRPr="005639FB">
        <w:rPr>
          <w:rFonts w:hint="cs"/>
          <w:rtl/>
          <w:lang w:bidi="ar-SY"/>
        </w:rPr>
        <w:t xml:space="preserve">وأعربت </w:t>
      </w:r>
      <w:r w:rsidRPr="005639FB">
        <w:rPr>
          <w:rFonts w:hint="cs"/>
          <w:rtl/>
        </w:rPr>
        <w:t xml:space="preserve">جميع الإدارات التي أخذت الكلمة عن تقدير واسع النطاق للتطورات الأخيرة في الخدمات الشبكية لمعاهدة التعاون بشأن البراءات ووافقت عموما على الأولويات المقترحة للعمل المقبل للمكتب الدولي والإدارات الدولية. وتوفّر الخدمات الشبكية العديد من المزايا للمتقدمين، وخاصة للبعيدين جغرافيا عن مكتب تسلّم </w:t>
      </w:r>
      <w:r w:rsidR="00D12E07" w:rsidRPr="005639FB">
        <w:rPr>
          <w:rFonts w:hint="cs"/>
          <w:rtl/>
        </w:rPr>
        <w:t>الطلبات ا</w:t>
      </w:r>
      <w:r w:rsidRPr="005639FB">
        <w:rPr>
          <w:rFonts w:hint="cs"/>
          <w:rtl/>
        </w:rPr>
        <w:t>لذي اختاروه أو الإدارة الدولية التي اختاروها. وأعربت العديد من الإدارات عن تقديرها لتعاون المكتب الدولي في ضمان تكوين النظام بشكل يراعي</w:t>
      </w:r>
      <w:r w:rsidRPr="005639FB">
        <w:rPr>
          <w:rFonts w:hint="eastAsia"/>
          <w:rtl/>
        </w:rPr>
        <w:t> </w:t>
      </w:r>
      <w:r w:rsidRPr="005639FB">
        <w:rPr>
          <w:rFonts w:hint="cs"/>
          <w:rtl/>
        </w:rPr>
        <w:t>احتياجاتهم.</w:t>
      </w:r>
    </w:p>
    <w:p w14:paraId="22D6C131" w14:textId="32965DB3" w:rsidR="000B7DD0" w:rsidRPr="005639FB" w:rsidRDefault="000B7DD0" w:rsidP="00030DC5">
      <w:pPr>
        <w:pStyle w:val="NumberedParaAR"/>
      </w:pPr>
      <w:r w:rsidRPr="005639FB">
        <w:rPr>
          <w:rFonts w:hint="cs"/>
          <w:rtl/>
        </w:rPr>
        <w:lastRenderedPageBreak/>
        <w:t>وعلى الرغم من أن معظم الإدارات</w:t>
      </w:r>
      <w:r w:rsidR="00D12E07" w:rsidRPr="005639FB">
        <w:rPr>
          <w:rFonts w:hint="cs"/>
          <w:rtl/>
        </w:rPr>
        <w:t xml:space="preserve"> قد نفذت،</w:t>
      </w:r>
      <w:r w:rsidRPr="005639FB">
        <w:rPr>
          <w:rFonts w:hint="cs"/>
          <w:rtl/>
        </w:rPr>
        <w:t xml:space="preserve"> </w:t>
      </w:r>
      <w:r w:rsidR="00D12E07" w:rsidRPr="005639FB">
        <w:rPr>
          <w:rFonts w:hint="cs"/>
          <w:rtl/>
        </w:rPr>
        <w:t>ضمن دورها ك</w:t>
      </w:r>
      <w:r w:rsidRPr="005639FB">
        <w:rPr>
          <w:rFonts w:hint="cs"/>
          <w:rtl/>
        </w:rPr>
        <w:t>مكتب</w:t>
      </w:r>
      <w:r w:rsidR="00D12E07" w:rsidRPr="005639FB">
        <w:rPr>
          <w:rFonts w:hint="cs"/>
          <w:rtl/>
        </w:rPr>
        <w:t xml:space="preserve"> تسلّم طلبات</w:t>
      </w:r>
      <w:r w:rsidRPr="005639FB">
        <w:rPr>
          <w:rFonts w:hint="cs"/>
          <w:rtl/>
        </w:rPr>
        <w:t xml:space="preserve">، </w:t>
      </w:r>
      <w:r w:rsidR="00D12E07" w:rsidRPr="005639FB">
        <w:rPr>
          <w:rFonts w:hint="cs"/>
          <w:rtl/>
        </w:rPr>
        <w:t xml:space="preserve">أو كانت في سياق تنفيذ </w:t>
      </w:r>
      <w:r w:rsidRPr="005639FB">
        <w:rPr>
          <w:rFonts w:hint="cs"/>
          <w:rtl/>
        </w:rPr>
        <w:t>خدمات ل</w:t>
      </w:r>
      <w:r w:rsidR="00D12E07" w:rsidRPr="005639FB">
        <w:rPr>
          <w:rFonts w:hint="cs"/>
          <w:rtl/>
        </w:rPr>
        <w:t xml:space="preserve">دعم </w:t>
      </w:r>
      <w:r w:rsidRPr="005639FB">
        <w:rPr>
          <w:rFonts w:hint="cs"/>
          <w:rtl/>
        </w:rPr>
        <w:t xml:space="preserve">عمل </w:t>
      </w:r>
      <w:r w:rsidR="00D12E07" w:rsidRPr="005639FB">
        <w:rPr>
          <w:rFonts w:hint="cs"/>
          <w:rtl/>
        </w:rPr>
        <w:t>الخدمات الشبكية،</w:t>
      </w:r>
      <w:r w:rsidRPr="005639FB">
        <w:rPr>
          <w:rFonts w:hint="cs"/>
          <w:rtl/>
        </w:rPr>
        <w:t xml:space="preserve"> </w:t>
      </w:r>
      <w:r w:rsidR="00D12E07" w:rsidRPr="005639FB">
        <w:rPr>
          <w:rFonts w:hint="cs"/>
          <w:rtl/>
        </w:rPr>
        <w:t xml:space="preserve">فقد أشارت </w:t>
      </w:r>
      <w:r w:rsidRPr="005639FB">
        <w:rPr>
          <w:rFonts w:hint="cs"/>
          <w:rtl/>
        </w:rPr>
        <w:t xml:space="preserve">عدة </w:t>
      </w:r>
      <w:r w:rsidR="00D12E07" w:rsidRPr="005639FB">
        <w:rPr>
          <w:rFonts w:hint="cs"/>
          <w:rtl/>
        </w:rPr>
        <w:t>إدارات إلى أن الطلبات</w:t>
      </w:r>
      <w:r w:rsidRPr="005639FB">
        <w:rPr>
          <w:rFonts w:hint="cs"/>
          <w:rtl/>
        </w:rPr>
        <w:t xml:space="preserve"> التقليدي</w:t>
      </w:r>
      <w:r w:rsidR="00D12E07" w:rsidRPr="005639FB">
        <w:rPr>
          <w:rFonts w:hint="cs"/>
          <w:rtl/>
        </w:rPr>
        <w:t>ة</w:t>
      </w:r>
      <w:r w:rsidRPr="005639FB">
        <w:rPr>
          <w:rFonts w:hint="cs"/>
          <w:rtl/>
        </w:rPr>
        <w:t xml:space="preserve">، مثل </w:t>
      </w:r>
      <w:r w:rsidR="00D12E07" w:rsidRPr="005639FB">
        <w:rPr>
          <w:rtl/>
        </w:rPr>
        <w:t xml:space="preserve">برنامج </w:t>
      </w:r>
      <w:r w:rsidR="00030DC5" w:rsidRPr="005639FB">
        <w:rPr>
          <w:rFonts w:hint="cs"/>
          <w:rtl/>
          <w:lang w:val="fr-FR" w:bidi="ar-EG"/>
        </w:rPr>
        <w:t xml:space="preserve">الويبو </w:t>
      </w:r>
      <w:proofErr w:type="spellStart"/>
      <w:r w:rsidR="00030DC5" w:rsidRPr="005639FB">
        <w:rPr>
          <w:rFonts w:hint="cs"/>
          <w:rtl/>
          <w:lang w:bidi="ar-EG"/>
        </w:rPr>
        <w:t>لل</w:t>
      </w:r>
      <w:proofErr w:type="spellEnd"/>
      <w:r w:rsidR="00D12E07" w:rsidRPr="005639FB">
        <w:rPr>
          <w:rtl/>
        </w:rPr>
        <w:t xml:space="preserve">إيداع </w:t>
      </w:r>
      <w:r w:rsidR="007A065F" w:rsidRPr="005639FB">
        <w:rPr>
          <w:rtl/>
        </w:rPr>
        <w:t>الإلكتروني</w:t>
      </w:r>
      <w:r w:rsidR="005639FB" w:rsidRPr="005639FB">
        <w:rPr>
          <w:rtl/>
        </w:rPr>
        <w:t xml:space="preserve"> </w:t>
      </w:r>
      <w:r w:rsidR="00D12E07" w:rsidRPr="005639FB">
        <w:rPr>
          <w:rtl/>
        </w:rPr>
        <w:t>الآمن للطلبات (</w:t>
      </w:r>
      <w:r w:rsidR="00D12E07" w:rsidRPr="005639FB">
        <w:t>PCT-SAFE</w:t>
      </w:r>
      <w:r w:rsidR="00D12E07" w:rsidRPr="005639FB">
        <w:rPr>
          <w:rtl/>
        </w:rPr>
        <w:t>)</w:t>
      </w:r>
      <w:r w:rsidR="00D12E07" w:rsidRPr="005639FB">
        <w:rPr>
          <w:rFonts w:hint="cs"/>
          <w:rtl/>
        </w:rPr>
        <w:t>، لا زالت تستخدم بشكل كبير و</w:t>
      </w:r>
      <w:r w:rsidR="008A2AE5" w:rsidRPr="005639FB">
        <w:rPr>
          <w:rFonts w:hint="cs"/>
          <w:rtl/>
        </w:rPr>
        <w:t xml:space="preserve">ذات </w:t>
      </w:r>
      <w:r w:rsidR="00D12E07" w:rsidRPr="005639FB">
        <w:rPr>
          <w:rFonts w:hint="cs"/>
          <w:rtl/>
        </w:rPr>
        <w:t>أ</w:t>
      </w:r>
      <w:r w:rsidRPr="005639FB">
        <w:rPr>
          <w:rFonts w:hint="cs"/>
          <w:rtl/>
        </w:rPr>
        <w:t>هم</w:t>
      </w:r>
      <w:r w:rsidR="00D12E07" w:rsidRPr="005639FB">
        <w:rPr>
          <w:rFonts w:hint="cs"/>
          <w:rtl/>
        </w:rPr>
        <w:t>ية</w:t>
      </w:r>
      <w:r w:rsidR="008A2AE5" w:rsidRPr="005639FB">
        <w:rPr>
          <w:rFonts w:hint="cs"/>
          <w:rtl/>
        </w:rPr>
        <w:t xml:space="preserve"> لأجزاء معينة من قاعدة مقدمي </w:t>
      </w:r>
      <w:r w:rsidRPr="005639FB">
        <w:rPr>
          <w:rFonts w:hint="cs"/>
          <w:rtl/>
        </w:rPr>
        <w:t>الطلب</w:t>
      </w:r>
      <w:r w:rsidR="008A2AE5" w:rsidRPr="005639FB">
        <w:rPr>
          <w:rFonts w:hint="cs"/>
          <w:rtl/>
        </w:rPr>
        <w:t xml:space="preserve">ات، وخاصة في </w:t>
      </w:r>
      <w:r w:rsidRPr="005639FB">
        <w:rPr>
          <w:rFonts w:hint="cs"/>
          <w:rtl/>
        </w:rPr>
        <w:t>القضايا الناشئة عن قوان</w:t>
      </w:r>
      <w:r w:rsidR="008A2AE5" w:rsidRPr="005639FB">
        <w:rPr>
          <w:rFonts w:hint="cs"/>
          <w:rtl/>
        </w:rPr>
        <w:t>ين الأمن الوطني. و</w:t>
      </w:r>
      <w:r w:rsidRPr="005639FB">
        <w:rPr>
          <w:rFonts w:hint="cs"/>
          <w:rtl/>
        </w:rPr>
        <w:t>أش</w:t>
      </w:r>
      <w:r w:rsidR="008A2AE5" w:rsidRPr="005639FB">
        <w:rPr>
          <w:rFonts w:hint="cs"/>
          <w:rtl/>
        </w:rPr>
        <w:t>ارت إدارة واحدة أن مكتبها اتخذ</w:t>
      </w:r>
      <w:r w:rsidRPr="005639FB">
        <w:rPr>
          <w:rFonts w:hint="cs"/>
          <w:rtl/>
        </w:rPr>
        <w:t xml:space="preserve"> قرار</w:t>
      </w:r>
      <w:r w:rsidR="008A2AE5" w:rsidRPr="005639FB">
        <w:rPr>
          <w:rFonts w:hint="cs"/>
          <w:rtl/>
        </w:rPr>
        <w:t>ا</w:t>
      </w:r>
      <w:r w:rsidRPr="005639FB">
        <w:rPr>
          <w:rFonts w:hint="cs"/>
          <w:rtl/>
        </w:rPr>
        <w:t xml:space="preserve"> </w:t>
      </w:r>
      <w:r w:rsidR="008A2AE5" w:rsidRPr="005639FB">
        <w:rPr>
          <w:rFonts w:hint="cs"/>
          <w:rtl/>
        </w:rPr>
        <w:t>ب</w:t>
      </w:r>
      <w:r w:rsidRPr="005639FB">
        <w:rPr>
          <w:rFonts w:hint="cs"/>
          <w:rtl/>
        </w:rPr>
        <w:t xml:space="preserve">وقف قبول الطلبات الدولية المودعة باستخدام </w:t>
      </w:r>
      <w:r w:rsidR="008A2AE5" w:rsidRPr="005639FB">
        <w:rPr>
          <w:rtl/>
        </w:rPr>
        <w:t xml:space="preserve">برنامج </w:t>
      </w:r>
      <w:r w:rsidR="00030DC5" w:rsidRPr="005639FB">
        <w:rPr>
          <w:rFonts w:hint="cs"/>
          <w:rtl/>
          <w:lang w:val="fr-FR" w:bidi="ar-EG"/>
        </w:rPr>
        <w:t xml:space="preserve">الويبو </w:t>
      </w:r>
      <w:r w:rsidR="00030DC5" w:rsidRPr="005639FB">
        <w:rPr>
          <w:rFonts w:hint="cs"/>
          <w:rtl/>
          <w:lang w:bidi="ar-EG"/>
        </w:rPr>
        <w:t>لل</w:t>
      </w:r>
      <w:r w:rsidR="00030DC5" w:rsidRPr="005639FB">
        <w:rPr>
          <w:rtl/>
        </w:rPr>
        <w:t xml:space="preserve">إيداع </w:t>
      </w:r>
      <w:r w:rsidR="007A065F" w:rsidRPr="005639FB">
        <w:rPr>
          <w:rtl/>
        </w:rPr>
        <w:t>الإلكتروني</w:t>
      </w:r>
      <w:r w:rsidR="005639FB" w:rsidRPr="005639FB">
        <w:rPr>
          <w:rtl/>
        </w:rPr>
        <w:t xml:space="preserve"> </w:t>
      </w:r>
      <w:r w:rsidR="00030DC5" w:rsidRPr="005639FB">
        <w:rPr>
          <w:rtl/>
        </w:rPr>
        <w:t>الآمن للطلبات</w:t>
      </w:r>
      <w:r w:rsidRPr="005639FB">
        <w:rPr>
          <w:rFonts w:hint="cs"/>
          <w:rtl/>
        </w:rPr>
        <w:t xml:space="preserve">. </w:t>
      </w:r>
      <w:r w:rsidR="008A2AE5" w:rsidRPr="005639FB">
        <w:rPr>
          <w:rFonts w:hint="cs"/>
          <w:rtl/>
        </w:rPr>
        <w:t>وأضافت أن</w:t>
      </w:r>
      <w:r w:rsidRPr="005639FB">
        <w:rPr>
          <w:rFonts w:hint="cs"/>
          <w:rtl/>
        </w:rPr>
        <w:t xml:space="preserve"> </w:t>
      </w:r>
      <w:r w:rsidR="0063499A" w:rsidRPr="005639FB">
        <w:rPr>
          <w:rFonts w:hint="cs"/>
          <w:rtl/>
        </w:rPr>
        <w:t>الانتقال نجح بفضل الاتصالات المستهدفة بعناية وال</w:t>
      </w:r>
      <w:r w:rsidRPr="005639FB">
        <w:rPr>
          <w:rFonts w:hint="cs"/>
          <w:rtl/>
        </w:rPr>
        <w:t>عمل</w:t>
      </w:r>
      <w:r w:rsidR="0063499A" w:rsidRPr="005639FB">
        <w:rPr>
          <w:rFonts w:hint="cs"/>
          <w:rtl/>
        </w:rPr>
        <w:t xml:space="preserve"> بشكل وثيق مع العملاء الرئيسيين</w:t>
      </w:r>
      <w:r w:rsidRPr="005639FB">
        <w:rPr>
          <w:rFonts w:hint="cs"/>
          <w:rtl/>
        </w:rPr>
        <w:t xml:space="preserve"> وتوفير الدعم عبر الهاتف والمساعدة مع مسائل مثل إعداد </w:t>
      </w:r>
      <w:r w:rsidR="0063499A" w:rsidRPr="005639FB">
        <w:rPr>
          <w:rFonts w:hint="cs"/>
          <w:rtl/>
        </w:rPr>
        <w:t>الحسابات، وقد ا</w:t>
      </w:r>
      <w:r w:rsidRPr="005639FB">
        <w:rPr>
          <w:rFonts w:hint="cs"/>
          <w:rtl/>
        </w:rPr>
        <w:t>ر</w:t>
      </w:r>
      <w:r w:rsidR="0063499A" w:rsidRPr="005639FB">
        <w:rPr>
          <w:rFonts w:hint="cs"/>
          <w:rtl/>
        </w:rPr>
        <w:t>تفعت</w:t>
      </w:r>
      <w:r w:rsidRPr="005639FB">
        <w:rPr>
          <w:rFonts w:hint="cs"/>
          <w:rtl/>
        </w:rPr>
        <w:t xml:space="preserve"> </w:t>
      </w:r>
      <w:r w:rsidR="0063499A" w:rsidRPr="005639FB">
        <w:rPr>
          <w:rFonts w:hint="cs"/>
          <w:rtl/>
        </w:rPr>
        <w:t xml:space="preserve">نسبة التطبيقات الدولية المودعة حاليا باستخدام </w:t>
      </w:r>
      <w:r w:rsidR="0063499A" w:rsidRPr="005639FB">
        <w:rPr>
          <w:rtl/>
        </w:rPr>
        <w:t xml:space="preserve">برنامج الإيداع </w:t>
      </w:r>
      <w:r w:rsidR="007A065F" w:rsidRPr="005639FB">
        <w:rPr>
          <w:rtl/>
        </w:rPr>
        <w:t>الإلكتروني</w:t>
      </w:r>
      <w:r w:rsidR="005639FB" w:rsidRPr="005639FB">
        <w:rPr>
          <w:rtl/>
        </w:rPr>
        <w:t xml:space="preserve"> </w:t>
      </w:r>
      <w:r w:rsidR="0063499A" w:rsidRPr="005639FB">
        <w:rPr>
          <w:rFonts w:hint="cs"/>
          <w:rtl/>
        </w:rPr>
        <w:t xml:space="preserve">إلى </w:t>
      </w:r>
      <w:r w:rsidRPr="005639FB">
        <w:rPr>
          <w:rFonts w:hint="cs"/>
          <w:rtl/>
        </w:rPr>
        <w:t xml:space="preserve">80 في المائة من </w:t>
      </w:r>
      <w:r w:rsidR="0063499A" w:rsidRPr="005639FB">
        <w:rPr>
          <w:rFonts w:hint="cs"/>
          <w:rtl/>
        </w:rPr>
        <w:t>الطلبات.</w:t>
      </w:r>
    </w:p>
    <w:p w14:paraId="350DCE38" w14:textId="779B910E" w:rsidR="0063499A" w:rsidRPr="005639FB" w:rsidRDefault="0063499A" w:rsidP="00A513BF">
      <w:pPr>
        <w:pStyle w:val="NumberedParaAR"/>
      </w:pPr>
      <w:r w:rsidRPr="005639FB">
        <w:rPr>
          <w:rFonts w:hint="cs"/>
          <w:rtl/>
        </w:rPr>
        <w:t xml:space="preserve">وأكدت عدة إدارات على أهمية المضي نحو استخدام </w:t>
      </w:r>
      <w:r w:rsidRPr="005639FB">
        <w:rPr>
          <w:rtl/>
        </w:rPr>
        <w:t xml:space="preserve">نسق </w:t>
      </w:r>
      <w:r w:rsidRPr="005639FB">
        <w:t>XML</w:t>
      </w:r>
      <w:r w:rsidRPr="005639FB">
        <w:rPr>
          <w:rFonts w:hint="cs"/>
          <w:rtl/>
        </w:rPr>
        <w:t xml:space="preserve"> لتبادل </w:t>
      </w:r>
      <w:r w:rsidRPr="005639FB">
        <w:rPr>
          <w:rtl/>
        </w:rPr>
        <w:t>متون الطلبات</w:t>
      </w:r>
      <w:r w:rsidRPr="005639FB">
        <w:rPr>
          <w:rFonts w:hint="cs"/>
          <w:rtl/>
        </w:rPr>
        <w:t xml:space="preserve"> </w:t>
      </w:r>
      <w:r w:rsidRPr="005639FB">
        <w:rPr>
          <w:rtl/>
        </w:rPr>
        <w:t>ومعلومات غلاف الملف</w:t>
      </w:r>
      <w:r w:rsidRPr="005639FB">
        <w:rPr>
          <w:rFonts w:hint="cs"/>
          <w:rtl/>
        </w:rPr>
        <w:t xml:space="preserve"> وتقارير البحث الدولي والآراء المكتوبة </w:t>
      </w:r>
      <w:r w:rsidR="00245E07" w:rsidRPr="005639FB">
        <w:rPr>
          <w:rFonts w:hint="cs"/>
          <w:rtl/>
        </w:rPr>
        <w:t>و</w:t>
      </w:r>
      <w:r w:rsidRPr="005639FB">
        <w:rPr>
          <w:rFonts w:hint="cs"/>
          <w:rtl/>
        </w:rPr>
        <w:t>معلومات</w:t>
      </w:r>
      <w:r w:rsidR="00245E07" w:rsidRPr="005639FB">
        <w:rPr>
          <w:rFonts w:hint="cs"/>
          <w:rtl/>
        </w:rPr>
        <w:t xml:space="preserve"> المعالجة</w:t>
      </w:r>
      <w:r w:rsidR="007C571B" w:rsidRPr="005639FB">
        <w:rPr>
          <w:rFonts w:hint="cs"/>
          <w:rtl/>
        </w:rPr>
        <w:t>. وتعمل</w:t>
      </w:r>
      <w:r w:rsidRPr="005639FB">
        <w:rPr>
          <w:rFonts w:hint="cs"/>
          <w:rtl/>
        </w:rPr>
        <w:t xml:space="preserve"> العديد من </w:t>
      </w:r>
      <w:r w:rsidR="007C571B" w:rsidRPr="005639FB">
        <w:rPr>
          <w:rFonts w:hint="cs"/>
          <w:rtl/>
        </w:rPr>
        <w:t xml:space="preserve">الإدارات على تطوير </w:t>
      </w:r>
      <w:r w:rsidR="0027219E" w:rsidRPr="005639FB">
        <w:rPr>
          <w:rFonts w:hint="cs"/>
          <w:rtl/>
        </w:rPr>
        <w:t>أدوات و</w:t>
      </w:r>
      <w:r w:rsidRPr="005639FB">
        <w:rPr>
          <w:rFonts w:hint="cs"/>
          <w:rtl/>
        </w:rPr>
        <w:t xml:space="preserve">عمليات لتحويل </w:t>
      </w:r>
      <w:r w:rsidR="0027219E" w:rsidRPr="005639FB">
        <w:rPr>
          <w:rFonts w:hint="cs"/>
          <w:rtl/>
        </w:rPr>
        <w:t>ال</w:t>
      </w:r>
      <w:r w:rsidRPr="005639FB">
        <w:rPr>
          <w:rFonts w:hint="cs"/>
          <w:rtl/>
        </w:rPr>
        <w:t xml:space="preserve">ملفات </w:t>
      </w:r>
      <w:r w:rsidR="0027219E" w:rsidRPr="005639FB">
        <w:rPr>
          <w:rFonts w:hint="cs"/>
          <w:rtl/>
        </w:rPr>
        <w:t>من نسق</w:t>
      </w:r>
      <w:r w:rsidR="00341B41" w:rsidRPr="005639FB">
        <w:rPr>
          <w:rFonts w:hint="eastAsia"/>
          <w:rtl/>
        </w:rPr>
        <w:t> </w:t>
      </w:r>
      <w:r w:rsidR="0027219E" w:rsidRPr="005639FB">
        <w:t>.</w:t>
      </w:r>
      <w:proofErr w:type="spellStart"/>
      <w:r w:rsidR="0027219E" w:rsidRPr="005639FB">
        <w:t>docx</w:t>
      </w:r>
      <w:proofErr w:type="spellEnd"/>
      <w:r w:rsidR="0027219E" w:rsidRPr="005639FB">
        <w:rPr>
          <w:rFonts w:hint="cs"/>
          <w:rtl/>
        </w:rPr>
        <w:t xml:space="preserve"> في </w:t>
      </w:r>
      <w:r w:rsidR="0027219E" w:rsidRPr="005639FB">
        <w:rPr>
          <w:rtl/>
        </w:rPr>
        <w:t>المرفق واو</w:t>
      </w:r>
      <w:r w:rsidR="0027219E" w:rsidRPr="005639FB">
        <w:rPr>
          <w:rFonts w:hint="cs"/>
          <w:rtl/>
        </w:rPr>
        <w:t xml:space="preserve"> </w:t>
      </w:r>
      <w:r w:rsidR="00B04B52" w:rsidRPr="005639FB">
        <w:rPr>
          <w:rFonts w:hint="cs"/>
          <w:rtl/>
        </w:rPr>
        <w:t>إلى</w:t>
      </w:r>
      <w:r w:rsidR="00B04B52" w:rsidRPr="005639FB">
        <w:rPr>
          <w:rtl/>
        </w:rPr>
        <w:t xml:space="preserve"> نسق </w:t>
      </w:r>
      <w:r w:rsidR="00B04B52" w:rsidRPr="005639FB">
        <w:t>XML</w:t>
      </w:r>
      <w:r w:rsidR="00B04B52" w:rsidRPr="005639FB">
        <w:rPr>
          <w:rtl/>
        </w:rPr>
        <w:t xml:space="preserve"> المحدّد في المرفق "واو</w:t>
      </w:r>
      <w:r w:rsidR="00B04B52" w:rsidRPr="005639FB">
        <w:rPr>
          <w:rFonts w:hint="cs"/>
          <w:rtl/>
        </w:rPr>
        <w:t>"</w:t>
      </w:r>
      <w:r w:rsidR="0027219E" w:rsidRPr="005639FB">
        <w:rPr>
          <w:rFonts w:hint="cs"/>
          <w:rtl/>
        </w:rPr>
        <w:t xml:space="preserve"> و</w:t>
      </w:r>
      <w:r w:rsidRPr="005639FB">
        <w:rPr>
          <w:rFonts w:hint="cs"/>
          <w:rtl/>
        </w:rPr>
        <w:t xml:space="preserve">تتعاون </w:t>
      </w:r>
      <w:r w:rsidR="0027219E" w:rsidRPr="005639FB">
        <w:rPr>
          <w:rFonts w:hint="cs"/>
          <w:rtl/>
        </w:rPr>
        <w:t xml:space="preserve">هذه الإدارات </w:t>
      </w:r>
      <w:r w:rsidRPr="005639FB">
        <w:rPr>
          <w:rFonts w:hint="cs"/>
          <w:rtl/>
        </w:rPr>
        <w:t>فيم</w:t>
      </w:r>
      <w:r w:rsidR="0027219E" w:rsidRPr="005639FB">
        <w:rPr>
          <w:rFonts w:hint="cs"/>
          <w:rtl/>
        </w:rPr>
        <w:t>ا بينها ومع المكتب الدولي</w:t>
      </w:r>
      <w:r w:rsidRPr="005639FB">
        <w:rPr>
          <w:rFonts w:hint="cs"/>
          <w:rtl/>
        </w:rPr>
        <w:t xml:space="preserve"> </w:t>
      </w:r>
      <w:r w:rsidR="0027219E" w:rsidRPr="005639FB">
        <w:rPr>
          <w:rFonts w:hint="cs"/>
          <w:rtl/>
        </w:rPr>
        <w:t>سعيا للاتساق وحل ا</w:t>
      </w:r>
      <w:r w:rsidRPr="005639FB">
        <w:rPr>
          <w:rFonts w:hint="cs"/>
          <w:rtl/>
        </w:rPr>
        <w:t xml:space="preserve">لمشاكل، بما في ذلك تلك المتعلقة </w:t>
      </w:r>
      <w:r w:rsidR="0027219E" w:rsidRPr="005639FB">
        <w:rPr>
          <w:rFonts w:hint="cs"/>
          <w:rtl/>
        </w:rPr>
        <w:t>بت</w:t>
      </w:r>
      <w:r w:rsidRPr="005639FB">
        <w:rPr>
          <w:rFonts w:hint="cs"/>
          <w:rtl/>
        </w:rPr>
        <w:t>رقيم الصفحات. وأوضح ا</w:t>
      </w:r>
      <w:r w:rsidR="0027219E" w:rsidRPr="005639FB">
        <w:rPr>
          <w:rFonts w:hint="cs"/>
          <w:rtl/>
        </w:rPr>
        <w:t>لمكتب الأوروبي للبراءات أنه سيقدم</w:t>
      </w:r>
      <w:r w:rsidRPr="005639FB">
        <w:rPr>
          <w:rFonts w:hint="cs"/>
          <w:rtl/>
        </w:rPr>
        <w:t xml:space="preserve"> اقتراح</w:t>
      </w:r>
      <w:r w:rsidR="0027219E" w:rsidRPr="005639FB">
        <w:rPr>
          <w:rFonts w:hint="cs"/>
          <w:rtl/>
        </w:rPr>
        <w:t>ا</w:t>
      </w:r>
      <w:r w:rsidRPr="005639FB">
        <w:rPr>
          <w:rFonts w:hint="cs"/>
          <w:rtl/>
        </w:rPr>
        <w:t xml:space="preserve"> </w:t>
      </w:r>
      <w:r w:rsidR="0027219E" w:rsidRPr="005639FB">
        <w:rPr>
          <w:rFonts w:hint="cs"/>
          <w:rtl/>
        </w:rPr>
        <w:t xml:space="preserve">بإدخال </w:t>
      </w:r>
      <w:r w:rsidRPr="005639FB">
        <w:rPr>
          <w:rFonts w:hint="cs"/>
          <w:rtl/>
        </w:rPr>
        <w:t>ت</w:t>
      </w:r>
      <w:r w:rsidR="0027219E" w:rsidRPr="005639FB">
        <w:rPr>
          <w:rFonts w:hint="cs"/>
          <w:rtl/>
        </w:rPr>
        <w:t xml:space="preserve">عديلات على </w:t>
      </w:r>
      <w:r w:rsidR="0027219E" w:rsidRPr="005639FB">
        <w:rPr>
          <w:rtl/>
        </w:rPr>
        <w:t>المرفق واو</w:t>
      </w:r>
      <w:r w:rsidR="00B04B52" w:rsidRPr="005639FB">
        <w:rPr>
          <w:rFonts w:hint="cs"/>
          <w:rtl/>
        </w:rPr>
        <w:t xml:space="preserve"> لدعم إيداع الملفات بنسق</w:t>
      </w:r>
      <w:r w:rsidR="00341B41" w:rsidRPr="005639FB">
        <w:rPr>
          <w:rFonts w:hint="eastAsia"/>
          <w:rtl/>
        </w:rPr>
        <w:t> </w:t>
      </w:r>
      <w:r w:rsidR="00B04B52" w:rsidRPr="005639FB">
        <w:t>.</w:t>
      </w:r>
      <w:proofErr w:type="spellStart"/>
      <w:r w:rsidR="00B04B52" w:rsidRPr="005639FB">
        <w:t>docx</w:t>
      </w:r>
      <w:proofErr w:type="spellEnd"/>
      <w:r w:rsidR="00341B41" w:rsidRPr="005639FB">
        <w:rPr>
          <w:rFonts w:hint="cs"/>
          <w:rtl/>
        </w:rPr>
        <w:t xml:space="preserve"> </w:t>
      </w:r>
      <w:r w:rsidR="00B04B52" w:rsidRPr="005639FB">
        <w:rPr>
          <w:rFonts w:hint="cs"/>
          <w:rtl/>
        </w:rPr>
        <w:t>مباشرة. وسيوفّر</w:t>
      </w:r>
      <w:r w:rsidRPr="005639FB">
        <w:rPr>
          <w:rFonts w:hint="cs"/>
          <w:rtl/>
        </w:rPr>
        <w:t xml:space="preserve"> </w:t>
      </w:r>
      <w:r w:rsidR="00B04B52" w:rsidRPr="005639FB">
        <w:rPr>
          <w:rFonts w:hint="cs"/>
          <w:rtl/>
        </w:rPr>
        <w:t xml:space="preserve">ذلك فوائد مختلفة، منها </w:t>
      </w:r>
      <w:r w:rsidRPr="005639FB">
        <w:rPr>
          <w:rFonts w:hint="cs"/>
          <w:rtl/>
        </w:rPr>
        <w:t>التغلب ع</w:t>
      </w:r>
      <w:r w:rsidR="00B04B52" w:rsidRPr="005639FB">
        <w:rPr>
          <w:rFonts w:hint="cs"/>
          <w:rtl/>
        </w:rPr>
        <w:t>لى بعض القضايا المرتبطة حاليا</w:t>
      </w:r>
      <w:r w:rsidRPr="005639FB">
        <w:rPr>
          <w:rFonts w:hint="cs"/>
          <w:rtl/>
        </w:rPr>
        <w:t xml:space="preserve"> </w:t>
      </w:r>
      <w:r w:rsidR="00B04B52" w:rsidRPr="005639FB">
        <w:rPr>
          <w:rFonts w:hint="cs"/>
          <w:rtl/>
        </w:rPr>
        <w:t>ب</w:t>
      </w:r>
      <w:r w:rsidRPr="005639FB">
        <w:rPr>
          <w:rFonts w:hint="cs"/>
          <w:rtl/>
        </w:rPr>
        <w:t xml:space="preserve">قبول </w:t>
      </w:r>
      <w:r w:rsidR="00B04B52" w:rsidRPr="005639FB">
        <w:rPr>
          <w:rFonts w:hint="cs"/>
          <w:rtl/>
        </w:rPr>
        <w:t>ال</w:t>
      </w:r>
      <w:r w:rsidRPr="005639FB">
        <w:rPr>
          <w:rFonts w:hint="cs"/>
          <w:rtl/>
        </w:rPr>
        <w:t xml:space="preserve">رسومات </w:t>
      </w:r>
      <w:r w:rsidR="00B04B52" w:rsidRPr="005639FB">
        <w:rPr>
          <w:rFonts w:hint="cs"/>
          <w:rtl/>
        </w:rPr>
        <w:t>بالأ</w:t>
      </w:r>
      <w:r w:rsidRPr="005639FB">
        <w:rPr>
          <w:rFonts w:hint="cs"/>
          <w:rtl/>
        </w:rPr>
        <w:t>لو</w:t>
      </w:r>
      <w:r w:rsidR="00B04B52" w:rsidRPr="005639FB">
        <w:rPr>
          <w:rFonts w:hint="cs"/>
          <w:rtl/>
        </w:rPr>
        <w:t>ان. وأشارت إدار</w:t>
      </w:r>
      <w:r w:rsidRPr="005639FB">
        <w:rPr>
          <w:rFonts w:hint="cs"/>
          <w:rtl/>
        </w:rPr>
        <w:t xml:space="preserve">ة واحدة </w:t>
      </w:r>
      <w:r w:rsidR="00B04B52" w:rsidRPr="005639FB">
        <w:rPr>
          <w:rFonts w:hint="cs"/>
          <w:rtl/>
        </w:rPr>
        <w:t xml:space="preserve">إلى أنّ جميع </w:t>
      </w:r>
      <w:r w:rsidRPr="005639FB">
        <w:rPr>
          <w:rFonts w:hint="cs"/>
          <w:rtl/>
        </w:rPr>
        <w:t xml:space="preserve">خدمات الإيداع </w:t>
      </w:r>
      <w:r w:rsidR="007A065F" w:rsidRPr="005639FB">
        <w:rPr>
          <w:rFonts w:hint="cs"/>
          <w:rtl/>
        </w:rPr>
        <w:t>الإلكتروني</w:t>
      </w:r>
      <w:r w:rsidR="005639FB" w:rsidRPr="005639FB">
        <w:rPr>
          <w:rFonts w:hint="cs"/>
          <w:rtl/>
        </w:rPr>
        <w:t xml:space="preserve"> </w:t>
      </w:r>
      <w:r w:rsidR="00B04B52" w:rsidRPr="005639FB">
        <w:rPr>
          <w:rFonts w:hint="cs"/>
          <w:rtl/>
        </w:rPr>
        <w:t>تواجه</w:t>
      </w:r>
      <w:r w:rsidRPr="005639FB">
        <w:rPr>
          <w:rFonts w:hint="cs"/>
          <w:rtl/>
        </w:rPr>
        <w:t xml:space="preserve"> </w:t>
      </w:r>
      <w:r w:rsidR="00B04B52" w:rsidRPr="005639FB">
        <w:rPr>
          <w:rFonts w:hint="cs"/>
          <w:rtl/>
        </w:rPr>
        <w:t>في الوقت الحاضر صعوبات</w:t>
      </w:r>
      <w:r w:rsidRPr="005639FB">
        <w:rPr>
          <w:rFonts w:hint="cs"/>
          <w:rtl/>
        </w:rPr>
        <w:t xml:space="preserve"> </w:t>
      </w:r>
      <w:r w:rsidR="00B04B52" w:rsidRPr="005639FB">
        <w:rPr>
          <w:rFonts w:hint="cs"/>
          <w:rtl/>
        </w:rPr>
        <w:t xml:space="preserve">تستدعي </w:t>
      </w:r>
      <w:r w:rsidRPr="005639FB">
        <w:rPr>
          <w:rFonts w:hint="cs"/>
          <w:rtl/>
        </w:rPr>
        <w:t xml:space="preserve">تحويل الرسومات إلى ملفات </w:t>
      </w:r>
      <w:r w:rsidR="00B04B52" w:rsidRPr="005639FB">
        <w:rPr>
          <w:rFonts w:hint="cs"/>
          <w:rtl/>
        </w:rPr>
        <w:t>من نسق</w:t>
      </w:r>
      <w:r w:rsidR="00341B41" w:rsidRPr="005639FB">
        <w:rPr>
          <w:rFonts w:hint="eastAsia"/>
          <w:rtl/>
        </w:rPr>
        <w:t> </w:t>
      </w:r>
      <w:r w:rsidRPr="005639FB">
        <w:rPr>
          <w:rFonts w:hint="cs"/>
        </w:rPr>
        <w:t>TIFF</w:t>
      </w:r>
      <w:r w:rsidR="009A2ABC" w:rsidRPr="005639FB">
        <w:rPr>
          <w:rFonts w:hint="cs"/>
          <w:rtl/>
        </w:rPr>
        <w:t xml:space="preserve"> بالأسود والأبيض. وأشارت إدارة أخرى إلى أهمية إمكانية تبادل </w:t>
      </w:r>
      <w:r w:rsidRPr="005639FB">
        <w:rPr>
          <w:rFonts w:hint="cs"/>
          <w:rtl/>
        </w:rPr>
        <w:t xml:space="preserve">المعلومات </w:t>
      </w:r>
      <w:r w:rsidR="009A2ABC" w:rsidRPr="005639FB">
        <w:rPr>
          <w:rFonts w:hint="cs"/>
          <w:rtl/>
        </w:rPr>
        <w:t>وعرضها بشكل مستقل عن اللغة</w:t>
      </w:r>
      <w:r w:rsidRPr="005639FB">
        <w:rPr>
          <w:rFonts w:hint="cs"/>
          <w:rtl/>
        </w:rPr>
        <w:t>.</w:t>
      </w:r>
    </w:p>
    <w:p w14:paraId="113B8424" w14:textId="037D28FB" w:rsidR="009A2ABC" w:rsidRPr="005639FB" w:rsidRDefault="009A2ABC" w:rsidP="00A513BF">
      <w:pPr>
        <w:pStyle w:val="NumberedParaAR"/>
      </w:pPr>
      <w:r w:rsidRPr="005639FB">
        <w:rPr>
          <w:rFonts w:hint="cs"/>
          <w:rtl/>
        </w:rPr>
        <w:t>وأعربت العديد من الإدارات عن اهتمامها ب</w:t>
      </w:r>
      <w:r w:rsidR="00024193" w:rsidRPr="005639FB">
        <w:rPr>
          <w:rFonts w:hint="cs"/>
          <w:rtl/>
        </w:rPr>
        <w:t>ال</w:t>
      </w:r>
      <w:r w:rsidRPr="005639FB">
        <w:rPr>
          <w:rFonts w:hint="cs"/>
          <w:rtl/>
        </w:rPr>
        <w:t xml:space="preserve">خدمات </w:t>
      </w:r>
      <w:r w:rsidR="007A065F" w:rsidRPr="005639FB">
        <w:rPr>
          <w:rFonts w:hint="cs"/>
          <w:rtl/>
        </w:rPr>
        <w:t>الإلكتروني</w:t>
      </w:r>
      <w:r w:rsidR="00024193" w:rsidRPr="005639FB">
        <w:rPr>
          <w:rFonts w:hint="cs"/>
          <w:rtl/>
        </w:rPr>
        <w:t>ة</w:t>
      </w:r>
      <w:r w:rsidRPr="005639FB">
        <w:rPr>
          <w:rFonts w:hint="cs"/>
          <w:rtl/>
        </w:rPr>
        <w:t>، وأشارت إدارة إلى أنها تدرس بنشاط إمكانية استخدام ال</w:t>
      </w:r>
      <w:r w:rsidR="00024193" w:rsidRPr="005639FB">
        <w:rPr>
          <w:rFonts w:hint="cs"/>
          <w:rtl/>
        </w:rPr>
        <w:t>خدمات</w:t>
      </w:r>
      <w:r w:rsidRPr="005639FB">
        <w:rPr>
          <w:rFonts w:hint="cs"/>
          <w:rtl/>
        </w:rPr>
        <w:t xml:space="preserve"> </w:t>
      </w:r>
      <w:r w:rsidR="007A065F" w:rsidRPr="005639FB">
        <w:rPr>
          <w:rFonts w:hint="cs"/>
          <w:rtl/>
        </w:rPr>
        <w:t>الإلكترونية</w:t>
      </w:r>
      <w:r w:rsidR="00024193" w:rsidRPr="005639FB">
        <w:rPr>
          <w:rFonts w:hint="cs"/>
          <w:rtl/>
        </w:rPr>
        <w:t xml:space="preserve"> كي تشكل </w:t>
      </w:r>
      <w:r w:rsidRPr="005639FB">
        <w:rPr>
          <w:rFonts w:hint="cs"/>
          <w:rtl/>
        </w:rPr>
        <w:t>الخدمات الشبكية لمع</w:t>
      </w:r>
      <w:r w:rsidR="00024193" w:rsidRPr="005639FB">
        <w:rPr>
          <w:rFonts w:hint="cs"/>
          <w:rtl/>
        </w:rPr>
        <w:t>اهدة التعاون بشأن البراءات أساس خدماتها</w:t>
      </w:r>
      <w:r w:rsidRPr="005639FB">
        <w:rPr>
          <w:rFonts w:hint="cs"/>
          <w:rtl/>
        </w:rPr>
        <w:t xml:space="preserve"> </w:t>
      </w:r>
      <w:r w:rsidR="00024193" w:rsidRPr="005639FB">
        <w:rPr>
          <w:rFonts w:hint="cs"/>
          <w:rtl/>
        </w:rPr>
        <w:t>الإيداعية</w:t>
      </w:r>
      <w:r w:rsidR="00024193" w:rsidRPr="005639FB">
        <w:rPr>
          <w:rFonts w:hint="eastAsia"/>
          <w:rtl/>
        </w:rPr>
        <w:t> </w:t>
      </w:r>
      <w:r w:rsidR="00024193" w:rsidRPr="005639FB">
        <w:rPr>
          <w:rFonts w:hint="cs"/>
          <w:rtl/>
        </w:rPr>
        <w:t>الجديدة</w:t>
      </w:r>
      <w:r w:rsidRPr="005639FB">
        <w:rPr>
          <w:rFonts w:hint="cs"/>
          <w:rtl/>
        </w:rPr>
        <w:t>.</w:t>
      </w:r>
    </w:p>
    <w:p w14:paraId="04473789" w14:textId="0156D97F" w:rsidR="009A2ABC" w:rsidRPr="005639FB" w:rsidRDefault="00024193" w:rsidP="00A513BF">
      <w:pPr>
        <w:pStyle w:val="NumberedParaAR"/>
      </w:pPr>
      <w:r w:rsidRPr="005639FB">
        <w:rPr>
          <w:rFonts w:hint="cs"/>
          <w:rtl/>
        </w:rPr>
        <w:t>ورأ</w:t>
      </w:r>
      <w:r w:rsidR="009A2ABC" w:rsidRPr="005639FB">
        <w:rPr>
          <w:rFonts w:hint="cs"/>
          <w:rtl/>
        </w:rPr>
        <w:t xml:space="preserve">ت عدة </w:t>
      </w:r>
      <w:r w:rsidRPr="005639FB">
        <w:rPr>
          <w:rFonts w:hint="cs"/>
          <w:rtl/>
        </w:rPr>
        <w:t>إدارات أن أدوات ال</w:t>
      </w:r>
      <w:r w:rsidR="009A2ABC" w:rsidRPr="005639FB">
        <w:rPr>
          <w:rFonts w:hint="cs"/>
          <w:rtl/>
        </w:rPr>
        <w:t xml:space="preserve">إبلاغ </w:t>
      </w:r>
      <w:r w:rsidRPr="005639FB">
        <w:rPr>
          <w:rFonts w:hint="cs"/>
          <w:rtl/>
        </w:rPr>
        <w:t>في الخدمات الشبكية لمعاهدة التعاون بشأن البراءات تقدم</w:t>
      </w:r>
      <w:r w:rsidR="009A2ABC" w:rsidRPr="005639FB">
        <w:rPr>
          <w:rFonts w:hint="cs"/>
          <w:rtl/>
        </w:rPr>
        <w:t xml:space="preserve"> فوائد كبيرة. </w:t>
      </w:r>
      <w:r w:rsidRPr="005639FB">
        <w:rPr>
          <w:rFonts w:hint="cs"/>
          <w:rtl/>
        </w:rPr>
        <w:t>وطلبت</w:t>
      </w:r>
      <w:r w:rsidR="009A2ABC" w:rsidRPr="005639FB">
        <w:rPr>
          <w:rFonts w:hint="cs"/>
          <w:rtl/>
        </w:rPr>
        <w:t xml:space="preserve"> </w:t>
      </w:r>
      <w:r w:rsidRPr="005639FB">
        <w:rPr>
          <w:rFonts w:hint="cs"/>
          <w:rtl/>
        </w:rPr>
        <w:t xml:space="preserve">إحدى الإدارات إضافة </w:t>
      </w:r>
      <w:r w:rsidR="009A2ABC" w:rsidRPr="005639FB">
        <w:rPr>
          <w:rFonts w:hint="cs"/>
          <w:rtl/>
        </w:rPr>
        <w:t xml:space="preserve">المزيد من وظائف </w:t>
      </w:r>
      <w:r w:rsidRPr="005639FB">
        <w:rPr>
          <w:rFonts w:hint="cs"/>
          <w:rtl/>
        </w:rPr>
        <w:t>الإبلاغ بشأن تقارير ال</w:t>
      </w:r>
      <w:r w:rsidR="009A2ABC" w:rsidRPr="005639FB">
        <w:rPr>
          <w:rFonts w:hint="cs"/>
          <w:rtl/>
        </w:rPr>
        <w:t>فصل الثاني</w:t>
      </w:r>
      <w:r w:rsidRPr="005639FB">
        <w:rPr>
          <w:rFonts w:hint="cs"/>
          <w:rtl/>
        </w:rPr>
        <w:t xml:space="preserve"> المعلقة</w:t>
      </w:r>
      <w:r w:rsidR="009A2ABC" w:rsidRPr="005639FB">
        <w:rPr>
          <w:rFonts w:hint="cs"/>
          <w:rtl/>
        </w:rPr>
        <w:t>.</w:t>
      </w:r>
    </w:p>
    <w:p w14:paraId="2AD3313D" w14:textId="6B4D686C" w:rsidR="009A2ABC" w:rsidRPr="005639FB" w:rsidRDefault="00024193" w:rsidP="00A513BF">
      <w:pPr>
        <w:pStyle w:val="NumberedParaAR"/>
      </w:pPr>
      <w:r w:rsidRPr="005639FB">
        <w:rPr>
          <w:rFonts w:hint="cs"/>
          <w:rtl/>
        </w:rPr>
        <w:t>وأشارت عدة إدار</w:t>
      </w:r>
      <w:r w:rsidR="009A2ABC" w:rsidRPr="005639FB">
        <w:rPr>
          <w:rFonts w:hint="cs"/>
          <w:rtl/>
        </w:rPr>
        <w:t xml:space="preserve">ات </w:t>
      </w:r>
      <w:r w:rsidRPr="005639FB">
        <w:rPr>
          <w:rFonts w:hint="cs"/>
          <w:rtl/>
        </w:rPr>
        <w:t>إلى أنها تستخدم</w:t>
      </w:r>
      <w:r w:rsidR="009A2ABC" w:rsidRPr="005639FB">
        <w:rPr>
          <w:rFonts w:hint="cs"/>
          <w:rtl/>
        </w:rPr>
        <w:t xml:space="preserve"> </w:t>
      </w:r>
      <w:r w:rsidR="006C5BF5" w:rsidRPr="005639FB">
        <w:rPr>
          <w:rFonts w:hint="cs"/>
          <w:rtl/>
        </w:rPr>
        <w:t xml:space="preserve">الخدمات الشبكية لمعظم وظائف مكتب تسلم الطلبات، وأن هذه الخدمات </w:t>
      </w:r>
      <w:proofErr w:type="spellStart"/>
      <w:r w:rsidR="006C5BF5" w:rsidRPr="005639FB">
        <w:rPr>
          <w:rFonts w:hint="cs"/>
          <w:rtl/>
        </w:rPr>
        <w:t>ت</w:t>
      </w:r>
      <w:r w:rsidR="00DC7257" w:rsidRPr="005639FB">
        <w:rPr>
          <w:rFonts w:hint="cs"/>
          <w:rtl/>
        </w:rPr>
        <w:t>ُ</w:t>
      </w:r>
      <w:r w:rsidR="006C5BF5" w:rsidRPr="005639FB">
        <w:rPr>
          <w:rFonts w:hint="cs"/>
          <w:rtl/>
        </w:rPr>
        <w:t>فيدها</w:t>
      </w:r>
      <w:proofErr w:type="spellEnd"/>
      <w:r w:rsidR="009A2ABC" w:rsidRPr="005639FB">
        <w:rPr>
          <w:rFonts w:hint="cs"/>
          <w:rtl/>
        </w:rPr>
        <w:t xml:space="preserve"> و</w:t>
      </w:r>
      <w:r w:rsidR="006C5BF5" w:rsidRPr="005639FB">
        <w:rPr>
          <w:rFonts w:hint="cs"/>
          <w:rtl/>
        </w:rPr>
        <w:t>تحظى بتقدير المودع</w:t>
      </w:r>
      <w:r w:rsidR="009A2ABC" w:rsidRPr="005639FB">
        <w:rPr>
          <w:rFonts w:hint="cs"/>
          <w:rtl/>
        </w:rPr>
        <w:t xml:space="preserve">ين. </w:t>
      </w:r>
      <w:r w:rsidR="006C5BF5" w:rsidRPr="005639FB">
        <w:rPr>
          <w:rFonts w:hint="cs"/>
          <w:rtl/>
        </w:rPr>
        <w:t>وتستخدم بعض</w:t>
      </w:r>
      <w:r w:rsidR="009A2ABC" w:rsidRPr="005639FB">
        <w:rPr>
          <w:rFonts w:hint="cs"/>
          <w:rtl/>
        </w:rPr>
        <w:t xml:space="preserve"> </w:t>
      </w:r>
      <w:r w:rsidR="006C5BF5" w:rsidRPr="005639FB">
        <w:rPr>
          <w:rFonts w:hint="cs"/>
          <w:rtl/>
        </w:rPr>
        <w:t xml:space="preserve">الإدارات الخدمات الشبكية للبلاغات ضمن دورها كإدارة </w:t>
      </w:r>
      <w:r w:rsidR="009A2ABC" w:rsidRPr="005639FB">
        <w:rPr>
          <w:rFonts w:hint="cs"/>
          <w:rtl/>
        </w:rPr>
        <w:t xml:space="preserve">دولية. </w:t>
      </w:r>
      <w:r w:rsidR="00DC7257" w:rsidRPr="005639FB">
        <w:rPr>
          <w:rFonts w:hint="cs"/>
          <w:rtl/>
        </w:rPr>
        <w:t>وأضافت</w:t>
      </w:r>
      <w:r w:rsidR="006C5BF5" w:rsidRPr="005639FB">
        <w:rPr>
          <w:rFonts w:hint="cs"/>
          <w:rtl/>
        </w:rPr>
        <w:t xml:space="preserve"> الإدارات أن التعاون مطلوب من أجل </w:t>
      </w:r>
      <w:r w:rsidR="009A2ABC" w:rsidRPr="005639FB">
        <w:rPr>
          <w:rFonts w:hint="cs"/>
          <w:rtl/>
        </w:rPr>
        <w:t xml:space="preserve">تقديم تقارير البحث الدولي والآراء مكتوبة </w:t>
      </w:r>
      <w:r w:rsidR="006C5BF5" w:rsidRPr="005639FB">
        <w:rPr>
          <w:rFonts w:hint="cs"/>
          <w:rtl/>
        </w:rPr>
        <w:t>ب</w:t>
      </w:r>
      <w:r w:rsidR="006C5BF5" w:rsidRPr="005639FB">
        <w:rPr>
          <w:rtl/>
        </w:rPr>
        <w:t>نسق </w:t>
      </w:r>
      <w:r w:rsidR="006C5BF5" w:rsidRPr="005639FB">
        <w:t>XML</w:t>
      </w:r>
      <w:r w:rsidR="006C5BF5" w:rsidRPr="005639FB">
        <w:rPr>
          <w:rtl/>
        </w:rPr>
        <w:t xml:space="preserve"> </w:t>
      </w:r>
      <w:r w:rsidR="009A2ABC" w:rsidRPr="005639FB">
        <w:rPr>
          <w:rFonts w:hint="cs"/>
          <w:rtl/>
        </w:rPr>
        <w:t>بشكل فعال.</w:t>
      </w:r>
    </w:p>
    <w:p w14:paraId="59813432" w14:textId="52BE4B52" w:rsidR="009A2ABC" w:rsidRPr="005639FB" w:rsidRDefault="00A56DA0" w:rsidP="00A513BF">
      <w:pPr>
        <w:pStyle w:val="NumberedParaAR"/>
      </w:pPr>
      <w:r w:rsidRPr="005639FB">
        <w:rPr>
          <w:rFonts w:hint="cs"/>
          <w:rtl/>
        </w:rPr>
        <w:t>و</w:t>
      </w:r>
      <w:r w:rsidR="006C5BF5" w:rsidRPr="005639FB">
        <w:rPr>
          <w:rFonts w:hint="cs"/>
          <w:rtl/>
        </w:rPr>
        <w:t xml:space="preserve">بشكل عام، فإن معظم المكاتب التي تستخدم </w:t>
      </w:r>
      <w:r w:rsidR="006C5BF5" w:rsidRPr="005639FB">
        <w:rPr>
          <w:rtl/>
        </w:rPr>
        <w:t xml:space="preserve">خدمات نظام المعاهدة </w:t>
      </w:r>
      <w:r w:rsidR="007A065F" w:rsidRPr="005639FB">
        <w:rPr>
          <w:rtl/>
        </w:rPr>
        <w:t>الإلكتروني</w:t>
      </w:r>
      <w:r w:rsidR="006C5BF5" w:rsidRPr="005639FB">
        <w:rPr>
          <w:rtl/>
        </w:rPr>
        <w:t xml:space="preserve"> (</w:t>
      </w:r>
      <w:proofErr w:type="spellStart"/>
      <w:r w:rsidR="006C5BF5" w:rsidRPr="005639FB">
        <w:t>ePCT</w:t>
      </w:r>
      <w:proofErr w:type="spellEnd"/>
      <w:r w:rsidR="006C5BF5" w:rsidRPr="005639FB">
        <w:rPr>
          <w:rtl/>
        </w:rPr>
        <w:t>) القائمة على برنامج التصفح</w:t>
      </w:r>
      <w:r w:rsidR="00D92F1E" w:rsidRPr="005639FB">
        <w:rPr>
          <w:rFonts w:hint="cs"/>
          <w:rtl/>
        </w:rPr>
        <w:t xml:space="preserve"> أُعج</w:t>
      </w:r>
      <w:r w:rsidR="006C5BF5" w:rsidRPr="005639FB">
        <w:rPr>
          <w:rFonts w:hint="cs"/>
          <w:rtl/>
        </w:rPr>
        <w:t>ب</w:t>
      </w:r>
      <w:r w:rsidR="00D92F1E" w:rsidRPr="005639FB">
        <w:rPr>
          <w:rFonts w:hint="cs"/>
          <w:rtl/>
        </w:rPr>
        <w:t xml:space="preserve">ت به، إلا أنها </w:t>
      </w:r>
      <w:r w:rsidR="006C5BF5" w:rsidRPr="005639FB">
        <w:rPr>
          <w:rFonts w:hint="cs"/>
          <w:rtl/>
        </w:rPr>
        <w:t>ر</w:t>
      </w:r>
      <w:r w:rsidR="00D92F1E" w:rsidRPr="005639FB">
        <w:rPr>
          <w:rFonts w:hint="cs"/>
          <w:rtl/>
        </w:rPr>
        <w:t>أ</w:t>
      </w:r>
      <w:r w:rsidR="006C5BF5" w:rsidRPr="005639FB">
        <w:rPr>
          <w:rFonts w:hint="cs"/>
          <w:rtl/>
        </w:rPr>
        <w:t xml:space="preserve">ت أن </w:t>
      </w:r>
      <w:r w:rsidR="00D92F1E" w:rsidRPr="005639FB">
        <w:rPr>
          <w:rFonts w:hint="cs"/>
          <w:rtl/>
        </w:rPr>
        <w:t>التحسين</w:t>
      </w:r>
      <w:r w:rsidR="006C5BF5" w:rsidRPr="005639FB">
        <w:rPr>
          <w:rFonts w:hint="cs"/>
          <w:rtl/>
        </w:rPr>
        <w:t xml:space="preserve"> </w:t>
      </w:r>
      <w:r w:rsidR="00D92F1E" w:rsidRPr="005639FB">
        <w:rPr>
          <w:rFonts w:hint="cs"/>
          <w:rtl/>
        </w:rPr>
        <w:t xml:space="preserve">ممكن </w:t>
      </w:r>
      <w:r w:rsidR="006C5BF5" w:rsidRPr="005639FB">
        <w:rPr>
          <w:rFonts w:hint="cs"/>
          <w:rtl/>
        </w:rPr>
        <w:t xml:space="preserve">في مجال التدريب والمعلومات المتعلقة </w:t>
      </w:r>
      <w:r w:rsidR="00D92F1E" w:rsidRPr="005639FB">
        <w:rPr>
          <w:rFonts w:hint="cs"/>
          <w:rtl/>
        </w:rPr>
        <w:t>بالو</w:t>
      </w:r>
      <w:r w:rsidR="006C5BF5" w:rsidRPr="005639FB">
        <w:rPr>
          <w:rFonts w:hint="cs"/>
          <w:rtl/>
        </w:rPr>
        <w:t xml:space="preserve">ظائف </w:t>
      </w:r>
      <w:r w:rsidR="00D92F1E" w:rsidRPr="005639FB">
        <w:rPr>
          <w:rFonts w:hint="cs"/>
          <w:rtl/>
        </w:rPr>
        <w:t>الجديدة لل</w:t>
      </w:r>
      <w:r w:rsidR="006C5BF5" w:rsidRPr="005639FB">
        <w:rPr>
          <w:rFonts w:hint="cs"/>
          <w:rtl/>
        </w:rPr>
        <w:t>مكاتب والمتقدمين</w:t>
      </w:r>
      <w:r w:rsidR="00D92F1E" w:rsidRPr="005639FB">
        <w:rPr>
          <w:rFonts w:hint="cs"/>
          <w:rtl/>
        </w:rPr>
        <w:t xml:space="preserve"> على حد سواء</w:t>
      </w:r>
      <w:r w:rsidR="006C5BF5" w:rsidRPr="005639FB">
        <w:rPr>
          <w:rFonts w:hint="cs"/>
          <w:rtl/>
        </w:rPr>
        <w:t>.</w:t>
      </w:r>
    </w:p>
    <w:p w14:paraId="6CBDCC0D" w14:textId="77777777" w:rsidR="00526439" w:rsidRPr="005639FB" w:rsidRDefault="00D92F1E" w:rsidP="00A513BF">
      <w:pPr>
        <w:pStyle w:val="NumberedParaAR"/>
        <w:ind w:left="1440" w:hanging="720"/>
      </w:pPr>
      <w:r w:rsidRPr="005639FB">
        <w:rPr>
          <w:rFonts w:hint="cs"/>
          <w:rtl/>
        </w:rPr>
        <w:t xml:space="preserve">إن </w:t>
      </w:r>
      <w:r w:rsidR="00526439" w:rsidRPr="005639FB">
        <w:rPr>
          <w:rFonts w:hint="cs"/>
          <w:rtl/>
        </w:rPr>
        <w:t>الاجتماع:</w:t>
      </w:r>
    </w:p>
    <w:p w14:paraId="064BCE14" w14:textId="3D9087FD" w:rsidR="00D92F1E" w:rsidRPr="005639FB" w:rsidRDefault="00D92F1E" w:rsidP="00A513BF">
      <w:pPr>
        <w:pStyle w:val="NumberedParaAR"/>
        <w:numPr>
          <w:ilvl w:val="0"/>
          <w:numId w:val="0"/>
        </w:numPr>
        <w:ind w:left="2155" w:hanging="720"/>
      </w:pPr>
      <w:r w:rsidRPr="005639FB">
        <w:rPr>
          <w:rFonts w:hint="cs"/>
          <w:rtl/>
        </w:rPr>
        <w:t>(أ)</w:t>
      </w:r>
      <w:r w:rsidRPr="005639FB">
        <w:rPr>
          <w:rtl/>
        </w:rPr>
        <w:tab/>
      </w:r>
      <w:r w:rsidRPr="005639FB">
        <w:rPr>
          <w:rFonts w:hint="cs"/>
          <w:rtl/>
        </w:rPr>
        <w:t>أحاط علما بالتطورات الأخيرة في الخدمات الشبكية لمعاهدة التعاون بشأن البراءات؛</w:t>
      </w:r>
    </w:p>
    <w:p w14:paraId="173F1FD2" w14:textId="77777777" w:rsidR="00D92F1E" w:rsidRPr="005639FB" w:rsidRDefault="00D92F1E" w:rsidP="00A513BF">
      <w:pPr>
        <w:pStyle w:val="NumberedParaAR"/>
        <w:numPr>
          <w:ilvl w:val="0"/>
          <w:numId w:val="0"/>
        </w:numPr>
        <w:ind w:left="1440"/>
        <w:rPr>
          <w:rtl/>
        </w:rPr>
      </w:pPr>
      <w:r w:rsidRPr="005639FB">
        <w:rPr>
          <w:rFonts w:hint="cs"/>
          <w:rtl/>
        </w:rPr>
        <w:t>(ب)</w:t>
      </w:r>
      <w:r w:rsidRPr="005639FB">
        <w:rPr>
          <w:rtl/>
        </w:rPr>
        <w:tab/>
      </w:r>
      <w:r w:rsidRPr="005639FB">
        <w:rPr>
          <w:rFonts w:hint="cs"/>
          <w:rtl/>
        </w:rPr>
        <w:t>أعرب عن رضاه بتوجهات التنمية المستقبلية؛</w:t>
      </w:r>
    </w:p>
    <w:p w14:paraId="4A8CA769" w14:textId="1BD5A097" w:rsidR="00526439" w:rsidRPr="005639FB" w:rsidRDefault="00D92F1E" w:rsidP="00030DC5">
      <w:pPr>
        <w:pStyle w:val="NumberedParaAR"/>
        <w:numPr>
          <w:ilvl w:val="0"/>
          <w:numId w:val="0"/>
        </w:numPr>
        <w:ind w:left="1440"/>
        <w:rPr>
          <w:rtl/>
        </w:rPr>
      </w:pPr>
      <w:r w:rsidRPr="005639FB">
        <w:rPr>
          <w:rFonts w:hint="cs"/>
          <w:rtl/>
        </w:rPr>
        <w:t>(ج)</w:t>
      </w:r>
      <w:r w:rsidRPr="005639FB">
        <w:rPr>
          <w:rtl/>
        </w:rPr>
        <w:tab/>
      </w:r>
      <w:r w:rsidRPr="005639FB">
        <w:rPr>
          <w:rFonts w:hint="cs"/>
          <w:rtl/>
        </w:rPr>
        <w:t>وأشار إلى ضرورة النظر بعناية في التخطيط لو</w:t>
      </w:r>
      <w:r w:rsidR="00526439" w:rsidRPr="005639FB">
        <w:rPr>
          <w:rFonts w:hint="cs"/>
          <w:rtl/>
        </w:rPr>
        <w:t>قف العمل ب</w:t>
      </w:r>
      <w:r w:rsidR="00526439" w:rsidRPr="005639FB">
        <w:rPr>
          <w:rtl/>
        </w:rPr>
        <w:t xml:space="preserve">برنامج </w:t>
      </w:r>
      <w:r w:rsidR="00030DC5" w:rsidRPr="005639FB">
        <w:rPr>
          <w:rFonts w:hint="cs"/>
          <w:rtl/>
          <w:lang w:val="fr-FR" w:bidi="ar-EG"/>
        </w:rPr>
        <w:t xml:space="preserve">الويبو </w:t>
      </w:r>
      <w:r w:rsidR="00030DC5" w:rsidRPr="005639FB">
        <w:rPr>
          <w:rFonts w:hint="cs"/>
          <w:rtl/>
          <w:lang w:bidi="ar-EG"/>
        </w:rPr>
        <w:t>لل</w:t>
      </w:r>
      <w:r w:rsidR="00030DC5" w:rsidRPr="005639FB">
        <w:rPr>
          <w:rtl/>
        </w:rPr>
        <w:t xml:space="preserve">إيداع </w:t>
      </w:r>
      <w:r w:rsidR="007A065F" w:rsidRPr="005639FB">
        <w:rPr>
          <w:rtl/>
        </w:rPr>
        <w:t>الإلكتروني</w:t>
      </w:r>
      <w:r w:rsidR="005639FB" w:rsidRPr="005639FB">
        <w:rPr>
          <w:rtl/>
        </w:rPr>
        <w:t xml:space="preserve"> </w:t>
      </w:r>
      <w:r w:rsidR="00030DC5" w:rsidRPr="005639FB">
        <w:rPr>
          <w:rtl/>
        </w:rPr>
        <w:t>الآمن للطلبات</w:t>
      </w:r>
      <w:r w:rsidR="00DC7257" w:rsidRPr="005639FB">
        <w:rPr>
          <w:rFonts w:hint="cs"/>
          <w:rtl/>
        </w:rPr>
        <w:t> </w:t>
      </w:r>
      <w:r w:rsidR="00526439" w:rsidRPr="005639FB">
        <w:rPr>
          <w:rtl/>
        </w:rPr>
        <w:t>(</w:t>
      </w:r>
      <w:r w:rsidR="00526439" w:rsidRPr="005639FB">
        <w:t>PCT-SAFE</w:t>
      </w:r>
      <w:r w:rsidR="00526439" w:rsidRPr="005639FB">
        <w:rPr>
          <w:rtl/>
        </w:rPr>
        <w:t>)</w:t>
      </w:r>
      <w:r w:rsidR="00526439" w:rsidRPr="005639FB">
        <w:rPr>
          <w:rFonts w:hint="cs"/>
          <w:rtl/>
        </w:rPr>
        <w:t xml:space="preserve"> والتشاور مع مكاتب</w:t>
      </w:r>
      <w:r w:rsidRPr="005639FB">
        <w:rPr>
          <w:rFonts w:hint="cs"/>
          <w:rtl/>
        </w:rPr>
        <w:t xml:space="preserve"> </w:t>
      </w:r>
      <w:r w:rsidR="00526439" w:rsidRPr="005639FB">
        <w:rPr>
          <w:rFonts w:hint="cs"/>
          <w:rtl/>
        </w:rPr>
        <w:t>تسلم الطلبات لهذا الغرض؛</w:t>
      </w:r>
    </w:p>
    <w:p w14:paraId="19C723E3" w14:textId="71AEEAD4" w:rsidR="00D92F1E" w:rsidRPr="005639FB" w:rsidRDefault="00526439" w:rsidP="00A513BF">
      <w:pPr>
        <w:pStyle w:val="NumberedParaAR"/>
        <w:numPr>
          <w:ilvl w:val="0"/>
          <w:numId w:val="0"/>
        </w:numPr>
        <w:ind w:left="1440"/>
      </w:pPr>
      <w:r w:rsidRPr="005639FB">
        <w:rPr>
          <w:rFonts w:hint="cs"/>
          <w:rtl/>
        </w:rPr>
        <w:lastRenderedPageBreak/>
        <w:t>(د)</w:t>
      </w:r>
      <w:r w:rsidRPr="005639FB">
        <w:rPr>
          <w:rtl/>
        </w:rPr>
        <w:tab/>
      </w:r>
      <w:r w:rsidRPr="005639FB">
        <w:rPr>
          <w:rFonts w:hint="cs"/>
          <w:rtl/>
        </w:rPr>
        <w:t>وأحاط علما بتوصيات المكتب الدولي للإدارات الدولية</w:t>
      </w:r>
      <w:r w:rsidR="00D92F1E" w:rsidRPr="005639FB">
        <w:rPr>
          <w:rFonts w:hint="cs"/>
          <w:rtl/>
        </w:rPr>
        <w:t xml:space="preserve"> ب</w:t>
      </w:r>
      <w:r w:rsidRPr="005639FB">
        <w:rPr>
          <w:rFonts w:hint="cs"/>
          <w:rtl/>
        </w:rPr>
        <w:t>شأن أنشطتها</w:t>
      </w:r>
      <w:r w:rsidR="00D92F1E" w:rsidRPr="005639FB">
        <w:rPr>
          <w:rFonts w:hint="cs"/>
          <w:rtl/>
        </w:rPr>
        <w:t xml:space="preserve"> وخدماتها للتفاعل مع خدمات</w:t>
      </w:r>
      <w:r w:rsidRPr="005639FB">
        <w:rPr>
          <w:rFonts w:hint="cs"/>
          <w:rtl/>
        </w:rPr>
        <w:t xml:space="preserve"> المكتب الدولي </w:t>
      </w:r>
      <w:r w:rsidR="007A065F" w:rsidRPr="005639FB">
        <w:rPr>
          <w:rFonts w:hint="cs"/>
          <w:rtl/>
        </w:rPr>
        <w:t>الإلكترونية</w:t>
      </w:r>
      <w:r w:rsidR="00D92F1E" w:rsidRPr="005639FB">
        <w:rPr>
          <w:rFonts w:hint="cs"/>
          <w:rtl/>
        </w:rPr>
        <w:t>.</w:t>
      </w:r>
    </w:p>
    <w:p w14:paraId="1150F01A" w14:textId="19C88B70" w:rsidR="00AA70FE" w:rsidRPr="005639FB" w:rsidRDefault="0053242E" w:rsidP="00A513BF">
      <w:pPr>
        <w:pStyle w:val="Heading1AR"/>
        <w:spacing w:after="240" w:line="360" w:lineRule="exact"/>
      </w:pPr>
      <w:r w:rsidRPr="005639FB">
        <w:rPr>
          <w:rFonts w:hint="cs"/>
          <w:rtl/>
        </w:rPr>
        <w:t xml:space="preserve">البند </w:t>
      </w:r>
      <w:r w:rsidR="009475E3" w:rsidRPr="005639FB">
        <w:rPr>
          <w:rFonts w:hint="cs"/>
          <w:rtl/>
        </w:rPr>
        <w:t xml:space="preserve">7: </w:t>
      </w:r>
      <w:r w:rsidR="009475E3" w:rsidRPr="005639FB">
        <w:rPr>
          <w:rtl/>
        </w:rPr>
        <w:t xml:space="preserve">نسخة البحث </w:t>
      </w:r>
      <w:r w:rsidR="007A065F" w:rsidRPr="005639FB">
        <w:rPr>
          <w:rtl/>
        </w:rPr>
        <w:t>الإلكترونية</w:t>
      </w:r>
      <w:r w:rsidR="009475E3" w:rsidRPr="005639FB">
        <w:rPr>
          <w:rFonts w:hint="cs"/>
          <w:rtl/>
        </w:rPr>
        <w:t xml:space="preserve"> (</w:t>
      </w:r>
      <w:proofErr w:type="spellStart"/>
      <w:r w:rsidR="009475E3" w:rsidRPr="005639FB">
        <w:rPr>
          <w:b/>
          <w:bCs w:val="0"/>
        </w:rPr>
        <w:t>eSearchCopy</w:t>
      </w:r>
      <w:proofErr w:type="spellEnd"/>
      <w:r w:rsidR="009475E3" w:rsidRPr="005639FB">
        <w:rPr>
          <w:rFonts w:hint="cs"/>
          <w:rtl/>
        </w:rPr>
        <w:t>)</w:t>
      </w:r>
    </w:p>
    <w:p w14:paraId="6917DC1A" w14:textId="4B97E194" w:rsidR="00AA70FE" w:rsidRPr="005639FB" w:rsidRDefault="00AA70FE" w:rsidP="00A513BF">
      <w:pPr>
        <w:pStyle w:val="NumberedParaAR"/>
      </w:pPr>
      <w:r w:rsidRPr="005639FB">
        <w:rPr>
          <w:rtl/>
        </w:rPr>
        <w:t>استندت المناقشات إلى الوثيق</w:t>
      </w:r>
      <w:r w:rsidR="0089257E" w:rsidRPr="005639FB">
        <w:rPr>
          <w:rtl/>
        </w:rPr>
        <w:t>تين</w:t>
      </w:r>
      <w:r w:rsidRPr="005639FB">
        <w:rPr>
          <w:rtl/>
        </w:rPr>
        <w:t xml:space="preserve"> </w:t>
      </w:r>
      <w:r w:rsidRPr="005639FB">
        <w:t>PCT/MIA/24/7</w:t>
      </w:r>
      <w:r w:rsidR="00E21B64" w:rsidRPr="005639FB">
        <w:rPr>
          <w:rtl/>
        </w:rPr>
        <w:t xml:space="preserve"> و</w:t>
      </w:r>
      <w:r w:rsidR="00E21B64" w:rsidRPr="005639FB">
        <w:t>PCT/MIA/24/10</w:t>
      </w:r>
      <w:r w:rsidR="00E21B64" w:rsidRPr="005639FB">
        <w:rPr>
          <w:rtl/>
          <w:lang w:val="fr-FR" w:bidi="ar-EG"/>
        </w:rPr>
        <w:t>.</w:t>
      </w:r>
    </w:p>
    <w:p w14:paraId="02A43D0E" w14:textId="1503D3F7" w:rsidR="00526439" w:rsidRPr="005639FB" w:rsidRDefault="00536D9F" w:rsidP="00A513BF">
      <w:pPr>
        <w:pStyle w:val="NumberedParaAR"/>
      </w:pPr>
      <w:r w:rsidRPr="005639FB">
        <w:rPr>
          <w:rFonts w:hint="cs"/>
          <w:rtl/>
        </w:rPr>
        <w:t>وأفاد المكتب الدولي بأنّ</w:t>
      </w:r>
      <w:r w:rsidR="00526439" w:rsidRPr="005639FB">
        <w:rPr>
          <w:rFonts w:hint="cs"/>
          <w:rtl/>
        </w:rPr>
        <w:t xml:space="preserve"> </w:t>
      </w:r>
      <w:r w:rsidRPr="005639FB">
        <w:rPr>
          <w:rFonts w:hint="cs"/>
          <w:rtl/>
        </w:rPr>
        <w:t>13 زو</w:t>
      </w:r>
      <w:r w:rsidR="00526439" w:rsidRPr="005639FB">
        <w:rPr>
          <w:rFonts w:hint="cs"/>
          <w:rtl/>
        </w:rPr>
        <w:t>ج</w:t>
      </w:r>
      <w:r w:rsidRPr="005639FB">
        <w:rPr>
          <w:rFonts w:hint="cs"/>
          <w:rtl/>
        </w:rPr>
        <w:t>ا إضافيا</w:t>
      </w:r>
      <w:r w:rsidR="00526439" w:rsidRPr="005639FB">
        <w:rPr>
          <w:rFonts w:hint="cs"/>
          <w:rtl/>
        </w:rPr>
        <w:t xml:space="preserve"> </w:t>
      </w:r>
      <w:r w:rsidRPr="005639FB">
        <w:rPr>
          <w:rFonts w:hint="cs"/>
          <w:rtl/>
        </w:rPr>
        <w:t xml:space="preserve">من </w:t>
      </w:r>
      <w:r w:rsidR="00526439" w:rsidRPr="005639FB">
        <w:rPr>
          <w:rFonts w:hint="cs"/>
          <w:rtl/>
        </w:rPr>
        <w:t xml:space="preserve">مكاتب </w:t>
      </w:r>
      <w:r w:rsidRPr="005639FB">
        <w:rPr>
          <w:rFonts w:hint="cs"/>
          <w:rtl/>
        </w:rPr>
        <w:t xml:space="preserve">تسلم الطلبات </w:t>
      </w:r>
      <w:r w:rsidR="00526439" w:rsidRPr="005639FB">
        <w:rPr>
          <w:rFonts w:hint="cs"/>
          <w:rtl/>
        </w:rPr>
        <w:t>وإدارات</w:t>
      </w:r>
      <w:r w:rsidRPr="005639FB">
        <w:rPr>
          <w:rFonts w:hint="cs"/>
          <w:rtl/>
        </w:rPr>
        <w:t xml:space="preserve"> البحث الدولية قد بدأت </w:t>
      </w:r>
      <w:r w:rsidR="00526439" w:rsidRPr="005639FB">
        <w:rPr>
          <w:rFonts w:hint="cs"/>
          <w:rtl/>
        </w:rPr>
        <w:t xml:space="preserve">تبادل </w:t>
      </w:r>
      <w:r w:rsidRPr="005639FB">
        <w:rPr>
          <w:rFonts w:hint="cs"/>
          <w:rtl/>
        </w:rPr>
        <w:t>الوثائق أو خصص لها تاريخ</w:t>
      </w:r>
      <w:r w:rsidR="00526439" w:rsidRPr="005639FB">
        <w:rPr>
          <w:rFonts w:hint="cs"/>
          <w:rtl/>
        </w:rPr>
        <w:t xml:space="preserve"> </w:t>
      </w:r>
      <w:r w:rsidRPr="005639FB">
        <w:rPr>
          <w:rFonts w:hint="cs"/>
          <w:rtl/>
        </w:rPr>
        <w:t>محدد منذ إعداد الوثيقة،</w:t>
      </w:r>
      <w:r w:rsidR="00526439" w:rsidRPr="005639FB">
        <w:rPr>
          <w:rFonts w:hint="cs"/>
          <w:rtl/>
        </w:rPr>
        <w:t xml:space="preserve"> </w:t>
      </w:r>
      <w:r w:rsidRPr="005639FB">
        <w:rPr>
          <w:rFonts w:hint="cs"/>
          <w:rtl/>
        </w:rPr>
        <w:t>إضافة إلى</w:t>
      </w:r>
      <w:r w:rsidR="00526439" w:rsidRPr="005639FB">
        <w:rPr>
          <w:rFonts w:hint="cs"/>
          <w:rtl/>
        </w:rPr>
        <w:t xml:space="preserve"> </w:t>
      </w:r>
      <w:r w:rsidRPr="005639FB">
        <w:rPr>
          <w:rFonts w:hint="cs"/>
          <w:rtl/>
        </w:rPr>
        <w:t xml:space="preserve">تلك المذكورة في المرفق الأول </w:t>
      </w:r>
      <w:r w:rsidR="00526439" w:rsidRPr="005639FB">
        <w:rPr>
          <w:rFonts w:hint="cs"/>
          <w:rtl/>
        </w:rPr>
        <w:t>ل</w:t>
      </w:r>
      <w:r w:rsidRPr="005639FB">
        <w:rPr>
          <w:rFonts w:hint="cs"/>
          <w:rtl/>
        </w:rPr>
        <w:t>ل</w:t>
      </w:r>
      <w:r w:rsidR="00526439" w:rsidRPr="005639FB">
        <w:rPr>
          <w:rFonts w:hint="cs"/>
          <w:rtl/>
        </w:rPr>
        <w:t>وثيقة</w:t>
      </w:r>
      <w:r w:rsidRPr="005639FB">
        <w:rPr>
          <w:rFonts w:hint="cs"/>
          <w:rtl/>
        </w:rPr>
        <w:t xml:space="preserve"> </w:t>
      </w:r>
      <w:r w:rsidRPr="005639FB">
        <w:t>PCT/MIA/24/10</w:t>
      </w:r>
      <w:r w:rsidRPr="005639FB">
        <w:rPr>
          <w:rFonts w:hint="cs"/>
          <w:rtl/>
        </w:rPr>
        <w:t>.</w:t>
      </w:r>
    </w:p>
    <w:p w14:paraId="4EE763D3" w14:textId="26AF1926" w:rsidR="00536D9F" w:rsidRPr="005639FB" w:rsidRDefault="006474BD" w:rsidP="00030DC5">
      <w:pPr>
        <w:pStyle w:val="NumberedParaAR"/>
      </w:pPr>
      <w:r w:rsidRPr="005639FB">
        <w:rPr>
          <w:rFonts w:hint="cs"/>
          <w:rtl/>
          <w:lang w:bidi="ar-SY"/>
        </w:rPr>
        <w:t>و</w:t>
      </w:r>
      <w:r w:rsidR="00536D9F" w:rsidRPr="005639FB">
        <w:rPr>
          <w:rFonts w:hint="cs"/>
          <w:rtl/>
        </w:rPr>
        <w:t xml:space="preserve">أفاد </w:t>
      </w:r>
      <w:r w:rsidRPr="005639FB">
        <w:rPr>
          <w:rtl/>
        </w:rPr>
        <w:t>المكتب الأوروبي للبراءات</w:t>
      </w:r>
      <w:r w:rsidRPr="005639FB">
        <w:rPr>
          <w:rFonts w:hint="cs"/>
          <w:rtl/>
        </w:rPr>
        <w:t xml:space="preserve"> أن</w:t>
      </w:r>
      <w:r w:rsidR="00536D9F" w:rsidRPr="005639FB">
        <w:rPr>
          <w:rFonts w:hint="cs"/>
          <w:rtl/>
        </w:rPr>
        <w:t xml:space="preserve"> </w:t>
      </w:r>
      <w:r w:rsidR="0086349C" w:rsidRPr="005639FB">
        <w:rPr>
          <w:rFonts w:hint="cs"/>
          <w:rtl/>
        </w:rPr>
        <w:t xml:space="preserve">تجربته </w:t>
      </w:r>
      <w:r w:rsidR="00536D9F" w:rsidRPr="005639FB">
        <w:rPr>
          <w:rFonts w:hint="cs"/>
          <w:rtl/>
        </w:rPr>
        <w:t xml:space="preserve">الأولي لخدمة </w:t>
      </w:r>
      <w:r w:rsidR="004F6260" w:rsidRPr="005639FB">
        <w:rPr>
          <w:rtl/>
        </w:rPr>
        <w:t xml:space="preserve">نسخة البحث </w:t>
      </w:r>
      <w:r w:rsidR="007A065F" w:rsidRPr="005639FB">
        <w:rPr>
          <w:rtl/>
        </w:rPr>
        <w:t>الإلكترونية</w:t>
      </w:r>
      <w:r w:rsidR="004F6260" w:rsidRPr="005639FB">
        <w:rPr>
          <w:rtl/>
        </w:rPr>
        <w:t xml:space="preserve"> </w:t>
      </w:r>
      <w:r w:rsidR="0086349C" w:rsidRPr="005639FB">
        <w:rPr>
          <w:rFonts w:hint="cs"/>
          <w:rtl/>
        </w:rPr>
        <w:t>(</w:t>
      </w:r>
      <w:proofErr w:type="spellStart"/>
      <w:r w:rsidR="00536D9F" w:rsidRPr="005639FB">
        <w:rPr>
          <w:rFonts w:hint="cs"/>
        </w:rPr>
        <w:t>eSearchCopy</w:t>
      </w:r>
      <w:proofErr w:type="spellEnd"/>
      <w:r w:rsidR="0086349C" w:rsidRPr="005639FB">
        <w:rPr>
          <w:rFonts w:hint="cs"/>
          <w:rtl/>
        </w:rPr>
        <w:t>) في</w:t>
      </w:r>
      <w:r w:rsidR="00536D9F" w:rsidRPr="005639FB">
        <w:rPr>
          <w:rFonts w:hint="cs"/>
          <w:rtl/>
        </w:rPr>
        <w:t xml:space="preserve"> سبعة مكاتب تسل</w:t>
      </w:r>
      <w:r w:rsidR="0086349C" w:rsidRPr="005639FB">
        <w:rPr>
          <w:rFonts w:hint="cs"/>
          <w:rtl/>
        </w:rPr>
        <w:t>ّ</w:t>
      </w:r>
      <w:r w:rsidR="00536D9F" w:rsidRPr="005639FB">
        <w:rPr>
          <w:rFonts w:hint="cs"/>
          <w:rtl/>
        </w:rPr>
        <w:t>م قد اختتمت بنجاح</w:t>
      </w:r>
      <w:r w:rsidR="0086349C" w:rsidRPr="005639FB">
        <w:rPr>
          <w:rFonts w:hint="cs"/>
          <w:rtl/>
        </w:rPr>
        <w:t>،</w:t>
      </w:r>
      <w:r w:rsidR="00494646" w:rsidRPr="005639FB">
        <w:rPr>
          <w:rFonts w:hint="cs"/>
          <w:rtl/>
        </w:rPr>
        <w:t xml:space="preserve"> وانتجت منهجية فعالة </w:t>
      </w:r>
      <w:r w:rsidR="00536D9F" w:rsidRPr="005639FB">
        <w:rPr>
          <w:rFonts w:hint="cs"/>
          <w:rtl/>
        </w:rPr>
        <w:t>يمكن استخدامها لتوسيع نطاق هذه الخدمة ل</w:t>
      </w:r>
      <w:r w:rsidR="00494646" w:rsidRPr="005639FB">
        <w:rPr>
          <w:rFonts w:hint="cs"/>
          <w:rtl/>
        </w:rPr>
        <w:t xml:space="preserve">تشمل </w:t>
      </w:r>
      <w:r w:rsidR="00536D9F" w:rsidRPr="005639FB">
        <w:rPr>
          <w:rFonts w:hint="cs"/>
          <w:rtl/>
        </w:rPr>
        <w:t xml:space="preserve">مكاتب </w:t>
      </w:r>
      <w:r w:rsidR="00494646" w:rsidRPr="005639FB">
        <w:rPr>
          <w:rFonts w:hint="cs"/>
          <w:rtl/>
        </w:rPr>
        <w:t xml:space="preserve">تسلّم إضافية. ويخطط المكتب </w:t>
      </w:r>
      <w:r w:rsidR="00536D9F" w:rsidRPr="005639FB">
        <w:rPr>
          <w:rFonts w:hint="cs"/>
          <w:rtl/>
        </w:rPr>
        <w:t xml:space="preserve">أن </w:t>
      </w:r>
      <w:r w:rsidR="00494646" w:rsidRPr="005639FB">
        <w:rPr>
          <w:rFonts w:hint="cs"/>
          <w:rtl/>
        </w:rPr>
        <w:t xml:space="preserve">تنضمّ </w:t>
      </w:r>
      <w:r w:rsidR="00536D9F" w:rsidRPr="005639FB">
        <w:rPr>
          <w:rFonts w:hint="cs"/>
          <w:rtl/>
        </w:rPr>
        <w:t xml:space="preserve">ثلاث مجموعات </w:t>
      </w:r>
      <w:r w:rsidR="00494646" w:rsidRPr="005639FB">
        <w:rPr>
          <w:rFonts w:hint="cs"/>
          <w:rtl/>
        </w:rPr>
        <w:t xml:space="preserve">مكونة من أربعة مكاتب إلى النظام في 2017، مع </w:t>
      </w:r>
      <w:r w:rsidR="004F6260" w:rsidRPr="005639FB">
        <w:rPr>
          <w:rFonts w:hint="cs"/>
          <w:rtl/>
        </w:rPr>
        <w:t>العمل بخدمتي</w:t>
      </w:r>
      <w:r w:rsidR="00536D9F" w:rsidRPr="005639FB">
        <w:rPr>
          <w:rFonts w:hint="cs"/>
          <w:rtl/>
        </w:rPr>
        <w:t xml:space="preserve"> </w:t>
      </w:r>
      <w:r w:rsidR="004F6260" w:rsidRPr="005639FB">
        <w:rPr>
          <w:rFonts w:hint="cs"/>
          <w:rtl/>
        </w:rPr>
        <w:t xml:space="preserve">النسخ </w:t>
      </w:r>
      <w:r w:rsidR="007A065F" w:rsidRPr="005639FB">
        <w:rPr>
          <w:rFonts w:hint="cs"/>
          <w:rtl/>
        </w:rPr>
        <w:t>الإلكترونية</w:t>
      </w:r>
      <w:r w:rsidR="004F6260" w:rsidRPr="005639FB">
        <w:rPr>
          <w:rFonts w:hint="cs"/>
          <w:rtl/>
        </w:rPr>
        <w:t xml:space="preserve"> والنسخ ال</w:t>
      </w:r>
      <w:r w:rsidR="00536D9F" w:rsidRPr="005639FB">
        <w:rPr>
          <w:rFonts w:hint="cs"/>
          <w:rtl/>
        </w:rPr>
        <w:t>و</w:t>
      </w:r>
      <w:r w:rsidR="004F6260" w:rsidRPr="005639FB">
        <w:rPr>
          <w:rFonts w:hint="cs"/>
          <w:rtl/>
        </w:rPr>
        <w:t>رقية</w:t>
      </w:r>
      <w:r w:rsidR="00536D9F" w:rsidRPr="005639FB">
        <w:rPr>
          <w:rFonts w:hint="cs"/>
          <w:rtl/>
        </w:rPr>
        <w:t xml:space="preserve"> </w:t>
      </w:r>
      <w:r w:rsidR="004F6260" w:rsidRPr="005639FB">
        <w:rPr>
          <w:rFonts w:hint="cs"/>
          <w:rtl/>
        </w:rPr>
        <w:t>لفترة شهرين للتأكد من أن الأنظمة تعمل</w:t>
      </w:r>
      <w:r w:rsidR="00536D9F" w:rsidRPr="005639FB">
        <w:rPr>
          <w:rFonts w:hint="cs"/>
          <w:rtl/>
        </w:rPr>
        <w:t xml:space="preserve"> بشكل فعال قبل الانتقال تماما إلى </w:t>
      </w:r>
      <w:r w:rsidR="004F6260" w:rsidRPr="005639FB">
        <w:rPr>
          <w:rFonts w:hint="cs"/>
          <w:rtl/>
        </w:rPr>
        <w:t>خدمة</w:t>
      </w:r>
      <w:r w:rsidR="00030DC5" w:rsidRPr="005639FB">
        <w:rPr>
          <w:rFonts w:hint="eastAsia"/>
          <w:rtl/>
        </w:rPr>
        <w:t> </w:t>
      </w:r>
      <w:proofErr w:type="spellStart"/>
      <w:r w:rsidR="00536D9F" w:rsidRPr="005639FB">
        <w:rPr>
          <w:rFonts w:hint="cs"/>
        </w:rPr>
        <w:t>eSearchCopy</w:t>
      </w:r>
      <w:proofErr w:type="spellEnd"/>
      <w:r w:rsidR="00536D9F" w:rsidRPr="005639FB">
        <w:rPr>
          <w:rFonts w:hint="cs"/>
          <w:rtl/>
        </w:rPr>
        <w:t xml:space="preserve">. </w:t>
      </w:r>
      <w:r w:rsidR="004F6260" w:rsidRPr="005639FB">
        <w:rPr>
          <w:rFonts w:hint="cs"/>
          <w:rtl/>
        </w:rPr>
        <w:t>و</w:t>
      </w:r>
      <w:r w:rsidR="00536D9F" w:rsidRPr="005639FB">
        <w:rPr>
          <w:rFonts w:hint="cs"/>
          <w:rtl/>
        </w:rPr>
        <w:t xml:space="preserve">قد </w:t>
      </w:r>
      <w:r w:rsidR="004F6260" w:rsidRPr="005639FB">
        <w:rPr>
          <w:rFonts w:hint="cs"/>
          <w:rtl/>
        </w:rPr>
        <w:t>أظهرت تقييمات التجربة تحسنا</w:t>
      </w:r>
      <w:r w:rsidR="00536D9F" w:rsidRPr="005639FB">
        <w:rPr>
          <w:rFonts w:hint="cs"/>
          <w:rtl/>
        </w:rPr>
        <w:t xml:space="preserve"> في </w:t>
      </w:r>
      <w:r w:rsidR="004F6260" w:rsidRPr="005639FB">
        <w:rPr>
          <w:rFonts w:hint="cs"/>
          <w:rtl/>
        </w:rPr>
        <w:t>الالتزام بالوقت وتخفيضات في تكاليف</w:t>
      </w:r>
      <w:r w:rsidR="00536D9F" w:rsidRPr="005639FB">
        <w:rPr>
          <w:rFonts w:hint="cs"/>
          <w:rtl/>
        </w:rPr>
        <w:t xml:space="preserve"> مكاتب </w:t>
      </w:r>
      <w:r w:rsidR="004F6260" w:rsidRPr="005639FB">
        <w:rPr>
          <w:rFonts w:hint="cs"/>
          <w:rtl/>
        </w:rPr>
        <w:t xml:space="preserve">التسلم </w:t>
      </w:r>
      <w:r w:rsidR="00536D9F" w:rsidRPr="005639FB">
        <w:rPr>
          <w:rFonts w:hint="cs"/>
          <w:rtl/>
        </w:rPr>
        <w:t>و</w:t>
      </w:r>
      <w:r w:rsidR="004F6260" w:rsidRPr="005639FB">
        <w:rPr>
          <w:rFonts w:hint="cs"/>
          <w:rtl/>
        </w:rPr>
        <w:t xml:space="preserve">المكتب </w:t>
      </w:r>
      <w:r w:rsidR="00536D9F" w:rsidRPr="005639FB">
        <w:rPr>
          <w:rFonts w:hint="cs"/>
          <w:rtl/>
        </w:rPr>
        <w:t>الأوروبي</w:t>
      </w:r>
      <w:r w:rsidR="004F6260" w:rsidRPr="005639FB">
        <w:rPr>
          <w:rFonts w:hint="cs"/>
          <w:rtl/>
        </w:rPr>
        <w:t xml:space="preserve"> للبراءات</w:t>
      </w:r>
      <w:r w:rsidR="00536D9F" w:rsidRPr="005639FB">
        <w:rPr>
          <w:rFonts w:hint="cs"/>
          <w:rtl/>
        </w:rPr>
        <w:t xml:space="preserve"> </w:t>
      </w:r>
      <w:r w:rsidR="004F6260" w:rsidRPr="005639FB">
        <w:rPr>
          <w:rFonts w:hint="cs"/>
          <w:rtl/>
        </w:rPr>
        <w:t>كإدارة ل</w:t>
      </w:r>
      <w:r w:rsidR="00536D9F" w:rsidRPr="005639FB">
        <w:rPr>
          <w:rFonts w:hint="cs"/>
          <w:rtl/>
        </w:rPr>
        <w:t>لبحث الدولي. ولوحظ أن ال</w:t>
      </w:r>
      <w:r w:rsidR="004F6260" w:rsidRPr="005639FB">
        <w:rPr>
          <w:rFonts w:hint="cs"/>
          <w:rtl/>
        </w:rPr>
        <w:t>نظام ساعد إدارات البحث الدولية في ا</w:t>
      </w:r>
      <w:r w:rsidR="00536D9F" w:rsidRPr="005639FB">
        <w:rPr>
          <w:rFonts w:hint="cs"/>
          <w:rtl/>
        </w:rPr>
        <w:t>لاستفا</w:t>
      </w:r>
      <w:r w:rsidR="004F6260" w:rsidRPr="005639FB">
        <w:rPr>
          <w:rFonts w:hint="cs"/>
          <w:rtl/>
        </w:rPr>
        <w:t xml:space="preserve">دة من البيانات الببليوغرافية </w:t>
      </w:r>
      <w:r w:rsidR="007A065F" w:rsidRPr="005639FB">
        <w:rPr>
          <w:rFonts w:hint="cs"/>
          <w:rtl/>
        </w:rPr>
        <w:t>الإلكترونية</w:t>
      </w:r>
      <w:r w:rsidR="004F6260" w:rsidRPr="005639FB">
        <w:rPr>
          <w:rFonts w:hint="cs"/>
          <w:rtl/>
        </w:rPr>
        <w:t xml:space="preserve"> ل</w:t>
      </w:r>
      <w:r w:rsidR="00536D9F" w:rsidRPr="005639FB">
        <w:rPr>
          <w:rFonts w:hint="cs"/>
          <w:rtl/>
        </w:rPr>
        <w:t xml:space="preserve">مكتب </w:t>
      </w:r>
      <w:r w:rsidR="004F6260" w:rsidRPr="005639FB">
        <w:rPr>
          <w:rFonts w:hint="cs"/>
          <w:rtl/>
        </w:rPr>
        <w:t>التسلم</w:t>
      </w:r>
      <w:r w:rsidR="00536D9F" w:rsidRPr="005639FB">
        <w:rPr>
          <w:rFonts w:hint="cs"/>
          <w:rtl/>
        </w:rPr>
        <w:t xml:space="preserve">. </w:t>
      </w:r>
      <w:r w:rsidR="004F6260" w:rsidRPr="005639FB">
        <w:rPr>
          <w:rFonts w:hint="cs"/>
          <w:rtl/>
        </w:rPr>
        <w:t>و</w:t>
      </w:r>
      <w:r w:rsidR="00536D9F" w:rsidRPr="005639FB">
        <w:rPr>
          <w:rFonts w:hint="cs"/>
          <w:rtl/>
        </w:rPr>
        <w:t xml:space="preserve">دعا </w:t>
      </w:r>
      <w:r w:rsidR="004F6260" w:rsidRPr="005639FB">
        <w:rPr>
          <w:rFonts w:hint="cs"/>
          <w:rtl/>
        </w:rPr>
        <w:t>المكتب</w:t>
      </w:r>
      <w:r w:rsidR="00536D9F" w:rsidRPr="005639FB">
        <w:rPr>
          <w:rFonts w:hint="cs"/>
          <w:rtl/>
        </w:rPr>
        <w:t xml:space="preserve"> </w:t>
      </w:r>
      <w:r w:rsidR="004F6260" w:rsidRPr="005639FB">
        <w:rPr>
          <w:rFonts w:hint="cs"/>
          <w:rtl/>
        </w:rPr>
        <w:t>الإدارات الأخرى ال</w:t>
      </w:r>
      <w:r w:rsidR="00536D9F" w:rsidRPr="005639FB">
        <w:rPr>
          <w:rFonts w:hint="cs"/>
          <w:rtl/>
        </w:rPr>
        <w:t>ر</w:t>
      </w:r>
      <w:r w:rsidR="004F6260" w:rsidRPr="005639FB">
        <w:rPr>
          <w:rFonts w:hint="cs"/>
          <w:rtl/>
        </w:rPr>
        <w:t>اغبة</w:t>
      </w:r>
      <w:r w:rsidR="00536D9F" w:rsidRPr="005639FB">
        <w:rPr>
          <w:rFonts w:hint="cs"/>
          <w:rtl/>
        </w:rPr>
        <w:t xml:space="preserve"> </w:t>
      </w:r>
      <w:r w:rsidR="004A1CB2" w:rsidRPr="005639FB">
        <w:rPr>
          <w:rFonts w:hint="cs"/>
          <w:rtl/>
        </w:rPr>
        <w:t>في أن يرسل مكتب تسلمها</w:t>
      </w:r>
      <w:r w:rsidR="00536D9F" w:rsidRPr="005639FB">
        <w:rPr>
          <w:rFonts w:hint="cs"/>
          <w:rtl/>
        </w:rPr>
        <w:t xml:space="preserve"> نسخ </w:t>
      </w:r>
      <w:r w:rsidR="004A1CB2" w:rsidRPr="005639FB">
        <w:rPr>
          <w:rFonts w:hint="cs"/>
          <w:rtl/>
        </w:rPr>
        <w:t xml:space="preserve">بحث </w:t>
      </w:r>
      <w:r w:rsidR="00536D9F" w:rsidRPr="005639FB">
        <w:rPr>
          <w:rFonts w:hint="cs"/>
          <w:rtl/>
        </w:rPr>
        <w:t xml:space="preserve">باستخدام </w:t>
      </w:r>
      <w:r w:rsidR="00030DC5" w:rsidRPr="005639FB">
        <w:rPr>
          <w:rFonts w:hint="cs"/>
          <w:rtl/>
        </w:rPr>
        <w:t>خدمة</w:t>
      </w:r>
      <w:r w:rsidR="005639FB" w:rsidRPr="005639FB">
        <w:rPr>
          <w:rFonts w:hint="cs"/>
          <w:rtl/>
        </w:rPr>
        <w:t xml:space="preserve"> </w:t>
      </w:r>
      <w:proofErr w:type="spellStart"/>
      <w:r w:rsidR="00030DC5" w:rsidRPr="005639FB">
        <w:rPr>
          <w:rFonts w:hint="cs"/>
        </w:rPr>
        <w:t>eSearchCopy</w:t>
      </w:r>
      <w:proofErr w:type="spellEnd"/>
      <w:r w:rsidR="004A1CB2" w:rsidRPr="005639FB">
        <w:rPr>
          <w:rFonts w:hint="cs"/>
          <w:rtl/>
        </w:rPr>
        <w:t xml:space="preserve"> إلى التواصل معه</w:t>
      </w:r>
      <w:r w:rsidR="00536D9F" w:rsidRPr="005639FB">
        <w:rPr>
          <w:rFonts w:hint="cs"/>
          <w:rtl/>
        </w:rPr>
        <w:t>، مشير</w:t>
      </w:r>
      <w:r w:rsidR="004A1CB2" w:rsidRPr="005639FB">
        <w:rPr>
          <w:rFonts w:hint="cs"/>
          <w:rtl/>
        </w:rPr>
        <w:t>ا إلى أن ذلك سيكون على الأرجح عام 2018، ل</w:t>
      </w:r>
      <w:r w:rsidR="00536D9F" w:rsidRPr="005639FB">
        <w:rPr>
          <w:rFonts w:hint="cs"/>
          <w:rtl/>
        </w:rPr>
        <w:t>أن ال</w:t>
      </w:r>
      <w:r w:rsidR="004A1CB2" w:rsidRPr="005639FB">
        <w:rPr>
          <w:rFonts w:hint="cs"/>
          <w:rtl/>
        </w:rPr>
        <w:t>جماعات المقترحة لعام 2017 قد اكتملت</w:t>
      </w:r>
      <w:r w:rsidR="00536D9F" w:rsidRPr="005639FB">
        <w:rPr>
          <w:rFonts w:hint="cs"/>
          <w:rtl/>
        </w:rPr>
        <w:t>.</w:t>
      </w:r>
    </w:p>
    <w:p w14:paraId="1C34E64D" w14:textId="51A75E03" w:rsidR="004A1CB2" w:rsidRPr="005639FB" w:rsidRDefault="004A1CB2" w:rsidP="00030DC5">
      <w:pPr>
        <w:pStyle w:val="NumberedParaAR"/>
      </w:pPr>
      <w:r w:rsidRPr="005639FB">
        <w:rPr>
          <w:rFonts w:hint="cs"/>
          <w:rtl/>
        </w:rPr>
        <w:t xml:space="preserve">وأشارت إدارات مختلفة إلى أنها تستخدم </w:t>
      </w:r>
      <w:r w:rsidR="00030DC5" w:rsidRPr="005639FB">
        <w:rPr>
          <w:rFonts w:hint="cs"/>
          <w:rtl/>
        </w:rPr>
        <w:t>خدمة</w:t>
      </w:r>
      <w:r w:rsidR="00030DC5" w:rsidRPr="005639FB">
        <w:rPr>
          <w:rFonts w:hint="eastAsia"/>
          <w:rtl/>
        </w:rPr>
        <w:t> </w:t>
      </w:r>
      <w:proofErr w:type="spellStart"/>
      <w:r w:rsidR="00030DC5" w:rsidRPr="005639FB">
        <w:rPr>
          <w:rFonts w:hint="cs"/>
        </w:rPr>
        <w:t>eSearchCopy</w:t>
      </w:r>
      <w:proofErr w:type="spellEnd"/>
      <w:r w:rsidRPr="005639FB">
        <w:rPr>
          <w:rFonts w:hint="cs"/>
          <w:rtl/>
        </w:rPr>
        <w:t xml:space="preserve"> في كثير من القضايا ضمن دورها كمكتب تسلم وكإدارة للبحث الدولي. وأضافت أنّ التجربة كانت جيدة وأنّها تنصح الإدارات الأخرى باستخدام الخدمة. ولكن ثمة مشاكل مع جودة الرسومات في بعض الحالات، غير أنها تشابه تلك التي ووجهت مع نقل نسخ </w:t>
      </w:r>
      <w:r w:rsidR="00580F2E" w:rsidRPr="005639FB">
        <w:rPr>
          <w:rFonts w:hint="cs"/>
          <w:rtl/>
        </w:rPr>
        <w:t>ال</w:t>
      </w:r>
      <w:r w:rsidRPr="005639FB">
        <w:rPr>
          <w:rFonts w:hint="cs"/>
          <w:rtl/>
        </w:rPr>
        <w:t xml:space="preserve">بحث </w:t>
      </w:r>
      <w:r w:rsidR="00580F2E" w:rsidRPr="005639FB">
        <w:rPr>
          <w:rFonts w:hint="cs"/>
          <w:rtl/>
        </w:rPr>
        <w:t>الورقية ومسحها ضوئيا</w:t>
      </w:r>
      <w:r w:rsidRPr="005639FB">
        <w:rPr>
          <w:rFonts w:hint="cs"/>
          <w:rtl/>
        </w:rPr>
        <w:t xml:space="preserve"> </w:t>
      </w:r>
      <w:r w:rsidR="00580F2E" w:rsidRPr="005639FB">
        <w:rPr>
          <w:rFonts w:hint="cs"/>
          <w:rtl/>
        </w:rPr>
        <w:t>وليست بالجديدة. وأشير إلى</w:t>
      </w:r>
      <w:r w:rsidRPr="005639FB">
        <w:rPr>
          <w:rFonts w:hint="cs"/>
          <w:rtl/>
        </w:rPr>
        <w:t xml:space="preserve"> الدعم </w:t>
      </w:r>
      <w:r w:rsidR="00580F2E" w:rsidRPr="005639FB">
        <w:rPr>
          <w:rFonts w:hint="cs"/>
          <w:rtl/>
        </w:rPr>
        <w:t>المطلوب ل</w:t>
      </w:r>
      <w:r w:rsidRPr="005639FB">
        <w:rPr>
          <w:rFonts w:hint="cs"/>
          <w:rtl/>
        </w:rPr>
        <w:t xml:space="preserve">لتحسينات </w:t>
      </w:r>
      <w:r w:rsidR="00580F2E" w:rsidRPr="005639FB">
        <w:rPr>
          <w:rFonts w:hint="cs"/>
          <w:rtl/>
        </w:rPr>
        <w:t>المس</w:t>
      </w:r>
      <w:r w:rsidRPr="005639FB">
        <w:rPr>
          <w:rFonts w:hint="cs"/>
          <w:rtl/>
        </w:rPr>
        <w:t>تهدف</w:t>
      </w:r>
      <w:r w:rsidR="00580F2E" w:rsidRPr="005639FB">
        <w:rPr>
          <w:rFonts w:hint="cs"/>
          <w:rtl/>
        </w:rPr>
        <w:t>ة</w:t>
      </w:r>
      <w:r w:rsidRPr="005639FB">
        <w:rPr>
          <w:rFonts w:hint="cs"/>
          <w:rtl/>
        </w:rPr>
        <w:t xml:space="preserve"> </w:t>
      </w:r>
      <w:r w:rsidR="00580F2E" w:rsidRPr="005639FB">
        <w:rPr>
          <w:rFonts w:hint="cs"/>
          <w:rtl/>
        </w:rPr>
        <w:t>على الخدمة المدرجة في المرفق الثاني للوثيقة</w:t>
      </w:r>
      <w:r w:rsidR="00DC7257" w:rsidRPr="005639FB">
        <w:rPr>
          <w:rFonts w:hint="eastAsia"/>
          <w:rtl/>
        </w:rPr>
        <w:t> </w:t>
      </w:r>
      <w:r w:rsidR="00580F2E" w:rsidRPr="005639FB">
        <w:t>PCT/MIA/24/10</w:t>
      </w:r>
      <w:r w:rsidR="00580F2E" w:rsidRPr="005639FB">
        <w:rPr>
          <w:rFonts w:hint="cs"/>
          <w:rtl/>
        </w:rPr>
        <w:t>. و</w:t>
      </w:r>
      <w:r w:rsidRPr="005639FB">
        <w:rPr>
          <w:rFonts w:hint="cs"/>
          <w:rtl/>
        </w:rPr>
        <w:t>ر</w:t>
      </w:r>
      <w:r w:rsidR="00580F2E" w:rsidRPr="005639FB">
        <w:rPr>
          <w:rFonts w:hint="cs"/>
          <w:rtl/>
        </w:rPr>
        <w:t xml:space="preserve">أت إحدى الإدارات أن من المهم </w:t>
      </w:r>
      <w:r w:rsidRPr="005639FB">
        <w:rPr>
          <w:rFonts w:hint="cs"/>
          <w:rtl/>
        </w:rPr>
        <w:t xml:space="preserve">تقييم </w:t>
      </w:r>
      <w:r w:rsidR="00580F2E" w:rsidRPr="005639FB">
        <w:rPr>
          <w:rFonts w:hint="cs"/>
          <w:rtl/>
        </w:rPr>
        <w:t>المسائل والعمليات المتعلقة ب</w:t>
      </w:r>
      <w:r w:rsidRPr="005639FB">
        <w:rPr>
          <w:rFonts w:hint="cs"/>
          <w:rtl/>
        </w:rPr>
        <w:t>المستندات المقدمة في وقت لاحق</w:t>
      </w:r>
      <w:r w:rsidR="00580F2E" w:rsidRPr="005639FB">
        <w:rPr>
          <w:rFonts w:hint="cs"/>
          <w:rtl/>
        </w:rPr>
        <w:t xml:space="preserve"> تقييما دقيقا،</w:t>
      </w:r>
      <w:r w:rsidRPr="005639FB">
        <w:rPr>
          <w:rFonts w:hint="cs"/>
          <w:rtl/>
        </w:rPr>
        <w:t xml:space="preserve"> </w:t>
      </w:r>
      <w:r w:rsidR="00580F2E" w:rsidRPr="005639FB">
        <w:rPr>
          <w:rFonts w:hint="cs"/>
          <w:rtl/>
        </w:rPr>
        <w:t xml:space="preserve">في حال </w:t>
      </w:r>
      <w:r w:rsidRPr="005639FB">
        <w:rPr>
          <w:rFonts w:hint="cs"/>
          <w:rtl/>
        </w:rPr>
        <w:t xml:space="preserve">كان من الضروري أن </w:t>
      </w:r>
      <w:r w:rsidR="00580F2E" w:rsidRPr="005639FB">
        <w:rPr>
          <w:rFonts w:hint="cs"/>
          <w:rtl/>
        </w:rPr>
        <w:t>تصل المعلومات الم</w:t>
      </w:r>
      <w:r w:rsidRPr="005639FB">
        <w:rPr>
          <w:rFonts w:hint="cs"/>
          <w:rtl/>
        </w:rPr>
        <w:t>تعلق</w:t>
      </w:r>
      <w:r w:rsidR="00580F2E" w:rsidRPr="005639FB">
        <w:rPr>
          <w:rFonts w:hint="cs"/>
          <w:rtl/>
        </w:rPr>
        <w:t xml:space="preserve">ة بالتغيرات </w:t>
      </w:r>
      <w:r w:rsidRPr="005639FB">
        <w:rPr>
          <w:rFonts w:hint="cs"/>
          <w:rtl/>
        </w:rPr>
        <w:t>إلى إدارة البحث الدولي بسرعة.</w:t>
      </w:r>
    </w:p>
    <w:p w14:paraId="6D916FEE" w14:textId="3AC4FBF9" w:rsidR="00580F2E" w:rsidRPr="005639FB" w:rsidRDefault="00580F2E" w:rsidP="00030DC5">
      <w:pPr>
        <w:pStyle w:val="NumberedParaAR"/>
      </w:pPr>
      <w:r w:rsidRPr="005639FB">
        <w:rPr>
          <w:rFonts w:hint="cs"/>
          <w:rtl/>
        </w:rPr>
        <w:t>وأشارت إحدى الإدارات إلى أنها ترسل إلكترونيا، ضمن دورها كمكتب تسلم، جميع نسخ البحث إل</w:t>
      </w:r>
      <w:r w:rsidR="003A6861" w:rsidRPr="005639FB">
        <w:rPr>
          <w:rFonts w:hint="cs"/>
          <w:rtl/>
        </w:rPr>
        <w:t>ى المكاتب الأخرى العاملة كإدارة للبحث الدولي، ولذلك</w:t>
      </w:r>
      <w:r w:rsidRPr="005639FB">
        <w:rPr>
          <w:rFonts w:hint="cs"/>
          <w:rtl/>
        </w:rPr>
        <w:t xml:space="preserve"> </w:t>
      </w:r>
      <w:r w:rsidR="003A6861" w:rsidRPr="005639FB">
        <w:rPr>
          <w:rFonts w:hint="cs"/>
          <w:rtl/>
        </w:rPr>
        <w:t xml:space="preserve">فإن </w:t>
      </w:r>
      <w:r w:rsidRPr="005639FB">
        <w:rPr>
          <w:rFonts w:hint="cs"/>
          <w:rtl/>
        </w:rPr>
        <w:t xml:space="preserve">الانتقال إلى </w:t>
      </w:r>
      <w:r w:rsidR="00030DC5" w:rsidRPr="005639FB">
        <w:rPr>
          <w:rFonts w:hint="cs"/>
          <w:rtl/>
        </w:rPr>
        <w:t>خدمة</w:t>
      </w:r>
      <w:r w:rsidR="00030DC5" w:rsidRPr="005639FB">
        <w:rPr>
          <w:rFonts w:hint="eastAsia"/>
          <w:rtl/>
        </w:rPr>
        <w:t> </w:t>
      </w:r>
      <w:proofErr w:type="spellStart"/>
      <w:r w:rsidR="00030DC5" w:rsidRPr="005639FB">
        <w:rPr>
          <w:rFonts w:hint="cs"/>
        </w:rPr>
        <w:t>eSearchCopy</w:t>
      </w:r>
      <w:proofErr w:type="spellEnd"/>
      <w:r w:rsidR="003A6861" w:rsidRPr="005639FB">
        <w:rPr>
          <w:rFonts w:hint="cs"/>
          <w:rtl/>
        </w:rPr>
        <w:t xml:space="preserve"> ليس من أولوياتها، ولكن أبدت استعدادها للنقاش مع الإدارات الراغبة في ا</w:t>
      </w:r>
      <w:r w:rsidRPr="005639FB">
        <w:rPr>
          <w:rFonts w:hint="cs"/>
          <w:rtl/>
        </w:rPr>
        <w:t>لتغيير.</w:t>
      </w:r>
    </w:p>
    <w:p w14:paraId="3CB624C7" w14:textId="4AB0274B" w:rsidR="003A6861" w:rsidRPr="005639FB" w:rsidRDefault="007358BA" w:rsidP="00030DC5">
      <w:pPr>
        <w:pStyle w:val="NumberedParaAR"/>
      </w:pPr>
      <w:r w:rsidRPr="005639FB">
        <w:rPr>
          <w:rFonts w:hint="cs"/>
          <w:rtl/>
        </w:rPr>
        <w:t xml:space="preserve">وأعربت كثير من الإدارات عن اهتمامها بتجربة "التشبيك" المقترحة، مشيرة إلى أن التجربة قد تعود بمنافع كبيرة، وخاصة إن اقترنت </w:t>
      </w:r>
      <w:r w:rsidR="00030DC5" w:rsidRPr="005639FB">
        <w:rPr>
          <w:rFonts w:hint="cs"/>
          <w:rtl/>
        </w:rPr>
        <w:t>بخدمة</w:t>
      </w:r>
      <w:r w:rsidR="00030DC5" w:rsidRPr="005639FB">
        <w:rPr>
          <w:rFonts w:hint="eastAsia"/>
          <w:rtl/>
        </w:rPr>
        <w:t> </w:t>
      </w:r>
      <w:proofErr w:type="spellStart"/>
      <w:r w:rsidR="00030DC5" w:rsidRPr="005639FB">
        <w:rPr>
          <w:rFonts w:hint="cs"/>
        </w:rPr>
        <w:t>eSearchCopy</w:t>
      </w:r>
      <w:proofErr w:type="spellEnd"/>
      <w:r w:rsidRPr="005639FB">
        <w:rPr>
          <w:rFonts w:hint="cs"/>
          <w:rtl/>
        </w:rPr>
        <w:t>. ولكن نظرا لقضايا المالية ومراجعة الحسابات الكبيرة، ينبغي أن يدرس الاقتراح بعناية كبيرة.</w:t>
      </w:r>
    </w:p>
    <w:p w14:paraId="49C46EB4" w14:textId="77777777" w:rsidR="00AA70FE" w:rsidRPr="005639FB" w:rsidRDefault="00AA70FE" w:rsidP="00A513BF">
      <w:pPr>
        <w:pStyle w:val="NumberedParaAR"/>
        <w:ind w:left="1440" w:hanging="720"/>
      </w:pPr>
      <w:r w:rsidRPr="005639FB">
        <w:rPr>
          <w:rtl/>
        </w:rPr>
        <w:t xml:space="preserve">وأحاط الاجتماع علماً بمضمون </w:t>
      </w:r>
      <w:r w:rsidR="00E56BFE" w:rsidRPr="005639FB">
        <w:rPr>
          <w:rtl/>
        </w:rPr>
        <w:t xml:space="preserve">الوثيقتين </w:t>
      </w:r>
      <w:r w:rsidR="00E56BFE" w:rsidRPr="005639FB">
        <w:t>PCT/MIA/24/7</w:t>
      </w:r>
      <w:r w:rsidR="00E56BFE" w:rsidRPr="005639FB">
        <w:rPr>
          <w:rtl/>
        </w:rPr>
        <w:t xml:space="preserve"> و</w:t>
      </w:r>
      <w:r w:rsidR="00E56BFE" w:rsidRPr="005639FB">
        <w:t>PCT/MIA/24/10</w:t>
      </w:r>
      <w:r w:rsidR="00E56BFE" w:rsidRPr="005639FB">
        <w:rPr>
          <w:rtl/>
          <w:lang w:val="fr-FR" w:bidi="ar-EG"/>
        </w:rPr>
        <w:t>.</w:t>
      </w:r>
    </w:p>
    <w:p w14:paraId="0FD7D2FA" w14:textId="77777777" w:rsidR="00AA70FE" w:rsidRPr="005639FB" w:rsidRDefault="006C3FFE" w:rsidP="00A513BF">
      <w:pPr>
        <w:pStyle w:val="Heading1AR"/>
        <w:spacing w:after="240" w:line="360" w:lineRule="exact"/>
      </w:pPr>
      <w:r w:rsidRPr="005639FB">
        <w:rPr>
          <w:rFonts w:hint="cs"/>
          <w:rtl/>
        </w:rPr>
        <w:t xml:space="preserve">البند 8: </w:t>
      </w:r>
      <w:r w:rsidRPr="005639FB">
        <w:rPr>
          <w:rtl/>
        </w:rPr>
        <w:t>تمديد تعيين الإدارات الدولية</w:t>
      </w:r>
    </w:p>
    <w:p w14:paraId="65C5744B" w14:textId="440337B8" w:rsidR="00AA70FE" w:rsidRPr="005639FB" w:rsidRDefault="00AA70FE" w:rsidP="00A513BF">
      <w:pPr>
        <w:pStyle w:val="NumberedParaAR"/>
      </w:pPr>
      <w:r w:rsidRPr="005639FB">
        <w:rPr>
          <w:rtl/>
        </w:rPr>
        <w:t xml:space="preserve">استندت المناقشات إلى الوثيقة </w:t>
      </w:r>
      <w:r w:rsidRPr="005639FB">
        <w:t>PCT/MIA/24/2</w:t>
      </w:r>
      <w:r w:rsidRPr="005639FB">
        <w:rPr>
          <w:rtl/>
        </w:rPr>
        <w:t>.</w:t>
      </w:r>
    </w:p>
    <w:p w14:paraId="4389DAC1" w14:textId="77777777" w:rsidR="00F162E3" w:rsidRPr="005639FB" w:rsidRDefault="00F162E3" w:rsidP="00A513BF">
      <w:pPr>
        <w:pStyle w:val="NumberedParaAR"/>
      </w:pPr>
      <w:r w:rsidRPr="005639FB">
        <w:rPr>
          <w:rFonts w:hint="cs"/>
          <w:rtl/>
        </w:rPr>
        <w:t>وأقرت الإدارات</w:t>
      </w:r>
      <w:r w:rsidR="007358BA" w:rsidRPr="005639FB">
        <w:rPr>
          <w:rFonts w:hint="cs"/>
          <w:rtl/>
        </w:rPr>
        <w:t xml:space="preserve"> </w:t>
      </w:r>
      <w:r w:rsidRPr="005639FB">
        <w:rPr>
          <w:rFonts w:hint="cs"/>
          <w:rtl/>
        </w:rPr>
        <w:t xml:space="preserve">بأهمية ضمان قدرة لجنة التعاون الفني </w:t>
      </w:r>
      <w:r w:rsidR="007358BA" w:rsidRPr="005639FB">
        <w:rPr>
          <w:rFonts w:hint="cs"/>
          <w:rtl/>
        </w:rPr>
        <w:t>على</w:t>
      </w:r>
      <w:r w:rsidRPr="005639FB">
        <w:rPr>
          <w:rFonts w:hint="cs"/>
          <w:rtl/>
        </w:rPr>
        <w:t xml:space="preserve"> المضي قدما بكفاءة. وسيشمل ذلك:</w:t>
      </w:r>
    </w:p>
    <w:p w14:paraId="6D75119D" w14:textId="77777777" w:rsidR="00F162E3" w:rsidRPr="005639FB" w:rsidRDefault="00F162E3" w:rsidP="00A513BF">
      <w:pPr>
        <w:pStyle w:val="NumberedParaAR"/>
        <w:numPr>
          <w:ilvl w:val="0"/>
          <w:numId w:val="6"/>
        </w:numPr>
        <w:ind w:left="1133" w:hanging="567"/>
      </w:pPr>
      <w:r w:rsidRPr="005639FB">
        <w:rPr>
          <w:rFonts w:hint="cs"/>
          <w:rtl/>
        </w:rPr>
        <w:lastRenderedPageBreak/>
        <w:t xml:space="preserve">الصياغة الدقيقة </w:t>
      </w:r>
      <w:r w:rsidR="007358BA" w:rsidRPr="005639FB">
        <w:rPr>
          <w:rFonts w:hint="cs"/>
          <w:rtl/>
        </w:rPr>
        <w:t>لمستندات الطلب</w:t>
      </w:r>
      <w:r w:rsidRPr="005639FB">
        <w:rPr>
          <w:rFonts w:hint="cs"/>
          <w:rtl/>
        </w:rPr>
        <w:t>ات بغية التأكد من و</w:t>
      </w:r>
      <w:r w:rsidR="007358BA" w:rsidRPr="005639FB">
        <w:rPr>
          <w:rFonts w:hint="cs"/>
          <w:rtl/>
        </w:rPr>
        <w:t>ض</w:t>
      </w:r>
      <w:r w:rsidRPr="005639FB">
        <w:rPr>
          <w:rFonts w:hint="cs"/>
          <w:rtl/>
        </w:rPr>
        <w:t>وحها وك</w:t>
      </w:r>
      <w:r w:rsidR="007358BA" w:rsidRPr="005639FB">
        <w:rPr>
          <w:rFonts w:hint="cs"/>
          <w:rtl/>
        </w:rPr>
        <w:t>م</w:t>
      </w:r>
      <w:r w:rsidRPr="005639FB">
        <w:rPr>
          <w:rFonts w:hint="cs"/>
          <w:rtl/>
        </w:rPr>
        <w:t>الها؛</w:t>
      </w:r>
    </w:p>
    <w:p w14:paraId="555E27F4" w14:textId="77777777" w:rsidR="00E95A09" w:rsidRPr="005639FB" w:rsidRDefault="00E95A09" w:rsidP="00A513BF">
      <w:pPr>
        <w:pStyle w:val="NumberedParaAR"/>
        <w:numPr>
          <w:ilvl w:val="0"/>
          <w:numId w:val="6"/>
        </w:numPr>
        <w:ind w:left="566" w:firstLine="0"/>
      </w:pPr>
      <w:r w:rsidRPr="005639FB">
        <w:rPr>
          <w:rFonts w:hint="cs"/>
          <w:rtl/>
        </w:rPr>
        <w:t xml:space="preserve">قراءة </w:t>
      </w:r>
      <w:r w:rsidR="007358BA" w:rsidRPr="005639FB">
        <w:rPr>
          <w:rFonts w:hint="cs"/>
          <w:rtl/>
        </w:rPr>
        <w:t>ط</w:t>
      </w:r>
      <w:r w:rsidRPr="005639FB">
        <w:rPr>
          <w:rFonts w:hint="cs"/>
          <w:rtl/>
        </w:rPr>
        <w:t>لبات الإدارا</w:t>
      </w:r>
      <w:r w:rsidR="007358BA" w:rsidRPr="005639FB">
        <w:rPr>
          <w:rFonts w:hint="cs"/>
          <w:rtl/>
        </w:rPr>
        <w:t>ت</w:t>
      </w:r>
      <w:r w:rsidRPr="005639FB">
        <w:rPr>
          <w:rFonts w:hint="cs"/>
          <w:rtl/>
        </w:rPr>
        <w:t xml:space="preserve"> الأخرى في أقرب وقت ممكن بعد نشرها والإشارة</w:t>
      </w:r>
      <w:r w:rsidR="007358BA" w:rsidRPr="005639FB">
        <w:rPr>
          <w:rFonts w:hint="cs"/>
          <w:rtl/>
        </w:rPr>
        <w:t xml:space="preserve"> </w:t>
      </w:r>
      <w:r w:rsidRPr="005639FB">
        <w:rPr>
          <w:rFonts w:hint="cs"/>
          <w:rtl/>
        </w:rPr>
        <w:t>إلى مجالات الاهتمام ال</w:t>
      </w:r>
      <w:r w:rsidR="007358BA" w:rsidRPr="005639FB">
        <w:rPr>
          <w:rFonts w:hint="cs"/>
          <w:rtl/>
        </w:rPr>
        <w:t>محتمل</w:t>
      </w:r>
      <w:r w:rsidRPr="005639FB">
        <w:rPr>
          <w:rFonts w:hint="cs"/>
          <w:rtl/>
        </w:rPr>
        <w:t>ة قبل الدورة للنظر</w:t>
      </w:r>
      <w:r w:rsidR="007358BA" w:rsidRPr="005639FB">
        <w:rPr>
          <w:rFonts w:hint="cs"/>
          <w:rtl/>
        </w:rPr>
        <w:t xml:space="preserve"> </w:t>
      </w:r>
      <w:r w:rsidRPr="005639FB">
        <w:rPr>
          <w:rFonts w:hint="cs"/>
          <w:rtl/>
        </w:rPr>
        <w:t>في الردود، وإصدار وثائق "إضافة" لتوضيح نقطة هامة</w:t>
      </w:r>
      <w:r w:rsidR="007358BA" w:rsidRPr="005639FB">
        <w:rPr>
          <w:rFonts w:hint="cs"/>
          <w:rtl/>
        </w:rPr>
        <w:t xml:space="preserve"> </w:t>
      </w:r>
      <w:r w:rsidRPr="005639FB">
        <w:rPr>
          <w:rFonts w:hint="cs"/>
          <w:rtl/>
        </w:rPr>
        <w:t>في حال الضرورة؛</w:t>
      </w:r>
    </w:p>
    <w:p w14:paraId="4A7D662F" w14:textId="0355B0DC" w:rsidR="007358BA" w:rsidRPr="005639FB" w:rsidRDefault="00E95A09" w:rsidP="00A513BF">
      <w:pPr>
        <w:pStyle w:val="NumberedParaAR"/>
        <w:numPr>
          <w:ilvl w:val="0"/>
          <w:numId w:val="0"/>
        </w:numPr>
        <w:ind w:left="566"/>
        <w:rPr>
          <w:rtl/>
        </w:rPr>
      </w:pPr>
      <w:r w:rsidRPr="005639FB">
        <w:rPr>
          <w:rFonts w:hint="cs"/>
          <w:rtl/>
        </w:rPr>
        <w:t>(ج)</w:t>
      </w:r>
      <w:r w:rsidRPr="005639FB">
        <w:rPr>
          <w:rtl/>
        </w:rPr>
        <w:tab/>
      </w:r>
      <w:r w:rsidR="007358BA" w:rsidRPr="005639FB">
        <w:rPr>
          <w:rFonts w:hint="cs"/>
          <w:rtl/>
        </w:rPr>
        <w:t xml:space="preserve">ضمان أن </w:t>
      </w:r>
      <w:r w:rsidRPr="005639FB">
        <w:rPr>
          <w:rFonts w:hint="cs"/>
          <w:rtl/>
        </w:rPr>
        <w:t xml:space="preserve">تكون </w:t>
      </w:r>
      <w:r w:rsidR="007358BA" w:rsidRPr="005639FB">
        <w:rPr>
          <w:rFonts w:hint="cs"/>
          <w:rtl/>
        </w:rPr>
        <w:t>التدخلات التم</w:t>
      </w:r>
      <w:r w:rsidRPr="005639FB">
        <w:rPr>
          <w:rFonts w:hint="cs"/>
          <w:rtl/>
        </w:rPr>
        <w:t>هيدية خلال</w:t>
      </w:r>
      <w:r w:rsidR="007358BA" w:rsidRPr="005639FB">
        <w:rPr>
          <w:rFonts w:hint="cs"/>
          <w:rtl/>
        </w:rPr>
        <w:t xml:space="preserve"> </w:t>
      </w:r>
      <w:r w:rsidRPr="005639FB">
        <w:rPr>
          <w:rFonts w:hint="cs"/>
          <w:rtl/>
        </w:rPr>
        <w:t>الدورة قصيرة</w:t>
      </w:r>
      <w:r w:rsidR="007358BA" w:rsidRPr="005639FB">
        <w:rPr>
          <w:rFonts w:hint="cs"/>
          <w:rtl/>
        </w:rPr>
        <w:t xml:space="preserve"> و</w:t>
      </w:r>
      <w:r w:rsidRPr="005639FB">
        <w:rPr>
          <w:rFonts w:hint="cs"/>
          <w:rtl/>
        </w:rPr>
        <w:t>تركز</w:t>
      </w:r>
      <w:r w:rsidR="007358BA" w:rsidRPr="005639FB">
        <w:rPr>
          <w:rFonts w:hint="cs"/>
          <w:rtl/>
        </w:rPr>
        <w:t xml:space="preserve"> على أهم القضايا </w:t>
      </w:r>
      <w:r w:rsidRPr="005639FB">
        <w:rPr>
          <w:rtl/>
        </w:rPr>
        <w:t>–</w:t>
      </w:r>
      <w:r w:rsidRPr="005639FB">
        <w:rPr>
          <w:rFonts w:hint="cs"/>
          <w:rtl/>
        </w:rPr>
        <w:t xml:space="preserve"> </w:t>
      </w:r>
      <w:r w:rsidR="005A6F7F" w:rsidRPr="005639FB">
        <w:rPr>
          <w:rFonts w:hint="cs"/>
          <w:rtl/>
        </w:rPr>
        <w:t xml:space="preserve">إذ </w:t>
      </w:r>
      <w:r w:rsidR="007358BA" w:rsidRPr="005639FB">
        <w:rPr>
          <w:rFonts w:hint="cs"/>
          <w:rtl/>
        </w:rPr>
        <w:t xml:space="preserve">ينبغي </w:t>
      </w:r>
      <w:r w:rsidR="005A6F7F" w:rsidRPr="005639FB">
        <w:rPr>
          <w:rFonts w:hint="cs"/>
          <w:rtl/>
        </w:rPr>
        <w:t>عادة أن تكون اللجنة قادرة على تقدير ما إ</w:t>
      </w:r>
      <w:r w:rsidR="007358BA" w:rsidRPr="005639FB">
        <w:rPr>
          <w:rFonts w:hint="cs"/>
          <w:rtl/>
        </w:rPr>
        <w:t xml:space="preserve">ن </w:t>
      </w:r>
      <w:r w:rsidR="005A6F7F" w:rsidRPr="005639FB">
        <w:rPr>
          <w:rFonts w:hint="cs"/>
          <w:rtl/>
        </w:rPr>
        <w:t>كانت</w:t>
      </w:r>
      <w:r w:rsidR="007358BA" w:rsidRPr="005639FB">
        <w:rPr>
          <w:rFonts w:hint="cs"/>
          <w:rtl/>
        </w:rPr>
        <w:t xml:space="preserve"> </w:t>
      </w:r>
      <w:r w:rsidR="005A6F7F" w:rsidRPr="005639FB">
        <w:rPr>
          <w:rFonts w:hint="cs"/>
          <w:rtl/>
        </w:rPr>
        <w:t xml:space="preserve">الإدارة </w:t>
      </w:r>
      <w:r w:rsidR="007358BA" w:rsidRPr="005639FB">
        <w:rPr>
          <w:rFonts w:hint="cs"/>
          <w:rtl/>
        </w:rPr>
        <w:t xml:space="preserve">القائمة </w:t>
      </w:r>
      <w:r w:rsidR="005A6F7F" w:rsidRPr="005639FB">
        <w:rPr>
          <w:rFonts w:hint="cs"/>
          <w:rtl/>
        </w:rPr>
        <w:t>قد استوف</w:t>
      </w:r>
      <w:r w:rsidR="007358BA" w:rsidRPr="005639FB">
        <w:rPr>
          <w:rFonts w:hint="cs"/>
          <w:rtl/>
        </w:rPr>
        <w:t xml:space="preserve">ت الحد الأدنى </w:t>
      </w:r>
      <w:r w:rsidR="005A6F7F" w:rsidRPr="005639FB">
        <w:rPr>
          <w:rFonts w:hint="cs"/>
          <w:rtl/>
        </w:rPr>
        <w:t>من المتطلبات المنصوص عليها في قا</w:t>
      </w:r>
      <w:r w:rsidR="007358BA" w:rsidRPr="005639FB">
        <w:rPr>
          <w:rFonts w:hint="cs"/>
          <w:rtl/>
        </w:rPr>
        <w:t>عد</w:t>
      </w:r>
      <w:r w:rsidR="005A6F7F" w:rsidRPr="005639FB">
        <w:rPr>
          <w:rFonts w:hint="cs"/>
          <w:rtl/>
        </w:rPr>
        <w:t>تي</w:t>
      </w:r>
      <w:r w:rsidR="007358BA" w:rsidRPr="005639FB">
        <w:rPr>
          <w:rFonts w:hint="cs"/>
          <w:rtl/>
        </w:rPr>
        <w:t xml:space="preserve"> مع</w:t>
      </w:r>
      <w:r w:rsidR="005A6F7F" w:rsidRPr="005639FB">
        <w:rPr>
          <w:rFonts w:hint="cs"/>
          <w:rtl/>
        </w:rPr>
        <w:t>اهدة التعاون بشأن البراءات 36 و</w:t>
      </w:r>
      <w:r w:rsidR="007358BA" w:rsidRPr="005639FB">
        <w:rPr>
          <w:rFonts w:hint="cs"/>
          <w:rtl/>
        </w:rPr>
        <w:t>63</w:t>
      </w:r>
      <w:r w:rsidR="005A6F7F" w:rsidRPr="005639FB">
        <w:rPr>
          <w:rFonts w:hint="cs"/>
          <w:rtl/>
        </w:rPr>
        <w:t>، و</w:t>
      </w:r>
      <w:r w:rsidR="007358BA" w:rsidRPr="005639FB">
        <w:rPr>
          <w:rFonts w:hint="cs"/>
          <w:rtl/>
        </w:rPr>
        <w:t xml:space="preserve">أن </w:t>
      </w:r>
      <w:r w:rsidR="005A6F7F" w:rsidRPr="005639FB">
        <w:rPr>
          <w:rFonts w:hint="cs"/>
          <w:rtl/>
        </w:rPr>
        <w:t>يكون المندوبو</w:t>
      </w:r>
      <w:r w:rsidR="007358BA" w:rsidRPr="005639FB">
        <w:rPr>
          <w:rFonts w:hint="cs"/>
          <w:rtl/>
        </w:rPr>
        <w:t xml:space="preserve">ن </w:t>
      </w:r>
      <w:r w:rsidR="005A6F7F" w:rsidRPr="005639FB">
        <w:rPr>
          <w:rFonts w:hint="cs"/>
          <w:rtl/>
        </w:rPr>
        <w:t xml:space="preserve">قد </w:t>
      </w:r>
      <w:r w:rsidR="007358BA" w:rsidRPr="005639FB">
        <w:rPr>
          <w:rFonts w:hint="cs"/>
          <w:rtl/>
        </w:rPr>
        <w:t>قرأ</w:t>
      </w:r>
      <w:r w:rsidR="005A6F7F" w:rsidRPr="005639FB">
        <w:rPr>
          <w:rFonts w:hint="cs"/>
          <w:rtl/>
        </w:rPr>
        <w:t>وا</w:t>
      </w:r>
      <w:r w:rsidR="007358BA" w:rsidRPr="005639FB">
        <w:rPr>
          <w:rFonts w:hint="cs"/>
          <w:rtl/>
        </w:rPr>
        <w:t xml:space="preserve"> الوثائق مقدما لطلب أي</w:t>
      </w:r>
      <w:r w:rsidR="005A6F7F" w:rsidRPr="005639FB">
        <w:rPr>
          <w:rFonts w:hint="cs"/>
          <w:rtl/>
        </w:rPr>
        <w:t>ة إيضاحات ضروري</w:t>
      </w:r>
      <w:r w:rsidR="007358BA" w:rsidRPr="005639FB">
        <w:rPr>
          <w:rFonts w:hint="cs"/>
          <w:rtl/>
        </w:rPr>
        <w:t>ة لمثل هذه الأمور.</w:t>
      </w:r>
    </w:p>
    <w:p w14:paraId="096E98DB" w14:textId="6FC595CD" w:rsidR="005A6F7F" w:rsidRPr="005639FB" w:rsidRDefault="005A6F7F" w:rsidP="00A513BF">
      <w:pPr>
        <w:pStyle w:val="NumberedParaAR"/>
      </w:pPr>
      <w:r w:rsidRPr="005639FB">
        <w:rPr>
          <w:rFonts w:hint="cs"/>
          <w:rtl/>
        </w:rPr>
        <w:t xml:space="preserve">وأشارت عدة إدارات إلى عزمها استخدام </w:t>
      </w:r>
      <w:r w:rsidRPr="005639FB">
        <w:rPr>
          <w:rtl/>
        </w:rPr>
        <w:t>مشروع استمارة الطلب</w:t>
      </w:r>
      <w:r w:rsidRPr="005639FB">
        <w:rPr>
          <w:rFonts w:hint="cs"/>
          <w:rtl/>
        </w:rPr>
        <w:t xml:space="preserve"> الذي ناقشه </w:t>
      </w:r>
      <w:r w:rsidRPr="005639FB">
        <w:rPr>
          <w:rtl/>
        </w:rPr>
        <w:t>الفريق الفرعي المعني بالجودة</w:t>
      </w:r>
      <w:r w:rsidRPr="005639FB">
        <w:rPr>
          <w:rFonts w:hint="cs"/>
          <w:rtl/>
        </w:rPr>
        <w:t xml:space="preserve"> كأساس لطلبات</w:t>
      </w:r>
      <w:r w:rsidR="00EE46D2" w:rsidRPr="005639FB">
        <w:rPr>
          <w:rFonts w:hint="cs"/>
          <w:rtl/>
        </w:rPr>
        <w:t xml:space="preserve">ها وحثّت </w:t>
      </w:r>
      <w:r w:rsidRPr="005639FB">
        <w:rPr>
          <w:rFonts w:hint="cs"/>
          <w:rtl/>
        </w:rPr>
        <w:t>الآخ</w:t>
      </w:r>
      <w:r w:rsidR="00EE46D2" w:rsidRPr="005639FB">
        <w:rPr>
          <w:rFonts w:hint="cs"/>
          <w:rtl/>
        </w:rPr>
        <w:t>رين على القيام بالمثل. وقد أ</w:t>
      </w:r>
      <w:r w:rsidRPr="005639FB">
        <w:rPr>
          <w:rFonts w:hint="cs"/>
          <w:rtl/>
        </w:rPr>
        <w:t xml:space="preserve">رسلت </w:t>
      </w:r>
      <w:r w:rsidR="00EE46D2" w:rsidRPr="005639FB">
        <w:rPr>
          <w:rFonts w:hint="cs"/>
          <w:rtl/>
        </w:rPr>
        <w:t>بعض الإدارات مسبقا</w:t>
      </w:r>
      <w:r w:rsidRPr="005639FB">
        <w:rPr>
          <w:rFonts w:hint="cs"/>
          <w:rtl/>
        </w:rPr>
        <w:t xml:space="preserve"> </w:t>
      </w:r>
      <w:r w:rsidR="00EE46D2" w:rsidRPr="005639FB">
        <w:rPr>
          <w:rFonts w:hint="cs"/>
          <w:rtl/>
        </w:rPr>
        <w:t>نسخ مشروعات</w:t>
      </w:r>
      <w:r w:rsidRPr="005639FB">
        <w:rPr>
          <w:rFonts w:hint="cs"/>
          <w:rtl/>
        </w:rPr>
        <w:t xml:space="preserve"> </w:t>
      </w:r>
      <w:r w:rsidR="00EE46D2" w:rsidRPr="005639FB">
        <w:rPr>
          <w:rFonts w:hint="cs"/>
          <w:rtl/>
        </w:rPr>
        <w:t>طلباتها، التي سيراجعها</w:t>
      </w:r>
      <w:r w:rsidRPr="005639FB">
        <w:rPr>
          <w:rFonts w:hint="cs"/>
          <w:rtl/>
        </w:rPr>
        <w:t xml:space="preserve"> المكتب الدولي في أقرب وقت ممكن.</w:t>
      </w:r>
    </w:p>
    <w:p w14:paraId="0A10D3D6" w14:textId="106DC164" w:rsidR="00EE46D2" w:rsidRPr="005639FB" w:rsidRDefault="00EE46D2" w:rsidP="00A513BF">
      <w:pPr>
        <w:pStyle w:val="NumberedParaAR"/>
      </w:pPr>
      <w:r w:rsidRPr="005639FB">
        <w:rPr>
          <w:rFonts w:hint="cs"/>
          <w:rtl/>
        </w:rPr>
        <w:t>واتفقت الإدار</w:t>
      </w:r>
      <w:r w:rsidR="00294B03" w:rsidRPr="005639FB">
        <w:rPr>
          <w:rFonts w:hint="cs"/>
          <w:rtl/>
        </w:rPr>
        <w:t>ا</w:t>
      </w:r>
      <w:r w:rsidRPr="005639FB">
        <w:rPr>
          <w:rFonts w:hint="cs"/>
          <w:rtl/>
        </w:rPr>
        <w:t xml:space="preserve">ت على أن من المستحسن، لدواعي الشفافية، الحفاظ على أكبر قدر ممكن من الاتساق بين </w:t>
      </w:r>
      <w:r w:rsidR="00294B03" w:rsidRPr="005639FB">
        <w:rPr>
          <w:rtl/>
        </w:rPr>
        <w:t>مت</w:t>
      </w:r>
      <w:r w:rsidR="00294B03" w:rsidRPr="005639FB">
        <w:rPr>
          <w:rFonts w:hint="cs"/>
          <w:rtl/>
        </w:rPr>
        <w:t>و</w:t>
      </w:r>
      <w:r w:rsidR="00294B03" w:rsidRPr="005639FB">
        <w:rPr>
          <w:rtl/>
        </w:rPr>
        <w:t xml:space="preserve">ن </w:t>
      </w:r>
      <w:r w:rsidR="00294B03" w:rsidRPr="005639FB">
        <w:rPr>
          <w:rFonts w:hint="cs"/>
          <w:rtl/>
        </w:rPr>
        <w:t>ا</w:t>
      </w:r>
      <w:r w:rsidRPr="005639FB">
        <w:rPr>
          <w:rFonts w:hint="cs"/>
          <w:rtl/>
        </w:rPr>
        <w:t xml:space="preserve">لاتفاقات </w:t>
      </w:r>
      <w:r w:rsidR="00294B03" w:rsidRPr="005639FB">
        <w:rPr>
          <w:rFonts w:hint="cs"/>
          <w:rtl/>
        </w:rPr>
        <w:t>المبرمة بين المكتب الدولي والإدارات</w:t>
      </w:r>
      <w:r w:rsidRPr="005639FB">
        <w:rPr>
          <w:rFonts w:hint="cs"/>
          <w:rtl/>
        </w:rPr>
        <w:t xml:space="preserve"> الدولية </w:t>
      </w:r>
      <w:r w:rsidR="001E1EC6" w:rsidRPr="005639FB">
        <w:rPr>
          <w:rFonts w:hint="cs"/>
          <w:rtl/>
        </w:rPr>
        <w:t xml:space="preserve">وأن تبرز الخلافات </w:t>
      </w:r>
      <w:r w:rsidR="001D61B5" w:rsidRPr="005639FB">
        <w:rPr>
          <w:rFonts w:hint="cs"/>
          <w:rtl/>
        </w:rPr>
        <w:t>بأعلى قدر ممكن</w:t>
      </w:r>
      <w:r w:rsidR="001E1EC6" w:rsidRPr="005639FB">
        <w:rPr>
          <w:rFonts w:hint="cs"/>
          <w:rtl/>
        </w:rPr>
        <w:t xml:space="preserve"> </w:t>
      </w:r>
      <w:r w:rsidR="001D61B5" w:rsidRPr="005639FB">
        <w:rPr>
          <w:rFonts w:hint="cs"/>
          <w:rtl/>
        </w:rPr>
        <w:t>من ال</w:t>
      </w:r>
      <w:r w:rsidR="001E1EC6" w:rsidRPr="005639FB">
        <w:rPr>
          <w:rFonts w:hint="cs"/>
          <w:rtl/>
        </w:rPr>
        <w:t>وض</w:t>
      </w:r>
      <w:r w:rsidR="001D61B5" w:rsidRPr="005639FB">
        <w:rPr>
          <w:rFonts w:hint="cs"/>
          <w:rtl/>
        </w:rPr>
        <w:t>و</w:t>
      </w:r>
      <w:r w:rsidR="001E1EC6" w:rsidRPr="005639FB">
        <w:rPr>
          <w:rFonts w:hint="cs"/>
          <w:rtl/>
        </w:rPr>
        <w:t>ح</w:t>
      </w:r>
      <w:r w:rsidRPr="005639FB">
        <w:rPr>
          <w:rFonts w:hint="cs"/>
          <w:rtl/>
        </w:rPr>
        <w:t xml:space="preserve"> </w:t>
      </w:r>
      <w:r w:rsidR="001D61B5" w:rsidRPr="005639FB">
        <w:rPr>
          <w:rFonts w:hint="cs"/>
          <w:rtl/>
        </w:rPr>
        <w:t>والتمام</w:t>
      </w:r>
      <w:r w:rsidR="001E1EC6" w:rsidRPr="005639FB">
        <w:rPr>
          <w:rFonts w:hint="cs"/>
          <w:rtl/>
        </w:rPr>
        <w:t xml:space="preserve"> </w:t>
      </w:r>
      <w:r w:rsidR="001D61B5" w:rsidRPr="005639FB">
        <w:rPr>
          <w:rFonts w:hint="cs"/>
          <w:rtl/>
        </w:rPr>
        <w:t xml:space="preserve">والاتساق </w:t>
      </w:r>
      <w:r w:rsidRPr="005639FB">
        <w:rPr>
          <w:rFonts w:hint="cs"/>
          <w:rtl/>
        </w:rPr>
        <w:t>في المرفقات. و</w:t>
      </w:r>
      <w:r w:rsidR="001D61B5" w:rsidRPr="005639FB">
        <w:rPr>
          <w:rFonts w:hint="cs"/>
          <w:rtl/>
        </w:rPr>
        <w:t>يشمل ذلك بيانات واضحة أو إشا</w:t>
      </w:r>
      <w:r w:rsidRPr="005639FB">
        <w:rPr>
          <w:rFonts w:hint="cs"/>
          <w:rtl/>
        </w:rPr>
        <w:t>ر</w:t>
      </w:r>
      <w:r w:rsidR="001D61B5" w:rsidRPr="005639FB">
        <w:rPr>
          <w:rFonts w:hint="cs"/>
          <w:rtl/>
        </w:rPr>
        <w:t>ات</w:t>
      </w:r>
      <w:r w:rsidRPr="005639FB">
        <w:rPr>
          <w:rFonts w:hint="cs"/>
          <w:rtl/>
        </w:rPr>
        <w:t xml:space="preserve"> إلى اتفاقات بشأن القيود المفروضة على نطاق </w:t>
      </w:r>
      <w:r w:rsidR="001D61B5" w:rsidRPr="005639FB">
        <w:rPr>
          <w:rFonts w:hint="cs"/>
          <w:rtl/>
        </w:rPr>
        <w:t xml:space="preserve">أو عدد </w:t>
      </w:r>
      <w:r w:rsidRPr="005639FB">
        <w:rPr>
          <w:rFonts w:hint="cs"/>
          <w:rtl/>
        </w:rPr>
        <w:t xml:space="preserve">الطلبات الدولية </w:t>
      </w:r>
      <w:r w:rsidR="001D61B5" w:rsidRPr="005639FB">
        <w:rPr>
          <w:rFonts w:hint="cs"/>
          <w:rtl/>
        </w:rPr>
        <w:t>التي تدخل في اختصاص إدارة معينة.</w:t>
      </w:r>
      <w:r w:rsidRPr="005639FB">
        <w:rPr>
          <w:rFonts w:hint="cs"/>
          <w:rtl/>
        </w:rPr>
        <w:t xml:space="preserve"> </w:t>
      </w:r>
      <w:r w:rsidR="001D61B5" w:rsidRPr="005639FB">
        <w:rPr>
          <w:rFonts w:hint="cs"/>
          <w:rtl/>
        </w:rPr>
        <w:t>ويعتبر ال</w:t>
      </w:r>
      <w:r w:rsidRPr="005639FB">
        <w:rPr>
          <w:rFonts w:hint="cs"/>
          <w:rtl/>
        </w:rPr>
        <w:t>مشروع الم</w:t>
      </w:r>
      <w:r w:rsidR="001D61B5" w:rsidRPr="005639FB">
        <w:rPr>
          <w:rFonts w:hint="cs"/>
          <w:rtl/>
        </w:rPr>
        <w:t xml:space="preserve">بين في الملحق </w:t>
      </w:r>
      <w:r w:rsidRPr="005639FB">
        <w:rPr>
          <w:rFonts w:hint="cs"/>
          <w:rtl/>
        </w:rPr>
        <w:t xml:space="preserve">أساسا جيدا لاتفاق نموذجي لجميع </w:t>
      </w:r>
      <w:r w:rsidR="001D61B5" w:rsidRPr="005639FB">
        <w:rPr>
          <w:rFonts w:hint="cs"/>
          <w:rtl/>
        </w:rPr>
        <w:t>الإدارات</w:t>
      </w:r>
      <w:r w:rsidRPr="005639FB">
        <w:rPr>
          <w:rFonts w:hint="cs"/>
          <w:rtl/>
        </w:rPr>
        <w:t>، م</w:t>
      </w:r>
      <w:r w:rsidR="001D61B5" w:rsidRPr="005639FB">
        <w:rPr>
          <w:rFonts w:hint="cs"/>
          <w:rtl/>
        </w:rPr>
        <w:t>ع الإشارة</w:t>
      </w:r>
      <w:r w:rsidR="00C93BAB" w:rsidRPr="005639FB">
        <w:rPr>
          <w:rFonts w:hint="eastAsia"/>
          <w:rtl/>
        </w:rPr>
        <w:t> </w:t>
      </w:r>
      <w:r w:rsidRPr="005639FB">
        <w:rPr>
          <w:rFonts w:hint="cs"/>
          <w:rtl/>
        </w:rPr>
        <w:t>إلى أن</w:t>
      </w:r>
      <w:r w:rsidR="006C3CC6" w:rsidRPr="005639FB">
        <w:rPr>
          <w:rFonts w:hint="cs"/>
          <w:rtl/>
        </w:rPr>
        <w:t>ه</w:t>
      </w:r>
      <w:r w:rsidRPr="005639FB">
        <w:rPr>
          <w:rFonts w:hint="cs"/>
          <w:rtl/>
        </w:rPr>
        <w:t>:</w:t>
      </w:r>
    </w:p>
    <w:p w14:paraId="69EF5E4E" w14:textId="34586944" w:rsidR="001D61B5" w:rsidRPr="005639FB" w:rsidRDefault="00C93BAB" w:rsidP="00A513BF">
      <w:pPr>
        <w:pStyle w:val="NumberedParaAR"/>
        <w:numPr>
          <w:ilvl w:val="0"/>
          <w:numId w:val="0"/>
        </w:numPr>
        <w:ind w:left="566"/>
        <w:rPr>
          <w:rtl/>
        </w:rPr>
      </w:pPr>
      <w:r w:rsidRPr="005639FB">
        <w:rPr>
          <w:rFonts w:hint="cs"/>
          <w:rtl/>
          <w:lang w:val="fr-FR" w:bidi="ar-EG"/>
        </w:rPr>
        <w:t>(أ)</w:t>
      </w:r>
      <w:r w:rsidRPr="005639FB">
        <w:rPr>
          <w:rtl/>
          <w:lang w:val="fr-FR" w:bidi="ar-EG"/>
        </w:rPr>
        <w:tab/>
      </w:r>
      <w:r w:rsidR="00D233E3" w:rsidRPr="005639FB">
        <w:rPr>
          <w:rFonts w:hint="cs"/>
          <w:rtl/>
        </w:rPr>
        <w:t>يجوز</w:t>
      </w:r>
      <w:r w:rsidR="001D61B5" w:rsidRPr="005639FB">
        <w:rPr>
          <w:rtl/>
        </w:rPr>
        <w:t xml:space="preserve"> </w:t>
      </w:r>
      <w:r w:rsidR="00D233E3" w:rsidRPr="005639FB">
        <w:rPr>
          <w:rFonts w:hint="cs"/>
          <w:rtl/>
        </w:rPr>
        <w:t xml:space="preserve">للإدارات </w:t>
      </w:r>
      <w:r w:rsidR="00D233E3" w:rsidRPr="005639FB">
        <w:rPr>
          <w:rtl/>
        </w:rPr>
        <w:t>التي أنشئت</w:t>
      </w:r>
      <w:r w:rsidR="001D61B5" w:rsidRPr="005639FB">
        <w:rPr>
          <w:rtl/>
        </w:rPr>
        <w:t xml:space="preserve"> </w:t>
      </w:r>
      <w:r w:rsidR="00D233E3" w:rsidRPr="005639FB">
        <w:rPr>
          <w:rFonts w:hint="cs"/>
          <w:rtl/>
        </w:rPr>
        <w:t>اتفاقاتها ب</w:t>
      </w:r>
      <w:r w:rsidR="00D233E3" w:rsidRPr="005639FB">
        <w:rPr>
          <w:rtl/>
        </w:rPr>
        <w:t xml:space="preserve">لغات متعددة </w:t>
      </w:r>
      <w:r w:rsidR="00D233E3" w:rsidRPr="005639FB">
        <w:rPr>
          <w:rFonts w:hint="cs"/>
          <w:rtl/>
        </w:rPr>
        <w:t xml:space="preserve">أن </w:t>
      </w:r>
      <w:r w:rsidR="001D61B5" w:rsidRPr="005639FB">
        <w:rPr>
          <w:rtl/>
        </w:rPr>
        <w:t>تطلب بيان</w:t>
      </w:r>
      <w:r w:rsidR="00D233E3" w:rsidRPr="005639FB">
        <w:rPr>
          <w:rFonts w:hint="cs"/>
          <w:rtl/>
        </w:rPr>
        <w:t>ا</w:t>
      </w:r>
      <w:r w:rsidR="00D233E3" w:rsidRPr="005639FB">
        <w:rPr>
          <w:rtl/>
        </w:rPr>
        <w:t xml:space="preserve"> </w:t>
      </w:r>
      <w:r w:rsidR="00D233E3" w:rsidRPr="005639FB">
        <w:rPr>
          <w:rFonts w:hint="cs"/>
          <w:rtl/>
        </w:rPr>
        <w:t>بأ</w:t>
      </w:r>
      <w:r w:rsidR="00D233E3" w:rsidRPr="005639FB">
        <w:rPr>
          <w:rtl/>
        </w:rPr>
        <w:t xml:space="preserve">ن لكل </w:t>
      </w:r>
      <w:r w:rsidR="00D233E3" w:rsidRPr="005639FB">
        <w:rPr>
          <w:rFonts w:hint="cs"/>
          <w:rtl/>
        </w:rPr>
        <w:t>ال</w:t>
      </w:r>
      <w:r w:rsidR="00D233E3" w:rsidRPr="005639FB">
        <w:rPr>
          <w:rtl/>
        </w:rPr>
        <w:t>لغ</w:t>
      </w:r>
      <w:r w:rsidR="00D233E3" w:rsidRPr="005639FB">
        <w:rPr>
          <w:rFonts w:hint="cs"/>
          <w:rtl/>
        </w:rPr>
        <w:t>ات</w:t>
      </w:r>
      <w:r w:rsidR="00D233E3" w:rsidRPr="005639FB">
        <w:rPr>
          <w:rtl/>
        </w:rPr>
        <w:t xml:space="preserve"> </w:t>
      </w:r>
      <w:r w:rsidR="00D233E3" w:rsidRPr="005639FB">
        <w:rPr>
          <w:rFonts w:hint="cs"/>
          <w:rtl/>
        </w:rPr>
        <w:t xml:space="preserve">ذات </w:t>
      </w:r>
      <w:r w:rsidR="00D233E3" w:rsidRPr="005639FB">
        <w:rPr>
          <w:rtl/>
        </w:rPr>
        <w:t>الحجية</w:t>
      </w:r>
      <w:r w:rsidR="001D61B5" w:rsidRPr="005639FB">
        <w:rPr>
          <w:rtl/>
        </w:rPr>
        <w:t>؛</w:t>
      </w:r>
    </w:p>
    <w:p w14:paraId="033622A1" w14:textId="79D75FFF" w:rsidR="001D61B5" w:rsidRPr="005639FB" w:rsidRDefault="00D233E3" w:rsidP="00A513BF">
      <w:pPr>
        <w:pStyle w:val="NumberedParaAR"/>
        <w:numPr>
          <w:ilvl w:val="0"/>
          <w:numId w:val="0"/>
        </w:numPr>
        <w:ind w:left="566"/>
      </w:pPr>
      <w:r w:rsidRPr="005639FB">
        <w:rPr>
          <w:rFonts w:hint="cs"/>
          <w:rtl/>
        </w:rPr>
        <w:t>(ب)</w:t>
      </w:r>
      <w:r w:rsidRPr="005639FB">
        <w:rPr>
          <w:rtl/>
        </w:rPr>
        <w:tab/>
      </w:r>
      <w:r w:rsidRPr="005639FB">
        <w:rPr>
          <w:rFonts w:hint="cs"/>
          <w:rtl/>
        </w:rPr>
        <w:t>ويمكن ل</w:t>
      </w:r>
      <w:r w:rsidRPr="005639FB">
        <w:rPr>
          <w:rtl/>
        </w:rPr>
        <w:t xml:space="preserve">بعض </w:t>
      </w:r>
      <w:r w:rsidRPr="005639FB">
        <w:rPr>
          <w:rFonts w:hint="cs"/>
          <w:rtl/>
        </w:rPr>
        <w:t xml:space="preserve">الإدارات أن </w:t>
      </w:r>
      <w:r w:rsidRPr="005639FB">
        <w:rPr>
          <w:rtl/>
        </w:rPr>
        <w:t>تطلب اختلافات طفيفة في النص لأسباب وطنية محددة؛</w:t>
      </w:r>
    </w:p>
    <w:p w14:paraId="1B9D3194" w14:textId="06A17817" w:rsidR="00D233E3" w:rsidRPr="005639FB" w:rsidRDefault="00D233E3" w:rsidP="00A513BF">
      <w:pPr>
        <w:pStyle w:val="NumberedParaAR"/>
        <w:numPr>
          <w:ilvl w:val="0"/>
          <w:numId w:val="0"/>
        </w:numPr>
        <w:ind w:left="566"/>
        <w:rPr>
          <w:rtl/>
        </w:rPr>
      </w:pPr>
      <w:r w:rsidRPr="005639FB">
        <w:rPr>
          <w:rFonts w:hint="cs"/>
          <w:rtl/>
        </w:rPr>
        <w:t>(ج)</w:t>
      </w:r>
      <w:r w:rsidRPr="005639FB">
        <w:rPr>
          <w:rFonts w:hint="cs"/>
          <w:rtl/>
        </w:rPr>
        <w:tab/>
        <w:t>و</w:t>
      </w:r>
      <w:r w:rsidR="00975C68" w:rsidRPr="005639FB">
        <w:rPr>
          <w:rtl/>
        </w:rPr>
        <w:t>ينبغي ال</w:t>
      </w:r>
      <w:r w:rsidR="00975C68" w:rsidRPr="005639FB">
        <w:rPr>
          <w:rFonts w:hint="cs"/>
          <w:rtl/>
        </w:rPr>
        <w:t>إقرار</w:t>
      </w:r>
      <w:r w:rsidRPr="005639FB">
        <w:rPr>
          <w:rtl/>
        </w:rPr>
        <w:t xml:space="preserve"> بأن معظم </w:t>
      </w:r>
      <w:r w:rsidR="00975C68" w:rsidRPr="005639FB">
        <w:rPr>
          <w:rFonts w:hint="cs"/>
          <w:rtl/>
        </w:rPr>
        <w:t>النصوص</w:t>
      </w:r>
      <w:r w:rsidRPr="005639FB">
        <w:rPr>
          <w:rtl/>
        </w:rPr>
        <w:t xml:space="preserve"> </w:t>
      </w:r>
      <w:r w:rsidR="00975C68" w:rsidRPr="005639FB">
        <w:rPr>
          <w:rFonts w:hint="cs"/>
          <w:rtl/>
        </w:rPr>
        <w:t xml:space="preserve">المذكورة </w:t>
      </w:r>
      <w:r w:rsidRPr="005639FB">
        <w:rPr>
          <w:rtl/>
        </w:rPr>
        <w:t>في ال</w:t>
      </w:r>
      <w:r w:rsidR="00975C68" w:rsidRPr="005639FB">
        <w:rPr>
          <w:rtl/>
        </w:rPr>
        <w:t>مرفقات - وخاصة، ولكن ليس</w:t>
      </w:r>
      <w:r w:rsidRPr="005639FB">
        <w:rPr>
          <w:rtl/>
        </w:rPr>
        <w:t xml:space="preserve"> </w:t>
      </w:r>
      <w:r w:rsidR="00975C68" w:rsidRPr="005639FB">
        <w:rPr>
          <w:rFonts w:hint="cs"/>
          <w:rtl/>
        </w:rPr>
        <w:t xml:space="preserve">حصرا، ما يرد </w:t>
      </w:r>
      <w:r w:rsidRPr="005639FB">
        <w:rPr>
          <w:rtl/>
        </w:rPr>
        <w:t>بين قوسين معقوف</w:t>
      </w:r>
      <w:r w:rsidR="00975C68" w:rsidRPr="005639FB">
        <w:rPr>
          <w:rtl/>
        </w:rPr>
        <w:t xml:space="preserve">ين – </w:t>
      </w:r>
      <w:r w:rsidR="00975C68" w:rsidRPr="005639FB">
        <w:rPr>
          <w:rFonts w:hint="cs"/>
          <w:rtl/>
        </w:rPr>
        <w:t xml:space="preserve">تضع </w:t>
      </w:r>
      <w:r w:rsidRPr="005639FB">
        <w:rPr>
          <w:rtl/>
        </w:rPr>
        <w:t xml:space="preserve">أمثلة لتوجيه اتساق الصياغة. </w:t>
      </w:r>
      <w:r w:rsidR="00975C68" w:rsidRPr="005639FB">
        <w:rPr>
          <w:rFonts w:hint="cs"/>
          <w:rtl/>
        </w:rPr>
        <w:t>ويقبل</w:t>
      </w:r>
      <w:r w:rsidRPr="005639FB">
        <w:rPr>
          <w:rtl/>
        </w:rPr>
        <w:t xml:space="preserve"> </w:t>
      </w:r>
      <w:r w:rsidR="00975C68" w:rsidRPr="005639FB">
        <w:rPr>
          <w:rFonts w:hint="cs"/>
          <w:rtl/>
        </w:rPr>
        <w:t>أي حذف</w:t>
      </w:r>
      <w:r w:rsidR="00975C68" w:rsidRPr="005639FB">
        <w:rPr>
          <w:rtl/>
        </w:rPr>
        <w:t xml:space="preserve"> أو</w:t>
      </w:r>
      <w:r w:rsidRPr="005639FB">
        <w:rPr>
          <w:rtl/>
        </w:rPr>
        <w:t xml:space="preserve"> </w:t>
      </w:r>
      <w:r w:rsidR="00975C68" w:rsidRPr="005639FB">
        <w:rPr>
          <w:rFonts w:hint="cs"/>
          <w:rtl/>
        </w:rPr>
        <w:t>تغيير ل</w:t>
      </w:r>
      <w:r w:rsidR="00975C68" w:rsidRPr="005639FB">
        <w:rPr>
          <w:rtl/>
        </w:rPr>
        <w:t>لنصوص داخل المرفقات</w:t>
      </w:r>
      <w:r w:rsidRPr="005639FB">
        <w:rPr>
          <w:rtl/>
        </w:rPr>
        <w:t xml:space="preserve"> شريطة أن </w:t>
      </w:r>
      <w:r w:rsidR="00975C68" w:rsidRPr="005639FB">
        <w:rPr>
          <w:rFonts w:hint="cs"/>
          <w:rtl/>
        </w:rPr>
        <w:t xml:space="preserve">تكون </w:t>
      </w:r>
      <w:r w:rsidR="00975C68" w:rsidRPr="005639FB">
        <w:rPr>
          <w:rtl/>
        </w:rPr>
        <w:t xml:space="preserve">النتيجة </w:t>
      </w:r>
      <w:r w:rsidRPr="005639FB">
        <w:rPr>
          <w:rtl/>
        </w:rPr>
        <w:t>متسقة مع التزا</w:t>
      </w:r>
      <w:r w:rsidR="00975C68" w:rsidRPr="005639FB">
        <w:rPr>
          <w:rtl/>
        </w:rPr>
        <w:t>مات ال</w:t>
      </w:r>
      <w:r w:rsidR="00975C68" w:rsidRPr="005639FB">
        <w:rPr>
          <w:rFonts w:hint="cs"/>
          <w:rtl/>
        </w:rPr>
        <w:t>إدارات</w:t>
      </w:r>
      <w:r w:rsidRPr="005639FB">
        <w:rPr>
          <w:rtl/>
        </w:rPr>
        <w:t xml:space="preserve"> بموجب معاهدة (بما في ذلك القواعد والتعليمات الإدارية). </w:t>
      </w:r>
      <w:r w:rsidR="00D227B6" w:rsidRPr="005639FB">
        <w:rPr>
          <w:rFonts w:hint="cs"/>
          <w:rtl/>
        </w:rPr>
        <w:t>و</w:t>
      </w:r>
      <w:r w:rsidR="00D227B6" w:rsidRPr="005639FB">
        <w:rPr>
          <w:rtl/>
        </w:rPr>
        <w:t>ل</w:t>
      </w:r>
      <w:r w:rsidR="00D227B6" w:rsidRPr="005639FB">
        <w:rPr>
          <w:rFonts w:hint="cs"/>
          <w:rtl/>
        </w:rPr>
        <w:t>م يشتمل</w:t>
      </w:r>
      <w:r w:rsidRPr="005639FB">
        <w:rPr>
          <w:rtl/>
        </w:rPr>
        <w:t xml:space="preserve"> </w:t>
      </w:r>
      <w:r w:rsidR="00D227B6" w:rsidRPr="005639FB">
        <w:rPr>
          <w:rFonts w:hint="cs"/>
          <w:rtl/>
        </w:rPr>
        <w:t>ال</w:t>
      </w:r>
      <w:r w:rsidR="00D227B6" w:rsidRPr="005639FB">
        <w:rPr>
          <w:rtl/>
        </w:rPr>
        <w:t xml:space="preserve">نموذج </w:t>
      </w:r>
      <w:r w:rsidR="00D227B6" w:rsidRPr="005639FB">
        <w:rPr>
          <w:rFonts w:hint="cs"/>
          <w:rtl/>
        </w:rPr>
        <w:t xml:space="preserve">على </w:t>
      </w:r>
      <w:r w:rsidRPr="005639FB">
        <w:rPr>
          <w:rtl/>
        </w:rPr>
        <w:t xml:space="preserve">جميع الاحتمالات ضمن المرفقات، مثل </w:t>
      </w:r>
      <w:r w:rsidR="00D227B6" w:rsidRPr="005639FB">
        <w:rPr>
          <w:rFonts w:hint="cs"/>
          <w:rtl/>
        </w:rPr>
        <w:t xml:space="preserve">تلك المتعلقة </w:t>
      </w:r>
      <w:r w:rsidR="00D227B6" w:rsidRPr="005639FB">
        <w:rPr>
          <w:rtl/>
        </w:rPr>
        <w:t>ب</w:t>
      </w:r>
      <w:r w:rsidR="00817179" w:rsidRPr="005639FB">
        <w:rPr>
          <w:rFonts w:hint="cs"/>
          <w:rtl/>
        </w:rPr>
        <w:t>ال</w:t>
      </w:r>
      <w:r w:rsidR="00817179" w:rsidRPr="005639FB">
        <w:rPr>
          <w:rtl/>
        </w:rPr>
        <w:t>أسس ال</w:t>
      </w:r>
      <w:r w:rsidR="00817179" w:rsidRPr="005639FB">
        <w:rPr>
          <w:rFonts w:hint="cs"/>
          <w:rtl/>
        </w:rPr>
        <w:t>ت</w:t>
      </w:r>
      <w:r w:rsidR="00817179" w:rsidRPr="005639FB">
        <w:rPr>
          <w:rtl/>
        </w:rPr>
        <w:t>ي تقرر ال</w:t>
      </w:r>
      <w:r w:rsidR="00817179" w:rsidRPr="005639FB">
        <w:rPr>
          <w:rFonts w:hint="cs"/>
          <w:rtl/>
        </w:rPr>
        <w:t>إدار</w:t>
      </w:r>
      <w:r w:rsidR="00817179" w:rsidRPr="005639FB">
        <w:rPr>
          <w:rtl/>
        </w:rPr>
        <w:t>ة</w:t>
      </w:r>
      <w:r w:rsidR="00817179" w:rsidRPr="005639FB">
        <w:rPr>
          <w:rFonts w:hint="cs"/>
          <w:rtl/>
        </w:rPr>
        <w:t xml:space="preserve"> بموجبها إعادة </w:t>
      </w:r>
      <w:r w:rsidR="00817179" w:rsidRPr="005639FB">
        <w:rPr>
          <w:rtl/>
        </w:rPr>
        <w:t>المبالغ</w:t>
      </w:r>
      <w:r w:rsidR="00817179" w:rsidRPr="005639FB">
        <w:rPr>
          <w:rFonts w:hint="cs"/>
          <w:rtl/>
        </w:rPr>
        <w:t xml:space="preserve"> </w:t>
      </w:r>
      <w:r w:rsidR="008022D2" w:rsidRPr="005639FB">
        <w:rPr>
          <w:rFonts w:hint="cs"/>
          <w:rtl/>
        </w:rPr>
        <w:t xml:space="preserve">المدفوعة لقاء </w:t>
      </w:r>
      <w:r w:rsidR="00817179" w:rsidRPr="005639FB">
        <w:rPr>
          <w:rtl/>
        </w:rPr>
        <w:t>عمليات البحث السابقة</w:t>
      </w:r>
      <w:r w:rsidRPr="005639FB">
        <w:rPr>
          <w:rtl/>
        </w:rPr>
        <w:t>.</w:t>
      </w:r>
    </w:p>
    <w:p w14:paraId="7B88CC84" w14:textId="247361AE" w:rsidR="008022D2" w:rsidRPr="005639FB" w:rsidRDefault="008022D2" w:rsidP="00A513BF">
      <w:pPr>
        <w:pStyle w:val="NumberedParaAR"/>
        <w:ind w:left="1440" w:hanging="720"/>
      </w:pPr>
      <w:r w:rsidRPr="005639FB">
        <w:rPr>
          <w:rFonts w:hint="cs"/>
          <w:rtl/>
        </w:rPr>
        <w:t>إنّ الاجتماع:</w:t>
      </w:r>
    </w:p>
    <w:p w14:paraId="66F76C5B" w14:textId="6836470F" w:rsidR="00773C50" w:rsidRPr="005639FB" w:rsidRDefault="006C3CC6" w:rsidP="00A513BF">
      <w:pPr>
        <w:pStyle w:val="NumberedParaAR"/>
        <w:numPr>
          <w:ilvl w:val="0"/>
          <w:numId w:val="0"/>
        </w:numPr>
        <w:ind w:left="1435"/>
      </w:pPr>
      <w:r w:rsidRPr="005639FB">
        <w:rPr>
          <w:rFonts w:hint="cs"/>
          <w:rtl/>
        </w:rPr>
        <w:t>(أ)</w:t>
      </w:r>
      <w:r w:rsidR="00711E50" w:rsidRPr="005639FB">
        <w:tab/>
      </w:r>
      <w:r w:rsidRPr="005639FB">
        <w:rPr>
          <w:rtl/>
        </w:rPr>
        <w:tab/>
      </w:r>
      <w:r w:rsidR="00773C50" w:rsidRPr="005639FB">
        <w:rPr>
          <w:rFonts w:hint="cs"/>
          <w:rtl/>
        </w:rPr>
        <w:t>أحاط علما بالتواريخ المحددة الم</w:t>
      </w:r>
      <w:r w:rsidR="0046222F" w:rsidRPr="005639FB">
        <w:rPr>
          <w:rFonts w:hint="cs"/>
          <w:rtl/>
        </w:rPr>
        <w:t>طب</w:t>
      </w:r>
      <w:r w:rsidR="00773C50" w:rsidRPr="005639FB">
        <w:rPr>
          <w:rFonts w:hint="cs"/>
          <w:rtl/>
        </w:rPr>
        <w:t>ّ</w:t>
      </w:r>
      <w:r w:rsidR="0046222F" w:rsidRPr="005639FB">
        <w:rPr>
          <w:rFonts w:hint="cs"/>
          <w:rtl/>
        </w:rPr>
        <w:t>ق</w:t>
      </w:r>
      <w:r w:rsidR="00773C50" w:rsidRPr="005639FB">
        <w:rPr>
          <w:rFonts w:hint="cs"/>
          <w:rtl/>
        </w:rPr>
        <w:t>ة على الجدول الزمني الذي اتف</w:t>
      </w:r>
      <w:r w:rsidR="0046222F" w:rsidRPr="005639FB">
        <w:rPr>
          <w:rFonts w:hint="cs"/>
          <w:rtl/>
        </w:rPr>
        <w:t xml:space="preserve">ق عليه الفريق العامل </w:t>
      </w:r>
      <w:r w:rsidR="00773C50" w:rsidRPr="005639FB">
        <w:rPr>
          <w:rFonts w:hint="cs"/>
          <w:rtl/>
        </w:rPr>
        <w:t>ل</w:t>
      </w:r>
      <w:r w:rsidR="0046222F" w:rsidRPr="005639FB">
        <w:rPr>
          <w:rFonts w:hint="cs"/>
          <w:rtl/>
        </w:rPr>
        <w:t>معاهدة التعاون بشأن البراءات، على النح</w:t>
      </w:r>
      <w:r w:rsidR="00773C50" w:rsidRPr="005639FB">
        <w:rPr>
          <w:rFonts w:hint="cs"/>
          <w:rtl/>
        </w:rPr>
        <w:t xml:space="preserve">و المبين في الفقرة 4 من </w:t>
      </w:r>
      <w:r w:rsidR="00773C50" w:rsidRPr="005639FB">
        <w:rPr>
          <w:rtl/>
        </w:rPr>
        <w:t xml:space="preserve">الوثيقة </w:t>
      </w:r>
      <w:r w:rsidR="00773C50" w:rsidRPr="005639FB">
        <w:t>PCT/MIA/24/2</w:t>
      </w:r>
      <w:r w:rsidR="00773C50" w:rsidRPr="005639FB">
        <w:rPr>
          <w:rFonts w:hint="cs"/>
          <w:rtl/>
        </w:rPr>
        <w:t>؛</w:t>
      </w:r>
    </w:p>
    <w:p w14:paraId="53D39923" w14:textId="27EC3AA6" w:rsidR="007F2F55" w:rsidRPr="005639FB" w:rsidRDefault="006C3CC6" w:rsidP="00A513BF">
      <w:pPr>
        <w:pStyle w:val="NumberedParaAR"/>
        <w:numPr>
          <w:ilvl w:val="0"/>
          <w:numId w:val="0"/>
        </w:numPr>
        <w:ind w:left="1440"/>
      </w:pPr>
      <w:r w:rsidRPr="005639FB">
        <w:rPr>
          <w:rFonts w:hint="cs"/>
          <w:rtl/>
        </w:rPr>
        <w:t>(ب)</w:t>
      </w:r>
      <w:r w:rsidRPr="005639FB">
        <w:rPr>
          <w:rtl/>
        </w:rPr>
        <w:tab/>
      </w:r>
      <w:r w:rsidR="00773C50" w:rsidRPr="005639FB">
        <w:rPr>
          <w:rFonts w:hint="cs"/>
          <w:rtl/>
        </w:rPr>
        <w:t xml:space="preserve">وأحاط علما </w:t>
      </w:r>
      <w:r w:rsidR="007F2F55" w:rsidRPr="005639FB">
        <w:rPr>
          <w:rFonts w:hint="cs"/>
          <w:rtl/>
        </w:rPr>
        <w:t>ب</w:t>
      </w:r>
      <w:r w:rsidR="0046222F" w:rsidRPr="005639FB">
        <w:rPr>
          <w:rFonts w:hint="cs"/>
          <w:rtl/>
        </w:rPr>
        <w:t>التدابير ا</w:t>
      </w:r>
      <w:r w:rsidR="007F2F55" w:rsidRPr="005639FB">
        <w:rPr>
          <w:rFonts w:hint="cs"/>
          <w:rtl/>
        </w:rPr>
        <w:t xml:space="preserve">لمقترحة في الفقرة 10 من </w:t>
      </w:r>
      <w:r w:rsidR="007F2F55" w:rsidRPr="005639FB">
        <w:rPr>
          <w:rtl/>
        </w:rPr>
        <w:t xml:space="preserve">الوثيقة </w:t>
      </w:r>
      <w:r w:rsidR="007F2F55" w:rsidRPr="005639FB">
        <w:t>PCT/MIA/24/2</w:t>
      </w:r>
      <w:r w:rsidR="007F2F55" w:rsidRPr="005639FB">
        <w:rPr>
          <w:rFonts w:hint="cs"/>
          <w:rtl/>
        </w:rPr>
        <w:t xml:space="preserve"> </w:t>
      </w:r>
      <w:r w:rsidR="0046222F" w:rsidRPr="005639FB">
        <w:rPr>
          <w:rFonts w:hint="cs"/>
          <w:rtl/>
        </w:rPr>
        <w:t xml:space="preserve">لضمان جلسة فعالة ومفيدة </w:t>
      </w:r>
      <w:r w:rsidR="007F2F55" w:rsidRPr="005639FB">
        <w:rPr>
          <w:rtl/>
        </w:rPr>
        <w:t>ل</w:t>
      </w:r>
      <w:r w:rsidR="007F2F55" w:rsidRPr="005639FB">
        <w:rPr>
          <w:rFonts w:hint="cs"/>
          <w:rtl/>
        </w:rPr>
        <w:t>ل</w:t>
      </w:r>
      <w:r w:rsidR="007F2F55" w:rsidRPr="005639FB">
        <w:rPr>
          <w:rtl/>
        </w:rPr>
        <w:t>جنة معاهدة التعاون بشأن البراءات المعنية بالتعاون التقني</w:t>
      </w:r>
      <w:r w:rsidR="007F2F55" w:rsidRPr="005639FB">
        <w:rPr>
          <w:rFonts w:hint="cs"/>
          <w:rtl/>
        </w:rPr>
        <w:t>؛</w:t>
      </w:r>
    </w:p>
    <w:p w14:paraId="07A71C41" w14:textId="581612E4" w:rsidR="001D61B5" w:rsidRPr="005639FB" w:rsidRDefault="007F2F55" w:rsidP="00A513BF">
      <w:pPr>
        <w:pStyle w:val="NumberedParaAR"/>
        <w:numPr>
          <w:ilvl w:val="0"/>
          <w:numId w:val="0"/>
        </w:numPr>
        <w:ind w:left="1440"/>
      </w:pPr>
      <w:r w:rsidRPr="005639FB">
        <w:rPr>
          <w:rFonts w:hint="cs"/>
          <w:rtl/>
        </w:rPr>
        <w:t>(ج)</w:t>
      </w:r>
      <w:r w:rsidRPr="005639FB">
        <w:rPr>
          <w:rtl/>
        </w:rPr>
        <w:tab/>
      </w:r>
      <w:r w:rsidRPr="005639FB">
        <w:rPr>
          <w:rFonts w:hint="cs"/>
          <w:rtl/>
        </w:rPr>
        <w:t>و</w:t>
      </w:r>
      <w:r w:rsidR="0046222F" w:rsidRPr="005639FB">
        <w:rPr>
          <w:rFonts w:hint="cs"/>
          <w:rtl/>
        </w:rPr>
        <w:t xml:space="preserve">وافق على </w:t>
      </w:r>
      <w:r w:rsidR="000F72C7" w:rsidRPr="005639FB">
        <w:rPr>
          <w:rFonts w:hint="cs"/>
          <w:rtl/>
        </w:rPr>
        <w:t>ال</w:t>
      </w:r>
      <w:r w:rsidR="0046222F" w:rsidRPr="005639FB">
        <w:rPr>
          <w:rFonts w:hint="cs"/>
          <w:rtl/>
        </w:rPr>
        <w:t xml:space="preserve">اتفاق </w:t>
      </w:r>
      <w:r w:rsidR="000F72C7" w:rsidRPr="005639FB">
        <w:rPr>
          <w:rFonts w:hint="cs"/>
          <w:rtl/>
        </w:rPr>
        <w:t>النموذجي الوارد</w:t>
      </w:r>
      <w:r w:rsidR="0046222F" w:rsidRPr="005639FB">
        <w:rPr>
          <w:rFonts w:hint="cs"/>
          <w:rtl/>
        </w:rPr>
        <w:t xml:space="preserve"> في مرفق </w:t>
      </w:r>
      <w:r w:rsidR="000F72C7" w:rsidRPr="005639FB">
        <w:rPr>
          <w:rtl/>
        </w:rPr>
        <w:t xml:space="preserve">الوثيقة </w:t>
      </w:r>
      <w:r w:rsidR="000F72C7" w:rsidRPr="005639FB">
        <w:t>PCT/MIA/24/2</w:t>
      </w:r>
      <w:r w:rsidR="000F72C7" w:rsidRPr="005639FB">
        <w:rPr>
          <w:rFonts w:hint="cs"/>
          <w:rtl/>
        </w:rPr>
        <w:t xml:space="preserve"> </w:t>
      </w:r>
      <w:r w:rsidR="0046222F" w:rsidRPr="005639FB">
        <w:rPr>
          <w:rFonts w:hint="cs"/>
          <w:rtl/>
        </w:rPr>
        <w:t xml:space="preserve">كأساس للمناقشات </w:t>
      </w:r>
      <w:r w:rsidR="000F72C7" w:rsidRPr="005639FB">
        <w:rPr>
          <w:rFonts w:hint="cs"/>
          <w:rtl/>
        </w:rPr>
        <w:t>ال</w:t>
      </w:r>
      <w:r w:rsidR="0046222F" w:rsidRPr="005639FB">
        <w:rPr>
          <w:rFonts w:hint="cs"/>
          <w:rtl/>
        </w:rPr>
        <w:t>ث</w:t>
      </w:r>
      <w:r w:rsidR="000F72C7" w:rsidRPr="005639FB">
        <w:rPr>
          <w:rFonts w:hint="cs"/>
          <w:rtl/>
        </w:rPr>
        <w:t>نائية بين المكتب الدولي والإدارات</w:t>
      </w:r>
      <w:r w:rsidR="0046222F" w:rsidRPr="005639FB">
        <w:rPr>
          <w:rFonts w:hint="cs"/>
          <w:rtl/>
        </w:rPr>
        <w:t xml:space="preserve"> الدولية</w:t>
      </w:r>
      <w:r w:rsidR="000F72C7" w:rsidRPr="005639FB">
        <w:rPr>
          <w:rFonts w:hint="cs"/>
          <w:rtl/>
        </w:rPr>
        <w:t xml:space="preserve"> الفردية، مع مراعاة</w:t>
      </w:r>
      <w:r w:rsidR="0046222F" w:rsidRPr="005639FB">
        <w:rPr>
          <w:rFonts w:hint="cs"/>
          <w:rtl/>
        </w:rPr>
        <w:t xml:space="preserve"> القضايا المبينة في الفقرة 30 أعلاه.</w:t>
      </w:r>
    </w:p>
    <w:p w14:paraId="4F77C3E5" w14:textId="77777777" w:rsidR="00AA70FE" w:rsidRPr="005639FB" w:rsidRDefault="00AA70FE" w:rsidP="00A513BF">
      <w:pPr>
        <w:pStyle w:val="Heading1AR"/>
        <w:spacing w:after="240" w:line="360" w:lineRule="exact"/>
      </w:pPr>
      <w:r w:rsidRPr="005639FB">
        <w:rPr>
          <w:rtl/>
        </w:rPr>
        <w:lastRenderedPageBreak/>
        <w:t>البند 9: تعزيز الترابط بين المرحلة الدولية والمرحلة الوطنية</w:t>
      </w:r>
    </w:p>
    <w:p w14:paraId="40A31117" w14:textId="7D2E3C5D" w:rsidR="00AA70FE" w:rsidRPr="005639FB" w:rsidRDefault="00AA70FE" w:rsidP="00A513BF">
      <w:pPr>
        <w:pStyle w:val="NumberedParaAR"/>
      </w:pPr>
      <w:r w:rsidRPr="005639FB">
        <w:rPr>
          <w:rtl/>
        </w:rPr>
        <w:t xml:space="preserve">استندت المناقشات إلى الوثيقة </w:t>
      </w:r>
      <w:r w:rsidRPr="005639FB">
        <w:t>PCT/MIA/24/11</w:t>
      </w:r>
      <w:r w:rsidRPr="005639FB">
        <w:rPr>
          <w:rtl/>
        </w:rPr>
        <w:t>.</w:t>
      </w:r>
    </w:p>
    <w:p w14:paraId="71CEB71D" w14:textId="2D7F49BE" w:rsidR="000F72C7" w:rsidRPr="005639FB" w:rsidRDefault="00566C92" w:rsidP="00A513BF">
      <w:pPr>
        <w:pStyle w:val="NumberedParaAR"/>
      </w:pPr>
      <w:r w:rsidRPr="005639FB">
        <w:rPr>
          <w:rFonts w:hint="cs"/>
          <w:rtl/>
        </w:rPr>
        <w:t>وذكر مكتب اليابان للبراءات أن ال</w:t>
      </w:r>
      <w:r w:rsidRPr="005639FB">
        <w:rPr>
          <w:rtl/>
        </w:rPr>
        <w:t>تدبير (أ-2) "إذا استُشهد بوثائق محرّرة بلغات غير الإنكليزية، تعيّن ذكر الجزء المناظر لها في وثائق أسرة البراءات المحرّرة بالإنكليزية إن وجدت"</w:t>
      </w:r>
      <w:r w:rsidRPr="005639FB">
        <w:rPr>
          <w:rFonts w:hint="cs"/>
          <w:rtl/>
        </w:rPr>
        <w:t xml:space="preserve"> (أ-2) لقى دعما واسعا من الإدارات في اجتماع عام</w:t>
      </w:r>
      <w:r w:rsidR="00A7771A" w:rsidRPr="005639FB">
        <w:rPr>
          <w:rFonts w:hint="eastAsia"/>
          <w:rtl/>
        </w:rPr>
        <w:t> </w:t>
      </w:r>
      <w:r w:rsidRPr="005639FB">
        <w:rPr>
          <w:rFonts w:hint="cs"/>
          <w:rtl/>
        </w:rPr>
        <w:t>2015، و</w:t>
      </w:r>
      <w:r w:rsidR="009F640A" w:rsidRPr="005639FB">
        <w:rPr>
          <w:rFonts w:hint="cs"/>
          <w:rtl/>
        </w:rPr>
        <w:t>ودّ</w:t>
      </w:r>
      <w:r w:rsidRPr="005639FB">
        <w:rPr>
          <w:rFonts w:hint="cs"/>
          <w:rtl/>
        </w:rPr>
        <w:t xml:space="preserve"> </w:t>
      </w:r>
      <w:r w:rsidR="009F640A" w:rsidRPr="005639FB">
        <w:rPr>
          <w:rFonts w:hint="cs"/>
          <w:rtl/>
        </w:rPr>
        <w:t>المكتب إدراجه</w:t>
      </w:r>
      <w:r w:rsidRPr="005639FB">
        <w:rPr>
          <w:rFonts w:hint="cs"/>
          <w:rtl/>
        </w:rPr>
        <w:t xml:space="preserve"> في </w:t>
      </w:r>
      <w:r w:rsidRPr="005639FB">
        <w:rPr>
          <w:rtl/>
        </w:rPr>
        <w:t>المبادئ التوجيهية للبحث الدولي والفحص التمهيدي الدولي بناء على معاهدة التعاون بشأن البراءات</w:t>
      </w:r>
      <w:r w:rsidRPr="005639FB">
        <w:rPr>
          <w:rFonts w:hint="cs"/>
          <w:rtl/>
        </w:rPr>
        <w:t xml:space="preserve">. </w:t>
      </w:r>
      <w:r w:rsidR="009F640A" w:rsidRPr="005639FB">
        <w:rPr>
          <w:rFonts w:hint="cs"/>
          <w:rtl/>
        </w:rPr>
        <w:t xml:space="preserve">وذكر المكتب الخيارين المتاحين للإشارة </w:t>
      </w:r>
      <w:r w:rsidRPr="005639FB">
        <w:rPr>
          <w:rFonts w:hint="cs"/>
          <w:rtl/>
        </w:rPr>
        <w:t xml:space="preserve">إلى الوثائق </w:t>
      </w:r>
      <w:r w:rsidR="009F640A" w:rsidRPr="005639FB">
        <w:rPr>
          <w:rtl/>
        </w:rPr>
        <w:t>المحرّرة بالإنكليزية</w:t>
      </w:r>
      <w:r w:rsidR="009F640A" w:rsidRPr="005639FB">
        <w:rPr>
          <w:rFonts w:hint="cs"/>
          <w:rtl/>
        </w:rPr>
        <w:t>،</w:t>
      </w:r>
      <w:r w:rsidRPr="005639FB">
        <w:rPr>
          <w:rFonts w:hint="cs"/>
          <w:rtl/>
        </w:rPr>
        <w:t xml:space="preserve"> </w:t>
      </w:r>
      <w:r w:rsidR="009F640A" w:rsidRPr="005639FB">
        <w:rPr>
          <w:rFonts w:hint="cs"/>
          <w:rtl/>
        </w:rPr>
        <w:t>وهما ال</w:t>
      </w:r>
      <w:r w:rsidRPr="005639FB">
        <w:rPr>
          <w:rFonts w:hint="cs"/>
          <w:rtl/>
        </w:rPr>
        <w:t xml:space="preserve">صندوق </w:t>
      </w:r>
      <w:r w:rsidRPr="005639FB">
        <w:rPr>
          <w:rFonts w:hint="cs"/>
        </w:rPr>
        <w:t>C</w:t>
      </w:r>
      <w:r w:rsidRPr="005639FB">
        <w:rPr>
          <w:rFonts w:hint="cs"/>
          <w:rtl/>
        </w:rPr>
        <w:t xml:space="preserve"> أو مؤشر </w:t>
      </w:r>
      <w:r w:rsidR="009F640A" w:rsidRPr="005639FB">
        <w:rPr>
          <w:rtl/>
        </w:rPr>
        <w:t>أسرة البراءات</w:t>
      </w:r>
      <w:r w:rsidRPr="005639FB">
        <w:rPr>
          <w:rFonts w:hint="cs"/>
          <w:rtl/>
        </w:rPr>
        <w:t xml:space="preserve">. </w:t>
      </w:r>
      <w:r w:rsidR="009F640A" w:rsidRPr="005639FB">
        <w:rPr>
          <w:rFonts w:hint="cs"/>
          <w:rtl/>
        </w:rPr>
        <w:t>و</w:t>
      </w:r>
      <w:r w:rsidRPr="005639FB">
        <w:rPr>
          <w:rFonts w:hint="cs"/>
          <w:rtl/>
        </w:rPr>
        <w:t xml:space="preserve">أمل مكتب </w:t>
      </w:r>
      <w:r w:rsidR="009F640A" w:rsidRPr="005639FB">
        <w:rPr>
          <w:rFonts w:hint="cs"/>
          <w:rtl/>
        </w:rPr>
        <w:t xml:space="preserve">اليابان للبراءات </w:t>
      </w:r>
      <w:r w:rsidRPr="005639FB">
        <w:rPr>
          <w:rFonts w:hint="cs"/>
          <w:rtl/>
        </w:rPr>
        <w:t xml:space="preserve">أن </w:t>
      </w:r>
      <w:r w:rsidR="009F640A" w:rsidRPr="005639FB">
        <w:rPr>
          <w:rFonts w:hint="cs"/>
          <w:rtl/>
        </w:rPr>
        <w:t>تعدّل الفقرتان 69.15 و82.16 قريبا</w:t>
      </w:r>
      <w:r w:rsidRPr="005639FB">
        <w:rPr>
          <w:rFonts w:hint="cs"/>
          <w:rtl/>
        </w:rPr>
        <w:t xml:space="preserve">. أما بالنسبة </w:t>
      </w:r>
      <w:r w:rsidR="009F640A" w:rsidRPr="005639FB">
        <w:rPr>
          <w:rFonts w:hint="cs"/>
          <w:rtl/>
        </w:rPr>
        <w:t>لل</w:t>
      </w:r>
      <w:r w:rsidR="009F640A" w:rsidRPr="005639FB">
        <w:rPr>
          <w:rtl/>
        </w:rPr>
        <w:t>تدبير (ب-4) "إجراء بحوث أيضاً بشأن الموضوعات التي لا تعتبر أهلاً للحماية بموجب القوانين الوطنية الخاصة للبراءات"</w:t>
      </w:r>
      <w:r w:rsidR="009F640A" w:rsidRPr="005639FB">
        <w:rPr>
          <w:rFonts w:hint="cs"/>
          <w:rtl/>
        </w:rPr>
        <w:t>، فقال المكتب إنه</w:t>
      </w:r>
      <w:r w:rsidRPr="005639FB">
        <w:rPr>
          <w:rFonts w:hint="cs"/>
          <w:rtl/>
        </w:rPr>
        <w:t xml:space="preserve"> </w:t>
      </w:r>
      <w:r w:rsidR="009F640A" w:rsidRPr="005639FB">
        <w:rPr>
          <w:rFonts w:hint="cs"/>
          <w:rtl/>
        </w:rPr>
        <w:t>يطبق</w:t>
      </w:r>
      <w:r w:rsidRPr="005639FB">
        <w:rPr>
          <w:rFonts w:hint="cs"/>
          <w:rtl/>
        </w:rPr>
        <w:t xml:space="preserve"> هذه الممارسة في إجراء</w:t>
      </w:r>
      <w:r w:rsidR="009F640A" w:rsidRPr="005639FB">
        <w:rPr>
          <w:rFonts w:hint="cs"/>
          <w:rtl/>
        </w:rPr>
        <w:t>ات</w:t>
      </w:r>
      <w:r w:rsidRPr="005639FB">
        <w:rPr>
          <w:rFonts w:hint="cs"/>
          <w:rtl/>
        </w:rPr>
        <w:t xml:space="preserve"> </w:t>
      </w:r>
      <w:r w:rsidR="009F640A" w:rsidRPr="005639FB">
        <w:rPr>
          <w:rFonts w:hint="cs"/>
          <w:rtl/>
        </w:rPr>
        <w:t>ال</w:t>
      </w:r>
      <w:r w:rsidRPr="005639FB">
        <w:rPr>
          <w:rFonts w:hint="cs"/>
          <w:rtl/>
        </w:rPr>
        <w:t xml:space="preserve">بحث </w:t>
      </w:r>
      <w:r w:rsidR="009F640A" w:rsidRPr="005639FB">
        <w:rPr>
          <w:rFonts w:hint="cs"/>
          <w:rtl/>
        </w:rPr>
        <w:t>الدولي التي يضطلع بها</w:t>
      </w:r>
      <w:r w:rsidRPr="005639FB">
        <w:rPr>
          <w:rFonts w:hint="cs"/>
          <w:rtl/>
        </w:rPr>
        <w:t xml:space="preserve">. </w:t>
      </w:r>
      <w:r w:rsidR="009F640A" w:rsidRPr="005639FB">
        <w:rPr>
          <w:rFonts w:hint="cs"/>
          <w:rtl/>
        </w:rPr>
        <w:t>و</w:t>
      </w:r>
      <w:r w:rsidRPr="005639FB">
        <w:rPr>
          <w:rFonts w:hint="cs"/>
          <w:rtl/>
        </w:rPr>
        <w:t xml:space="preserve">اقترح </w:t>
      </w:r>
      <w:r w:rsidR="009F640A" w:rsidRPr="005639FB">
        <w:rPr>
          <w:rFonts w:hint="cs"/>
          <w:rtl/>
        </w:rPr>
        <w:t>المكتب أيضا تعديل المبادئ التوجيهية لت</w:t>
      </w:r>
      <w:r w:rsidR="00AA0270" w:rsidRPr="005639FB">
        <w:rPr>
          <w:rFonts w:hint="cs"/>
          <w:rtl/>
        </w:rPr>
        <w:t>فسير</w:t>
      </w:r>
      <w:r w:rsidRPr="005639FB">
        <w:rPr>
          <w:rFonts w:hint="cs"/>
          <w:rtl/>
        </w:rPr>
        <w:t xml:space="preserve"> أن عدم وضوح ا</w:t>
      </w:r>
      <w:r w:rsidR="00AA0270" w:rsidRPr="005639FB">
        <w:rPr>
          <w:rFonts w:hint="cs"/>
          <w:rtl/>
        </w:rPr>
        <w:t>لمطالبات والوصف والرسومات، وعدم وجود دعم للم</w:t>
      </w:r>
      <w:r w:rsidRPr="005639FB">
        <w:rPr>
          <w:rFonts w:hint="cs"/>
          <w:rtl/>
        </w:rPr>
        <w:t>طالبات ليس</w:t>
      </w:r>
      <w:r w:rsidR="00AA0270" w:rsidRPr="005639FB">
        <w:rPr>
          <w:rFonts w:hint="cs"/>
          <w:rtl/>
        </w:rPr>
        <w:t>ا مثالين</w:t>
      </w:r>
      <w:r w:rsidRPr="005639FB">
        <w:rPr>
          <w:rFonts w:hint="cs"/>
          <w:rtl/>
        </w:rPr>
        <w:t xml:space="preserve"> على </w:t>
      </w:r>
      <w:r w:rsidR="00AA0270" w:rsidRPr="005639FB">
        <w:rPr>
          <w:rFonts w:hint="cs"/>
          <w:rtl/>
        </w:rPr>
        <w:t xml:space="preserve">أن الطلب </w:t>
      </w:r>
      <w:r w:rsidRPr="005639FB">
        <w:rPr>
          <w:rFonts w:hint="cs"/>
          <w:rtl/>
        </w:rPr>
        <w:t>"</w:t>
      </w:r>
      <w:r w:rsidR="00AA0270" w:rsidRPr="005639FB">
        <w:rPr>
          <w:rtl/>
        </w:rPr>
        <w:t>غير صحيح من حيث الشكل أو</w:t>
      </w:r>
      <w:r w:rsidR="00A7771A" w:rsidRPr="005639FB">
        <w:rPr>
          <w:rFonts w:hint="cs"/>
          <w:rtl/>
        </w:rPr>
        <w:t> </w:t>
      </w:r>
      <w:r w:rsidR="00AA0270" w:rsidRPr="005639FB">
        <w:rPr>
          <w:rtl/>
        </w:rPr>
        <w:t>المحتوى</w:t>
      </w:r>
      <w:r w:rsidRPr="005639FB">
        <w:rPr>
          <w:rFonts w:hint="cs"/>
          <w:rtl/>
        </w:rPr>
        <w:t>".</w:t>
      </w:r>
    </w:p>
    <w:p w14:paraId="3B9EECDD" w14:textId="6EDFD998" w:rsidR="00AA0270" w:rsidRPr="005639FB" w:rsidRDefault="00AA0270" w:rsidP="00A513BF">
      <w:pPr>
        <w:pStyle w:val="NumberedParaAR"/>
      </w:pPr>
      <w:r w:rsidRPr="005639FB">
        <w:rPr>
          <w:rFonts w:hint="cs"/>
          <w:rtl/>
        </w:rPr>
        <w:t xml:space="preserve">ورحبت الإدارات بمبادرة مكتب اليابان للبراءات </w:t>
      </w:r>
      <w:r w:rsidRPr="005639FB">
        <w:rPr>
          <w:rtl/>
        </w:rPr>
        <w:t>لتعزيز الترابط بين المرحلة الدولية والمرحلة الوطنية لإجراء معاهدة التعاون بشأن البراءات</w:t>
      </w:r>
      <w:r w:rsidRPr="005639FB">
        <w:rPr>
          <w:rFonts w:hint="cs"/>
          <w:rtl/>
        </w:rPr>
        <w:t xml:space="preserve">. وأكدت الإدارات دعمها للتدبير (أ-2) وأيدت أيضا التدبير </w:t>
      </w:r>
      <w:r w:rsidRPr="005639FB">
        <w:rPr>
          <w:rtl/>
        </w:rPr>
        <w:t xml:space="preserve">(ب-4) </w:t>
      </w:r>
      <w:r w:rsidR="006F46EA" w:rsidRPr="005639FB">
        <w:rPr>
          <w:rFonts w:hint="cs"/>
          <w:rtl/>
        </w:rPr>
        <w:t>شريطة أن يكون ال</w:t>
      </w:r>
      <w:r w:rsidR="006F46EA" w:rsidRPr="005639FB">
        <w:rPr>
          <w:rtl/>
        </w:rPr>
        <w:t>بحث بشأن الموضوعات التي لا تعتبر أهلاً للحماية بموجب القوانين الوطنية الخاصة</w:t>
      </w:r>
      <w:r w:rsidR="006F46EA" w:rsidRPr="005639FB">
        <w:rPr>
          <w:rFonts w:hint="cs"/>
          <w:rtl/>
        </w:rPr>
        <w:t xml:space="preserve"> اختياريا لإدارات البحث الدولي</w:t>
      </w:r>
      <w:r w:rsidRPr="005639FB">
        <w:rPr>
          <w:rFonts w:hint="cs"/>
          <w:rtl/>
        </w:rPr>
        <w:t>.</w:t>
      </w:r>
    </w:p>
    <w:p w14:paraId="1CAB839F" w14:textId="3DD76022" w:rsidR="006F46EA" w:rsidRPr="005639FB" w:rsidRDefault="006F46EA" w:rsidP="00A513BF">
      <w:pPr>
        <w:pStyle w:val="NumberedParaAR"/>
      </w:pPr>
      <w:r w:rsidRPr="005639FB">
        <w:rPr>
          <w:rFonts w:hint="cs"/>
          <w:rtl/>
        </w:rPr>
        <w:t>وأيدت بعض الإدارات التدبير الذي يرمي إلى توضيح الفقرة</w:t>
      </w:r>
      <w:r w:rsidRPr="005639FB">
        <w:rPr>
          <w:rtl/>
        </w:rPr>
        <w:t xml:space="preserve"> </w:t>
      </w:r>
      <w:r w:rsidRPr="005639FB">
        <w:rPr>
          <w:rFonts w:hint="cs"/>
          <w:rtl/>
        </w:rPr>
        <w:t xml:space="preserve">3.2 من </w:t>
      </w:r>
      <w:r w:rsidRPr="005639FB">
        <w:rPr>
          <w:rtl/>
        </w:rPr>
        <w:t>المبادئ التوجيهية للبحث الدولي والفحص التمهيدي الدولي</w:t>
      </w:r>
      <w:r w:rsidRPr="005639FB">
        <w:rPr>
          <w:rFonts w:hint="cs"/>
          <w:rtl/>
        </w:rPr>
        <w:t xml:space="preserve">. ولكن ذكرت إحدى الإدارات أن الصياغة الحالية لهذه </w:t>
      </w:r>
      <w:r w:rsidR="006A414F" w:rsidRPr="005639FB">
        <w:rPr>
          <w:rFonts w:hint="cs"/>
          <w:rtl/>
        </w:rPr>
        <w:t>الفقرة</w:t>
      </w:r>
      <w:r w:rsidRPr="005639FB">
        <w:rPr>
          <w:rFonts w:hint="cs"/>
          <w:rtl/>
        </w:rPr>
        <w:t xml:space="preserve"> </w:t>
      </w:r>
      <w:r w:rsidR="006A414F" w:rsidRPr="005639FB">
        <w:rPr>
          <w:rFonts w:hint="cs"/>
          <w:rtl/>
        </w:rPr>
        <w:t>قائمة من قبل دمج المبادئ التوجيهية لل</w:t>
      </w:r>
      <w:r w:rsidRPr="005639FB">
        <w:rPr>
          <w:rFonts w:hint="cs"/>
          <w:rtl/>
        </w:rPr>
        <w:t xml:space="preserve">بحث </w:t>
      </w:r>
      <w:r w:rsidR="006A414F" w:rsidRPr="005639FB">
        <w:rPr>
          <w:rFonts w:hint="cs"/>
          <w:rtl/>
        </w:rPr>
        <w:t>الدولي والمبادئ التوجيهية للفحص التمهيدي الدولي،</w:t>
      </w:r>
      <w:r w:rsidRPr="005639FB">
        <w:rPr>
          <w:rFonts w:hint="cs"/>
          <w:rtl/>
        </w:rPr>
        <w:t xml:space="preserve"> </w:t>
      </w:r>
      <w:r w:rsidR="006A414F" w:rsidRPr="005639FB">
        <w:rPr>
          <w:rFonts w:hint="cs"/>
          <w:rtl/>
        </w:rPr>
        <w:t>وهي جزء من نظرة عامة لل</w:t>
      </w:r>
      <w:r w:rsidRPr="005639FB">
        <w:rPr>
          <w:rFonts w:hint="cs"/>
          <w:rtl/>
        </w:rPr>
        <w:t xml:space="preserve">بحث الدولي. </w:t>
      </w:r>
      <w:r w:rsidR="006A414F" w:rsidRPr="005639FB">
        <w:rPr>
          <w:rFonts w:hint="cs"/>
          <w:rtl/>
        </w:rPr>
        <w:t>واقترح</w:t>
      </w:r>
      <w:r w:rsidR="008032AB" w:rsidRPr="005639FB">
        <w:rPr>
          <w:rFonts w:hint="cs"/>
          <w:rtl/>
        </w:rPr>
        <w:t>ت</w:t>
      </w:r>
      <w:r w:rsidRPr="005639FB">
        <w:rPr>
          <w:rFonts w:hint="cs"/>
          <w:rtl/>
        </w:rPr>
        <w:t xml:space="preserve"> </w:t>
      </w:r>
      <w:r w:rsidR="006A414F" w:rsidRPr="005639FB">
        <w:rPr>
          <w:rFonts w:hint="cs"/>
          <w:rtl/>
        </w:rPr>
        <w:t>الإدارة المذكورة تعديل هذه الفقرة ب</w:t>
      </w:r>
      <w:r w:rsidRPr="005639FB">
        <w:rPr>
          <w:rFonts w:hint="cs"/>
          <w:rtl/>
        </w:rPr>
        <w:t>إضافة كلمة "مراقبة" قبل "القضايا الهامة وذات الصلة"، وإضافة هذا المصطلح إلى</w:t>
      </w:r>
      <w:r w:rsidR="008032AB" w:rsidRPr="005639FB">
        <w:rPr>
          <w:rFonts w:hint="cs"/>
          <w:rtl/>
        </w:rPr>
        <w:t xml:space="preserve"> المسرد لتوضيح هذه</w:t>
      </w:r>
      <w:r w:rsidR="008032AB" w:rsidRPr="005639FB">
        <w:rPr>
          <w:rFonts w:hint="eastAsia"/>
          <w:rtl/>
        </w:rPr>
        <w:t> </w:t>
      </w:r>
      <w:r w:rsidRPr="005639FB">
        <w:rPr>
          <w:rFonts w:hint="cs"/>
          <w:rtl/>
        </w:rPr>
        <w:t>المسألة.</w:t>
      </w:r>
    </w:p>
    <w:p w14:paraId="0A8FC083" w14:textId="1000BCB8" w:rsidR="008032AB" w:rsidRPr="005639FB" w:rsidRDefault="008032AB" w:rsidP="00A513BF">
      <w:pPr>
        <w:pStyle w:val="NumberedParaAR"/>
      </w:pPr>
      <w:r w:rsidRPr="005639FB">
        <w:rPr>
          <w:rtl/>
        </w:rPr>
        <w:t xml:space="preserve">وفيما يتعلق </w:t>
      </w:r>
      <w:r w:rsidRPr="005639FB">
        <w:rPr>
          <w:rFonts w:hint="cs"/>
          <w:rtl/>
        </w:rPr>
        <w:t>بالتدبير (ج-6</w:t>
      </w:r>
      <w:r w:rsidR="00E557E6" w:rsidRPr="005639FB">
        <w:rPr>
          <w:rFonts w:hint="cs"/>
          <w:rtl/>
        </w:rPr>
        <w:t>) "الاستفادة من</w:t>
      </w:r>
      <w:r w:rsidR="00E557E6" w:rsidRPr="005639FB">
        <w:rPr>
          <w:rtl/>
        </w:rPr>
        <w:t xml:space="preserve"> المسار السريع لمعالجة البراءات بناء على معاهدة التعاون بشأن البراءات</w:t>
      </w:r>
      <w:r w:rsidR="00E557E6" w:rsidRPr="005639FB">
        <w:rPr>
          <w:rFonts w:hint="cs"/>
          <w:rtl/>
        </w:rPr>
        <w:t>"، دعمت إدارتان</w:t>
      </w:r>
      <w:r w:rsidRPr="005639FB">
        <w:rPr>
          <w:rFonts w:hint="cs"/>
          <w:rtl/>
        </w:rPr>
        <w:t xml:space="preserve"> مبادرة </w:t>
      </w:r>
      <w:r w:rsidRPr="005639FB">
        <w:rPr>
          <w:rtl/>
        </w:rPr>
        <w:t>دمج برنامج الم</w:t>
      </w:r>
      <w:r w:rsidR="00E557E6" w:rsidRPr="005639FB">
        <w:rPr>
          <w:rtl/>
        </w:rPr>
        <w:t xml:space="preserve">سار السريع لمعالجة البراءات </w:t>
      </w:r>
      <w:r w:rsidRPr="005639FB">
        <w:rPr>
          <w:rtl/>
        </w:rPr>
        <w:t>في نظام البراءات الدولي</w:t>
      </w:r>
      <w:r w:rsidR="00E557E6" w:rsidRPr="005639FB">
        <w:rPr>
          <w:rFonts w:hint="cs"/>
          <w:rtl/>
        </w:rPr>
        <w:t xml:space="preserve">، التي كانت جزءا من </w:t>
      </w:r>
      <w:r w:rsidR="00E557E6" w:rsidRPr="005639FB">
        <w:rPr>
          <w:rtl/>
        </w:rPr>
        <w:t xml:space="preserve">الاقتراح المشترك </w:t>
      </w:r>
      <w:r w:rsidR="00E557E6" w:rsidRPr="005639FB">
        <w:t>PCT 20/20</w:t>
      </w:r>
      <w:r w:rsidR="00E557E6" w:rsidRPr="005639FB">
        <w:rPr>
          <w:rtl/>
        </w:rPr>
        <w:t xml:space="preserve"> </w:t>
      </w:r>
      <w:r w:rsidR="00E557E6" w:rsidRPr="005639FB">
        <w:rPr>
          <w:rFonts w:hint="cs"/>
          <w:rtl/>
        </w:rPr>
        <w:t xml:space="preserve">الذي قدمته المملكة المتحدة والولايات المتحدة الأمريكية إلى </w:t>
      </w:r>
      <w:r w:rsidRPr="005639FB">
        <w:rPr>
          <w:rFonts w:hint="cs"/>
          <w:rtl/>
        </w:rPr>
        <w:t xml:space="preserve">الفريق العامل </w:t>
      </w:r>
      <w:r w:rsidR="00E557E6" w:rsidRPr="005639FB">
        <w:rPr>
          <w:rFonts w:hint="cs"/>
          <w:rtl/>
        </w:rPr>
        <w:t>لمعاهدة التعاون بشأن</w:t>
      </w:r>
      <w:r w:rsidR="003E76B4" w:rsidRPr="005639FB">
        <w:rPr>
          <w:rFonts w:hint="eastAsia"/>
          <w:rtl/>
        </w:rPr>
        <w:t> </w:t>
      </w:r>
      <w:r w:rsidR="00E557E6" w:rsidRPr="005639FB">
        <w:rPr>
          <w:rFonts w:hint="cs"/>
          <w:rtl/>
        </w:rPr>
        <w:t>البراءات.</w:t>
      </w:r>
    </w:p>
    <w:p w14:paraId="7ED79A12" w14:textId="69185448" w:rsidR="00AA70FE" w:rsidRPr="005639FB" w:rsidRDefault="00AA70FE" w:rsidP="00A513BF">
      <w:pPr>
        <w:pStyle w:val="NumberedParaAR"/>
      </w:pPr>
      <w:bookmarkStart w:id="3" w:name="_Ref474367208"/>
      <w:r w:rsidRPr="005639FB">
        <w:rPr>
          <w:rtl/>
        </w:rPr>
        <w:t>وأحاط مكتب أستراليا للملكية الفك</w:t>
      </w:r>
      <w:r w:rsidR="009475E3" w:rsidRPr="005639FB">
        <w:rPr>
          <w:rtl/>
        </w:rPr>
        <w:t xml:space="preserve">رية الاجتماع علماً بأنه شرع </w:t>
      </w:r>
      <w:r w:rsidRPr="005639FB">
        <w:rPr>
          <w:rtl/>
        </w:rPr>
        <w:t xml:space="preserve">الشهر </w:t>
      </w:r>
      <w:r w:rsidR="009475E3" w:rsidRPr="005639FB">
        <w:rPr>
          <w:rFonts w:hint="cs"/>
          <w:rtl/>
        </w:rPr>
        <w:t xml:space="preserve">الجاري </w:t>
      </w:r>
      <w:r w:rsidR="009475E3" w:rsidRPr="005639FB">
        <w:rPr>
          <w:rtl/>
        </w:rPr>
        <w:t>في عملية تجريبية،</w:t>
      </w:r>
      <w:r w:rsidR="009475E3" w:rsidRPr="005639FB">
        <w:rPr>
          <w:rFonts w:hint="cs"/>
          <w:rtl/>
        </w:rPr>
        <w:t xml:space="preserve"> دعا </w:t>
      </w:r>
      <w:r w:rsidR="009475E3" w:rsidRPr="005639FB">
        <w:rPr>
          <w:rtl/>
        </w:rPr>
        <w:t>فيها</w:t>
      </w:r>
      <w:r w:rsidR="009475E3" w:rsidRPr="005639FB">
        <w:rPr>
          <w:rFonts w:hint="cs"/>
          <w:rtl/>
        </w:rPr>
        <w:t xml:space="preserve"> </w:t>
      </w:r>
      <w:r w:rsidRPr="005639FB">
        <w:rPr>
          <w:rtl/>
        </w:rPr>
        <w:t xml:space="preserve">المودِع الذي يلج المرحلة الوطنية إلى مراعاة الرأي المكتوب أو تقرير البحث والفحص التمهيدي الدوليين قبل الشروع في الفحص الوطني </w:t>
      </w:r>
      <w:r w:rsidR="009475E3" w:rsidRPr="005639FB">
        <w:rPr>
          <w:rFonts w:hint="cs"/>
          <w:rtl/>
        </w:rPr>
        <w:t xml:space="preserve">وذلك </w:t>
      </w:r>
      <w:r w:rsidRPr="005639FB">
        <w:rPr>
          <w:rtl/>
        </w:rPr>
        <w:t>بإدخال تعديلات على الرأي أو التقرير و/أو إبداء تعليقات عليهما</w:t>
      </w:r>
      <w:r w:rsidR="000131D0" w:rsidRPr="005639FB">
        <w:rPr>
          <w:rtl/>
        </w:rPr>
        <w:t>.</w:t>
      </w:r>
      <w:r w:rsidR="009475E3" w:rsidRPr="005639FB">
        <w:rPr>
          <w:rFonts w:hint="cs"/>
          <w:rtl/>
        </w:rPr>
        <w:t xml:space="preserve"> </w:t>
      </w:r>
      <w:r w:rsidR="009475E3" w:rsidRPr="005639FB">
        <w:rPr>
          <w:rFonts w:hint="cs"/>
          <w:rtl/>
          <w:lang w:bidi="ar"/>
        </w:rPr>
        <w:t>ونتيجة لهذه الدعوة، تضاعف عدد الطلبات التي أدخل فيها مقدم الطلب تعديلات أو تعليقات قبل الفحص الوطني.</w:t>
      </w:r>
      <w:bookmarkEnd w:id="3"/>
    </w:p>
    <w:p w14:paraId="65663B8D" w14:textId="440BB9BF" w:rsidR="00E557E6" w:rsidRPr="005639FB" w:rsidRDefault="00E557E6" w:rsidP="00373631">
      <w:pPr>
        <w:pStyle w:val="NumberedParaAR"/>
        <w:ind w:left="566"/>
      </w:pPr>
      <w:r w:rsidRPr="005639FB">
        <w:rPr>
          <w:rFonts w:hint="cs"/>
          <w:rtl/>
        </w:rPr>
        <w:t xml:space="preserve">ووافق الاجتماع على أن يعمل مكتب اليابان للبراءات جنبا إلى جنب مع المكتب الدولي لإدراج التعديلات المقترحة على </w:t>
      </w:r>
      <w:r w:rsidRPr="005639FB">
        <w:rPr>
          <w:rtl/>
        </w:rPr>
        <w:t>المبادئ التوجيهية للبحث الدولي والفحص التمهيدي الدولي</w:t>
      </w:r>
      <w:r w:rsidRPr="005639FB">
        <w:rPr>
          <w:rFonts w:hint="cs"/>
          <w:rtl/>
        </w:rPr>
        <w:t xml:space="preserve"> الواردة في </w:t>
      </w:r>
      <w:r w:rsidRPr="005639FB">
        <w:rPr>
          <w:rtl/>
        </w:rPr>
        <w:t xml:space="preserve">الوثيقة </w:t>
      </w:r>
      <w:r w:rsidRPr="005639FB">
        <w:t>PCT/MIA/24/11</w:t>
      </w:r>
      <w:r w:rsidRPr="005639FB">
        <w:rPr>
          <w:rFonts w:hint="cs"/>
          <w:rtl/>
        </w:rPr>
        <w:t>، مع مراعاة التعليقات الواردة في الفقرات من 32 إلى 37 أعلاه</w:t>
      </w:r>
      <w:r w:rsidR="003876C4" w:rsidRPr="005639FB">
        <w:rPr>
          <w:rFonts w:hint="cs"/>
          <w:rtl/>
        </w:rPr>
        <w:t>. وأكد الاجتماع أن ال</w:t>
      </w:r>
      <w:r w:rsidRPr="005639FB">
        <w:rPr>
          <w:rFonts w:hint="cs"/>
          <w:rtl/>
        </w:rPr>
        <w:t xml:space="preserve">صندوق </w:t>
      </w:r>
      <w:r w:rsidRPr="005639FB">
        <w:rPr>
          <w:rFonts w:hint="cs"/>
        </w:rPr>
        <w:t>C</w:t>
      </w:r>
      <w:r w:rsidR="003876C4" w:rsidRPr="005639FB">
        <w:rPr>
          <w:rFonts w:hint="cs"/>
          <w:rtl/>
        </w:rPr>
        <w:t xml:space="preserve"> أو </w:t>
      </w:r>
      <w:r w:rsidRPr="005639FB">
        <w:rPr>
          <w:rFonts w:hint="cs"/>
          <w:rtl/>
        </w:rPr>
        <w:t>مرفق</w:t>
      </w:r>
      <w:r w:rsidR="003876C4" w:rsidRPr="005639FB">
        <w:rPr>
          <w:rFonts w:hint="cs"/>
          <w:rtl/>
        </w:rPr>
        <w:t xml:space="preserve"> أسرة البراءات </w:t>
      </w:r>
      <w:r w:rsidR="003876C4" w:rsidRPr="005639FB">
        <w:rPr>
          <w:rtl/>
        </w:rPr>
        <w:t>في الاستمارة </w:t>
      </w:r>
      <w:r w:rsidR="003876C4" w:rsidRPr="005639FB">
        <w:t>PCT/ISA/210</w:t>
      </w:r>
      <w:r w:rsidR="003876C4" w:rsidRPr="005639FB">
        <w:rPr>
          <w:rFonts w:hint="cs"/>
          <w:rtl/>
        </w:rPr>
        <w:t xml:space="preserve"> </w:t>
      </w:r>
      <w:r w:rsidRPr="005639FB">
        <w:rPr>
          <w:rFonts w:hint="cs"/>
          <w:rtl/>
        </w:rPr>
        <w:t>ي</w:t>
      </w:r>
      <w:r w:rsidR="003876C4" w:rsidRPr="005639FB">
        <w:rPr>
          <w:rFonts w:hint="cs"/>
          <w:rtl/>
        </w:rPr>
        <w:t>مكن أن ي</w:t>
      </w:r>
      <w:r w:rsidRPr="005639FB">
        <w:rPr>
          <w:rFonts w:hint="cs"/>
          <w:rtl/>
        </w:rPr>
        <w:t>ستخدم</w:t>
      </w:r>
      <w:r w:rsidR="003876C4" w:rsidRPr="005639FB">
        <w:rPr>
          <w:rFonts w:hint="cs"/>
          <w:rtl/>
        </w:rPr>
        <w:t>ا</w:t>
      </w:r>
      <w:r w:rsidRPr="005639FB">
        <w:rPr>
          <w:rFonts w:hint="cs"/>
          <w:rtl/>
        </w:rPr>
        <w:t xml:space="preserve"> للإشارة إلى الأجزاء ذات الصلة</w:t>
      </w:r>
      <w:r w:rsidR="003876C4" w:rsidRPr="005639FB">
        <w:rPr>
          <w:rFonts w:hint="cs"/>
          <w:rtl/>
        </w:rPr>
        <w:t xml:space="preserve"> لأعضاء أسرة</w:t>
      </w:r>
      <w:r w:rsidR="00373631" w:rsidRPr="005639FB">
        <w:rPr>
          <w:rFonts w:hint="eastAsia"/>
          <w:rtl/>
        </w:rPr>
        <w:t> </w:t>
      </w:r>
      <w:r w:rsidR="003876C4" w:rsidRPr="005639FB">
        <w:rPr>
          <w:rFonts w:hint="cs"/>
          <w:rtl/>
        </w:rPr>
        <w:t>البراءات</w:t>
      </w:r>
      <w:r w:rsidRPr="005639FB">
        <w:rPr>
          <w:rFonts w:hint="cs"/>
          <w:rtl/>
        </w:rPr>
        <w:t>.</w:t>
      </w:r>
    </w:p>
    <w:p w14:paraId="6BFE38E4" w14:textId="406CC6ED" w:rsidR="00AA70FE" w:rsidRPr="005639FB" w:rsidRDefault="009475E3" w:rsidP="00A513BF">
      <w:pPr>
        <w:pStyle w:val="Heading1AR"/>
        <w:spacing w:after="240" w:line="360" w:lineRule="exact"/>
      </w:pPr>
      <w:r w:rsidRPr="005639FB">
        <w:rPr>
          <w:rFonts w:hint="cs"/>
          <w:rtl/>
        </w:rPr>
        <w:lastRenderedPageBreak/>
        <w:t xml:space="preserve">البند 10: إحالة نسخ من الوثائق المذكورة في تقارير </w:t>
      </w:r>
      <w:r w:rsidR="00460988" w:rsidRPr="005639FB">
        <w:rPr>
          <w:rFonts w:hint="cs"/>
          <w:rtl/>
        </w:rPr>
        <w:t>ال</w:t>
      </w:r>
      <w:r w:rsidRPr="005639FB">
        <w:rPr>
          <w:rFonts w:hint="cs"/>
          <w:rtl/>
        </w:rPr>
        <w:t xml:space="preserve">بحث </w:t>
      </w:r>
      <w:r w:rsidR="00460988" w:rsidRPr="005639FB">
        <w:rPr>
          <w:rFonts w:hint="cs"/>
          <w:rtl/>
        </w:rPr>
        <w:t>الدولي</w:t>
      </w:r>
      <w:r w:rsidRPr="005639FB">
        <w:rPr>
          <w:rFonts w:hint="cs"/>
          <w:rtl/>
        </w:rPr>
        <w:t xml:space="preserve"> أو </w:t>
      </w:r>
      <w:r w:rsidR="00460988" w:rsidRPr="005639FB">
        <w:rPr>
          <w:rFonts w:hint="cs"/>
          <w:rtl/>
        </w:rPr>
        <w:t>تقارير الفحص التمهيدي الدولي</w:t>
      </w:r>
    </w:p>
    <w:p w14:paraId="12D97E03" w14:textId="09135151" w:rsidR="00AA70FE" w:rsidRPr="005639FB" w:rsidRDefault="009475E3" w:rsidP="00A513BF">
      <w:pPr>
        <w:pStyle w:val="NumberedParaAR"/>
      </w:pPr>
      <w:r w:rsidRPr="005639FB">
        <w:rPr>
          <w:rtl/>
        </w:rPr>
        <w:t>استندت المناقشات إلى الوثيقتين</w:t>
      </w:r>
      <w:r w:rsidRPr="005639FB">
        <w:t>PCT/MIA/24/8</w:t>
      </w:r>
      <w:r w:rsidR="009D6F94" w:rsidRPr="005639FB">
        <w:rPr>
          <w:rtl/>
        </w:rPr>
        <w:t xml:space="preserve"> </w:t>
      </w:r>
      <w:r w:rsidR="0013005A" w:rsidRPr="005639FB">
        <w:rPr>
          <w:rtl/>
        </w:rPr>
        <w:t>و</w:t>
      </w:r>
      <w:r w:rsidRPr="005639FB">
        <w:t>PCT/MIA/24/8</w:t>
      </w:r>
      <w:r w:rsidR="0013005A" w:rsidRPr="005639FB">
        <w:t xml:space="preserve"> Add</w:t>
      </w:r>
      <w:r w:rsidR="0013005A" w:rsidRPr="005639FB">
        <w:rPr>
          <w:rtl/>
        </w:rPr>
        <w:t>.</w:t>
      </w:r>
    </w:p>
    <w:p w14:paraId="532CD1D2" w14:textId="291B8C41" w:rsidR="003876C4" w:rsidRPr="005639FB" w:rsidRDefault="003876C4" w:rsidP="00A513BF">
      <w:pPr>
        <w:pStyle w:val="NumberedParaAR"/>
      </w:pPr>
      <w:r w:rsidRPr="005639FB">
        <w:rPr>
          <w:rFonts w:hint="cs"/>
          <w:rtl/>
        </w:rPr>
        <w:t xml:space="preserve">واتفقت الإدارات على أهمية ضمان حصول المودعين والمكاتب المعينة </w:t>
      </w:r>
      <w:r w:rsidR="00820217" w:rsidRPr="005639FB">
        <w:rPr>
          <w:rFonts w:hint="cs"/>
          <w:rtl/>
        </w:rPr>
        <w:t>على نسخ من وثائق ال</w:t>
      </w:r>
      <w:r w:rsidRPr="005639FB">
        <w:rPr>
          <w:rFonts w:hint="cs"/>
          <w:rtl/>
        </w:rPr>
        <w:t xml:space="preserve">بحث الدولي </w:t>
      </w:r>
      <w:r w:rsidR="00820217" w:rsidRPr="005639FB">
        <w:rPr>
          <w:rFonts w:hint="cs"/>
          <w:rtl/>
        </w:rPr>
        <w:t>أو ا</w:t>
      </w:r>
      <w:r w:rsidRPr="005639FB">
        <w:rPr>
          <w:rFonts w:hint="cs"/>
          <w:rtl/>
        </w:rPr>
        <w:t xml:space="preserve">لفحص التمهيدي </w:t>
      </w:r>
      <w:r w:rsidR="00820217" w:rsidRPr="005639FB">
        <w:rPr>
          <w:rFonts w:hint="cs"/>
          <w:rtl/>
        </w:rPr>
        <w:t>الدولي على النحو المحدد في ق</w:t>
      </w:r>
      <w:r w:rsidRPr="005639FB">
        <w:rPr>
          <w:rFonts w:hint="cs"/>
          <w:rtl/>
        </w:rPr>
        <w:t>اعد</w:t>
      </w:r>
      <w:r w:rsidR="00820217" w:rsidRPr="005639FB">
        <w:rPr>
          <w:rFonts w:hint="cs"/>
          <w:rtl/>
        </w:rPr>
        <w:t>تي</w:t>
      </w:r>
      <w:r w:rsidRPr="005639FB">
        <w:rPr>
          <w:rFonts w:hint="cs"/>
          <w:rtl/>
        </w:rPr>
        <w:t xml:space="preserve"> معاهدة ال</w:t>
      </w:r>
      <w:r w:rsidR="00820217" w:rsidRPr="005639FB">
        <w:rPr>
          <w:rFonts w:hint="cs"/>
          <w:rtl/>
        </w:rPr>
        <w:t xml:space="preserve">تعاون بشأن البراءات 3.44 و2.71، في حال تعذر الحصول </w:t>
      </w:r>
      <w:r w:rsidRPr="005639FB">
        <w:rPr>
          <w:rFonts w:hint="cs"/>
          <w:rtl/>
        </w:rPr>
        <w:t xml:space="preserve">عليها من مصادر أخرى. </w:t>
      </w:r>
      <w:r w:rsidR="00820217" w:rsidRPr="005639FB">
        <w:rPr>
          <w:rFonts w:hint="cs"/>
          <w:rtl/>
        </w:rPr>
        <w:t>و</w:t>
      </w:r>
      <w:r w:rsidRPr="005639FB">
        <w:rPr>
          <w:rFonts w:hint="cs"/>
          <w:rtl/>
        </w:rPr>
        <w:t xml:space="preserve">وافقت </w:t>
      </w:r>
      <w:r w:rsidR="00820217" w:rsidRPr="005639FB">
        <w:rPr>
          <w:rFonts w:hint="cs"/>
          <w:rtl/>
        </w:rPr>
        <w:t xml:space="preserve">الإدارات </w:t>
      </w:r>
      <w:r w:rsidRPr="005639FB">
        <w:rPr>
          <w:rFonts w:hint="cs"/>
          <w:rtl/>
        </w:rPr>
        <w:t xml:space="preserve">على مراجعة الإدخالات ذات الصلة </w:t>
      </w:r>
      <w:r w:rsidR="00820217" w:rsidRPr="005639FB">
        <w:rPr>
          <w:rFonts w:hint="cs"/>
          <w:rtl/>
        </w:rPr>
        <w:t xml:space="preserve">وتصحيحها واستكمالها </w:t>
      </w:r>
      <w:r w:rsidRPr="005639FB">
        <w:rPr>
          <w:rFonts w:hint="cs"/>
          <w:rtl/>
        </w:rPr>
        <w:t xml:space="preserve">في </w:t>
      </w:r>
      <w:r w:rsidR="00820217" w:rsidRPr="005639FB">
        <w:rPr>
          <w:rtl/>
        </w:rPr>
        <w:t>دليل مودع الطلب بناء على معاهدة التعاون بشأن البراءات</w:t>
      </w:r>
      <w:r w:rsidRPr="005639FB">
        <w:rPr>
          <w:rFonts w:hint="cs"/>
          <w:rtl/>
        </w:rPr>
        <w:t xml:space="preserve">. </w:t>
      </w:r>
      <w:r w:rsidR="00820217" w:rsidRPr="005639FB">
        <w:rPr>
          <w:rFonts w:hint="cs"/>
          <w:rtl/>
        </w:rPr>
        <w:t>و</w:t>
      </w:r>
      <w:r w:rsidRPr="005639FB">
        <w:rPr>
          <w:rFonts w:hint="cs"/>
          <w:rtl/>
        </w:rPr>
        <w:t>قد</w:t>
      </w:r>
      <w:r w:rsidR="00820217" w:rsidRPr="005639FB">
        <w:rPr>
          <w:rFonts w:hint="cs"/>
          <w:rtl/>
        </w:rPr>
        <w:t>ّ</w:t>
      </w:r>
      <w:r w:rsidRPr="005639FB">
        <w:rPr>
          <w:rFonts w:hint="cs"/>
          <w:rtl/>
        </w:rPr>
        <w:t xml:space="preserve">مت العديد من </w:t>
      </w:r>
      <w:r w:rsidR="00820217" w:rsidRPr="005639FB">
        <w:rPr>
          <w:rFonts w:hint="cs"/>
          <w:rtl/>
        </w:rPr>
        <w:t xml:space="preserve">الإدارات معلومات </w:t>
      </w:r>
      <w:r w:rsidRPr="005639FB">
        <w:rPr>
          <w:rFonts w:hint="cs"/>
          <w:rtl/>
        </w:rPr>
        <w:t>متاحة على مواقعه</w:t>
      </w:r>
      <w:r w:rsidR="00820217" w:rsidRPr="005639FB">
        <w:rPr>
          <w:rFonts w:hint="cs"/>
          <w:rtl/>
        </w:rPr>
        <w:t>ا على شبكة الإنترنت. ورأت إدار</w:t>
      </w:r>
      <w:r w:rsidRPr="005639FB">
        <w:rPr>
          <w:rFonts w:hint="cs"/>
          <w:rtl/>
        </w:rPr>
        <w:t>ة</w:t>
      </w:r>
      <w:r w:rsidR="00820217" w:rsidRPr="005639FB">
        <w:rPr>
          <w:rFonts w:hint="cs"/>
          <w:rtl/>
        </w:rPr>
        <w:t>ٌ</w:t>
      </w:r>
      <w:r w:rsidRPr="005639FB">
        <w:rPr>
          <w:rFonts w:hint="cs"/>
          <w:rtl/>
        </w:rPr>
        <w:t xml:space="preserve"> أن من المناسب</w:t>
      </w:r>
      <w:r w:rsidR="00820217" w:rsidRPr="005639FB">
        <w:rPr>
          <w:rFonts w:hint="cs"/>
          <w:rtl/>
        </w:rPr>
        <w:t xml:space="preserve"> تقديم مزيد من المعلومات، مشيرة إلى احتمال ألّا يبحث مستخدم في مكتب معين </w:t>
      </w:r>
      <w:r w:rsidRPr="005639FB">
        <w:rPr>
          <w:rFonts w:hint="cs"/>
          <w:rtl/>
        </w:rPr>
        <w:t xml:space="preserve">عن المعلومات في </w:t>
      </w:r>
      <w:r w:rsidR="00820217" w:rsidRPr="005639FB">
        <w:rPr>
          <w:rFonts w:hint="cs"/>
          <w:rtl/>
        </w:rPr>
        <w:t>الدليل المذكور</w:t>
      </w:r>
      <w:r w:rsidRPr="005639FB">
        <w:rPr>
          <w:rFonts w:hint="cs"/>
          <w:rtl/>
        </w:rPr>
        <w:t>.</w:t>
      </w:r>
    </w:p>
    <w:p w14:paraId="20E06FDC" w14:textId="568F0FBF" w:rsidR="00820217" w:rsidRPr="005639FB" w:rsidRDefault="00820217" w:rsidP="00373631">
      <w:pPr>
        <w:pStyle w:val="NumberedParaAR"/>
      </w:pPr>
      <w:r w:rsidRPr="005639FB">
        <w:rPr>
          <w:rFonts w:hint="cs"/>
          <w:rtl/>
        </w:rPr>
        <w:t xml:space="preserve">وأشارت الإدارات إلى الجاهزية الفنية لخدمة التبادل الآمن لنسخ وثائق التقنية الصناعية السابقة مع المودعين والمكاتب من خلال </w:t>
      </w:r>
      <w:r w:rsidRPr="005639FB">
        <w:rPr>
          <w:rtl/>
        </w:rPr>
        <w:t xml:space="preserve">نظام المعاهدة </w:t>
      </w:r>
      <w:r w:rsidR="007A065F" w:rsidRPr="005639FB">
        <w:rPr>
          <w:rtl/>
        </w:rPr>
        <w:t>الإلكتروني</w:t>
      </w:r>
      <w:r w:rsidR="005639FB" w:rsidRPr="005639FB">
        <w:rPr>
          <w:rtl/>
        </w:rPr>
        <w:t xml:space="preserve"> </w:t>
      </w:r>
      <w:r w:rsidRPr="005639FB">
        <w:rPr>
          <w:rtl/>
        </w:rPr>
        <w:t>(</w:t>
      </w:r>
      <w:proofErr w:type="spellStart"/>
      <w:r w:rsidRPr="005639FB">
        <w:t>ePCT</w:t>
      </w:r>
      <w:proofErr w:type="spellEnd"/>
      <w:r w:rsidRPr="005639FB">
        <w:rPr>
          <w:rtl/>
        </w:rPr>
        <w:t>)</w:t>
      </w:r>
      <w:r w:rsidR="00CB251A" w:rsidRPr="005639FB">
        <w:rPr>
          <w:rFonts w:hint="cs"/>
          <w:rtl/>
        </w:rPr>
        <w:t>، ولكن أبدت ملاحظة بأنه رغم أن</w:t>
      </w:r>
      <w:r w:rsidRPr="005639FB">
        <w:rPr>
          <w:rFonts w:hint="cs"/>
          <w:rtl/>
        </w:rPr>
        <w:t xml:space="preserve"> </w:t>
      </w:r>
      <w:r w:rsidR="00CB251A" w:rsidRPr="005639FB">
        <w:rPr>
          <w:rFonts w:hint="cs"/>
          <w:rtl/>
        </w:rPr>
        <w:t>ما سبق لن</w:t>
      </w:r>
      <w:r w:rsidRPr="005639FB">
        <w:rPr>
          <w:rFonts w:hint="cs"/>
          <w:rtl/>
        </w:rPr>
        <w:t xml:space="preserve"> </w:t>
      </w:r>
      <w:r w:rsidR="00CB251A" w:rsidRPr="005639FB">
        <w:rPr>
          <w:rFonts w:hint="cs"/>
          <w:rtl/>
        </w:rPr>
        <w:t>يتيح الوثائق للجمهور،</w:t>
      </w:r>
      <w:r w:rsidRPr="005639FB">
        <w:rPr>
          <w:rFonts w:hint="cs"/>
          <w:rtl/>
        </w:rPr>
        <w:t xml:space="preserve"> </w:t>
      </w:r>
      <w:r w:rsidR="00CB251A" w:rsidRPr="005639FB">
        <w:rPr>
          <w:rFonts w:hint="cs"/>
          <w:rtl/>
        </w:rPr>
        <w:t xml:space="preserve">فإن قضايا حق المؤلف والحقوق التعاقدية ستنجم عن تبادل الوثائق بانتظام على هذا النحو. </w:t>
      </w:r>
      <w:r w:rsidR="00BA5332" w:rsidRPr="005639FB">
        <w:rPr>
          <w:rFonts w:hint="cs"/>
          <w:rtl/>
        </w:rPr>
        <w:t>و</w:t>
      </w:r>
      <w:r w:rsidR="008221E8" w:rsidRPr="005639FB">
        <w:rPr>
          <w:rFonts w:hint="cs"/>
          <w:rtl/>
        </w:rPr>
        <w:t>رأ</w:t>
      </w:r>
      <w:r w:rsidR="00BA5332" w:rsidRPr="005639FB">
        <w:rPr>
          <w:rFonts w:hint="cs"/>
          <w:rtl/>
        </w:rPr>
        <w:t xml:space="preserve">ت بعض الإدارات أهمية أن </w:t>
      </w:r>
      <w:r w:rsidR="008221E8" w:rsidRPr="005639FB">
        <w:rPr>
          <w:rFonts w:hint="cs"/>
          <w:rtl/>
        </w:rPr>
        <w:t xml:space="preserve">توفر </w:t>
      </w:r>
      <w:r w:rsidR="007C422D" w:rsidRPr="005639FB">
        <w:rPr>
          <w:rFonts w:hint="cs"/>
          <w:rtl/>
        </w:rPr>
        <w:t>قاعد</w:t>
      </w:r>
      <w:r w:rsidR="008221E8" w:rsidRPr="005639FB">
        <w:rPr>
          <w:rFonts w:hint="cs"/>
          <w:rtl/>
        </w:rPr>
        <w:t>تا</w:t>
      </w:r>
      <w:r w:rsidR="007C422D" w:rsidRPr="005639FB">
        <w:rPr>
          <w:rFonts w:hint="cs"/>
          <w:rtl/>
        </w:rPr>
        <w:t xml:space="preserve"> معاهدة التعاون بشأن البراءات 3.44 و2.71 أساسا لإتاحة الوثائق للمودع</w:t>
      </w:r>
      <w:r w:rsidRPr="005639FB">
        <w:rPr>
          <w:rFonts w:hint="cs"/>
          <w:rtl/>
        </w:rPr>
        <w:t>ين</w:t>
      </w:r>
      <w:r w:rsidR="007C422D" w:rsidRPr="005639FB">
        <w:rPr>
          <w:rFonts w:hint="cs"/>
          <w:rtl/>
        </w:rPr>
        <w:t xml:space="preserve"> والمكاتب المعينة، ولكن ليس للمكتب الدولي، الذي </w:t>
      </w:r>
      <w:r w:rsidR="008221E8" w:rsidRPr="005639FB">
        <w:rPr>
          <w:rFonts w:hint="cs"/>
          <w:rtl/>
        </w:rPr>
        <w:t>سينفذ إليها</w:t>
      </w:r>
      <w:r w:rsidRPr="005639FB">
        <w:rPr>
          <w:rFonts w:hint="cs"/>
          <w:rtl/>
        </w:rPr>
        <w:t xml:space="preserve">. </w:t>
      </w:r>
      <w:r w:rsidR="008221E8" w:rsidRPr="005639FB">
        <w:rPr>
          <w:rFonts w:hint="cs"/>
          <w:rtl/>
        </w:rPr>
        <w:t>ففي ب</w:t>
      </w:r>
      <w:r w:rsidR="00AE4338" w:rsidRPr="005639FB">
        <w:rPr>
          <w:rFonts w:hint="cs"/>
          <w:rtl/>
        </w:rPr>
        <w:t>عض الحالات،</w:t>
      </w:r>
      <w:r w:rsidR="008221E8" w:rsidRPr="005639FB">
        <w:rPr>
          <w:rFonts w:hint="cs"/>
          <w:rtl/>
        </w:rPr>
        <w:t xml:space="preserve"> </w:t>
      </w:r>
      <w:r w:rsidR="00AE4338" w:rsidRPr="005639FB">
        <w:rPr>
          <w:rFonts w:hint="cs"/>
          <w:rtl/>
        </w:rPr>
        <w:t xml:space="preserve">تكون </w:t>
      </w:r>
      <w:r w:rsidR="008221E8" w:rsidRPr="005639FB">
        <w:rPr>
          <w:rFonts w:hint="cs"/>
          <w:rtl/>
        </w:rPr>
        <w:t>ال</w:t>
      </w:r>
      <w:r w:rsidR="00AE4338" w:rsidRPr="005639FB">
        <w:rPr>
          <w:rFonts w:hint="cs"/>
          <w:rtl/>
        </w:rPr>
        <w:t>حدود</w:t>
      </w:r>
      <w:r w:rsidR="008221E8" w:rsidRPr="005639FB">
        <w:rPr>
          <w:rFonts w:hint="cs"/>
          <w:rtl/>
        </w:rPr>
        <w:t xml:space="preserve"> التقنية لأنواع المستندات الم</w:t>
      </w:r>
      <w:r w:rsidRPr="005639FB">
        <w:rPr>
          <w:rFonts w:hint="cs"/>
          <w:rtl/>
        </w:rPr>
        <w:t xml:space="preserve">مكن تبادلها من خلال </w:t>
      </w:r>
      <w:r w:rsidR="008221E8" w:rsidRPr="005639FB">
        <w:rPr>
          <w:rtl/>
        </w:rPr>
        <w:t xml:space="preserve">نظام </w:t>
      </w:r>
      <w:proofErr w:type="spellStart"/>
      <w:r w:rsidR="00AE4338" w:rsidRPr="005639FB">
        <w:t>ePCT</w:t>
      </w:r>
      <w:proofErr w:type="spellEnd"/>
      <w:r w:rsidR="008221E8" w:rsidRPr="005639FB">
        <w:rPr>
          <w:rtl/>
        </w:rPr>
        <w:t xml:space="preserve"> </w:t>
      </w:r>
      <w:r w:rsidR="00AE4338" w:rsidRPr="005639FB">
        <w:rPr>
          <w:rFonts w:hint="cs"/>
          <w:rtl/>
        </w:rPr>
        <w:t>و</w:t>
      </w:r>
      <w:r w:rsidR="008221E8" w:rsidRPr="005639FB">
        <w:rPr>
          <w:rtl/>
        </w:rPr>
        <w:t xml:space="preserve">نظام تبادل الوثائق </w:t>
      </w:r>
      <w:r w:rsidR="007A065F" w:rsidRPr="005639FB">
        <w:rPr>
          <w:rtl/>
        </w:rPr>
        <w:t>الإلكتروني</w:t>
      </w:r>
      <w:r w:rsidR="005639FB" w:rsidRPr="005639FB">
        <w:rPr>
          <w:rtl/>
        </w:rPr>
        <w:t xml:space="preserve"> </w:t>
      </w:r>
      <w:r w:rsidR="008221E8" w:rsidRPr="005639FB">
        <w:rPr>
          <w:rtl/>
        </w:rPr>
        <w:t>(</w:t>
      </w:r>
      <w:r w:rsidR="008221E8" w:rsidRPr="005639FB">
        <w:t>PCT-EDI</w:t>
      </w:r>
      <w:r w:rsidR="008221E8" w:rsidRPr="005639FB">
        <w:rPr>
          <w:rtl/>
        </w:rPr>
        <w:t>)</w:t>
      </w:r>
      <w:r w:rsidR="008221E8" w:rsidRPr="005639FB">
        <w:rPr>
          <w:rFonts w:hint="cs"/>
          <w:rtl/>
        </w:rPr>
        <w:t xml:space="preserve"> </w:t>
      </w:r>
      <w:r w:rsidRPr="005639FB">
        <w:rPr>
          <w:rFonts w:hint="cs"/>
          <w:rtl/>
        </w:rPr>
        <w:t>قيود</w:t>
      </w:r>
      <w:r w:rsidR="00AE4338" w:rsidRPr="005639FB">
        <w:rPr>
          <w:rFonts w:hint="cs"/>
          <w:rtl/>
        </w:rPr>
        <w:t>ا،</w:t>
      </w:r>
      <w:r w:rsidRPr="005639FB">
        <w:rPr>
          <w:rFonts w:hint="cs"/>
          <w:rtl/>
        </w:rPr>
        <w:t xml:space="preserve"> </w:t>
      </w:r>
      <w:r w:rsidR="00AE4338" w:rsidRPr="005639FB">
        <w:rPr>
          <w:rFonts w:hint="cs"/>
          <w:rtl/>
        </w:rPr>
        <w:t xml:space="preserve">لأن الإدارات لا تراقب </w:t>
      </w:r>
      <w:r w:rsidRPr="005639FB">
        <w:rPr>
          <w:rFonts w:hint="cs"/>
          <w:rtl/>
        </w:rPr>
        <w:t xml:space="preserve">شكل وثائق </w:t>
      </w:r>
      <w:r w:rsidR="00AE4338" w:rsidRPr="005639FB">
        <w:rPr>
          <w:rtl/>
        </w:rPr>
        <w:t>مستندات خلاف البراءات</w:t>
      </w:r>
      <w:r w:rsidR="00AE4338" w:rsidRPr="005639FB">
        <w:rPr>
          <w:rFonts w:hint="cs"/>
          <w:rtl/>
        </w:rPr>
        <w:t xml:space="preserve"> في المصدر. وأشارت إحدى الإدارات</w:t>
      </w:r>
      <w:r w:rsidRPr="005639FB">
        <w:rPr>
          <w:rFonts w:hint="cs"/>
          <w:rtl/>
        </w:rPr>
        <w:t xml:space="preserve"> </w:t>
      </w:r>
      <w:r w:rsidR="00AE4338" w:rsidRPr="005639FB">
        <w:rPr>
          <w:rFonts w:hint="cs"/>
          <w:rtl/>
        </w:rPr>
        <w:t xml:space="preserve">إلى </w:t>
      </w:r>
      <w:r w:rsidR="00683135" w:rsidRPr="005639FB">
        <w:rPr>
          <w:rFonts w:hint="cs"/>
          <w:rtl/>
        </w:rPr>
        <w:t xml:space="preserve">امتلاكها خدمات تقنية لتبادل </w:t>
      </w:r>
      <w:r w:rsidRPr="005639FB">
        <w:rPr>
          <w:rFonts w:hint="cs"/>
          <w:rtl/>
        </w:rPr>
        <w:t>الوثائق مع ب</w:t>
      </w:r>
      <w:r w:rsidR="00683135" w:rsidRPr="005639FB">
        <w:rPr>
          <w:rFonts w:hint="cs"/>
          <w:rtl/>
        </w:rPr>
        <w:t>عض المكاتب الأخرى (وإمكانية إتاحتها</w:t>
      </w:r>
      <w:r w:rsidRPr="005639FB">
        <w:rPr>
          <w:rFonts w:hint="cs"/>
          <w:rtl/>
        </w:rPr>
        <w:t xml:space="preserve"> للآخرين)، ولكن</w:t>
      </w:r>
      <w:r w:rsidR="00683135" w:rsidRPr="005639FB">
        <w:rPr>
          <w:rFonts w:hint="cs"/>
          <w:rtl/>
        </w:rPr>
        <w:t>ها</w:t>
      </w:r>
      <w:r w:rsidRPr="005639FB">
        <w:rPr>
          <w:rFonts w:hint="cs"/>
          <w:rtl/>
        </w:rPr>
        <w:t xml:space="preserve"> </w:t>
      </w:r>
      <w:r w:rsidR="00683135" w:rsidRPr="005639FB">
        <w:rPr>
          <w:rFonts w:hint="cs"/>
          <w:rtl/>
        </w:rPr>
        <w:t>ذكرت</w:t>
      </w:r>
      <w:r w:rsidRPr="005639FB">
        <w:rPr>
          <w:rFonts w:hint="cs"/>
          <w:rtl/>
        </w:rPr>
        <w:t xml:space="preserve"> </w:t>
      </w:r>
      <w:r w:rsidR="00683135" w:rsidRPr="005639FB">
        <w:rPr>
          <w:rFonts w:hint="cs"/>
          <w:rtl/>
        </w:rPr>
        <w:t xml:space="preserve">أن معظم المكاتب المعينة تمتلك الوسائل الكافية للحصول على معظم </w:t>
      </w:r>
      <w:r w:rsidR="00683135" w:rsidRPr="005639FB">
        <w:rPr>
          <w:rtl/>
        </w:rPr>
        <w:t>مستندات خلاف البراءات</w:t>
      </w:r>
      <w:r w:rsidR="00683135" w:rsidRPr="005639FB">
        <w:rPr>
          <w:rFonts w:hint="cs"/>
          <w:rtl/>
        </w:rPr>
        <w:t xml:space="preserve"> ذات الصلة، وبالتالي فإن مستوى </w:t>
      </w:r>
      <w:r w:rsidRPr="005639FB">
        <w:rPr>
          <w:rFonts w:hint="cs"/>
          <w:rtl/>
        </w:rPr>
        <w:t xml:space="preserve">استخدام </w:t>
      </w:r>
      <w:r w:rsidR="00683135" w:rsidRPr="005639FB">
        <w:rPr>
          <w:rFonts w:hint="cs"/>
          <w:rtl/>
        </w:rPr>
        <w:t xml:space="preserve">التقنية المذكورة منخفض للغاية ولا يبرر العمل التقني على تطوير نظم </w:t>
      </w:r>
      <w:r w:rsidRPr="005639FB">
        <w:rPr>
          <w:rFonts w:hint="cs"/>
          <w:rtl/>
        </w:rPr>
        <w:t>جديدة.</w:t>
      </w:r>
    </w:p>
    <w:p w14:paraId="5E1F150C" w14:textId="1733431C" w:rsidR="00683135" w:rsidRPr="005639FB" w:rsidRDefault="00683135" w:rsidP="00A513BF">
      <w:pPr>
        <w:pStyle w:val="NumberedParaAR"/>
        <w:ind w:left="720"/>
      </w:pPr>
      <w:r w:rsidRPr="005639FB">
        <w:rPr>
          <w:rFonts w:hint="cs"/>
          <w:rtl/>
        </w:rPr>
        <w:t xml:space="preserve">وأوصى الاجتماع بأن تقدم جميع الإدارات الدولية منهجيات واضحة للمودعين والمكاتب المعينة للحصول على نسخ من الوثائق المذكورة وأن تتأكد من إدراج المنهجيات والتكاليف بشكل واضح في </w:t>
      </w:r>
      <w:r w:rsidRPr="005639FB">
        <w:rPr>
          <w:rtl/>
        </w:rPr>
        <w:t>دليل مودع الطلب بناء على معاهدة التعاون بشأن البراءات</w:t>
      </w:r>
      <w:r w:rsidRPr="005639FB">
        <w:rPr>
          <w:rFonts w:hint="cs"/>
          <w:rtl/>
        </w:rPr>
        <w:t>.</w:t>
      </w:r>
    </w:p>
    <w:p w14:paraId="70882281" w14:textId="77777777" w:rsidR="00AA70FE" w:rsidRPr="005639FB" w:rsidRDefault="00AA70FE" w:rsidP="00A513BF">
      <w:pPr>
        <w:pStyle w:val="Heading1AR"/>
        <w:spacing w:after="240" w:line="360" w:lineRule="exact"/>
      </w:pPr>
      <w:r w:rsidRPr="005639FB">
        <w:rPr>
          <w:rtl/>
        </w:rPr>
        <w:t>البند 11 من جدول الأعمال: عدد الكلمات في الملخصات ورسوم صفحات الغلاف</w:t>
      </w:r>
    </w:p>
    <w:p w14:paraId="31A0A0AE" w14:textId="096CD2D3" w:rsidR="00AA70FE" w:rsidRPr="005639FB" w:rsidRDefault="00AA70FE" w:rsidP="00A513BF">
      <w:pPr>
        <w:pStyle w:val="NumberedParaAR"/>
      </w:pPr>
      <w:r w:rsidRPr="005639FB">
        <w:rPr>
          <w:rtl/>
        </w:rPr>
        <w:t xml:space="preserve">استندت المناقشات إلى الوثيقة </w:t>
      </w:r>
      <w:r w:rsidRPr="005639FB">
        <w:t>PCT/MIA/24/13</w:t>
      </w:r>
      <w:r w:rsidRPr="005639FB">
        <w:rPr>
          <w:rtl/>
        </w:rPr>
        <w:t>.</w:t>
      </w:r>
    </w:p>
    <w:p w14:paraId="2EE093AA" w14:textId="3F9D5972" w:rsidR="00683135" w:rsidRPr="005639FB" w:rsidRDefault="00683135" w:rsidP="00373631">
      <w:pPr>
        <w:pStyle w:val="NumberedParaAR"/>
      </w:pPr>
      <w:r w:rsidRPr="005639FB">
        <w:rPr>
          <w:rFonts w:hint="cs"/>
          <w:rtl/>
        </w:rPr>
        <w:t>واتفقت جميع الإدارات التي أخذت الكلمة</w:t>
      </w:r>
      <w:r w:rsidR="002D2BB3" w:rsidRPr="005639FB">
        <w:rPr>
          <w:rFonts w:hint="cs"/>
          <w:rtl/>
        </w:rPr>
        <w:t xml:space="preserve"> على أهمية </w:t>
      </w:r>
      <w:r w:rsidRPr="005639FB">
        <w:rPr>
          <w:rFonts w:hint="cs"/>
          <w:rtl/>
        </w:rPr>
        <w:t xml:space="preserve">أن </w:t>
      </w:r>
      <w:r w:rsidR="002D2BB3" w:rsidRPr="005639FB">
        <w:rPr>
          <w:rFonts w:hint="cs"/>
          <w:rtl/>
        </w:rPr>
        <w:t>تكون الملخصات مفيدة لاستخداماتها كأدوات مسح ومواد بحث لمن يستخد</w:t>
      </w:r>
      <w:r w:rsidRPr="005639FB">
        <w:rPr>
          <w:rFonts w:hint="cs"/>
          <w:rtl/>
        </w:rPr>
        <w:t>م</w:t>
      </w:r>
      <w:r w:rsidR="002D2BB3" w:rsidRPr="005639FB">
        <w:rPr>
          <w:rFonts w:hint="cs"/>
          <w:rtl/>
        </w:rPr>
        <w:t>ون</w:t>
      </w:r>
      <w:r w:rsidRPr="005639FB">
        <w:rPr>
          <w:rFonts w:hint="cs"/>
          <w:rtl/>
        </w:rPr>
        <w:t>ها</w:t>
      </w:r>
      <w:r w:rsidR="002D2BB3" w:rsidRPr="005639FB">
        <w:rPr>
          <w:rFonts w:hint="cs"/>
          <w:rtl/>
        </w:rPr>
        <w:t>، على الرغم من أن بعض الإدارات لا تستفيد كثيرا من الملخصات في عمليات البحث الخاصة بها</w:t>
      </w:r>
      <w:r w:rsidRPr="005639FB">
        <w:rPr>
          <w:rFonts w:hint="cs"/>
          <w:rtl/>
        </w:rPr>
        <w:t xml:space="preserve">. وأشارت </w:t>
      </w:r>
      <w:r w:rsidR="002D2BB3" w:rsidRPr="005639FB">
        <w:rPr>
          <w:rFonts w:hint="cs"/>
          <w:rtl/>
        </w:rPr>
        <w:t>الإدارات إلى أن</w:t>
      </w:r>
      <w:r w:rsidRPr="005639FB">
        <w:rPr>
          <w:rFonts w:hint="cs"/>
          <w:rtl/>
        </w:rPr>
        <w:t xml:space="preserve"> الفاحص في إدارة البحث الدولي </w:t>
      </w:r>
      <w:r w:rsidR="002D2BB3" w:rsidRPr="005639FB">
        <w:rPr>
          <w:rFonts w:hint="cs"/>
          <w:rtl/>
        </w:rPr>
        <w:t>هو وحده</w:t>
      </w:r>
      <w:r w:rsidRPr="005639FB">
        <w:rPr>
          <w:rFonts w:hint="cs"/>
          <w:rtl/>
        </w:rPr>
        <w:t xml:space="preserve"> </w:t>
      </w:r>
      <w:r w:rsidR="002D2BB3" w:rsidRPr="005639FB">
        <w:rPr>
          <w:rFonts w:hint="cs"/>
          <w:rtl/>
        </w:rPr>
        <w:t xml:space="preserve">من </w:t>
      </w:r>
      <w:r w:rsidRPr="005639FB">
        <w:rPr>
          <w:rFonts w:hint="cs"/>
          <w:rtl/>
        </w:rPr>
        <w:t>ي</w:t>
      </w:r>
      <w:r w:rsidR="002D2BB3" w:rsidRPr="005639FB">
        <w:rPr>
          <w:rFonts w:hint="cs"/>
          <w:rtl/>
        </w:rPr>
        <w:t>مكنه الحكم على جودة ملخص معيّن. وأك</w:t>
      </w:r>
      <w:r w:rsidRPr="005639FB">
        <w:rPr>
          <w:rFonts w:hint="cs"/>
          <w:rtl/>
        </w:rPr>
        <w:t>د</w:t>
      </w:r>
      <w:r w:rsidR="002D2BB3" w:rsidRPr="005639FB">
        <w:rPr>
          <w:rFonts w:hint="cs"/>
          <w:rtl/>
        </w:rPr>
        <w:t>ت على أن النطاق الموص</w:t>
      </w:r>
      <w:r w:rsidR="00373631" w:rsidRPr="005639FB">
        <w:rPr>
          <w:rFonts w:hint="cs"/>
          <w:rtl/>
        </w:rPr>
        <w:t>ى</w:t>
      </w:r>
      <w:r w:rsidR="002D2BB3" w:rsidRPr="005639FB">
        <w:rPr>
          <w:rFonts w:hint="cs"/>
          <w:rtl/>
        </w:rPr>
        <w:t xml:space="preserve"> به ل</w:t>
      </w:r>
      <w:r w:rsidRPr="005639FB">
        <w:rPr>
          <w:rFonts w:hint="cs"/>
          <w:rtl/>
        </w:rPr>
        <w:t xml:space="preserve">طول </w:t>
      </w:r>
      <w:r w:rsidR="002D2BB3" w:rsidRPr="005639FB">
        <w:rPr>
          <w:rFonts w:hint="cs"/>
          <w:rtl/>
        </w:rPr>
        <w:t xml:space="preserve">الملخصات هو مجرد توجيه، وقد لا يناسب </w:t>
      </w:r>
      <w:r w:rsidRPr="005639FB">
        <w:rPr>
          <w:rFonts w:hint="cs"/>
          <w:rtl/>
        </w:rPr>
        <w:t>اتباع</w:t>
      </w:r>
      <w:r w:rsidR="002D2BB3" w:rsidRPr="005639FB">
        <w:rPr>
          <w:rFonts w:hint="cs"/>
          <w:rtl/>
        </w:rPr>
        <w:t>ه في حالات معيّن</w:t>
      </w:r>
      <w:r w:rsidRPr="005639FB">
        <w:rPr>
          <w:rFonts w:hint="cs"/>
          <w:rtl/>
        </w:rPr>
        <w:t xml:space="preserve">ة. </w:t>
      </w:r>
      <w:r w:rsidR="002D2BB3" w:rsidRPr="005639FB">
        <w:rPr>
          <w:rFonts w:hint="cs"/>
          <w:rtl/>
        </w:rPr>
        <w:t>وذلك لأ</w:t>
      </w:r>
      <w:r w:rsidRPr="005639FB">
        <w:rPr>
          <w:rFonts w:hint="cs"/>
          <w:rtl/>
        </w:rPr>
        <w:t>ن احتياج</w:t>
      </w:r>
      <w:r w:rsidR="006B2C76" w:rsidRPr="005639FB">
        <w:rPr>
          <w:rFonts w:hint="cs"/>
          <w:rtl/>
        </w:rPr>
        <w:t>ات الكشف الفعال تختلف بتنوع مجالات التكنولوجيا والحالات الفردية</w:t>
      </w:r>
      <w:r w:rsidRPr="005639FB">
        <w:rPr>
          <w:rFonts w:hint="cs"/>
          <w:rtl/>
        </w:rPr>
        <w:t>.</w:t>
      </w:r>
    </w:p>
    <w:p w14:paraId="1E40456B" w14:textId="4DA2FC72" w:rsidR="006B2C76" w:rsidRPr="005639FB" w:rsidRDefault="006B2C76" w:rsidP="00A513BF">
      <w:pPr>
        <w:pStyle w:val="NumberedParaAR"/>
      </w:pPr>
      <w:r w:rsidRPr="005639FB">
        <w:rPr>
          <w:rFonts w:hint="cs"/>
          <w:rtl/>
        </w:rPr>
        <w:t xml:space="preserve">وأشارت الإدارات أيضا إلى أهمية توسيع الإرشادات الواردة في </w:t>
      </w:r>
      <w:r w:rsidRPr="005639FB">
        <w:rPr>
          <w:rtl/>
        </w:rPr>
        <w:t>المبادئ التوجيهية للبحث الدولي والفحص التمهيدي الدولي</w:t>
      </w:r>
      <w:r w:rsidRPr="005639FB">
        <w:rPr>
          <w:rFonts w:hint="cs"/>
          <w:rtl/>
        </w:rPr>
        <w:t xml:space="preserve"> بإدراج معلومات بشأن طول الملخصات </w:t>
      </w:r>
      <w:proofErr w:type="spellStart"/>
      <w:r w:rsidRPr="005639FB">
        <w:rPr>
          <w:rFonts w:hint="cs"/>
          <w:rtl/>
        </w:rPr>
        <w:t>الموصى</w:t>
      </w:r>
      <w:proofErr w:type="spellEnd"/>
      <w:r w:rsidRPr="005639FB">
        <w:rPr>
          <w:rFonts w:hint="cs"/>
          <w:rtl/>
        </w:rPr>
        <w:t xml:space="preserve"> بها في لغات مختلفة، والنظر في فائدة إضافة مواد من مصادر مثل معيار الويبو </w:t>
      </w:r>
      <w:r w:rsidRPr="005639FB">
        <w:t>ST.12</w:t>
      </w:r>
      <w:r w:rsidRPr="005639FB">
        <w:rPr>
          <w:rFonts w:hint="cs"/>
          <w:rtl/>
        </w:rPr>
        <w:t xml:space="preserve"> ("المبادئ التوجيهية العامة لإعداد ملخصات وثائق البراءات"). </w:t>
      </w:r>
      <w:r w:rsidR="004A47FD" w:rsidRPr="005639FB">
        <w:rPr>
          <w:rFonts w:hint="cs"/>
          <w:rtl/>
        </w:rPr>
        <w:t xml:space="preserve">وينبغي </w:t>
      </w:r>
      <w:r w:rsidR="0012181A" w:rsidRPr="005639FB">
        <w:rPr>
          <w:rFonts w:hint="cs"/>
          <w:rtl/>
        </w:rPr>
        <w:t xml:space="preserve">أن يدرس </w:t>
      </w:r>
      <w:r w:rsidRPr="005639FB">
        <w:rPr>
          <w:rFonts w:hint="cs"/>
          <w:rtl/>
        </w:rPr>
        <w:t>الت</w:t>
      </w:r>
      <w:r w:rsidR="0012181A" w:rsidRPr="005639FB">
        <w:rPr>
          <w:rFonts w:hint="cs"/>
          <w:rtl/>
        </w:rPr>
        <w:t xml:space="preserve">فاعل بين الأجزاء ذات الصلة من </w:t>
      </w:r>
      <w:r w:rsidRPr="005639FB">
        <w:rPr>
          <w:rFonts w:hint="cs"/>
          <w:rtl/>
        </w:rPr>
        <w:t>مو</w:t>
      </w:r>
      <w:r w:rsidR="0012181A" w:rsidRPr="005639FB">
        <w:rPr>
          <w:rFonts w:hint="cs"/>
          <w:rtl/>
        </w:rPr>
        <w:t>اد معاهدة التعاون بشأن البراءات</w:t>
      </w:r>
      <w:r w:rsidRPr="005639FB">
        <w:rPr>
          <w:rFonts w:hint="cs"/>
          <w:rtl/>
        </w:rPr>
        <w:t xml:space="preserve"> </w:t>
      </w:r>
      <w:r w:rsidR="0012181A" w:rsidRPr="005639FB">
        <w:rPr>
          <w:rFonts w:hint="cs"/>
          <w:rtl/>
        </w:rPr>
        <w:t>و</w:t>
      </w:r>
      <w:r w:rsidRPr="005639FB">
        <w:rPr>
          <w:rFonts w:hint="cs"/>
          <w:rtl/>
        </w:rPr>
        <w:t>قواعد</w:t>
      </w:r>
      <w:r w:rsidR="0012181A" w:rsidRPr="005639FB">
        <w:rPr>
          <w:rFonts w:hint="cs"/>
          <w:rtl/>
        </w:rPr>
        <w:t>ها والمبادئ التوجيهية ل</w:t>
      </w:r>
      <w:r w:rsidRPr="005639FB">
        <w:rPr>
          <w:rFonts w:hint="cs"/>
          <w:rtl/>
        </w:rPr>
        <w:t xml:space="preserve">مكتب </w:t>
      </w:r>
      <w:r w:rsidR="0012181A" w:rsidRPr="005639FB">
        <w:rPr>
          <w:rFonts w:hint="cs"/>
          <w:rtl/>
        </w:rPr>
        <w:t xml:space="preserve">تسلم الطلبات والمبادئ التوجيهية للبحث الدولي والمبادئ التوجيهية للفحص التمهيدي الدولي </w:t>
      </w:r>
      <w:r w:rsidRPr="005639FB">
        <w:rPr>
          <w:rFonts w:hint="cs"/>
          <w:rtl/>
        </w:rPr>
        <w:t>بعناية</w:t>
      </w:r>
      <w:r w:rsidR="0012181A" w:rsidRPr="005639FB">
        <w:rPr>
          <w:rFonts w:hint="cs"/>
          <w:rtl/>
        </w:rPr>
        <w:t xml:space="preserve">. وأشارت إدارة واحدة إلى </w:t>
      </w:r>
      <w:r w:rsidRPr="005639FB">
        <w:rPr>
          <w:rFonts w:hint="cs"/>
          <w:rtl/>
        </w:rPr>
        <w:t xml:space="preserve">أنها ستعيد النظر </w:t>
      </w:r>
      <w:r w:rsidR="0012181A" w:rsidRPr="005639FB">
        <w:rPr>
          <w:rFonts w:hint="cs"/>
          <w:rtl/>
        </w:rPr>
        <w:t xml:space="preserve">في تعليماتها </w:t>
      </w:r>
      <w:r w:rsidR="0012181A" w:rsidRPr="005639FB">
        <w:rPr>
          <w:rFonts w:hint="cs"/>
          <w:rtl/>
        </w:rPr>
        <w:lastRenderedPageBreak/>
        <w:t>الحالية إلى الفاحصين بإعداد</w:t>
      </w:r>
      <w:r w:rsidRPr="005639FB">
        <w:rPr>
          <w:rFonts w:hint="cs"/>
          <w:rtl/>
        </w:rPr>
        <w:t xml:space="preserve"> </w:t>
      </w:r>
      <w:r w:rsidR="0012181A" w:rsidRPr="005639FB">
        <w:rPr>
          <w:rFonts w:hint="cs"/>
          <w:rtl/>
        </w:rPr>
        <w:t>ال</w:t>
      </w:r>
      <w:r w:rsidRPr="005639FB">
        <w:rPr>
          <w:rFonts w:hint="cs"/>
          <w:rtl/>
        </w:rPr>
        <w:t>نص عن ط</w:t>
      </w:r>
      <w:r w:rsidR="0012181A" w:rsidRPr="005639FB">
        <w:rPr>
          <w:rFonts w:hint="cs"/>
          <w:rtl/>
        </w:rPr>
        <w:t>ريق تعديل المطالبة 1</w:t>
      </w:r>
      <w:r w:rsidRPr="005639FB">
        <w:rPr>
          <w:rFonts w:hint="cs"/>
          <w:rtl/>
        </w:rPr>
        <w:t xml:space="preserve"> </w:t>
      </w:r>
      <w:r w:rsidR="0012181A" w:rsidRPr="005639FB">
        <w:rPr>
          <w:rFonts w:hint="cs"/>
          <w:rtl/>
        </w:rPr>
        <w:t xml:space="preserve">إن كام الملخص غير مناسب أو مفقوداً، وطلبت معلومات من الإدارات الأخرى عن النهج الذي اتخذته في </w:t>
      </w:r>
      <w:r w:rsidRPr="005639FB">
        <w:rPr>
          <w:rFonts w:hint="cs"/>
          <w:rtl/>
        </w:rPr>
        <w:t>حالة</w:t>
      </w:r>
      <w:r w:rsidR="0012181A" w:rsidRPr="005639FB">
        <w:rPr>
          <w:rFonts w:hint="cs"/>
          <w:rtl/>
        </w:rPr>
        <w:t xml:space="preserve"> مماثلة</w:t>
      </w:r>
      <w:r w:rsidRPr="005639FB">
        <w:rPr>
          <w:rFonts w:hint="cs"/>
          <w:rtl/>
        </w:rPr>
        <w:t xml:space="preserve">. </w:t>
      </w:r>
      <w:r w:rsidR="0012181A" w:rsidRPr="005639FB">
        <w:rPr>
          <w:rFonts w:hint="cs"/>
          <w:rtl/>
        </w:rPr>
        <w:t>و</w:t>
      </w:r>
      <w:r w:rsidRPr="005639FB">
        <w:rPr>
          <w:rFonts w:hint="cs"/>
          <w:rtl/>
        </w:rPr>
        <w:t xml:space="preserve">أكدت </w:t>
      </w:r>
      <w:r w:rsidR="0012181A" w:rsidRPr="005639FB">
        <w:rPr>
          <w:rFonts w:hint="cs"/>
          <w:rtl/>
        </w:rPr>
        <w:t xml:space="preserve">إدارة </w:t>
      </w:r>
      <w:r w:rsidRPr="005639FB">
        <w:rPr>
          <w:rFonts w:hint="cs"/>
          <w:rtl/>
        </w:rPr>
        <w:t>أخرى أنه</w:t>
      </w:r>
      <w:r w:rsidR="0012181A" w:rsidRPr="005639FB">
        <w:rPr>
          <w:rFonts w:hint="cs"/>
          <w:rtl/>
        </w:rPr>
        <w:t>ا ت</w:t>
      </w:r>
      <w:r w:rsidRPr="005639FB">
        <w:rPr>
          <w:rFonts w:hint="cs"/>
          <w:rtl/>
        </w:rPr>
        <w:t>رى أن النص المستخدم في المطالبة 1 سيكون</w:t>
      </w:r>
      <w:r w:rsidR="0012181A" w:rsidRPr="005639FB">
        <w:rPr>
          <w:rFonts w:hint="cs"/>
          <w:rtl/>
        </w:rPr>
        <w:t>،</w:t>
      </w:r>
      <w:r w:rsidRPr="005639FB">
        <w:rPr>
          <w:rFonts w:hint="cs"/>
          <w:rtl/>
        </w:rPr>
        <w:t xml:space="preserve"> </w:t>
      </w:r>
      <w:r w:rsidR="0012181A" w:rsidRPr="005639FB">
        <w:rPr>
          <w:rFonts w:hint="cs"/>
          <w:rtl/>
        </w:rPr>
        <w:t>على الأغلب، عاما وغير ذي فائدة</w:t>
      </w:r>
      <w:r w:rsidRPr="005639FB">
        <w:rPr>
          <w:rFonts w:hint="cs"/>
          <w:rtl/>
        </w:rPr>
        <w:t xml:space="preserve"> </w:t>
      </w:r>
      <w:r w:rsidR="0012181A" w:rsidRPr="005639FB">
        <w:rPr>
          <w:rFonts w:hint="cs"/>
          <w:rtl/>
        </w:rPr>
        <w:t>كجزء من الملخص</w:t>
      </w:r>
      <w:r w:rsidRPr="005639FB">
        <w:rPr>
          <w:rFonts w:hint="cs"/>
          <w:rtl/>
        </w:rPr>
        <w:t>.</w:t>
      </w:r>
    </w:p>
    <w:p w14:paraId="00BB89F1" w14:textId="73A717C1" w:rsidR="0012181A" w:rsidRPr="005639FB" w:rsidRDefault="0012181A" w:rsidP="00A513BF">
      <w:pPr>
        <w:pStyle w:val="NumberedParaAR"/>
      </w:pPr>
      <w:r w:rsidRPr="005639FB">
        <w:rPr>
          <w:rFonts w:hint="cs"/>
          <w:rtl/>
        </w:rPr>
        <w:t>و</w:t>
      </w:r>
      <w:r w:rsidR="00885E31" w:rsidRPr="005639FB">
        <w:rPr>
          <w:rFonts w:hint="cs"/>
          <w:rtl/>
        </w:rPr>
        <w:t xml:space="preserve">رأت </w:t>
      </w:r>
      <w:r w:rsidRPr="005639FB">
        <w:rPr>
          <w:rFonts w:hint="cs"/>
          <w:rtl/>
        </w:rPr>
        <w:t>الإدارات</w:t>
      </w:r>
      <w:r w:rsidR="00885E31" w:rsidRPr="005639FB">
        <w:rPr>
          <w:rFonts w:hint="cs"/>
          <w:rtl/>
        </w:rPr>
        <w:t xml:space="preserve"> أن من واجب مقدم الطلب تقديم ملخص مناسب وأن إجراء إدارة البحث الدولي لمراجعة</w:t>
      </w:r>
      <w:r w:rsidRPr="005639FB">
        <w:rPr>
          <w:rFonts w:hint="cs"/>
          <w:rtl/>
        </w:rPr>
        <w:t xml:space="preserve"> </w:t>
      </w:r>
      <w:r w:rsidR="00885E31" w:rsidRPr="005639FB">
        <w:rPr>
          <w:rFonts w:hint="cs"/>
          <w:rtl/>
        </w:rPr>
        <w:t>عميقة</w:t>
      </w:r>
      <w:r w:rsidRPr="005639FB">
        <w:rPr>
          <w:rFonts w:hint="cs"/>
          <w:rtl/>
        </w:rPr>
        <w:t xml:space="preserve"> </w:t>
      </w:r>
      <w:r w:rsidR="00885E31" w:rsidRPr="005639FB">
        <w:rPr>
          <w:rFonts w:hint="cs"/>
          <w:rtl/>
        </w:rPr>
        <w:t xml:space="preserve">للملخص </w:t>
      </w:r>
      <w:r w:rsidRPr="005639FB">
        <w:rPr>
          <w:rFonts w:hint="cs"/>
          <w:rtl/>
        </w:rPr>
        <w:t>لا ينب</w:t>
      </w:r>
      <w:r w:rsidR="00885E31" w:rsidRPr="005639FB">
        <w:rPr>
          <w:rFonts w:hint="cs"/>
          <w:rtl/>
        </w:rPr>
        <w:t>غي أن تصبح القاعدة المعتادة. غير أن من الصعب تنفيذ</w:t>
      </w:r>
      <w:r w:rsidRPr="005639FB">
        <w:rPr>
          <w:rFonts w:hint="cs"/>
          <w:rtl/>
        </w:rPr>
        <w:t xml:space="preserve"> </w:t>
      </w:r>
      <w:r w:rsidR="00885E31" w:rsidRPr="005639FB">
        <w:rPr>
          <w:rFonts w:hint="cs"/>
          <w:rtl/>
        </w:rPr>
        <w:t xml:space="preserve">ما سبق </w:t>
      </w:r>
      <w:r w:rsidRPr="005639FB">
        <w:rPr>
          <w:rFonts w:hint="cs"/>
          <w:rtl/>
        </w:rPr>
        <w:t xml:space="preserve">في ضوء الخيارات </w:t>
      </w:r>
      <w:r w:rsidR="00885E31" w:rsidRPr="005639FB">
        <w:rPr>
          <w:rFonts w:hint="cs"/>
          <w:rtl/>
        </w:rPr>
        <w:t>المفتوحة أمام مكتب</w:t>
      </w:r>
      <w:r w:rsidRPr="005639FB">
        <w:rPr>
          <w:rFonts w:hint="cs"/>
          <w:rtl/>
        </w:rPr>
        <w:t xml:space="preserve"> </w:t>
      </w:r>
      <w:r w:rsidR="00885E31" w:rsidRPr="005639FB">
        <w:rPr>
          <w:rFonts w:hint="cs"/>
          <w:rtl/>
        </w:rPr>
        <w:t xml:space="preserve">التسلم </w:t>
      </w:r>
      <w:r w:rsidRPr="005639FB">
        <w:rPr>
          <w:rFonts w:hint="cs"/>
          <w:rtl/>
        </w:rPr>
        <w:t xml:space="preserve">وإدارة البحث الدولي. </w:t>
      </w:r>
      <w:r w:rsidR="00885E31" w:rsidRPr="005639FB">
        <w:rPr>
          <w:rFonts w:hint="cs"/>
          <w:rtl/>
        </w:rPr>
        <w:t xml:space="preserve">فقد يلاحظ مكتب التسلم عيوبا في الاستمارة </w:t>
      </w:r>
      <w:r w:rsidR="00885E31" w:rsidRPr="005639FB">
        <w:t>PCT/RO/106</w:t>
      </w:r>
      <w:r w:rsidRPr="005639FB">
        <w:rPr>
          <w:rFonts w:hint="cs"/>
          <w:rtl/>
        </w:rPr>
        <w:t>، ولكن</w:t>
      </w:r>
      <w:r w:rsidR="00885E31" w:rsidRPr="005639FB">
        <w:rPr>
          <w:rFonts w:hint="cs"/>
          <w:rtl/>
        </w:rPr>
        <w:t xml:space="preserve">ه لا يستطيع </w:t>
      </w:r>
      <w:r w:rsidRPr="005639FB">
        <w:rPr>
          <w:rFonts w:hint="cs"/>
          <w:rtl/>
        </w:rPr>
        <w:t xml:space="preserve">الحكم على </w:t>
      </w:r>
      <w:r w:rsidR="00885E31" w:rsidRPr="005639FB">
        <w:rPr>
          <w:rFonts w:hint="cs"/>
          <w:rtl/>
        </w:rPr>
        <w:t>الأسس</w:t>
      </w:r>
      <w:r w:rsidRPr="005639FB">
        <w:rPr>
          <w:rFonts w:hint="cs"/>
          <w:rtl/>
        </w:rPr>
        <w:t xml:space="preserve"> الموضوعية</w:t>
      </w:r>
      <w:r w:rsidR="00885E31" w:rsidRPr="005639FB">
        <w:rPr>
          <w:rFonts w:hint="cs"/>
          <w:rtl/>
        </w:rPr>
        <w:t>،</w:t>
      </w:r>
      <w:r w:rsidRPr="005639FB">
        <w:rPr>
          <w:rFonts w:hint="cs"/>
          <w:rtl/>
        </w:rPr>
        <w:t xml:space="preserve"> والعقوبة الوحيدة المتاحة</w:t>
      </w:r>
      <w:r w:rsidR="00885E31" w:rsidRPr="005639FB">
        <w:rPr>
          <w:rFonts w:hint="cs"/>
          <w:rtl/>
        </w:rPr>
        <w:t xml:space="preserve"> لعدم الامتثال هي</w:t>
      </w:r>
      <w:r w:rsidRPr="005639FB">
        <w:rPr>
          <w:rFonts w:hint="cs"/>
          <w:rtl/>
        </w:rPr>
        <w:t xml:space="preserve"> </w:t>
      </w:r>
      <w:r w:rsidR="00885E31" w:rsidRPr="005639FB">
        <w:rPr>
          <w:rFonts w:hint="cs"/>
          <w:rtl/>
        </w:rPr>
        <w:t xml:space="preserve">اعتبار الطلب الدولي مسحوبا. أما </w:t>
      </w:r>
      <w:r w:rsidRPr="005639FB">
        <w:rPr>
          <w:rFonts w:hint="cs"/>
          <w:rtl/>
        </w:rPr>
        <w:t xml:space="preserve">إدارة البحث الدولي </w:t>
      </w:r>
      <w:r w:rsidR="00885E31" w:rsidRPr="005639FB">
        <w:rPr>
          <w:rFonts w:hint="cs"/>
          <w:rtl/>
        </w:rPr>
        <w:t xml:space="preserve">فتستطيع إضافة </w:t>
      </w:r>
      <w:r w:rsidRPr="005639FB">
        <w:rPr>
          <w:rFonts w:hint="cs"/>
          <w:rtl/>
        </w:rPr>
        <w:t>ملاحظات</w:t>
      </w:r>
      <w:r w:rsidR="00885E31" w:rsidRPr="005639FB">
        <w:rPr>
          <w:rFonts w:hint="cs"/>
          <w:rtl/>
        </w:rPr>
        <w:t>ها</w:t>
      </w:r>
      <w:r w:rsidRPr="005639FB">
        <w:rPr>
          <w:rFonts w:hint="cs"/>
          <w:rtl/>
        </w:rPr>
        <w:t xml:space="preserve"> في </w:t>
      </w:r>
      <w:r w:rsidR="00885E31" w:rsidRPr="005639FB">
        <w:rPr>
          <w:rtl/>
        </w:rPr>
        <w:t>الإطار السابع من الرأي المكتوب</w:t>
      </w:r>
      <w:r w:rsidRPr="005639FB">
        <w:rPr>
          <w:rFonts w:hint="cs"/>
          <w:rtl/>
        </w:rPr>
        <w:t xml:space="preserve"> </w:t>
      </w:r>
      <w:r w:rsidR="00885E31" w:rsidRPr="005639FB">
        <w:rPr>
          <w:rFonts w:hint="cs"/>
          <w:rtl/>
        </w:rPr>
        <w:t>وتعديل الملخص</w:t>
      </w:r>
      <w:r w:rsidRPr="005639FB">
        <w:rPr>
          <w:rFonts w:hint="cs"/>
          <w:rtl/>
        </w:rPr>
        <w:t xml:space="preserve"> واختيار رسومات مختلفة، ولكن</w:t>
      </w:r>
      <w:r w:rsidR="00885E31" w:rsidRPr="005639FB">
        <w:rPr>
          <w:rFonts w:hint="cs"/>
          <w:rtl/>
        </w:rPr>
        <w:t>ها لا</w:t>
      </w:r>
      <w:r w:rsidRPr="005639FB">
        <w:rPr>
          <w:rFonts w:hint="cs"/>
          <w:rtl/>
        </w:rPr>
        <w:t xml:space="preserve"> تستط</w:t>
      </w:r>
      <w:r w:rsidR="00885E31" w:rsidRPr="005639FB">
        <w:rPr>
          <w:rFonts w:hint="cs"/>
          <w:rtl/>
        </w:rPr>
        <w:t xml:space="preserve">يع أن تطالب مقدم </w:t>
      </w:r>
      <w:r w:rsidRPr="005639FB">
        <w:rPr>
          <w:rFonts w:hint="cs"/>
          <w:rtl/>
        </w:rPr>
        <w:t>الطلب</w:t>
      </w:r>
      <w:r w:rsidR="00885E31" w:rsidRPr="005639FB">
        <w:rPr>
          <w:rFonts w:hint="cs"/>
          <w:rtl/>
        </w:rPr>
        <w:t xml:space="preserve"> بأي شيء</w:t>
      </w:r>
      <w:r w:rsidRPr="005639FB">
        <w:rPr>
          <w:rFonts w:hint="cs"/>
          <w:rtl/>
        </w:rPr>
        <w:t xml:space="preserve">. </w:t>
      </w:r>
      <w:r w:rsidR="00885E31" w:rsidRPr="005639FB">
        <w:rPr>
          <w:rFonts w:hint="cs"/>
          <w:rtl/>
        </w:rPr>
        <w:t xml:space="preserve">وفي حالة الرسوم، </w:t>
      </w:r>
      <w:r w:rsidR="005B0005" w:rsidRPr="005639FB">
        <w:rPr>
          <w:rFonts w:hint="cs"/>
          <w:rtl/>
        </w:rPr>
        <w:t xml:space="preserve">لا يستطيع مقدم الطلب تعديلها دون أن يطلب </w:t>
      </w:r>
      <w:r w:rsidRPr="005639FB">
        <w:rPr>
          <w:rFonts w:hint="cs"/>
          <w:rtl/>
        </w:rPr>
        <w:t>فحص</w:t>
      </w:r>
      <w:r w:rsidR="005B0005" w:rsidRPr="005639FB">
        <w:rPr>
          <w:rFonts w:hint="cs"/>
          <w:rtl/>
        </w:rPr>
        <w:t xml:space="preserve">ا </w:t>
      </w:r>
      <w:r w:rsidRPr="005639FB">
        <w:rPr>
          <w:rFonts w:hint="cs"/>
          <w:rtl/>
        </w:rPr>
        <w:t>تمهيدي</w:t>
      </w:r>
      <w:r w:rsidR="005B0005" w:rsidRPr="005639FB">
        <w:rPr>
          <w:rFonts w:hint="cs"/>
          <w:rtl/>
        </w:rPr>
        <w:t xml:space="preserve">ا </w:t>
      </w:r>
      <w:r w:rsidRPr="005639FB">
        <w:rPr>
          <w:rFonts w:hint="cs"/>
          <w:rtl/>
        </w:rPr>
        <w:t>دولي</w:t>
      </w:r>
      <w:r w:rsidR="005B0005" w:rsidRPr="005639FB">
        <w:rPr>
          <w:rFonts w:hint="cs"/>
          <w:rtl/>
        </w:rPr>
        <w:t>ا، وهو</w:t>
      </w:r>
      <w:r w:rsidRPr="005639FB">
        <w:rPr>
          <w:rFonts w:hint="cs"/>
          <w:rtl/>
        </w:rPr>
        <w:t xml:space="preserve"> </w:t>
      </w:r>
      <w:r w:rsidR="005B0005" w:rsidRPr="005639FB">
        <w:rPr>
          <w:rFonts w:hint="cs"/>
          <w:rtl/>
        </w:rPr>
        <w:t>ما لا يرد بأي حال في الطلب الدولي عند نشره. ورأت إدارة واحدة أن مقدم الطلب قد يملك أسبابا لصياغة</w:t>
      </w:r>
      <w:r w:rsidRPr="005639FB">
        <w:rPr>
          <w:rFonts w:hint="cs"/>
          <w:rtl/>
        </w:rPr>
        <w:t xml:space="preserve"> </w:t>
      </w:r>
      <w:r w:rsidR="005B0005" w:rsidRPr="005639FB">
        <w:rPr>
          <w:rFonts w:hint="cs"/>
          <w:rtl/>
        </w:rPr>
        <w:t>الملخص بطريقة معينة،</w:t>
      </w:r>
      <w:r w:rsidRPr="005639FB">
        <w:rPr>
          <w:rFonts w:hint="cs"/>
          <w:rtl/>
        </w:rPr>
        <w:t xml:space="preserve"> </w:t>
      </w:r>
      <w:r w:rsidR="005B0005" w:rsidRPr="005639FB">
        <w:rPr>
          <w:rFonts w:hint="cs"/>
          <w:rtl/>
        </w:rPr>
        <w:t xml:space="preserve">وقد </w:t>
      </w:r>
      <w:r w:rsidRPr="005639FB">
        <w:rPr>
          <w:rFonts w:hint="cs"/>
          <w:rtl/>
        </w:rPr>
        <w:t xml:space="preserve">لا يرغب </w:t>
      </w:r>
      <w:r w:rsidR="005B0005" w:rsidRPr="005639FB">
        <w:rPr>
          <w:rFonts w:hint="cs"/>
          <w:rtl/>
        </w:rPr>
        <w:t>أن تعدله إدارة البحث الدولي</w:t>
      </w:r>
      <w:r w:rsidRPr="005639FB">
        <w:rPr>
          <w:rFonts w:hint="cs"/>
          <w:rtl/>
        </w:rPr>
        <w:t>.</w:t>
      </w:r>
    </w:p>
    <w:p w14:paraId="183E4E2B" w14:textId="6AA4C3CD" w:rsidR="0012181A" w:rsidRPr="005639FB" w:rsidRDefault="005B0005" w:rsidP="00373631">
      <w:pPr>
        <w:pStyle w:val="NumberedParaAR"/>
      </w:pPr>
      <w:r w:rsidRPr="005639FB">
        <w:rPr>
          <w:rFonts w:hint="cs"/>
          <w:rtl/>
          <w:lang w:bidi="ar"/>
        </w:rPr>
        <w:t>و</w:t>
      </w:r>
      <w:r w:rsidR="0012181A" w:rsidRPr="005639FB">
        <w:rPr>
          <w:rFonts w:hint="cs"/>
          <w:rtl/>
          <w:lang w:bidi="ar"/>
        </w:rPr>
        <w:t>ا</w:t>
      </w:r>
      <w:r w:rsidRPr="005639FB">
        <w:rPr>
          <w:rFonts w:hint="cs"/>
          <w:rtl/>
          <w:lang w:bidi="ar"/>
        </w:rPr>
        <w:t>ت</w:t>
      </w:r>
      <w:r w:rsidR="0012181A" w:rsidRPr="005639FB">
        <w:rPr>
          <w:rFonts w:hint="cs"/>
          <w:rtl/>
          <w:lang w:bidi="ar"/>
        </w:rPr>
        <w:t>فقت الإدارات</w:t>
      </w:r>
      <w:r w:rsidRPr="005639FB">
        <w:rPr>
          <w:rFonts w:hint="cs"/>
          <w:rtl/>
          <w:lang w:bidi="ar"/>
        </w:rPr>
        <w:t xml:space="preserve"> على احتمال </w:t>
      </w:r>
      <w:r w:rsidR="0012181A" w:rsidRPr="005639FB">
        <w:rPr>
          <w:rFonts w:hint="cs"/>
          <w:rtl/>
          <w:lang w:bidi="ar"/>
        </w:rPr>
        <w:t>محدود</w:t>
      </w:r>
      <w:r w:rsidRPr="005639FB">
        <w:rPr>
          <w:rFonts w:hint="cs"/>
          <w:rtl/>
          <w:lang w:bidi="ar"/>
        </w:rPr>
        <w:t>ية نطاق مكتب</w:t>
      </w:r>
      <w:r w:rsidR="0012181A" w:rsidRPr="005639FB">
        <w:rPr>
          <w:rFonts w:hint="cs"/>
          <w:rtl/>
          <w:lang w:bidi="ar"/>
        </w:rPr>
        <w:t xml:space="preserve"> </w:t>
      </w:r>
      <w:r w:rsidRPr="005639FB">
        <w:rPr>
          <w:rFonts w:hint="cs"/>
          <w:rtl/>
          <w:lang w:bidi="ar"/>
        </w:rPr>
        <w:t>التسلّم</w:t>
      </w:r>
      <w:r w:rsidR="0012181A" w:rsidRPr="005639FB">
        <w:rPr>
          <w:rFonts w:hint="cs"/>
          <w:rtl/>
          <w:lang w:bidi="ar"/>
        </w:rPr>
        <w:t xml:space="preserve"> </w:t>
      </w:r>
      <w:r w:rsidRPr="005639FB">
        <w:rPr>
          <w:rFonts w:hint="cs"/>
          <w:rtl/>
          <w:lang w:bidi="ar"/>
        </w:rPr>
        <w:t xml:space="preserve">كي يساهم </w:t>
      </w:r>
      <w:r w:rsidR="0012181A" w:rsidRPr="005639FB">
        <w:rPr>
          <w:rFonts w:hint="cs"/>
          <w:rtl/>
          <w:lang w:bidi="ar"/>
        </w:rPr>
        <w:t>بشكل مباشر في ضمان جودة الملخصات</w:t>
      </w:r>
      <w:r w:rsidRPr="005639FB">
        <w:rPr>
          <w:rFonts w:hint="cs"/>
          <w:rtl/>
          <w:lang w:bidi="ar"/>
        </w:rPr>
        <w:t>، ورأت</w:t>
      </w:r>
      <w:r w:rsidR="0012181A" w:rsidRPr="005639FB">
        <w:rPr>
          <w:rFonts w:hint="cs"/>
          <w:rtl/>
          <w:lang w:bidi="ar"/>
        </w:rPr>
        <w:t xml:space="preserve"> </w:t>
      </w:r>
      <w:r w:rsidRPr="005639FB">
        <w:rPr>
          <w:rFonts w:hint="cs"/>
          <w:rtl/>
          <w:lang w:bidi="ar"/>
        </w:rPr>
        <w:t>ألّا حاجة لتغيير الإرشاد</w:t>
      </w:r>
      <w:r w:rsidR="0012181A" w:rsidRPr="005639FB">
        <w:rPr>
          <w:rFonts w:hint="cs"/>
          <w:rtl/>
          <w:lang w:bidi="ar"/>
        </w:rPr>
        <w:t xml:space="preserve"> </w:t>
      </w:r>
      <w:r w:rsidRPr="005639FB">
        <w:rPr>
          <w:rFonts w:hint="cs"/>
          <w:rtl/>
          <w:lang w:bidi="ar"/>
        </w:rPr>
        <w:t xml:space="preserve">الوارد </w:t>
      </w:r>
      <w:r w:rsidR="0012181A" w:rsidRPr="005639FB">
        <w:rPr>
          <w:rFonts w:hint="cs"/>
          <w:rtl/>
          <w:lang w:bidi="ar"/>
        </w:rPr>
        <w:t xml:space="preserve">في الفقرة 147 من المبادئ التوجيهية </w:t>
      </w:r>
      <w:r w:rsidRPr="005639FB">
        <w:rPr>
          <w:rFonts w:hint="cs"/>
          <w:rtl/>
          <w:lang w:bidi="ar"/>
        </w:rPr>
        <w:t>ل</w:t>
      </w:r>
      <w:r w:rsidR="0012181A" w:rsidRPr="005639FB">
        <w:rPr>
          <w:rFonts w:hint="cs"/>
          <w:rtl/>
          <w:lang w:bidi="ar"/>
        </w:rPr>
        <w:t xml:space="preserve">مكتب </w:t>
      </w:r>
      <w:r w:rsidRPr="005639FB">
        <w:rPr>
          <w:rFonts w:hint="cs"/>
          <w:rtl/>
          <w:lang w:bidi="ar"/>
        </w:rPr>
        <w:t>التسلّم. ومع ذلك، قد تنظر مكاتب التسلّم</w:t>
      </w:r>
      <w:r w:rsidR="0012181A" w:rsidRPr="005639FB">
        <w:rPr>
          <w:rFonts w:hint="cs"/>
          <w:rtl/>
          <w:lang w:bidi="ar"/>
        </w:rPr>
        <w:t xml:space="preserve"> </w:t>
      </w:r>
      <w:r w:rsidRPr="005639FB">
        <w:rPr>
          <w:rFonts w:hint="cs"/>
          <w:rtl/>
          <w:lang w:bidi="ar"/>
        </w:rPr>
        <w:t>في الإجراءات الم</w:t>
      </w:r>
      <w:r w:rsidR="0012181A" w:rsidRPr="005639FB">
        <w:rPr>
          <w:rFonts w:hint="cs"/>
          <w:rtl/>
          <w:lang w:bidi="ar"/>
        </w:rPr>
        <w:t>تعلق</w:t>
      </w:r>
      <w:r w:rsidRPr="005639FB">
        <w:rPr>
          <w:rFonts w:hint="cs"/>
          <w:rtl/>
          <w:lang w:bidi="ar"/>
        </w:rPr>
        <w:t>ة</w:t>
      </w:r>
      <w:r w:rsidR="0012181A" w:rsidRPr="005639FB">
        <w:rPr>
          <w:rFonts w:hint="cs"/>
          <w:rtl/>
          <w:lang w:bidi="ar"/>
        </w:rPr>
        <w:t xml:space="preserve"> </w:t>
      </w:r>
      <w:r w:rsidRPr="005639FB">
        <w:rPr>
          <w:rFonts w:hint="cs"/>
          <w:rtl/>
          <w:lang w:bidi="ar"/>
        </w:rPr>
        <w:t>ب</w:t>
      </w:r>
      <w:r w:rsidR="0012181A" w:rsidRPr="005639FB">
        <w:rPr>
          <w:rFonts w:hint="cs"/>
          <w:rtl/>
          <w:lang w:bidi="ar"/>
        </w:rPr>
        <w:t>نظ</w:t>
      </w:r>
      <w:r w:rsidRPr="005639FB">
        <w:rPr>
          <w:rFonts w:hint="cs"/>
          <w:rtl/>
          <w:lang w:bidi="ar"/>
        </w:rPr>
        <w:t xml:space="preserve">م الإيداع مثل تحديد </w:t>
      </w:r>
      <w:r w:rsidR="0012181A" w:rsidRPr="005639FB">
        <w:rPr>
          <w:rFonts w:hint="cs"/>
          <w:rtl/>
          <w:lang w:bidi="ar"/>
        </w:rPr>
        <w:t xml:space="preserve">عدد الكلمات أو </w:t>
      </w:r>
      <w:r w:rsidRPr="005639FB">
        <w:rPr>
          <w:rFonts w:hint="cs"/>
          <w:rtl/>
          <w:lang w:bidi="ar"/>
        </w:rPr>
        <w:t xml:space="preserve">توفير </w:t>
      </w:r>
      <w:r w:rsidR="0012181A" w:rsidRPr="005639FB">
        <w:rPr>
          <w:rFonts w:hint="cs"/>
          <w:rtl/>
          <w:lang w:bidi="ar"/>
        </w:rPr>
        <w:t>أنظمة الترج</w:t>
      </w:r>
      <w:r w:rsidRPr="005639FB">
        <w:rPr>
          <w:rFonts w:hint="cs"/>
          <w:rtl/>
          <w:lang w:bidi="ar"/>
        </w:rPr>
        <w:t>مة الآلية لإعطاء مؤشر أفضل للمودع</w:t>
      </w:r>
      <w:r w:rsidR="007D2264" w:rsidRPr="005639FB">
        <w:rPr>
          <w:rFonts w:hint="cs"/>
          <w:rtl/>
          <w:lang w:bidi="ar"/>
        </w:rPr>
        <w:t xml:space="preserve">ين </w:t>
      </w:r>
      <w:r w:rsidR="0012181A" w:rsidRPr="005639FB">
        <w:rPr>
          <w:rFonts w:hint="cs"/>
          <w:rtl/>
          <w:lang w:bidi="ar"/>
        </w:rPr>
        <w:t>عم</w:t>
      </w:r>
      <w:r w:rsidR="007D2264" w:rsidRPr="005639FB">
        <w:rPr>
          <w:rFonts w:hint="cs"/>
          <w:rtl/>
          <w:lang w:bidi="ar"/>
        </w:rPr>
        <w:t>ّا إن</w:t>
      </w:r>
      <w:r w:rsidR="0012181A" w:rsidRPr="005639FB">
        <w:rPr>
          <w:rFonts w:hint="cs"/>
          <w:rtl/>
          <w:lang w:bidi="ar"/>
        </w:rPr>
        <w:t xml:space="preserve"> </w:t>
      </w:r>
      <w:r w:rsidR="007D2264" w:rsidRPr="005639FB">
        <w:rPr>
          <w:rFonts w:hint="cs"/>
          <w:rtl/>
          <w:lang w:bidi="ar"/>
        </w:rPr>
        <w:t>كانت ملخصاتهم</w:t>
      </w:r>
      <w:r w:rsidR="0012181A" w:rsidRPr="005639FB">
        <w:rPr>
          <w:rFonts w:hint="cs"/>
          <w:rtl/>
          <w:lang w:bidi="ar"/>
        </w:rPr>
        <w:t xml:space="preserve"> </w:t>
      </w:r>
      <w:r w:rsidR="007D2264" w:rsidRPr="005639FB">
        <w:rPr>
          <w:rFonts w:hint="cs"/>
          <w:rtl/>
          <w:lang w:bidi="ar"/>
        </w:rPr>
        <w:t>تدخل ضمن ال</w:t>
      </w:r>
      <w:r w:rsidR="0012181A" w:rsidRPr="005639FB">
        <w:rPr>
          <w:rFonts w:hint="cs"/>
          <w:rtl/>
          <w:lang w:bidi="ar"/>
        </w:rPr>
        <w:t xml:space="preserve">نطاقات </w:t>
      </w:r>
      <w:proofErr w:type="spellStart"/>
      <w:r w:rsidR="0012181A" w:rsidRPr="005639FB">
        <w:rPr>
          <w:rFonts w:hint="cs"/>
          <w:rtl/>
          <w:lang w:bidi="ar"/>
        </w:rPr>
        <w:t>الموص</w:t>
      </w:r>
      <w:r w:rsidR="00373631" w:rsidRPr="005639FB">
        <w:rPr>
          <w:rFonts w:hint="cs"/>
          <w:rtl/>
          <w:lang w:bidi="ar"/>
        </w:rPr>
        <w:t>ى</w:t>
      </w:r>
      <w:proofErr w:type="spellEnd"/>
      <w:r w:rsidR="0012181A" w:rsidRPr="005639FB">
        <w:rPr>
          <w:rFonts w:hint="cs"/>
          <w:rtl/>
          <w:lang w:bidi="ar"/>
        </w:rPr>
        <w:t xml:space="preserve"> بها عادة.</w:t>
      </w:r>
    </w:p>
    <w:p w14:paraId="6E6B6E71" w14:textId="5BCD93F8" w:rsidR="0012181A" w:rsidRPr="005639FB" w:rsidRDefault="007D2264" w:rsidP="00A513BF">
      <w:pPr>
        <w:pStyle w:val="NumberedParaAR"/>
      </w:pPr>
      <w:r w:rsidRPr="005639FB">
        <w:rPr>
          <w:rFonts w:hint="cs"/>
          <w:rtl/>
        </w:rPr>
        <w:t>وفيما يتعلق ب</w:t>
      </w:r>
      <w:r w:rsidR="0012181A" w:rsidRPr="005639FB">
        <w:rPr>
          <w:rFonts w:hint="cs"/>
          <w:rtl/>
        </w:rPr>
        <w:t>الرسومات التي تحتوي على نص، وافقت الإدارات</w:t>
      </w:r>
      <w:r w:rsidRPr="005639FB">
        <w:rPr>
          <w:rFonts w:hint="cs"/>
          <w:rtl/>
        </w:rPr>
        <w:t xml:space="preserve"> على أن على الفاحصين</w:t>
      </w:r>
      <w:r w:rsidR="00A80850" w:rsidRPr="005639FB">
        <w:rPr>
          <w:rFonts w:hint="cs"/>
          <w:rtl/>
        </w:rPr>
        <w:t>،</w:t>
      </w:r>
      <w:r w:rsidR="00A80850" w:rsidRPr="005639FB">
        <w:rPr>
          <w:rFonts w:eastAsia="Arial"/>
          <w:bdr w:val="nil"/>
          <w:rtl/>
          <w:lang w:eastAsia="zh-CN"/>
        </w:rPr>
        <w:t xml:space="preserve"> فيما يتعلق بالرسم المرفق بالملخص</w:t>
      </w:r>
      <w:r w:rsidR="00A80850" w:rsidRPr="005639FB">
        <w:rPr>
          <w:rFonts w:eastAsia="Arial" w:hint="cs"/>
          <w:bdr w:val="nil"/>
          <w:rtl/>
          <w:lang w:eastAsia="zh-CN"/>
        </w:rPr>
        <w:t>،</w:t>
      </w:r>
      <w:r w:rsidRPr="005639FB">
        <w:rPr>
          <w:rFonts w:hint="cs"/>
          <w:rtl/>
        </w:rPr>
        <w:t xml:space="preserve"> مراعاة ما إن كان من الأسهل</w:t>
      </w:r>
      <w:r w:rsidR="0012181A" w:rsidRPr="005639FB">
        <w:rPr>
          <w:rFonts w:hint="cs"/>
          <w:rtl/>
        </w:rPr>
        <w:t xml:space="preserve"> </w:t>
      </w:r>
      <w:r w:rsidRPr="005639FB">
        <w:rPr>
          <w:rFonts w:hint="cs"/>
          <w:rtl/>
        </w:rPr>
        <w:t>للق</w:t>
      </w:r>
      <w:r w:rsidR="00A80850" w:rsidRPr="005639FB">
        <w:rPr>
          <w:rFonts w:hint="cs"/>
          <w:rtl/>
        </w:rPr>
        <w:t>راءة أن يرفق الرسم بالنص المترجم ويصغّر</w:t>
      </w:r>
      <w:r w:rsidR="0012181A" w:rsidRPr="005639FB">
        <w:rPr>
          <w:rFonts w:hint="cs"/>
          <w:rtl/>
        </w:rPr>
        <w:t xml:space="preserve"> </w:t>
      </w:r>
      <w:r w:rsidR="00A80850" w:rsidRPr="005639FB">
        <w:rPr>
          <w:rFonts w:hint="cs"/>
          <w:rtl/>
        </w:rPr>
        <w:t>حجمه ليوضع على الصفحة الأولى. ولكن أفادت إدار</w:t>
      </w:r>
      <w:r w:rsidR="0012181A" w:rsidRPr="005639FB">
        <w:rPr>
          <w:rFonts w:hint="cs"/>
          <w:rtl/>
        </w:rPr>
        <w:t xml:space="preserve">ة واحدة </w:t>
      </w:r>
      <w:r w:rsidR="00A80850" w:rsidRPr="005639FB">
        <w:rPr>
          <w:rFonts w:hint="cs"/>
          <w:rtl/>
        </w:rPr>
        <w:t>بأن هذه الرسومات قد</w:t>
      </w:r>
      <w:r w:rsidR="0012181A" w:rsidRPr="005639FB">
        <w:rPr>
          <w:rFonts w:hint="cs"/>
          <w:rtl/>
        </w:rPr>
        <w:t xml:space="preserve"> </w:t>
      </w:r>
      <w:r w:rsidR="00A80850" w:rsidRPr="005639FB">
        <w:rPr>
          <w:rFonts w:hint="cs"/>
          <w:rtl/>
        </w:rPr>
        <w:t>تكون مفيدة إن عرضت</w:t>
      </w:r>
      <w:r w:rsidR="0012181A" w:rsidRPr="005639FB">
        <w:rPr>
          <w:rFonts w:hint="cs"/>
          <w:rtl/>
        </w:rPr>
        <w:t xml:space="preserve"> </w:t>
      </w:r>
      <w:r w:rsidR="00A80850" w:rsidRPr="005639FB">
        <w:rPr>
          <w:rFonts w:hint="cs"/>
          <w:rtl/>
        </w:rPr>
        <w:t xml:space="preserve">بدقة </w:t>
      </w:r>
      <w:r w:rsidR="00775D53" w:rsidRPr="005639FB">
        <w:rPr>
          <w:rFonts w:hint="cs"/>
          <w:rtl/>
        </w:rPr>
        <w:t>كا</w:t>
      </w:r>
      <w:r w:rsidR="0012181A" w:rsidRPr="005639FB">
        <w:rPr>
          <w:rFonts w:hint="cs"/>
          <w:rtl/>
        </w:rPr>
        <w:t>ف</w:t>
      </w:r>
      <w:r w:rsidR="00775D53" w:rsidRPr="005639FB">
        <w:rPr>
          <w:rFonts w:hint="cs"/>
          <w:rtl/>
        </w:rPr>
        <w:t>ية</w:t>
      </w:r>
      <w:r w:rsidR="00A80850" w:rsidRPr="005639FB">
        <w:rPr>
          <w:rFonts w:hint="cs"/>
          <w:rtl/>
        </w:rPr>
        <w:t xml:space="preserve"> ل</w:t>
      </w:r>
      <w:r w:rsidR="00775D53" w:rsidRPr="005639FB">
        <w:rPr>
          <w:rFonts w:hint="cs"/>
          <w:rtl/>
        </w:rPr>
        <w:t>تكبير</w:t>
      </w:r>
      <w:r w:rsidR="0012181A" w:rsidRPr="005639FB">
        <w:rPr>
          <w:rFonts w:hint="cs"/>
          <w:rtl/>
        </w:rPr>
        <w:t>ها بشكل فعال</w:t>
      </w:r>
      <w:r w:rsidR="00775D53" w:rsidRPr="005639FB">
        <w:rPr>
          <w:rFonts w:hint="cs"/>
          <w:rtl/>
        </w:rPr>
        <w:t xml:space="preserve"> على الشاشة. وأشارت أيضا إلى ضرورة مراعاة الحالات</w:t>
      </w:r>
      <w:r w:rsidR="0012181A" w:rsidRPr="005639FB">
        <w:rPr>
          <w:rFonts w:hint="cs"/>
          <w:rtl/>
        </w:rPr>
        <w:t xml:space="preserve"> </w:t>
      </w:r>
      <w:r w:rsidR="00775D53" w:rsidRPr="005639FB">
        <w:rPr>
          <w:rFonts w:hint="cs"/>
          <w:rtl/>
        </w:rPr>
        <w:t>الممكنة لاحتمال اختيار رسومات</w:t>
      </w:r>
      <w:r w:rsidR="0012181A" w:rsidRPr="005639FB">
        <w:rPr>
          <w:rFonts w:hint="cs"/>
          <w:rtl/>
        </w:rPr>
        <w:t xml:space="preserve"> متعددة </w:t>
      </w:r>
      <w:r w:rsidR="00775D53" w:rsidRPr="005639FB">
        <w:rPr>
          <w:rFonts w:eastAsia="Arial" w:hint="cs"/>
          <w:bdr w:val="nil"/>
          <w:rtl/>
          <w:lang w:eastAsia="zh-CN"/>
        </w:rPr>
        <w:t>ت</w:t>
      </w:r>
      <w:r w:rsidR="00775D53" w:rsidRPr="005639FB">
        <w:rPr>
          <w:rFonts w:eastAsia="Arial"/>
          <w:bdr w:val="nil"/>
          <w:rtl/>
          <w:lang w:eastAsia="zh-CN"/>
        </w:rPr>
        <w:t>رفق بالملخص</w:t>
      </w:r>
      <w:r w:rsidR="0012181A" w:rsidRPr="005639FB">
        <w:rPr>
          <w:rFonts w:hint="cs"/>
          <w:rtl/>
        </w:rPr>
        <w:t xml:space="preserve">. </w:t>
      </w:r>
      <w:r w:rsidR="00775D53" w:rsidRPr="005639FB">
        <w:rPr>
          <w:rFonts w:hint="cs"/>
          <w:rtl/>
        </w:rPr>
        <w:t>و</w:t>
      </w:r>
      <w:r w:rsidR="0012181A" w:rsidRPr="005639FB">
        <w:rPr>
          <w:rFonts w:hint="cs"/>
          <w:rtl/>
        </w:rPr>
        <w:t xml:space="preserve">طلبت الإدارات </w:t>
      </w:r>
      <w:r w:rsidR="00775D53" w:rsidRPr="005639FB">
        <w:rPr>
          <w:rFonts w:hint="cs"/>
          <w:rtl/>
        </w:rPr>
        <w:t>إلى المكتب الدولي إيجاد طريقة للبحث في</w:t>
      </w:r>
      <w:r w:rsidR="0012181A" w:rsidRPr="005639FB">
        <w:rPr>
          <w:rFonts w:hint="cs"/>
          <w:rtl/>
        </w:rPr>
        <w:t xml:space="preserve"> </w:t>
      </w:r>
      <w:r w:rsidR="00775D53" w:rsidRPr="005639FB">
        <w:rPr>
          <w:rFonts w:hint="cs"/>
          <w:rtl/>
        </w:rPr>
        <w:t xml:space="preserve">نص </w:t>
      </w:r>
      <w:r w:rsidR="0012181A" w:rsidRPr="005639FB">
        <w:rPr>
          <w:rFonts w:hint="cs"/>
          <w:rtl/>
        </w:rPr>
        <w:t xml:space="preserve">أي </w:t>
      </w:r>
      <w:r w:rsidR="00775D53" w:rsidRPr="005639FB">
        <w:rPr>
          <w:rFonts w:hint="cs"/>
          <w:rtl/>
        </w:rPr>
        <w:t>رسومات مختارة مرفقة بملخص</w:t>
      </w:r>
      <w:r w:rsidR="0012181A" w:rsidRPr="005639FB">
        <w:rPr>
          <w:rFonts w:hint="cs"/>
          <w:rtl/>
        </w:rPr>
        <w:t>.</w:t>
      </w:r>
    </w:p>
    <w:p w14:paraId="1E0F5D7F" w14:textId="03013A3E" w:rsidR="0012181A" w:rsidRPr="005639FB" w:rsidRDefault="0012181A" w:rsidP="00A513BF">
      <w:pPr>
        <w:pStyle w:val="NumberedParaAR"/>
      </w:pPr>
      <w:r w:rsidRPr="005639FB">
        <w:rPr>
          <w:rFonts w:hint="cs"/>
          <w:rtl/>
        </w:rPr>
        <w:t xml:space="preserve">وردا على سؤال من مكتب كوريا للملكية الفكرية، أشار المكتب الدولي </w:t>
      </w:r>
      <w:r w:rsidR="00775D53" w:rsidRPr="005639FB">
        <w:rPr>
          <w:rFonts w:hint="cs"/>
          <w:rtl/>
        </w:rPr>
        <w:t xml:space="preserve">إلى </w:t>
      </w:r>
      <w:r w:rsidRPr="005639FB">
        <w:rPr>
          <w:rFonts w:hint="cs"/>
          <w:rtl/>
        </w:rPr>
        <w:t>سع</w:t>
      </w:r>
      <w:r w:rsidR="00775D53" w:rsidRPr="005639FB">
        <w:rPr>
          <w:rFonts w:hint="cs"/>
          <w:rtl/>
        </w:rPr>
        <w:t xml:space="preserve">ادته بالعمل معه </w:t>
      </w:r>
      <w:r w:rsidR="00530BFC" w:rsidRPr="005639FB">
        <w:rPr>
          <w:rFonts w:hint="cs"/>
          <w:rtl/>
        </w:rPr>
        <w:t>للتحقق من الأ</w:t>
      </w:r>
      <w:r w:rsidR="00775D53" w:rsidRPr="005639FB">
        <w:rPr>
          <w:rFonts w:hint="cs"/>
          <w:rtl/>
        </w:rPr>
        <w:t>عد</w:t>
      </w:r>
      <w:r w:rsidR="00530BFC" w:rsidRPr="005639FB">
        <w:rPr>
          <w:rFonts w:hint="cs"/>
          <w:rtl/>
        </w:rPr>
        <w:t>ا</w:t>
      </w:r>
      <w:r w:rsidR="00775D53" w:rsidRPr="005639FB">
        <w:rPr>
          <w:rFonts w:hint="cs"/>
          <w:rtl/>
        </w:rPr>
        <w:t xml:space="preserve">د </w:t>
      </w:r>
      <w:r w:rsidR="00530BFC" w:rsidRPr="005639FB">
        <w:rPr>
          <w:rFonts w:hint="cs"/>
          <w:rtl/>
        </w:rPr>
        <w:t>المناسبة من الكلمات</w:t>
      </w:r>
      <w:r w:rsidRPr="005639FB">
        <w:rPr>
          <w:rFonts w:hint="cs"/>
          <w:rtl/>
        </w:rPr>
        <w:t xml:space="preserve"> </w:t>
      </w:r>
      <w:r w:rsidR="00530BFC" w:rsidRPr="005639FB">
        <w:rPr>
          <w:rFonts w:hint="cs"/>
          <w:rtl/>
        </w:rPr>
        <w:t>وتحديدها إن كانت الرسومات المقترحة</w:t>
      </w:r>
      <w:r w:rsidRPr="005639FB">
        <w:rPr>
          <w:rFonts w:hint="cs"/>
          <w:rtl/>
        </w:rPr>
        <w:t xml:space="preserve"> </w:t>
      </w:r>
      <w:r w:rsidR="00530BFC" w:rsidRPr="005639FB">
        <w:rPr>
          <w:rFonts w:hint="cs"/>
          <w:rtl/>
        </w:rPr>
        <w:t>غير ملائمة</w:t>
      </w:r>
      <w:r w:rsidRPr="005639FB">
        <w:rPr>
          <w:rFonts w:hint="cs"/>
          <w:rtl/>
        </w:rPr>
        <w:t>.</w:t>
      </w:r>
    </w:p>
    <w:p w14:paraId="5C8DA436" w14:textId="7DE03954" w:rsidR="0012181A" w:rsidRPr="005639FB" w:rsidRDefault="00530BFC" w:rsidP="00A513BF">
      <w:pPr>
        <w:pStyle w:val="NumberedParaAR"/>
      </w:pPr>
      <w:r w:rsidRPr="005639FB">
        <w:rPr>
          <w:rFonts w:hint="cs"/>
          <w:rtl/>
        </w:rPr>
        <w:t>وأكد المكتب الدولي أنه رغم انتهاء المهلة المحددة للرد على التعميم</w:t>
      </w:r>
      <w:r w:rsidR="00AE1D6F" w:rsidRPr="005639FB">
        <w:rPr>
          <w:lang w:val="fr-CH"/>
        </w:rPr>
        <w:t>C.</w:t>
      </w:r>
      <w:r w:rsidRPr="005639FB">
        <w:rPr>
          <w:lang w:val="fr-CH"/>
        </w:rPr>
        <w:t>PCT 1486</w:t>
      </w:r>
      <w:r w:rsidR="00AE1D6F" w:rsidRPr="005639FB">
        <w:rPr>
          <w:lang w:val="fr-CH"/>
        </w:rPr>
        <w:t xml:space="preserve"> </w:t>
      </w:r>
      <w:r w:rsidRPr="005639FB">
        <w:rPr>
          <w:rFonts w:hint="cs"/>
          <w:rtl/>
        </w:rPr>
        <w:t xml:space="preserve">، إلا أنه مهتم بتلقي الردود بغية </w:t>
      </w:r>
      <w:r w:rsidR="0012181A" w:rsidRPr="005639FB">
        <w:rPr>
          <w:rFonts w:hint="cs"/>
          <w:rtl/>
        </w:rPr>
        <w:t xml:space="preserve">ضمان </w:t>
      </w:r>
      <w:r w:rsidRPr="005639FB">
        <w:rPr>
          <w:rFonts w:hint="cs"/>
          <w:rtl/>
        </w:rPr>
        <w:t>فهم صحيح ل</w:t>
      </w:r>
      <w:r w:rsidR="0012181A" w:rsidRPr="005639FB">
        <w:rPr>
          <w:rFonts w:hint="cs"/>
          <w:rtl/>
        </w:rPr>
        <w:t xml:space="preserve">احتياجات </w:t>
      </w:r>
      <w:r w:rsidRPr="005639FB">
        <w:rPr>
          <w:rFonts w:hint="cs"/>
          <w:rtl/>
        </w:rPr>
        <w:t>ال</w:t>
      </w:r>
      <w:r w:rsidR="0012181A" w:rsidRPr="005639FB">
        <w:rPr>
          <w:rFonts w:hint="cs"/>
          <w:rtl/>
        </w:rPr>
        <w:t xml:space="preserve">أنواع </w:t>
      </w:r>
      <w:r w:rsidRPr="005639FB">
        <w:rPr>
          <w:rFonts w:hint="cs"/>
          <w:rtl/>
        </w:rPr>
        <w:t>المختلفة من المستخدمين و</w:t>
      </w:r>
      <w:r w:rsidR="00890D3C" w:rsidRPr="005639FB">
        <w:rPr>
          <w:rFonts w:hint="cs"/>
          <w:rtl/>
        </w:rPr>
        <w:t>المساهمة</w:t>
      </w:r>
      <w:r w:rsidR="0012181A" w:rsidRPr="005639FB">
        <w:rPr>
          <w:rFonts w:hint="cs"/>
          <w:rtl/>
        </w:rPr>
        <w:t xml:space="preserve"> في تحديد خيارات </w:t>
      </w:r>
      <w:r w:rsidR="00890D3C" w:rsidRPr="005639FB">
        <w:rPr>
          <w:rFonts w:hint="cs"/>
          <w:rtl/>
        </w:rPr>
        <w:t>فعالة تطرح أمام ال</w:t>
      </w:r>
      <w:r w:rsidR="0012181A" w:rsidRPr="005639FB">
        <w:rPr>
          <w:rFonts w:hint="cs"/>
          <w:rtl/>
        </w:rPr>
        <w:t xml:space="preserve">فريق العامل </w:t>
      </w:r>
      <w:r w:rsidR="00890D3C" w:rsidRPr="005639FB">
        <w:rPr>
          <w:rFonts w:hint="cs"/>
          <w:rtl/>
        </w:rPr>
        <w:t>لمعاهدة التعاون بشأن البراءات لينظر فيها. وأعرب</w:t>
      </w:r>
      <w:r w:rsidR="0012181A" w:rsidRPr="005639FB">
        <w:rPr>
          <w:rFonts w:hint="cs"/>
          <w:rtl/>
        </w:rPr>
        <w:t xml:space="preserve"> </w:t>
      </w:r>
      <w:r w:rsidR="00890D3C" w:rsidRPr="005639FB">
        <w:rPr>
          <w:rFonts w:hint="cs"/>
          <w:rtl/>
        </w:rPr>
        <w:t xml:space="preserve">المكتب عن أمله في </w:t>
      </w:r>
      <w:r w:rsidR="0012181A" w:rsidRPr="005639FB">
        <w:rPr>
          <w:rFonts w:hint="cs"/>
          <w:rtl/>
        </w:rPr>
        <w:t xml:space="preserve">تلقي مساهمات من مجموعات المستخدمين، </w:t>
      </w:r>
      <w:r w:rsidR="00890D3C" w:rsidRPr="005639FB">
        <w:rPr>
          <w:rFonts w:hint="cs"/>
          <w:rtl/>
        </w:rPr>
        <w:t xml:space="preserve">إذ لم تصله حتى الآن </w:t>
      </w:r>
      <w:r w:rsidR="0012181A" w:rsidRPr="005639FB">
        <w:rPr>
          <w:rFonts w:hint="cs"/>
          <w:rtl/>
        </w:rPr>
        <w:t xml:space="preserve">سوى </w:t>
      </w:r>
      <w:r w:rsidR="00890D3C" w:rsidRPr="005639FB">
        <w:rPr>
          <w:rFonts w:hint="cs"/>
          <w:rtl/>
        </w:rPr>
        <w:t>ردود من المكاتب. واقترحت</w:t>
      </w:r>
      <w:r w:rsidR="0012181A" w:rsidRPr="005639FB">
        <w:rPr>
          <w:rFonts w:hint="cs"/>
          <w:rtl/>
        </w:rPr>
        <w:t xml:space="preserve"> واحدة </w:t>
      </w:r>
      <w:r w:rsidR="00890D3C" w:rsidRPr="005639FB">
        <w:rPr>
          <w:rFonts w:hint="cs"/>
          <w:rtl/>
        </w:rPr>
        <w:t xml:space="preserve">من الإدارات </w:t>
      </w:r>
      <w:r w:rsidR="0012181A" w:rsidRPr="005639FB">
        <w:rPr>
          <w:rFonts w:hint="cs"/>
          <w:rtl/>
        </w:rPr>
        <w:t xml:space="preserve">استطلاع وجهات </w:t>
      </w:r>
      <w:r w:rsidR="00890D3C" w:rsidRPr="005639FB">
        <w:rPr>
          <w:rFonts w:hint="cs"/>
          <w:rtl/>
        </w:rPr>
        <w:t xml:space="preserve">نظر المستخدمين من خلال طرح </w:t>
      </w:r>
      <w:r w:rsidR="0012181A" w:rsidRPr="005639FB">
        <w:rPr>
          <w:rFonts w:hint="cs"/>
          <w:rtl/>
        </w:rPr>
        <w:t xml:space="preserve">أسئلة </w:t>
      </w:r>
      <w:r w:rsidR="00890D3C" w:rsidRPr="005639FB">
        <w:rPr>
          <w:rFonts w:hint="cs"/>
          <w:rtl/>
        </w:rPr>
        <w:t>إضافية محددة عن</w:t>
      </w:r>
      <w:r w:rsidR="0012181A" w:rsidRPr="005639FB">
        <w:rPr>
          <w:rFonts w:hint="cs"/>
          <w:rtl/>
        </w:rPr>
        <w:t xml:space="preserve"> </w:t>
      </w:r>
      <w:r w:rsidR="00890D3C" w:rsidRPr="005639FB">
        <w:rPr>
          <w:rFonts w:hint="cs"/>
          <w:rtl/>
        </w:rPr>
        <w:t>ال</w:t>
      </w:r>
      <w:r w:rsidR="0012181A" w:rsidRPr="005639FB">
        <w:rPr>
          <w:rFonts w:hint="cs"/>
          <w:rtl/>
        </w:rPr>
        <w:t xml:space="preserve">أسلوب </w:t>
      </w:r>
      <w:r w:rsidR="00890D3C" w:rsidRPr="005639FB">
        <w:rPr>
          <w:rFonts w:hint="cs"/>
          <w:rtl/>
        </w:rPr>
        <w:t xml:space="preserve">المرغوب لمعالجة مسائل </w:t>
      </w:r>
      <w:r w:rsidR="00AA2F51" w:rsidRPr="005639FB">
        <w:rPr>
          <w:rFonts w:hint="cs"/>
          <w:rtl/>
        </w:rPr>
        <w:t>الملخصات و</w:t>
      </w:r>
      <w:r w:rsidR="0012181A" w:rsidRPr="005639FB">
        <w:rPr>
          <w:rFonts w:hint="cs"/>
          <w:rtl/>
        </w:rPr>
        <w:t>رسوم الصفحة الأولى.</w:t>
      </w:r>
    </w:p>
    <w:p w14:paraId="43F547E5" w14:textId="60443562" w:rsidR="0012181A" w:rsidRPr="005639FB" w:rsidRDefault="0012181A" w:rsidP="00A513BF">
      <w:pPr>
        <w:pStyle w:val="NumberedParaAR"/>
        <w:ind w:left="720"/>
      </w:pPr>
      <w:r w:rsidRPr="005639FB">
        <w:rPr>
          <w:rFonts w:hint="cs"/>
          <w:rtl/>
        </w:rPr>
        <w:t xml:space="preserve">وأوصى الاجتماع بأن </w:t>
      </w:r>
      <w:r w:rsidR="00AA2F51" w:rsidRPr="005639FB">
        <w:rPr>
          <w:rFonts w:hint="cs"/>
          <w:rtl/>
        </w:rPr>
        <w:t xml:space="preserve">يقدّم المكتب الدولي </w:t>
      </w:r>
      <w:r w:rsidRPr="005639FB">
        <w:rPr>
          <w:rFonts w:hint="cs"/>
          <w:rtl/>
        </w:rPr>
        <w:t>مزيد</w:t>
      </w:r>
      <w:r w:rsidR="00AA2F51" w:rsidRPr="005639FB">
        <w:rPr>
          <w:rFonts w:hint="cs"/>
          <w:rtl/>
        </w:rPr>
        <w:t>ا</w:t>
      </w:r>
      <w:r w:rsidRPr="005639FB">
        <w:rPr>
          <w:rFonts w:hint="cs"/>
          <w:rtl/>
        </w:rPr>
        <w:t xml:space="preserve"> من المعلومات والمقترحات إلى الفريق العامل </w:t>
      </w:r>
      <w:r w:rsidR="00AA2F51" w:rsidRPr="005639FB">
        <w:rPr>
          <w:rFonts w:hint="cs"/>
          <w:rtl/>
        </w:rPr>
        <w:t>ل</w:t>
      </w:r>
      <w:r w:rsidRPr="005639FB">
        <w:rPr>
          <w:rFonts w:hint="cs"/>
          <w:rtl/>
        </w:rPr>
        <w:t>معاهدة التعاون بشأن البراءات، مع الأخذ بعين الاعتبار التعليقات الواردة أعلاه</w:t>
      </w:r>
      <w:r w:rsidR="00AA2F51" w:rsidRPr="005639FB">
        <w:rPr>
          <w:rFonts w:hint="cs"/>
          <w:rtl/>
        </w:rPr>
        <w:t xml:space="preserve"> وأية ملاحظات إضافية للمكاتب </w:t>
      </w:r>
      <w:r w:rsidRPr="005639FB">
        <w:rPr>
          <w:rFonts w:hint="cs"/>
          <w:rtl/>
        </w:rPr>
        <w:t>والمستخدمين.</w:t>
      </w:r>
    </w:p>
    <w:p w14:paraId="2A48AF57" w14:textId="763B625F" w:rsidR="00AA70FE" w:rsidRPr="005639FB" w:rsidRDefault="0053242E" w:rsidP="00A513BF">
      <w:pPr>
        <w:pStyle w:val="Heading1AR"/>
        <w:spacing w:after="240" w:line="360" w:lineRule="exact"/>
      </w:pPr>
      <w:r w:rsidRPr="005639FB">
        <w:rPr>
          <w:rtl/>
        </w:rPr>
        <w:t>البند 12: استخدام رموز التصنيف ال</w:t>
      </w:r>
      <w:r w:rsidRPr="005639FB">
        <w:rPr>
          <w:rFonts w:hint="cs"/>
          <w:rtl/>
        </w:rPr>
        <w:t>وطن</w:t>
      </w:r>
      <w:r w:rsidRPr="005639FB">
        <w:rPr>
          <w:rtl/>
        </w:rPr>
        <w:t>ي</w:t>
      </w:r>
      <w:r w:rsidRPr="005639FB">
        <w:rPr>
          <w:rFonts w:hint="cs"/>
          <w:rtl/>
        </w:rPr>
        <w:t>ة</w:t>
      </w:r>
      <w:r w:rsidRPr="005639FB">
        <w:rPr>
          <w:rtl/>
        </w:rPr>
        <w:t xml:space="preserve"> في الطلبات الدولية</w:t>
      </w:r>
    </w:p>
    <w:p w14:paraId="417B62AA" w14:textId="0568CB3B" w:rsidR="00AA70FE" w:rsidRPr="005639FB" w:rsidRDefault="00AA70FE" w:rsidP="00A513BF">
      <w:pPr>
        <w:pStyle w:val="NumberedParaAR"/>
      </w:pPr>
      <w:r w:rsidRPr="005639FB">
        <w:rPr>
          <w:rtl/>
        </w:rPr>
        <w:t xml:space="preserve">استندت المناقشات إلى الوثيقة </w:t>
      </w:r>
      <w:r w:rsidRPr="005639FB">
        <w:t>PCT/MIA/24/12</w:t>
      </w:r>
      <w:r w:rsidRPr="005639FB">
        <w:rPr>
          <w:rtl/>
        </w:rPr>
        <w:t>.</w:t>
      </w:r>
    </w:p>
    <w:p w14:paraId="20495CB8" w14:textId="32F69C41" w:rsidR="00AA2F51" w:rsidRPr="005639FB" w:rsidRDefault="00AA2F51" w:rsidP="00A513BF">
      <w:pPr>
        <w:pStyle w:val="NumberedParaAR"/>
      </w:pPr>
      <w:r w:rsidRPr="005639FB">
        <w:rPr>
          <w:rFonts w:hint="cs"/>
          <w:rtl/>
        </w:rPr>
        <w:lastRenderedPageBreak/>
        <w:t xml:space="preserve">وأيدت الإدارات </w:t>
      </w:r>
      <w:r w:rsidR="0009614E" w:rsidRPr="005639FB">
        <w:rPr>
          <w:rFonts w:hint="cs"/>
          <w:rtl/>
        </w:rPr>
        <w:t>ال</w:t>
      </w:r>
      <w:r w:rsidRPr="005639FB">
        <w:rPr>
          <w:rFonts w:hint="cs"/>
          <w:rtl/>
        </w:rPr>
        <w:t xml:space="preserve">اقتراح </w:t>
      </w:r>
      <w:r w:rsidR="0009614E" w:rsidRPr="005639FB">
        <w:rPr>
          <w:rFonts w:hint="cs"/>
          <w:rtl/>
        </w:rPr>
        <w:t xml:space="preserve">بأن تحيل إدارات </w:t>
      </w:r>
      <w:r w:rsidRPr="005639FB">
        <w:rPr>
          <w:rFonts w:hint="cs"/>
          <w:rtl/>
        </w:rPr>
        <w:t xml:space="preserve">البحث الدولي </w:t>
      </w:r>
      <w:r w:rsidR="0009614E" w:rsidRPr="005639FB">
        <w:rPr>
          <w:rFonts w:hint="cs"/>
          <w:rtl/>
        </w:rPr>
        <w:t>ذات ال</w:t>
      </w:r>
      <w:r w:rsidRPr="005639FB">
        <w:rPr>
          <w:rFonts w:hint="cs"/>
          <w:rtl/>
        </w:rPr>
        <w:t xml:space="preserve">خبرة </w:t>
      </w:r>
      <w:r w:rsidR="0009614E" w:rsidRPr="005639FB">
        <w:rPr>
          <w:rFonts w:hint="cs"/>
          <w:rtl/>
        </w:rPr>
        <w:t>ال</w:t>
      </w:r>
      <w:r w:rsidRPr="005639FB">
        <w:rPr>
          <w:rFonts w:hint="cs"/>
          <w:rtl/>
        </w:rPr>
        <w:t xml:space="preserve">كافية في استخدام رموز </w:t>
      </w:r>
      <w:r w:rsidR="0009614E" w:rsidRPr="005639FB">
        <w:rPr>
          <w:rtl/>
        </w:rPr>
        <w:t>النظام التعاوني لتصنيف البراءات</w:t>
      </w:r>
      <w:r w:rsidR="0009614E" w:rsidRPr="005639FB">
        <w:rPr>
          <w:rFonts w:hint="cs"/>
          <w:rtl/>
        </w:rPr>
        <w:t xml:space="preserve"> </w:t>
      </w:r>
      <w:r w:rsidRPr="005639FB">
        <w:rPr>
          <w:rFonts w:hint="cs"/>
          <w:rtl/>
        </w:rPr>
        <w:t>(</w:t>
      </w:r>
      <w:r w:rsidRPr="005639FB">
        <w:rPr>
          <w:rFonts w:hint="cs"/>
        </w:rPr>
        <w:t>CPC</w:t>
      </w:r>
      <w:r w:rsidR="0009614E" w:rsidRPr="005639FB">
        <w:rPr>
          <w:rFonts w:hint="cs"/>
          <w:rtl/>
        </w:rPr>
        <w:t>)</w:t>
      </w:r>
      <w:r w:rsidRPr="005639FB">
        <w:rPr>
          <w:rFonts w:hint="cs"/>
          <w:rtl/>
        </w:rPr>
        <w:t xml:space="preserve"> </w:t>
      </w:r>
      <w:r w:rsidR="0009614E" w:rsidRPr="005639FB">
        <w:rPr>
          <w:rFonts w:hint="cs"/>
          <w:rtl/>
        </w:rPr>
        <w:t>هذه الرموز إلى المكتب الدولي في نسق (</w:t>
      </w:r>
      <w:r w:rsidRPr="005639FB">
        <w:rPr>
          <w:rFonts w:hint="cs"/>
        </w:rPr>
        <w:t>XML</w:t>
      </w:r>
      <w:r w:rsidR="0009614E" w:rsidRPr="005639FB">
        <w:rPr>
          <w:rFonts w:hint="cs"/>
          <w:rtl/>
        </w:rPr>
        <w:t>)</w:t>
      </w:r>
      <w:r w:rsidRPr="005639FB">
        <w:rPr>
          <w:rFonts w:hint="cs"/>
          <w:rtl/>
        </w:rPr>
        <w:t xml:space="preserve"> لإدراجها في ق</w:t>
      </w:r>
      <w:r w:rsidR="0009614E" w:rsidRPr="005639FB">
        <w:rPr>
          <w:rFonts w:hint="cs"/>
          <w:rtl/>
        </w:rPr>
        <w:t>اعدة بيانات البراءات. وأشارت إدارة</w:t>
      </w:r>
      <w:r w:rsidRPr="005639FB">
        <w:rPr>
          <w:rFonts w:hint="cs"/>
          <w:rtl/>
        </w:rPr>
        <w:t xml:space="preserve"> </w:t>
      </w:r>
      <w:r w:rsidR="0009614E" w:rsidRPr="005639FB">
        <w:rPr>
          <w:rFonts w:hint="cs"/>
          <w:rtl/>
        </w:rPr>
        <w:t>إلى أن</w:t>
      </w:r>
      <w:r w:rsidRPr="005639FB">
        <w:rPr>
          <w:rFonts w:hint="cs"/>
          <w:rtl/>
        </w:rPr>
        <w:t xml:space="preserve"> </w:t>
      </w:r>
      <w:r w:rsidR="0009614E" w:rsidRPr="005639FB">
        <w:rPr>
          <w:rFonts w:hint="cs"/>
          <w:rtl/>
        </w:rPr>
        <w:t>تفسيرها لمصطلح "الخبرة الكافية" يعني مجرد قدرة إدارة البحث الدولي على ا</w:t>
      </w:r>
      <w:r w:rsidRPr="005639FB">
        <w:rPr>
          <w:rFonts w:hint="cs"/>
          <w:rtl/>
        </w:rPr>
        <w:t xml:space="preserve">لاستفادة من </w:t>
      </w:r>
      <w:r w:rsidR="0009614E" w:rsidRPr="005639FB">
        <w:rPr>
          <w:rtl/>
        </w:rPr>
        <w:t>النظام التعاوني لتصنيف البراءات</w:t>
      </w:r>
      <w:r w:rsidR="0009614E" w:rsidRPr="005639FB">
        <w:rPr>
          <w:rFonts w:hint="cs"/>
          <w:rtl/>
        </w:rPr>
        <w:t xml:space="preserve"> </w:t>
      </w:r>
      <w:r w:rsidRPr="005639FB">
        <w:rPr>
          <w:rFonts w:hint="cs"/>
          <w:rtl/>
        </w:rPr>
        <w:t>كجزء من عملية</w:t>
      </w:r>
      <w:r w:rsidR="0009614E" w:rsidRPr="005639FB">
        <w:rPr>
          <w:rFonts w:hint="cs"/>
          <w:rtl/>
        </w:rPr>
        <w:t xml:space="preserve"> التصنيف الوطنية المنتظمة.</w:t>
      </w:r>
    </w:p>
    <w:p w14:paraId="6D35A478" w14:textId="1DE7431E" w:rsidR="00AA2F51" w:rsidRPr="005639FB" w:rsidRDefault="00AA2F51" w:rsidP="00A513BF">
      <w:pPr>
        <w:pStyle w:val="NumberedParaAR"/>
      </w:pPr>
      <w:r w:rsidRPr="005639FB">
        <w:rPr>
          <w:rFonts w:hint="cs"/>
          <w:rtl/>
        </w:rPr>
        <w:t xml:space="preserve">وذكر </w:t>
      </w:r>
      <w:r w:rsidR="0009614E" w:rsidRPr="005639FB">
        <w:rPr>
          <w:rFonts w:hint="cs"/>
          <w:rtl/>
        </w:rPr>
        <w:t>ال</w:t>
      </w:r>
      <w:r w:rsidRPr="005639FB">
        <w:rPr>
          <w:rFonts w:hint="cs"/>
          <w:rtl/>
        </w:rPr>
        <w:t xml:space="preserve">مكتب </w:t>
      </w:r>
      <w:r w:rsidR="0009614E" w:rsidRPr="005639FB">
        <w:rPr>
          <w:rFonts w:hint="cs"/>
          <w:rtl/>
        </w:rPr>
        <w:t xml:space="preserve">الأوروبي للبراءات </w:t>
      </w:r>
      <w:r w:rsidRPr="005639FB">
        <w:rPr>
          <w:rFonts w:hint="cs"/>
          <w:rtl/>
        </w:rPr>
        <w:t xml:space="preserve">أن التحقق من </w:t>
      </w:r>
      <w:r w:rsidR="0009614E" w:rsidRPr="005639FB">
        <w:rPr>
          <w:rFonts w:hint="cs"/>
          <w:rtl/>
        </w:rPr>
        <w:t xml:space="preserve">رموز </w:t>
      </w:r>
      <w:r w:rsidR="0009614E" w:rsidRPr="005639FB">
        <w:rPr>
          <w:rtl/>
        </w:rPr>
        <w:t>النظام التعاوني لتصنيف البراءات</w:t>
      </w:r>
      <w:r w:rsidR="0009614E" w:rsidRPr="005639FB">
        <w:rPr>
          <w:rFonts w:hint="cs"/>
          <w:rtl/>
        </w:rPr>
        <w:t xml:space="preserve"> ينبغي أن يجري</w:t>
      </w:r>
      <w:r w:rsidRPr="005639FB">
        <w:rPr>
          <w:rFonts w:hint="cs"/>
          <w:rtl/>
        </w:rPr>
        <w:t xml:space="preserve"> في المصدر</w:t>
      </w:r>
      <w:r w:rsidR="0009614E" w:rsidRPr="005639FB">
        <w:rPr>
          <w:rFonts w:hint="cs"/>
          <w:rtl/>
        </w:rPr>
        <w:t>،</w:t>
      </w:r>
      <w:r w:rsidRPr="005639FB">
        <w:rPr>
          <w:rFonts w:hint="cs"/>
          <w:rtl/>
        </w:rPr>
        <w:t xml:space="preserve"> </w:t>
      </w:r>
      <w:r w:rsidR="0009614E" w:rsidRPr="005639FB">
        <w:rPr>
          <w:rFonts w:hint="cs"/>
          <w:rtl/>
        </w:rPr>
        <w:t xml:space="preserve">أي </w:t>
      </w:r>
      <w:r w:rsidRPr="005639FB">
        <w:rPr>
          <w:rFonts w:hint="cs"/>
          <w:rtl/>
        </w:rPr>
        <w:t xml:space="preserve">قبل إحالته إلى المكتب الدولي لتحسين جودة البيانات. وفي هذا الصدد، </w:t>
      </w:r>
      <w:r w:rsidR="0009614E" w:rsidRPr="005639FB">
        <w:rPr>
          <w:rFonts w:hint="cs"/>
          <w:rtl/>
        </w:rPr>
        <w:t>ي</w:t>
      </w:r>
      <w:r w:rsidRPr="005639FB">
        <w:rPr>
          <w:rFonts w:hint="cs"/>
          <w:rtl/>
        </w:rPr>
        <w:t xml:space="preserve">قدم المكتب </w:t>
      </w:r>
      <w:r w:rsidR="0009614E" w:rsidRPr="005639FB">
        <w:rPr>
          <w:rFonts w:hint="cs"/>
          <w:rtl/>
        </w:rPr>
        <w:t>الأوروبي خدمة إلكترونية لإدارات البحث الدولية الأخرى</w:t>
      </w:r>
      <w:r w:rsidRPr="005639FB">
        <w:rPr>
          <w:rFonts w:hint="cs"/>
          <w:rtl/>
        </w:rPr>
        <w:t xml:space="preserve"> ل</w:t>
      </w:r>
      <w:r w:rsidR="0009614E" w:rsidRPr="005639FB">
        <w:rPr>
          <w:rFonts w:hint="cs"/>
          <w:rtl/>
        </w:rPr>
        <w:t>لتحقق من هذه الرموز</w:t>
      </w:r>
      <w:r w:rsidRPr="005639FB">
        <w:rPr>
          <w:rFonts w:hint="cs"/>
          <w:rtl/>
        </w:rPr>
        <w:t>. وتساءل</w:t>
      </w:r>
      <w:r w:rsidR="0009614E" w:rsidRPr="005639FB">
        <w:rPr>
          <w:rFonts w:hint="cs"/>
          <w:rtl/>
        </w:rPr>
        <w:t>ت إدارة أخرى</w:t>
      </w:r>
      <w:r w:rsidRPr="005639FB">
        <w:rPr>
          <w:rFonts w:hint="cs"/>
          <w:rtl/>
        </w:rPr>
        <w:t xml:space="preserve"> </w:t>
      </w:r>
      <w:r w:rsidR="0009614E" w:rsidRPr="005639FB">
        <w:rPr>
          <w:rFonts w:hint="cs"/>
          <w:rtl/>
        </w:rPr>
        <w:t>إن كان للمكتب الدولي الموارد الكافية للتحقق من صحة الرموز</w:t>
      </w:r>
      <w:r w:rsidRPr="005639FB">
        <w:rPr>
          <w:rFonts w:hint="cs"/>
          <w:rtl/>
        </w:rPr>
        <w:t xml:space="preserve"> التي تقدمها إدارة البحث الدولي</w:t>
      </w:r>
      <w:r w:rsidR="0009614E" w:rsidRPr="005639FB">
        <w:rPr>
          <w:rFonts w:hint="cs"/>
          <w:rtl/>
        </w:rPr>
        <w:t xml:space="preserve"> وتصحيحها</w:t>
      </w:r>
      <w:r w:rsidRPr="005639FB">
        <w:rPr>
          <w:rFonts w:hint="cs"/>
          <w:rtl/>
        </w:rPr>
        <w:t>.</w:t>
      </w:r>
    </w:p>
    <w:p w14:paraId="47E2A739" w14:textId="3C30B5B4" w:rsidR="00AA2F51" w:rsidRPr="005639FB" w:rsidRDefault="0009614E" w:rsidP="00A513BF">
      <w:pPr>
        <w:pStyle w:val="NumberedParaAR"/>
      </w:pPr>
      <w:r w:rsidRPr="005639FB">
        <w:rPr>
          <w:rFonts w:hint="cs"/>
          <w:rtl/>
        </w:rPr>
        <w:t xml:space="preserve">وذكرت واحدة من الإدارات </w:t>
      </w:r>
      <w:r w:rsidR="007F1FD1" w:rsidRPr="005639FB">
        <w:rPr>
          <w:rFonts w:hint="cs"/>
          <w:rtl/>
        </w:rPr>
        <w:t xml:space="preserve">أن </w:t>
      </w:r>
      <w:r w:rsidR="00AA2F51" w:rsidRPr="005639FB">
        <w:rPr>
          <w:rFonts w:hint="cs"/>
          <w:rtl/>
        </w:rPr>
        <w:t>إضافة رموز التصن</w:t>
      </w:r>
      <w:r w:rsidR="007F1FD1" w:rsidRPr="005639FB">
        <w:rPr>
          <w:rFonts w:hint="cs"/>
          <w:rtl/>
        </w:rPr>
        <w:t>يف القطرية على الصفحة الأولى ل</w:t>
      </w:r>
      <w:r w:rsidR="00AA2F51" w:rsidRPr="005639FB">
        <w:rPr>
          <w:rFonts w:hint="cs"/>
          <w:rtl/>
        </w:rPr>
        <w:t>لطلبات الدولية المنشورة</w:t>
      </w:r>
      <w:r w:rsidR="007F1FD1" w:rsidRPr="005639FB">
        <w:rPr>
          <w:rFonts w:hint="cs"/>
          <w:rtl/>
        </w:rPr>
        <w:t xml:space="preserve"> قد يكون أمرا قيما</w:t>
      </w:r>
      <w:r w:rsidR="00AA2F51" w:rsidRPr="005639FB">
        <w:rPr>
          <w:rFonts w:hint="cs"/>
          <w:rtl/>
        </w:rPr>
        <w:t xml:space="preserve">. </w:t>
      </w:r>
      <w:r w:rsidR="007F1FD1" w:rsidRPr="005639FB">
        <w:rPr>
          <w:rFonts w:hint="cs"/>
          <w:rtl/>
        </w:rPr>
        <w:t>وأضافت هذه الإدارة أنها لا</w:t>
      </w:r>
      <w:r w:rsidR="00AA2F51" w:rsidRPr="005639FB">
        <w:rPr>
          <w:rFonts w:hint="cs"/>
          <w:rtl/>
        </w:rPr>
        <w:t xml:space="preserve"> </w:t>
      </w:r>
      <w:r w:rsidR="007F1FD1" w:rsidRPr="005639FB">
        <w:rPr>
          <w:rFonts w:hint="cs"/>
          <w:rtl/>
        </w:rPr>
        <w:t xml:space="preserve">تستخلص حاليا، بصفتها المكتب المعين، </w:t>
      </w:r>
      <w:r w:rsidR="00AA2F51" w:rsidRPr="005639FB">
        <w:rPr>
          <w:rFonts w:hint="cs"/>
          <w:rtl/>
        </w:rPr>
        <w:t xml:space="preserve">بيانات </w:t>
      </w:r>
      <w:r w:rsidR="00AA2F51" w:rsidRPr="005639FB">
        <w:rPr>
          <w:rFonts w:hint="cs"/>
        </w:rPr>
        <w:t>XML</w:t>
      </w:r>
      <w:r w:rsidR="00AA2F51" w:rsidRPr="005639FB">
        <w:rPr>
          <w:rFonts w:hint="cs"/>
          <w:rtl/>
        </w:rPr>
        <w:t xml:space="preserve"> من البراءات. وعلاوة على ذلك، </w:t>
      </w:r>
      <w:r w:rsidR="007F1FD1" w:rsidRPr="005639FB">
        <w:rPr>
          <w:rFonts w:hint="cs"/>
          <w:rtl/>
        </w:rPr>
        <w:t xml:space="preserve">فهي لا ترسل بصفتها إدارة للبحث الدولي </w:t>
      </w:r>
      <w:r w:rsidR="00AA2F51" w:rsidRPr="005639FB">
        <w:rPr>
          <w:rFonts w:hint="cs"/>
          <w:rtl/>
        </w:rPr>
        <w:t xml:space="preserve">تقارير البحث الدولي إلى المكتب الدولي في </w:t>
      </w:r>
      <w:r w:rsidR="007F1FD1" w:rsidRPr="005639FB">
        <w:rPr>
          <w:rFonts w:hint="cs"/>
          <w:rtl/>
        </w:rPr>
        <w:t xml:space="preserve">نسق </w:t>
      </w:r>
      <w:r w:rsidR="00AA2F51" w:rsidRPr="005639FB">
        <w:rPr>
          <w:rFonts w:hint="cs"/>
        </w:rPr>
        <w:t>XML</w:t>
      </w:r>
      <w:r w:rsidR="00AA2F51" w:rsidRPr="005639FB">
        <w:rPr>
          <w:rFonts w:hint="cs"/>
          <w:rtl/>
        </w:rPr>
        <w:t xml:space="preserve">، </w:t>
      </w:r>
      <w:r w:rsidR="007F1FD1" w:rsidRPr="005639FB">
        <w:rPr>
          <w:rFonts w:hint="cs"/>
          <w:rtl/>
        </w:rPr>
        <w:t>و</w:t>
      </w:r>
      <w:r w:rsidR="00AA2F51" w:rsidRPr="005639FB">
        <w:rPr>
          <w:rFonts w:hint="cs"/>
          <w:rtl/>
        </w:rPr>
        <w:t>لكنه</w:t>
      </w:r>
      <w:r w:rsidR="007F1FD1" w:rsidRPr="005639FB">
        <w:rPr>
          <w:rFonts w:hint="cs"/>
          <w:rtl/>
        </w:rPr>
        <w:t>ا</w:t>
      </w:r>
      <w:r w:rsidR="00AA2F51" w:rsidRPr="005639FB">
        <w:rPr>
          <w:rFonts w:hint="cs"/>
          <w:rtl/>
        </w:rPr>
        <w:t xml:space="preserve"> أعرب</w:t>
      </w:r>
      <w:r w:rsidR="007F1FD1" w:rsidRPr="005639FB">
        <w:rPr>
          <w:rFonts w:hint="cs"/>
          <w:rtl/>
        </w:rPr>
        <w:t>ت</w:t>
      </w:r>
      <w:r w:rsidR="00AA2F51" w:rsidRPr="005639FB">
        <w:rPr>
          <w:rFonts w:hint="cs"/>
          <w:rtl/>
        </w:rPr>
        <w:t xml:space="preserve"> عن أمله</w:t>
      </w:r>
      <w:r w:rsidR="007F1FD1" w:rsidRPr="005639FB">
        <w:rPr>
          <w:rFonts w:hint="cs"/>
          <w:rtl/>
        </w:rPr>
        <w:t>ا</w:t>
      </w:r>
      <w:r w:rsidR="00AA2F51" w:rsidRPr="005639FB">
        <w:rPr>
          <w:rFonts w:hint="cs"/>
          <w:rtl/>
        </w:rPr>
        <w:t xml:space="preserve"> في أن</w:t>
      </w:r>
      <w:r w:rsidR="007F1FD1" w:rsidRPr="005639FB">
        <w:rPr>
          <w:rFonts w:hint="cs"/>
          <w:rtl/>
        </w:rPr>
        <w:t xml:space="preserve"> تفعل ذلك في المستقبل. وذكرت إدار</w:t>
      </w:r>
      <w:r w:rsidR="00AA2F51" w:rsidRPr="005639FB">
        <w:rPr>
          <w:rFonts w:hint="cs"/>
          <w:rtl/>
        </w:rPr>
        <w:t xml:space="preserve">ة أخرى أن الرموز </w:t>
      </w:r>
      <w:r w:rsidR="007F1FD1" w:rsidRPr="005639FB">
        <w:rPr>
          <w:rFonts w:hint="cs"/>
          <w:rtl/>
        </w:rPr>
        <w:t>التصنيف الدولي للبراءات ينبغي أن ت</w:t>
      </w:r>
      <w:r w:rsidR="00AA2F51" w:rsidRPr="005639FB">
        <w:rPr>
          <w:rFonts w:hint="cs"/>
          <w:rtl/>
        </w:rPr>
        <w:t xml:space="preserve">درج </w:t>
      </w:r>
      <w:r w:rsidR="007F1FD1" w:rsidRPr="005639FB">
        <w:rPr>
          <w:rFonts w:hint="cs"/>
          <w:rtl/>
        </w:rPr>
        <w:t xml:space="preserve">وحدها فقط </w:t>
      </w:r>
      <w:r w:rsidR="00AA2F51" w:rsidRPr="005639FB">
        <w:rPr>
          <w:rFonts w:hint="cs"/>
          <w:rtl/>
        </w:rPr>
        <w:t xml:space="preserve">في الصفحة الأولى من طلبات </w:t>
      </w:r>
      <w:r w:rsidR="007F1FD1" w:rsidRPr="005639FB">
        <w:rPr>
          <w:rFonts w:hint="cs"/>
          <w:rtl/>
        </w:rPr>
        <w:t xml:space="preserve">البراءات </w:t>
      </w:r>
      <w:r w:rsidR="00AA2F51" w:rsidRPr="005639FB">
        <w:rPr>
          <w:rFonts w:hint="cs"/>
          <w:rtl/>
        </w:rPr>
        <w:t>الدولية.</w:t>
      </w:r>
    </w:p>
    <w:p w14:paraId="64E48CFB" w14:textId="3D648450" w:rsidR="00AA2F51" w:rsidRPr="005639FB" w:rsidRDefault="007F1FD1" w:rsidP="00A513BF">
      <w:pPr>
        <w:pStyle w:val="NumberedParaAR"/>
      </w:pPr>
      <w:r w:rsidRPr="005639FB">
        <w:rPr>
          <w:rFonts w:hint="cs"/>
          <w:rtl/>
        </w:rPr>
        <w:t xml:space="preserve">وشكر مكتب </w:t>
      </w:r>
      <w:r w:rsidR="00AA2F51" w:rsidRPr="005639FB">
        <w:rPr>
          <w:rFonts w:hint="cs"/>
          <w:rtl/>
        </w:rPr>
        <w:t>كوري</w:t>
      </w:r>
      <w:r w:rsidRPr="005639FB">
        <w:rPr>
          <w:rFonts w:hint="cs"/>
          <w:rtl/>
        </w:rPr>
        <w:t>ا</w:t>
      </w:r>
      <w:r w:rsidR="00AA2F51" w:rsidRPr="005639FB">
        <w:rPr>
          <w:rFonts w:hint="cs"/>
          <w:rtl/>
        </w:rPr>
        <w:t xml:space="preserve"> للملكية الفكرية الإدارات</w:t>
      </w:r>
      <w:r w:rsidRPr="005639FB">
        <w:rPr>
          <w:rFonts w:hint="cs"/>
          <w:rtl/>
        </w:rPr>
        <w:t xml:space="preserve"> على </w:t>
      </w:r>
      <w:r w:rsidR="00AA2F51" w:rsidRPr="005639FB">
        <w:rPr>
          <w:rFonts w:hint="cs"/>
          <w:rtl/>
        </w:rPr>
        <w:t>تعليق</w:t>
      </w:r>
      <w:r w:rsidRPr="005639FB">
        <w:rPr>
          <w:rFonts w:hint="cs"/>
          <w:rtl/>
        </w:rPr>
        <w:t xml:space="preserve">اتها بشأن </w:t>
      </w:r>
      <w:r w:rsidR="00AA2F51" w:rsidRPr="005639FB">
        <w:rPr>
          <w:rFonts w:hint="cs"/>
          <w:rtl/>
        </w:rPr>
        <w:t>الوثيقة</w:t>
      </w:r>
      <w:r w:rsidRPr="005639FB">
        <w:rPr>
          <w:rFonts w:hint="cs"/>
          <w:rtl/>
        </w:rPr>
        <w:t>، وذكر أنه سي</w:t>
      </w:r>
      <w:r w:rsidR="00AA2F51" w:rsidRPr="005639FB">
        <w:rPr>
          <w:rFonts w:hint="cs"/>
          <w:rtl/>
        </w:rPr>
        <w:t>واصل ال</w:t>
      </w:r>
      <w:r w:rsidRPr="005639FB">
        <w:rPr>
          <w:rFonts w:hint="cs"/>
          <w:rtl/>
        </w:rPr>
        <w:t xml:space="preserve">عمل مع المكتب الدولي في تحضير مناقشات </w:t>
      </w:r>
      <w:r w:rsidR="00AA2F51" w:rsidRPr="005639FB">
        <w:rPr>
          <w:rFonts w:hint="cs"/>
          <w:rtl/>
        </w:rPr>
        <w:t xml:space="preserve">الفريق العامل </w:t>
      </w:r>
      <w:r w:rsidRPr="005639FB">
        <w:rPr>
          <w:rFonts w:hint="cs"/>
          <w:rtl/>
        </w:rPr>
        <w:t>ل</w:t>
      </w:r>
      <w:r w:rsidR="00AA2F51" w:rsidRPr="005639FB">
        <w:rPr>
          <w:rFonts w:hint="cs"/>
          <w:rtl/>
        </w:rPr>
        <w:t>معاهدة التعاون بشأن البراءات.</w:t>
      </w:r>
    </w:p>
    <w:p w14:paraId="54F2109A" w14:textId="77777777" w:rsidR="00AA70FE" w:rsidRPr="005639FB" w:rsidRDefault="00AA70FE" w:rsidP="00A513BF">
      <w:pPr>
        <w:pStyle w:val="NumberedParaAR"/>
        <w:ind w:left="1282" w:hanging="562"/>
      </w:pPr>
      <w:r w:rsidRPr="005639FB">
        <w:rPr>
          <w:rtl/>
        </w:rPr>
        <w:t xml:space="preserve">وأحاط الاجتماع علماً بمحتويات الوثيقة </w:t>
      </w:r>
      <w:r w:rsidRPr="005639FB">
        <w:t>PCT/MIA/24/12</w:t>
      </w:r>
      <w:r w:rsidRPr="005639FB">
        <w:rPr>
          <w:rtl/>
        </w:rPr>
        <w:t>.</w:t>
      </w:r>
    </w:p>
    <w:p w14:paraId="2478575E" w14:textId="7DD067C4" w:rsidR="008D63E4" w:rsidRPr="005639FB" w:rsidRDefault="008D63E4" w:rsidP="00A513BF">
      <w:pPr>
        <w:pStyle w:val="Heading1AR"/>
        <w:spacing w:after="240" w:line="360" w:lineRule="exact"/>
      </w:pPr>
      <w:r w:rsidRPr="005639FB">
        <w:rPr>
          <w:rFonts w:hint="cs"/>
          <w:rtl/>
        </w:rPr>
        <w:t xml:space="preserve">البند 13: </w:t>
      </w:r>
      <w:r w:rsidRPr="005639FB">
        <w:rPr>
          <w:rtl/>
        </w:rPr>
        <w:t xml:space="preserve">البحث والفحص التعاونيان </w:t>
      </w:r>
      <w:r w:rsidR="00804917" w:rsidRPr="005639FB">
        <w:rPr>
          <w:rFonts w:hint="cs"/>
          <w:rtl/>
        </w:rPr>
        <w:t>بناء على</w:t>
      </w:r>
      <w:r w:rsidRPr="005639FB">
        <w:rPr>
          <w:rFonts w:hint="cs"/>
          <w:rtl/>
        </w:rPr>
        <w:t xml:space="preserve"> </w:t>
      </w:r>
      <w:r w:rsidRPr="005639FB">
        <w:rPr>
          <w:rtl/>
        </w:rPr>
        <w:t>معاهدة التعاون بشأن البراءات – المشروع الرائد الثالث</w:t>
      </w:r>
    </w:p>
    <w:p w14:paraId="37BC66B9" w14:textId="0BD17FC1" w:rsidR="00AA70FE" w:rsidRPr="005639FB" w:rsidRDefault="00AA70FE" w:rsidP="00A513BF">
      <w:pPr>
        <w:pStyle w:val="NumberedParaAR"/>
      </w:pPr>
      <w:r w:rsidRPr="005639FB">
        <w:rPr>
          <w:rtl/>
        </w:rPr>
        <w:t xml:space="preserve">استندت المناقشات إلى الوثيقة </w:t>
      </w:r>
      <w:r w:rsidRPr="005639FB">
        <w:t>PCT/MIA/24/3</w:t>
      </w:r>
      <w:r w:rsidRPr="005639FB">
        <w:rPr>
          <w:rtl/>
        </w:rPr>
        <w:t>.</w:t>
      </w:r>
    </w:p>
    <w:p w14:paraId="7F1EBDB7" w14:textId="4454FBC7" w:rsidR="007F1FD1" w:rsidRPr="005639FB" w:rsidRDefault="007F1FD1" w:rsidP="00A513BF">
      <w:pPr>
        <w:pStyle w:val="NumberedParaAR"/>
      </w:pPr>
      <w:r w:rsidRPr="005639FB">
        <w:rPr>
          <w:rFonts w:hint="cs"/>
          <w:rtl/>
        </w:rPr>
        <w:t>وأفاد المكتب الأوروبي للبراءات بإحراز المجموعة التجريبية مزيدا من التقدم منذ تاريخ إعداد الوثيقة</w:t>
      </w:r>
      <w:r w:rsidR="000800AB" w:rsidRPr="005639FB">
        <w:rPr>
          <w:rFonts w:hint="cs"/>
          <w:rtl/>
        </w:rPr>
        <w:t> </w:t>
      </w:r>
      <w:r w:rsidRPr="005639FB">
        <w:t>PCT/MIA/24/3</w:t>
      </w:r>
      <w:r w:rsidRPr="005639FB">
        <w:rPr>
          <w:rFonts w:hint="cs"/>
          <w:rtl/>
        </w:rPr>
        <w:t>. وخصّ بالذكر</w:t>
      </w:r>
      <w:r w:rsidR="006613C4" w:rsidRPr="005639FB">
        <w:rPr>
          <w:rFonts w:hint="cs"/>
          <w:rtl/>
        </w:rPr>
        <w:t xml:space="preserve"> الاتفاق في الدورة الثانية للمجموعة </w:t>
      </w:r>
      <w:r w:rsidR="002121E4" w:rsidRPr="005639FB">
        <w:rPr>
          <w:rFonts w:hint="cs"/>
          <w:rtl/>
        </w:rPr>
        <w:t xml:space="preserve">الرائدة </w:t>
      </w:r>
      <w:r w:rsidR="006613C4" w:rsidRPr="005639FB">
        <w:rPr>
          <w:rFonts w:hint="cs"/>
          <w:rtl/>
        </w:rPr>
        <w:t>(التي عقدت</w:t>
      </w:r>
      <w:r w:rsidRPr="005639FB">
        <w:rPr>
          <w:rFonts w:hint="cs"/>
          <w:rtl/>
        </w:rPr>
        <w:t xml:space="preserve"> </w:t>
      </w:r>
      <w:r w:rsidR="006613C4" w:rsidRPr="005639FB">
        <w:rPr>
          <w:rFonts w:hint="cs"/>
          <w:rtl/>
        </w:rPr>
        <w:t xml:space="preserve">يومي </w:t>
      </w:r>
      <w:r w:rsidRPr="005639FB">
        <w:rPr>
          <w:rFonts w:hint="cs"/>
          <w:rtl/>
        </w:rPr>
        <w:t xml:space="preserve">3 </w:t>
      </w:r>
      <w:r w:rsidR="006613C4" w:rsidRPr="005639FB">
        <w:rPr>
          <w:rFonts w:hint="cs"/>
          <w:rtl/>
        </w:rPr>
        <w:t>و4 فبراير</w:t>
      </w:r>
      <w:r w:rsidR="000800AB" w:rsidRPr="005639FB">
        <w:rPr>
          <w:rFonts w:hint="eastAsia"/>
          <w:rtl/>
        </w:rPr>
        <w:t> </w:t>
      </w:r>
      <w:r w:rsidR="006613C4" w:rsidRPr="005639FB">
        <w:rPr>
          <w:rFonts w:hint="cs"/>
          <w:rtl/>
        </w:rPr>
        <w:t>2017) على</w:t>
      </w:r>
      <w:r w:rsidRPr="005639FB">
        <w:rPr>
          <w:rFonts w:hint="cs"/>
          <w:rtl/>
        </w:rPr>
        <w:t xml:space="preserve"> </w:t>
      </w:r>
      <w:r w:rsidR="006613C4" w:rsidRPr="005639FB">
        <w:rPr>
          <w:rFonts w:hint="cs"/>
          <w:rtl/>
        </w:rPr>
        <w:t>السماح بالطلب</w:t>
      </w:r>
      <w:r w:rsidRPr="005639FB">
        <w:rPr>
          <w:rFonts w:hint="cs"/>
          <w:rtl/>
        </w:rPr>
        <w:t>ات "</w:t>
      </w:r>
      <w:r w:rsidR="006613C4" w:rsidRPr="005639FB">
        <w:rPr>
          <w:rFonts w:hint="cs"/>
          <w:rtl/>
        </w:rPr>
        <w:t>المعقدة</w:t>
      </w:r>
      <w:r w:rsidRPr="005639FB">
        <w:rPr>
          <w:rFonts w:hint="cs"/>
          <w:rtl/>
        </w:rPr>
        <w:t>" (مثل حالات التكنولوجيا</w:t>
      </w:r>
      <w:r w:rsidR="006613C4" w:rsidRPr="005639FB">
        <w:rPr>
          <w:rFonts w:hint="cs"/>
          <w:rtl/>
        </w:rPr>
        <w:t xml:space="preserve"> الحيوية والحالات</w:t>
      </w:r>
      <w:r w:rsidRPr="005639FB">
        <w:rPr>
          <w:rFonts w:hint="cs"/>
          <w:rtl/>
        </w:rPr>
        <w:t xml:space="preserve"> </w:t>
      </w:r>
      <w:r w:rsidR="006613C4" w:rsidRPr="005639FB">
        <w:rPr>
          <w:rFonts w:hint="cs"/>
          <w:rtl/>
        </w:rPr>
        <w:t>انعدام وحدة الاختراع) في</w:t>
      </w:r>
      <w:r w:rsidRPr="005639FB">
        <w:rPr>
          <w:rFonts w:hint="cs"/>
          <w:rtl/>
        </w:rPr>
        <w:t xml:space="preserve"> </w:t>
      </w:r>
      <w:r w:rsidR="006613C4" w:rsidRPr="005639FB">
        <w:rPr>
          <w:rFonts w:hint="cs"/>
          <w:rtl/>
        </w:rPr>
        <w:t xml:space="preserve">المشاريع </w:t>
      </w:r>
      <w:r w:rsidR="002121E4" w:rsidRPr="005639FB">
        <w:rPr>
          <w:rFonts w:hint="cs"/>
          <w:rtl/>
        </w:rPr>
        <w:t>الرائدة</w:t>
      </w:r>
      <w:r w:rsidR="006613C4" w:rsidRPr="005639FB">
        <w:rPr>
          <w:rFonts w:hint="cs"/>
          <w:rtl/>
        </w:rPr>
        <w:t xml:space="preserve">، وكذلك السماح بتقديم الطلبات في لغات أخرى غير الإنكليزية، وإن كانت </w:t>
      </w:r>
      <w:r w:rsidRPr="005639FB">
        <w:rPr>
          <w:rFonts w:hint="cs"/>
          <w:rtl/>
        </w:rPr>
        <w:t xml:space="preserve">ستبدأ على الأرجح في مرحلة لاحقة. </w:t>
      </w:r>
      <w:r w:rsidR="006613C4" w:rsidRPr="005639FB">
        <w:rPr>
          <w:rFonts w:hint="cs"/>
          <w:rtl/>
        </w:rPr>
        <w:t xml:space="preserve">وأشار إلى </w:t>
      </w:r>
      <w:r w:rsidR="00B4030B" w:rsidRPr="005639FB">
        <w:rPr>
          <w:rFonts w:hint="cs"/>
          <w:rtl/>
        </w:rPr>
        <w:t>ضرور</w:t>
      </w:r>
      <w:r w:rsidR="006613C4" w:rsidRPr="005639FB">
        <w:rPr>
          <w:rFonts w:hint="cs"/>
          <w:rtl/>
        </w:rPr>
        <w:t xml:space="preserve">ة </w:t>
      </w:r>
      <w:r w:rsidR="00B4030B" w:rsidRPr="005639FB">
        <w:rPr>
          <w:rFonts w:hint="cs"/>
          <w:rtl/>
        </w:rPr>
        <w:t xml:space="preserve">إجراء </w:t>
      </w:r>
      <w:r w:rsidR="006613C4" w:rsidRPr="005639FB">
        <w:rPr>
          <w:rFonts w:hint="cs"/>
          <w:rtl/>
        </w:rPr>
        <w:t xml:space="preserve">تقييم </w:t>
      </w:r>
      <w:r w:rsidRPr="005639FB">
        <w:rPr>
          <w:rFonts w:hint="cs"/>
          <w:rtl/>
        </w:rPr>
        <w:t>فعال ل</w:t>
      </w:r>
      <w:r w:rsidR="006613C4" w:rsidRPr="005639FB">
        <w:rPr>
          <w:rFonts w:hint="cs"/>
          <w:rtl/>
        </w:rPr>
        <w:t>لنظام المالي</w:t>
      </w:r>
      <w:r w:rsidR="00B4030B" w:rsidRPr="005639FB">
        <w:rPr>
          <w:rFonts w:hint="cs"/>
          <w:rtl/>
        </w:rPr>
        <w:t xml:space="preserve"> ولل</w:t>
      </w:r>
      <w:r w:rsidRPr="005639FB">
        <w:rPr>
          <w:rFonts w:hint="cs"/>
          <w:rtl/>
        </w:rPr>
        <w:t>التزام بالجداول الزمنية و</w:t>
      </w:r>
      <w:r w:rsidR="00B4030B" w:rsidRPr="005639FB">
        <w:rPr>
          <w:rFonts w:hint="cs"/>
          <w:rtl/>
        </w:rPr>
        <w:t>ل</w:t>
      </w:r>
      <w:r w:rsidR="006613C4" w:rsidRPr="005639FB">
        <w:rPr>
          <w:rFonts w:hint="cs"/>
          <w:rtl/>
        </w:rPr>
        <w:t>أثر الإجراءات ونطاق التعاون</w:t>
      </w:r>
      <w:r w:rsidR="00B4030B" w:rsidRPr="005639FB">
        <w:rPr>
          <w:rFonts w:hint="cs"/>
          <w:rtl/>
        </w:rPr>
        <w:t xml:space="preserve"> على النتائج النهائية.</w:t>
      </w:r>
      <w:r w:rsidRPr="005639FB">
        <w:rPr>
          <w:rFonts w:hint="cs"/>
          <w:rtl/>
        </w:rPr>
        <w:t xml:space="preserve"> </w:t>
      </w:r>
      <w:r w:rsidR="00B4030B" w:rsidRPr="005639FB">
        <w:rPr>
          <w:rFonts w:hint="cs"/>
          <w:rtl/>
        </w:rPr>
        <w:t>وتطرق إلى ال</w:t>
      </w:r>
      <w:r w:rsidRPr="005639FB">
        <w:rPr>
          <w:rFonts w:hint="cs"/>
          <w:rtl/>
        </w:rPr>
        <w:t>من</w:t>
      </w:r>
      <w:r w:rsidR="00B4030B" w:rsidRPr="005639FB">
        <w:rPr>
          <w:rFonts w:hint="cs"/>
          <w:rtl/>
        </w:rPr>
        <w:t>هجيات قيد المناقشة للبحث عن</w:t>
      </w:r>
      <w:r w:rsidRPr="005639FB">
        <w:rPr>
          <w:rFonts w:hint="cs"/>
          <w:rtl/>
        </w:rPr>
        <w:t xml:space="preserve"> </w:t>
      </w:r>
      <w:r w:rsidR="00B4030B" w:rsidRPr="005639FB">
        <w:rPr>
          <w:rFonts w:hint="cs"/>
          <w:rtl/>
        </w:rPr>
        <w:t>سبل جمع البيانات ل</w:t>
      </w:r>
      <w:r w:rsidRPr="005639FB">
        <w:rPr>
          <w:rFonts w:hint="cs"/>
          <w:rtl/>
        </w:rPr>
        <w:t xml:space="preserve">قياس جوانب كثيرة </w:t>
      </w:r>
      <w:r w:rsidR="00B4030B" w:rsidRPr="005639FB">
        <w:rPr>
          <w:rFonts w:hint="cs"/>
          <w:rtl/>
        </w:rPr>
        <w:t xml:space="preserve">تلقائيا </w:t>
      </w:r>
      <w:r w:rsidRPr="005639FB">
        <w:rPr>
          <w:rFonts w:hint="cs"/>
          <w:rtl/>
        </w:rPr>
        <w:t>قدر الإمكان.</w:t>
      </w:r>
    </w:p>
    <w:p w14:paraId="47C59C50" w14:textId="059039E4" w:rsidR="00B4030B" w:rsidRPr="005639FB" w:rsidRDefault="00B4030B" w:rsidP="00A513BF">
      <w:pPr>
        <w:pStyle w:val="NumberedParaAR"/>
      </w:pPr>
      <w:r w:rsidRPr="005639FB">
        <w:rPr>
          <w:rFonts w:hint="cs"/>
          <w:rtl/>
        </w:rPr>
        <w:t xml:space="preserve">وأعربت الإدارات </w:t>
      </w:r>
      <w:r w:rsidR="002121E4" w:rsidRPr="005639FB">
        <w:rPr>
          <w:rFonts w:hint="cs"/>
          <w:rtl/>
        </w:rPr>
        <w:t>عن اهتمامها بهذا المشروع الرائد، وطلبت الاضطلاع على</w:t>
      </w:r>
      <w:r w:rsidRPr="005639FB">
        <w:rPr>
          <w:rFonts w:hint="cs"/>
          <w:rtl/>
        </w:rPr>
        <w:t xml:space="preserve"> النتائج</w:t>
      </w:r>
      <w:r w:rsidR="002121E4" w:rsidRPr="005639FB">
        <w:rPr>
          <w:rFonts w:hint="cs"/>
          <w:rtl/>
        </w:rPr>
        <w:t xml:space="preserve"> أولا بأول، وخاصة</w:t>
      </w:r>
      <w:r w:rsidRPr="005639FB">
        <w:rPr>
          <w:rFonts w:hint="cs"/>
          <w:rtl/>
        </w:rPr>
        <w:t xml:space="preserve"> </w:t>
      </w:r>
      <w:r w:rsidR="002121E4" w:rsidRPr="005639FB">
        <w:rPr>
          <w:rFonts w:hint="cs"/>
          <w:rtl/>
        </w:rPr>
        <w:t xml:space="preserve">بشأن </w:t>
      </w:r>
      <w:r w:rsidRPr="005639FB">
        <w:rPr>
          <w:rFonts w:hint="cs"/>
          <w:rtl/>
        </w:rPr>
        <w:t xml:space="preserve">تكاليف </w:t>
      </w:r>
      <w:r w:rsidR="002121E4" w:rsidRPr="005639FB">
        <w:rPr>
          <w:rFonts w:hint="cs"/>
          <w:rtl/>
        </w:rPr>
        <w:t>ال</w:t>
      </w:r>
      <w:r w:rsidRPr="005639FB">
        <w:rPr>
          <w:rFonts w:hint="cs"/>
          <w:rtl/>
        </w:rPr>
        <w:t xml:space="preserve">مكاتب </w:t>
      </w:r>
      <w:r w:rsidR="002121E4" w:rsidRPr="005639FB">
        <w:rPr>
          <w:rFonts w:hint="cs"/>
          <w:rtl/>
        </w:rPr>
        <w:t>ال</w:t>
      </w:r>
      <w:r w:rsidRPr="005639FB">
        <w:rPr>
          <w:rFonts w:hint="cs"/>
          <w:rtl/>
        </w:rPr>
        <w:t xml:space="preserve">إضافية. </w:t>
      </w:r>
      <w:r w:rsidR="002121E4" w:rsidRPr="005639FB">
        <w:rPr>
          <w:rFonts w:hint="cs"/>
          <w:rtl/>
        </w:rPr>
        <w:t xml:space="preserve">وذكرّت </w:t>
      </w:r>
      <w:r w:rsidRPr="005639FB">
        <w:rPr>
          <w:rFonts w:hint="cs"/>
          <w:rtl/>
        </w:rPr>
        <w:t xml:space="preserve">واحدة </w:t>
      </w:r>
      <w:r w:rsidR="002121E4" w:rsidRPr="005639FB">
        <w:rPr>
          <w:rFonts w:hint="cs"/>
          <w:rtl/>
        </w:rPr>
        <w:t>من الإدارات ب</w:t>
      </w:r>
      <w:r w:rsidRPr="005639FB">
        <w:rPr>
          <w:rFonts w:hint="cs"/>
          <w:rtl/>
        </w:rPr>
        <w:t>المؤشرات السابقة التي رأت</w:t>
      </w:r>
      <w:r w:rsidR="002121E4" w:rsidRPr="005639FB">
        <w:rPr>
          <w:rFonts w:hint="cs"/>
          <w:rtl/>
        </w:rPr>
        <w:t>ها</w:t>
      </w:r>
      <w:r w:rsidRPr="005639FB">
        <w:rPr>
          <w:rFonts w:hint="cs"/>
          <w:rtl/>
        </w:rPr>
        <w:t xml:space="preserve"> </w:t>
      </w:r>
      <w:r w:rsidR="002121E4" w:rsidRPr="005639FB">
        <w:rPr>
          <w:rFonts w:hint="cs"/>
          <w:rtl/>
        </w:rPr>
        <w:t>في ال</w:t>
      </w:r>
      <w:r w:rsidRPr="005639FB">
        <w:rPr>
          <w:rFonts w:hint="cs"/>
          <w:rtl/>
        </w:rPr>
        <w:t xml:space="preserve">إمكانية </w:t>
      </w:r>
      <w:r w:rsidR="002121E4" w:rsidRPr="005639FB">
        <w:rPr>
          <w:rFonts w:hint="cs"/>
          <w:rtl/>
        </w:rPr>
        <w:t>ال</w:t>
      </w:r>
      <w:r w:rsidRPr="005639FB">
        <w:rPr>
          <w:rFonts w:hint="cs"/>
          <w:rtl/>
        </w:rPr>
        <w:t xml:space="preserve">كبيرة للتعاون بين </w:t>
      </w:r>
      <w:r w:rsidR="002121E4" w:rsidRPr="005639FB">
        <w:rPr>
          <w:rFonts w:hint="cs"/>
          <w:rtl/>
        </w:rPr>
        <w:t>المكاتب، وأن مشروعين رائدين ثنائيين</w:t>
      </w:r>
      <w:r w:rsidRPr="005639FB">
        <w:rPr>
          <w:rFonts w:hint="cs"/>
          <w:rtl/>
        </w:rPr>
        <w:t xml:space="preserve"> </w:t>
      </w:r>
      <w:r w:rsidR="002121E4" w:rsidRPr="005639FB">
        <w:rPr>
          <w:rFonts w:hint="cs"/>
          <w:rtl/>
        </w:rPr>
        <w:t xml:space="preserve">أجريا </w:t>
      </w:r>
      <w:r w:rsidRPr="005639FB">
        <w:rPr>
          <w:rFonts w:hint="cs"/>
          <w:rtl/>
        </w:rPr>
        <w:t>لتقييم نماذج مختلفة من البحث التعاوني وفحص طلبات الوطنية.</w:t>
      </w:r>
    </w:p>
    <w:p w14:paraId="67B0F867" w14:textId="77777777" w:rsidR="00AA70FE" w:rsidRPr="005639FB" w:rsidRDefault="00B02874" w:rsidP="00A513BF">
      <w:pPr>
        <w:pStyle w:val="NumberedParaAR"/>
        <w:ind w:left="1282" w:hanging="562"/>
      </w:pPr>
      <w:r w:rsidRPr="005639FB">
        <w:rPr>
          <w:rtl/>
        </w:rPr>
        <w:t>وأحاط الاجتماع علماً بمحتويات الوثيقة</w:t>
      </w:r>
      <w:r w:rsidR="00AA70FE" w:rsidRPr="005639FB">
        <w:rPr>
          <w:rtl/>
        </w:rPr>
        <w:t xml:space="preserve"> </w:t>
      </w:r>
      <w:r w:rsidR="00AA70FE" w:rsidRPr="005639FB">
        <w:t>PCT/MIA/24/3</w:t>
      </w:r>
      <w:r w:rsidR="00AA70FE" w:rsidRPr="005639FB">
        <w:rPr>
          <w:rtl/>
        </w:rPr>
        <w:t>.</w:t>
      </w:r>
    </w:p>
    <w:p w14:paraId="0B3663A9" w14:textId="77777777" w:rsidR="00AA70FE" w:rsidRPr="005639FB" w:rsidRDefault="00AA70FE" w:rsidP="00A513BF">
      <w:pPr>
        <w:pStyle w:val="Heading1AR"/>
        <w:spacing w:after="240" w:line="360" w:lineRule="exact"/>
      </w:pPr>
      <w:r w:rsidRPr="005639FB">
        <w:rPr>
          <w:rtl/>
        </w:rPr>
        <w:t>البند 14: معايير الكشف التسلسلي بناء على معاهدة التعاون بشأن البراءات</w:t>
      </w:r>
    </w:p>
    <w:p w14:paraId="4099EE83" w14:textId="7148020B" w:rsidR="00804917" w:rsidRPr="005639FB" w:rsidRDefault="00804917" w:rsidP="00A513BF">
      <w:pPr>
        <w:pStyle w:val="NumberedParaAR"/>
      </w:pPr>
      <w:r w:rsidRPr="005639FB">
        <w:rPr>
          <w:rtl/>
        </w:rPr>
        <w:t>استندت المناقشات إلى الوثيق</w:t>
      </w:r>
      <w:r w:rsidRPr="005639FB">
        <w:rPr>
          <w:rFonts w:hint="cs"/>
          <w:rtl/>
        </w:rPr>
        <w:t xml:space="preserve">تين </w:t>
      </w:r>
      <w:r w:rsidRPr="005639FB">
        <w:t>PCT/MIA/24/6</w:t>
      </w:r>
      <w:r w:rsidRPr="005639FB">
        <w:rPr>
          <w:rFonts w:hint="cs"/>
          <w:rtl/>
          <w:lang w:bidi="ar-EG"/>
        </w:rPr>
        <w:t xml:space="preserve"> و</w:t>
      </w:r>
      <w:r w:rsidRPr="005639FB">
        <w:rPr>
          <w:caps/>
        </w:rPr>
        <w:t>pct/mia</w:t>
      </w:r>
      <w:r w:rsidRPr="005639FB">
        <w:t>/24/14</w:t>
      </w:r>
      <w:r w:rsidRPr="005639FB">
        <w:rPr>
          <w:rFonts w:hint="cs"/>
          <w:rtl/>
          <w:lang w:bidi="ar-EG"/>
        </w:rPr>
        <w:t>.</w:t>
      </w:r>
    </w:p>
    <w:p w14:paraId="72836418" w14:textId="75A28818" w:rsidR="002121E4" w:rsidRPr="005639FB" w:rsidRDefault="00295551" w:rsidP="00A513BF">
      <w:pPr>
        <w:pStyle w:val="NumberedParaAR"/>
      </w:pPr>
      <w:r w:rsidRPr="005639FB">
        <w:rPr>
          <w:rFonts w:hint="cs"/>
          <w:rtl/>
        </w:rPr>
        <w:lastRenderedPageBreak/>
        <w:t>وعرض ال</w:t>
      </w:r>
      <w:r w:rsidR="002121E4" w:rsidRPr="005639FB">
        <w:rPr>
          <w:rFonts w:hint="cs"/>
          <w:rtl/>
        </w:rPr>
        <w:t xml:space="preserve">مكتب </w:t>
      </w:r>
      <w:r w:rsidRPr="005639FB">
        <w:rPr>
          <w:rFonts w:hint="cs"/>
          <w:rtl/>
        </w:rPr>
        <w:t>الأوروبي للبراءات</w:t>
      </w:r>
      <w:r w:rsidR="002121E4" w:rsidRPr="005639FB">
        <w:rPr>
          <w:rFonts w:hint="cs"/>
          <w:rtl/>
        </w:rPr>
        <w:t xml:space="preserve"> </w:t>
      </w:r>
      <w:r w:rsidRPr="005639FB">
        <w:rPr>
          <w:rFonts w:hint="cs"/>
          <w:rtl/>
        </w:rPr>
        <w:t xml:space="preserve">للاجتماع معلومات محدثة عن عمل </w:t>
      </w:r>
      <w:r w:rsidRPr="005639FB">
        <w:rPr>
          <w:rtl/>
        </w:rPr>
        <w:t>فرقة العمل المعنية بقوائم التسلسل.</w:t>
      </w:r>
      <w:r w:rsidRPr="005639FB">
        <w:rPr>
          <w:rFonts w:hint="cs"/>
          <w:rtl/>
        </w:rPr>
        <w:t xml:space="preserve"> وذكر أن </w:t>
      </w:r>
      <w:r w:rsidR="002121E4" w:rsidRPr="005639FB">
        <w:rPr>
          <w:rFonts w:hint="cs"/>
          <w:rtl/>
        </w:rPr>
        <w:t xml:space="preserve">بعض المكاتب المشاركة في </w:t>
      </w:r>
      <w:r w:rsidRPr="005639FB">
        <w:rPr>
          <w:rtl/>
        </w:rPr>
        <w:t xml:space="preserve">فرقة </w:t>
      </w:r>
      <w:r w:rsidRPr="005639FB">
        <w:rPr>
          <w:rFonts w:hint="cs"/>
          <w:rtl/>
        </w:rPr>
        <w:t xml:space="preserve">العمل </w:t>
      </w:r>
      <w:r w:rsidR="002121E4" w:rsidRPr="005639FB">
        <w:rPr>
          <w:rFonts w:hint="cs"/>
          <w:rtl/>
        </w:rPr>
        <w:t xml:space="preserve">تجري مشاورات </w:t>
      </w:r>
      <w:r w:rsidRPr="005639FB">
        <w:rPr>
          <w:rFonts w:hint="cs"/>
          <w:rtl/>
        </w:rPr>
        <w:t xml:space="preserve">مع </w:t>
      </w:r>
      <w:r w:rsidR="002121E4" w:rsidRPr="005639FB">
        <w:rPr>
          <w:rFonts w:hint="cs"/>
          <w:rtl/>
        </w:rPr>
        <w:t>المستخدم</w:t>
      </w:r>
      <w:r w:rsidRPr="005639FB">
        <w:rPr>
          <w:rFonts w:hint="cs"/>
          <w:rtl/>
        </w:rPr>
        <w:t>ين</w:t>
      </w:r>
      <w:r w:rsidR="002121E4" w:rsidRPr="005639FB">
        <w:rPr>
          <w:rFonts w:hint="cs"/>
          <w:rtl/>
        </w:rPr>
        <w:t xml:space="preserve"> </w:t>
      </w:r>
      <w:r w:rsidRPr="005639FB">
        <w:rPr>
          <w:rFonts w:hint="cs"/>
          <w:rtl/>
        </w:rPr>
        <w:t xml:space="preserve">بشأن مراجعة </w:t>
      </w:r>
      <w:r w:rsidR="002121E4" w:rsidRPr="005639FB">
        <w:rPr>
          <w:rFonts w:hint="cs"/>
          <w:rtl/>
        </w:rPr>
        <w:t xml:space="preserve">معيار الويبو </w:t>
      </w:r>
      <w:r w:rsidR="002121E4" w:rsidRPr="005639FB">
        <w:rPr>
          <w:rFonts w:hint="cs"/>
        </w:rPr>
        <w:t>ST.26</w:t>
      </w:r>
      <w:r w:rsidRPr="005639FB">
        <w:rPr>
          <w:rFonts w:hint="cs"/>
          <w:rtl/>
        </w:rPr>
        <w:t xml:space="preserve">، الذي </w:t>
      </w:r>
      <w:r w:rsidR="002121E4" w:rsidRPr="005639FB">
        <w:rPr>
          <w:rFonts w:hint="cs"/>
          <w:rtl/>
        </w:rPr>
        <w:t>يجري</w:t>
      </w:r>
      <w:r w:rsidRPr="005639FB">
        <w:rPr>
          <w:rFonts w:hint="cs"/>
          <w:rtl/>
        </w:rPr>
        <w:t xml:space="preserve"> إعداده ليعتمد</w:t>
      </w:r>
      <w:r w:rsidR="002121E4" w:rsidRPr="005639FB">
        <w:rPr>
          <w:rFonts w:hint="cs"/>
          <w:rtl/>
        </w:rPr>
        <w:t xml:space="preserve"> في الدورة الخامسة للجنة المعنية بمعايير الويبو (</w:t>
      </w:r>
      <w:r w:rsidR="002121E4" w:rsidRPr="005639FB">
        <w:rPr>
          <w:rFonts w:hint="cs"/>
        </w:rPr>
        <w:t>CWS</w:t>
      </w:r>
      <w:r w:rsidRPr="005639FB">
        <w:rPr>
          <w:rFonts w:hint="cs"/>
          <w:rtl/>
        </w:rPr>
        <w:t xml:space="preserve">)، التي ستعقد </w:t>
      </w:r>
      <w:r w:rsidR="002121E4" w:rsidRPr="005639FB">
        <w:rPr>
          <w:rFonts w:hint="cs"/>
          <w:rtl/>
        </w:rPr>
        <w:t>من 29</w:t>
      </w:r>
      <w:r w:rsidRPr="005639FB">
        <w:rPr>
          <w:rFonts w:hint="cs"/>
          <w:rtl/>
        </w:rPr>
        <w:t xml:space="preserve"> مايو إلى 2 يونيو 2017.</w:t>
      </w:r>
      <w:r w:rsidR="002121E4" w:rsidRPr="005639FB">
        <w:rPr>
          <w:rFonts w:hint="cs"/>
          <w:rtl/>
        </w:rPr>
        <w:t xml:space="preserve"> </w:t>
      </w:r>
      <w:r w:rsidRPr="005639FB">
        <w:rPr>
          <w:rFonts w:hint="cs"/>
          <w:rtl/>
        </w:rPr>
        <w:t>وقد تركز معظم عمل</w:t>
      </w:r>
      <w:r w:rsidR="002121E4" w:rsidRPr="005639FB">
        <w:rPr>
          <w:rFonts w:hint="cs"/>
          <w:rtl/>
        </w:rPr>
        <w:t xml:space="preserve"> </w:t>
      </w:r>
      <w:r w:rsidRPr="005639FB">
        <w:rPr>
          <w:rFonts w:hint="cs"/>
          <w:rtl/>
        </w:rPr>
        <w:t>الفرقة مؤخرا على الانتقال من</w:t>
      </w:r>
      <w:r w:rsidR="002121E4" w:rsidRPr="005639FB">
        <w:rPr>
          <w:rFonts w:hint="cs"/>
          <w:rtl/>
        </w:rPr>
        <w:t xml:space="preserve"> </w:t>
      </w:r>
      <w:r w:rsidRPr="005639FB">
        <w:rPr>
          <w:rFonts w:hint="cs"/>
          <w:rtl/>
        </w:rPr>
        <w:t xml:space="preserve">معيار </w:t>
      </w:r>
      <w:r w:rsidR="002121E4" w:rsidRPr="005639FB">
        <w:rPr>
          <w:rFonts w:hint="cs"/>
          <w:rtl/>
        </w:rPr>
        <w:t xml:space="preserve">الويبو </w:t>
      </w:r>
      <w:r w:rsidR="002121E4" w:rsidRPr="005639FB">
        <w:rPr>
          <w:rFonts w:hint="cs"/>
        </w:rPr>
        <w:t>ST.25</w:t>
      </w:r>
      <w:r w:rsidRPr="005639FB">
        <w:rPr>
          <w:rFonts w:hint="cs"/>
          <w:rtl/>
        </w:rPr>
        <w:t xml:space="preserve"> إلى معيار </w:t>
      </w:r>
      <w:r w:rsidR="002121E4" w:rsidRPr="005639FB">
        <w:rPr>
          <w:rFonts w:hint="cs"/>
          <w:rtl/>
        </w:rPr>
        <w:t xml:space="preserve">الويبو </w:t>
      </w:r>
      <w:r w:rsidR="002121E4" w:rsidRPr="005639FB">
        <w:rPr>
          <w:rFonts w:hint="cs"/>
        </w:rPr>
        <w:t>ST.26</w:t>
      </w:r>
      <w:r w:rsidR="002121E4" w:rsidRPr="005639FB">
        <w:rPr>
          <w:rFonts w:hint="cs"/>
          <w:rtl/>
        </w:rPr>
        <w:t xml:space="preserve">. </w:t>
      </w:r>
      <w:r w:rsidR="0087536A" w:rsidRPr="005639FB">
        <w:rPr>
          <w:rFonts w:hint="cs"/>
          <w:rtl/>
        </w:rPr>
        <w:t>واجتمع فريق العمل مؤخرا باستخدام برنامج المؤتمرات عبر الإنترنت (</w:t>
      </w:r>
      <w:r w:rsidR="0087536A" w:rsidRPr="005639FB">
        <w:t>WebEx</w:t>
      </w:r>
      <w:r w:rsidR="0087536A" w:rsidRPr="005639FB">
        <w:rPr>
          <w:rFonts w:hint="cs"/>
          <w:rtl/>
        </w:rPr>
        <w:t xml:space="preserve">) </w:t>
      </w:r>
      <w:r w:rsidR="002121E4" w:rsidRPr="005639FB">
        <w:rPr>
          <w:rFonts w:hint="cs"/>
          <w:rtl/>
        </w:rPr>
        <w:t>لمناقشة الردود على التع</w:t>
      </w:r>
      <w:r w:rsidR="0087536A" w:rsidRPr="005639FB">
        <w:rPr>
          <w:rFonts w:hint="cs"/>
          <w:rtl/>
        </w:rPr>
        <w:t>ميم (</w:t>
      </w:r>
      <w:r w:rsidR="0087536A" w:rsidRPr="005639FB">
        <w:t>C. PCT 1485/C. CWS 75</w:t>
      </w:r>
      <w:r w:rsidR="0087536A" w:rsidRPr="005639FB">
        <w:rPr>
          <w:rFonts w:hint="cs"/>
          <w:rtl/>
        </w:rPr>
        <w:t>). وفي هذا المؤتمر،</w:t>
      </w:r>
      <w:r w:rsidR="002121E4" w:rsidRPr="005639FB">
        <w:rPr>
          <w:rFonts w:hint="cs"/>
          <w:rtl/>
        </w:rPr>
        <w:t xml:space="preserve"> </w:t>
      </w:r>
      <w:r w:rsidR="0087536A" w:rsidRPr="005639FB">
        <w:rPr>
          <w:rFonts w:hint="cs"/>
          <w:rtl/>
        </w:rPr>
        <w:t>أعرب المشاركون</w:t>
      </w:r>
      <w:r w:rsidR="002121E4" w:rsidRPr="005639FB">
        <w:rPr>
          <w:rFonts w:hint="cs"/>
          <w:rtl/>
        </w:rPr>
        <w:t xml:space="preserve"> عن تفضيل</w:t>
      </w:r>
      <w:r w:rsidR="0087536A" w:rsidRPr="005639FB">
        <w:rPr>
          <w:rFonts w:hint="cs"/>
          <w:rtl/>
        </w:rPr>
        <w:t>هم لأن يستند ا</w:t>
      </w:r>
      <w:r w:rsidR="002121E4" w:rsidRPr="005639FB">
        <w:rPr>
          <w:rFonts w:hint="cs"/>
          <w:rtl/>
        </w:rPr>
        <w:t>لتاريخ المرجعي للانتقال إلى</w:t>
      </w:r>
      <w:r w:rsidR="0087536A" w:rsidRPr="005639FB">
        <w:rPr>
          <w:rFonts w:hint="cs"/>
          <w:rtl/>
        </w:rPr>
        <w:t xml:space="preserve"> معيار الويبو</w:t>
      </w:r>
      <w:r w:rsidR="002121E4" w:rsidRPr="005639FB">
        <w:rPr>
          <w:rFonts w:hint="cs"/>
          <w:rtl/>
        </w:rPr>
        <w:t xml:space="preserve"> </w:t>
      </w:r>
      <w:r w:rsidR="002121E4" w:rsidRPr="005639FB">
        <w:rPr>
          <w:rFonts w:hint="cs"/>
        </w:rPr>
        <w:t>ST.26</w:t>
      </w:r>
      <w:r w:rsidR="0087536A" w:rsidRPr="005639FB">
        <w:rPr>
          <w:rFonts w:hint="cs"/>
          <w:rtl/>
        </w:rPr>
        <w:t xml:space="preserve"> إلى</w:t>
      </w:r>
      <w:r w:rsidR="002121E4" w:rsidRPr="005639FB">
        <w:rPr>
          <w:rFonts w:hint="cs"/>
          <w:rtl/>
        </w:rPr>
        <w:t xml:space="preserve"> تاريخ الإيداع الدولي، بدلا من تار</w:t>
      </w:r>
      <w:r w:rsidR="0087536A" w:rsidRPr="005639FB">
        <w:rPr>
          <w:rFonts w:hint="cs"/>
          <w:rtl/>
        </w:rPr>
        <w:t>يخ الأولوية للطلب الدولي، رغم أن الردود على التعميم</w:t>
      </w:r>
      <w:r w:rsidR="002121E4" w:rsidRPr="005639FB">
        <w:rPr>
          <w:rFonts w:hint="cs"/>
          <w:rtl/>
        </w:rPr>
        <w:t xml:space="preserve"> </w:t>
      </w:r>
      <w:r w:rsidR="0087536A" w:rsidRPr="005639FB">
        <w:rPr>
          <w:rFonts w:hint="cs"/>
          <w:rtl/>
        </w:rPr>
        <w:t xml:space="preserve">عبّرت عن </w:t>
      </w:r>
      <w:r w:rsidR="002121E4" w:rsidRPr="005639FB">
        <w:rPr>
          <w:rFonts w:hint="cs"/>
          <w:rtl/>
        </w:rPr>
        <w:t xml:space="preserve">وجهات النظر </w:t>
      </w:r>
      <w:r w:rsidR="0087536A" w:rsidRPr="005639FB">
        <w:rPr>
          <w:rFonts w:hint="cs"/>
          <w:rtl/>
        </w:rPr>
        <w:t xml:space="preserve">مختلفة بشأن </w:t>
      </w:r>
      <w:r w:rsidR="002121E4" w:rsidRPr="005639FB">
        <w:rPr>
          <w:rFonts w:hint="cs"/>
          <w:rtl/>
        </w:rPr>
        <w:t xml:space="preserve">هذه القضية. </w:t>
      </w:r>
      <w:r w:rsidR="0087536A" w:rsidRPr="005639FB">
        <w:rPr>
          <w:rFonts w:hint="cs"/>
          <w:rtl/>
        </w:rPr>
        <w:t>ولذلك،</w:t>
      </w:r>
      <w:r w:rsidR="002121E4" w:rsidRPr="005639FB">
        <w:rPr>
          <w:rFonts w:hint="cs"/>
          <w:rtl/>
        </w:rPr>
        <w:t xml:space="preserve"> </w:t>
      </w:r>
      <w:r w:rsidR="0087536A" w:rsidRPr="005639FB">
        <w:rPr>
          <w:rFonts w:hint="cs"/>
          <w:rtl/>
        </w:rPr>
        <w:t xml:space="preserve">طلب المكتب الأوروبي للبراءات </w:t>
      </w:r>
      <w:r w:rsidR="002121E4" w:rsidRPr="005639FB">
        <w:rPr>
          <w:rFonts w:hint="cs"/>
          <w:rtl/>
        </w:rPr>
        <w:t xml:space="preserve">رأي </w:t>
      </w:r>
      <w:r w:rsidR="0087536A" w:rsidRPr="005639FB">
        <w:rPr>
          <w:rFonts w:hint="cs"/>
          <w:rtl/>
        </w:rPr>
        <w:t>الاجتماع بهذه المسألة.</w:t>
      </w:r>
      <w:r w:rsidR="002121E4" w:rsidRPr="005639FB">
        <w:rPr>
          <w:rFonts w:hint="cs"/>
          <w:rtl/>
        </w:rPr>
        <w:t xml:space="preserve"> </w:t>
      </w:r>
      <w:r w:rsidR="0087536A" w:rsidRPr="005639FB">
        <w:rPr>
          <w:rFonts w:hint="cs"/>
          <w:rtl/>
        </w:rPr>
        <w:t xml:space="preserve">وأوضحت </w:t>
      </w:r>
      <w:r w:rsidR="002121E4" w:rsidRPr="005639FB">
        <w:rPr>
          <w:rFonts w:hint="cs"/>
          <w:rtl/>
        </w:rPr>
        <w:t xml:space="preserve">فرقة </w:t>
      </w:r>
      <w:r w:rsidR="0087536A" w:rsidRPr="005639FB">
        <w:rPr>
          <w:rFonts w:hint="cs"/>
          <w:rtl/>
        </w:rPr>
        <w:t xml:space="preserve">العمل </w:t>
      </w:r>
      <w:r w:rsidR="002121E4" w:rsidRPr="005639FB">
        <w:rPr>
          <w:rFonts w:hint="cs"/>
          <w:rtl/>
        </w:rPr>
        <w:t xml:space="preserve">الاعتبارات في </w:t>
      </w:r>
      <w:r w:rsidR="0087536A" w:rsidRPr="005639FB">
        <w:rPr>
          <w:rFonts w:hint="cs"/>
          <w:rtl/>
        </w:rPr>
        <w:t xml:space="preserve">مسألة انتقال </w:t>
      </w:r>
      <w:r w:rsidR="0087536A" w:rsidRPr="005639FB">
        <w:rPr>
          <w:rtl/>
        </w:rPr>
        <w:t>قوائم التسلسل</w:t>
      </w:r>
      <w:r w:rsidR="0087536A" w:rsidRPr="005639FB">
        <w:rPr>
          <w:rFonts w:hint="cs"/>
          <w:rtl/>
        </w:rPr>
        <w:t xml:space="preserve"> من</w:t>
      </w:r>
      <w:r w:rsidR="002121E4" w:rsidRPr="005639FB">
        <w:rPr>
          <w:rFonts w:hint="cs"/>
          <w:rtl/>
        </w:rPr>
        <w:t xml:space="preserve"> </w:t>
      </w:r>
      <w:r w:rsidR="0087536A" w:rsidRPr="005639FB">
        <w:rPr>
          <w:rFonts w:hint="cs"/>
          <w:rtl/>
        </w:rPr>
        <w:t xml:space="preserve">المعيار </w:t>
      </w:r>
      <w:r w:rsidR="002121E4" w:rsidRPr="005639FB">
        <w:rPr>
          <w:rFonts w:hint="cs"/>
        </w:rPr>
        <w:t>ST.25</w:t>
      </w:r>
      <w:r w:rsidR="002121E4" w:rsidRPr="005639FB">
        <w:rPr>
          <w:rFonts w:hint="cs"/>
          <w:rtl/>
        </w:rPr>
        <w:t xml:space="preserve"> إلى </w:t>
      </w:r>
      <w:r w:rsidR="0087536A" w:rsidRPr="005639FB">
        <w:rPr>
          <w:rFonts w:hint="cs"/>
          <w:rtl/>
        </w:rPr>
        <w:t xml:space="preserve">المعيار </w:t>
      </w:r>
      <w:r w:rsidR="002121E4" w:rsidRPr="005639FB">
        <w:rPr>
          <w:rFonts w:hint="cs"/>
        </w:rPr>
        <w:t>ST.26</w:t>
      </w:r>
      <w:r w:rsidR="002121E4" w:rsidRPr="005639FB">
        <w:rPr>
          <w:rFonts w:hint="cs"/>
          <w:rtl/>
        </w:rPr>
        <w:t>، بهدف توفير مزيد من</w:t>
      </w:r>
      <w:r w:rsidR="00792473" w:rsidRPr="005639FB">
        <w:rPr>
          <w:rFonts w:hint="cs"/>
          <w:rtl/>
        </w:rPr>
        <w:t xml:space="preserve"> المعلومات عن أي خطر محتمل لمسائل تعرقل عملية الانتقال، التي أمل المكتب أن تكون منخفضة جدا</w:t>
      </w:r>
      <w:r w:rsidR="002121E4" w:rsidRPr="005639FB">
        <w:rPr>
          <w:rFonts w:hint="cs"/>
          <w:rtl/>
        </w:rPr>
        <w:t>.</w:t>
      </w:r>
    </w:p>
    <w:p w14:paraId="1A5C628C" w14:textId="0417BF80" w:rsidR="002121E4" w:rsidRPr="005639FB" w:rsidRDefault="002121E4" w:rsidP="00A513BF">
      <w:pPr>
        <w:pStyle w:val="NumberedParaAR"/>
      </w:pPr>
      <w:r w:rsidRPr="005639FB">
        <w:rPr>
          <w:rFonts w:hint="cs"/>
          <w:rtl/>
        </w:rPr>
        <w:t xml:space="preserve">وشكر مكتب </w:t>
      </w:r>
      <w:r w:rsidR="00792473" w:rsidRPr="005639FB">
        <w:rPr>
          <w:rFonts w:hint="cs"/>
          <w:rtl/>
        </w:rPr>
        <w:t>اليابان للبراءات</w:t>
      </w:r>
      <w:r w:rsidRPr="005639FB">
        <w:rPr>
          <w:rFonts w:hint="cs"/>
          <w:rtl/>
        </w:rPr>
        <w:t xml:space="preserve"> </w:t>
      </w:r>
      <w:r w:rsidR="00792473" w:rsidRPr="005639FB">
        <w:rPr>
          <w:rFonts w:hint="cs"/>
          <w:rtl/>
        </w:rPr>
        <w:t>فرقة العمل</w:t>
      </w:r>
      <w:r w:rsidRPr="005639FB">
        <w:rPr>
          <w:rFonts w:hint="cs"/>
          <w:rtl/>
        </w:rPr>
        <w:t xml:space="preserve"> </w:t>
      </w:r>
      <w:r w:rsidR="00792473" w:rsidRPr="005639FB">
        <w:rPr>
          <w:rFonts w:hint="cs"/>
          <w:rtl/>
        </w:rPr>
        <w:t xml:space="preserve">على مراعاتها لبواعث قلقه </w:t>
      </w:r>
      <w:r w:rsidRPr="005639FB">
        <w:rPr>
          <w:rFonts w:hint="cs"/>
          <w:rtl/>
        </w:rPr>
        <w:t xml:space="preserve">بشأن الانتقال إلى </w:t>
      </w:r>
      <w:r w:rsidR="00792473" w:rsidRPr="005639FB">
        <w:rPr>
          <w:rFonts w:hint="cs"/>
          <w:rtl/>
        </w:rPr>
        <w:t xml:space="preserve">المعيار </w:t>
      </w:r>
      <w:r w:rsidRPr="005639FB">
        <w:rPr>
          <w:rFonts w:hint="cs"/>
        </w:rPr>
        <w:t>ST.26</w:t>
      </w:r>
      <w:r w:rsidR="00792473" w:rsidRPr="005639FB">
        <w:rPr>
          <w:rFonts w:hint="cs"/>
          <w:rtl/>
        </w:rPr>
        <w:t>، وأعر</w:t>
      </w:r>
      <w:r w:rsidRPr="005639FB">
        <w:rPr>
          <w:rFonts w:hint="cs"/>
          <w:rtl/>
        </w:rPr>
        <w:t xml:space="preserve">ب عن </w:t>
      </w:r>
      <w:r w:rsidR="00792473" w:rsidRPr="005639FB">
        <w:rPr>
          <w:rFonts w:hint="cs"/>
          <w:rtl/>
        </w:rPr>
        <w:t>استعدادها لقبول 1 يناير 2022 ك</w:t>
      </w:r>
      <w:r w:rsidRPr="005639FB">
        <w:rPr>
          <w:rFonts w:hint="cs"/>
          <w:rtl/>
        </w:rPr>
        <w:t xml:space="preserve">أقرب موعد انتقال محتمل. وأضاف </w:t>
      </w:r>
      <w:r w:rsidR="00792473" w:rsidRPr="005639FB">
        <w:rPr>
          <w:rFonts w:hint="cs"/>
          <w:rtl/>
        </w:rPr>
        <w:t>مكتب الولايات المتحدة لل</w:t>
      </w:r>
      <w:r w:rsidRPr="005639FB">
        <w:rPr>
          <w:rFonts w:hint="cs"/>
          <w:rtl/>
        </w:rPr>
        <w:t>براءات</w:t>
      </w:r>
      <w:r w:rsidR="00792473" w:rsidRPr="005639FB">
        <w:rPr>
          <w:rFonts w:hint="cs"/>
          <w:rtl/>
        </w:rPr>
        <w:t xml:space="preserve"> والعلامات التجارية أنه بدأ</w:t>
      </w:r>
      <w:r w:rsidRPr="005639FB">
        <w:rPr>
          <w:rFonts w:hint="cs"/>
          <w:rtl/>
        </w:rPr>
        <w:t xml:space="preserve"> عم</w:t>
      </w:r>
      <w:r w:rsidR="00792473" w:rsidRPr="005639FB">
        <w:rPr>
          <w:rFonts w:hint="cs"/>
          <w:rtl/>
        </w:rPr>
        <w:t xml:space="preserve">لية تقييم المرحلة الانتقالية، وأبدى </w:t>
      </w:r>
      <w:r w:rsidRPr="005639FB">
        <w:rPr>
          <w:rFonts w:hint="cs"/>
          <w:rtl/>
        </w:rPr>
        <w:t>أمل</w:t>
      </w:r>
      <w:r w:rsidR="00792473" w:rsidRPr="005639FB">
        <w:rPr>
          <w:rFonts w:hint="cs"/>
          <w:rtl/>
        </w:rPr>
        <w:t>ه</w:t>
      </w:r>
      <w:r w:rsidRPr="005639FB">
        <w:rPr>
          <w:rFonts w:hint="cs"/>
          <w:rtl/>
        </w:rPr>
        <w:t xml:space="preserve"> </w:t>
      </w:r>
      <w:r w:rsidR="00792473" w:rsidRPr="005639FB">
        <w:rPr>
          <w:rFonts w:hint="cs"/>
          <w:rtl/>
        </w:rPr>
        <w:t xml:space="preserve">بأن يبلغ فرقة العمل قريبا عن </w:t>
      </w:r>
      <w:r w:rsidRPr="005639FB">
        <w:rPr>
          <w:rFonts w:hint="cs"/>
          <w:rtl/>
        </w:rPr>
        <w:t xml:space="preserve">أقرب </w:t>
      </w:r>
      <w:r w:rsidR="00792473" w:rsidRPr="005639FB">
        <w:rPr>
          <w:rFonts w:hint="cs"/>
          <w:rtl/>
        </w:rPr>
        <w:t xml:space="preserve">موعد للانتقال إلى المعيار </w:t>
      </w:r>
      <w:r w:rsidRPr="005639FB">
        <w:rPr>
          <w:rFonts w:hint="cs"/>
        </w:rPr>
        <w:t>ST.26</w:t>
      </w:r>
      <w:r w:rsidRPr="005639FB">
        <w:rPr>
          <w:rFonts w:hint="cs"/>
          <w:rtl/>
        </w:rPr>
        <w:t>.</w:t>
      </w:r>
    </w:p>
    <w:p w14:paraId="33C5A151" w14:textId="0E00CD37" w:rsidR="002121E4" w:rsidRPr="005639FB" w:rsidRDefault="002121E4" w:rsidP="00A513BF">
      <w:pPr>
        <w:pStyle w:val="NumberedParaAR"/>
      </w:pPr>
      <w:r w:rsidRPr="005639FB">
        <w:rPr>
          <w:rFonts w:hint="cs"/>
          <w:rtl/>
        </w:rPr>
        <w:t>وأيد</w:t>
      </w:r>
      <w:r w:rsidR="00792473" w:rsidRPr="005639FB">
        <w:rPr>
          <w:rFonts w:hint="cs"/>
          <w:rtl/>
        </w:rPr>
        <w:t>ت بعض الإدارات</w:t>
      </w:r>
      <w:r w:rsidRPr="005639FB">
        <w:rPr>
          <w:rFonts w:hint="cs"/>
          <w:rtl/>
        </w:rPr>
        <w:t xml:space="preserve"> </w:t>
      </w:r>
      <w:r w:rsidR="00792473" w:rsidRPr="005639FB">
        <w:rPr>
          <w:rFonts w:hint="cs"/>
          <w:rtl/>
        </w:rPr>
        <w:t xml:space="preserve">أن يكون </w:t>
      </w:r>
      <w:r w:rsidR="00792473" w:rsidRPr="005639FB">
        <w:rPr>
          <w:rtl/>
        </w:rPr>
        <w:t>تاريخ الإيداع الدولي</w:t>
      </w:r>
      <w:r w:rsidR="00792473" w:rsidRPr="005639FB">
        <w:rPr>
          <w:rFonts w:hint="cs"/>
          <w:rtl/>
        </w:rPr>
        <w:t xml:space="preserve"> هو </w:t>
      </w:r>
      <w:r w:rsidR="00425E50" w:rsidRPr="005639FB">
        <w:rPr>
          <w:rFonts w:hint="cs"/>
          <w:rtl/>
        </w:rPr>
        <w:t xml:space="preserve">تاريخ </w:t>
      </w:r>
      <w:r w:rsidRPr="005639FB">
        <w:rPr>
          <w:rFonts w:hint="cs"/>
          <w:rtl/>
        </w:rPr>
        <w:t xml:space="preserve">الانتقال من </w:t>
      </w:r>
      <w:r w:rsidR="00425E50" w:rsidRPr="005639FB">
        <w:rPr>
          <w:rFonts w:hint="cs"/>
          <w:rtl/>
        </w:rPr>
        <w:t xml:space="preserve">المعيار </w:t>
      </w:r>
      <w:r w:rsidRPr="005639FB">
        <w:rPr>
          <w:rFonts w:hint="cs"/>
        </w:rPr>
        <w:t>ST.25</w:t>
      </w:r>
      <w:r w:rsidRPr="005639FB">
        <w:rPr>
          <w:rFonts w:hint="cs"/>
          <w:rtl/>
        </w:rPr>
        <w:t xml:space="preserve"> إلى </w:t>
      </w:r>
      <w:r w:rsidR="00425E50" w:rsidRPr="005639FB">
        <w:rPr>
          <w:rFonts w:hint="cs"/>
          <w:rtl/>
        </w:rPr>
        <w:t xml:space="preserve">المعيار </w:t>
      </w:r>
      <w:r w:rsidRPr="005639FB">
        <w:rPr>
          <w:rFonts w:hint="cs"/>
        </w:rPr>
        <w:t>ST.26</w:t>
      </w:r>
      <w:r w:rsidR="00425E50" w:rsidRPr="005639FB">
        <w:rPr>
          <w:rFonts w:hint="cs"/>
          <w:rtl/>
        </w:rPr>
        <w:t>، مضيفة أن</w:t>
      </w:r>
      <w:r w:rsidRPr="005639FB">
        <w:rPr>
          <w:rFonts w:hint="cs"/>
          <w:rtl/>
        </w:rPr>
        <w:t xml:space="preserve"> </w:t>
      </w:r>
      <w:r w:rsidR="00425E50" w:rsidRPr="005639FB">
        <w:rPr>
          <w:rFonts w:hint="cs"/>
          <w:rtl/>
        </w:rPr>
        <w:t>ذلك سيقصّر فترة تداخل المعيارين ويبسّط القضايا</w:t>
      </w:r>
      <w:r w:rsidRPr="005639FB">
        <w:rPr>
          <w:rFonts w:hint="cs"/>
          <w:rtl/>
        </w:rPr>
        <w:t xml:space="preserve"> القانونية مثل </w:t>
      </w:r>
      <w:r w:rsidR="00425E50" w:rsidRPr="005639FB">
        <w:rPr>
          <w:rtl/>
        </w:rPr>
        <w:t>ردّ حق الأولوية</w:t>
      </w:r>
      <w:r w:rsidR="00425E50" w:rsidRPr="005639FB">
        <w:rPr>
          <w:rFonts w:hint="cs"/>
          <w:rtl/>
        </w:rPr>
        <w:t>. وأضاف إحدى الإدارات</w:t>
      </w:r>
      <w:r w:rsidRPr="005639FB">
        <w:rPr>
          <w:rFonts w:hint="cs"/>
          <w:rtl/>
        </w:rPr>
        <w:t xml:space="preserve"> أن الانتقال من </w:t>
      </w:r>
      <w:r w:rsidR="00425E50" w:rsidRPr="005639FB">
        <w:rPr>
          <w:rFonts w:hint="cs"/>
          <w:rtl/>
        </w:rPr>
        <w:t xml:space="preserve">المعيار </w:t>
      </w:r>
      <w:r w:rsidRPr="005639FB">
        <w:rPr>
          <w:rFonts w:hint="cs"/>
        </w:rPr>
        <w:t>ST.23</w:t>
      </w:r>
      <w:r w:rsidRPr="005639FB">
        <w:rPr>
          <w:rFonts w:hint="cs"/>
          <w:rtl/>
        </w:rPr>
        <w:t xml:space="preserve"> إلى</w:t>
      </w:r>
      <w:r w:rsidR="00425E50" w:rsidRPr="005639FB">
        <w:rPr>
          <w:rFonts w:hint="cs"/>
          <w:rtl/>
        </w:rPr>
        <w:t xml:space="preserve"> المعيار</w:t>
      </w:r>
      <w:r w:rsidRPr="005639FB">
        <w:rPr>
          <w:rFonts w:hint="cs"/>
          <w:rtl/>
        </w:rPr>
        <w:t xml:space="preserve"> </w:t>
      </w:r>
      <w:r w:rsidRPr="005639FB">
        <w:rPr>
          <w:rFonts w:hint="cs"/>
        </w:rPr>
        <w:t>ST.25</w:t>
      </w:r>
      <w:r w:rsidRPr="005639FB">
        <w:rPr>
          <w:rFonts w:hint="cs"/>
          <w:rtl/>
        </w:rPr>
        <w:t xml:space="preserve"> </w:t>
      </w:r>
      <w:r w:rsidR="00425E50" w:rsidRPr="005639FB">
        <w:rPr>
          <w:rFonts w:hint="cs"/>
          <w:rtl/>
        </w:rPr>
        <w:t xml:space="preserve">قبل </w:t>
      </w:r>
      <w:r w:rsidRPr="005639FB">
        <w:rPr>
          <w:rFonts w:hint="cs"/>
          <w:rtl/>
        </w:rPr>
        <w:t>حوالي 20 عاما أ</w:t>
      </w:r>
      <w:r w:rsidR="00425E50" w:rsidRPr="005639FB">
        <w:rPr>
          <w:rFonts w:hint="cs"/>
          <w:rtl/>
        </w:rPr>
        <w:t>سفر</w:t>
      </w:r>
      <w:r w:rsidRPr="005639FB">
        <w:rPr>
          <w:rFonts w:hint="cs"/>
          <w:rtl/>
        </w:rPr>
        <w:t xml:space="preserve"> عن </w:t>
      </w:r>
      <w:r w:rsidR="00425E50" w:rsidRPr="005639FB">
        <w:rPr>
          <w:rFonts w:hint="cs"/>
          <w:rtl/>
        </w:rPr>
        <w:t>أن هذه الإدارة لا زال ي</w:t>
      </w:r>
      <w:r w:rsidRPr="005639FB">
        <w:rPr>
          <w:rFonts w:hint="cs"/>
          <w:rtl/>
        </w:rPr>
        <w:t>ط</w:t>
      </w:r>
      <w:r w:rsidR="00425E50" w:rsidRPr="005639FB">
        <w:rPr>
          <w:rFonts w:hint="cs"/>
          <w:rtl/>
        </w:rPr>
        <w:t xml:space="preserve">لب منها </w:t>
      </w:r>
      <w:r w:rsidRPr="005639FB">
        <w:rPr>
          <w:rFonts w:hint="cs"/>
          <w:rtl/>
        </w:rPr>
        <w:t>معالجة</w:t>
      </w:r>
      <w:r w:rsidR="00425E50" w:rsidRPr="005639FB">
        <w:rPr>
          <w:rFonts w:hint="cs"/>
          <w:rtl/>
        </w:rPr>
        <w:t xml:space="preserve"> عدد قليل من الطلبات المودعة بقوائم تسلسل تمتثل لل</w:t>
      </w:r>
      <w:r w:rsidRPr="005639FB">
        <w:rPr>
          <w:rFonts w:hint="cs"/>
          <w:rtl/>
        </w:rPr>
        <w:t xml:space="preserve">معيار </w:t>
      </w:r>
      <w:r w:rsidR="00425E50" w:rsidRPr="005639FB">
        <w:rPr>
          <w:rFonts w:hint="cs"/>
        </w:rPr>
        <w:t>ST.23</w:t>
      </w:r>
      <w:r w:rsidRPr="005639FB">
        <w:rPr>
          <w:rFonts w:hint="cs"/>
          <w:rtl/>
        </w:rPr>
        <w:t xml:space="preserve">. </w:t>
      </w:r>
      <w:r w:rsidR="00425E50" w:rsidRPr="005639FB">
        <w:rPr>
          <w:rFonts w:hint="cs"/>
          <w:rtl/>
        </w:rPr>
        <w:t xml:space="preserve">وأبدت إدارة </w:t>
      </w:r>
      <w:r w:rsidRPr="005639FB">
        <w:rPr>
          <w:rFonts w:hint="cs"/>
          <w:rtl/>
        </w:rPr>
        <w:t xml:space="preserve">أخرى </w:t>
      </w:r>
      <w:r w:rsidR="00425E50" w:rsidRPr="005639FB">
        <w:rPr>
          <w:rFonts w:hint="cs"/>
          <w:rtl/>
        </w:rPr>
        <w:t xml:space="preserve">تفضيلها لأن يكون تاريخ الأولوية مرجعا للانتقال من المعيار </w:t>
      </w:r>
      <w:r w:rsidR="00425E50" w:rsidRPr="005639FB">
        <w:rPr>
          <w:rFonts w:hint="cs"/>
        </w:rPr>
        <w:t>ST.25</w:t>
      </w:r>
      <w:r w:rsidR="00425E50" w:rsidRPr="005639FB">
        <w:rPr>
          <w:rFonts w:hint="cs"/>
          <w:rtl/>
        </w:rPr>
        <w:t xml:space="preserve"> إلى المعيار </w:t>
      </w:r>
      <w:r w:rsidR="00425E50" w:rsidRPr="005639FB">
        <w:rPr>
          <w:rFonts w:hint="cs"/>
        </w:rPr>
        <w:t>ST.26</w:t>
      </w:r>
      <w:r w:rsidR="00425E50" w:rsidRPr="005639FB">
        <w:rPr>
          <w:rFonts w:hint="cs"/>
          <w:rtl/>
        </w:rPr>
        <w:t>.</w:t>
      </w:r>
    </w:p>
    <w:p w14:paraId="7C51CA9A" w14:textId="7C7831BC" w:rsidR="002121E4" w:rsidRPr="005639FB" w:rsidRDefault="00425E50" w:rsidP="00A513BF">
      <w:pPr>
        <w:pStyle w:val="NumberedParaAR"/>
      </w:pPr>
      <w:r w:rsidRPr="005639FB">
        <w:rPr>
          <w:rFonts w:hint="cs"/>
          <w:rtl/>
        </w:rPr>
        <w:t xml:space="preserve">وفي موضوع </w:t>
      </w:r>
      <w:r w:rsidR="002121E4" w:rsidRPr="005639FB">
        <w:rPr>
          <w:rFonts w:hint="cs"/>
          <w:rtl/>
        </w:rPr>
        <w:t>مع</w:t>
      </w:r>
      <w:r w:rsidRPr="005639FB">
        <w:rPr>
          <w:rFonts w:hint="cs"/>
          <w:rtl/>
        </w:rPr>
        <w:t>الجة</w:t>
      </w:r>
      <w:r w:rsidR="002121E4" w:rsidRPr="005639FB">
        <w:rPr>
          <w:rFonts w:hint="cs"/>
          <w:rtl/>
        </w:rPr>
        <w:t xml:space="preserve"> </w:t>
      </w:r>
      <w:r w:rsidR="00D81CE3" w:rsidRPr="005639FB">
        <w:rPr>
          <w:rFonts w:hint="cs"/>
          <w:rtl/>
        </w:rPr>
        <w:t xml:space="preserve">الكشف عن قوائم تسلسل </w:t>
      </w:r>
      <w:r w:rsidR="00D81CE3" w:rsidRPr="005639FB">
        <w:rPr>
          <w:rFonts w:hint="cs"/>
          <w:rtl/>
          <w:lang w:bidi="ar-SY"/>
        </w:rPr>
        <w:t xml:space="preserve">في </w:t>
      </w:r>
      <w:r w:rsidR="002121E4" w:rsidRPr="005639FB">
        <w:rPr>
          <w:rFonts w:hint="cs"/>
          <w:rtl/>
        </w:rPr>
        <w:t>ال</w:t>
      </w:r>
      <w:r w:rsidR="00D81CE3" w:rsidRPr="005639FB">
        <w:rPr>
          <w:rFonts w:hint="cs"/>
          <w:rtl/>
        </w:rPr>
        <w:t>طلبات الدولية المودعة على الورق</w:t>
      </w:r>
      <w:r w:rsidR="002121E4" w:rsidRPr="005639FB">
        <w:rPr>
          <w:rFonts w:hint="cs"/>
          <w:rtl/>
        </w:rPr>
        <w:t xml:space="preserve">، </w:t>
      </w:r>
      <w:r w:rsidR="00D81CE3" w:rsidRPr="005639FB">
        <w:rPr>
          <w:rFonts w:hint="cs"/>
          <w:rtl/>
        </w:rPr>
        <w:t>أيّدت بعض الإدارا</w:t>
      </w:r>
      <w:r w:rsidR="002121E4" w:rsidRPr="005639FB">
        <w:rPr>
          <w:rFonts w:hint="cs"/>
          <w:rtl/>
        </w:rPr>
        <w:t xml:space="preserve">ت الخيار الثالث </w:t>
      </w:r>
      <w:r w:rsidR="00D81CE3" w:rsidRPr="005639FB">
        <w:rPr>
          <w:rFonts w:hint="cs"/>
          <w:rtl/>
        </w:rPr>
        <w:t>المقترح في الفقرة 21 من التعميم (</w:t>
      </w:r>
      <w:r w:rsidR="00D81CE3" w:rsidRPr="005639FB">
        <w:t>C. PCT 1485/C. CWS 75</w:t>
      </w:r>
      <w:r w:rsidR="00D81CE3" w:rsidRPr="005639FB">
        <w:rPr>
          <w:rFonts w:hint="cs"/>
          <w:rtl/>
        </w:rPr>
        <w:t>). ولم توا</w:t>
      </w:r>
      <w:r w:rsidR="002121E4" w:rsidRPr="005639FB">
        <w:rPr>
          <w:rFonts w:hint="cs"/>
          <w:rtl/>
        </w:rPr>
        <w:t xml:space="preserve">فق </w:t>
      </w:r>
      <w:r w:rsidR="00D81CE3" w:rsidRPr="005639FB">
        <w:rPr>
          <w:rFonts w:hint="cs"/>
          <w:rtl/>
        </w:rPr>
        <w:t>إدارة واحدة على هذا النهج، ل</w:t>
      </w:r>
      <w:r w:rsidR="002121E4" w:rsidRPr="005639FB">
        <w:rPr>
          <w:rFonts w:hint="cs"/>
          <w:rtl/>
        </w:rPr>
        <w:t>أن</w:t>
      </w:r>
      <w:r w:rsidR="00D81CE3" w:rsidRPr="005639FB">
        <w:rPr>
          <w:rFonts w:hint="cs"/>
          <w:rtl/>
        </w:rPr>
        <w:t>ه</w:t>
      </w:r>
      <w:r w:rsidR="002121E4" w:rsidRPr="005639FB">
        <w:rPr>
          <w:rFonts w:hint="cs"/>
          <w:rtl/>
        </w:rPr>
        <w:t xml:space="preserve"> </w:t>
      </w:r>
      <w:r w:rsidR="00D81CE3" w:rsidRPr="005639FB">
        <w:rPr>
          <w:rFonts w:hint="cs"/>
          <w:rtl/>
        </w:rPr>
        <w:t>قد ي</w:t>
      </w:r>
      <w:r w:rsidR="002121E4" w:rsidRPr="005639FB">
        <w:rPr>
          <w:rFonts w:hint="cs"/>
          <w:rtl/>
        </w:rPr>
        <w:t>نطوي على تق</w:t>
      </w:r>
      <w:r w:rsidR="00D81CE3" w:rsidRPr="005639FB">
        <w:rPr>
          <w:rFonts w:hint="cs"/>
          <w:rtl/>
        </w:rPr>
        <w:t>ديم قوائم تسلسل ضخمة على الورق؛ وعوضا</w:t>
      </w:r>
      <w:r w:rsidR="002121E4" w:rsidRPr="005639FB">
        <w:rPr>
          <w:rFonts w:hint="cs"/>
          <w:rtl/>
        </w:rPr>
        <w:t xml:space="preserve"> </w:t>
      </w:r>
      <w:r w:rsidR="00D81CE3" w:rsidRPr="005639FB">
        <w:rPr>
          <w:rFonts w:hint="cs"/>
          <w:rtl/>
        </w:rPr>
        <w:t>عن ذلك،</w:t>
      </w:r>
      <w:r w:rsidR="002121E4" w:rsidRPr="005639FB">
        <w:rPr>
          <w:rFonts w:hint="cs"/>
          <w:rtl/>
        </w:rPr>
        <w:t xml:space="preserve"> </w:t>
      </w:r>
      <w:r w:rsidR="00D81CE3" w:rsidRPr="005639FB">
        <w:rPr>
          <w:rFonts w:hint="cs"/>
          <w:rtl/>
        </w:rPr>
        <w:t>رغبت هذه الإدارة أن يعطى مودع الطلب</w:t>
      </w:r>
      <w:r w:rsidR="002121E4" w:rsidRPr="005639FB">
        <w:rPr>
          <w:rFonts w:hint="cs"/>
          <w:rtl/>
        </w:rPr>
        <w:t xml:space="preserve"> </w:t>
      </w:r>
      <w:r w:rsidR="00D81CE3" w:rsidRPr="005639FB">
        <w:rPr>
          <w:rFonts w:hint="cs"/>
          <w:rtl/>
        </w:rPr>
        <w:t>الق</w:t>
      </w:r>
      <w:r w:rsidR="002121E4" w:rsidRPr="005639FB">
        <w:rPr>
          <w:rFonts w:hint="cs"/>
          <w:rtl/>
        </w:rPr>
        <w:t xml:space="preserve">درة على تقديم </w:t>
      </w:r>
      <w:r w:rsidR="00D81CE3" w:rsidRPr="005639FB">
        <w:rPr>
          <w:rFonts w:hint="cs"/>
          <w:rtl/>
        </w:rPr>
        <w:t>الطلب الدولي على الورق وقوائم التسلسل</w:t>
      </w:r>
      <w:r w:rsidR="002121E4" w:rsidRPr="005639FB">
        <w:rPr>
          <w:rFonts w:hint="cs"/>
          <w:rtl/>
        </w:rPr>
        <w:t xml:space="preserve"> </w:t>
      </w:r>
      <w:r w:rsidR="00D81CE3" w:rsidRPr="005639FB">
        <w:rPr>
          <w:rFonts w:hint="cs"/>
          <w:rtl/>
        </w:rPr>
        <w:t>بصيغة إ</w:t>
      </w:r>
      <w:r w:rsidR="002121E4" w:rsidRPr="005639FB">
        <w:rPr>
          <w:rFonts w:hint="cs"/>
          <w:rtl/>
        </w:rPr>
        <w:t>لكتروني</w:t>
      </w:r>
      <w:r w:rsidR="00D81CE3" w:rsidRPr="005639FB">
        <w:rPr>
          <w:rFonts w:hint="cs"/>
          <w:rtl/>
        </w:rPr>
        <w:t xml:space="preserve">ة كإيداع </w:t>
      </w:r>
      <w:r w:rsidR="00D81CE3" w:rsidRPr="005639FB">
        <w:rPr>
          <w:rtl/>
        </w:rPr>
        <w:t>"نظام مختلط"</w:t>
      </w:r>
      <w:r w:rsidR="002121E4" w:rsidRPr="005639FB">
        <w:rPr>
          <w:rFonts w:hint="cs"/>
          <w:rtl/>
        </w:rPr>
        <w:t xml:space="preserve">. </w:t>
      </w:r>
      <w:r w:rsidR="00D81CE3" w:rsidRPr="005639FB">
        <w:rPr>
          <w:rFonts w:hint="cs"/>
          <w:rtl/>
        </w:rPr>
        <w:t>وهو ما قد يفيد</w:t>
      </w:r>
      <w:r w:rsidR="002121E4" w:rsidRPr="005639FB">
        <w:rPr>
          <w:rFonts w:hint="cs"/>
          <w:rtl/>
        </w:rPr>
        <w:t xml:space="preserve"> في بعض الحالات، مثل </w:t>
      </w:r>
      <w:r w:rsidR="00D81CE3" w:rsidRPr="005639FB">
        <w:rPr>
          <w:rFonts w:hint="cs"/>
          <w:rtl/>
        </w:rPr>
        <w:t xml:space="preserve">حالة </w:t>
      </w:r>
      <w:r w:rsidR="002121E4" w:rsidRPr="005639FB">
        <w:rPr>
          <w:rFonts w:hint="cs"/>
          <w:rtl/>
        </w:rPr>
        <w:t>ا</w:t>
      </w:r>
      <w:r w:rsidR="00D81CE3" w:rsidRPr="005639FB">
        <w:rPr>
          <w:rFonts w:hint="cs"/>
          <w:rtl/>
        </w:rPr>
        <w:t xml:space="preserve">نقطاع التيار الكهربائي </w:t>
      </w:r>
      <w:r w:rsidR="00963634" w:rsidRPr="005639FB">
        <w:rPr>
          <w:rFonts w:hint="cs"/>
          <w:rtl/>
        </w:rPr>
        <w:t>قبل اكتمال الإ</w:t>
      </w:r>
      <w:r w:rsidR="002121E4" w:rsidRPr="005639FB">
        <w:rPr>
          <w:rFonts w:hint="cs"/>
          <w:rtl/>
        </w:rPr>
        <w:t xml:space="preserve">يداع </w:t>
      </w:r>
      <w:r w:rsidR="007A065F" w:rsidRPr="005639FB">
        <w:rPr>
          <w:rFonts w:hint="cs"/>
          <w:rtl/>
        </w:rPr>
        <w:t xml:space="preserve">الإلكتروني </w:t>
      </w:r>
      <w:r w:rsidR="002121E4" w:rsidRPr="005639FB">
        <w:rPr>
          <w:rFonts w:hint="cs"/>
          <w:rtl/>
        </w:rPr>
        <w:t>.</w:t>
      </w:r>
    </w:p>
    <w:p w14:paraId="7B417DF2" w14:textId="6004DAC8" w:rsidR="002121E4" w:rsidRPr="005639FB" w:rsidRDefault="00963634" w:rsidP="00A513BF">
      <w:pPr>
        <w:pStyle w:val="NumberedParaAR"/>
      </w:pPr>
      <w:r w:rsidRPr="005639FB">
        <w:rPr>
          <w:rFonts w:hint="cs"/>
          <w:rtl/>
        </w:rPr>
        <w:t>وردا على فكرة إيداع "ال</w:t>
      </w:r>
      <w:r w:rsidRPr="005639FB">
        <w:rPr>
          <w:rtl/>
        </w:rPr>
        <w:t>نظام</w:t>
      </w:r>
      <w:r w:rsidR="002121E4" w:rsidRPr="005639FB">
        <w:rPr>
          <w:rFonts w:hint="cs"/>
          <w:rtl/>
        </w:rPr>
        <w:t xml:space="preserve"> ا</w:t>
      </w:r>
      <w:r w:rsidRPr="005639FB">
        <w:rPr>
          <w:rFonts w:hint="cs"/>
          <w:rtl/>
        </w:rPr>
        <w:t>لمختلط"، اقترح المكتب الدولي أنه</w:t>
      </w:r>
      <w:r w:rsidR="002121E4" w:rsidRPr="005639FB">
        <w:rPr>
          <w:rFonts w:hint="cs"/>
          <w:rtl/>
        </w:rPr>
        <w:t xml:space="preserve"> </w:t>
      </w:r>
      <w:r w:rsidRPr="005639FB">
        <w:rPr>
          <w:rFonts w:hint="cs"/>
          <w:rtl/>
        </w:rPr>
        <w:t>ربما من الأنسب ا</w:t>
      </w:r>
      <w:r w:rsidR="002121E4" w:rsidRPr="005639FB">
        <w:rPr>
          <w:rFonts w:hint="cs"/>
          <w:rtl/>
        </w:rPr>
        <w:t xml:space="preserve">لتعامل مع </w:t>
      </w:r>
      <w:r w:rsidRPr="005639FB">
        <w:rPr>
          <w:rFonts w:hint="cs"/>
          <w:rtl/>
        </w:rPr>
        <w:t>ال</w:t>
      </w:r>
      <w:r w:rsidR="002121E4" w:rsidRPr="005639FB">
        <w:rPr>
          <w:rFonts w:hint="cs"/>
          <w:rtl/>
        </w:rPr>
        <w:t xml:space="preserve">استثناءات </w:t>
      </w:r>
      <w:r w:rsidRPr="005639FB">
        <w:rPr>
          <w:rFonts w:hint="cs"/>
          <w:rtl/>
        </w:rPr>
        <w:t>ب</w:t>
      </w:r>
      <w:r w:rsidR="002121E4" w:rsidRPr="005639FB">
        <w:rPr>
          <w:rFonts w:hint="cs"/>
          <w:rtl/>
        </w:rPr>
        <w:t xml:space="preserve">استخدام </w:t>
      </w:r>
      <w:r w:rsidRPr="005639FB">
        <w:rPr>
          <w:rFonts w:hint="cs"/>
          <w:rtl/>
        </w:rPr>
        <w:t>أوجه المرونة القائمة في</w:t>
      </w:r>
      <w:r w:rsidR="002121E4" w:rsidRPr="005639FB">
        <w:rPr>
          <w:rFonts w:hint="cs"/>
          <w:rtl/>
        </w:rPr>
        <w:t xml:space="preserve"> </w:t>
      </w:r>
      <w:r w:rsidRPr="005639FB">
        <w:rPr>
          <w:rFonts w:hint="cs"/>
          <w:rtl/>
        </w:rPr>
        <w:t xml:space="preserve">المادة </w:t>
      </w:r>
      <w:r w:rsidR="002121E4" w:rsidRPr="005639FB">
        <w:rPr>
          <w:rFonts w:hint="cs"/>
          <w:rtl/>
        </w:rPr>
        <w:t>703 من التعليمات الإداري</w:t>
      </w:r>
      <w:r w:rsidRPr="005639FB">
        <w:rPr>
          <w:rFonts w:hint="cs"/>
          <w:rtl/>
        </w:rPr>
        <w:t>ة للتعامل مع بعض الحالات التي لم</w:t>
      </w:r>
      <w:r w:rsidR="002121E4" w:rsidRPr="005639FB">
        <w:rPr>
          <w:rFonts w:hint="cs"/>
          <w:rtl/>
        </w:rPr>
        <w:t xml:space="preserve"> </w:t>
      </w:r>
      <w:r w:rsidRPr="005639FB">
        <w:rPr>
          <w:rFonts w:hint="cs"/>
          <w:rtl/>
        </w:rPr>
        <w:t xml:space="preserve">تودع بالصيغة </w:t>
      </w:r>
      <w:r w:rsidR="007A065F" w:rsidRPr="005639FB">
        <w:rPr>
          <w:rFonts w:hint="cs"/>
          <w:rtl/>
        </w:rPr>
        <w:t>الإلكترونية</w:t>
      </w:r>
      <w:r w:rsidRPr="005639FB">
        <w:rPr>
          <w:rFonts w:hint="cs"/>
          <w:rtl/>
        </w:rPr>
        <w:t xml:space="preserve"> المطلوبة.</w:t>
      </w:r>
      <w:r w:rsidR="002121E4" w:rsidRPr="005639FB">
        <w:rPr>
          <w:rFonts w:hint="cs"/>
          <w:rtl/>
        </w:rPr>
        <w:t xml:space="preserve"> </w:t>
      </w:r>
      <w:r w:rsidRPr="005639FB">
        <w:rPr>
          <w:rFonts w:hint="cs"/>
          <w:rtl/>
        </w:rPr>
        <w:t xml:space="preserve">إذ </w:t>
      </w:r>
      <w:r w:rsidR="002121E4" w:rsidRPr="005639FB">
        <w:rPr>
          <w:rFonts w:hint="cs"/>
          <w:rtl/>
        </w:rPr>
        <w:t xml:space="preserve">يمكن </w:t>
      </w:r>
      <w:r w:rsidRPr="005639FB">
        <w:rPr>
          <w:rFonts w:hint="cs"/>
          <w:rtl/>
        </w:rPr>
        <w:t>التعامل مع حالات استثنائية باستخدام أوجه</w:t>
      </w:r>
      <w:r w:rsidR="002121E4" w:rsidRPr="005639FB">
        <w:rPr>
          <w:rFonts w:hint="cs"/>
          <w:rtl/>
        </w:rPr>
        <w:t xml:space="preserve"> المرونة</w:t>
      </w:r>
      <w:r w:rsidRPr="005639FB">
        <w:rPr>
          <w:rFonts w:hint="cs"/>
          <w:rtl/>
        </w:rPr>
        <w:t xml:space="preserve"> المذكورة عوضا عن إدراج أحكام عامة للتعامل مع إيداعات "ال</w:t>
      </w:r>
      <w:r w:rsidRPr="005639FB">
        <w:rPr>
          <w:rtl/>
        </w:rPr>
        <w:t>نظام</w:t>
      </w:r>
      <w:r w:rsidRPr="005639FB">
        <w:rPr>
          <w:rFonts w:hint="cs"/>
          <w:rtl/>
        </w:rPr>
        <w:t xml:space="preserve"> المختلط"</w:t>
      </w:r>
      <w:r w:rsidR="002121E4" w:rsidRPr="005639FB">
        <w:rPr>
          <w:rFonts w:hint="cs"/>
          <w:rtl/>
        </w:rPr>
        <w:t xml:space="preserve">. </w:t>
      </w:r>
      <w:r w:rsidRPr="005639FB">
        <w:rPr>
          <w:rFonts w:hint="cs"/>
          <w:rtl/>
        </w:rPr>
        <w:t>ودعمت إدارة و</w:t>
      </w:r>
      <w:r w:rsidR="002121E4" w:rsidRPr="005639FB">
        <w:rPr>
          <w:rFonts w:hint="cs"/>
          <w:rtl/>
        </w:rPr>
        <w:t>ح</w:t>
      </w:r>
      <w:r w:rsidRPr="005639FB">
        <w:rPr>
          <w:rFonts w:hint="cs"/>
          <w:rtl/>
        </w:rPr>
        <w:t>ي</w:t>
      </w:r>
      <w:r w:rsidR="002121E4" w:rsidRPr="005639FB">
        <w:rPr>
          <w:rFonts w:hint="cs"/>
          <w:rtl/>
        </w:rPr>
        <w:t>دة هذ</w:t>
      </w:r>
      <w:r w:rsidRPr="005639FB">
        <w:rPr>
          <w:rFonts w:hint="cs"/>
          <w:rtl/>
        </w:rPr>
        <w:t>ا الاقتراح</w:t>
      </w:r>
      <w:r w:rsidR="002121E4" w:rsidRPr="005639FB">
        <w:rPr>
          <w:rFonts w:hint="cs"/>
          <w:rtl/>
        </w:rPr>
        <w:t>.</w:t>
      </w:r>
    </w:p>
    <w:p w14:paraId="3BDC5DCA" w14:textId="7B6FD7C2" w:rsidR="002121E4" w:rsidRPr="005639FB" w:rsidRDefault="00963634" w:rsidP="00A513BF">
      <w:pPr>
        <w:pStyle w:val="NumberedParaAR"/>
      </w:pPr>
      <w:r w:rsidRPr="005639FB">
        <w:rPr>
          <w:rFonts w:hint="cs"/>
          <w:rtl/>
        </w:rPr>
        <w:t>وردا على سؤال من إحدى الإدارات</w:t>
      </w:r>
      <w:r w:rsidR="002121E4" w:rsidRPr="005639FB">
        <w:rPr>
          <w:rFonts w:hint="cs"/>
          <w:rtl/>
        </w:rPr>
        <w:t xml:space="preserve"> بشأن </w:t>
      </w:r>
      <w:r w:rsidR="003523B9" w:rsidRPr="005639FB">
        <w:rPr>
          <w:rFonts w:hint="cs"/>
          <w:rtl/>
        </w:rPr>
        <w:t xml:space="preserve">إدخال </w:t>
      </w:r>
      <w:r w:rsidR="002121E4" w:rsidRPr="005639FB">
        <w:rPr>
          <w:rFonts w:hint="cs"/>
          <w:rtl/>
        </w:rPr>
        <w:t xml:space="preserve">تعديلات على الأحكام القانونية </w:t>
      </w:r>
      <w:r w:rsidRPr="005639FB">
        <w:rPr>
          <w:rFonts w:hint="cs"/>
          <w:rtl/>
        </w:rPr>
        <w:t>ل</w:t>
      </w:r>
      <w:r w:rsidR="003523B9" w:rsidRPr="005639FB">
        <w:rPr>
          <w:rFonts w:hint="cs"/>
          <w:rtl/>
        </w:rPr>
        <w:t>معاهدة التعاون بشأن البراءات</w:t>
      </w:r>
      <w:r w:rsidRPr="005639FB">
        <w:rPr>
          <w:rFonts w:hint="cs"/>
          <w:rtl/>
        </w:rPr>
        <w:t xml:space="preserve"> </w:t>
      </w:r>
      <w:r w:rsidR="003523B9" w:rsidRPr="005639FB">
        <w:rPr>
          <w:rFonts w:hint="cs"/>
          <w:rtl/>
        </w:rPr>
        <w:t xml:space="preserve">من أجل </w:t>
      </w:r>
      <w:r w:rsidR="002121E4" w:rsidRPr="005639FB">
        <w:rPr>
          <w:rFonts w:hint="cs"/>
          <w:rtl/>
        </w:rPr>
        <w:t xml:space="preserve">تنفيذ </w:t>
      </w:r>
      <w:r w:rsidRPr="005639FB">
        <w:rPr>
          <w:rFonts w:hint="cs"/>
          <w:rtl/>
        </w:rPr>
        <w:t xml:space="preserve">المعيار </w:t>
      </w:r>
      <w:r w:rsidR="002121E4" w:rsidRPr="005639FB">
        <w:rPr>
          <w:rFonts w:hint="cs"/>
        </w:rPr>
        <w:t>ST.26</w:t>
      </w:r>
      <w:r w:rsidR="002121E4" w:rsidRPr="005639FB">
        <w:rPr>
          <w:rFonts w:hint="cs"/>
          <w:rtl/>
        </w:rPr>
        <w:t>، ولا سيما المرفق جيم من التعليمات الإدارية، أبلغ المكتب الدولي الاجتماع أن</w:t>
      </w:r>
      <w:r w:rsidRPr="005639FB">
        <w:rPr>
          <w:rFonts w:hint="cs"/>
          <w:rtl/>
        </w:rPr>
        <w:t>ه</w:t>
      </w:r>
      <w:r w:rsidR="002121E4" w:rsidRPr="005639FB">
        <w:rPr>
          <w:rFonts w:hint="cs"/>
          <w:rtl/>
        </w:rPr>
        <w:t xml:space="preserve"> </w:t>
      </w:r>
      <w:r w:rsidRPr="005639FB">
        <w:rPr>
          <w:rFonts w:hint="cs"/>
          <w:rtl/>
        </w:rPr>
        <w:t>سيجهز التعديلات</w:t>
      </w:r>
      <w:r w:rsidR="002121E4" w:rsidRPr="005639FB">
        <w:rPr>
          <w:rFonts w:hint="cs"/>
          <w:rtl/>
        </w:rPr>
        <w:t xml:space="preserve"> </w:t>
      </w:r>
      <w:r w:rsidR="003523B9" w:rsidRPr="005639FB">
        <w:rPr>
          <w:rFonts w:hint="cs"/>
          <w:rtl/>
        </w:rPr>
        <w:t>بعد صدور</w:t>
      </w:r>
      <w:r w:rsidR="002121E4" w:rsidRPr="005639FB">
        <w:rPr>
          <w:rFonts w:hint="cs"/>
          <w:rtl/>
        </w:rPr>
        <w:t xml:space="preserve"> قر</w:t>
      </w:r>
      <w:r w:rsidR="003523B9" w:rsidRPr="005639FB">
        <w:rPr>
          <w:rFonts w:hint="cs"/>
          <w:rtl/>
        </w:rPr>
        <w:t>ارات الانتقال</w:t>
      </w:r>
      <w:r w:rsidR="002121E4" w:rsidRPr="005639FB">
        <w:rPr>
          <w:rFonts w:hint="cs"/>
          <w:rtl/>
        </w:rPr>
        <w:t xml:space="preserve">، بما في ذلك أداة </w:t>
      </w:r>
      <w:r w:rsidR="003523B9" w:rsidRPr="005639FB">
        <w:rPr>
          <w:rFonts w:hint="cs"/>
          <w:rtl/>
        </w:rPr>
        <w:t>الصياغة و</w:t>
      </w:r>
      <w:r w:rsidR="002121E4" w:rsidRPr="005639FB">
        <w:rPr>
          <w:rFonts w:hint="cs"/>
          <w:rtl/>
        </w:rPr>
        <w:t xml:space="preserve">التحقق من </w:t>
      </w:r>
      <w:r w:rsidR="003523B9" w:rsidRPr="005639FB">
        <w:rPr>
          <w:rFonts w:hint="cs"/>
          <w:rtl/>
        </w:rPr>
        <w:t>ال</w:t>
      </w:r>
      <w:r w:rsidR="002121E4" w:rsidRPr="005639FB">
        <w:rPr>
          <w:rFonts w:hint="cs"/>
          <w:rtl/>
        </w:rPr>
        <w:t>صحة وكيفية ال</w:t>
      </w:r>
      <w:r w:rsidR="003523B9" w:rsidRPr="005639FB">
        <w:rPr>
          <w:rFonts w:hint="cs"/>
          <w:rtl/>
        </w:rPr>
        <w:t>تعامل مع الحالات الأكثر شيوعا</w:t>
      </w:r>
      <w:r w:rsidR="002121E4" w:rsidRPr="005639FB">
        <w:rPr>
          <w:rFonts w:hint="cs"/>
          <w:rtl/>
        </w:rPr>
        <w:t xml:space="preserve">. </w:t>
      </w:r>
      <w:r w:rsidR="003523B9" w:rsidRPr="005639FB">
        <w:rPr>
          <w:rFonts w:hint="cs"/>
          <w:rtl/>
        </w:rPr>
        <w:t xml:space="preserve">أمّا في هذه المرحلة، فالأولوية الرئيسية للمكاتب هي تقديم المعلومات للمكتب الدولي بشأن أداة الصياغة والتحقق من الصحة </w:t>
      </w:r>
      <w:r w:rsidR="002121E4" w:rsidRPr="005639FB">
        <w:rPr>
          <w:rFonts w:hint="cs"/>
          <w:rtl/>
        </w:rPr>
        <w:t xml:space="preserve">لقوائم </w:t>
      </w:r>
      <w:r w:rsidR="003523B9" w:rsidRPr="005639FB">
        <w:rPr>
          <w:rFonts w:hint="cs"/>
          <w:rtl/>
        </w:rPr>
        <w:t>ال</w:t>
      </w:r>
      <w:r w:rsidR="002121E4" w:rsidRPr="005639FB">
        <w:rPr>
          <w:rFonts w:hint="cs"/>
          <w:rtl/>
        </w:rPr>
        <w:t xml:space="preserve">تسلسل في </w:t>
      </w:r>
      <w:r w:rsidR="003523B9" w:rsidRPr="005639FB">
        <w:rPr>
          <w:rFonts w:hint="cs"/>
          <w:rtl/>
        </w:rPr>
        <w:t xml:space="preserve">المعيار </w:t>
      </w:r>
      <w:r w:rsidR="002121E4" w:rsidRPr="005639FB">
        <w:rPr>
          <w:rFonts w:hint="cs"/>
        </w:rPr>
        <w:t>ST.26</w:t>
      </w:r>
      <w:r w:rsidR="002121E4" w:rsidRPr="005639FB">
        <w:rPr>
          <w:rFonts w:hint="cs"/>
          <w:rtl/>
        </w:rPr>
        <w:t>.</w:t>
      </w:r>
    </w:p>
    <w:p w14:paraId="44D8F143" w14:textId="228C52D0" w:rsidR="00B02874" w:rsidRPr="005639FB" w:rsidRDefault="00B02874" w:rsidP="00A513BF">
      <w:pPr>
        <w:pStyle w:val="NumberedParaAR"/>
        <w:ind w:left="1282" w:hanging="562"/>
      </w:pPr>
      <w:r w:rsidRPr="005639FB">
        <w:rPr>
          <w:rtl/>
        </w:rPr>
        <w:t>وأحاط الاجتماع علماً بمحتويات</w:t>
      </w:r>
      <w:r w:rsidR="0053242E" w:rsidRPr="005639FB">
        <w:rPr>
          <w:rFonts w:hint="cs"/>
          <w:rtl/>
        </w:rPr>
        <w:t xml:space="preserve"> </w:t>
      </w:r>
      <w:r w:rsidRPr="005639FB">
        <w:rPr>
          <w:rtl/>
        </w:rPr>
        <w:t>الوثيق</w:t>
      </w:r>
      <w:r w:rsidRPr="005639FB">
        <w:rPr>
          <w:rFonts w:hint="cs"/>
          <w:rtl/>
        </w:rPr>
        <w:t xml:space="preserve">تين </w:t>
      </w:r>
      <w:r w:rsidRPr="005639FB">
        <w:t>PCT/MIA/24/6</w:t>
      </w:r>
      <w:r w:rsidRPr="005639FB">
        <w:rPr>
          <w:rFonts w:hint="cs"/>
          <w:rtl/>
          <w:lang w:bidi="ar-EG"/>
        </w:rPr>
        <w:t xml:space="preserve"> و</w:t>
      </w:r>
      <w:r w:rsidRPr="005639FB">
        <w:rPr>
          <w:caps/>
        </w:rPr>
        <w:t>pct/mia</w:t>
      </w:r>
      <w:r w:rsidRPr="005639FB">
        <w:t>/24/14</w:t>
      </w:r>
      <w:r w:rsidRPr="005639FB">
        <w:rPr>
          <w:rFonts w:hint="cs"/>
          <w:rtl/>
          <w:lang w:bidi="ar-EG"/>
        </w:rPr>
        <w:t>.</w:t>
      </w:r>
    </w:p>
    <w:p w14:paraId="51AC779F" w14:textId="77777777" w:rsidR="00AA70FE" w:rsidRPr="005639FB" w:rsidRDefault="00B02874" w:rsidP="00A513BF">
      <w:pPr>
        <w:pStyle w:val="Heading1AR"/>
        <w:spacing w:after="240" w:line="360" w:lineRule="exact"/>
      </w:pPr>
      <w:r w:rsidRPr="005639FB">
        <w:rPr>
          <w:rFonts w:hint="cs"/>
          <w:rtl/>
        </w:rPr>
        <w:lastRenderedPageBreak/>
        <w:t xml:space="preserve">البند 15: </w:t>
      </w:r>
      <w:r w:rsidRPr="005639FB">
        <w:rPr>
          <w:rtl/>
        </w:rPr>
        <w:t>فرقة العمل المعنية بالحد الأدنى للوثائق المنصوص عليها في معاهدة التعاون بشأن البراءات: تقرير</w:t>
      </w:r>
      <w:r w:rsidRPr="005639FB">
        <w:rPr>
          <w:rFonts w:hint="cs"/>
          <w:rtl/>
        </w:rPr>
        <w:t> </w:t>
      </w:r>
      <w:r w:rsidRPr="005639FB">
        <w:rPr>
          <w:rtl/>
        </w:rPr>
        <w:t>مرحلي</w:t>
      </w:r>
    </w:p>
    <w:p w14:paraId="6075F842" w14:textId="38F893E9" w:rsidR="00AA70FE" w:rsidRPr="005639FB" w:rsidRDefault="00AA70FE" w:rsidP="00A513BF">
      <w:pPr>
        <w:pStyle w:val="NumberedParaAR"/>
      </w:pPr>
      <w:r w:rsidRPr="005639FB">
        <w:rPr>
          <w:rtl/>
        </w:rPr>
        <w:t xml:space="preserve">استندت المناقشات إلى الوثيقة </w:t>
      </w:r>
      <w:r w:rsidRPr="005639FB">
        <w:t>PCT/MIA/24/4</w:t>
      </w:r>
      <w:r w:rsidRPr="005639FB">
        <w:rPr>
          <w:rtl/>
        </w:rPr>
        <w:t>.</w:t>
      </w:r>
    </w:p>
    <w:p w14:paraId="334F2DF6" w14:textId="2FAAC4E0" w:rsidR="00890350" w:rsidRPr="005639FB" w:rsidRDefault="003523B9" w:rsidP="00A513BF">
      <w:pPr>
        <w:pStyle w:val="NumberedParaAR"/>
      </w:pPr>
      <w:r w:rsidRPr="005639FB">
        <w:rPr>
          <w:rFonts w:hint="cs"/>
          <w:rtl/>
        </w:rPr>
        <w:t>و</w:t>
      </w:r>
      <w:r w:rsidR="00890350" w:rsidRPr="005639FB">
        <w:rPr>
          <w:rFonts w:hint="cs"/>
          <w:rtl/>
        </w:rPr>
        <w:t xml:space="preserve">أكد </w:t>
      </w:r>
      <w:r w:rsidRPr="005639FB">
        <w:rPr>
          <w:rFonts w:hint="cs"/>
          <w:rtl/>
        </w:rPr>
        <w:t>ال</w:t>
      </w:r>
      <w:r w:rsidR="00890350" w:rsidRPr="005639FB">
        <w:rPr>
          <w:rFonts w:hint="cs"/>
          <w:rtl/>
        </w:rPr>
        <w:t xml:space="preserve">مكتب </w:t>
      </w:r>
      <w:r w:rsidRPr="005639FB">
        <w:rPr>
          <w:rFonts w:hint="cs"/>
          <w:rtl/>
        </w:rPr>
        <w:t xml:space="preserve">الأوروبي للبراءات </w:t>
      </w:r>
      <w:r w:rsidR="00890350" w:rsidRPr="005639FB">
        <w:rPr>
          <w:rFonts w:hint="cs"/>
          <w:rtl/>
        </w:rPr>
        <w:t>ع</w:t>
      </w:r>
      <w:r w:rsidRPr="005639FB">
        <w:rPr>
          <w:rFonts w:hint="cs"/>
          <w:rtl/>
        </w:rPr>
        <w:t xml:space="preserve">لى ضرورة إعادة النظر في تعريف </w:t>
      </w:r>
      <w:r w:rsidRPr="005639FB">
        <w:rPr>
          <w:rtl/>
        </w:rPr>
        <w:t xml:space="preserve">الحد الأدنى للوثائق المنصوص عليها في معاهدة التعاون بشأن البراءات </w:t>
      </w:r>
      <w:r w:rsidR="00890350" w:rsidRPr="005639FB">
        <w:rPr>
          <w:rFonts w:hint="cs"/>
          <w:rtl/>
        </w:rPr>
        <w:t xml:space="preserve">لسببين رئيسيين. أولا، </w:t>
      </w:r>
      <w:r w:rsidRPr="005639FB">
        <w:rPr>
          <w:rFonts w:hint="cs"/>
          <w:rtl/>
        </w:rPr>
        <w:t>لأن التعريف ينبغي أن يراعي</w:t>
      </w:r>
      <w:r w:rsidR="00890350" w:rsidRPr="005639FB">
        <w:rPr>
          <w:rFonts w:hint="cs"/>
          <w:rtl/>
        </w:rPr>
        <w:t xml:space="preserve"> </w:t>
      </w:r>
      <w:proofErr w:type="spellStart"/>
      <w:r w:rsidR="00890350" w:rsidRPr="005639FB">
        <w:rPr>
          <w:rFonts w:hint="cs"/>
          <w:rtl/>
        </w:rPr>
        <w:t>رق</w:t>
      </w:r>
      <w:r w:rsidR="00234F21" w:rsidRPr="005639FB">
        <w:rPr>
          <w:rFonts w:hint="cs"/>
          <w:rtl/>
        </w:rPr>
        <w:t>منة</w:t>
      </w:r>
      <w:proofErr w:type="spellEnd"/>
      <w:r w:rsidR="00234F21" w:rsidRPr="005639FB">
        <w:rPr>
          <w:rFonts w:hint="cs"/>
          <w:rtl/>
        </w:rPr>
        <w:t xml:space="preserve"> الوثائق التي</w:t>
      </w:r>
      <w:r w:rsidR="00890350" w:rsidRPr="005639FB">
        <w:rPr>
          <w:rFonts w:hint="cs"/>
          <w:rtl/>
        </w:rPr>
        <w:t xml:space="preserve"> </w:t>
      </w:r>
      <w:r w:rsidR="00234F21" w:rsidRPr="005639FB">
        <w:rPr>
          <w:rFonts w:hint="cs"/>
          <w:rtl/>
        </w:rPr>
        <w:t xml:space="preserve">قدمت من قبل كمجموعات </w:t>
      </w:r>
      <w:r w:rsidR="00890350" w:rsidRPr="005639FB">
        <w:rPr>
          <w:rFonts w:hint="cs"/>
          <w:rtl/>
        </w:rPr>
        <w:t>ورق</w:t>
      </w:r>
      <w:r w:rsidR="00234F21" w:rsidRPr="005639FB">
        <w:rPr>
          <w:rFonts w:hint="cs"/>
          <w:rtl/>
        </w:rPr>
        <w:t>ية</w:t>
      </w:r>
      <w:r w:rsidR="00890350" w:rsidRPr="005639FB">
        <w:rPr>
          <w:rFonts w:hint="cs"/>
          <w:rtl/>
        </w:rPr>
        <w:t xml:space="preserve">. </w:t>
      </w:r>
      <w:r w:rsidR="00234F21" w:rsidRPr="005639FB">
        <w:rPr>
          <w:rFonts w:hint="cs"/>
          <w:rtl/>
        </w:rPr>
        <w:t xml:space="preserve">أمّا </w:t>
      </w:r>
      <w:r w:rsidR="00890350" w:rsidRPr="005639FB">
        <w:rPr>
          <w:rFonts w:hint="cs"/>
          <w:rtl/>
        </w:rPr>
        <w:t xml:space="preserve">ثانيا، </w:t>
      </w:r>
      <w:r w:rsidR="00234F21" w:rsidRPr="005639FB">
        <w:rPr>
          <w:rFonts w:hint="cs"/>
          <w:rtl/>
        </w:rPr>
        <w:t>فقد تقل ال</w:t>
      </w:r>
      <w:r w:rsidR="00890350" w:rsidRPr="005639FB">
        <w:rPr>
          <w:rFonts w:hint="cs"/>
          <w:rtl/>
        </w:rPr>
        <w:t>حاجة</w:t>
      </w:r>
      <w:r w:rsidR="00234F21" w:rsidRPr="005639FB">
        <w:rPr>
          <w:rFonts w:hint="cs"/>
          <w:rtl/>
        </w:rPr>
        <w:t xml:space="preserve"> لتقديم وثائق أو ملخصات باللغة الإنكليزية ل</w:t>
      </w:r>
      <w:r w:rsidR="00890350" w:rsidRPr="005639FB">
        <w:rPr>
          <w:rFonts w:hint="cs"/>
          <w:rtl/>
        </w:rPr>
        <w:t xml:space="preserve">أن أدوات الترجمة الآلية متاحة بسهولة لفهم </w:t>
      </w:r>
      <w:r w:rsidR="00234F21" w:rsidRPr="005639FB">
        <w:rPr>
          <w:rFonts w:hint="cs"/>
          <w:rtl/>
        </w:rPr>
        <w:t xml:space="preserve">المضمون إن دعت الحاجة. وحدد المكتب أربعة أهداف تماشيا </w:t>
      </w:r>
      <w:r w:rsidR="00890350" w:rsidRPr="005639FB">
        <w:rPr>
          <w:rFonts w:hint="cs"/>
          <w:rtl/>
        </w:rPr>
        <w:t xml:space="preserve">مع </w:t>
      </w:r>
      <w:r w:rsidR="00234F21" w:rsidRPr="005639FB">
        <w:rPr>
          <w:rFonts w:hint="cs"/>
          <w:rtl/>
        </w:rPr>
        <w:t>ال</w:t>
      </w:r>
      <w:r w:rsidR="00890350" w:rsidRPr="005639FB">
        <w:rPr>
          <w:rFonts w:hint="cs"/>
          <w:rtl/>
        </w:rPr>
        <w:t>ولاية الأولية</w:t>
      </w:r>
      <w:r w:rsidR="00234F21" w:rsidRPr="005639FB">
        <w:rPr>
          <w:rFonts w:hint="cs"/>
          <w:rtl/>
        </w:rPr>
        <w:t>،</w:t>
      </w:r>
      <w:r w:rsidR="00890350" w:rsidRPr="005639FB">
        <w:rPr>
          <w:rFonts w:hint="cs"/>
          <w:rtl/>
        </w:rPr>
        <w:t xml:space="preserve"> وشكر </w:t>
      </w:r>
      <w:r w:rsidR="00234F21" w:rsidRPr="005639FB">
        <w:rPr>
          <w:rFonts w:hint="cs"/>
          <w:rtl/>
        </w:rPr>
        <w:t xml:space="preserve">مكتب </w:t>
      </w:r>
      <w:r w:rsidR="00890350" w:rsidRPr="005639FB">
        <w:rPr>
          <w:rFonts w:hint="cs"/>
          <w:rtl/>
        </w:rPr>
        <w:t>الولايات المتح</w:t>
      </w:r>
      <w:r w:rsidR="00234F21" w:rsidRPr="005639FB">
        <w:rPr>
          <w:rFonts w:hint="cs"/>
          <w:rtl/>
        </w:rPr>
        <w:t xml:space="preserve">دة للبراءات والعلامات التجارية على اقتراحه تولي </w:t>
      </w:r>
      <w:r w:rsidR="00890350" w:rsidRPr="005639FB">
        <w:rPr>
          <w:rFonts w:hint="cs"/>
          <w:rtl/>
        </w:rPr>
        <w:t>قيادة اله</w:t>
      </w:r>
      <w:r w:rsidR="00234F21" w:rsidRPr="005639FB">
        <w:rPr>
          <w:rFonts w:hint="cs"/>
          <w:rtl/>
        </w:rPr>
        <w:t>دف الرابع في فرقة العمل</w:t>
      </w:r>
      <w:r w:rsidR="00890350" w:rsidRPr="005639FB">
        <w:rPr>
          <w:rFonts w:hint="cs"/>
          <w:rtl/>
        </w:rPr>
        <w:t xml:space="preserve"> </w:t>
      </w:r>
      <w:r w:rsidR="00234F21" w:rsidRPr="005639FB">
        <w:rPr>
          <w:rFonts w:hint="cs"/>
          <w:rtl/>
        </w:rPr>
        <w:t xml:space="preserve">بخصوص </w:t>
      </w:r>
      <w:r w:rsidR="00234F21" w:rsidRPr="005639FB">
        <w:rPr>
          <w:rtl/>
        </w:rPr>
        <w:t>مستندات خلاف البراءات</w:t>
      </w:r>
      <w:r w:rsidR="00234F21" w:rsidRPr="005639FB">
        <w:rPr>
          <w:rFonts w:hint="cs"/>
          <w:rtl/>
        </w:rPr>
        <w:t xml:space="preserve"> وقواعد </w:t>
      </w:r>
      <w:r w:rsidR="00890350" w:rsidRPr="005639FB">
        <w:rPr>
          <w:rFonts w:hint="cs"/>
          <w:rtl/>
        </w:rPr>
        <w:t xml:space="preserve">بيانات التقنية الصناعية السابقة، بما في ذلك في مجال المعارف التقليدية. </w:t>
      </w:r>
      <w:r w:rsidR="00234F21" w:rsidRPr="005639FB">
        <w:rPr>
          <w:rFonts w:hint="cs"/>
          <w:rtl/>
        </w:rPr>
        <w:t>وأعرب</w:t>
      </w:r>
      <w:r w:rsidR="00890350" w:rsidRPr="005639FB">
        <w:rPr>
          <w:rFonts w:hint="cs"/>
          <w:rtl/>
        </w:rPr>
        <w:t xml:space="preserve"> </w:t>
      </w:r>
      <w:r w:rsidR="00234F21" w:rsidRPr="005639FB">
        <w:rPr>
          <w:rFonts w:hint="cs"/>
          <w:rtl/>
        </w:rPr>
        <w:t>ال</w:t>
      </w:r>
      <w:r w:rsidR="00890350" w:rsidRPr="005639FB">
        <w:rPr>
          <w:rFonts w:hint="cs"/>
          <w:rtl/>
        </w:rPr>
        <w:t>م</w:t>
      </w:r>
      <w:r w:rsidR="00234F21" w:rsidRPr="005639FB">
        <w:rPr>
          <w:rFonts w:hint="cs"/>
          <w:rtl/>
        </w:rPr>
        <w:t>كتب عن أمله في نهاية ناجحة للمهمة عام 2019 تماشيا</w:t>
      </w:r>
      <w:r w:rsidR="00890350" w:rsidRPr="005639FB">
        <w:rPr>
          <w:rFonts w:hint="cs"/>
          <w:rtl/>
        </w:rPr>
        <w:t xml:space="preserve"> مع الجدول الزمني المقترح.</w:t>
      </w:r>
    </w:p>
    <w:p w14:paraId="44F33840" w14:textId="7A80FDBB" w:rsidR="00890350" w:rsidRPr="005639FB" w:rsidRDefault="00890350" w:rsidP="00A513BF">
      <w:pPr>
        <w:pStyle w:val="NumberedParaAR"/>
      </w:pPr>
      <w:r w:rsidRPr="005639FB">
        <w:rPr>
          <w:rFonts w:hint="cs"/>
          <w:rtl/>
        </w:rPr>
        <w:t xml:space="preserve">وشددت </w:t>
      </w:r>
      <w:r w:rsidR="00234F21" w:rsidRPr="005639FB">
        <w:rPr>
          <w:rFonts w:hint="cs"/>
          <w:rtl/>
        </w:rPr>
        <w:t>الإدارات على أهمية تحديد معايير الإدراج</w:t>
      </w:r>
      <w:r w:rsidRPr="005639FB">
        <w:rPr>
          <w:rFonts w:hint="cs"/>
          <w:rtl/>
        </w:rPr>
        <w:t xml:space="preserve"> </w:t>
      </w:r>
      <w:r w:rsidR="00234F21" w:rsidRPr="005639FB">
        <w:rPr>
          <w:rFonts w:hint="cs"/>
          <w:rtl/>
        </w:rPr>
        <w:t xml:space="preserve">في </w:t>
      </w:r>
      <w:r w:rsidR="00234F21" w:rsidRPr="005639FB">
        <w:rPr>
          <w:rtl/>
        </w:rPr>
        <w:t>الحد الأدنى للوثائق المنصوص عليها في معاهدة التعاون بشأن البراءات</w:t>
      </w:r>
      <w:r w:rsidR="00234F21" w:rsidRPr="005639FB">
        <w:rPr>
          <w:rFonts w:hint="cs"/>
          <w:rtl/>
        </w:rPr>
        <w:t xml:space="preserve"> بطريقة تناسب ا</w:t>
      </w:r>
      <w:r w:rsidRPr="005639FB">
        <w:rPr>
          <w:rFonts w:hint="cs"/>
          <w:rtl/>
        </w:rPr>
        <w:t>لعصر الرقمي، وشكر</w:t>
      </w:r>
      <w:r w:rsidR="001B6175" w:rsidRPr="005639FB">
        <w:rPr>
          <w:rFonts w:hint="cs"/>
          <w:rtl/>
        </w:rPr>
        <w:t>ت</w:t>
      </w:r>
      <w:r w:rsidRPr="005639FB">
        <w:rPr>
          <w:rFonts w:hint="cs"/>
          <w:rtl/>
        </w:rPr>
        <w:t xml:space="preserve"> </w:t>
      </w:r>
      <w:r w:rsidR="001B6175" w:rsidRPr="005639FB">
        <w:rPr>
          <w:rFonts w:hint="cs"/>
          <w:rtl/>
        </w:rPr>
        <w:t>ال</w:t>
      </w:r>
      <w:r w:rsidRPr="005639FB">
        <w:rPr>
          <w:rFonts w:hint="cs"/>
          <w:rtl/>
        </w:rPr>
        <w:t xml:space="preserve">مكتب </w:t>
      </w:r>
      <w:r w:rsidR="001B6175" w:rsidRPr="005639FB">
        <w:rPr>
          <w:rFonts w:hint="cs"/>
          <w:rtl/>
        </w:rPr>
        <w:t>الأوروبي للبراءات على قيادته</w:t>
      </w:r>
      <w:r w:rsidRPr="005639FB">
        <w:rPr>
          <w:rFonts w:hint="cs"/>
          <w:rtl/>
        </w:rPr>
        <w:t xml:space="preserve"> </w:t>
      </w:r>
      <w:r w:rsidR="001B6175" w:rsidRPr="005639FB">
        <w:rPr>
          <w:rFonts w:hint="cs"/>
          <w:rtl/>
        </w:rPr>
        <w:t>ل</w:t>
      </w:r>
      <w:r w:rsidRPr="005639FB">
        <w:rPr>
          <w:rFonts w:hint="cs"/>
          <w:rtl/>
        </w:rPr>
        <w:t xml:space="preserve">فرقة العمل ومكتب </w:t>
      </w:r>
      <w:r w:rsidR="001B6175" w:rsidRPr="005639FB">
        <w:rPr>
          <w:rFonts w:hint="cs"/>
          <w:rtl/>
        </w:rPr>
        <w:t xml:space="preserve">الولايات المتحدة للبراءات </w:t>
      </w:r>
      <w:r w:rsidRPr="005639FB">
        <w:rPr>
          <w:rFonts w:hint="cs"/>
          <w:rtl/>
        </w:rPr>
        <w:t xml:space="preserve">والعلامات التجارية </w:t>
      </w:r>
      <w:r w:rsidR="001B6175" w:rsidRPr="005639FB">
        <w:rPr>
          <w:rFonts w:hint="cs"/>
          <w:rtl/>
        </w:rPr>
        <w:t>على قيادته</w:t>
      </w:r>
      <w:r w:rsidRPr="005639FB">
        <w:rPr>
          <w:rFonts w:hint="cs"/>
          <w:rtl/>
        </w:rPr>
        <w:t xml:space="preserve"> </w:t>
      </w:r>
      <w:r w:rsidR="001B6175" w:rsidRPr="005639FB">
        <w:rPr>
          <w:rFonts w:hint="cs"/>
          <w:rtl/>
        </w:rPr>
        <w:t>للهدف المتعلق ب</w:t>
      </w:r>
      <w:r w:rsidR="001B6175" w:rsidRPr="005639FB">
        <w:rPr>
          <w:rtl/>
        </w:rPr>
        <w:t>مستندات خلاف البراءات</w:t>
      </w:r>
      <w:r w:rsidR="001B6175" w:rsidRPr="005639FB">
        <w:rPr>
          <w:rFonts w:hint="cs"/>
          <w:rtl/>
        </w:rPr>
        <w:t xml:space="preserve"> وقواعد بيانات التقنية الصناعية</w:t>
      </w:r>
      <w:r w:rsidR="000800AB" w:rsidRPr="005639FB">
        <w:rPr>
          <w:rFonts w:hint="eastAsia"/>
          <w:rtl/>
        </w:rPr>
        <w:t> </w:t>
      </w:r>
      <w:r w:rsidR="001B6175" w:rsidRPr="005639FB">
        <w:rPr>
          <w:rFonts w:hint="cs"/>
          <w:rtl/>
        </w:rPr>
        <w:t>السابقة</w:t>
      </w:r>
      <w:r w:rsidRPr="005639FB">
        <w:rPr>
          <w:rFonts w:hint="cs"/>
          <w:rtl/>
        </w:rPr>
        <w:t>.</w:t>
      </w:r>
    </w:p>
    <w:p w14:paraId="01BAB956" w14:textId="65432D18" w:rsidR="00890350" w:rsidRPr="005639FB" w:rsidRDefault="001B6175" w:rsidP="00A513BF">
      <w:pPr>
        <w:pStyle w:val="NumberedParaAR"/>
      </w:pPr>
      <w:r w:rsidRPr="005639FB">
        <w:rPr>
          <w:rFonts w:hint="cs"/>
          <w:rtl/>
        </w:rPr>
        <w:t>وأبدى</w:t>
      </w:r>
      <w:r w:rsidR="00295551" w:rsidRPr="005639FB">
        <w:rPr>
          <w:rFonts w:hint="cs"/>
          <w:rtl/>
        </w:rPr>
        <w:t xml:space="preserve"> مكتب </w:t>
      </w:r>
      <w:r w:rsidRPr="005639FB">
        <w:rPr>
          <w:rFonts w:hint="cs"/>
          <w:rtl/>
        </w:rPr>
        <w:t>الهند للبراءات</w:t>
      </w:r>
      <w:r w:rsidR="00295551" w:rsidRPr="005639FB">
        <w:rPr>
          <w:rFonts w:hint="cs"/>
          <w:rtl/>
        </w:rPr>
        <w:t xml:space="preserve"> </w:t>
      </w:r>
      <w:r w:rsidRPr="005639FB">
        <w:rPr>
          <w:rFonts w:hint="cs"/>
          <w:rtl/>
        </w:rPr>
        <w:t>تطلّعه ل</w:t>
      </w:r>
      <w:r w:rsidR="00295551" w:rsidRPr="005639FB">
        <w:rPr>
          <w:rFonts w:hint="cs"/>
          <w:rtl/>
        </w:rPr>
        <w:t xml:space="preserve">لمشاركة في المناقشات على المنتدى </w:t>
      </w:r>
      <w:r w:rsidR="007A065F" w:rsidRPr="005639FB">
        <w:rPr>
          <w:rFonts w:hint="cs"/>
          <w:rtl/>
        </w:rPr>
        <w:t>الإلكتروني</w:t>
      </w:r>
      <w:r w:rsidR="005639FB" w:rsidRPr="005639FB">
        <w:rPr>
          <w:rFonts w:hint="cs"/>
          <w:rtl/>
        </w:rPr>
        <w:t xml:space="preserve"> </w:t>
      </w:r>
      <w:r w:rsidRPr="005639FB">
        <w:rPr>
          <w:rFonts w:hint="cs"/>
          <w:rtl/>
        </w:rPr>
        <w:t>ل</w:t>
      </w:r>
      <w:r w:rsidR="00295551" w:rsidRPr="005639FB">
        <w:rPr>
          <w:rFonts w:hint="cs"/>
          <w:rtl/>
        </w:rPr>
        <w:t xml:space="preserve">فرقة العمل، ولا سيما مراجعة </w:t>
      </w:r>
      <w:r w:rsidRPr="005639FB">
        <w:rPr>
          <w:rFonts w:hint="cs"/>
          <w:rtl/>
        </w:rPr>
        <w:t>ال</w:t>
      </w:r>
      <w:r w:rsidR="00295551" w:rsidRPr="005639FB">
        <w:rPr>
          <w:rFonts w:hint="cs"/>
          <w:rtl/>
        </w:rPr>
        <w:t>معاي</w:t>
      </w:r>
      <w:r w:rsidRPr="005639FB">
        <w:rPr>
          <w:rFonts w:hint="cs"/>
          <w:rtl/>
        </w:rPr>
        <w:t>ير بما في ذلك</w:t>
      </w:r>
      <w:r w:rsidR="00295551" w:rsidRPr="005639FB">
        <w:rPr>
          <w:rFonts w:hint="cs"/>
          <w:rtl/>
        </w:rPr>
        <w:t xml:space="preserve"> </w:t>
      </w:r>
      <w:r w:rsidRPr="005639FB">
        <w:rPr>
          <w:rtl/>
        </w:rPr>
        <w:t>مستندات خلاف البراءات</w:t>
      </w:r>
      <w:r w:rsidR="00295551" w:rsidRPr="005639FB">
        <w:rPr>
          <w:rFonts w:hint="cs"/>
          <w:rtl/>
        </w:rPr>
        <w:t xml:space="preserve"> </w:t>
      </w:r>
      <w:r w:rsidRPr="005639FB">
        <w:rPr>
          <w:rFonts w:hint="cs"/>
          <w:rtl/>
        </w:rPr>
        <w:t xml:space="preserve">بما يراعي </w:t>
      </w:r>
      <w:r w:rsidR="00295551" w:rsidRPr="005639FB">
        <w:rPr>
          <w:rFonts w:hint="cs"/>
          <w:rtl/>
        </w:rPr>
        <w:t xml:space="preserve">تنوع مصادر </w:t>
      </w:r>
      <w:r w:rsidRPr="005639FB">
        <w:rPr>
          <w:rFonts w:hint="cs"/>
          <w:rtl/>
        </w:rPr>
        <w:t>ال</w:t>
      </w:r>
      <w:r w:rsidR="00295551" w:rsidRPr="005639FB">
        <w:rPr>
          <w:rFonts w:hint="cs"/>
          <w:rtl/>
        </w:rPr>
        <w:t xml:space="preserve">معلومات </w:t>
      </w:r>
      <w:r w:rsidRPr="005639FB">
        <w:rPr>
          <w:rFonts w:hint="cs"/>
          <w:rtl/>
        </w:rPr>
        <w:t>وأشكالها التي تتجاوز المجلات</w:t>
      </w:r>
      <w:r w:rsidR="00295551" w:rsidRPr="005639FB">
        <w:rPr>
          <w:rFonts w:hint="cs"/>
          <w:rtl/>
        </w:rPr>
        <w:t xml:space="preserve"> </w:t>
      </w:r>
      <w:r w:rsidRPr="005639FB">
        <w:rPr>
          <w:rFonts w:hint="cs"/>
          <w:rtl/>
        </w:rPr>
        <w:t>الدورية ل</w:t>
      </w:r>
      <w:r w:rsidR="00295551" w:rsidRPr="005639FB">
        <w:rPr>
          <w:rFonts w:hint="cs"/>
          <w:rtl/>
        </w:rPr>
        <w:t xml:space="preserve">لعلوم والتكنولوجيا. </w:t>
      </w:r>
      <w:r w:rsidRPr="005639FB">
        <w:rPr>
          <w:rFonts w:hint="cs"/>
          <w:rtl/>
        </w:rPr>
        <w:t>وأشار</w:t>
      </w:r>
      <w:r w:rsidR="00295551" w:rsidRPr="005639FB">
        <w:rPr>
          <w:rFonts w:hint="cs"/>
          <w:rtl/>
        </w:rPr>
        <w:t xml:space="preserve"> </w:t>
      </w:r>
      <w:r w:rsidRPr="005639FB">
        <w:rPr>
          <w:rFonts w:hint="cs"/>
          <w:rtl/>
        </w:rPr>
        <w:t>المكتب</w:t>
      </w:r>
      <w:r w:rsidR="00295551" w:rsidRPr="005639FB">
        <w:rPr>
          <w:rFonts w:hint="cs"/>
          <w:rtl/>
        </w:rPr>
        <w:t xml:space="preserve"> </w:t>
      </w:r>
      <w:r w:rsidRPr="005639FB">
        <w:rPr>
          <w:rFonts w:hint="cs"/>
          <w:rtl/>
        </w:rPr>
        <w:t>إلى ال</w:t>
      </w:r>
      <w:r w:rsidR="00295551" w:rsidRPr="005639FB">
        <w:rPr>
          <w:rFonts w:hint="cs"/>
          <w:rtl/>
        </w:rPr>
        <w:t xml:space="preserve">مناقشات </w:t>
      </w:r>
      <w:r w:rsidRPr="005639FB">
        <w:rPr>
          <w:rFonts w:hint="cs"/>
          <w:rtl/>
        </w:rPr>
        <w:t>النشطة ال</w:t>
      </w:r>
      <w:r w:rsidR="00295551" w:rsidRPr="005639FB">
        <w:rPr>
          <w:rFonts w:hint="cs"/>
          <w:rtl/>
        </w:rPr>
        <w:t>ج</w:t>
      </w:r>
      <w:r w:rsidRPr="005639FB">
        <w:rPr>
          <w:rFonts w:hint="cs"/>
          <w:rtl/>
        </w:rPr>
        <w:t>ا</w:t>
      </w:r>
      <w:r w:rsidR="00295551" w:rsidRPr="005639FB">
        <w:rPr>
          <w:rFonts w:hint="cs"/>
          <w:rtl/>
        </w:rPr>
        <w:t>ري</w:t>
      </w:r>
      <w:r w:rsidRPr="005639FB">
        <w:rPr>
          <w:rFonts w:hint="cs"/>
          <w:rtl/>
        </w:rPr>
        <w:t>ة</w:t>
      </w:r>
      <w:r w:rsidR="00295551" w:rsidRPr="005639FB">
        <w:rPr>
          <w:rFonts w:hint="cs"/>
          <w:rtl/>
        </w:rPr>
        <w:t xml:space="preserve"> في اللجنة الحكومية الدولية المعنية بالملكية الفكرية والموارد الوراثية و</w:t>
      </w:r>
      <w:r w:rsidRPr="005639FB">
        <w:rPr>
          <w:rFonts w:hint="cs"/>
          <w:rtl/>
        </w:rPr>
        <w:t>المعارف التقليدية والفولكلور</w:t>
      </w:r>
      <w:r w:rsidR="00295551" w:rsidRPr="005639FB">
        <w:rPr>
          <w:rFonts w:hint="cs"/>
          <w:rtl/>
        </w:rPr>
        <w:t xml:space="preserve"> </w:t>
      </w:r>
      <w:r w:rsidRPr="005639FB">
        <w:rPr>
          <w:rFonts w:hint="cs"/>
          <w:rtl/>
        </w:rPr>
        <w:t xml:space="preserve">بشأن </w:t>
      </w:r>
      <w:r w:rsidR="00295551" w:rsidRPr="005639FB">
        <w:rPr>
          <w:rFonts w:hint="cs"/>
          <w:rtl/>
        </w:rPr>
        <w:t>حماية المعارف التقليدية</w:t>
      </w:r>
      <w:r w:rsidRPr="005639FB">
        <w:rPr>
          <w:rFonts w:hint="cs"/>
          <w:rtl/>
        </w:rPr>
        <w:t>، وذكر أنه سيقدّم لفرقة العمل</w:t>
      </w:r>
      <w:r w:rsidRPr="005639FB">
        <w:rPr>
          <w:rtl/>
        </w:rPr>
        <w:t xml:space="preserve"> نسخة منقحة من مشروع اتفاق النفاذ</w:t>
      </w:r>
      <w:r w:rsidRPr="005639FB">
        <w:rPr>
          <w:rFonts w:hint="cs"/>
          <w:rtl/>
        </w:rPr>
        <w:t>،</w:t>
      </w:r>
      <w:r w:rsidRPr="005639FB">
        <w:rPr>
          <w:rtl/>
        </w:rPr>
        <w:t xml:space="preserve"> </w:t>
      </w:r>
      <w:r w:rsidRPr="005639FB">
        <w:rPr>
          <w:rFonts w:hint="cs"/>
          <w:rtl/>
        </w:rPr>
        <w:t xml:space="preserve">تضع مقترحات عن </w:t>
      </w:r>
      <w:r w:rsidR="00295551" w:rsidRPr="005639FB">
        <w:rPr>
          <w:rFonts w:hint="cs"/>
          <w:rtl/>
        </w:rPr>
        <w:t>إدراج المكتبة الرقمية للمعارف التقليدية الهندي</w:t>
      </w:r>
      <w:r w:rsidRPr="005639FB">
        <w:rPr>
          <w:rFonts w:hint="cs"/>
          <w:rtl/>
        </w:rPr>
        <w:t>ة في</w:t>
      </w:r>
      <w:r w:rsidRPr="005639FB">
        <w:rPr>
          <w:rtl/>
        </w:rPr>
        <w:t xml:space="preserve"> الحد الأدنى للوثائق المنصوص عليها في معاهدة التعاون بشأن البراءات</w:t>
      </w:r>
      <w:r w:rsidR="00295551" w:rsidRPr="005639FB">
        <w:rPr>
          <w:rFonts w:hint="cs"/>
          <w:rtl/>
        </w:rPr>
        <w:t>.</w:t>
      </w:r>
    </w:p>
    <w:p w14:paraId="0ABCFE8C" w14:textId="77777777" w:rsidR="00AA70FE" w:rsidRPr="005639FB" w:rsidRDefault="00AA70FE" w:rsidP="00A513BF">
      <w:pPr>
        <w:pStyle w:val="NumberedParaAR"/>
        <w:ind w:left="1282" w:hanging="562"/>
      </w:pPr>
      <w:r w:rsidRPr="005639FB">
        <w:rPr>
          <w:rtl/>
        </w:rPr>
        <w:t xml:space="preserve">وأحاط الاجتماع علماً بمحتويات الوثيقة </w:t>
      </w:r>
      <w:r w:rsidRPr="005639FB">
        <w:t>PCT/MIA/24/4</w:t>
      </w:r>
      <w:r w:rsidRPr="005639FB">
        <w:rPr>
          <w:rtl/>
        </w:rPr>
        <w:t>.</w:t>
      </w:r>
    </w:p>
    <w:p w14:paraId="0F7E0306" w14:textId="1CC71E32" w:rsidR="00AA70FE" w:rsidRPr="005639FB" w:rsidRDefault="0053242E" w:rsidP="00A513BF">
      <w:pPr>
        <w:pStyle w:val="Heading1AR"/>
        <w:spacing w:after="240" w:line="360" w:lineRule="exact"/>
      </w:pPr>
      <w:r w:rsidRPr="005639FB">
        <w:rPr>
          <w:rFonts w:hint="cs"/>
          <w:rtl/>
        </w:rPr>
        <w:t>البند 16: ملفات الإدارات</w:t>
      </w:r>
    </w:p>
    <w:p w14:paraId="7046BF90" w14:textId="50D7F982" w:rsidR="00AA70FE" w:rsidRPr="005639FB" w:rsidRDefault="00AA70FE" w:rsidP="00A513BF">
      <w:pPr>
        <w:pStyle w:val="NumberedParaAR"/>
      </w:pPr>
      <w:r w:rsidRPr="005639FB">
        <w:rPr>
          <w:rtl/>
        </w:rPr>
        <w:t xml:space="preserve">استندت المناقشات إلى الوثيقة </w:t>
      </w:r>
      <w:r w:rsidRPr="005639FB">
        <w:t>PCT/MIA/24/5</w:t>
      </w:r>
      <w:r w:rsidRPr="005639FB">
        <w:rPr>
          <w:rtl/>
        </w:rPr>
        <w:t>.</w:t>
      </w:r>
    </w:p>
    <w:p w14:paraId="088BE08C" w14:textId="2B177AF4" w:rsidR="00295551" w:rsidRPr="005639FB" w:rsidRDefault="00295551" w:rsidP="00A513BF">
      <w:pPr>
        <w:pStyle w:val="NumberedParaAR"/>
      </w:pPr>
      <w:r w:rsidRPr="005639FB">
        <w:rPr>
          <w:rFonts w:hint="cs"/>
          <w:rtl/>
        </w:rPr>
        <w:t xml:space="preserve">وشددت </w:t>
      </w:r>
      <w:r w:rsidR="001B6175" w:rsidRPr="005639FB">
        <w:rPr>
          <w:rFonts w:hint="cs"/>
          <w:rtl/>
        </w:rPr>
        <w:t>الإدارات</w:t>
      </w:r>
      <w:r w:rsidRPr="005639FB">
        <w:rPr>
          <w:rFonts w:hint="cs"/>
          <w:rtl/>
        </w:rPr>
        <w:t xml:space="preserve"> ع</w:t>
      </w:r>
      <w:r w:rsidR="00972662" w:rsidRPr="005639FB">
        <w:rPr>
          <w:rFonts w:hint="cs"/>
          <w:rtl/>
        </w:rPr>
        <w:t xml:space="preserve">لى أهمية إنشاء </w:t>
      </w:r>
      <w:r w:rsidR="0088212A" w:rsidRPr="005639FB">
        <w:rPr>
          <w:rFonts w:hint="cs"/>
          <w:rtl/>
        </w:rPr>
        <w:t>ال</w:t>
      </w:r>
      <w:r w:rsidR="00972662" w:rsidRPr="005639FB">
        <w:rPr>
          <w:rFonts w:hint="cs"/>
          <w:rtl/>
        </w:rPr>
        <w:t>مك</w:t>
      </w:r>
      <w:r w:rsidR="0088212A" w:rsidRPr="005639FB">
        <w:rPr>
          <w:rFonts w:hint="cs"/>
          <w:rtl/>
        </w:rPr>
        <w:t>ا</w:t>
      </w:r>
      <w:r w:rsidR="00972662" w:rsidRPr="005639FB">
        <w:rPr>
          <w:rFonts w:hint="cs"/>
          <w:rtl/>
        </w:rPr>
        <w:t>تب</w:t>
      </w:r>
      <w:r w:rsidRPr="005639FB">
        <w:rPr>
          <w:rFonts w:hint="cs"/>
          <w:rtl/>
        </w:rPr>
        <w:t xml:space="preserve"> </w:t>
      </w:r>
      <w:r w:rsidR="0088212A" w:rsidRPr="005639FB">
        <w:rPr>
          <w:rFonts w:hint="cs"/>
          <w:rtl/>
        </w:rPr>
        <w:t>ل</w:t>
      </w:r>
      <w:r w:rsidR="00972662" w:rsidRPr="005639FB">
        <w:rPr>
          <w:rFonts w:hint="cs"/>
          <w:rtl/>
        </w:rPr>
        <w:t xml:space="preserve">ملفات الإدارات </w:t>
      </w:r>
      <w:r w:rsidR="0088212A" w:rsidRPr="005639FB">
        <w:rPr>
          <w:rFonts w:hint="cs"/>
          <w:rtl/>
        </w:rPr>
        <w:t xml:space="preserve">الخاصة بها </w:t>
      </w:r>
      <w:r w:rsidR="00972662" w:rsidRPr="005639FB">
        <w:rPr>
          <w:rFonts w:hint="cs"/>
          <w:rtl/>
        </w:rPr>
        <w:t xml:space="preserve">لتمكين الأطراف المعنية من </w:t>
      </w:r>
      <w:r w:rsidRPr="005639FB">
        <w:rPr>
          <w:rFonts w:hint="cs"/>
          <w:rtl/>
        </w:rPr>
        <w:t xml:space="preserve">تقييم مدى اكتمال وثائق البراءات </w:t>
      </w:r>
      <w:r w:rsidR="00972662" w:rsidRPr="005639FB">
        <w:rPr>
          <w:rFonts w:hint="cs"/>
          <w:rtl/>
        </w:rPr>
        <w:t>التي تنشرها، وحثّ</w:t>
      </w:r>
      <w:r w:rsidRPr="005639FB">
        <w:rPr>
          <w:rFonts w:hint="cs"/>
          <w:rtl/>
        </w:rPr>
        <w:t xml:space="preserve">ت </w:t>
      </w:r>
      <w:r w:rsidR="00972662" w:rsidRPr="005639FB">
        <w:rPr>
          <w:rFonts w:hint="cs"/>
          <w:rtl/>
        </w:rPr>
        <w:t>على المشاركة في</w:t>
      </w:r>
      <w:r w:rsidRPr="005639FB">
        <w:rPr>
          <w:rFonts w:hint="cs"/>
          <w:rtl/>
        </w:rPr>
        <w:t xml:space="preserve"> </w:t>
      </w:r>
      <w:r w:rsidR="00972662" w:rsidRPr="005639FB">
        <w:rPr>
          <w:rFonts w:hint="cs"/>
          <w:rtl/>
        </w:rPr>
        <w:t xml:space="preserve">فرقة العمل لتقديم </w:t>
      </w:r>
      <w:r w:rsidRPr="005639FB">
        <w:rPr>
          <w:rFonts w:hint="cs"/>
          <w:rtl/>
        </w:rPr>
        <w:t xml:space="preserve">مقترح </w:t>
      </w:r>
      <w:r w:rsidR="00972662" w:rsidRPr="005639FB">
        <w:rPr>
          <w:rFonts w:hint="cs"/>
          <w:rtl/>
        </w:rPr>
        <w:t xml:space="preserve">بوضع معايير </w:t>
      </w:r>
      <w:proofErr w:type="spellStart"/>
      <w:r w:rsidR="00972662" w:rsidRPr="005639FB">
        <w:rPr>
          <w:rFonts w:hint="cs"/>
          <w:rtl/>
        </w:rPr>
        <w:t>لل</w:t>
      </w:r>
      <w:r w:rsidRPr="005639FB">
        <w:rPr>
          <w:rFonts w:hint="cs"/>
          <w:rtl/>
        </w:rPr>
        <w:t>ويبو</w:t>
      </w:r>
      <w:proofErr w:type="spellEnd"/>
      <w:r w:rsidRPr="005639FB">
        <w:rPr>
          <w:rFonts w:hint="cs"/>
          <w:rtl/>
        </w:rPr>
        <w:t xml:space="preserve"> </w:t>
      </w:r>
      <w:r w:rsidR="00972662" w:rsidRPr="005639FB">
        <w:rPr>
          <w:rFonts w:hint="cs"/>
          <w:rtl/>
        </w:rPr>
        <w:t>عن ملفات الإدارات</w:t>
      </w:r>
      <w:r w:rsidRPr="005639FB">
        <w:rPr>
          <w:rFonts w:hint="cs"/>
          <w:rtl/>
        </w:rPr>
        <w:t>.</w:t>
      </w:r>
    </w:p>
    <w:p w14:paraId="40FDE927" w14:textId="4EEAC2D7" w:rsidR="00295551" w:rsidRPr="005639FB" w:rsidRDefault="00972662" w:rsidP="00A513BF">
      <w:pPr>
        <w:pStyle w:val="NumberedParaAR"/>
      </w:pPr>
      <w:r w:rsidRPr="005639FB">
        <w:rPr>
          <w:rFonts w:hint="cs"/>
          <w:rtl/>
        </w:rPr>
        <w:t>وأشارت إحدى</w:t>
      </w:r>
      <w:r w:rsidR="00295551" w:rsidRPr="005639FB">
        <w:rPr>
          <w:rFonts w:hint="cs"/>
          <w:rtl/>
        </w:rPr>
        <w:t xml:space="preserve"> </w:t>
      </w:r>
      <w:r w:rsidRPr="005639FB">
        <w:rPr>
          <w:rFonts w:hint="cs"/>
          <w:rtl/>
        </w:rPr>
        <w:t xml:space="preserve">الإدارات لعمل </w:t>
      </w:r>
      <w:r w:rsidRPr="005639FB">
        <w:rPr>
          <w:rtl/>
        </w:rPr>
        <w:t>مكاتب الملكية الفكرية الرئيسية الخمسة</w:t>
      </w:r>
      <w:r w:rsidRPr="005639FB">
        <w:rPr>
          <w:rFonts w:hint="cs"/>
          <w:rtl/>
        </w:rPr>
        <w:t xml:space="preserve"> في إنشاء ملفات</w:t>
      </w:r>
      <w:r w:rsidR="00295551" w:rsidRPr="005639FB">
        <w:rPr>
          <w:rFonts w:hint="cs"/>
          <w:rtl/>
        </w:rPr>
        <w:t xml:space="preserve"> </w:t>
      </w:r>
      <w:r w:rsidRPr="005639FB">
        <w:rPr>
          <w:rFonts w:hint="cs"/>
          <w:rtl/>
        </w:rPr>
        <w:t xml:space="preserve">الإدارات الخاصة بها. </w:t>
      </w:r>
      <w:r w:rsidR="0088212A" w:rsidRPr="005639FB">
        <w:rPr>
          <w:rFonts w:hint="cs"/>
          <w:rtl/>
        </w:rPr>
        <w:t>وتحد</w:t>
      </w:r>
      <w:r w:rsidR="00295551" w:rsidRPr="005639FB">
        <w:rPr>
          <w:rFonts w:hint="cs"/>
          <w:rtl/>
        </w:rPr>
        <w:t>ث</w:t>
      </w:r>
      <w:r w:rsidR="0088212A" w:rsidRPr="005639FB">
        <w:rPr>
          <w:rFonts w:hint="cs"/>
          <w:rtl/>
        </w:rPr>
        <w:t>ّ</w:t>
      </w:r>
      <w:r w:rsidR="00295551" w:rsidRPr="005639FB">
        <w:rPr>
          <w:rFonts w:hint="cs"/>
          <w:rtl/>
        </w:rPr>
        <w:t xml:space="preserve"> ملفات </w:t>
      </w:r>
      <w:r w:rsidR="0088212A" w:rsidRPr="005639FB">
        <w:rPr>
          <w:rFonts w:hint="cs"/>
          <w:rtl/>
        </w:rPr>
        <w:t>الإدارات ل</w:t>
      </w:r>
      <w:r w:rsidR="0088212A" w:rsidRPr="005639FB">
        <w:rPr>
          <w:rtl/>
        </w:rPr>
        <w:t>مكاتب الملكية الفكرية الرئيسية الخمسة</w:t>
      </w:r>
      <w:r w:rsidR="00295551" w:rsidRPr="005639FB">
        <w:rPr>
          <w:rFonts w:hint="cs"/>
          <w:rtl/>
        </w:rPr>
        <w:t xml:space="preserve"> سنوي</w:t>
      </w:r>
      <w:r w:rsidR="0088212A" w:rsidRPr="005639FB">
        <w:rPr>
          <w:rFonts w:hint="cs"/>
          <w:rtl/>
        </w:rPr>
        <w:t>ا، ولكن</w:t>
      </w:r>
      <w:r w:rsidR="00295551" w:rsidRPr="005639FB">
        <w:rPr>
          <w:rFonts w:hint="cs"/>
          <w:rtl/>
        </w:rPr>
        <w:t xml:space="preserve"> </w:t>
      </w:r>
      <w:r w:rsidR="0088212A" w:rsidRPr="005639FB">
        <w:rPr>
          <w:rFonts w:hint="cs"/>
          <w:rtl/>
        </w:rPr>
        <w:t>جرت مناقشات</w:t>
      </w:r>
      <w:r w:rsidR="00295551" w:rsidRPr="005639FB">
        <w:rPr>
          <w:rFonts w:hint="cs"/>
          <w:rtl/>
        </w:rPr>
        <w:t xml:space="preserve"> </w:t>
      </w:r>
      <w:r w:rsidR="0088212A" w:rsidRPr="005639FB">
        <w:rPr>
          <w:rFonts w:hint="cs"/>
          <w:rtl/>
        </w:rPr>
        <w:t xml:space="preserve">عن زيادة تواتر التحديثات </w:t>
      </w:r>
      <w:r w:rsidR="00295551" w:rsidRPr="005639FB">
        <w:rPr>
          <w:rFonts w:hint="cs"/>
          <w:rtl/>
        </w:rPr>
        <w:t xml:space="preserve">في المستقبل. </w:t>
      </w:r>
      <w:r w:rsidR="0088212A" w:rsidRPr="005639FB">
        <w:rPr>
          <w:rFonts w:hint="cs"/>
          <w:rtl/>
        </w:rPr>
        <w:t>وحثت</w:t>
      </w:r>
      <w:r w:rsidR="00295551" w:rsidRPr="005639FB">
        <w:rPr>
          <w:rFonts w:hint="cs"/>
          <w:rtl/>
        </w:rPr>
        <w:t xml:space="preserve"> </w:t>
      </w:r>
      <w:r w:rsidR="0088212A" w:rsidRPr="005639FB">
        <w:rPr>
          <w:rFonts w:hint="cs"/>
          <w:rtl/>
        </w:rPr>
        <w:t xml:space="preserve">هذه الإدارة نظيراتها على </w:t>
      </w:r>
      <w:r w:rsidR="00295551" w:rsidRPr="005639FB">
        <w:rPr>
          <w:rFonts w:hint="cs"/>
          <w:rtl/>
        </w:rPr>
        <w:t xml:space="preserve">إعداد ملف </w:t>
      </w:r>
      <w:r w:rsidR="0088212A" w:rsidRPr="005639FB">
        <w:rPr>
          <w:rFonts w:hint="cs"/>
          <w:rtl/>
        </w:rPr>
        <w:t>الإدارة الخاص بها</w:t>
      </w:r>
      <w:r w:rsidR="00295551" w:rsidRPr="005639FB">
        <w:rPr>
          <w:rFonts w:hint="cs"/>
          <w:rtl/>
        </w:rPr>
        <w:t xml:space="preserve">. وفي هذا الصدد، أبلغ مكتب </w:t>
      </w:r>
      <w:r w:rsidR="0088212A" w:rsidRPr="005639FB">
        <w:rPr>
          <w:rFonts w:hint="cs"/>
          <w:rtl/>
        </w:rPr>
        <w:t xml:space="preserve">النمسا للبراءات </w:t>
      </w:r>
      <w:r w:rsidR="00295551" w:rsidRPr="005639FB">
        <w:rPr>
          <w:rFonts w:hint="cs"/>
          <w:rtl/>
        </w:rPr>
        <w:t xml:space="preserve">الاجتماع </w:t>
      </w:r>
      <w:r w:rsidR="0088212A" w:rsidRPr="005639FB">
        <w:rPr>
          <w:rFonts w:hint="cs"/>
          <w:rtl/>
        </w:rPr>
        <w:t xml:space="preserve">بأنه </w:t>
      </w:r>
      <w:r w:rsidR="00295551" w:rsidRPr="005639FB">
        <w:rPr>
          <w:rFonts w:hint="cs"/>
          <w:rtl/>
        </w:rPr>
        <w:t xml:space="preserve">يعمل مع </w:t>
      </w:r>
      <w:r w:rsidR="0088212A" w:rsidRPr="005639FB">
        <w:rPr>
          <w:rFonts w:hint="cs"/>
          <w:rtl/>
        </w:rPr>
        <w:t>ال</w:t>
      </w:r>
      <w:r w:rsidR="00295551" w:rsidRPr="005639FB">
        <w:rPr>
          <w:rFonts w:hint="cs"/>
          <w:rtl/>
        </w:rPr>
        <w:t>مكتب</w:t>
      </w:r>
      <w:r w:rsidR="0088212A" w:rsidRPr="005639FB">
        <w:rPr>
          <w:rFonts w:hint="cs"/>
          <w:rtl/>
        </w:rPr>
        <w:t xml:space="preserve"> الأوروبي</w:t>
      </w:r>
      <w:r w:rsidR="00295551" w:rsidRPr="005639FB">
        <w:rPr>
          <w:rFonts w:hint="cs"/>
          <w:rtl/>
        </w:rPr>
        <w:t xml:space="preserve"> </w:t>
      </w:r>
      <w:r w:rsidR="0088212A" w:rsidRPr="005639FB">
        <w:rPr>
          <w:rFonts w:hint="cs"/>
          <w:rtl/>
        </w:rPr>
        <w:t xml:space="preserve">للبراءات على </w:t>
      </w:r>
      <w:r w:rsidR="00295551" w:rsidRPr="005639FB">
        <w:rPr>
          <w:rFonts w:hint="cs"/>
          <w:rtl/>
        </w:rPr>
        <w:t xml:space="preserve">إعداد ملف </w:t>
      </w:r>
      <w:r w:rsidR="0088212A" w:rsidRPr="005639FB">
        <w:rPr>
          <w:rFonts w:hint="cs"/>
          <w:rtl/>
        </w:rPr>
        <w:t>الإدارة الخاص به</w:t>
      </w:r>
      <w:r w:rsidR="00295551" w:rsidRPr="005639FB">
        <w:rPr>
          <w:rFonts w:hint="cs"/>
          <w:rtl/>
        </w:rPr>
        <w:t>.</w:t>
      </w:r>
    </w:p>
    <w:p w14:paraId="2F41B0BD" w14:textId="747DAF77" w:rsidR="00295551" w:rsidRPr="005639FB" w:rsidRDefault="00295551" w:rsidP="00A513BF">
      <w:pPr>
        <w:pStyle w:val="NumberedParaAR"/>
      </w:pPr>
      <w:r w:rsidRPr="005639FB">
        <w:rPr>
          <w:rFonts w:hint="cs"/>
          <w:rtl/>
        </w:rPr>
        <w:t>وردد</w:t>
      </w:r>
      <w:r w:rsidR="0088212A" w:rsidRPr="005639FB">
        <w:rPr>
          <w:rFonts w:hint="cs"/>
          <w:rtl/>
        </w:rPr>
        <w:t xml:space="preserve">ّ المكتب الدولي </w:t>
      </w:r>
      <w:r w:rsidRPr="005639FB">
        <w:rPr>
          <w:rFonts w:hint="cs"/>
          <w:rtl/>
        </w:rPr>
        <w:t>تعليق</w:t>
      </w:r>
      <w:r w:rsidR="0088212A" w:rsidRPr="005639FB">
        <w:rPr>
          <w:rFonts w:hint="cs"/>
          <w:rtl/>
        </w:rPr>
        <w:t>ات الإدارات عن أهمية</w:t>
      </w:r>
      <w:r w:rsidRPr="005639FB">
        <w:rPr>
          <w:rFonts w:hint="cs"/>
          <w:rtl/>
        </w:rPr>
        <w:t xml:space="preserve"> </w:t>
      </w:r>
      <w:r w:rsidR="0088212A" w:rsidRPr="005639FB">
        <w:rPr>
          <w:rFonts w:hint="cs"/>
          <w:rtl/>
        </w:rPr>
        <w:t>إنشاء المكاتب لملفات الإدارات الخاصة بها، مما يضمن</w:t>
      </w:r>
      <w:r w:rsidRPr="005639FB">
        <w:rPr>
          <w:rFonts w:hint="cs"/>
          <w:rtl/>
        </w:rPr>
        <w:t xml:space="preserve"> </w:t>
      </w:r>
      <w:r w:rsidR="0088212A" w:rsidRPr="005639FB">
        <w:rPr>
          <w:rFonts w:hint="cs"/>
          <w:rtl/>
        </w:rPr>
        <w:t>أقصى فعالية ممكنة ل</w:t>
      </w:r>
      <w:r w:rsidRPr="005639FB">
        <w:rPr>
          <w:rFonts w:hint="cs"/>
          <w:rtl/>
        </w:rPr>
        <w:t>عمليات البح</w:t>
      </w:r>
      <w:r w:rsidR="0088212A" w:rsidRPr="005639FB">
        <w:rPr>
          <w:rFonts w:hint="cs"/>
          <w:rtl/>
        </w:rPr>
        <w:t>ث</w:t>
      </w:r>
      <w:r w:rsidRPr="005639FB">
        <w:rPr>
          <w:rFonts w:hint="cs"/>
          <w:rtl/>
        </w:rPr>
        <w:t xml:space="preserve"> </w:t>
      </w:r>
      <w:r w:rsidR="0088212A" w:rsidRPr="005639FB">
        <w:rPr>
          <w:rFonts w:hint="cs"/>
          <w:rtl/>
        </w:rPr>
        <w:t xml:space="preserve">عبر </w:t>
      </w:r>
      <w:r w:rsidRPr="005639FB">
        <w:rPr>
          <w:rFonts w:hint="cs"/>
          <w:rtl/>
        </w:rPr>
        <w:t>تباد</w:t>
      </w:r>
      <w:r w:rsidR="0088212A" w:rsidRPr="005639FB">
        <w:rPr>
          <w:rFonts w:hint="cs"/>
          <w:rtl/>
        </w:rPr>
        <w:t xml:space="preserve">ل المعلومات عن توافر وثائق من </w:t>
      </w:r>
      <w:r w:rsidRPr="005639FB">
        <w:rPr>
          <w:rFonts w:hint="cs"/>
          <w:rtl/>
        </w:rPr>
        <w:t xml:space="preserve">منشورات </w:t>
      </w:r>
      <w:r w:rsidR="0088212A" w:rsidRPr="005639FB">
        <w:rPr>
          <w:rFonts w:hint="cs"/>
          <w:rtl/>
        </w:rPr>
        <w:t>البراءات الخاصة ب</w:t>
      </w:r>
      <w:r w:rsidR="00B8002D" w:rsidRPr="005639FB">
        <w:rPr>
          <w:rFonts w:hint="cs"/>
          <w:rtl/>
        </w:rPr>
        <w:t>كل مكتب</w:t>
      </w:r>
      <w:r w:rsidRPr="005639FB">
        <w:rPr>
          <w:rFonts w:hint="cs"/>
          <w:rtl/>
        </w:rPr>
        <w:t>.</w:t>
      </w:r>
    </w:p>
    <w:p w14:paraId="796BF42C" w14:textId="6F8AACB5" w:rsidR="00B8002D" w:rsidRPr="005639FB" w:rsidRDefault="00AA70FE" w:rsidP="00A513BF">
      <w:pPr>
        <w:pStyle w:val="NumberedParaAR"/>
        <w:ind w:left="1282" w:hanging="562"/>
        <w:rPr>
          <w:rtl/>
        </w:rPr>
      </w:pPr>
      <w:r w:rsidRPr="005639FB">
        <w:rPr>
          <w:rtl/>
        </w:rPr>
        <w:lastRenderedPageBreak/>
        <w:t xml:space="preserve">وأحاط الاجتماع علماً بمحتويات الوثيقة </w:t>
      </w:r>
      <w:r w:rsidRPr="005639FB">
        <w:t>PCT/MIA/24/5</w:t>
      </w:r>
      <w:r w:rsidRPr="005639FB">
        <w:rPr>
          <w:rtl/>
        </w:rPr>
        <w:t>.</w:t>
      </w:r>
    </w:p>
    <w:p w14:paraId="3D83331F" w14:textId="3EC72E0C" w:rsidR="00AA70FE" w:rsidRPr="005639FB" w:rsidRDefault="00AA70FE" w:rsidP="00A513BF">
      <w:pPr>
        <w:pStyle w:val="Heading1AR"/>
        <w:spacing w:after="240" w:line="360" w:lineRule="exact"/>
      </w:pPr>
      <w:r w:rsidRPr="005639FB">
        <w:rPr>
          <w:rtl/>
        </w:rPr>
        <w:t>البند 17: العمل المقبل</w:t>
      </w:r>
    </w:p>
    <w:p w14:paraId="6D4CFEE8" w14:textId="77777777" w:rsidR="00AA70FE" w:rsidRPr="005639FB" w:rsidRDefault="00AA70FE" w:rsidP="00A513BF">
      <w:pPr>
        <w:pStyle w:val="NumberedParaAR"/>
      </w:pPr>
      <w:r w:rsidRPr="005639FB">
        <w:rPr>
          <w:rtl/>
        </w:rPr>
        <w:t>أشار الاجتماع إلى أنه يعتزم عقد الدورة المقبلة في الفصل الأول من عام 2018، أي مباشرة بعد اجتماع الفريق الفرعي المعني بالجودة.</w:t>
      </w:r>
    </w:p>
    <w:p w14:paraId="3DDBF188" w14:textId="77777777" w:rsidR="00AA70FE" w:rsidRPr="005639FB" w:rsidRDefault="00AA70FE" w:rsidP="00A513BF">
      <w:pPr>
        <w:bidi/>
        <w:spacing w:after="240" w:line="360" w:lineRule="exact"/>
        <w:rPr>
          <w:rFonts w:ascii="Arabic Typesetting" w:hAnsi="Arabic Typesetting" w:cs="Arabic Typesetting"/>
          <w:sz w:val="36"/>
          <w:szCs w:val="36"/>
        </w:rPr>
      </w:pPr>
      <w:r w:rsidRPr="005639FB">
        <w:rPr>
          <w:rFonts w:ascii="Arabic Typesetting" w:hAnsi="Arabic Typesetting" w:cs="Arabic Typesetting"/>
          <w:sz w:val="36"/>
          <w:szCs w:val="36"/>
          <w:rtl/>
        </w:rPr>
        <w:t xml:space="preserve">[لم يُدرج في هذه الوثيقة المرفق الأول للوثيقة </w:t>
      </w:r>
      <w:r w:rsidRPr="005639FB">
        <w:rPr>
          <w:rFonts w:ascii="Arabic Typesetting" w:hAnsi="Arabic Typesetting" w:cs="Arabic Typesetting"/>
          <w:sz w:val="36"/>
          <w:szCs w:val="36"/>
        </w:rPr>
        <w:t>PCT/MIA/24/15</w:t>
      </w:r>
      <w:r w:rsidRPr="005639FB">
        <w:rPr>
          <w:rFonts w:ascii="Arabic Typesetting" w:hAnsi="Arabic Typesetting" w:cs="Arabic Typesetting"/>
          <w:sz w:val="36"/>
          <w:szCs w:val="36"/>
          <w:rtl/>
        </w:rPr>
        <w:t xml:space="preserve"> الذي يضم قائمة بالمشاركين]</w:t>
      </w:r>
    </w:p>
    <w:p w14:paraId="7A26D047" w14:textId="4202D3CD" w:rsidR="00AA70FE" w:rsidRPr="005639FB" w:rsidRDefault="00AA70FE" w:rsidP="00A513BF">
      <w:pPr>
        <w:pStyle w:val="EndofDocumentAR"/>
        <w:sectPr w:rsidR="00AA70FE" w:rsidRPr="005639FB" w:rsidSect="00725FE8">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5639FB">
        <w:rPr>
          <w:rtl/>
        </w:rPr>
        <w:t xml:space="preserve">[يلي ذلك المرفق الثاني (للوثيقة </w:t>
      </w:r>
      <w:r w:rsidRPr="005639FB">
        <w:t>PCT/MIA/24/15</w:t>
      </w:r>
      <w:r w:rsidR="00245E07" w:rsidRPr="005639FB">
        <w:rPr>
          <w:rFonts w:hint="cs"/>
          <w:rtl/>
        </w:rPr>
        <w:t>)]</w:t>
      </w:r>
    </w:p>
    <w:p w14:paraId="78496860" w14:textId="77777777" w:rsidR="009060D0" w:rsidRPr="005639FB" w:rsidRDefault="009060D0" w:rsidP="00A513BF">
      <w:pPr>
        <w:pStyle w:val="ONUME"/>
        <w:numPr>
          <w:ilvl w:val="0"/>
          <w:numId w:val="0"/>
        </w:numPr>
        <w:bidi/>
        <w:spacing w:after="240" w:line="360" w:lineRule="exact"/>
        <w:rPr>
          <w:rFonts w:ascii="Arabic Typesetting" w:hAnsi="Arabic Typesetting" w:cs="Arabic Typesetting"/>
          <w:sz w:val="36"/>
          <w:szCs w:val="36"/>
        </w:rPr>
      </w:pPr>
      <w:r w:rsidRPr="005639FB">
        <w:rPr>
          <w:rFonts w:ascii="Arabic Typesetting" w:hAnsi="Arabic Typesetting" w:cs="Arabic Typesetting"/>
          <w:sz w:val="36"/>
          <w:szCs w:val="36"/>
          <w:rtl/>
        </w:rPr>
        <w:lastRenderedPageBreak/>
        <w:t xml:space="preserve">المرفق الثاني (للوثيقة </w:t>
      </w:r>
      <w:r w:rsidRPr="005639FB">
        <w:rPr>
          <w:rFonts w:ascii="Arabic Typesetting" w:hAnsi="Arabic Typesetting" w:cs="Arabic Typesetting"/>
          <w:sz w:val="36"/>
          <w:szCs w:val="36"/>
        </w:rPr>
        <w:t>PCT/MIA/24/15</w:t>
      </w:r>
      <w:r w:rsidRPr="005639FB">
        <w:rPr>
          <w:rFonts w:ascii="Arabic Typesetting" w:hAnsi="Arabic Typesetting" w:cs="Arabic Typesetting"/>
          <w:sz w:val="36"/>
          <w:szCs w:val="36"/>
          <w:rtl/>
        </w:rPr>
        <w:t>)</w:t>
      </w:r>
    </w:p>
    <w:p w14:paraId="333612EA" w14:textId="77777777" w:rsidR="009060D0" w:rsidRPr="005639FB" w:rsidRDefault="009060D0" w:rsidP="00A513BF">
      <w:pPr>
        <w:pStyle w:val="ONUME"/>
        <w:numPr>
          <w:ilvl w:val="0"/>
          <w:numId w:val="0"/>
        </w:numPr>
        <w:bidi/>
        <w:spacing w:after="240" w:line="360" w:lineRule="exact"/>
        <w:rPr>
          <w:rFonts w:ascii="Arabic Typesetting" w:hAnsi="Arabic Typesetting" w:cs="Arabic Typesetting"/>
          <w:caps/>
          <w:sz w:val="40"/>
          <w:szCs w:val="40"/>
        </w:rPr>
      </w:pPr>
      <w:r w:rsidRPr="005639FB">
        <w:rPr>
          <w:rFonts w:ascii="Arabic Typesetting" w:hAnsi="Arabic Typesetting" w:cs="Arabic Typesetting" w:hint="cs"/>
          <w:sz w:val="40"/>
          <w:szCs w:val="40"/>
          <w:rtl/>
        </w:rPr>
        <w:t>ال</w:t>
      </w:r>
      <w:r w:rsidRPr="005639FB">
        <w:rPr>
          <w:rFonts w:ascii="Arabic Typesetting" w:hAnsi="Arabic Typesetting" w:cs="Arabic Typesetting"/>
          <w:sz w:val="40"/>
          <w:szCs w:val="40"/>
          <w:rtl/>
        </w:rPr>
        <w:t>فريق الفرعي المعني بالجودة التابع لاجتماع الإدارات الدولية العاملة في ظل معاهدة التعاون بشأن البراءات</w:t>
      </w:r>
      <w:r w:rsidRPr="005639FB">
        <w:rPr>
          <w:rFonts w:ascii="Arabic Typesetting" w:hAnsi="Arabic Typesetting" w:cs="Arabic Typesetting" w:hint="cs"/>
          <w:sz w:val="40"/>
          <w:szCs w:val="40"/>
          <w:rtl/>
          <w:lang w:val="fr-FR" w:bidi="ar-EG"/>
        </w:rPr>
        <w:t>،</w:t>
      </w:r>
      <w:r w:rsidRPr="005639FB">
        <w:rPr>
          <w:rFonts w:ascii="Arabic Typesetting" w:hAnsi="Arabic Typesetting" w:cs="Arabic Typesetting"/>
          <w:sz w:val="40"/>
          <w:szCs w:val="40"/>
          <w:rtl/>
        </w:rPr>
        <w:t xml:space="preserve"> الدورة غير الرسمية السابعة، ريكيافيك يومَي 6 و7 فبراير 2017</w:t>
      </w:r>
    </w:p>
    <w:p w14:paraId="3C80699C" w14:textId="77777777" w:rsidR="009060D0" w:rsidRPr="005639FB" w:rsidRDefault="009060D0" w:rsidP="00A513BF">
      <w:pPr>
        <w:pStyle w:val="ONUME"/>
        <w:numPr>
          <w:ilvl w:val="0"/>
          <w:numId w:val="0"/>
        </w:numPr>
        <w:bidi/>
        <w:spacing w:after="240" w:line="360" w:lineRule="exact"/>
        <w:rPr>
          <w:rFonts w:ascii="Arabic Typesetting" w:hAnsi="Arabic Typesetting" w:cs="Arabic Typesetting"/>
          <w:caps/>
          <w:sz w:val="40"/>
          <w:szCs w:val="40"/>
        </w:rPr>
      </w:pPr>
      <w:r w:rsidRPr="005639FB">
        <w:rPr>
          <w:rFonts w:ascii="Arabic Typesetting" w:hAnsi="Arabic Typesetting" w:cs="Arabic Typesetting"/>
          <w:caps/>
          <w:sz w:val="40"/>
          <w:szCs w:val="40"/>
          <w:rtl/>
        </w:rPr>
        <w:t>ملخص الرئيس</w:t>
      </w:r>
    </w:p>
    <w:p w14:paraId="25604DE8" w14:textId="77777777" w:rsidR="009060D0" w:rsidRPr="005639FB" w:rsidRDefault="009060D0" w:rsidP="00A513BF">
      <w:pPr>
        <w:pStyle w:val="Heading1AR"/>
        <w:spacing w:after="240" w:line="360" w:lineRule="exact"/>
        <w:rPr>
          <w:lang w:val="fr-FR"/>
        </w:rPr>
      </w:pPr>
      <w:r w:rsidRPr="005639FB">
        <w:rPr>
          <w:rtl/>
        </w:rPr>
        <w:t>افتتاح الدورة</w:t>
      </w:r>
    </w:p>
    <w:p w14:paraId="7A9974A6" w14:textId="6EC59F52" w:rsidR="009060D0" w:rsidRPr="005639FB" w:rsidRDefault="009060D0" w:rsidP="006456D5">
      <w:pPr>
        <w:pStyle w:val="NumberedParaAR"/>
        <w:numPr>
          <w:ilvl w:val="0"/>
          <w:numId w:val="7"/>
        </w:numPr>
      </w:pPr>
      <w:r w:rsidRPr="005639FB">
        <w:rPr>
          <w:rFonts w:hint="cs"/>
          <w:rtl/>
        </w:rPr>
        <w:t>رحّب</w:t>
      </w:r>
      <w:r w:rsidRPr="005639FB">
        <w:rPr>
          <w:rFonts w:hint="cs"/>
          <w:rtl/>
          <w:lang w:bidi="ar-LB"/>
        </w:rPr>
        <w:t>ت</w:t>
      </w:r>
      <w:r w:rsidRPr="005639FB">
        <w:rPr>
          <w:rFonts w:hint="cs"/>
          <w:rtl/>
        </w:rPr>
        <w:t xml:space="preserve"> مديرة </w:t>
      </w:r>
      <w:r w:rsidR="006456D5" w:rsidRPr="005639FB">
        <w:rPr>
          <w:rFonts w:hint="cs"/>
          <w:rtl/>
        </w:rPr>
        <w:t xml:space="preserve">معهد </w:t>
      </w:r>
      <w:r w:rsidR="006456D5" w:rsidRPr="005639FB">
        <w:rPr>
          <w:rtl/>
        </w:rPr>
        <w:t>بلدان أوروبا الشمالية للبراءات</w:t>
      </w:r>
      <w:r w:rsidRPr="005639FB">
        <w:rPr>
          <w:rFonts w:hint="cs"/>
          <w:rtl/>
        </w:rPr>
        <w:t xml:space="preserve">، السيدة لون </w:t>
      </w:r>
      <w:proofErr w:type="spellStart"/>
      <w:r w:rsidRPr="005639FB">
        <w:rPr>
          <w:rFonts w:hint="cs"/>
          <w:rtl/>
        </w:rPr>
        <w:t>هارتونغ</w:t>
      </w:r>
      <w:proofErr w:type="spellEnd"/>
      <w:r w:rsidRPr="005639FB">
        <w:rPr>
          <w:rFonts w:hint="cs"/>
          <w:rtl/>
          <w:lang w:bidi="ar-LB"/>
        </w:rPr>
        <w:t>،</w:t>
      </w:r>
      <w:r w:rsidRPr="005639FB">
        <w:rPr>
          <w:rFonts w:hint="cs"/>
          <w:rtl/>
        </w:rPr>
        <w:t xml:space="preserve"> بالمشاركين في </w:t>
      </w:r>
      <w:proofErr w:type="spellStart"/>
      <w:r w:rsidRPr="005639FB">
        <w:rPr>
          <w:rFonts w:hint="cs"/>
          <w:rtl/>
        </w:rPr>
        <w:t>آيسلندا</w:t>
      </w:r>
      <w:proofErr w:type="spellEnd"/>
      <w:r w:rsidRPr="005639FB">
        <w:rPr>
          <w:rFonts w:hint="cs"/>
          <w:rtl/>
        </w:rPr>
        <w:t xml:space="preserve"> وقدمت عرضاً عرّفت فيه بالمعهد. وأشارت إلى أن فاحصي البراءات العاملين في المعهد تولوا إلى جانب ا</w:t>
      </w:r>
      <w:r w:rsidRPr="005639FB">
        <w:rPr>
          <w:rtl/>
        </w:rPr>
        <w:t>لبحث والفحص التمهيدي الدوليين بناء على معاهدة التعاون بشأن البراءات</w:t>
      </w:r>
      <w:r w:rsidRPr="005639FB">
        <w:rPr>
          <w:rFonts w:hint="cs"/>
          <w:rtl/>
          <w:lang w:bidi="ar-LB"/>
        </w:rPr>
        <w:t xml:space="preserve">، </w:t>
      </w:r>
      <w:r w:rsidRPr="005639FB">
        <w:rPr>
          <w:rtl/>
        </w:rPr>
        <w:t xml:space="preserve">عمليات </w:t>
      </w:r>
      <w:r w:rsidRPr="005639FB">
        <w:rPr>
          <w:rFonts w:hint="cs"/>
          <w:rtl/>
        </w:rPr>
        <w:t>مختلفة من ال</w:t>
      </w:r>
      <w:r w:rsidRPr="005639FB">
        <w:rPr>
          <w:rtl/>
        </w:rPr>
        <w:t xml:space="preserve">بحث </w:t>
      </w:r>
      <w:r w:rsidRPr="005639FB">
        <w:rPr>
          <w:rFonts w:hint="cs"/>
          <w:rtl/>
        </w:rPr>
        <w:t xml:space="preserve">التجاري </w:t>
      </w:r>
      <w:r w:rsidRPr="005639FB">
        <w:rPr>
          <w:rtl/>
        </w:rPr>
        <w:t>في حالة التقنية الصناعية السابقة</w:t>
      </w:r>
      <w:r w:rsidRPr="005639FB">
        <w:rPr>
          <w:rFonts w:hint="cs"/>
          <w:rtl/>
        </w:rPr>
        <w:t xml:space="preserve"> تلبية لطلبات العملاء من جميع أنحاء العالم. </w:t>
      </w:r>
    </w:p>
    <w:p w14:paraId="6C1D0D6C" w14:textId="348320EC" w:rsidR="009060D0" w:rsidRPr="005639FB" w:rsidRDefault="009060D0" w:rsidP="006456D5">
      <w:pPr>
        <w:pStyle w:val="NumberedParaAR"/>
        <w:numPr>
          <w:ilvl w:val="0"/>
          <w:numId w:val="7"/>
        </w:numPr>
      </w:pPr>
      <w:r w:rsidRPr="005639FB">
        <w:rPr>
          <w:rFonts w:hint="cs"/>
          <w:rtl/>
        </w:rPr>
        <w:t xml:space="preserve">وأعملت الأمانة الفريق الفرعي بمذكرة المدير العام </w:t>
      </w:r>
      <w:proofErr w:type="spellStart"/>
      <w:r w:rsidRPr="005639FB">
        <w:rPr>
          <w:rFonts w:hint="cs"/>
          <w:rtl/>
        </w:rPr>
        <w:t>للويبو</w:t>
      </w:r>
      <w:proofErr w:type="spellEnd"/>
      <w:r w:rsidRPr="005639FB">
        <w:rPr>
          <w:rFonts w:hint="cs"/>
          <w:rtl/>
        </w:rPr>
        <w:t xml:space="preserve"> </w:t>
      </w:r>
      <w:proofErr w:type="spellStart"/>
      <w:r w:rsidRPr="005639FB">
        <w:rPr>
          <w:rFonts w:hint="cs"/>
          <w:rtl/>
        </w:rPr>
        <w:t>المعنونة</w:t>
      </w:r>
      <w:proofErr w:type="spellEnd"/>
      <w:r w:rsidRPr="005639FB">
        <w:rPr>
          <w:rFonts w:hint="cs"/>
          <w:rtl/>
        </w:rPr>
        <w:t xml:space="preserve"> "</w:t>
      </w:r>
      <w:r w:rsidRPr="005639FB">
        <w:rPr>
          <w:rtl/>
        </w:rPr>
        <w:t xml:space="preserve"> نظام معاهدة التعاون بشأن البراءات</w:t>
      </w:r>
      <w:r w:rsidRPr="005639FB">
        <w:rPr>
          <w:rFonts w:hint="cs"/>
          <w:rtl/>
        </w:rPr>
        <w:t xml:space="preserve"> </w:t>
      </w:r>
      <w:r w:rsidRPr="005639FB">
        <w:rPr>
          <w:rtl/>
        </w:rPr>
        <w:t>–</w:t>
      </w:r>
      <w:r w:rsidRPr="005639FB">
        <w:rPr>
          <w:rFonts w:hint="cs"/>
          <w:rtl/>
        </w:rPr>
        <w:t xml:space="preserve"> استعراض عام والتوجهات والأولويات المستقبلية المحتملة" التي نُشرت بالتزامن مع نشر طلب البراءة الدولي الحامل للعدد 3</w:t>
      </w:r>
      <w:r w:rsidR="009D6F94" w:rsidRPr="005639FB">
        <w:rPr>
          <w:rFonts w:hint="cs"/>
          <w:rtl/>
        </w:rPr>
        <w:t xml:space="preserve"> </w:t>
      </w:r>
      <w:r w:rsidRPr="005639FB">
        <w:rPr>
          <w:rFonts w:hint="cs"/>
          <w:rtl/>
        </w:rPr>
        <w:t>ملايين في</w:t>
      </w:r>
      <w:r w:rsidR="006456D5" w:rsidRPr="005639FB">
        <w:rPr>
          <w:rFonts w:hint="eastAsia"/>
          <w:rtl/>
        </w:rPr>
        <w:t> </w:t>
      </w:r>
      <w:r w:rsidRPr="005639FB">
        <w:rPr>
          <w:rFonts w:hint="cs"/>
          <w:rtl/>
        </w:rPr>
        <w:t xml:space="preserve">2 فبراير 2017. وتشير المذكرة إلى أن السبيل الرئيسي لمواجهة التحديات المستقبلية في نظام معاهدة التعاون بشأن البراءات هو التشديد على عنصر "التعاون" التي تتضمنه المعاهدة. ويقوم ذلك بشكل أساسي على تغيير السلوك وطرق العمل، أكثر منه على الإطار القانوني. وتتعلق ثلاثة من التوجهات الخمسة المقترحة للمستقبل على وجه الخصوص بالجودة التي يستند إليها نظام معاهدة التعاون بشأن البراءات. </w:t>
      </w:r>
    </w:p>
    <w:p w14:paraId="3198D183" w14:textId="7E67A744" w:rsidR="009060D0" w:rsidRPr="005639FB" w:rsidRDefault="009060D0" w:rsidP="006456D5">
      <w:pPr>
        <w:pStyle w:val="NumberedParaAR"/>
        <w:numPr>
          <w:ilvl w:val="0"/>
          <w:numId w:val="7"/>
        </w:numPr>
      </w:pPr>
      <w:r w:rsidRPr="005639FB">
        <w:rPr>
          <w:rFonts w:hint="cs"/>
          <w:rtl/>
        </w:rPr>
        <w:t>وترأس الجلسة نائب مديرة</w:t>
      </w:r>
      <w:r w:rsidRPr="005639FB">
        <w:rPr>
          <w:rtl/>
        </w:rPr>
        <w:t xml:space="preserve"> </w:t>
      </w:r>
      <w:r w:rsidR="006456D5" w:rsidRPr="005639FB">
        <w:rPr>
          <w:rFonts w:hint="cs"/>
          <w:rtl/>
        </w:rPr>
        <w:t xml:space="preserve">معهد </w:t>
      </w:r>
      <w:r w:rsidR="006456D5" w:rsidRPr="005639FB">
        <w:rPr>
          <w:rtl/>
        </w:rPr>
        <w:t>بلدان أوروبا الشمالية للبراءات</w:t>
      </w:r>
      <w:r w:rsidRPr="005639FB">
        <w:rPr>
          <w:rFonts w:hint="cs"/>
          <w:rtl/>
        </w:rPr>
        <w:t xml:space="preserve">، السيد </w:t>
      </w:r>
      <w:proofErr w:type="spellStart"/>
      <w:r w:rsidRPr="005639FB">
        <w:rPr>
          <w:rFonts w:hint="cs"/>
          <w:rtl/>
        </w:rPr>
        <w:t>غريتار</w:t>
      </w:r>
      <w:proofErr w:type="spellEnd"/>
      <w:r w:rsidRPr="005639FB">
        <w:rPr>
          <w:rFonts w:hint="cs"/>
          <w:rtl/>
        </w:rPr>
        <w:t xml:space="preserve"> انجي </w:t>
      </w:r>
      <w:proofErr w:type="spellStart"/>
      <w:r w:rsidRPr="005639FB">
        <w:rPr>
          <w:rFonts w:hint="cs"/>
          <w:rtl/>
        </w:rPr>
        <w:t>غريتارسون</w:t>
      </w:r>
      <w:proofErr w:type="spellEnd"/>
      <w:r w:rsidRPr="005639FB">
        <w:rPr>
          <w:rFonts w:hint="cs"/>
          <w:rtl/>
        </w:rPr>
        <w:t xml:space="preserve">. </w:t>
      </w:r>
    </w:p>
    <w:p w14:paraId="4EAA4A02" w14:textId="77777777" w:rsidR="009060D0" w:rsidRPr="005639FB" w:rsidRDefault="009060D0" w:rsidP="00A513BF">
      <w:pPr>
        <w:pStyle w:val="Heading1AR"/>
        <w:spacing w:after="240" w:line="360" w:lineRule="exact"/>
      </w:pPr>
      <w:r w:rsidRPr="005639FB">
        <w:rPr>
          <w:rFonts w:hint="cs"/>
          <w:rtl/>
        </w:rPr>
        <w:t>1.</w:t>
      </w:r>
      <w:r w:rsidRPr="005639FB">
        <w:tab/>
      </w:r>
      <w:r w:rsidRPr="005639FB">
        <w:rPr>
          <w:rFonts w:hint="cs"/>
          <w:rtl/>
        </w:rPr>
        <w:t>أنظمة إدارة الجودة</w:t>
      </w:r>
    </w:p>
    <w:p w14:paraId="75E60A23" w14:textId="33A75ACD" w:rsidR="009060D0" w:rsidRPr="005639FB" w:rsidRDefault="009060D0" w:rsidP="00A513BF">
      <w:pPr>
        <w:pStyle w:val="NormalParaAR"/>
        <w:rPr>
          <w:sz w:val="40"/>
          <w:szCs w:val="40"/>
          <w:rtl/>
        </w:rPr>
      </w:pPr>
      <w:r w:rsidRPr="005639FB">
        <w:rPr>
          <w:sz w:val="40"/>
          <w:szCs w:val="40"/>
          <w:rtl/>
        </w:rPr>
        <w:t>(ألف)</w:t>
      </w:r>
      <w:r w:rsidR="00B3620E" w:rsidRPr="005639FB">
        <w:rPr>
          <w:rFonts w:hint="cs"/>
          <w:sz w:val="40"/>
          <w:szCs w:val="40"/>
          <w:rtl/>
        </w:rPr>
        <w:tab/>
      </w:r>
      <w:r w:rsidRPr="005639FB">
        <w:rPr>
          <w:sz w:val="40"/>
          <w:szCs w:val="40"/>
          <w:rtl/>
        </w:rPr>
        <w:t xml:space="preserve"> تقارير عن أنظمة إدارة الجودة وفقاً للفصل21 من المبادئ التوجيهية للبحث والفحص بناء على معاهدة التعاون بشأن</w:t>
      </w:r>
      <w:r w:rsidR="00B3620E" w:rsidRPr="005639FB">
        <w:rPr>
          <w:rFonts w:hint="cs"/>
          <w:sz w:val="40"/>
          <w:szCs w:val="40"/>
          <w:rtl/>
        </w:rPr>
        <w:t> </w:t>
      </w:r>
      <w:r w:rsidRPr="005639FB">
        <w:rPr>
          <w:sz w:val="40"/>
          <w:szCs w:val="40"/>
          <w:rtl/>
        </w:rPr>
        <w:t>البراءات</w:t>
      </w:r>
      <w:r w:rsidR="00B3620E" w:rsidRPr="005639FB">
        <w:rPr>
          <w:rFonts w:hint="cs"/>
          <w:sz w:val="40"/>
          <w:szCs w:val="40"/>
          <w:rtl/>
        </w:rPr>
        <w:t>.</w:t>
      </w:r>
    </w:p>
    <w:p w14:paraId="00BA0381" w14:textId="6988DC6D" w:rsidR="009060D0" w:rsidRPr="005639FB" w:rsidRDefault="009060D0" w:rsidP="00A513BF">
      <w:pPr>
        <w:pStyle w:val="NormalParaAR"/>
        <w:rPr>
          <w:rFonts w:eastAsia="SimSun"/>
          <w:caps/>
          <w:sz w:val="40"/>
          <w:szCs w:val="40"/>
          <w:lang w:bidi="ar-LB"/>
        </w:rPr>
      </w:pPr>
      <w:r w:rsidRPr="005639FB">
        <w:rPr>
          <w:sz w:val="40"/>
          <w:szCs w:val="40"/>
          <w:rtl/>
        </w:rPr>
        <w:t>(ب</w:t>
      </w:r>
      <w:r w:rsidR="006456D5" w:rsidRPr="005639FB">
        <w:rPr>
          <w:rFonts w:hint="cs"/>
          <w:sz w:val="40"/>
          <w:szCs w:val="40"/>
          <w:rtl/>
        </w:rPr>
        <w:t>اء</w:t>
      </w:r>
      <w:r w:rsidRPr="005639FB">
        <w:rPr>
          <w:sz w:val="40"/>
          <w:szCs w:val="40"/>
          <w:rtl/>
        </w:rPr>
        <w:t>)</w:t>
      </w:r>
      <w:r w:rsidRPr="005639FB">
        <w:rPr>
          <w:rFonts w:eastAsia="SimSun"/>
          <w:caps/>
          <w:sz w:val="40"/>
          <w:szCs w:val="40"/>
        </w:rPr>
        <w:tab/>
      </w:r>
      <w:r w:rsidRPr="005639FB">
        <w:rPr>
          <w:rFonts w:eastAsia="SimSun"/>
          <w:caps/>
          <w:sz w:val="40"/>
          <w:szCs w:val="40"/>
          <w:rtl/>
          <w:lang w:bidi="ar-LB"/>
        </w:rPr>
        <w:t xml:space="preserve">نظام إدارة الجودة في المكتب الكندي للملكية الفكرية </w:t>
      </w:r>
    </w:p>
    <w:p w14:paraId="7B25228F" w14:textId="77777777" w:rsidR="009060D0" w:rsidRPr="005639FB" w:rsidRDefault="009060D0" w:rsidP="00A513BF">
      <w:pPr>
        <w:pStyle w:val="NumberedParaAR"/>
        <w:numPr>
          <w:ilvl w:val="0"/>
          <w:numId w:val="7"/>
        </w:numPr>
      </w:pPr>
      <w:r w:rsidRPr="005639FB">
        <w:rPr>
          <w:rFonts w:hint="cs"/>
          <w:rtl/>
        </w:rPr>
        <w:t>أعربت الإدارات عن ارتياحها لنظام الإبلاغ الحالي عن أنظمة إدارة الجودة وخدمات الجمع والتلخيص التي يقدمها المكتب الدولي. ورأت الإدارات أنه من المفيد دراسة تقارير الإدارات الأخرى والنظر فيها عند تنفيذ أنظمتها الخاصة بإدارة الجودة. ورحبت الإدارات أيضاً بالعرض الذي قدمه</w:t>
      </w:r>
      <w:r w:rsidRPr="005639FB">
        <w:rPr>
          <w:rtl/>
        </w:rPr>
        <w:t xml:space="preserve"> المكتب الكندي للملكية الفكرية</w:t>
      </w:r>
      <w:r w:rsidRPr="005639FB">
        <w:rPr>
          <w:rFonts w:hint="cs"/>
          <w:rtl/>
        </w:rPr>
        <w:t xml:space="preserve"> ورأت فيه مثلاً ملموساً على تنفيذ إدارة الجودة في إدارة وطنية. </w:t>
      </w:r>
    </w:p>
    <w:p w14:paraId="5AABB8B7" w14:textId="0F8DC1CB" w:rsidR="009060D0" w:rsidRPr="005639FB" w:rsidRDefault="009060D0" w:rsidP="00A513BF">
      <w:pPr>
        <w:pStyle w:val="NumberedParaAR"/>
        <w:numPr>
          <w:ilvl w:val="0"/>
          <w:numId w:val="7"/>
        </w:numPr>
      </w:pPr>
      <w:r w:rsidRPr="005639FB">
        <w:rPr>
          <w:rFonts w:hint="cs"/>
          <w:rtl/>
        </w:rPr>
        <w:t>واقترحت إحدى الإدارات من أجل تيسير قراءة ال</w:t>
      </w:r>
      <w:r w:rsidRPr="005639FB">
        <w:rPr>
          <w:rtl/>
        </w:rPr>
        <w:t xml:space="preserve">تقارير عن أنظمة إدارة الجودة </w:t>
      </w:r>
      <w:r w:rsidRPr="005639FB">
        <w:rPr>
          <w:rFonts w:hint="cs"/>
          <w:rtl/>
        </w:rPr>
        <w:t>أن تُدرج الإدارات ملخصاً في مقدمة التقرير عن جميع التغييرات التي طرأت على نظامها الخاص بإدارة الجودة منذ التقرير السابق ومسائل أخرى ذات أهمية</w:t>
      </w:r>
      <w:r w:rsidR="00B3620E" w:rsidRPr="005639FB">
        <w:rPr>
          <w:rFonts w:hint="eastAsia"/>
          <w:rtl/>
        </w:rPr>
        <w:t> </w:t>
      </w:r>
      <w:r w:rsidRPr="005639FB">
        <w:rPr>
          <w:rFonts w:hint="cs"/>
          <w:rtl/>
        </w:rPr>
        <w:t xml:space="preserve">مشابهة. </w:t>
      </w:r>
    </w:p>
    <w:p w14:paraId="08DA37F3" w14:textId="4C504044" w:rsidR="009060D0" w:rsidRPr="005639FB" w:rsidRDefault="009060D0" w:rsidP="00A513BF">
      <w:pPr>
        <w:pStyle w:val="NumberedParaAR"/>
        <w:numPr>
          <w:ilvl w:val="0"/>
          <w:numId w:val="7"/>
        </w:numPr>
      </w:pPr>
      <w:r w:rsidRPr="005639FB">
        <w:rPr>
          <w:rFonts w:hint="cs"/>
          <w:rtl/>
        </w:rPr>
        <w:t>ونوهت عدة إدارات بالتقدم المحرز في الانتقال من المعيار</w:t>
      </w:r>
      <w:r w:rsidRPr="005639FB">
        <w:t>ISO 9001:2008</w:t>
      </w:r>
      <w:r w:rsidR="009D6F94" w:rsidRPr="005639FB">
        <w:rPr>
          <w:rtl/>
        </w:rPr>
        <w:t xml:space="preserve"> </w:t>
      </w:r>
      <w:r w:rsidRPr="005639FB">
        <w:rPr>
          <w:rFonts w:hint="cs"/>
          <w:rtl/>
        </w:rPr>
        <w:t xml:space="preserve">إلى المعيار </w:t>
      </w:r>
      <w:r w:rsidRPr="005639FB">
        <w:t>ISO 9001:2015</w:t>
      </w:r>
      <w:r w:rsidRPr="005639FB">
        <w:rPr>
          <w:rFonts w:hint="cs"/>
          <w:rtl/>
        </w:rPr>
        <w:t xml:space="preserve">. وشرحت إحدى الإدارات فائدة تمثيل العمليات في مخططات بيانية مقارنة بنصوص، إذ أنها استخدمت مخططات بيانية انسيابية في التحضير للحصول على الشهادات المطلوبة للانتقال من المعيار الأول إلى المعيار الثاني، كما في تطوير المسار </w:t>
      </w:r>
      <w:r w:rsidRPr="005639FB">
        <w:rPr>
          <w:rFonts w:hint="cs"/>
          <w:rtl/>
        </w:rPr>
        <w:lastRenderedPageBreak/>
        <w:t xml:space="preserve">بشكل عام. وقد تكون المخططات البيانية للعمليات مفيدة بالتالي في </w:t>
      </w:r>
      <w:r w:rsidRPr="005639FB">
        <w:rPr>
          <w:rtl/>
        </w:rPr>
        <w:t>إعداد التقارير المقبلة بشأن أنظمة إدارة الجودة</w:t>
      </w:r>
      <w:r w:rsidRPr="005639FB">
        <w:rPr>
          <w:rFonts w:hint="cs"/>
          <w:rtl/>
        </w:rPr>
        <w:t xml:space="preserve">، شرط أن تُعرض هذه التقارير بشكل يتيح مقارنات مؤثرة. وقبل الفريق الفرعي عرض </w:t>
      </w:r>
      <w:r w:rsidRPr="005639FB">
        <w:rPr>
          <w:rtl/>
        </w:rPr>
        <w:t>المكتب السويدي للبراءات والتسجيل</w:t>
      </w:r>
      <w:r w:rsidRPr="005639FB">
        <w:rPr>
          <w:rFonts w:hint="cs"/>
          <w:rtl/>
        </w:rPr>
        <w:t xml:space="preserve"> بتولي قيادة المناقشات عبر منتدى الكتروني ليستطلع كيف تيسّر المخططات البيانية للمسار تقديم التقارير عن نظم إدارة الجودة، والبدء بدعوة الإدارات إلى تبادل مخططاتها البيانية مع الإدارات الأخرى.</w:t>
      </w:r>
      <w:r w:rsidR="009D6F94" w:rsidRPr="005639FB">
        <w:rPr>
          <w:rFonts w:hint="cs"/>
          <w:rtl/>
        </w:rPr>
        <w:t xml:space="preserve"> </w:t>
      </w:r>
    </w:p>
    <w:p w14:paraId="36A1153B" w14:textId="77777777" w:rsidR="009060D0" w:rsidRPr="005639FB" w:rsidRDefault="009060D0" w:rsidP="00A513BF">
      <w:pPr>
        <w:pStyle w:val="NumberedParaAR"/>
        <w:numPr>
          <w:ilvl w:val="0"/>
          <w:numId w:val="7"/>
        </w:numPr>
      </w:pPr>
      <w:r w:rsidRPr="005639FB">
        <w:rPr>
          <w:rFonts w:hint="cs"/>
          <w:rtl/>
        </w:rPr>
        <w:t xml:space="preserve">وأفادت إحدى الإدارات بأن الغرض من نظام إدارة الجودة الذي تتبعه هو دعم تعزيز الابتكار وضمان حسن أداء العمل المتصل بالبحث والفحص. وشدّدت على أهمية الموضوعية والحيادية في استعراض أنظمة إدارة الجودة وأشارت إلى أنها أعدّت في عام 2016 إرشادات بشأن الفحص ومعلومات عن الجودة. </w:t>
      </w:r>
    </w:p>
    <w:p w14:paraId="5CB85BDD" w14:textId="77777777" w:rsidR="009060D0" w:rsidRPr="005639FB" w:rsidRDefault="009060D0" w:rsidP="00A513BF">
      <w:pPr>
        <w:pStyle w:val="NumberedParaAR"/>
        <w:numPr>
          <w:ilvl w:val="0"/>
          <w:numId w:val="7"/>
        </w:numPr>
        <w:ind w:left="566"/>
      </w:pPr>
      <w:r w:rsidRPr="005639FB">
        <w:rPr>
          <w:rFonts w:hint="cs"/>
          <w:rtl/>
        </w:rPr>
        <w:t xml:space="preserve">وأوصى الفريق الفرعي بما يلي: </w:t>
      </w:r>
    </w:p>
    <w:p w14:paraId="27A9088D" w14:textId="4BAB40B9" w:rsidR="009060D0" w:rsidRPr="005639FB" w:rsidRDefault="009060D0" w:rsidP="00A513BF">
      <w:pPr>
        <w:pStyle w:val="NormalParaAR"/>
        <w:ind w:left="1133"/>
        <w:rPr>
          <w:rtl/>
        </w:rPr>
      </w:pPr>
      <w:r w:rsidRPr="005639FB">
        <w:rPr>
          <w:rFonts w:hint="cs"/>
          <w:rtl/>
        </w:rPr>
        <w:t>(أ)</w:t>
      </w:r>
      <w:r w:rsidR="00B3620E" w:rsidRPr="005639FB">
        <w:rPr>
          <w:rtl/>
        </w:rPr>
        <w:tab/>
      </w:r>
      <w:r w:rsidRPr="005639FB">
        <w:rPr>
          <w:rFonts w:hint="cs"/>
          <w:rtl/>
        </w:rPr>
        <w:t xml:space="preserve">مواصلة تقديم التقارير بشأن </w:t>
      </w:r>
      <w:r w:rsidRPr="005639FB">
        <w:rPr>
          <w:rFonts w:hint="cs"/>
          <w:rtl/>
          <w:lang w:bidi="ar-LB"/>
        </w:rPr>
        <w:t xml:space="preserve">أنظمة </w:t>
      </w:r>
      <w:r w:rsidRPr="005639FB">
        <w:rPr>
          <w:rFonts w:hint="cs"/>
          <w:rtl/>
        </w:rPr>
        <w:t xml:space="preserve">إدارة الجودة وفق آلية تقديم التقارير، وعرض التغييرات التي طرأت منذ تقديم التقرير السابق، كما هو مقترح في الفقرة 5 أعلاه؛ </w:t>
      </w:r>
    </w:p>
    <w:p w14:paraId="1AB9C5D8" w14:textId="179DD629" w:rsidR="009060D0" w:rsidRPr="005639FB" w:rsidRDefault="009060D0" w:rsidP="00A513BF">
      <w:pPr>
        <w:pStyle w:val="NormalParaAR"/>
        <w:ind w:left="1133"/>
        <w:rPr>
          <w:rtl/>
        </w:rPr>
      </w:pPr>
      <w:r w:rsidRPr="005639FB">
        <w:rPr>
          <w:rFonts w:hint="cs"/>
          <w:rtl/>
        </w:rPr>
        <w:t>(ب)</w:t>
      </w:r>
      <w:r w:rsidRPr="005639FB">
        <w:rPr>
          <w:rFonts w:hint="cs"/>
          <w:rtl/>
        </w:rPr>
        <w:tab/>
        <w:t>أن تقدم إدارات أخرى عرضاً عاماً لأنظمتها الخاصة بإدارة الجودة خلال الاجتماعات المقبلة للفريق</w:t>
      </w:r>
      <w:r w:rsidR="00B3620E" w:rsidRPr="005639FB">
        <w:rPr>
          <w:rFonts w:hint="eastAsia"/>
          <w:rtl/>
        </w:rPr>
        <w:t> </w:t>
      </w:r>
      <w:r w:rsidRPr="005639FB">
        <w:rPr>
          <w:rFonts w:hint="cs"/>
          <w:rtl/>
        </w:rPr>
        <w:t xml:space="preserve">الفرعي؛ </w:t>
      </w:r>
    </w:p>
    <w:p w14:paraId="63E7A0EB" w14:textId="133D623B" w:rsidR="009060D0" w:rsidRPr="005639FB" w:rsidRDefault="009060D0" w:rsidP="00A513BF">
      <w:pPr>
        <w:pStyle w:val="NormalParaAR"/>
        <w:ind w:left="1133"/>
        <w:rPr>
          <w:rtl/>
        </w:rPr>
      </w:pPr>
      <w:r w:rsidRPr="005639FB">
        <w:rPr>
          <w:rFonts w:hint="cs"/>
          <w:rtl/>
        </w:rPr>
        <w:t>(ج)</w:t>
      </w:r>
      <w:r w:rsidRPr="005639FB">
        <w:rPr>
          <w:rFonts w:hint="cs"/>
          <w:rtl/>
        </w:rPr>
        <w:tab/>
        <w:t xml:space="preserve">أن تقدم الإدارات الراغبة في المشاركة أمثلة ملائمة عن المخططات البيانية للمسار التي تستخدمها في إجراءات استعراض الجودة على المنتدى </w:t>
      </w:r>
      <w:r w:rsidR="007A065F" w:rsidRPr="005639FB">
        <w:rPr>
          <w:rFonts w:hint="cs"/>
          <w:rtl/>
        </w:rPr>
        <w:t>الإلكتروني</w:t>
      </w:r>
      <w:r w:rsidR="005639FB" w:rsidRPr="005639FB">
        <w:rPr>
          <w:rFonts w:hint="cs"/>
          <w:rtl/>
        </w:rPr>
        <w:t xml:space="preserve"> </w:t>
      </w:r>
      <w:r w:rsidRPr="005639FB">
        <w:rPr>
          <w:rFonts w:hint="cs"/>
          <w:rtl/>
        </w:rPr>
        <w:t xml:space="preserve">للفريق الفرعي، بحيث يتسنى استطلاع كيفية مساهمتها في تحسين تقديم التقارير عن </w:t>
      </w:r>
      <w:r w:rsidRPr="005639FB">
        <w:rPr>
          <w:rFonts w:hint="cs"/>
          <w:rtl/>
          <w:lang w:bidi="ar-LB"/>
        </w:rPr>
        <w:t xml:space="preserve">أنظمة </w:t>
      </w:r>
      <w:r w:rsidRPr="005639FB">
        <w:rPr>
          <w:rFonts w:hint="cs"/>
          <w:rtl/>
        </w:rPr>
        <w:t xml:space="preserve">إدارة الجودة، كما تبيّن الفقرة 6 أعلاه. </w:t>
      </w:r>
    </w:p>
    <w:p w14:paraId="48155314" w14:textId="71E92EED" w:rsidR="009060D0" w:rsidRPr="005639FB" w:rsidRDefault="009060D0" w:rsidP="00EB775B">
      <w:pPr>
        <w:pStyle w:val="NormalParaAR"/>
        <w:ind w:left="-1"/>
        <w:rPr>
          <w:sz w:val="40"/>
          <w:szCs w:val="40"/>
          <w:rtl/>
          <w:lang w:bidi="ar-LB"/>
        </w:rPr>
      </w:pPr>
      <w:r w:rsidRPr="005639FB">
        <w:rPr>
          <w:rFonts w:hint="cs"/>
          <w:sz w:val="40"/>
          <w:szCs w:val="40"/>
          <w:rtl/>
        </w:rPr>
        <w:t>(ج</w:t>
      </w:r>
      <w:r w:rsidR="00B3620E" w:rsidRPr="005639FB">
        <w:rPr>
          <w:rFonts w:hint="cs"/>
          <w:sz w:val="40"/>
          <w:szCs w:val="40"/>
          <w:rtl/>
        </w:rPr>
        <w:t>يم</w:t>
      </w:r>
      <w:r w:rsidRPr="005639FB">
        <w:rPr>
          <w:rFonts w:hint="cs"/>
          <w:sz w:val="40"/>
          <w:szCs w:val="40"/>
          <w:rtl/>
        </w:rPr>
        <w:t>)</w:t>
      </w:r>
      <w:r w:rsidR="00B3620E" w:rsidRPr="005639FB">
        <w:rPr>
          <w:sz w:val="40"/>
          <w:szCs w:val="40"/>
          <w:rtl/>
        </w:rPr>
        <w:tab/>
      </w:r>
      <w:r w:rsidRPr="005639FB">
        <w:rPr>
          <w:rFonts w:hint="cs"/>
          <w:sz w:val="40"/>
          <w:szCs w:val="40"/>
          <w:rtl/>
        </w:rPr>
        <w:t xml:space="preserve">مراجعة أنظمة إدارة الجودة </w:t>
      </w:r>
      <w:r w:rsidRPr="005639FB">
        <w:rPr>
          <w:sz w:val="40"/>
          <w:szCs w:val="40"/>
          <w:rtl/>
        </w:rPr>
        <w:t>التابعة للإدارات الدولية</w:t>
      </w:r>
    </w:p>
    <w:p w14:paraId="7520FBD5" w14:textId="677489E6" w:rsidR="009060D0" w:rsidRPr="005639FB" w:rsidRDefault="009060D0" w:rsidP="00F438EF">
      <w:pPr>
        <w:pStyle w:val="NumberedParaAR"/>
        <w:numPr>
          <w:ilvl w:val="0"/>
          <w:numId w:val="7"/>
        </w:numPr>
      </w:pPr>
      <w:r w:rsidRPr="005639FB">
        <w:rPr>
          <w:rFonts w:hint="cs"/>
          <w:rtl/>
        </w:rPr>
        <w:t>أيّدت الإدارات فكرة إجراء استعراض الأقران لأنظمة إدارة الجودة بين المكاتب وقالت إنها تتطلع إلى الاستماع لتعليقات الإدارات الأربع التي تشارك في الدراسة التجريبية خلال هذا الاجتماع. لكن عدة إدارات شدّدت على ضرورة أن تكون المشاركة في هذا النشاط اختيارية وأن تقوم على أساس "إجراء القبول" لا على "</w:t>
      </w:r>
      <w:r w:rsidRPr="005639FB">
        <w:rPr>
          <w:rtl/>
        </w:rPr>
        <w:t xml:space="preserve"> إمكانية عدم الالتزام</w:t>
      </w:r>
      <w:r w:rsidRPr="005639FB">
        <w:rPr>
          <w:rFonts w:hint="cs"/>
          <w:rtl/>
        </w:rPr>
        <w:t xml:space="preserve"> ". وأفيد عن الحاجة إلى النظر بمزيد من التمعن في بعض التفاصيل، بما فيها الترتيبات اللازمة لضمان سرية التعليق، وتحديد ما إذا كان النشاط سيغطي حكماً النظام كله أو إذا كان يمكن عقد جلسات تركّز على جوانب معينة، فضلاً عن بعض المسائل المصطلحية. وحُبّذ استخدام تعبير "الاستعراض الثنائي" عوضاً عن كلمة "مراجعة". وأفاد أحد مكاتب </w:t>
      </w:r>
      <w:r w:rsidRPr="005639FB">
        <w:rPr>
          <w:rtl/>
        </w:rPr>
        <w:t xml:space="preserve">الملكية الفكرية الرئيسية الخمسة </w:t>
      </w:r>
      <w:r w:rsidRPr="005639FB">
        <w:rPr>
          <w:rFonts w:hint="cs"/>
          <w:rtl/>
        </w:rPr>
        <w:t xml:space="preserve">بأن فرصاَ كثيرة تتوفر له خلال العام لمناقشة الجودة مع المكاتب الأخرى من هذه المجموعة وأنه يُحبّذ أن يقترن بمكاتب أصغر حجماً. واقترحت هذه الإدارة أيضاً أن يخضع كل مكتب لاستعراض مكتبين اثنين وأن يستعرض بدوره مكتبين آخرين. وإذ أعرب </w:t>
      </w:r>
      <w:r w:rsidRPr="005639FB">
        <w:rPr>
          <w:rtl/>
        </w:rPr>
        <w:t>معهد</w:t>
      </w:r>
      <w:r w:rsidR="00F438EF" w:rsidRPr="005639FB">
        <w:rPr>
          <w:rFonts w:hint="cs"/>
          <w:rtl/>
        </w:rPr>
        <w:t xml:space="preserve"> </w:t>
      </w:r>
      <w:r w:rsidR="00F438EF" w:rsidRPr="005639FB">
        <w:rPr>
          <w:rtl/>
        </w:rPr>
        <w:t xml:space="preserve">بلدان أوروبا الشمالية للبراءات </w:t>
      </w:r>
      <w:r w:rsidRPr="005639FB">
        <w:rPr>
          <w:rFonts w:hint="cs"/>
          <w:rtl/>
        </w:rPr>
        <w:t xml:space="preserve">عن دعمه لفكرة استعراض الأقران، فهو أشار إلى الصعوبات العملية للمشاركة في هذا النشاط خلال اجتماع الفريق الفرعي إذ أن له خبيراً في الجودة يعمل في كل كم مكاتب الملكية الفكرية التابعة لبلدانه الثلاثة واعتبر أن اللجوء إلى خدمة المؤتمرات عبر أجهزة الفيديو قد يكون مفيداً في هذا الصدد. وأشارت إحدى الإدارات إلى أن التنفيذ الكامل قد تترتب عليه تكاليف باهظة يجدر تقييمها بالنسبة للإدارات المشاركة والإدارة المضيفة التي قد يتعين عليها توفير مرافق إضافية. </w:t>
      </w:r>
    </w:p>
    <w:p w14:paraId="0D6A04DB" w14:textId="77777777" w:rsidR="009060D0" w:rsidRPr="005639FB" w:rsidRDefault="009060D0" w:rsidP="00A513BF">
      <w:pPr>
        <w:pStyle w:val="NumberedParaAR"/>
        <w:numPr>
          <w:ilvl w:val="0"/>
          <w:numId w:val="7"/>
        </w:numPr>
      </w:pPr>
      <w:r w:rsidRPr="005639FB">
        <w:rPr>
          <w:rFonts w:hint="cs"/>
          <w:rtl/>
        </w:rPr>
        <w:t xml:space="preserve">وقدمت أربع إدارات تقارير عن مشاركتها في تجربة الاستعراض الثنائي: </w:t>
      </w:r>
      <w:r w:rsidRPr="005639FB">
        <w:rPr>
          <w:rtl/>
        </w:rPr>
        <w:t xml:space="preserve">المكتب الكندي للملكية الفكرية </w:t>
      </w:r>
      <w:r w:rsidRPr="005639FB">
        <w:rPr>
          <w:rFonts w:hint="cs"/>
          <w:rtl/>
        </w:rPr>
        <w:t>و</w:t>
      </w:r>
      <w:r w:rsidRPr="005639FB">
        <w:rPr>
          <w:rtl/>
        </w:rPr>
        <w:t>مكتب أستراليا للملكية الفكرية</w:t>
      </w:r>
      <w:r w:rsidRPr="005639FB">
        <w:rPr>
          <w:rFonts w:hint="cs"/>
          <w:rtl/>
        </w:rPr>
        <w:t xml:space="preserve"> و</w:t>
      </w:r>
      <w:r w:rsidRPr="005639FB">
        <w:rPr>
          <w:rtl/>
        </w:rPr>
        <w:t>المكتب الإسباني للبراءات والعلامات التجارية</w:t>
      </w:r>
      <w:r w:rsidRPr="005639FB">
        <w:rPr>
          <w:rFonts w:hint="cs"/>
          <w:rtl/>
        </w:rPr>
        <w:t xml:space="preserve"> و</w:t>
      </w:r>
      <w:r w:rsidRPr="005639FB">
        <w:rPr>
          <w:rtl/>
        </w:rPr>
        <w:t>مكتب البراءات النمساوي</w:t>
      </w:r>
      <w:r w:rsidRPr="005639FB">
        <w:rPr>
          <w:rFonts w:hint="cs"/>
          <w:rtl/>
        </w:rPr>
        <w:t xml:space="preserve"> . ودعيت الإدارات إلى الجلوس بمجموعات ثنائية ومناقشة التقارير المقدمة بموجب الفصل 21 وفق المنهجية المحددة في الورقة. </w:t>
      </w:r>
    </w:p>
    <w:p w14:paraId="3748FD62" w14:textId="2A3A085B" w:rsidR="009060D0" w:rsidRPr="005639FB" w:rsidRDefault="009060D0" w:rsidP="009F209F">
      <w:pPr>
        <w:pStyle w:val="NumberedParaAR"/>
        <w:numPr>
          <w:ilvl w:val="0"/>
          <w:numId w:val="7"/>
        </w:numPr>
      </w:pPr>
      <w:r w:rsidRPr="005639FB">
        <w:rPr>
          <w:rFonts w:hint="cs"/>
          <w:rtl/>
        </w:rPr>
        <w:lastRenderedPageBreak/>
        <w:t>وعقب ذلك، دُعيت كل إدارة إلى ملء استمارة تعليق. وبيّن الاستعراض السريع للتعليقات أن المواضيع التي نوقشت هي: تعليقات العملاء والمستخدمين، وإدارة سير العمل، وأخذ العينات لاختبار الجودة/تقييم الجودة، وتسجيل البحث والتدريب. وجاءت النتائج إيجابية للغاية في المجمل إذ أفادت الإدارات بأن النشاط وتبادل الآراء كانا مفيدين وبأنها تعتزم متابعة الأعمال القائمة على هذا النشاط. واعتبر جميع الإدارات أن تخصيص ساعة لهذا النشاط هو وقت معقول. ورُصد مجال واحد يتعين تحسينه، وه</w:t>
      </w:r>
      <w:r w:rsidRPr="005639FB">
        <w:rPr>
          <w:rFonts w:hint="eastAsia"/>
          <w:rtl/>
        </w:rPr>
        <w:t>و</w:t>
      </w:r>
      <w:r w:rsidRPr="005639FB">
        <w:rPr>
          <w:rFonts w:hint="cs"/>
          <w:rtl/>
        </w:rPr>
        <w:t xml:space="preserve"> المرافق اللازمة للمناقشات. ومن الأمثل أن تختار الإدارات الوقت ومرفق المناقشة الأنسب لها. وأوصت جميع الإدارات بتكرار هذا النشاط في الاجتماعات المقبلة للفريق الفرعي المعني بالجودة. </w:t>
      </w:r>
    </w:p>
    <w:p w14:paraId="062D5872" w14:textId="77777777" w:rsidR="009060D0" w:rsidRPr="005639FB" w:rsidRDefault="009060D0" w:rsidP="00A513BF">
      <w:pPr>
        <w:pStyle w:val="NumberedParaAR"/>
        <w:numPr>
          <w:ilvl w:val="0"/>
          <w:numId w:val="7"/>
        </w:numPr>
        <w:ind w:left="566"/>
      </w:pPr>
      <w:r w:rsidRPr="005639FB">
        <w:rPr>
          <w:rFonts w:hint="cs"/>
          <w:rtl/>
        </w:rPr>
        <w:t>وأوصى الفريق الفرعي بأن تجري الإدارات المهتمة استعراضاً ثنائياً للتقارير عن نظم إدارة الجودة خلال الاجتماع المقبل. وسيُدرج المكتب الدولي في الكتاب المعمم الذي يطلب فيه التقارير من الإدارات لعام 2017 مهلة يمكن للإدارات خلالها الإبلاغ برغبتها المشاركة في الاستعراض.</w:t>
      </w:r>
    </w:p>
    <w:p w14:paraId="14A6B79A" w14:textId="2AE474B0" w:rsidR="009060D0" w:rsidRPr="005639FB" w:rsidRDefault="009060D0" w:rsidP="00A513BF">
      <w:pPr>
        <w:pStyle w:val="Heading2"/>
        <w:bidi/>
        <w:spacing w:after="240" w:line="360" w:lineRule="exact"/>
        <w:rPr>
          <w:rFonts w:ascii="Arabic Typesetting" w:hAnsi="Arabic Typesetting" w:cs="Arabic Typesetting"/>
          <w:b/>
          <w:bCs w:val="0"/>
          <w:i/>
          <w:iCs w:val="0"/>
          <w:sz w:val="40"/>
          <w:szCs w:val="40"/>
        </w:rPr>
      </w:pPr>
      <w:r w:rsidRPr="005639FB">
        <w:rPr>
          <w:rFonts w:ascii="Arabic Typesetting" w:hAnsi="Arabic Typesetting" w:cs="Arabic Typesetting"/>
          <w:b/>
          <w:bCs w:val="0"/>
          <w:i/>
          <w:iCs w:val="0"/>
          <w:sz w:val="40"/>
          <w:szCs w:val="40"/>
          <w:rtl/>
        </w:rPr>
        <w:t>(دال)</w:t>
      </w:r>
      <w:r w:rsidR="001B6766" w:rsidRPr="005639FB">
        <w:rPr>
          <w:rFonts w:ascii="Arabic Typesetting" w:hAnsi="Arabic Typesetting" w:cs="Arabic Typesetting" w:hint="cs"/>
          <w:b/>
          <w:bCs w:val="0"/>
          <w:i/>
          <w:iCs w:val="0"/>
          <w:sz w:val="40"/>
          <w:szCs w:val="40"/>
          <w:rtl/>
        </w:rPr>
        <w:tab/>
      </w:r>
      <w:r w:rsidRPr="005639FB">
        <w:rPr>
          <w:rFonts w:ascii="Arabic Typesetting" w:hAnsi="Arabic Typesetting" w:cs="Arabic Typesetting"/>
          <w:b/>
          <w:bCs w:val="0"/>
          <w:i/>
          <w:iCs w:val="0"/>
          <w:sz w:val="40"/>
          <w:szCs w:val="40"/>
          <w:rtl/>
        </w:rPr>
        <w:t>تشديد الشروط الخاصة بأنظمة إدارة الجودة</w:t>
      </w:r>
    </w:p>
    <w:p w14:paraId="5ADE4C89" w14:textId="77777777" w:rsidR="009060D0" w:rsidRPr="005639FB" w:rsidRDefault="009060D0" w:rsidP="00A513BF">
      <w:pPr>
        <w:pStyle w:val="NumberedParaAR"/>
        <w:numPr>
          <w:ilvl w:val="0"/>
          <w:numId w:val="7"/>
        </w:numPr>
      </w:pPr>
      <w:r w:rsidRPr="005639FB">
        <w:rPr>
          <w:rFonts w:hint="cs"/>
          <w:rtl/>
        </w:rPr>
        <w:t xml:space="preserve">أيدت الإدارات تشديد الشروط الخاصة </w:t>
      </w:r>
      <w:r w:rsidRPr="005639FB">
        <w:rPr>
          <w:rtl/>
        </w:rPr>
        <w:t xml:space="preserve">بأنظمة </w:t>
      </w:r>
      <w:r w:rsidRPr="005639FB">
        <w:rPr>
          <w:rFonts w:hint="cs"/>
          <w:rtl/>
        </w:rPr>
        <w:t xml:space="preserve">إدارة الجودة واعتماد التغييرات المقترحة لهذا الغرض على الفصل 21 من المبادئ </w:t>
      </w:r>
      <w:r w:rsidRPr="005639FB">
        <w:rPr>
          <w:rtl/>
        </w:rPr>
        <w:t>التوجيهية للبحث الدولي والفحص التمهيدي الدولي</w:t>
      </w:r>
      <w:r w:rsidRPr="005639FB">
        <w:rPr>
          <w:rFonts w:hint="cs"/>
          <w:rtl/>
        </w:rPr>
        <w:t xml:space="preserve">. وفي حين عرضت إحدى الإدارات تقييماً ذاتياً لنظامها الخاص بإدارة الجودة، شدّدت إدارة أخرى على أن استبدال كلمة "يجب" بكلمة "يقوم" سيُحدث فارقاً في إدارة الجودة، إذ أن أي خلل في إحدى الشروط سيُعتبر عدم مطابقة أكثر من مجرد اقتراح تحسين. </w:t>
      </w:r>
    </w:p>
    <w:p w14:paraId="1D2B0973" w14:textId="5BF80802" w:rsidR="009060D0" w:rsidRPr="005639FB" w:rsidRDefault="009060D0" w:rsidP="009F209F">
      <w:pPr>
        <w:pStyle w:val="NumberedParaAR"/>
        <w:numPr>
          <w:ilvl w:val="0"/>
          <w:numId w:val="7"/>
        </w:numPr>
      </w:pPr>
      <w:r w:rsidRPr="005639FB">
        <w:rPr>
          <w:rFonts w:hint="cs"/>
          <w:rtl/>
        </w:rPr>
        <w:t xml:space="preserve">وأيّدت إدارة أخرى التعديلات لكنها رأت أنه يمكن تعزيز شروط إضافية من خلال استبدال "يجب" بكلمة "يقوم" في مكاني ورودها الثاني والثالث في الفقرة </w:t>
      </w:r>
      <w:r w:rsidR="009F209F" w:rsidRPr="005639FB">
        <w:rPr>
          <w:rFonts w:hint="cs"/>
          <w:rtl/>
        </w:rPr>
        <w:t>10.21</w:t>
      </w:r>
      <w:r w:rsidRPr="005639FB">
        <w:rPr>
          <w:rFonts w:hint="cs"/>
          <w:rtl/>
        </w:rPr>
        <w:t xml:space="preserve"> وبجعل الشروط الواردة في الفقرة </w:t>
      </w:r>
      <w:r w:rsidR="009F209F" w:rsidRPr="005639FB">
        <w:rPr>
          <w:rFonts w:hint="cs"/>
          <w:rtl/>
        </w:rPr>
        <w:t>19.21</w:t>
      </w:r>
      <w:r w:rsidRPr="005639FB">
        <w:rPr>
          <w:rFonts w:hint="cs"/>
          <w:rtl/>
        </w:rPr>
        <w:t xml:space="preserve"> والفقرتين الفرعتين </w:t>
      </w:r>
      <w:r w:rsidR="009F209F" w:rsidRPr="005639FB">
        <w:rPr>
          <w:rFonts w:hint="cs"/>
          <w:rtl/>
        </w:rPr>
        <w:t>"</w:t>
      </w:r>
      <w:r w:rsidRPr="005639FB">
        <w:rPr>
          <w:rFonts w:hint="cs"/>
          <w:rtl/>
        </w:rPr>
        <w:t>1</w:t>
      </w:r>
      <w:r w:rsidR="009F209F" w:rsidRPr="005639FB">
        <w:rPr>
          <w:rFonts w:hint="cs"/>
          <w:rtl/>
        </w:rPr>
        <w:t>"</w:t>
      </w:r>
      <w:r w:rsidRPr="005639FB">
        <w:rPr>
          <w:rFonts w:hint="cs"/>
          <w:rtl/>
        </w:rPr>
        <w:t xml:space="preserve"> و</w:t>
      </w:r>
      <w:r w:rsidR="009F209F" w:rsidRPr="005639FB">
        <w:rPr>
          <w:rFonts w:hint="cs"/>
          <w:rtl/>
        </w:rPr>
        <w:t>"</w:t>
      </w:r>
      <w:r w:rsidRPr="005639FB">
        <w:rPr>
          <w:rFonts w:hint="cs"/>
          <w:rtl/>
        </w:rPr>
        <w:t>2</w:t>
      </w:r>
      <w:r w:rsidR="009F209F" w:rsidRPr="005639FB">
        <w:rPr>
          <w:rFonts w:hint="cs"/>
          <w:rtl/>
        </w:rPr>
        <w:t>"</w:t>
      </w:r>
      <w:r w:rsidRPr="005639FB">
        <w:rPr>
          <w:rFonts w:hint="cs"/>
          <w:rtl/>
        </w:rPr>
        <w:t xml:space="preserve"> من الفقرة </w:t>
      </w:r>
      <w:r w:rsidR="009F209F" w:rsidRPr="005639FB">
        <w:rPr>
          <w:rFonts w:hint="cs"/>
          <w:rtl/>
        </w:rPr>
        <w:t>24.21</w:t>
      </w:r>
      <w:r w:rsidRPr="005639FB">
        <w:rPr>
          <w:rFonts w:hint="cs"/>
          <w:rtl/>
        </w:rPr>
        <w:t xml:space="preserve"> إلزامية. ودعمت بعض الإدارات هذه التعديلات لكن الفريق الفرعي قرر أن التعديلات المقترحة في مرفق ورقة العمل ستكون خطوة أولى نحو تشديد الشروط الخاصة </w:t>
      </w:r>
      <w:r w:rsidRPr="005639FB">
        <w:rPr>
          <w:rtl/>
        </w:rPr>
        <w:t xml:space="preserve">بأنظمة </w:t>
      </w:r>
      <w:r w:rsidRPr="005639FB">
        <w:rPr>
          <w:rFonts w:hint="cs"/>
          <w:rtl/>
        </w:rPr>
        <w:t>إدارة الجودة، وترك الباب مفتوحاً أمام النظر في إدخال تعديلات إضافية في مرحلة لاحقة.</w:t>
      </w:r>
    </w:p>
    <w:p w14:paraId="171646EA" w14:textId="7EE5330C" w:rsidR="009060D0" w:rsidRPr="005639FB" w:rsidRDefault="009060D0" w:rsidP="003B6D7D">
      <w:pPr>
        <w:pStyle w:val="NumberedParaAR"/>
        <w:numPr>
          <w:ilvl w:val="0"/>
          <w:numId w:val="7"/>
        </w:numPr>
      </w:pPr>
      <w:r w:rsidRPr="005639FB">
        <w:rPr>
          <w:rFonts w:hint="cs"/>
          <w:rtl/>
        </w:rPr>
        <w:t xml:space="preserve">وفضّلت إحدى الإدارات أن تبقى الفقرة </w:t>
      </w:r>
      <w:r w:rsidR="003B6D7D" w:rsidRPr="005639FB">
        <w:rPr>
          <w:rFonts w:hint="cs"/>
          <w:rtl/>
        </w:rPr>
        <w:t xml:space="preserve">10.21 </w:t>
      </w:r>
      <w:r w:rsidRPr="005639FB">
        <w:rPr>
          <w:rFonts w:hint="cs"/>
          <w:rtl/>
        </w:rPr>
        <w:t>شرطاً اختيارياً إذ أنه يتعذّر أن تتوفر للمكاتب البنى التحتية اللازمة لتحمل جميع التغييرات في عبء العمل الذي قد يكون هائلاً وغير متوقع. ورداً على هذا التعليق، قالت إدارة أخرى إنها ترى في هذا الشرط حاجة إلى إعداد خطة بشأن كيفية إدارة التغييرات في عبء العمل وتأمين الموارد لتنفيذها، أكثر من الحاجة إلى الاستجابة لجميع الاحتمالات بالطريقة نفسها، كما في مستوى عادي من عبء العمل.</w:t>
      </w:r>
      <w:r w:rsidR="009D6F94" w:rsidRPr="005639FB">
        <w:rPr>
          <w:rFonts w:hint="cs"/>
          <w:rtl/>
        </w:rPr>
        <w:t xml:space="preserve"> </w:t>
      </w:r>
    </w:p>
    <w:p w14:paraId="4CAB3315" w14:textId="58DEA32A" w:rsidR="009060D0" w:rsidRPr="005639FB" w:rsidRDefault="009060D0" w:rsidP="003B6D7D">
      <w:pPr>
        <w:pStyle w:val="NumberedParaAR"/>
        <w:numPr>
          <w:ilvl w:val="0"/>
          <w:numId w:val="7"/>
        </w:numPr>
      </w:pPr>
      <w:r w:rsidRPr="005639FB">
        <w:rPr>
          <w:rFonts w:hint="cs"/>
          <w:rtl/>
        </w:rPr>
        <w:t xml:space="preserve">وعرضت إحدى الإدارات تعديلات تحريرية على الفقرتين </w:t>
      </w:r>
      <w:r w:rsidR="003B6D7D" w:rsidRPr="005639FB">
        <w:rPr>
          <w:rFonts w:hint="cs"/>
          <w:rtl/>
        </w:rPr>
        <w:t>8.21</w:t>
      </w:r>
      <w:r w:rsidRPr="005639FB">
        <w:rPr>
          <w:rFonts w:hint="cs"/>
          <w:rtl/>
        </w:rPr>
        <w:t xml:space="preserve"> و</w:t>
      </w:r>
      <w:r w:rsidR="003B6D7D" w:rsidRPr="005639FB">
        <w:rPr>
          <w:rFonts w:hint="cs"/>
          <w:rtl/>
        </w:rPr>
        <w:t xml:space="preserve">12.21 </w:t>
      </w:r>
      <w:r w:rsidRPr="005639FB">
        <w:rPr>
          <w:rFonts w:hint="cs"/>
          <w:rtl/>
        </w:rPr>
        <w:t xml:space="preserve">ناقشها الفريق الفرعي ووافق على إدراجها في المبادئ التوجيهية في صيغة معدلة. </w:t>
      </w:r>
    </w:p>
    <w:p w14:paraId="5ED38FAF" w14:textId="7CAD8AFF" w:rsidR="009060D0" w:rsidRPr="005639FB" w:rsidRDefault="009060D0" w:rsidP="00A513BF">
      <w:pPr>
        <w:pStyle w:val="NumberedParaAR"/>
        <w:numPr>
          <w:ilvl w:val="0"/>
          <w:numId w:val="7"/>
        </w:numPr>
      </w:pPr>
      <w:r w:rsidRPr="005639FB">
        <w:rPr>
          <w:rFonts w:hint="cs"/>
          <w:rtl/>
        </w:rPr>
        <w:t xml:space="preserve">ودعمت الإدارات اقتراح الأمانة الاستعاضة عن التقديم الدوري للتقارير إلى جمعية </w:t>
      </w:r>
      <w:r w:rsidRPr="005639FB">
        <w:rPr>
          <w:rtl/>
        </w:rPr>
        <w:t>معاهدة التعاون بشأن البراءات</w:t>
      </w:r>
      <w:r w:rsidRPr="005639FB">
        <w:rPr>
          <w:rFonts w:hint="cs"/>
          <w:rtl/>
        </w:rPr>
        <w:t xml:space="preserve"> بشأن مسائل الجودة إلى تقديم للتقارير على أساس محدّد بشأن مسائل قد تهمّ عدداً أكبر من أعضاء المعاهدة.</w:t>
      </w:r>
      <w:r w:rsidR="009D6F94" w:rsidRPr="005639FB">
        <w:rPr>
          <w:rFonts w:hint="cs"/>
          <w:rtl/>
        </w:rPr>
        <w:t xml:space="preserve"> </w:t>
      </w:r>
    </w:p>
    <w:p w14:paraId="753C0B5B" w14:textId="71F413D1" w:rsidR="009060D0" w:rsidRPr="005639FB" w:rsidRDefault="009060D0" w:rsidP="00D02C0C">
      <w:pPr>
        <w:pStyle w:val="NumberedParaAR"/>
        <w:numPr>
          <w:ilvl w:val="0"/>
          <w:numId w:val="7"/>
        </w:numPr>
        <w:ind w:left="566"/>
      </w:pPr>
      <w:r w:rsidRPr="005639FB">
        <w:rPr>
          <w:rFonts w:hint="cs"/>
          <w:rtl/>
        </w:rPr>
        <w:t>وأوصى الفريق الفرعي بأن يُصدر المكتب الدولي كتاباً معمماً يستشي</w:t>
      </w:r>
      <w:r w:rsidRPr="005639FB">
        <w:rPr>
          <w:rFonts w:hint="eastAsia"/>
          <w:rtl/>
        </w:rPr>
        <w:t>ر</w:t>
      </w:r>
      <w:r w:rsidRPr="005639FB">
        <w:rPr>
          <w:rFonts w:hint="cs"/>
          <w:rtl/>
        </w:rPr>
        <w:t xml:space="preserve"> فيه المكاتب بصفتها </w:t>
      </w:r>
      <w:r w:rsidRPr="005639FB">
        <w:rPr>
          <w:rtl/>
        </w:rPr>
        <w:t xml:space="preserve">مكاتب تَسلُّم </w:t>
      </w:r>
      <w:r w:rsidRPr="005639FB">
        <w:rPr>
          <w:rFonts w:hint="cs"/>
          <w:rtl/>
        </w:rPr>
        <w:t>ل</w:t>
      </w:r>
      <w:r w:rsidRPr="005639FB">
        <w:rPr>
          <w:rtl/>
        </w:rPr>
        <w:t>لطلبات</w:t>
      </w:r>
      <w:r w:rsidRPr="005639FB">
        <w:rPr>
          <w:rFonts w:hint="cs"/>
          <w:rtl/>
        </w:rPr>
        <w:t xml:space="preserve"> </w:t>
      </w:r>
      <w:r w:rsidRPr="005639FB">
        <w:rPr>
          <w:rtl/>
        </w:rPr>
        <w:t xml:space="preserve">و/أو إدارة </w:t>
      </w:r>
      <w:r w:rsidRPr="005639FB">
        <w:rPr>
          <w:rFonts w:hint="cs"/>
          <w:rtl/>
        </w:rPr>
        <w:t>ل</w:t>
      </w:r>
      <w:r w:rsidRPr="005639FB">
        <w:rPr>
          <w:rtl/>
        </w:rPr>
        <w:t xml:space="preserve">لبحث الدولي والفحص التمهيدي الدولي و/أو مكاتب </w:t>
      </w:r>
      <w:r w:rsidRPr="005639FB">
        <w:rPr>
          <w:rFonts w:hint="cs"/>
          <w:rtl/>
        </w:rPr>
        <w:t>معيّنة</w:t>
      </w:r>
      <w:r w:rsidRPr="005639FB">
        <w:rPr>
          <w:rtl/>
        </w:rPr>
        <w:t xml:space="preserve"> أو </w:t>
      </w:r>
      <w:r w:rsidRPr="005639FB">
        <w:rPr>
          <w:rFonts w:hint="cs"/>
          <w:rtl/>
        </w:rPr>
        <w:t>م</w:t>
      </w:r>
      <w:r w:rsidR="00D02C0C" w:rsidRPr="005639FB">
        <w:rPr>
          <w:rFonts w:hint="cs"/>
          <w:rtl/>
        </w:rPr>
        <w:t>ختارة</w:t>
      </w:r>
      <w:r w:rsidRPr="005639FB">
        <w:rPr>
          <w:rFonts w:hint="cs"/>
          <w:rtl/>
        </w:rPr>
        <w:t xml:space="preserve">، والمنظمات التي تمثل مستخدمي نظام المعاهدة، في التغييرات المقترحة في مرفق الورقة، والتي تضمّ التعديلات التحريرية المشار إليها في الفقرة 16 أعلاه. </w:t>
      </w:r>
    </w:p>
    <w:p w14:paraId="1B8C99A6" w14:textId="347C76C1" w:rsidR="009060D0" w:rsidRPr="005639FB" w:rsidRDefault="009060D0" w:rsidP="00A513BF">
      <w:pPr>
        <w:pStyle w:val="NumberedParaAR"/>
        <w:numPr>
          <w:ilvl w:val="0"/>
          <w:numId w:val="7"/>
        </w:numPr>
        <w:ind w:left="566"/>
      </w:pPr>
      <w:r w:rsidRPr="005639FB">
        <w:rPr>
          <w:rFonts w:hint="cs"/>
          <w:rtl/>
        </w:rPr>
        <w:lastRenderedPageBreak/>
        <w:t>واقترح الفريق الفرعي حذف شرط التقارير السنوية بشأن الجودة المقدمة إلى جمعية</w:t>
      </w:r>
      <w:r w:rsidRPr="005639FB">
        <w:rPr>
          <w:rtl/>
        </w:rPr>
        <w:t xml:space="preserve"> معاهدة التعاون بشأن</w:t>
      </w:r>
      <w:r w:rsidR="001B6766" w:rsidRPr="005639FB">
        <w:rPr>
          <w:rFonts w:hint="cs"/>
          <w:rtl/>
        </w:rPr>
        <w:t> </w:t>
      </w:r>
      <w:r w:rsidRPr="005639FB">
        <w:rPr>
          <w:rtl/>
        </w:rPr>
        <w:t>البراءات</w:t>
      </w:r>
      <w:r w:rsidRPr="005639FB">
        <w:rPr>
          <w:rFonts w:hint="cs"/>
          <w:rtl/>
        </w:rPr>
        <w:t>.</w:t>
      </w:r>
      <w:r w:rsidR="009D6F94" w:rsidRPr="005639FB">
        <w:rPr>
          <w:rFonts w:hint="cs"/>
          <w:rtl/>
        </w:rPr>
        <w:t xml:space="preserve"> </w:t>
      </w:r>
    </w:p>
    <w:p w14:paraId="7BEF24E1" w14:textId="4CB258FF" w:rsidR="009060D0" w:rsidRPr="005639FB" w:rsidRDefault="009060D0" w:rsidP="00A513BF">
      <w:pPr>
        <w:pStyle w:val="Heading2"/>
        <w:bidi/>
        <w:spacing w:after="240" w:line="360" w:lineRule="exact"/>
        <w:rPr>
          <w:rFonts w:ascii="Arabic Typesetting" w:hAnsi="Arabic Typesetting" w:cs="Arabic Typesetting"/>
          <w:b/>
          <w:bCs w:val="0"/>
          <w:i/>
          <w:iCs w:val="0"/>
          <w:sz w:val="40"/>
          <w:szCs w:val="40"/>
          <w:rtl/>
        </w:rPr>
      </w:pPr>
      <w:r w:rsidRPr="005639FB">
        <w:rPr>
          <w:rFonts w:ascii="Arabic Typesetting" w:hAnsi="Arabic Typesetting" w:cs="Arabic Typesetting" w:hint="cs"/>
          <w:b/>
          <w:bCs w:val="0"/>
          <w:i/>
          <w:iCs w:val="0"/>
          <w:sz w:val="40"/>
          <w:szCs w:val="40"/>
          <w:rtl/>
        </w:rPr>
        <w:t>(هاء)</w:t>
      </w:r>
      <w:r w:rsidR="001B6766" w:rsidRPr="005639FB">
        <w:rPr>
          <w:rFonts w:ascii="Arabic Typesetting" w:hAnsi="Arabic Typesetting" w:cs="Arabic Typesetting"/>
          <w:b/>
          <w:bCs w:val="0"/>
          <w:i/>
          <w:iCs w:val="0"/>
          <w:sz w:val="40"/>
          <w:szCs w:val="40"/>
          <w:rtl/>
        </w:rPr>
        <w:tab/>
      </w:r>
      <w:r w:rsidRPr="005639FB">
        <w:rPr>
          <w:rFonts w:ascii="Arabic Typesetting" w:hAnsi="Arabic Typesetting" w:cs="Arabic Typesetting" w:hint="cs"/>
          <w:b/>
          <w:bCs w:val="0"/>
          <w:i/>
          <w:iCs w:val="0"/>
          <w:sz w:val="40"/>
          <w:szCs w:val="40"/>
          <w:rtl/>
        </w:rPr>
        <w:t xml:space="preserve">تعليقات المستخدمين </w:t>
      </w:r>
    </w:p>
    <w:p w14:paraId="2066D90E" w14:textId="6EBB8BA6" w:rsidR="009060D0" w:rsidRPr="005639FB" w:rsidRDefault="009060D0" w:rsidP="00A513BF">
      <w:pPr>
        <w:pStyle w:val="Heading2"/>
        <w:bidi/>
        <w:spacing w:after="240" w:line="360" w:lineRule="exact"/>
        <w:rPr>
          <w:rFonts w:ascii="Arabic Typesetting" w:hAnsi="Arabic Typesetting" w:cs="Arabic Typesetting"/>
          <w:b/>
          <w:bCs w:val="0"/>
          <w:i/>
          <w:iCs w:val="0"/>
          <w:sz w:val="40"/>
          <w:szCs w:val="40"/>
          <w:rtl/>
        </w:rPr>
      </w:pPr>
      <w:r w:rsidRPr="005639FB">
        <w:rPr>
          <w:rFonts w:ascii="Arabic Typesetting" w:hAnsi="Arabic Typesetting" w:cs="Arabic Typesetting" w:hint="cs"/>
          <w:b/>
          <w:bCs w:val="0"/>
          <w:i/>
          <w:iCs w:val="0"/>
          <w:sz w:val="40"/>
          <w:szCs w:val="40"/>
          <w:rtl/>
        </w:rPr>
        <w:t>(واو)</w:t>
      </w:r>
      <w:r w:rsidRPr="005639FB">
        <w:rPr>
          <w:rFonts w:ascii="Arabic Typesetting" w:hAnsi="Arabic Typesetting" w:cs="Arabic Typesetting" w:hint="cs"/>
          <w:b/>
          <w:bCs w:val="0"/>
          <w:i/>
          <w:iCs w:val="0"/>
          <w:sz w:val="40"/>
          <w:szCs w:val="40"/>
          <w:rtl/>
        </w:rPr>
        <w:tab/>
        <w:t xml:space="preserve">تعليقات المستخدمين المقدمة من </w:t>
      </w:r>
      <w:r w:rsidRPr="005639FB">
        <w:rPr>
          <w:rFonts w:ascii="Arabic Typesetting" w:hAnsi="Arabic Typesetting" w:cs="Arabic Typesetting"/>
          <w:b/>
          <w:bCs w:val="0"/>
          <w:i/>
          <w:iCs w:val="0"/>
          <w:sz w:val="40"/>
          <w:szCs w:val="40"/>
          <w:rtl/>
        </w:rPr>
        <w:t>المكتب الأوروبي للبراءات</w:t>
      </w:r>
      <w:r w:rsidRPr="005639FB">
        <w:rPr>
          <w:rFonts w:ascii="Arabic Typesetting" w:hAnsi="Arabic Typesetting" w:cs="Arabic Typesetting" w:hint="cs"/>
          <w:b/>
          <w:bCs w:val="0"/>
          <w:i/>
          <w:iCs w:val="0"/>
          <w:sz w:val="40"/>
          <w:szCs w:val="40"/>
          <w:rtl/>
        </w:rPr>
        <w:t xml:space="preserve"> </w:t>
      </w:r>
    </w:p>
    <w:p w14:paraId="24A1B798" w14:textId="7AB437DA" w:rsidR="009060D0" w:rsidRPr="005639FB" w:rsidRDefault="009060D0" w:rsidP="00A513BF">
      <w:pPr>
        <w:pStyle w:val="NumberedParaAR"/>
        <w:numPr>
          <w:ilvl w:val="0"/>
          <w:numId w:val="7"/>
        </w:numPr>
      </w:pPr>
      <w:r w:rsidRPr="005639FB">
        <w:rPr>
          <w:rFonts w:hint="cs"/>
          <w:rtl/>
        </w:rPr>
        <w:t xml:space="preserve">أعربت الإدارات عن تقديرها للعرض الذي قدمه </w:t>
      </w:r>
      <w:r w:rsidRPr="005639FB">
        <w:rPr>
          <w:rtl/>
        </w:rPr>
        <w:t>المكتب الأوروبي للبراءات</w:t>
      </w:r>
      <w:r w:rsidRPr="005639FB">
        <w:rPr>
          <w:rFonts w:hint="cs"/>
          <w:rtl/>
        </w:rPr>
        <w:t xml:space="preserve"> عن تعليقات المستخدمين الذي رصد مجموعة متنوعة من مصادر التعليقات المستندة إلى المقاييس أو غير المستندة إليها. وللأنساق المختلفة من التعليقات حسنات وسيئات متنوعة لكن يُستحسن السعي إلى الحصول على أنساق يسهل قياسها وهيكلتها على نحو أفضل، حين يتسنى ذلك. ورداً على سؤال عن مصادر التعليقات، أشار المكتب الأوروبي للبراءات إلى أنه يُحبّذ زيادة استخدام المقاييس في التعليقات.</w:t>
      </w:r>
      <w:r w:rsidR="009D6F94" w:rsidRPr="005639FB">
        <w:rPr>
          <w:rFonts w:hint="cs"/>
          <w:rtl/>
        </w:rPr>
        <w:t xml:space="preserve"> </w:t>
      </w:r>
      <w:r w:rsidRPr="005639FB">
        <w:rPr>
          <w:rFonts w:hint="cs"/>
          <w:rtl/>
        </w:rPr>
        <w:t>وشجعت إدارتان على زيادة تبادل تعليقات المستخدمين بين الإدارات، زيادة من شأنها أن تعود بفائدة عامة على الفريق الفرعي.</w:t>
      </w:r>
      <w:r w:rsidR="009D6F94" w:rsidRPr="005639FB">
        <w:rPr>
          <w:rFonts w:hint="cs"/>
          <w:rtl/>
        </w:rPr>
        <w:t xml:space="preserve"> </w:t>
      </w:r>
    </w:p>
    <w:p w14:paraId="6B0CFCF6" w14:textId="77777777" w:rsidR="009060D0" w:rsidRPr="005639FB" w:rsidRDefault="009060D0" w:rsidP="00A513BF">
      <w:pPr>
        <w:pStyle w:val="NumberedParaAR"/>
        <w:numPr>
          <w:ilvl w:val="0"/>
          <w:numId w:val="7"/>
        </w:numPr>
      </w:pPr>
      <w:r w:rsidRPr="005639FB">
        <w:rPr>
          <w:rFonts w:hint="cs"/>
          <w:rtl/>
        </w:rPr>
        <w:t xml:space="preserve">وفي موضوع تبادل التعليقات بين المكاتب، أطلع </w:t>
      </w:r>
      <w:r w:rsidRPr="005639FB">
        <w:rPr>
          <w:rtl/>
        </w:rPr>
        <w:t>المكتب الكندي للملكية الفكرية</w:t>
      </w:r>
      <w:r w:rsidRPr="005639FB">
        <w:rPr>
          <w:rFonts w:hint="cs"/>
          <w:rtl/>
        </w:rPr>
        <w:t xml:space="preserve"> الحضور على تجربته في إعداد عملية تقديم للتعليقات على نواتج عمله الدولي من قبل </w:t>
      </w:r>
      <w:r w:rsidRPr="005639FB">
        <w:rPr>
          <w:rtl/>
        </w:rPr>
        <w:t>مكتب المملكة المتحدة للملكية الفكري</w:t>
      </w:r>
      <w:r w:rsidRPr="005639FB">
        <w:rPr>
          <w:rFonts w:hint="cs"/>
          <w:rtl/>
        </w:rPr>
        <w:t xml:space="preserve">ة، بصفته مكتباً معيّناً بفعل تعاونه مع </w:t>
      </w:r>
      <w:r w:rsidRPr="005639FB">
        <w:rPr>
          <w:rtl/>
        </w:rPr>
        <w:t>مكاتب مجموعة فانكوفر</w:t>
      </w:r>
      <w:r w:rsidRPr="005639FB">
        <w:rPr>
          <w:rFonts w:hint="cs"/>
          <w:rtl/>
        </w:rPr>
        <w:t xml:space="preserve">. ومن التحديات التي ذكرها حجم الحالات التي تعنى بها </w:t>
      </w:r>
      <w:r w:rsidRPr="005639FB">
        <w:rPr>
          <w:rtl/>
        </w:rPr>
        <w:t>إدارة البحث الدولي</w:t>
      </w:r>
      <w:r w:rsidRPr="005639FB">
        <w:rPr>
          <w:rFonts w:hint="cs"/>
          <w:rtl/>
        </w:rPr>
        <w:t xml:space="preserve">/كندا والمكتب المعيّن/المملكة المتحدة. لكن الأهم أن الفارق الزمني الذي يفصل بين البحث الدولي ومرحلة الفحص الوطني تؤدي في بعض الأحيان إلى أن يقدّم المكتب المعيّن تعليقاته على مشاكل سبق لإدارة البحث الدولي وأن حلتّها. </w:t>
      </w:r>
    </w:p>
    <w:p w14:paraId="6C5152CA" w14:textId="6E5D8A91" w:rsidR="009060D0" w:rsidRPr="005639FB" w:rsidRDefault="009060D0" w:rsidP="00A513BF">
      <w:pPr>
        <w:pStyle w:val="NumberedParaAR"/>
        <w:numPr>
          <w:ilvl w:val="0"/>
          <w:numId w:val="7"/>
        </w:numPr>
      </w:pPr>
      <w:r w:rsidRPr="005639FB">
        <w:rPr>
          <w:rFonts w:hint="cs"/>
          <w:rtl/>
        </w:rPr>
        <w:t xml:space="preserve">وذكّر المكتب الدولي الفريق الفرعي بالشرط المفروض على المكاتب لتقدم معلومات عن </w:t>
      </w:r>
      <w:r w:rsidRPr="005639FB">
        <w:rPr>
          <w:rtl/>
        </w:rPr>
        <w:t>دخول الطلبات المرحلة الوطنية</w:t>
      </w:r>
      <w:r w:rsidRPr="005639FB">
        <w:rPr>
          <w:rFonts w:hint="cs"/>
          <w:rtl/>
        </w:rPr>
        <w:t xml:space="preserve"> اعتباراً من 1 يوليو 2017. واقترح أيضاً أن تُناقش المشاكل التي واجهتها مكاتب أخرى والخبرات التي اكتسبتها في تحليل الحالات خلال فترة العملية السابقة لمنح البراءة على المنتدى </w:t>
      </w:r>
      <w:r w:rsidR="00240F3E" w:rsidRPr="005639FB">
        <w:rPr>
          <w:rFonts w:hint="cs"/>
          <w:rtl/>
        </w:rPr>
        <w:t>الإلكتروني للفريق</w:t>
      </w:r>
      <w:r w:rsidRPr="005639FB">
        <w:rPr>
          <w:rFonts w:hint="cs"/>
          <w:rtl/>
        </w:rPr>
        <w:t xml:space="preserve"> الفرعي. </w:t>
      </w:r>
    </w:p>
    <w:p w14:paraId="06E1FF1B" w14:textId="2E053C16" w:rsidR="009060D0" w:rsidRPr="005639FB" w:rsidRDefault="009060D0" w:rsidP="00A513BF">
      <w:pPr>
        <w:pStyle w:val="NumberedParaAR"/>
        <w:numPr>
          <w:ilvl w:val="0"/>
          <w:numId w:val="7"/>
        </w:numPr>
        <w:ind w:left="566"/>
      </w:pPr>
      <w:r w:rsidRPr="005639FB">
        <w:rPr>
          <w:rFonts w:hint="cs"/>
          <w:rtl/>
        </w:rPr>
        <w:t xml:space="preserve">ووافق الفريق الفرعي على اقتراح المكتب الدولي بفتح مناقشة على منتداه </w:t>
      </w:r>
      <w:r w:rsidR="007A065F" w:rsidRPr="005639FB">
        <w:rPr>
          <w:rFonts w:hint="cs"/>
          <w:rtl/>
        </w:rPr>
        <w:t>الإلكتروني</w:t>
      </w:r>
      <w:r w:rsidR="005639FB" w:rsidRPr="005639FB">
        <w:rPr>
          <w:rFonts w:hint="cs"/>
          <w:rtl/>
        </w:rPr>
        <w:t xml:space="preserve"> </w:t>
      </w:r>
      <w:r w:rsidRPr="005639FB">
        <w:rPr>
          <w:rFonts w:hint="cs"/>
          <w:rtl/>
        </w:rPr>
        <w:t>لتبادل الخبرات في مجال</w:t>
      </w:r>
      <w:r w:rsidR="009D6F94" w:rsidRPr="005639FB">
        <w:rPr>
          <w:rFonts w:hint="cs"/>
          <w:rtl/>
        </w:rPr>
        <w:t xml:space="preserve"> </w:t>
      </w:r>
      <w:r w:rsidRPr="005639FB">
        <w:rPr>
          <w:rFonts w:hint="cs"/>
          <w:rtl/>
        </w:rPr>
        <w:t xml:space="preserve">التعليقات خلال فترة الإجراءات السابقة لمنح البراءة. </w:t>
      </w:r>
    </w:p>
    <w:p w14:paraId="27045BB1" w14:textId="77777777" w:rsidR="009060D0" w:rsidRPr="005639FB" w:rsidRDefault="009060D0" w:rsidP="00A513BF">
      <w:pPr>
        <w:pStyle w:val="Heading2"/>
        <w:bidi/>
        <w:spacing w:after="240" w:line="360" w:lineRule="exact"/>
        <w:rPr>
          <w:rFonts w:ascii="Arabic Typesetting" w:hAnsi="Arabic Typesetting" w:cs="Arabic Typesetting"/>
          <w:b/>
          <w:bCs w:val="0"/>
          <w:i/>
          <w:iCs w:val="0"/>
          <w:sz w:val="40"/>
          <w:szCs w:val="40"/>
        </w:rPr>
      </w:pPr>
      <w:r w:rsidRPr="005639FB">
        <w:rPr>
          <w:rFonts w:ascii="Arabic Typesetting" w:hAnsi="Arabic Typesetting" w:cs="Arabic Typesetting" w:hint="cs"/>
          <w:b/>
          <w:bCs w:val="0"/>
          <w:i/>
          <w:iCs w:val="0"/>
          <w:sz w:val="40"/>
          <w:szCs w:val="40"/>
          <w:rtl/>
        </w:rPr>
        <w:t>(زاي)</w:t>
      </w:r>
      <w:r w:rsidRPr="005639FB">
        <w:rPr>
          <w:rFonts w:ascii="Arabic Typesetting" w:hAnsi="Arabic Typesetting" w:cs="Arabic Typesetting" w:hint="cs"/>
          <w:b/>
          <w:bCs w:val="0"/>
          <w:i/>
          <w:iCs w:val="0"/>
          <w:sz w:val="40"/>
          <w:szCs w:val="40"/>
          <w:rtl/>
        </w:rPr>
        <w:tab/>
        <w:t xml:space="preserve">التطبيق العملي لإدارة الجودة المستندة إلى المقاييس في </w:t>
      </w:r>
      <w:r w:rsidRPr="005639FB">
        <w:rPr>
          <w:rFonts w:ascii="Arabic Typesetting" w:hAnsi="Arabic Typesetting" w:cs="Arabic Typesetting"/>
          <w:b/>
          <w:bCs w:val="0"/>
          <w:i/>
          <w:iCs w:val="0"/>
          <w:sz w:val="40"/>
          <w:szCs w:val="40"/>
          <w:rtl/>
        </w:rPr>
        <w:t>المكتب الأوروبي للبراءات</w:t>
      </w:r>
    </w:p>
    <w:p w14:paraId="6D3E6792" w14:textId="77777777" w:rsidR="009060D0" w:rsidRPr="005639FB" w:rsidRDefault="009060D0" w:rsidP="00A513BF">
      <w:pPr>
        <w:pStyle w:val="NumberedParaAR"/>
        <w:numPr>
          <w:ilvl w:val="0"/>
          <w:numId w:val="7"/>
        </w:numPr>
      </w:pPr>
      <w:r w:rsidRPr="005639FB">
        <w:rPr>
          <w:rFonts w:hint="cs"/>
          <w:rtl/>
        </w:rPr>
        <w:t xml:space="preserve">قدم </w:t>
      </w:r>
      <w:r w:rsidRPr="005639FB">
        <w:rPr>
          <w:rtl/>
        </w:rPr>
        <w:t>المكتب الأوروبي للبراءات</w:t>
      </w:r>
      <w:r w:rsidRPr="005639FB">
        <w:rPr>
          <w:rFonts w:hint="cs"/>
          <w:rtl/>
        </w:rPr>
        <w:t xml:space="preserve"> عرضاً لإجراءات إدارة الجودة المستندة إلى المقاييس التي يتبعها. وتتيح مجموعة متنوعة من الإجراءات في مراحل مختلفة من عمر طلب البراءة والفترة اللاحقة لمنحها، كالاعتراض مثلاً، جمع البيانات في نسق موحّد وتحليلها. وشمل ذلك عملية استعراض لما يناهز 6 بالمائة من الطلبات بعد البحث ولجميع الطلبات قبل منح البراءات، فضلاً عن كميات أقل من المراجعات المفصلة للجودة. وتُستخدم هذه المعلومات لإعداد تقارير سنوية عن الجودة تُناقش مع قسم العمليات وتُنقّح للتأكد من أن المشاكل قد فُهمت جيداً وأنه يمكن العمل على معالجتها في مرحلة مبكرة عند الاقتضاء. ويُستخدم التقرير النهائي كجزء من دورة سنوية لتحديد الأهداف وتطبيق خطط العمل وقياس الأداء وتقديم التوصيات ومراجعة الأهداف للعام اللاحق. ومن أهم جوانب التقرير الشامل أنه يجمع بيانات من مصادر مختلفة لإعطاء صورة متكاملة لا يتسنى الحصول عليها من أي مصدر منفرد. </w:t>
      </w:r>
    </w:p>
    <w:p w14:paraId="0E1836D1" w14:textId="77777777" w:rsidR="009060D0" w:rsidRPr="005639FB" w:rsidRDefault="009060D0" w:rsidP="00A513BF">
      <w:pPr>
        <w:pStyle w:val="Heading2"/>
        <w:bidi/>
        <w:spacing w:after="240" w:line="360" w:lineRule="exact"/>
        <w:rPr>
          <w:rFonts w:ascii="Arabic Typesetting" w:hAnsi="Arabic Typesetting" w:cs="Arabic Typesetting"/>
          <w:b/>
          <w:bCs w:val="0"/>
          <w:i/>
          <w:iCs w:val="0"/>
          <w:sz w:val="40"/>
          <w:szCs w:val="40"/>
        </w:rPr>
      </w:pPr>
      <w:r w:rsidRPr="005639FB">
        <w:rPr>
          <w:rFonts w:ascii="Arabic Typesetting" w:hAnsi="Arabic Typesetting" w:cs="Arabic Typesetting" w:hint="cs"/>
          <w:b/>
          <w:bCs w:val="0"/>
          <w:i/>
          <w:iCs w:val="0"/>
          <w:sz w:val="40"/>
          <w:szCs w:val="40"/>
          <w:rtl/>
        </w:rPr>
        <w:lastRenderedPageBreak/>
        <w:t>(حاء)</w:t>
      </w:r>
      <w:r w:rsidRPr="005639FB">
        <w:rPr>
          <w:rFonts w:ascii="Arabic Typesetting" w:hAnsi="Arabic Typesetting" w:cs="Arabic Typesetting" w:hint="cs"/>
          <w:b/>
          <w:bCs w:val="0"/>
          <w:i/>
          <w:iCs w:val="0"/>
          <w:sz w:val="40"/>
          <w:szCs w:val="40"/>
          <w:rtl/>
        </w:rPr>
        <w:tab/>
        <w:t xml:space="preserve">مقاييس الجودة المستخدمة لضمان الجودة في </w:t>
      </w:r>
      <w:r w:rsidRPr="005639FB">
        <w:rPr>
          <w:rFonts w:ascii="Arabic Typesetting" w:hAnsi="Arabic Typesetting" w:cs="Arabic Typesetting"/>
          <w:b/>
          <w:bCs w:val="0"/>
          <w:i/>
          <w:iCs w:val="0"/>
          <w:sz w:val="40"/>
          <w:szCs w:val="40"/>
          <w:rtl/>
        </w:rPr>
        <w:t>المكتب الإسباني للبراءات والعلامات التجارية</w:t>
      </w:r>
    </w:p>
    <w:p w14:paraId="51FB9D42" w14:textId="1B11FDCE" w:rsidR="009060D0" w:rsidRPr="005639FB" w:rsidRDefault="009060D0" w:rsidP="00240F3E">
      <w:pPr>
        <w:pStyle w:val="NumberedParaAR"/>
        <w:numPr>
          <w:ilvl w:val="0"/>
          <w:numId w:val="7"/>
        </w:numPr>
      </w:pPr>
      <w:r w:rsidRPr="005639FB">
        <w:rPr>
          <w:rFonts w:hint="cs"/>
          <w:rtl/>
        </w:rPr>
        <w:t xml:space="preserve">قدّم </w:t>
      </w:r>
      <w:r w:rsidRPr="005639FB">
        <w:rPr>
          <w:rtl/>
        </w:rPr>
        <w:t>المكتب الإسباني للبراءات والعلامات التجارية</w:t>
      </w:r>
      <w:r w:rsidRPr="005639FB">
        <w:rPr>
          <w:rFonts w:hint="cs"/>
          <w:rtl/>
        </w:rPr>
        <w:t xml:space="preserve"> عرضاً لمقاييس الجودة المستخدمة لضمان الجودة. وأفاد ممثل المكتب بأن مجموعات الإدارة العاملة في كل قسم تعقد اجتماعات كل أربعة أشهر لمراقبة وضع نظام إدارة الجودة تقدم فيها مصادر مختلفة مساهمات من البيانات. وتوّفَر أنظمة تتيح جمع المعلومات من عمليات المراقبة</w:t>
      </w:r>
      <w:r w:rsidR="009D6F94" w:rsidRPr="005639FB">
        <w:rPr>
          <w:rFonts w:hint="cs"/>
          <w:rtl/>
        </w:rPr>
        <w:t xml:space="preserve"> </w:t>
      </w:r>
      <w:r w:rsidRPr="005639FB">
        <w:rPr>
          <w:rtl/>
        </w:rPr>
        <w:t>والقوائم المرجعية</w:t>
      </w:r>
      <w:r w:rsidR="00240F3E" w:rsidRPr="005639FB">
        <w:rPr>
          <w:rFonts w:hint="cs"/>
          <w:rtl/>
        </w:rPr>
        <w:t xml:space="preserve"> </w:t>
      </w:r>
      <w:proofErr w:type="spellStart"/>
      <w:r w:rsidR="00240F3E" w:rsidRPr="005639FB">
        <w:rPr>
          <w:rFonts w:hint="cs"/>
          <w:rtl/>
        </w:rPr>
        <w:t>والتنقيحات</w:t>
      </w:r>
      <w:proofErr w:type="spellEnd"/>
      <w:r w:rsidRPr="005639FB">
        <w:rPr>
          <w:rFonts w:hint="cs"/>
          <w:rtl/>
        </w:rPr>
        <w:t xml:space="preserve"> في مراحل مختلفة، ويُطبق الكثير منها على جميع الطلبات. ويُراقب الأداء مقارنة بالأهداف في خمسة من مخططات الخدمات، بما فيها خدمة البحث والفحص التمهيدي الدوليين. وختم قائلاً إن الأنظمة التي وضعها المكتب تبيّن أن حسن التدبير يسمح بتحقيق الجودة في كل المكاتب وأن المسألة لا ترتبط بالضرورة بكمّ العمل.</w:t>
      </w:r>
      <w:r w:rsidR="009D6F94" w:rsidRPr="005639FB">
        <w:rPr>
          <w:rFonts w:hint="cs"/>
          <w:rtl/>
        </w:rPr>
        <w:t xml:space="preserve"> </w:t>
      </w:r>
    </w:p>
    <w:p w14:paraId="3CCCC2B2" w14:textId="0A28E425" w:rsidR="009060D0" w:rsidRPr="005639FB" w:rsidRDefault="009060D0" w:rsidP="00A513BF">
      <w:pPr>
        <w:pStyle w:val="Heading1AR"/>
        <w:spacing w:after="240" w:line="360" w:lineRule="exact"/>
        <w:rPr>
          <w:rtl/>
        </w:rPr>
      </w:pPr>
      <w:r w:rsidRPr="005639FB">
        <w:rPr>
          <w:rFonts w:hint="cs"/>
          <w:b/>
          <w:rtl/>
          <w:lang w:bidi="ar-LB"/>
        </w:rPr>
        <w:t>2</w:t>
      </w:r>
      <w:r w:rsidRPr="005639FB">
        <w:rPr>
          <w:rFonts w:hint="cs"/>
          <w:rtl/>
        </w:rPr>
        <w:t>.</w:t>
      </w:r>
      <w:r w:rsidRPr="005639FB">
        <w:rPr>
          <w:rFonts w:hint="cs"/>
          <w:rtl/>
        </w:rPr>
        <w:tab/>
        <w:t>مقاييس الجودة</w:t>
      </w:r>
    </w:p>
    <w:p w14:paraId="1655F8B7" w14:textId="6673F91E" w:rsidR="009060D0" w:rsidRPr="005639FB" w:rsidRDefault="009060D0" w:rsidP="00A513BF">
      <w:pPr>
        <w:pStyle w:val="Heading2"/>
        <w:tabs>
          <w:tab w:val="left" w:pos="566"/>
        </w:tabs>
        <w:bidi/>
        <w:spacing w:after="240" w:line="360" w:lineRule="exact"/>
        <w:rPr>
          <w:rFonts w:ascii="Arabic Typesetting" w:hAnsi="Arabic Typesetting" w:cs="Arabic Typesetting"/>
          <w:b/>
          <w:bCs w:val="0"/>
          <w:i/>
          <w:iCs w:val="0"/>
          <w:sz w:val="40"/>
          <w:szCs w:val="40"/>
        </w:rPr>
      </w:pPr>
      <w:r w:rsidRPr="005639FB">
        <w:rPr>
          <w:rFonts w:ascii="Arabic Typesetting" w:hAnsi="Arabic Typesetting" w:cs="Arabic Typesetting" w:hint="cs"/>
          <w:b/>
          <w:bCs w:val="0"/>
          <w:i/>
          <w:iCs w:val="0"/>
          <w:sz w:val="40"/>
          <w:szCs w:val="40"/>
          <w:rtl/>
        </w:rPr>
        <w:t>(ألف</w:t>
      </w:r>
      <w:r w:rsidRPr="005639FB">
        <w:rPr>
          <w:rFonts w:ascii="Arabic Typesetting" w:hAnsi="Arabic Typesetting" w:cs="Arabic Typesetting"/>
          <w:b/>
          <w:bCs w:val="0"/>
          <w:i/>
          <w:iCs w:val="0"/>
          <w:sz w:val="40"/>
          <w:szCs w:val="40"/>
          <w:rtl/>
        </w:rPr>
        <w:t>)</w:t>
      </w:r>
      <w:r w:rsidR="00BF7E30" w:rsidRPr="005639FB">
        <w:rPr>
          <w:rFonts w:ascii="Arabic Typesetting" w:hAnsi="Arabic Typesetting" w:cs="Arabic Typesetting" w:hint="cs"/>
          <w:b/>
          <w:bCs w:val="0"/>
          <w:i/>
          <w:iCs w:val="0"/>
          <w:sz w:val="40"/>
          <w:szCs w:val="40"/>
          <w:rtl/>
        </w:rPr>
        <w:tab/>
      </w:r>
      <w:r w:rsidR="00BF7E30" w:rsidRPr="005639FB">
        <w:rPr>
          <w:rFonts w:ascii="Arabic Typesetting" w:hAnsi="Arabic Typesetting" w:cs="Arabic Typesetting"/>
          <w:b/>
          <w:bCs w:val="0"/>
          <w:i/>
          <w:iCs w:val="0"/>
          <w:sz w:val="40"/>
          <w:szCs w:val="40"/>
          <w:rtl/>
        </w:rPr>
        <w:tab/>
      </w:r>
      <w:r w:rsidR="00BF7E30" w:rsidRPr="005639FB">
        <w:rPr>
          <w:rFonts w:ascii="Arabic Typesetting" w:hAnsi="Arabic Typesetting" w:cs="Arabic Typesetting" w:hint="cs"/>
          <w:b/>
          <w:bCs w:val="0"/>
          <w:i/>
          <w:iCs w:val="0"/>
          <w:sz w:val="40"/>
          <w:szCs w:val="40"/>
          <w:rtl/>
        </w:rPr>
        <w:t xml:space="preserve"> </w:t>
      </w:r>
      <w:r w:rsidRPr="005639FB">
        <w:rPr>
          <w:rFonts w:ascii="Arabic Typesetting" w:hAnsi="Arabic Typesetting" w:cs="Arabic Typesetting"/>
          <w:b/>
          <w:bCs w:val="0"/>
          <w:i/>
          <w:iCs w:val="0"/>
          <w:sz w:val="40"/>
          <w:szCs w:val="40"/>
          <w:rtl/>
        </w:rPr>
        <w:t>خصائص تقارير البحث الدولي</w:t>
      </w:r>
      <w:r w:rsidR="009D6F94" w:rsidRPr="005639FB">
        <w:rPr>
          <w:rFonts w:ascii="Arabic Typesetting" w:hAnsi="Arabic Typesetting" w:cs="Arabic Typesetting"/>
          <w:b/>
          <w:bCs w:val="0"/>
          <w:i/>
          <w:iCs w:val="0"/>
          <w:sz w:val="40"/>
          <w:szCs w:val="40"/>
          <w:rtl/>
        </w:rPr>
        <w:t xml:space="preserve"> </w:t>
      </w:r>
    </w:p>
    <w:p w14:paraId="7B3333FB" w14:textId="77777777" w:rsidR="009060D0" w:rsidRPr="005639FB" w:rsidRDefault="009060D0" w:rsidP="00A513BF">
      <w:pPr>
        <w:pStyle w:val="NumberedParaAR"/>
        <w:numPr>
          <w:ilvl w:val="0"/>
          <w:numId w:val="7"/>
        </w:numPr>
      </w:pPr>
      <w:r w:rsidRPr="005639FB">
        <w:rPr>
          <w:rFonts w:hint="cs"/>
          <w:rtl/>
        </w:rPr>
        <w:t xml:space="preserve"> أعربت الإدارات عن تقديرها للتقارير المقدمة بشأن </w:t>
      </w:r>
      <w:r w:rsidRPr="005639FB">
        <w:rPr>
          <w:rtl/>
        </w:rPr>
        <w:t>خصائص تقارير البحث الدولي</w:t>
      </w:r>
      <w:r w:rsidRPr="005639FB">
        <w:t xml:space="preserve"> </w:t>
      </w:r>
      <w:r w:rsidRPr="005639FB">
        <w:rPr>
          <w:rFonts w:hint="cs"/>
          <w:rtl/>
        </w:rPr>
        <w:t xml:space="preserve">واعتبرتها قيّمة، لا سيما كأداة للتقييم الذاتي. واعتبرت إحدى الإدارات أن الرؤية المحسّنة </w:t>
      </w:r>
      <w:r w:rsidRPr="005639FB">
        <w:rPr>
          <w:rtl/>
        </w:rPr>
        <w:t>ل</w:t>
      </w:r>
      <w:r w:rsidRPr="005639FB">
        <w:rPr>
          <w:rFonts w:hint="cs"/>
          <w:rtl/>
        </w:rPr>
        <w:t>ل</w:t>
      </w:r>
      <w:r w:rsidRPr="005639FB">
        <w:rPr>
          <w:rtl/>
        </w:rPr>
        <w:t>تقسيمات حسب المجال التقني</w:t>
      </w:r>
      <w:r w:rsidRPr="005639FB">
        <w:rPr>
          <w:rFonts w:hint="cs"/>
          <w:rtl/>
        </w:rPr>
        <w:t xml:space="preserve"> والمعدلات في جميع الإدارات تكتسيان أهمية خاصة. وأشارت إحدى الإدارات إلى أنها تُجري تحليلاً مشابهاً في تقاريرها الوطنية للبحث. </w:t>
      </w:r>
    </w:p>
    <w:p w14:paraId="765E2A87" w14:textId="77777777" w:rsidR="009060D0" w:rsidRPr="005639FB" w:rsidRDefault="009060D0" w:rsidP="00A513BF">
      <w:pPr>
        <w:pStyle w:val="NumberedParaAR"/>
        <w:numPr>
          <w:ilvl w:val="0"/>
          <w:numId w:val="7"/>
        </w:numPr>
      </w:pPr>
      <w:r w:rsidRPr="005639FB">
        <w:rPr>
          <w:rFonts w:hint="cs"/>
          <w:rtl/>
        </w:rPr>
        <w:t>وأفادت الإدارات بأنها عادة تنظر أولاً في التوجهات داخل إداراتها الخاصة لكنها تأخذ كذلك علماً بالتوجهات في الإدارات الأخرى وتنظر في أسباب الاختلافات. ويمكن إرسال التعليقات على الاستنتاجات عبر الإجراءات الرسمية لإدارة الجودة أو مباشرة إلى أقسام العمليات في الإدارة. وأدت المقارنات بين إدارات مختلفة إلى تعديلات مهمة في الممارسة العملية، بما فيها مدى الحاجة إلى أن يواصل الفاحصون البحث عن ا</w:t>
      </w:r>
      <w:r w:rsidRPr="005639FB">
        <w:rPr>
          <w:rtl/>
        </w:rPr>
        <w:t>لحالة التقنية الصناعية السابقة</w:t>
      </w:r>
      <w:r w:rsidRPr="005639FB">
        <w:rPr>
          <w:rFonts w:hint="cs"/>
          <w:rtl/>
        </w:rPr>
        <w:t xml:space="preserve"> بعد إيجاد استشهادات جيدة عن الجدّة. لكن يصعب في بعض الحالات تحديد الأهمية التي يمكن أن تكتسيها خاصية معيّنة بالنسبة لإجراءات الجودة. واقُترح أن تحسين أساليب المخططات من شأنه أن يساعد في التفسير. </w:t>
      </w:r>
    </w:p>
    <w:p w14:paraId="1592711C" w14:textId="77777777" w:rsidR="009060D0" w:rsidRPr="005639FB" w:rsidRDefault="009060D0" w:rsidP="00A513BF">
      <w:pPr>
        <w:pStyle w:val="NumberedParaAR"/>
        <w:numPr>
          <w:ilvl w:val="0"/>
          <w:numId w:val="7"/>
        </w:numPr>
      </w:pPr>
      <w:r w:rsidRPr="005639FB">
        <w:rPr>
          <w:rFonts w:hint="cs"/>
          <w:rtl/>
        </w:rPr>
        <w:t xml:space="preserve">وأشارت إحدى الإدارات إلى أنها تقدم تقارير بحث دولية في نسق </w:t>
      </w:r>
      <w:r w:rsidRPr="005639FB">
        <w:rPr>
          <w:rtl/>
        </w:rPr>
        <w:t>ملفات الصور المرتبطة بتطبيقات (</w:t>
      </w:r>
      <w:r w:rsidRPr="005639FB">
        <w:t>XML</w:t>
      </w:r>
      <w:r w:rsidRPr="005639FB">
        <w:rPr>
          <w:rtl/>
        </w:rPr>
        <w:t>)</w:t>
      </w:r>
      <w:r w:rsidRPr="005639FB">
        <w:rPr>
          <w:rFonts w:hint="cs"/>
          <w:rtl/>
        </w:rPr>
        <w:t>، وأن هذا الأسلوب إن طُبّق على المستوى العالمي سيقلّص بشكل كبير فترة التأخير بين إعداد التقارير والقدرة على تحليل التوجهات في الخصائص.</w:t>
      </w:r>
    </w:p>
    <w:p w14:paraId="2E0A0096" w14:textId="1F223DE0" w:rsidR="009060D0" w:rsidRPr="005639FB" w:rsidRDefault="009060D0" w:rsidP="00A513BF">
      <w:pPr>
        <w:pStyle w:val="NumberedParaAR"/>
        <w:numPr>
          <w:ilvl w:val="0"/>
          <w:numId w:val="7"/>
        </w:numPr>
      </w:pPr>
      <w:r w:rsidRPr="005639FB">
        <w:rPr>
          <w:rFonts w:hint="cs"/>
          <w:rtl/>
        </w:rPr>
        <w:t xml:space="preserve">ودعت بعض الإدارات الأخرى إلى الاتصال بها بصفة غير رسمية في حال رُصدت توجهات لا سبباً وجيهاً لها. وقد تكون هذه النقاشات الثنائية مفيدة للطرفين. </w:t>
      </w:r>
    </w:p>
    <w:p w14:paraId="50C543EC" w14:textId="77777777" w:rsidR="009060D0" w:rsidRPr="005639FB" w:rsidRDefault="009060D0" w:rsidP="00A513BF">
      <w:pPr>
        <w:pStyle w:val="NumberedParaAR"/>
        <w:numPr>
          <w:ilvl w:val="0"/>
          <w:numId w:val="7"/>
        </w:numPr>
      </w:pPr>
      <w:r w:rsidRPr="005639FB">
        <w:rPr>
          <w:rFonts w:hint="cs"/>
          <w:rtl/>
        </w:rPr>
        <w:t xml:space="preserve"> ودعت بعض الإدارات المكتب الدولي إلى المساعدة في استرعاء انتباه السلطات إلى التوجهات المهمة، إما بتوليه إجراء استعراض للخصائص أو من خلال تسليط الضوء بشكل مباشر على الخصائص التي تختلف أكثر من القدر المحدد. وصرح المكتب الدولي بأن ذلك يحتاج إلى مزيد من الدراسة، إذ أن للاستعراض اليدوي تداعيات كبيرة على عبء العمل أو على توقيت تقديم التقارير. ويتطلب نظام آلي دراسة متأنية لمعاييره إن كان من حيث تحديد ما إذا كانت الاختلافات تُقاس مقارنة بالمعدل المحسوب من جميع الإدارات أو من النتائج السابقة لكل إدارة، أو من حيث كيفية حساب الاختلاف، علماً بأن التقلبات الإحصائية العادية لبعض الخصائص قد تكون كبيرة جداً بالنسبة للإدارات التي تقدم عدداً ضئيلاً من تقارير البحث الدولي في كل فصل.</w:t>
      </w:r>
    </w:p>
    <w:p w14:paraId="3ACB8EE0" w14:textId="70D80A09" w:rsidR="009060D0" w:rsidRPr="005639FB" w:rsidRDefault="009060D0" w:rsidP="00A513BF">
      <w:pPr>
        <w:pStyle w:val="NumberedParaAR"/>
        <w:numPr>
          <w:ilvl w:val="0"/>
          <w:numId w:val="7"/>
        </w:numPr>
      </w:pPr>
      <w:r w:rsidRPr="005639FB">
        <w:rPr>
          <w:rFonts w:hint="cs"/>
          <w:rtl/>
        </w:rPr>
        <w:t xml:space="preserve">وشدّدت الإدارات على أنها تبقى مهتمة بعدد من الخصائص الإضافية التي أشير إليها في دورات سابقة، في حال توفرت البيانات المطلوبة لذلك. وتشمل هذه الخصائص تحديداً مقارنة بين الاستشهادات المقدمة في المرحلة الدولية وتلك </w:t>
      </w:r>
      <w:r w:rsidRPr="005639FB">
        <w:rPr>
          <w:rFonts w:hint="cs"/>
          <w:rtl/>
        </w:rPr>
        <w:lastRenderedPageBreak/>
        <w:t xml:space="preserve">المستخدمة في المرحلة الوطنية. بالإضافة إلى ذلك، أعربت الإدارات عن اهتمامها بالخصائص الإضافية التي تشمل النسبة المئوية من التقارير التي تتضمن </w:t>
      </w:r>
      <w:proofErr w:type="spellStart"/>
      <w:r w:rsidRPr="005639FB">
        <w:rPr>
          <w:rFonts w:hint="cs"/>
          <w:rtl/>
        </w:rPr>
        <w:t>استشهادات</w:t>
      </w:r>
      <w:proofErr w:type="spellEnd"/>
      <w:r w:rsidRPr="005639FB">
        <w:rPr>
          <w:rFonts w:hint="cs"/>
          <w:rtl/>
        </w:rPr>
        <w:t xml:space="preserve"> من الفئة </w:t>
      </w:r>
      <w:r w:rsidRPr="005639FB">
        <w:t>X</w:t>
      </w:r>
      <w:r w:rsidRPr="005639FB">
        <w:rPr>
          <w:rFonts w:hint="cs"/>
          <w:rtl/>
        </w:rPr>
        <w:t xml:space="preserve"> أو الفئة</w:t>
      </w:r>
      <w:r w:rsidR="009D6F94" w:rsidRPr="005639FB">
        <w:rPr>
          <w:rFonts w:hint="cs"/>
          <w:rtl/>
        </w:rPr>
        <w:t xml:space="preserve"> </w:t>
      </w:r>
      <w:r w:rsidRPr="005639FB">
        <w:t>Y</w:t>
      </w:r>
      <w:r w:rsidR="00D02C0C" w:rsidRPr="005639FB">
        <w:rPr>
          <w:rFonts w:hint="cs"/>
          <w:rtl/>
        </w:rPr>
        <w:t xml:space="preserve"> </w:t>
      </w:r>
      <w:r w:rsidRPr="005639FB">
        <w:rPr>
          <w:rFonts w:hint="cs"/>
          <w:rtl/>
        </w:rPr>
        <w:t>باللغات غير الرسمية والنسبة المئوية لتقارير البحث المقدمة من الملتمسين الرئيسيين إلى إدارة بعينها. واقتُرح أنه سيكون من المفيد إدراج تفاصيل عن عدد تقارير البحث الدولي التي أعدتها الإدارة في فصل معيّن بغية توفير سياق ملائم للأرقام. واقُترح أيضاً أن الخصائص المرتبطة "باللغات غير الرسمية" قد تكون أكثر فائدة بشكل عام لكونها "</w:t>
      </w:r>
      <w:proofErr w:type="spellStart"/>
      <w:r w:rsidRPr="005639FB">
        <w:rPr>
          <w:rFonts w:hint="cs"/>
          <w:rtl/>
        </w:rPr>
        <w:t>استشهادات</w:t>
      </w:r>
      <w:proofErr w:type="spellEnd"/>
      <w:r w:rsidRPr="005639FB">
        <w:rPr>
          <w:rFonts w:hint="cs"/>
          <w:rtl/>
        </w:rPr>
        <w:t xml:space="preserve"> بلغات تختلف عن لغة الطلب الدولي". وأشارت إحدى الإدارات إلى أنه قد يصعب تفسير الرسوم البيانية التي تتضمن </w:t>
      </w:r>
      <w:r w:rsidRPr="005639FB">
        <w:rPr>
          <w:rtl/>
        </w:rPr>
        <w:t>ذروات وقيعان</w:t>
      </w:r>
      <w:r w:rsidRPr="005639FB">
        <w:rPr>
          <w:rFonts w:hint="cs"/>
          <w:rtl/>
        </w:rPr>
        <w:t xml:space="preserve"> كبيرة واقترحت النظر في السبل الملائمة لبيان التوجهات في هذه الحالات. </w:t>
      </w:r>
    </w:p>
    <w:p w14:paraId="2E34EE8F" w14:textId="77777777" w:rsidR="009060D0" w:rsidRPr="005639FB" w:rsidRDefault="009060D0" w:rsidP="00D02C0C">
      <w:pPr>
        <w:pStyle w:val="NumberedParaAR"/>
        <w:numPr>
          <w:ilvl w:val="0"/>
          <w:numId w:val="7"/>
        </w:numPr>
        <w:ind w:left="566"/>
      </w:pPr>
      <w:r w:rsidRPr="005639FB">
        <w:rPr>
          <w:rFonts w:hint="cs"/>
          <w:rtl/>
        </w:rPr>
        <w:t xml:space="preserve">وأوصى الفريق الفرعي بأن يواصل المكتب الدولي دراسة إمكانية إعداد تقارير عن الخصائص من أجل توفير رؤية محسّنة عن الخصائص والتقسيمات </w:t>
      </w:r>
      <w:r w:rsidRPr="005639FB">
        <w:rPr>
          <w:rtl/>
        </w:rPr>
        <w:t>حسب المجال التقني</w:t>
      </w:r>
      <w:r w:rsidRPr="005639FB">
        <w:rPr>
          <w:rFonts w:hint="cs"/>
          <w:rtl/>
        </w:rPr>
        <w:t xml:space="preserve">، وتوفير خدمة تفاعلية، إن كانت ممكنة، تمكّن الإدارات من اختيار مجموعة متنوعة من الرؤى المختلفة كالمقارنة مثلاً بين خصائص معادلة لمكاتب محددة أو في مجالات تقنية مختلفة. وينبغي النظر في استخدام مخططات ذات أعمدة متراكمة لمجموعات الخصائص التي يمكن تمثيلها كمجموعات كاملة من الخيارات المختلفة في تقرير بحث دولي. </w:t>
      </w:r>
    </w:p>
    <w:p w14:paraId="3FB0ACDB" w14:textId="6D034C93" w:rsidR="009060D0" w:rsidRPr="005639FB" w:rsidRDefault="009060D0" w:rsidP="00A513BF">
      <w:pPr>
        <w:pStyle w:val="Heading2"/>
        <w:bidi/>
        <w:spacing w:after="240" w:line="360" w:lineRule="exact"/>
        <w:rPr>
          <w:rFonts w:ascii="Arabic Typesetting" w:hAnsi="Arabic Typesetting" w:cs="Arabic Typesetting"/>
          <w:b/>
          <w:bCs w:val="0"/>
          <w:i/>
          <w:iCs w:val="0"/>
          <w:sz w:val="40"/>
          <w:szCs w:val="40"/>
        </w:rPr>
      </w:pPr>
      <w:r w:rsidRPr="005639FB">
        <w:rPr>
          <w:rFonts w:ascii="Arabic Typesetting" w:hAnsi="Arabic Typesetting" w:cs="Arabic Typesetting" w:hint="cs"/>
          <w:b/>
          <w:bCs w:val="0"/>
          <w:i/>
          <w:iCs w:val="0"/>
          <w:sz w:val="40"/>
          <w:szCs w:val="40"/>
          <w:rtl/>
        </w:rPr>
        <w:t>(باء)</w:t>
      </w:r>
      <w:r w:rsidR="00BF7E30" w:rsidRPr="005639FB">
        <w:rPr>
          <w:rFonts w:ascii="Arabic Typesetting" w:hAnsi="Arabic Typesetting" w:cs="Arabic Typesetting"/>
          <w:b/>
          <w:bCs w:val="0"/>
          <w:i/>
          <w:iCs w:val="0"/>
          <w:sz w:val="40"/>
          <w:szCs w:val="40"/>
          <w:rtl/>
        </w:rPr>
        <w:tab/>
      </w:r>
      <w:r w:rsidRPr="005639FB">
        <w:rPr>
          <w:rFonts w:ascii="Arabic Typesetting" w:hAnsi="Arabic Typesetting" w:cs="Arabic Typesetting" w:hint="cs"/>
          <w:b/>
          <w:bCs w:val="0"/>
          <w:i/>
          <w:iCs w:val="0"/>
          <w:sz w:val="40"/>
          <w:szCs w:val="40"/>
          <w:rtl/>
        </w:rPr>
        <w:t xml:space="preserve">مقاييس معاهدة </w:t>
      </w:r>
      <w:r w:rsidRPr="005639FB">
        <w:rPr>
          <w:rFonts w:ascii="Arabic Typesetting" w:hAnsi="Arabic Typesetting" w:cs="Arabic Typesetting"/>
          <w:b/>
          <w:bCs w:val="0"/>
          <w:i/>
          <w:iCs w:val="0"/>
          <w:sz w:val="40"/>
          <w:szCs w:val="40"/>
          <w:rtl/>
        </w:rPr>
        <w:t>التعاون بشأن البراءات</w:t>
      </w:r>
      <w:r w:rsidRPr="005639FB">
        <w:rPr>
          <w:rFonts w:ascii="Arabic Typesetting" w:hAnsi="Arabic Typesetting" w:cs="Arabic Typesetting" w:hint="cs"/>
          <w:b/>
          <w:bCs w:val="0"/>
          <w:i/>
          <w:iCs w:val="0"/>
          <w:sz w:val="40"/>
          <w:szCs w:val="40"/>
          <w:rtl/>
        </w:rPr>
        <w:t xml:space="preserve"> </w:t>
      </w:r>
      <w:r w:rsidRPr="005639FB">
        <w:rPr>
          <w:rFonts w:ascii="Arabic Typesetting" w:hAnsi="Arabic Typesetting" w:cs="Arabic Typesetting"/>
          <w:b/>
          <w:bCs w:val="0"/>
          <w:i/>
          <w:iCs w:val="0"/>
          <w:sz w:val="40"/>
          <w:szCs w:val="40"/>
          <w:rtl/>
        </w:rPr>
        <w:t>–</w:t>
      </w:r>
      <w:r w:rsidRPr="005639FB">
        <w:rPr>
          <w:rFonts w:ascii="Arabic Typesetting" w:hAnsi="Arabic Typesetting" w:cs="Arabic Typesetting" w:hint="cs"/>
          <w:b/>
          <w:bCs w:val="0"/>
          <w:i/>
          <w:iCs w:val="0"/>
          <w:sz w:val="40"/>
          <w:szCs w:val="40"/>
          <w:rtl/>
        </w:rPr>
        <w:t xml:space="preserve"> تحديد الاحتياجات والحصول على البيانات </w:t>
      </w:r>
    </w:p>
    <w:p w14:paraId="77E41D47" w14:textId="281FA0DE" w:rsidR="009060D0" w:rsidRPr="005639FB" w:rsidRDefault="009060D0" w:rsidP="002176C7">
      <w:pPr>
        <w:pStyle w:val="NumberedParaAR"/>
        <w:numPr>
          <w:ilvl w:val="0"/>
          <w:numId w:val="7"/>
        </w:numPr>
      </w:pPr>
      <w:r w:rsidRPr="005639FB">
        <w:rPr>
          <w:rFonts w:hint="cs"/>
          <w:rtl/>
        </w:rPr>
        <w:t>أعربت الإدارات الدولية عن ارتياحها للمقاييس المحسّنة التي توفرت في السنوات الأخيرة، لا سيما من مكتب الويبو</w:t>
      </w:r>
      <w:r w:rsidR="009D6F94" w:rsidRPr="005639FB">
        <w:rPr>
          <w:rFonts w:hint="cs"/>
          <w:rtl/>
        </w:rPr>
        <w:t xml:space="preserve"> </w:t>
      </w:r>
      <w:r w:rsidRPr="005639FB">
        <w:rPr>
          <w:rtl/>
        </w:rPr>
        <w:t>مركز الويبو للبيانات الإحصائية الخاصة بالملكية الفكرية</w:t>
      </w:r>
      <w:r w:rsidRPr="005639FB">
        <w:rPr>
          <w:rFonts w:hint="cs"/>
          <w:rtl/>
        </w:rPr>
        <w:t xml:space="preserve"> و</w:t>
      </w:r>
      <w:r w:rsidR="002176C7" w:rsidRPr="005639FB">
        <w:rPr>
          <w:rtl/>
        </w:rPr>
        <w:t xml:space="preserve">نظام </w:t>
      </w:r>
      <w:proofErr w:type="spellStart"/>
      <w:r w:rsidRPr="005639FB">
        <w:t>ePCT</w:t>
      </w:r>
      <w:proofErr w:type="spellEnd"/>
      <w:r w:rsidRPr="005639FB">
        <w:rPr>
          <w:rFonts w:hint="cs"/>
          <w:rtl/>
        </w:rPr>
        <w:t xml:space="preserve"> لتقديم التقارير للمكاتب. ودعا بعض الإدارات إلى أن يوفّر مكتب البيانات</w:t>
      </w:r>
      <w:r w:rsidR="009D6F94" w:rsidRPr="005639FB">
        <w:rPr>
          <w:rFonts w:hint="cs"/>
          <w:rtl/>
        </w:rPr>
        <w:t xml:space="preserve"> </w:t>
      </w:r>
      <w:r w:rsidRPr="005639FB">
        <w:rPr>
          <w:rFonts w:hint="cs"/>
          <w:rtl/>
        </w:rPr>
        <w:t>خيارات تقسيم إضافية (كتقسيم المعلومات مثلاً حسب مجالات التكنولوجية الخمس والثلاثين وحسب بلد المنشأ).</w:t>
      </w:r>
      <w:r w:rsidR="002176C7" w:rsidRPr="005639FB">
        <w:rPr>
          <w:rFonts w:hint="cs"/>
          <w:rtl/>
        </w:rPr>
        <w:t xml:space="preserve"> بالإضافة إلى ذلك، يمكن أن يوفر </w:t>
      </w:r>
      <w:r w:rsidR="002176C7" w:rsidRPr="005639FB">
        <w:rPr>
          <w:rtl/>
        </w:rPr>
        <w:t xml:space="preserve">نظام </w:t>
      </w:r>
      <w:proofErr w:type="spellStart"/>
      <w:r w:rsidRPr="005639FB">
        <w:t>ePCT</w:t>
      </w:r>
      <w:proofErr w:type="spellEnd"/>
      <w:r w:rsidRPr="005639FB">
        <w:rPr>
          <w:rFonts w:hint="cs"/>
          <w:rtl/>
        </w:rPr>
        <w:t xml:space="preserve"> لتقديم التقارير أدلة مرجعية جيدة حول كيفية الحصول على التقارير المفصّلة المرغوب بها. ودعت إحدى الإدارات المكتب الدولي إلى توفير معلومات محسّنة عن إرسال نُسخ البحث. </w:t>
      </w:r>
    </w:p>
    <w:p w14:paraId="05443730" w14:textId="0CF7FEB3" w:rsidR="009060D0" w:rsidRPr="005639FB" w:rsidRDefault="009060D0" w:rsidP="002176C7">
      <w:pPr>
        <w:pStyle w:val="NumberedParaAR"/>
        <w:numPr>
          <w:ilvl w:val="0"/>
          <w:numId w:val="7"/>
        </w:numPr>
      </w:pPr>
      <w:r w:rsidRPr="005639FB">
        <w:rPr>
          <w:rFonts w:hint="cs"/>
          <w:rtl/>
        </w:rPr>
        <w:t xml:space="preserve">ورداً على طلبات وردت من عدد من الإدارات بشأن مجموعة متنوعة من الحالات التي سيواصل فيها </w:t>
      </w:r>
      <w:r w:rsidR="002176C7" w:rsidRPr="005639FB">
        <w:rPr>
          <w:rtl/>
        </w:rPr>
        <w:t xml:space="preserve">نظام </w:t>
      </w:r>
      <w:proofErr w:type="spellStart"/>
      <w:r w:rsidR="002176C7" w:rsidRPr="005639FB">
        <w:t>ePCT</w:t>
      </w:r>
      <w:proofErr w:type="spellEnd"/>
      <w:r w:rsidRPr="005639FB">
        <w:rPr>
          <w:rFonts w:hint="cs"/>
          <w:rtl/>
        </w:rPr>
        <w:t xml:space="preserve"> لتقديم التقارير عرض الحالات كحالات عالقة لفترة معيّنة بعد أن تكون الإدارة المعنية أو مكتب الاستلام قد عالجها، أشار المكتب الدولي إلى أنه يعي هذه المشاكل وأنه قد وجد حلولاً ملائمة لها سيطبقها في الأشهر المقبلة. </w:t>
      </w:r>
    </w:p>
    <w:p w14:paraId="2505F2CC" w14:textId="179479B4" w:rsidR="009060D0" w:rsidRPr="005639FB" w:rsidRDefault="009060D0" w:rsidP="002C4E85">
      <w:pPr>
        <w:pStyle w:val="NumberedParaAR"/>
        <w:numPr>
          <w:ilvl w:val="0"/>
          <w:numId w:val="7"/>
        </w:numPr>
      </w:pPr>
      <w:r w:rsidRPr="005639FB">
        <w:rPr>
          <w:rFonts w:hint="cs"/>
          <w:rtl/>
        </w:rPr>
        <w:t xml:space="preserve">ورحّب بعض الإدارات باقتراحات إرسال التقارير إلى المكاتب بواسطة البريد </w:t>
      </w:r>
      <w:r w:rsidR="007A065F" w:rsidRPr="005639FB">
        <w:rPr>
          <w:rFonts w:hint="cs"/>
          <w:rtl/>
        </w:rPr>
        <w:t>الإلكتروني</w:t>
      </w:r>
      <w:r w:rsidR="005639FB" w:rsidRPr="005639FB">
        <w:rPr>
          <w:rFonts w:hint="cs"/>
          <w:rtl/>
        </w:rPr>
        <w:t xml:space="preserve"> </w:t>
      </w:r>
      <w:r w:rsidRPr="005639FB">
        <w:rPr>
          <w:rFonts w:hint="cs"/>
          <w:rtl/>
        </w:rPr>
        <w:t xml:space="preserve">وإن أعربت إحدى الإدارات عن قلقها من أن تُرسل التقارير من نوع تلك التي يصدرها </w:t>
      </w:r>
      <w:r w:rsidR="002C4E85" w:rsidRPr="005639FB">
        <w:rPr>
          <w:rtl/>
        </w:rPr>
        <w:t xml:space="preserve">نظام </w:t>
      </w:r>
      <w:proofErr w:type="spellStart"/>
      <w:r w:rsidR="002C4E85" w:rsidRPr="005639FB">
        <w:t>ePCT</w:t>
      </w:r>
      <w:proofErr w:type="spellEnd"/>
      <w:r w:rsidRPr="005639FB">
        <w:rPr>
          <w:rFonts w:hint="cs"/>
          <w:rtl/>
        </w:rPr>
        <w:t xml:space="preserve"> حالياً بهذه الطريقة. </w:t>
      </w:r>
    </w:p>
    <w:p w14:paraId="70404516" w14:textId="77777777" w:rsidR="009060D0" w:rsidRPr="005639FB" w:rsidRDefault="009060D0" w:rsidP="00A513BF">
      <w:pPr>
        <w:pStyle w:val="NumberedParaAR"/>
        <w:numPr>
          <w:ilvl w:val="0"/>
          <w:numId w:val="7"/>
        </w:numPr>
      </w:pPr>
      <w:r w:rsidRPr="005639FB">
        <w:rPr>
          <w:rFonts w:hint="cs"/>
          <w:rtl/>
        </w:rPr>
        <w:t xml:space="preserve">ورداً على استعراض للمعلومات المتاحة بشأن وحدة الاختراع، قالت إحدى الإدارات إنه يمكن استخدام الخانة 4 من الرأي المكتوب الصادر عن إدارة البحث الدولي في عدد من الحالات المختلفة، ما قد يؤدي إلى سوء تفسير إن لم تُميّز المعلومات بشكل مناسب. وأشير بالتالي إلى ضرورة التأني في تبادل هذه البيانات. </w:t>
      </w:r>
    </w:p>
    <w:p w14:paraId="6CA75A0C" w14:textId="77777777" w:rsidR="009060D0" w:rsidRPr="005639FB" w:rsidRDefault="009060D0" w:rsidP="002C4E85">
      <w:pPr>
        <w:pStyle w:val="NumberedParaAR"/>
        <w:numPr>
          <w:ilvl w:val="0"/>
          <w:numId w:val="7"/>
        </w:numPr>
        <w:ind w:left="566"/>
      </w:pPr>
      <w:r w:rsidRPr="005639FB">
        <w:rPr>
          <w:rFonts w:hint="cs"/>
          <w:rtl/>
        </w:rPr>
        <w:t xml:space="preserve">وأحاط الفريق الفرعي علماً بأن المكتب الدولي سيواصل تطوير خدماته لإتاحة البيانات. ودعا المكتب الدولي الإدارات إلى مواصلة إرسال اقتراحاتها عن إمكانيات التحسين في أي وقت وأن تمنح الأولوية إلى توفير معلومات من مكاتبها قد تكون ضرورية لتقديم مقاييس مفيدة لا تتوفر بشأنها بيانات في الوقت الحالي. </w:t>
      </w:r>
    </w:p>
    <w:p w14:paraId="6B365E57" w14:textId="31594A6A" w:rsidR="009060D0" w:rsidRPr="005639FB" w:rsidRDefault="009060D0" w:rsidP="002C4E85">
      <w:pPr>
        <w:pStyle w:val="Heading1AR"/>
        <w:spacing w:after="240" w:line="360" w:lineRule="exact"/>
        <w:rPr>
          <w:rtl/>
        </w:rPr>
      </w:pPr>
      <w:r w:rsidRPr="005639FB">
        <w:rPr>
          <w:rFonts w:hint="cs"/>
          <w:b/>
          <w:rtl/>
        </w:rPr>
        <w:t>3</w:t>
      </w:r>
      <w:r w:rsidRPr="005639FB">
        <w:rPr>
          <w:rFonts w:hint="cs"/>
          <w:rtl/>
        </w:rPr>
        <w:t>.</w:t>
      </w:r>
      <w:r w:rsidR="00692CF8" w:rsidRPr="005639FB">
        <w:rPr>
          <w:rtl/>
        </w:rPr>
        <w:tab/>
      </w:r>
      <w:r w:rsidRPr="005639FB">
        <w:rPr>
          <w:rFonts w:hint="cs"/>
          <w:rtl/>
        </w:rPr>
        <w:t>فهم أفضل لعمل المكاتب الأخرى</w:t>
      </w:r>
      <w:r w:rsidR="009D6F94" w:rsidRPr="005639FB">
        <w:rPr>
          <w:rFonts w:hint="cs"/>
          <w:rtl/>
        </w:rPr>
        <w:t xml:space="preserve"> </w:t>
      </w:r>
    </w:p>
    <w:p w14:paraId="2421DD36" w14:textId="0E7836AB" w:rsidR="00BF7E30" w:rsidRPr="005639FB" w:rsidRDefault="00BF7E30" w:rsidP="002C4E85">
      <w:pPr>
        <w:pStyle w:val="NormalParaAR"/>
        <w:tabs>
          <w:tab w:val="left" w:pos="566"/>
        </w:tabs>
        <w:ind w:left="-1"/>
        <w:rPr>
          <w:sz w:val="40"/>
          <w:szCs w:val="40"/>
        </w:rPr>
      </w:pPr>
      <w:r w:rsidRPr="005639FB">
        <w:rPr>
          <w:rFonts w:hint="cs"/>
          <w:sz w:val="40"/>
          <w:szCs w:val="40"/>
          <w:rtl/>
        </w:rPr>
        <w:t>(ألف</w:t>
      </w:r>
      <w:r w:rsidRPr="005639FB">
        <w:rPr>
          <w:sz w:val="40"/>
          <w:szCs w:val="40"/>
          <w:rtl/>
        </w:rPr>
        <w:t>)</w:t>
      </w:r>
      <w:r w:rsidRPr="005639FB">
        <w:rPr>
          <w:rFonts w:hint="cs"/>
          <w:sz w:val="40"/>
          <w:szCs w:val="40"/>
          <w:rtl/>
        </w:rPr>
        <w:tab/>
      </w:r>
      <w:r w:rsidRPr="005639FB">
        <w:rPr>
          <w:rFonts w:hint="cs"/>
          <w:sz w:val="40"/>
          <w:szCs w:val="40"/>
          <w:rtl/>
        </w:rPr>
        <w:tab/>
        <w:t xml:space="preserve"> معلومات محدثة: برنامج المكتب الأوروبي للبراءات التجريبي بشأن استراتيجيات البحث</w:t>
      </w:r>
    </w:p>
    <w:p w14:paraId="1FCE23AC" w14:textId="77777777" w:rsidR="009060D0" w:rsidRPr="005639FB" w:rsidRDefault="009060D0" w:rsidP="00A513BF">
      <w:pPr>
        <w:pStyle w:val="NumberedParaAR"/>
        <w:numPr>
          <w:ilvl w:val="0"/>
          <w:numId w:val="7"/>
        </w:numPr>
      </w:pPr>
      <w:r w:rsidRPr="005639FB">
        <w:rPr>
          <w:rFonts w:hint="cs"/>
          <w:rtl/>
        </w:rPr>
        <w:lastRenderedPageBreak/>
        <w:t>عرض المكتب الأوروبي للبراءات معلومات محدثة عن حالة برنامجه التجريبي بشأن استراتيجيات البحث. والغرض من تقديم ورقة استراتيجية البحث زيادة الثقة في نتائج البحث بشكل يسهّل إيجاد المعلومات الأكثر فائدة. وكشف تشاور مع المستخدمين الأوروبيي</w:t>
      </w:r>
      <w:r w:rsidRPr="005639FB">
        <w:rPr>
          <w:rFonts w:hint="eastAsia"/>
          <w:rtl/>
        </w:rPr>
        <w:t>ن</w:t>
      </w:r>
      <w:r w:rsidRPr="005639FB">
        <w:rPr>
          <w:rFonts w:hint="cs"/>
          <w:rtl/>
        </w:rPr>
        <w:t xml:space="preserve"> أن النهج التجريبي يلبي احتياجاتهم. وبناء عليه، تقرر تمديد البرنامج التجريبي إلى نهاية عام 2017 وجدد المكتب دعوته للإدارات الأخرى إلى المشاركة في هذا البرنامج. </w:t>
      </w:r>
    </w:p>
    <w:p w14:paraId="423B3EE6" w14:textId="77777777" w:rsidR="009060D0" w:rsidRPr="005639FB" w:rsidRDefault="009060D0" w:rsidP="00A513BF">
      <w:pPr>
        <w:pStyle w:val="NumberedParaAR"/>
        <w:numPr>
          <w:ilvl w:val="0"/>
          <w:numId w:val="7"/>
        </w:numPr>
      </w:pPr>
      <w:r w:rsidRPr="005639FB">
        <w:rPr>
          <w:rFonts w:hint="cs"/>
          <w:rtl/>
        </w:rPr>
        <w:t xml:space="preserve">وشدّد العديد من الإدارات على أهمية إتاحة استراتيجيات البحث دون إغفال مشاكل الوقت اللازم للفاحص وأنظمة تكنولوجيا المعلومات المستخدمة في إعدادها، إضافة إلى تباين احتياجات مختلف الجهات المستهدفة المحتملة. وأشارت إدارات أخرى إلى أنها تتيح استراتيجياتها البحثية على ركن البراءات في أشكال أخرى أو أنها تعمل على تحسين استراتيجياتها البحثية بغية تقديم معلومات أفضل عن التصنيفات التي ستستخدم في المستقبل. ودعت الإدارات المكتب الأوروبي إلى مواصلة تبادل التجارب المكتسبة خلال الفترة التجريبية مع الإدارات الأخرى. </w:t>
      </w:r>
    </w:p>
    <w:p w14:paraId="75E8C6FB" w14:textId="2917BC4A" w:rsidR="009060D0" w:rsidRPr="005639FB" w:rsidRDefault="009060D0" w:rsidP="00276F0E">
      <w:pPr>
        <w:pStyle w:val="NumberedParaAR"/>
        <w:numPr>
          <w:ilvl w:val="0"/>
          <w:numId w:val="7"/>
        </w:numPr>
      </w:pPr>
      <w:r w:rsidRPr="005639FB">
        <w:rPr>
          <w:rFonts w:hint="cs"/>
          <w:rtl/>
        </w:rPr>
        <w:t>ورداً على أسئلة طرحتها الإدارات، أشار المكتب الأوروبي للبراءات إلى أن سبب توفير هذه المعلومات في ورقة منفصلة بدلاً من إدراجها في تقرير البحث الدولي أنه هذه الطريقة تُسهّل أتمتمة العملية بشكل كامل وأن ذلك شرط أساسي لتفادي المزيد من الأعباء اليدوية على الفاحصين. ويتيح ذلك أيضاً تيسير التعديلات خلال الفترة التجريبية بما يسمح بالتطور</w:t>
      </w:r>
      <w:r w:rsidR="00276F0E" w:rsidRPr="005639FB">
        <w:rPr>
          <w:rFonts w:hint="eastAsia"/>
          <w:rtl/>
        </w:rPr>
        <w:t> </w:t>
      </w:r>
      <w:r w:rsidRPr="005639FB">
        <w:rPr>
          <w:rFonts w:hint="cs"/>
          <w:rtl/>
        </w:rPr>
        <w:t xml:space="preserve">والتحسين. </w:t>
      </w:r>
    </w:p>
    <w:p w14:paraId="7E268BAF" w14:textId="613D5380" w:rsidR="009060D0" w:rsidRPr="005639FB" w:rsidRDefault="009060D0" w:rsidP="00A513BF">
      <w:pPr>
        <w:pStyle w:val="NormalParaAR"/>
        <w:tabs>
          <w:tab w:val="left" w:pos="566"/>
        </w:tabs>
        <w:ind w:left="-1"/>
        <w:rPr>
          <w:sz w:val="40"/>
          <w:szCs w:val="40"/>
        </w:rPr>
      </w:pPr>
      <w:r w:rsidRPr="005639FB">
        <w:rPr>
          <w:rFonts w:hint="cs"/>
          <w:sz w:val="40"/>
          <w:szCs w:val="40"/>
          <w:rtl/>
        </w:rPr>
        <w:t>(باء)</w:t>
      </w:r>
      <w:r w:rsidR="00BF7E30" w:rsidRPr="005639FB">
        <w:rPr>
          <w:sz w:val="40"/>
          <w:szCs w:val="40"/>
          <w:rtl/>
        </w:rPr>
        <w:tab/>
      </w:r>
      <w:r w:rsidRPr="005639FB">
        <w:rPr>
          <w:rFonts w:hint="cs"/>
          <w:sz w:val="40"/>
          <w:szCs w:val="40"/>
          <w:rtl/>
        </w:rPr>
        <w:t>تقييم نُهج مختلفة لتبادل استراتيجيات البحث</w:t>
      </w:r>
    </w:p>
    <w:p w14:paraId="27C9A632" w14:textId="77777777" w:rsidR="009060D0" w:rsidRPr="005639FB" w:rsidRDefault="009060D0" w:rsidP="00A513BF">
      <w:pPr>
        <w:pStyle w:val="NumberedParaAR"/>
        <w:numPr>
          <w:ilvl w:val="0"/>
          <w:numId w:val="7"/>
        </w:numPr>
      </w:pPr>
      <w:r w:rsidRPr="005639FB">
        <w:rPr>
          <w:rFonts w:hint="cs"/>
          <w:rtl/>
        </w:rPr>
        <w:t xml:space="preserve">أشارت عدة إدارات إلى أن </w:t>
      </w:r>
      <w:r w:rsidRPr="005639FB">
        <w:rPr>
          <w:rtl/>
        </w:rPr>
        <w:t>نهج المسار الثلاثي</w:t>
      </w:r>
      <w:r w:rsidRPr="005639FB">
        <w:t xml:space="preserve"> </w:t>
      </w:r>
      <w:r w:rsidRPr="005639FB">
        <w:rPr>
          <w:rFonts w:hint="cs"/>
          <w:rtl/>
        </w:rPr>
        <w:t xml:space="preserve">لتبادل استراتيجيات البحث يُتبع منذ عامين واعتبرت أن الوقت قد حان لاستطلاع آراء مجموعة واسعة من المستخدمين، بمن فيهم المكاتب المعيّنة، بشأن النهج المختلفة. </w:t>
      </w:r>
    </w:p>
    <w:p w14:paraId="7DF99C1C" w14:textId="77777777" w:rsidR="009060D0" w:rsidRPr="005639FB" w:rsidRDefault="009060D0" w:rsidP="00A513BF">
      <w:pPr>
        <w:pStyle w:val="NumberedParaAR"/>
        <w:numPr>
          <w:ilvl w:val="0"/>
          <w:numId w:val="7"/>
        </w:numPr>
      </w:pPr>
      <w:r w:rsidRPr="005639FB">
        <w:rPr>
          <w:rFonts w:hint="cs"/>
          <w:rtl/>
        </w:rPr>
        <w:t xml:space="preserve">وأشارت إحدى الإدارات إلى أن </w:t>
      </w:r>
      <w:r w:rsidRPr="005639FB">
        <w:rPr>
          <w:rtl/>
        </w:rPr>
        <w:t>نهج المسار الثلاثي</w:t>
      </w:r>
      <w:r w:rsidRPr="005639FB">
        <w:rPr>
          <w:rFonts w:hint="cs"/>
          <w:rtl/>
        </w:rPr>
        <w:t xml:space="preserve"> له أشكال مختلفة. واعتبرت أنه سيتعين قبل أن يتسنى إجراء استطلاع مفيد، إجراء دراسة تقارن بين أمثلة ملموسة عن جميع الأشكال المختلفة من استراتيجيات البحث المتاحة وتقييم مدى سهولة إنتاجها وكم من الوقت احتاج المستخدمون من مختلف مستويات الخبرة لفهمها. وسيساعد ذلك في تحديد الأسئلة الملائمة والتأكد من أن المستخدمين قادرين على تقديم تعليقات مجدية. واعتبرت إدارة أخرى أنه يتعين تعزيز توفر نتائج البحث للتأكد من أن المستخدمين يتمتعون بالخبرات العملية اللازمة لإبداء آراء مستنيرة. </w:t>
      </w:r>
    </w:p>
    <w:p w14:paraId="6BE6D71B" w14:textId="77777777" w:rsidR="009060D0" w:rsidRPr="005639FB" w:rsidRDefault="009060D0" w:rsidP="00A513BF">
      <w:pPr>
        <w:pStyle w:val="NumberedParaAR"/>
        <w:numPr>
          <w:ilvl w:val="0"/>
          <w:numId w:val="7"/>
        </w:numPr>
      </w:pPr>
      <w:r w:rsidRPr="005639FB">
        <w:rPr>
          <w:rFonts w:hint="cs"/>
          <w:rtl/>
        </w:rPr>
        <w:t xml:space="preserve">وأحاطت الإدارات علماَ بالفئات المستهدفة المختلفة المحتملة. وحبّذت بعض الإدارات أن ترد إشارات بسيطة إلى الاستراتيجيات تكون مناسبة لإعلام ملتمسي الطلبات الذين لا يكونون حكماً خبراء في البحث في </w:t>
      </w:r>
      <w:r w:rsidRPr="005639FB">
        <w:rPr>
          <w:rtl/>
        </w:rPr>
        <w:t>حالة التقنية الصناعية السابقة</w:t>
      </w:r>
      <w:r w:rsidRPr="005639FB">
        <w:rPr>
          <w:rFonts w:hint="cs"/>
          <w:rtl/>
        </w:rPr>
        <w:t>. واعتبرت إدارات أخرى أن المكاتب المعيّنة فئة مستهدفة بالغة الأهمية قد تكون استراتيجيات مفصلة ضرورية لها. وشُدّد مجدداً على أهمية توفر القدرة على إعداد الوثائق الاستراتيجية من دون زيادة الأعباء الواقعة على عاتق الفاحص.</w:t>
      </w:r>
    </w:p>
    <w:p w14:paraId="11D70718" w14:textId="77777777" w:rsidR="009060D0" w:rsidRPr="005639FB" w:rsidRDefault="009060D0" w:rsidP="00A513BF">
      <w:pPr>
        <w:pStyle w:val="NumberedParaAR"/>
        <w:numPr>
          <w:ilvl w:val="0"/>
          <w:numId w:val="7"/>
        </w:numPr>
      </w:pPr>
      <w:r w:rsidRPr="005639FB">
        <w:rPr>
          <w:rFonts w:hint="cs"/>
          <w:rtl/>
        </w:rPr>
        <w:t>وأفادت إحدى الإدارات بأنها تعتزم إجراء استطلاع خاص بها في المستقبل القريب بشأن استراتيجيات البحث التي بدأت بتوفيرها منذ عام 2013.</w:t>
      </w:r>
    </w:p>
    <w:p w14:paraId="0137E6EF" w14:textId="77777777" w:rsidR="009060D0" w:rsidRPr="005639FB" w:rsidRDefault="009060D0" w:rsidP="00A513BF">
      <w:pPr>
        <w:pStyle w:val="NumberedParaAR"/>
        <w:numPr>
          <w:ilvl w:val="0"/>
          <w:numId w:val="7"/>
        </w:numPr>
      </w:pPr>
      <w:r w:rsidRPr="005639FB">
        <w:rPr>
          <w:rFonts w:hint="cs"/>
          <w:rtl/>
        </w:rPr>
        <w:t xml:space="preserve">ووافق المكتب الدولي على ضرورة كفالة أن يطرح أي استطلاع أسئلة مناسبة على المستخدمين الذين ينبغي أن تتوفر لهم معلومات كافية لإعطاء أجوبة مستنيرة. وستبرز حاجة إلى مجموعة متنوعة من المعلومات لكن من الضروري إحراز تقدم فعلي في التوصل إلى استنتاجات وعدم الاكتفاء بإعادة استعراض المسائل التي سبق وأن نوقشت بالتفصيل في السابق كالاختلافات في المصطلحات التي لا يشكل حلّها ضرورة في هذه المرحلة. </w:t>
      </w:r>
    </w:p>
    <w:p w14:paraId="58A30FAD" w14:textId="43F3743A" w:rsidR="009060D0" w:rsidRPr="005639FB" w:rsidRDefault="009060D0" w:rsidP="00A513BF">
      <w:pPr>
        <w:pStyle w:val="NumberedParaAR"/>
        <w:numPr>
          <w:ilvl w:val="0"/>
          <w:numId w:val="7"/>
        </w:numPr>
        <w:ind w:left="566"/>
      </w:pPr>
      <w:r w:rsidRPr="005639FB">
        <w:rPr>
          <w:rFonts w:hint="cs"/>
          <w:rtl/>
        </w:rPr>
        <w:lastRenderedPageBreak/>
        <w:t xml:space="preserve">وأوصى الفريق الفرعي بأن يباشر المكتب الدولي بإطلاق مناقشة على المنتدى </w:t>
      </w:r>
      <w:r w:rsidR="007A065F" w:rsidRPr="005639FB">
        <w:rPr>
          <w:rFonts w:hint="cs"/>
          <w:rtl/>
        </w:rPr>
        <w:t>الإلكتروني</w:t>
      </w:r>
      <w:r w:rsidR="005639FB" w:rsidRPr="005639FB">
        <w:rPr>
          <w:rFonts w:hint="cs"/>
          <w:rtl/>
        </w:rPr>
        <w:t xml:space="preserve"> </w:t>
      </w:r>
      <w:r w:rsidRPr="005639FB">
        <w:rPr>
          <w:rFonts w:hint="cs"/>
          <w:rtl/>
        </w:rPr>
        <w:t xml:space="preserve">بشأن الخطوات المقبلة، وذلك بغية ضمان فهم الأشكال المتوفرة من استراتيجيات البحث، فضلاً عن المسائل التي ينبغي أن يكشفها الاستطلاع. ويمكن استخدام كتاب معمم لجمع مزيد من المعلومات عند الاقتضاء. </w:t>
      </w:r>
    </w:p>
    <w:p w14:paraId="029D4A2D" w14:textId="2EB30F11" w:rsidR="009060D0" w:rsidRPr="005639FB" w:rsidRDefault="009060D0" w:rsidP="00A513BF">
      <w:pPr>
        <w:pStyle w:val="NormalParaAR"/>
        <w:keepNext/>
        <w:keepLines/>
        <w:tabs>
          <w:tab w:val="left" w:pos="566"/>
        </w:tabs>
        <w:ind w:left="-1"/>
        <w:rPr>
          <w:sz w:val="40"/>
          <w:szCs w:val="40"/>
          <w:rtl/>
        </w:rPr>
      </w:pPr>
      <w:r w:rsidRPr="005639FB">
        <w:rPr>
          <w:sz w:val="40"/>
          <w:szCs w:val="40"/>
          <w:rtl/>
        </w:rPr>
        <w:t>(ج</w:t>
      </w:r>
      <w:r w:rsidR="00BF7E30" w:rsidRPr="005639FB">
        <w:rPr>
          <w:rFonts w:hint="cs"/>
          <w:sz w:val="40"/>
          <w:szCs w:val="40"/>
          <w:rtl/>
        </w:rPr>
        <w:t>يم</w:t>
      </w:r>
      <w:r w:rsidRPr="005639FB">
        <w:rPr>
          <w:sz w:val="40"/>
          <w:szCs w:val="40"/>
          <w:rtl/>
        </w:rPr>
        <w:t>)</w:t>
      </w:r>
      <w:r w:rsidR="00BF7E30" w:rsidRPr="005639FB">
        <w:rPr>
          <w:rFonts w:hint="cs"/>
          <w:sz w:val="40"/>
          <w:szCs w:val="40"/>
          <w:rtl/>
        </w:rPr>
        <w:tab/>
      </w:r>
      <w:r w:rsidRPr="005639FB">
        <w:rPr>
          <w:rFonts w:hint="cs"/>
          <w:sz w:val="40"/>
          <w:szCs w:val="40"/>
          <w:rtl/>
        </w:rPr>
        <w:t xml:space="preserve">البنود الموحدة- التنفيذ والتوسيع </w:t>
      </w:r>
    </w:p>
    <w:p w14:paraId="37689439" w14:textId="45CAA384" w:rsidR="009060D0" w:rsidRPr="005639FB" w:rsidRDefault="009060D0" w:rsidP="00A513BF">
      <w:pPr>
        <w:pStyle w:val="NumberedParaAR"/>
        <w:numPr>
          <w:ilvl w:val="0"/>
          <w:numId w:val="7"/>
        </w:numPr>
      </w:pPr>
      <w:r w:rsidRPr="005639FB">
        <w:rPr>
          <w:rFonts w:hint="cs"/>
          <w:rtl/>
        </w:rPr>
        <w:t xml:space="preserve"> قدمت عدة إدارات عروضاً عن تنفيذ البنود الموحدة. وأعادت الإدارات التأكيد على أن استخدام البود ينبغي أن يبقى اختيارياً وأن يُترك إلى تقدير الفاحص. ودُعيت الإدارات التي طبقت البنود الموحدة إلى الإبلاغ عن ذلك على المنتدى </w:t>
      </w:r>
      <w:r w:rsidR="007A065F" w:rsidRPr="005639FB">
        <w:rPr>
          <w:rFonts w:hint="cs"/>
          <w:rtl/>
        </w:rPr>
        <w:t>الإلكتروني</w:t>
      </w:r>
      <w:r w:rsidR="005639FB" w:rsidRPr="005639FB">
        <w:rPr>
          <w:rFonts w:hint="cs"/>
          <w:rtl/>
        </w:rPr>
        <w:t xml:space="preserve"> </w:t>
      </w:r>
      <w:r w:rsidRPr="005639FB">
        <w:rPr>
          <w:rFonts w:hint="cs"/>
          <w:rtl/>
        </w:rPr>
        <w:t xml:space="preserve">إن لم تكن قد فعلت بعد. </w:t>
      </w:r>
    </w:p>
    <w:p w14:paraId="420B28EC" w14:textId="77777777" w:rsidR="009060D0" w:rsidRPr="005639FB" w:rsidRDefault="009060D0" w:rsidP="00A513BF">
      <w:pPr>
        <w:pStyle w:val="NumberedParaAR"/>
        <w:numPr>
          <w:ilvl w:val="0"/>
          <w:numId w:val="7"/>
        </w:numPr>
      </w:pPr>
      <w:r w:rsidRPr="005639FB">
        <w:rPr>
          <w:rFonts w:hint="cs"/>
          <w:rtl/>
        </w:rPr>
        <w:t xml:space="preserve">ورحّبت الإدارات التي لم تعتزم بعد استخدام البنود الموحدة باستخدام إدارات أخرى لها. وتعتمد هذه الإدارات مجموعات خاصة بها من البنود يشبه بعضها البنود الموحّدة. </w:t>
      </w:r>
    </w:p>
    <w:p w14:paraId="412DB3E3" w14:textId="77777777" w:rsidR="009060D0" w:rsidRPr="005639FB" w:rsidRDefault="009060D0" w:rsidP="00A513BF">
      <w:pPr>
        <w:pStyle w:val="NumberedParaAR"/>
        <w:numPr>
          <w:ilvl w:val="0"/>
          <w:numId w:val="7"/>
        </w:numPr>
      </w:pPr>
      <w:r w:rsidRPr="005639FB">
        <w:rPr>
          <w:rFonts w:hint="cs"/>
          <w:rtl/>
        </w:rPr>
        <w:t xml:space="preserve">وأعربت الإدارات عن تقديرها لتوفر البنود باللغتين الفرنسية والاسبانية. وشكر </w:t>
      </w:r>
      <w:r w:rsidRPr="005639FB">
        <w:rPr>
          <w:rtl/>
        </w:rPr>
        <w:t>المكتب الحكومي للملكية الفكرية في جمهورية الصين الشعبية</w:t>
      </w:r>
      <w:r w:rsidRPr="005639FB">
        <w:rPr>
          <w:rFonts w:hint="cs"/>
          <w:rtl/>
        </w:rPr>
        <w:t xml:space="preserve"> المكتب الدولي على الجهود التي بذلها منذ الاجتماع السابق لتوفير البنود باللغة الصينية وأضاف أن استخدام البنود سيساعد في تحسين الجودة. ورداً على سؤال طرحه مكتب البراءات المصري، أشار المكتب الدولي إنه يعتزم ترجمة البنود الموحّدة إلى اللغة العربية. </w:t>
      </w:r>
    </w:p>
    <w:p w14:paraId="115AD041" w14:textId="475CB961" w:rsidR="009060D0" w:rsidRPr="005639FB" w:rsidRDefault="009060D0" w:rsidP="00A513BF">
      <w:pPr>
        <w:pStyle w:val="NumberedParaAR"/>
        <w:numPr>
          <w:ilvl w:val="0"/>
          <w:numId w:val="7"/>
        </w:numPr>
      </w:pPr>
      <w:r w:rsidRPr="005639FB">
        <w:rPr>
          <w:rFonts w:hint="cs"/>
          <w:rtl/>
        </w:rPr>
        <w:t xml:space="preserve">وأبدت بعض الإدارات تعليقات على صياغة عدد من البنود. وأشار المكتب الدولي، آخذاً هذه التعليقات في الحسبان إلى أن الإدارات قد تُدعى إلى تقديم تعليقات على الصياغة على المنتدى </w:t>
      </w:r>
      <w:r w:rsidR="007A065F" w:rsidRPr="005639FB">
        <w:rPr>
          <w:rFonts w:hint="cs"/>
          <w:rtl/>
        </w:rPr>
        <w:t xml:space="preserve">الإلكتروني </w:t>
      </w:r>
      <w:r w:rsidRPr="005639FB">
        <w:rPr>
          <w:rFonts w:hint="cs"/>
          <w:rtl/>
        </w:rPr>
        <w:t xml:space="preserve">، قبل الدعوة إلى تقديم التعليقات النهائية على النسخة الإنكليزية الواردة في مرفق الورقة المقدمة في الاجتماع والنسخ المترجمة منها. ومن ثم، تُؤخذ هذه التعليقات في الحسبان عند إعداد نسخة منقحة من البنود. </w:t>
      </w:r>
    </w:p>
    <w:p w14:paraId="63F3F759" w14:textId="77777777" w:rsidR="009060D0" w:rsidRPr="005639FB" w:rsidRDefault="009060D0" w:rsidP="00A513BF">
      <w:pPr>
        <w:pStyle w:val="NumberedParaAR"/>
        <w:numPr>
          <w:ilvl w:val="0"/>
          <w:numId w:val="7"/>
        </w:numPr>
      </w:pPr>
      <w:r w:rsidRPr="005639FB">
        <w:rPr>
          <w:rFonts w:hint="cs"/>
          <w:rtl/>
        </w:rPr>
        <w:t xml:space="preserve">ورداً على سؤال طرحته إحدى الإدارات، أشار المكتب الدولي إلى أن يرغب في استطلاع إمكانية إدراج بنود موحّدة في </w:t>
      </w:r>
      <w:r w:rsidRPr="005639FB">
        <w:rPr>
          <w:rtl/>
        </w:rPr>
        <w:t>المبادئ التوجيهية للبحث والفحص بناء على معاهدة التعاون بشأن البراءات</w:t>
      </w:r>
      <w:r w:rsidRPr="005639FB">
        <w:rPr>
          <w:rFonts w:hint="cs"/>
          <w:rtl/>
        </w:rPr>
        <w:t>.</w:t>
      </w:r>
    </w:p>
    <w:p w14:paraId="2164F1D8" w14:textId="77777777" w:rsidR="009060D0" w:rsidRPr="005639FB" w:rsidRDefault="009060D0" w:rsidP="00A513BF">
      <w:pPr>
        <w:pStyle w:val="NumberedParaAR"/>
        <w:numPr>
          <w:ilvl w:val="0"/>
          <w:numId w:val="7"/>
        </w:numPr>
      </w:pPr>
      <w:r w:rsidRPr="005639FB">
        <w:rPr>
          <w:rFonts w:hint="cs"/>
          <w:rtl/>
        </w:rPr>
        <w:t xml:space="preserve">وأعربت عدة إدارات عن اهتمامها بإعداد بنود موحّدة بشأن </w:t>
      </w:r>
      <w:r w:rsidRPr="005639FB">
        <w:rPr>
          <w:rtl/>
        </w:rPr>
        <w:t>انعدام وحدة الاختراع</w:t>
      </w:r>
      <w:r w:rsidRPr="005639FB">
        <w:rPr>
          <w:rFonts w:hint="cs"/>
          <w:rtl/>
        </w:rPr>
        <w:t xml:space="preserve">. وللشروع بهذا الإجراء، يمكن أن تبدأ الإدارات بنشر البنود التي تستخدمها مكاتبها حالياً في هذا المجال. </w:t>
      </w:r>
    </w:p>
    <w:p w14:paraId="389E9D26" w14:textId="77777777" w:rsidR="009060D0" w:rsidRPr="005639FB" w:rsidRDefault="009060D0" w:rsidP="00A513BF">
      <w:pPr>
        <w:pStyle w:val="NumberedParaAR"/>
        <w:numPr>
          <w:ilvl w:val="0"/>
          <w:numId w:val="7"/>
        </w:numPr>
        <w:ind w:left="566"/>
      </w:pPr>
      <w:r w:rsidRPr="005639FB">
        <w:rPr>
          <w:rtl/>
        </w:rPr>
        <w:t>وأوصى الفريق الفرعي بما يلي:</w:t>
      </w:r>
    </w:p>
    <w:p w14:paraId="37FF7EB1" w14:textId="52F4E30E" w:rsidR="009060D0" w:rsidRPr="005639FB" w:rsidRDefault="009060D0" w:rsidP="002C4E85">
      <w:pPr>
        <w:pStyle w:val="NormalParaAR"/>
        <w:ind w:left="1133"/>
        <w:rPr>
          <w:rtl/>
        </w:rPr>
      </w:pPr>
      <w:r w:rsidRPr="005639FB">
        <w:rPr>
          <w:rtl/>
        </w:rPr>
        <w:t>(أ)</w:t>
      </w:r>
      <w:r w:rsidR="001E4928" w:rsidRPr="005639FB">
        <w:rPr>
          <w:rFonts w:hint="cs"/>
          <w:rtl/>
        </w:rPr>
        <w:tab/>
      </w:r>
      <w:r w:rsidRPr="005639FB">
        <w:rPr>
          <w:rtl/>
        </w:rPr>
        <w:t xml:space="preserve">أن تُواصل الإدارات التي تستخدم البنود الموحدة الإبلاغ عن تنفيذها لتلك البنود على الصفحة المخصّصة لذلك من المنتدى </w:t>
      </w:r>
      <w:r w:rsidR="007A065F" w:rsidRPr="005639FB">
        <w:rPr>
          <w:rtl/>
        </w:rPr>
        <w:t>الإلكتروني</w:t>
      </w:r>
      <w:r w:rsidR="005639FB" w:rsidRPr="005639FB">
        <w:rPr>
          <w:rtl/>
        </w:rPr>
        <w:t xml:space="preserve"> </w:t>
      </w:r>
      <w:r w:rsidRPr="005639FB">
        <w:rPr>
          <w:rtl/>
        </w:rPr>
        <w:t>للفريق الفرعي، وتقاسم التجارب الخاصة باستخدامها؛</w:t>
      </w:r>
    </w:p>
    <w:p w14:paraId="5FAC1581" w14:textId="70E08C5B" w:rsidR="009060D0" w:rsidRPr="005639FB" w:rsidRDefault="009060D0" w:rsidP="002C4E85">
      <w:pPr>
        <w:pStyle w:val="NormalParaAR"/>
        <w:ind w:left="1133"/>
        <w:rPr>
          <w:rtl/>
        </w:rPr>
      </w:pPr>
      <w:r w:rsidRPr="005639FB">
        <w:rPr>
          <w:rFonts w:hint="cs"/>
          <w:rtl/>
        </w:rPr>
        <w:t>(ب)</w:t>
      </w:r>
      <w:r w:rsidR="001E4928" w:rsidRPr="005639FB">
        <w:rPr>
          <w:rtl/>
        </w:rPr>
        <w:tab/>
      </w:r>
      <w:r w:rsidRPr="005639FB">
        <w:rPr>
          <w:rFonts w:hint="cs"/>
          <w:rtl/>
        </w:rPr>
        <w:t>أن تقدم الإدارات تعليقات على صياغة البنود الموحّدة</w:t>
      </w:r>
      <w:r w:rsidRPr="005639FB">
        <w:rPr>
          <w:rtl/>
        </w:rPr>
        <w:t xml:space="preserve"> </w:t>
      </w:r>
      <w:r w:rsidRPr="005639FB">
        <w:rPr>
          <w:rFonts w:hint="cs"/>
          <w:rtl/>
        </w:rPr>
        <w:t xml:space="preserve">على </w:t>
      </w:r>
      <w:r w:rsidRPr="005639FB">
        <w:rPr>
          <w:rtl/>
        </w:rPr>
        <w:t xml:space="preserve">المنتدى </w:t>
      </w:r>
      <w:r w:rsidR="007A065F" w:rsidRPr="005639FB">
        <w:rPr>
          <w:rtl/>
        </w:rPr>
        <w:t>الإلكتروني</w:t>
      </w:r>
      <w:r w:rsidR="005639FB" w:rsidRPr="005639FB">
        <w:rPr>
          <w:rtl/>
        </w:rPr>
        <w:t xml:space="preserve"> </w:t>
      </w:r>
      <w:r w:rsidRPr="005639FB">
        <w:rPr>
          <w:rFonts w:hint="cs"/>
          <w:rtl/>
        </w:rPr>
        <w:t xml:space="preserve">ضمن مهلة محددة تُقترح بعدها مجموعة معدّلة من البنود الموحّدة لتعلّق عليها الإدارات تمهيداً لتنفيذها؛ </w:t>
      </w:r>
    </w:p>
    <w:p w14:paraId="67C1E175" w14:textId="414FD9BA" w:rsidR="009060D0" w:rsidRPr="005639FB" w:rsidRDefault="009060D0" w:rsidP="00A513BF">
      <w:pPr>
        <w:pStyle w:val="NormalParaAR"/>
        <w:ind w:left="1133"/>
        <w:rPr>
          <w:rtl/>
        </w:rPr>
      </w:pPr>
      <w:r w:rsidRPr="005639FB">
        <w:rPr>
          <w:rFonts w:hint="cs"/>
          <w:rtl/>
        </w:rPr>
        <w:t>(ج)</w:t>
      </w:r>
      <w:r w:rsidR="001E4928" w:rsidRPr="005639FB">
        <w:rPr>
          <w:rtl/>
        </w:rPr>
        <w:tab/>
      </w:r>
      <w:r w:rsidRPr="005639FB">
        <w:rPr>
          <w:rFonts w:hint="cs"/>
          <w:rtl/>
        </w:rPr>
        <w:t xml:space="preserve">أن تعرض الإدارات البنود المتعلقة بوحدة الاختراع على المنتدى </w:t>
      </w:r>
      <w:r w:rsidR="007A065F" w:rsidRPr="005639FB">
        <w:rPr>
          <w:rFonts w:hint="cs"/>
          <w:rtl/>
        </w:rPr>
        <w:t>الإلكتروني</w:t>
      </w:r>
      <w:r w:rsidR="005639FB" w:rsidRPr="005639FB">
        <w:rPr>
          <w:rFonts w:hint="cs"/>
          <w:rtl/>
        </w:rPr>
        <w:t xml:space="preserve"> </w:t>
      </w:r>
      <w:r w:rsidRPr="005639FB">
        <w:rPr>
          <w:rFonts w:hint="cs"/>
          <w:rtl/>
        </w:rPr>
        <w:t xml:space="preserve">ليتسنى النظر في إمكانية إعداد بنود موحّدة جديدة في هذا المجال؛ </w:t>
      </w:r>
    </w:p>
    <w:p w14:paraId="13F33F6A" w14:textId="76D1F52F" w:rsidR="009060D0" w:rsidRPr="005639FB" w:rsidRDefault="009060D0" w:rsidP="00A513BF">
      <w:pPr>
        <w:pStyle w:val="NormalParaAR"/>
        <w:ind w:left="1133"/>
        <w:rPr>
          <w:rtl/>
        </w:rPr>
      </w:pPr>
      <w:r w:rsidRPr="005639FB">
        <w:rPr>
          <w:rFonts w:hint="cs"/>
          <w:rtl/>
        </w:rPr>
        <w:t>(د)</w:t>
      </w:r>
      <w:r w:rsidR="001E4928" w:rsidRPr="005639FB">
        <w:rPr>
          <w:rtl/>
        </w:rPr>
        <w:tab/>
      </w:r>
      <w:r w:rsidRPr="005639FB">
        <w:rPr>
          <w:rFonts w:hint="cs"/>
          <w:rtl/>
        </w:rPr>
        <w:t>أن يستطلع المكتب الدولي إمكانيات زيادة إتاحة البنود الموحّدة، كما في المبادئ</w:t>
      </w:r>
      <w:r w:rsidRPr="005639FB">
        <w:rPr>
          <w:rtl/>
        </w:rPr>
        <w:t xml:space="preserve"> التوجيهية للبحث والفحص بناء على معاهدة التعاون بشأن البراءات</w:t>
      </w:r>
      <w:r w:rsidRPr="005639FB">
        <w:rPr>
          <w:rFonts w:hint="cs"/>
          <w:rtl/>
        </w:rPr>
        <w:t xml:space="preserve"> مثلاً، كخيار يمكن أن تستخدمه الإدارات. </w:t>
      </w:r>
    </w:p>
    <w:p w14:paraId="75D48D49" w14:textId="2444D45F" w:rsidR="009060D0" w:rsidRPr="005639FB" w:rsidRDefault="001E4928" w:rsidP="00A513BF">
      <w:pPr>
        <w:pStyle w:val="Heading1AR"/>
        <w:tabs>
          <w:tab w:val="left" w:pos="566"/>
        </w:tabs>
        <w:spacing w:after="240" w:line="360" w:lineRule="exact"/>
        <w:rPr>
          <w:rtl/>
        </w:rPr>
      </w:pPr>
      <w:r w:rsidRPr="005639FB">
        <w:rPr>
          <w:rFonts w:hint="cs"/>
          <w:b/>
          <w:rtl/>
        </w:rPr>
        <w:lastRenderedPageBreak/>
        <w:t>4.</w:t>
      </w:r>
      <w:r w:rsidRPr="005639FB">
        <w:rPr>
          <w:rtl/>
        </w:rPr>
        <w:tab/>
      </w:r>
      <w:r w:rsidR="009060D0" w:rsidRPr="005639FB">
        <w:rPr>
          <w:rFonts w:hint="cs"/>
          <w:rtl/>
        </w:rPr>
        <w:t>تدابير تحسين الجودة</w:t>
      </w:r>
      <w:r w:rsidR="009D6F94" w:rsidRPr="005639FB">
        <w:rPr>
          <w:rFonts w:hint="cs"/>
          <w:rtl/>
        </w:rPr>
        <w:t xml:space="preserve"> </w:t>
      </w:r>
    </w:p>
    <w:p w14:paraId="763D2A2B" w14:textId="28699D1B" w:rsidR="009060D0" w:rsidRPr="005639FB" w:rsidRDefault="009060D0" w:rsidP="00A513BF">
      <w:pPr>
        <w:pStyle w:val="NormalParaAR"/>
        <w:keepNext/>
        <w:keepLines/>
        <w:tabs>
          <w:tab w:val="left" w:pos="566"/>
        </w:tabs>
        <w:ind w:left="-1"/>
        <w:rPr>
          <w:sz w:val="40"/>
          <w:szCs w:val="40"/>
          <w:rtl/>
        </w:rPr>
      </w:pPr>
      <w:r w:rsidRPr="005639FB">
        <w:rPr>
          <w:sz w:val="40"/>
          <w:szCs w:val="40"/>
          <w:rtl/>
        </w:rPr>
        <w:t>(ألف) وحدة الاختراع</w:t>
      </w:r>
    </w:p>
    <w:p w14:paraId="2387AF2E" w14:textId="77777777" w:rsidR="009060D0" w:rsidRPr="005639FB" w:rsidRDefault="009060D0" w:rsidP="00A513BF">
      <w:pPr>
        <w:pStyle w:val="NumberedParaAR"/>
        <w:numPr>
          <w:ilvl w:val="0"/>
          <w:numId w:val="7"/>
        </w:numPr>
      </w:pPr>
      <w:r w:rsidRPr="005639FB">
        <w:rPr>
          <w:rtl/>
        </w:rPr>
        <w:t xml:space="preserve">أعربت </w:t>
      </w:r>
      <w:r w:rsidRPr="005639FB">
        <w:rPr>
          <w:rFonts w:hint="cs"/>
          <w:rtl/>
        </w:rPr>
        <w:t xml:space="preserve">الإدارات عن ارتياحها للتقدم الذي أحرز منذ الاجتماع السابق بشأن تنقيح </w:t>
      </w:r>
      <w:r w:rsidRPr="005639FB">
        <w:rPr>
          <w:rtl/>
        </w:rPr>
        <w:t>الفصل العاشر من المبادئ التوجيهية للبحث الدولي والفحص التمهيدي الدولي بناء على معاهدة التعاون بشأن البراءات</w:t>
      </w:r>
      <w:r w:rsidRPr="005639FB">
        <w:rPr>
          <w:rFonts w:hint="cs"/>
          <w:rtl/>
        </w:rPr>
        <w:t xml:space="preserve">. </w:t>
      </w:r>
    </w:p>
    <w:p w14:paraId="27583F6B" w14:textId="27FECFE7" w:rsidR="009060D0" w:rsidRPr="005639FB" w:rsidRDefault="009060D0" w:rsidP="007A065F">
      <w:pPr>
        <w:pStyle w:val="NumberedParaAR"/>
        <w:numPr>
          <w:ilvl w:val="0"/>
          <w:numId w:val="7"/>
        </w:numPr>
      </w:pPr>
      <w:r w:rsidRPr="005639FB">
        <w:rPr>
          <w:rFonts w:hint="cs"/>
          <w:rtl/>
        </w:rPr>
        <w:t xml:space="preserve">وأعربت بعض الإدارات عن امتنانها للمكتب الدولي الذي أجرى استشارة بشأن الفصل العاشر نشرها </w:t>
      </w:r>
      <w:r w:rsidRPr="005639FB">
        <w:rPr>
          <w:rtl/>
        </w:rPr>
        <w:t>المكتب الأسترالي للملكية الفكرية</w:t>
      </w:r>
      <w:r w:rsidRPr="005639FB">
        <w:rPr>
          <w:rFonts w:hint="cs"/>
          <w:rtl/>
        </w:rPr>
        <w:t xml:space="preserve"> على المنتدى </w:t>
      </w:r>
      <w:r w:rsidR="007A065F" w:rsidRPr="005639FB">
        <w:rPr>
          <w:rFonts w:hint="cs"/>
          <w:rtl/>
        </w:rPr>
        <w:t>الإلكتروني</w:t>
      </w:r>
      <w:r w:rsidR="005639FB" w:rsidRPr="005639FB">
        <w:rPr>
          <w:rFonts w:hint="cs"/>
          <w:rtl/>
        </w:rPr>
        <w:t xml:space="preserve"> </w:t>
      </w:r>
      <w:r w:rsidRPr="005639FB">
        <w:rPr>
          <w:rFonts w:hint="cs"/>
          <w:rtl/>
        </w:rPr>
        <w:t xml:space="preserve">في العام المنصرم وتلقت دعماً واسعاً من المشاركين في المناقشات. لكن إدارات أخرى أعربت عن رغبتها في نشر تعليقات أخرى. وأضافت إحدى الإدارات أنها ترى أن بعض شروط الفصل العاشر صارمة جداً وأنه يمكن جعلها أكثر مرونة بالنسبة للفاحص. </w:t>
      </w:r>
    </w:p>
    <w:p w14:paraId="7F85BF30" w14:textId="7D34DEA2" w:rsidR="009060D0" w:rsidRPr="005639FB" w:rsidRDefault="009060D0" w:rsidP="002C4E85">
      <w:pPr>
        <w:pStyle w:val="NumberedParaAR"/>
        <w:numPr>
          <w:ilvl w:val="0"/>
          <w:numId w:val="7"/>
        </w:numPr>
      </w:pPr>
      <w:r w:rsidRPr="005639FB">
        <w:rPr>
          <w:rFonts w:hint="cs"/>
          <w:rtl/>
        </w:rPr>
        <w:t xml:space="preserve">وأبلغت إحدى الإدارات الفريق الفرعي بالعمل الجاري بشأن وحدة الاختراع داخل هيئة الخبراء المعنية بتنسيق البراءات المشتركة بين </w:t>
      </w:r>
      <w:r w:rsidRPr="005639FB">
        <w:rPr>
          <w:rtl/>
        </w:rPr>
        <w:t>مكاتب الملكية الفكرية الرئيسية الخمسة</w:t>
      </w:r>
      <w:r w:rsidRPr="005639FB">
        <w:rPr>
          <w:rFonts w:hint="cs"/>
          <w:rtl/>
        </w:rPr>
        <w:t xml:space="preserve">. وتضطلع هذه الإدارة بعمل موازٍ بشأن كيفية تحسين الفاحصين لجودة الاعتراضات على عدم وحدة الاختراع، يمكن أن يُدرج في عمل هيئة الخبراء المعنية بتنسيق البراءات </w:t>
      </w:r>
      <w:proofErr w:type="spellStart"/>
      <w:r w:rsidRPr="005639FB">
        <w:rPr>
          <w:rFonts w:hint="cs"/>
          <w:rtl/>
        </w:rPr>
        <w:t>والتنقيحات</w:t>
      </w:r>
      <w:proofErr w:type="spellEnd"/>
      <w:r w:rsidR="002C4E85" w:rsidRPr="005639FB">
        <w:rPr>
          <w:rFonts w:hint="eastAsia"/>
          <w:rtl/>
        </w:rPr>
        <w:t> </w:t>
      </w:r>
      <w:r w:rsidRPr="005639FB">
        <w:rPr>
          <w:rFonts w:hint="cs"/>
          <w:rtl/>
        </w:rPr>
        <w:t xml:space="preserve">المقترحة. </w:t>
      </w:r>
    </w:p>
    <w:p w14:paraId="4904940A" w14:textId="77777777" w:rsidR="009060D0" w:rsidRPr="005639FB" w:rsidRDefault="009060D0" w:rsidP="00A513BF">
      <w:pPr>
        <w:pStyle w:val="NumberedParaAR"/>
        <w:numPr>
          <w:ilvl w:val="0"/>
          <w:numId w:val="7"/>
        </w:numPr>
      </w:pPr>
      <w:r w:rsidRPr="005639FB">
        <w:rPr>
          <w:rFonts w:hint="cs"/>
          <w:rtl/>
        </w:rPr>
        <w:t xml:space="preserve">وأشارت إحدى الإدارات إلى أثر تعديل الممارسة المتبعة بشأن وحدة الاختراع على مستخدمي نظام </w:t>
      </w:r>
      <w:r w:rsidRPr="005639FB">
        <w:rPr>
          <w:rtl/>
        </w:rPr>
        <w:t xml:space="preserve">معاهدة التعاون بشأن البراءات، </w:t>
      </w:r>
      <w:r w:rsidRPr="005639FB">
        <w:rPr>
          <w:rFonts w:hint="cs"/>
          <w:rtl/>
        </w:rPr>
        <w:t xml:space="preserve">وأضافت أنه من الضروري استشارة المستخدمين بشأن أي تعديلات على المبادئ </w:t>
      </w:r>
      <w:r w:rsidRPr="005639FB">
        <w:rPr>
          <w:rtl/>
        </w:rPr>
        <w:t>التوجيهية للبحث والفحص بناء على معاهدة التعاون بشأن البراءات</w:t>
      </w:r>
      <w:r w:rsidRPr="005639FB">
        <w:rPr>
          <w:rFonts w:hint="cs"/>
          <w:rtl/>
        </w:rPr>
        <w:t xml:space="preserve"> في هذا الشأن. </w:t>
      </w:r>
    </w:p>
    <w:p w14:paraId="4FB02A5C" w14:textId="06D172A6" w:rsidR="009060D0" w:rsidRPr="005639FB" w:rsidRDefault="009060D0" w:rsidP="00A513BF">
      <w:pPr>
        <w:pStyle w:val="NumberedParaAR"/>
        <w:numPr>
          <w:ilvl w:val="0"/>
          <w:numId w:val="7"/>
        </w:numPr>
        <w:ind w:left="566"/>
      </w:pPr>
      <w:r w:rsidRPr="005639FB">
        <w:rPr>
          <w:rFonts w:hint="cs"/>
          <w:rtl/>
        </w:rPr>
        <w:t xml:space="preserve">وأوصى الفريق الفرعي بأن تُمنح الإدارات فرصة نشر تعليقات إضافية على المنتدى </w:t>
      </w:r>
      <w:r w:rsidR="00403603" w:rsidRPr="005639FB">
        <w:rPr>
          <w:rFonts w:hint="cs"/>
          <w:rtl/>
        </w:rPr>
        <w:t>الإلكتروني ضمن</w:t>
      </w:r>
      <w:r w:rsidRPr="005639FB">
        <w:rPr>
          <w:rFonts w:hint="cs"/>
          <w:rtl/>
        </w:rPr>
        <w:t xml:space="preserve"> مهلة محددة. ومن ثم، يُصدر المكتب الدولي بعد ذلك كتاباً معمماً خلال صيف عام 2017 ليستشير المكاتب بصفتها مكاتب </w:t>
      </w:r>
      <w:r w:rsidRPr="005639FB">
        <w:rPr>
          <w:rtl/>
        </w:rPr>
        <w:t xml:space="preserve">تسلم </w:t>
      </w:r>
      <w:r w:rsidRPr="005639FB">
        <w:rPr>
          <w:rFonts w:hint="cs"/>
          <w:rtl/>
        </w:rPr>
        <w:t>ل</w:t>
      </w:r>
      <w:r w:rsidRPr="005639FB">
        <w:rPr>
          <w:rtl/>
        </w:rPr>
        <w:t>لطلبات</w:t>
      </w:r>
      <w:r w:rsidRPr="005639FB">
        <w:rPr>
          <w:rFonts w:hint="cs"/>
          <w:rtl/>
        </w:rPr>
        <w:t xml:space="preserve"> </w:t>
      </w:r>
      <w:r w:rsidRPr="005639FB">
        <w:rPr>
          <w:rtl/>
        </w:rPr>
        <w:t xml:space="preserve">و/أو إدارة للبحث الدولي والفحص التمهيدي الدولي و/أو مكاتب معيّنة أو منتخبة، والمنظمات التي تمثل مستخدمي نظام المعاهدة، في التغييرات المقترحة </w:t>
      </w:r>
      <w:r w:rsidRPr="005639FB">
        <w:rPr>
          <w:rFonts w:hint="cs"/>
          <w:rtl/>
        </w:rPr>
        <w:t xml:space="preserve">على الفصل العاشر </w:t>
      </w:r>
      <w:r w:rsidRPr="005639FB">
        <w:rPr>
          <w:rtl/>
        </w:rPr>
        <w:t>من المبادئ التوجيهية للبحث الدولي والفحص التمهيدي الدولي بناء على معاهدة التعاون بشأن البراءات</w:t>
      </w:r>
      <w:r w:rsidRPr="005639FB">
        <w:rPr>
          <w:rFonts w:hint="cs"/>
          <w:rtl/>
        </w:rPr>
        <w:t>.</w:t>
      </w:r>
    </w:p>
    <w:p w14:paraId="3455E663" w14:textId="77777777" w:rsidR="009060D0" w:rsidRPr="005639FB" w:rsidRDefault="009060D0" w:rsidP="00A513BF">
      <w:pPr>
        <w:pStyle w:val="NormalParaAR"/>
        <w:keepNext/>
        <w:keepLines/>
        <w:tabs>
          <w:tab w:val="left" w:pos="566"/>
        </w:tabs>
        <w:ind w:left="-1"/>
        <w:rPr>
          <w:sz w:val="40"/>
          <w:szCs w:val="40"/>
          <w:rtl/>
        </w:rPr>
      </w:pPr>
      <w:r w:rsidRPr="005639FB">
        <w:rPr>
          <w:rFonts w:hint="cs"/>
          <w:sz w:val="40"/>
          <w:szCs w:val="40"/>
          <w:rtl/>
        </w:rPr>
        <w:t xml:space="preserve">(باء) برنامج </w:t>
      </w:r>
      <w:r w:rsidRPr="005639FB">
        <w:rPr>
          <w:sz w:val="40"/>
          <w:szCs w:val="40"/>
          <w:rtl/>
        </w:rPr>
        <w:t xml:space="preserve">مكتب الملكية الفكرية الكندي </w:t>
      </w:r>
      <w:r w:rsidRPr="005639FB">
        <w:rPr>
          <w:rFonts w:hint="cs"/>
          <w:sz w:val="40"/>
          <w:szCs w:val="40"/>
          <w:rtl/>
        </w:rPr>
        <w:t xml:space="preserve">للتعرف على الحروف غير القائم على </w:t>
      </w:r>
      <w:r w:rsidRPr="005639FB">
        <w:rPr>
          <w:sz w:val="40"/>
          <w:szCs w:val="40"/>
          <w:rtl/>
        </w:rPr>
        <w:t>الشفرة القياسية الأمريكية لتبادل المعلومات</w:t>
      </w:r>
      <w:r w:rsidRPr="005639FB">
        <w:rPr>
          <w:rFonts w:hint="cs"/>
          <w:sz w:val="40"/>
          <w:szCs w:val="40"/>
          <w:rtl/>
        </w:rPr>
        <w:t xml:space="preserve"> (</w:t>
      </w:r>
      <w:r w:rsidRPr="005639FB">
        <w:rPr>
          <w:sz w:val="40"/>
          <w:szCs w:val="40"/>
        </w:rPr>
        <w:t>ASCII</w:t>
      </w:r>
      <w:r w:rsidRPr="005639FB">
        <w:rPr>
          <w:rFonts w:hint="cs"/>
          <w:sz w:val="40"/>
          <w:szCs w:val="40"/>
          <w:rtl/>
        </w:rPr>
        <w:t>)</w:t>
      </w:r>
    </w:p>
    <w:p w14:paraId="5E742B12" w14:textId="7AC54AE0" w:rsidR="009060D0" w:rsidRPr="005639FB" w:rsidRDefault="009060D0" w:rsidP="00403603">
      <w:pPr>
        <w:pStyle w:val="NumberedParaAR"/>
        <w:numPr>
          <w:ilvl w:val="0"/>
          <w:numId w:val="7"/>
        </w:numPr>
      </w:pPr>
      <w:r w:rsidRPr="005639FB">
        <w:rPr>
          <w:rtl/>
        </w:rPr>
        <w:t xml:space="preserve">أعربت الإدارات </w:t>
      </w:r>
      <w:r w:rsidRPr="005639FB">
        <w:rPr>
          <w:rFonts w:hint="cs"/>
          <w:rtl/>
        </w:rPr>
        <w:t xml:space="preserve">عن تقديرها للعرض الذي قدمه </w:t>
      </w:r>
      <w:r w:rsidR="00925B4A" w:rsidRPr="005639FB">
        <w:rPr>
          <w:rtl/>
        </w:rPr>
        <w:t>المكتب الكندي للملكية الفكرية</w:t>
      </w:r>
      <w:r w:rsidRPr="005639FB">
        <w:rPr>
          <w:rFonts w:hint="cs"/>
          <w:rtl/>
        </w:rPr>
        <w:t xml:space="preserve">. ووافق المكتب الأوروبي للبراءات على تحديد جهة اتصال لتلقي الطلبات بشأن إمكانية دمج برنامج التعرف غير القائم على </w:t>
      </w:r>
      <w:r w:rsidRPr="005639FB">
        <w:rPr>
          <w:rtl/>
        </w:rPr>
        <w:t>الشفرة القياسية الأمريكية لتبادل المعلومات</w:t>
      </w:r>
      <w:r w:rsidRPr="005639FB">
        <w:rPr>
          <w:rFonts w:hint="cs"/>
          <w:rtl/>
        </w:rPr>
        <w:t xml:space="preserve"> (</w:t>
      </w:r>
      <w:r w:rsidRPr="005639FB">
        <w:t>ASCII</w:t>
      </w:r>
      <w:r w:rsidRPr="005639FB">
        <w:rPr>
          <w:rFonts w:hint="cs"/>
          <w:rtl/>
        </w:rPr>
        <w:t>) في أداة طلبات تقديم التسلسلات البيولوجية للبراءات لصياغة قوائم التسلسلات في ال</w:t>
      </w:r>
      <w:r w:rsidR="00403603" w:rsidRPr="005639FB">
        <w:rPr>
          <w:rFonts w:hint="cs"/>
          <w:rtl/>
        </w:rPr>
        <w:t>معيار</w:t>
      </w:r>
      <w:r w:rsidRPr="005639FB">
        <w:rPr>
          <w:rFonts w:hint="cs"/>
          <w:rtl/>
        </w:rPr>
        <w:t xml:space="preserve"> </w:t>
      </w:r>
      <w:r w:rsidRPr="005639FB">
        <w:t>ST.25</w:t>
      </w:r>
      <w:r w:rsidR="00532381" w:rsidRPr="005639FB">
        <w:rPr>
          <w:rFonts w:hint="cs"/>
          <w:rtl/>
        </w:rPr>
        <w:t xml:space="preserve">. </w:t>
      </w:r>
      <w:r w:rsidRPr="005639FB">
        <w:rPr>
          <w:rFonts w:hint="cs"/>
          <w:rtl/>
        </w:rPr>
        <w:t xml:space="preserve">ونظراً إلى أن </w:t>
      </w:r>
      <w:r w:rsidR="00403603" w:rsidRPr="005639FB">
        <w:rPr>
          <w:rFonts w:hint="cs"/>
          <w:rtl/>
        </w:rPr>
        <w:t>المعيار</w:t>
      </w:r>
      <w:r w:rsidR="005639FB" w:rsidRPr="005639FB">
        <w:rPr>
          <w:rFonts w:hint="cs"/>
          <w:rtl/>
        </w:rPr>
        <w:t xml:space="preserve"> </w:t>
      </w:r>
      <w:r w:rsidRPr="005639FB">
        <w:t>ST.26</w:t>
      </w:r>
      <w:r w:rsidRPr="005639FB">
        <w:rPr>
          <w:rFonts w:hint="cs"/>
          <w:rtl/>
        </w:rPr>
        <w:t xml:space="preserve">يقوم على النسق </w:t>
      </w:r>
      <w:r w:rsidRPr="005639FB">
        <w:t>XML</w:t>
      </w:r>
      <w:r w:rsidRPr="005639FB">
        <w:rPr>
          <w:rFonts w:hint="cs"/>
          <w:rtl/>
        </w:rPr>
        <w:t xml:space="preserve"> ستكون طبيعة التحديات مختلفة. </w:t>
      </w:r>
    </w:p>
    <w:p w14:paraId="29A539D7" w14:textId="77777777" w:rsidR="009060D0" w:rsidRPr="005639FB" w:rsidRDefault="009060D0" w:rsidP="00A513BF">
      <w:pPr>
        <w:pStyle w:val="Heading1AR"/>
        <w:spacing w:after="240" w:line="360" w:lineRule="exact"/>
        <w:rPr>
          <w:b/>
        </w:rPr>
      </w:pPr>
      <w:r w:rsidRPr="005639FB">
        <w:rPr>
          <w:rFonts w:hint="cs"/>
          <w:rtl/>
        </w:rPr>
        <w:t>5</w:t>
      </w:r>
      <w:r w:rsidRPr="005639FB">
        <w:rPr>
          <w:rFonts w:hint="cs"/>
          <w:b/>
          <w:rtl/>
        </w:rPr>
        <w:t>.</w:t>
      </w:r>
      <w:r w:rsidRPr="005639FB">
        <w:rPr>
          <w:b/>
          <w:rtl/>
        </w:rPr>
        <w:t xml:space="preserve"> </w:t>
      </w:r>
      <w:r w:rsidRPr="005639FB">
        <w:rPr>
          <w:rFonts w:hint="cs"/>
          <w:b/>
          <w:rtl/>
        </w:rPr>
        <w:tab/>
      </w:r>
      <w:r w:rsidRPr="005639FB">
        <w:rPr>
          <w:b/>
          <w:rtl/>
        </w:rPr>
        <w:t>استمارة طلب التعيين كإدارة للبحث الدولي والفحص التمهيدي الدولي بناء على معاهدة التعاون بشأن</w:t>
      </w:r>
      <w:r w:rsidRPr="005639FB">
        <w:rPr>
          <w:rFonts w:hint="cs"/>
          <w:b/>
          <w:rtl/>
        </w:rPr>
        <w:t> </w:t>
      </w:r>
      <w:r w:rsidRPr="005639FB">
        <w:rPr>
          <w:b/>
          <w:rtl/>
        </w:rPr>
        <w:t>البراءات</w:t>
      </w:r>
    </w:p>
    <w:p w14:paraId="42A8C0F3" w14:textId="11FDF229" w:rsidR="009060D0" w:rsidRPr="005639FB" w:rsidRDefault="009060D0" w:rsidP="00694993">
      <w:pPr>
        <w:pStyle w:val="NumberedParaAR"/>
        <w:numPr>
          <w:ilvl w:val="0"/>
          <w:numId w:val="7"/>
        </w:numPr>
      </w:pPr>
      <w:r w:rsidRPr="005639FB">
        <w:rPr>
          <w:rFonts w:hint="cs"/>
          <w:rtl/>
        </w:rPr>
        <w:t>أعربت الإدارات عن تأييدها المبدئي لإعداد استمارة طلب تستخدمها المكاتب الساعية إلى أن تعيّن إدارة دولية. ووافقت أغلبية الإدارات عامة على مضمون المسودة في الصيغة التي قُدّم فيه، شرط حل المش</w:t>
      </w:r>
      <w:r w:rsidR="00694993" w:rsidRPr="005639FB">
        <w:rPr>
          <w:rFonts w:hint="cs"/>
          <w:rtl/>
        </w:rPr>
        <w:t>كلات</w:t>
      </w:r>
      <w:r w:rsidRPr="005639FB">
        <w:rPr>
          <w:rFonts w:hint="cs"/>
          <w:rtl/>
        </w:rPr>
        <w:t xml:space="preserve"> التحريرية وتوضيح </w:t>
      </w:r>
      <w:r w:rsidRPr="005639FB">
        <w:rPr>
          <w:rFonts w:hint="cs"/>
          <w:rtl/>
        </w:rPr>
        <w:lastRenderedPageBreak/>
        <w:t xml:space="preserve">مدى إمكانية قبول الصيغ المتنوعة. وأفاد العديد من الإدارات بأنها ستستخدم مسودة الاستمارة كأساس لتقديم طلباتها إلى </w:t>
      </w:r>
      <w:r w:rsidRPr="005639FB">
        <w:rPr>
          <w:rtl/>
        </w:rPr>
        <w:t>اللجنة المعنية بالتعاون التقني لمعاهدة التعاون بشأن البراءات</w:t>
      </w:r>
      <w:r w:rsidRPr="005639FB">
        <w:rPr>
          <w:rFonts w:hint="cs"/>
          <w:rtl/>
        </w:rPr>
        <w:t xml:space="preserve"> في شهر مايو2017. </w:t>
      </w:r>
    </w:p>
    <w:p w14:paraId="5EFF0DEE" w14:textId="77777777" w:rsidR="009060D0" w:rsidRPr="005639FB" w:rsidRDefault="009060D0" w:rsidP="00A513BF">
      <w:pPr>
        <w:pStyle w:val="NumberedParaAR"/>
        <w:numPr>
          <w:ilvl w:val="0"/>
          <w:numId w:val="7"/>
        </w:numPr>
      </w:pPr>
      <w:r w:rsidRPr="005639FB">
        <w:rPr>
          <w:rFonts w:hint="cs"/>
          <w:rtl/>
        </w:rPr>
        <w:t xml:space="preserve">وقالت إحدى الإدارات إنها تُفضل أن تبقى الاستمارة محصورة بمسائل ترتبط بشروط التعيين الدنيا الواردة في </w:t>
      </w:r>
      <w:r w:rsidRPr="005639FB">
        <w:rPr>
          <w:rtl/>
        </w:rPr>
        <w:t>القاعدت</w:t>
      </w:r>
      <w:r w:rsidRPr="005639FB">
        <w:rPr>
          <w:rFonts w:hint="cs"/>
          <w:rtl/>
        </w:rPr>
        <w:t>ي</w:t>
      </w:r>
      <w:r w:rsidRPr="005639FB">
        <w:rPr>
          <w:rtl/>
        </w:rPr>
        <w:t>ن 36 و63 من اللائحة التنفيذية للمعاهدة</w:t>
      </w:r>
      <w:r w:rsidRPr="005639FB">
        <w:rPr>
          <w:rFonts w:hint="cs"/>
          <w:rtl/>
        </w:rPr>
        <w:t xml:space="preserve">. بيد أنها أشارت إلى أنها قد تقبل باستمارة أوسع نطاقاً شرط أن تُصاغ بلغة توضّح الفرق بين الشروط الدنيا والمعلومات الأساسية، وتبيّن أن بعض الأجزاء اختيارية وأن على </w:t>
      </w:r>
      <w:r w:rsidRPr="005639FB">
        <w:rPr>
          <w:rtl/>
        </w:rPr>
        <w:t>اللجنة المعنية بالتعاون التقني</w:t>
      </w:r>
      <w:r w:rsidRPr="005639FB">
        <w:rPr>
          <w:rFonts w:hint="cs"/>
          <w:rtl/>
        </w:rPr>
        <w:t xml:space="preserve"> أن تستخدم الأشكال المختلفة من المعلومات بطرق مختلفة. واقتُرح تحديداً تعديل الفقرة الأخيرة من النص التفسيري الوارد في بداية الاستمارة ليصبح نصها كالآتي: "يمكن حذفها </w:t>
      </w:r>
      <w:r w:rsidRPr="005639FB">
        <w:rPr>
          <w:rtl/>
        </w:rPr>
        <w:t xml:space="preserve">[الأسئلة غير المرتبطة بالشروط الدنيا]أو تغييرها أو استكمالها حسب الظروف الخاصة بالمكتب وينبغي اعتبارها مجرد معلومات لا يمكن أن تشكل أساساً للاستعراض بحد ذاته". </w:t>
      </w:r>
    </w:p>
    <w:p w14:paraId="79C653A0" w14:textId="77777777" w:rsidR="009060D0" w:rsidRPr="005639FB" w:rsidRDefault="009060D0" w:rsidP="00A513BF">
      <w:pPr>
        <w:pStyle w:val="NumberedParaAR"/>
        <w:numPr>
          <w:ilvl w:val="0"/>
          <w:numId w:val="7"/>
        </w:numPr>
        <w:rPr>
          <w:rtl/>
        </w:rPr>
      </w:pPr>
      <w:r w:rsidRPr="005639FB">
        <w:rPr>
          <w:rtl/>
        </w:rPr>
        <w:t>وأفاد المكتب الدولي بأنه لا يعتقد أنه يمكن تقييد أعضاء اللجنة المعنية بالتعاون التقني في كيفية استخدامهم للمعلومات</w:t>
      </w:r>
      <w:r w:rsidRPr="005639FB">
        <w:rPr>
          <w:rFonts w:hint="cs"/>
          <w:rtl/>
        </w:rPr>
        <w:t xml:space="preserve"> الموفرة لهم للتوصل إلى قرارات بشأن المشورة التي يقدمونها إلى الجمعية، باستثناء أن عليهم عدم إعطاء مشورة إيجابية بشأن مكتب لا يستوفي الشروط الدنيا. لكنه أعرب عن استعداده للعمل مع الإدارة المعنية لإيجاد العبارات الملائمة للتمييز بين الطبيعة المختلفة لكل جزء من أجزاء الاستمارة.</w:t>
      </w:r>
    </w:p>
    <w:p w14:paraId="48831E1B" w14:textId="77777777" w:rsidR="009060D0" w:rsidRPr="005639FB" w:rsidRDefault="009060D0" w:rsidP="00A513BF">
      <w:pPr>
        <w:pStyle w:val="NumberedParaAR"/>
        <w:numPr>
          <w:ilvl w:val="0"/>
          <w:numId w:val="7"/>
        </w:numPr>
      </w:pPr>
      <w:r w:rsidRPr="005639FB">
        <w:rPr>
          <w:rFonts w:hint="cs"/>
          <w:rtl/>
        </w:rPr>
        <w:t xml:space="preserve">وقال عدد من الإدارات إنه يرغب في الاحتفاظ بالتعليقات السابقة أو إبداء تعليقات جديدة على تفاصيل الصياغة. واقترح عدد من الإدارات أن كلمة "عبء العمل" قد تكون أنسب من كلمة "تراكم العمل" في الجزء السادس من الاستمارة. </w:t>
      </w:r>
    </w:p>
    <w:p w14:paraId="6926CABF" w14:textId="77777777" w:rsidR="009060D0" w:rsidRPr="005639FB" w:rsidRDefault="009060D0" w:rsidP="00A513BF">
      <w:pPr>
        <w:pStyle w:val="NumberedParaAR"/>
        <w:numPr>
          <w:ilvl w:val="0"/>
          <w:numId w:val="7"/>
        </w:numPr>
      </w:pPr>
      <w:r w:rsidRPr="005639FB">
        <w:rPr>
          <w:rFonts w:hint="cs"/>
          <w:rtl/>
        </w:rPr>
        <w:t xml:space="preserve">ورداً على مشاغل عدد من الإدارات، شدّد المكتب الدولي على أنه يتعين على المكاتب الملتمسة للتعيين أن تلجأ دائماً إلى حسن التقدير وأن تعطي أجوبة تلبي المقاصد من الأسئلة، بدل أن تعطي معلومات لا تكون واضحة أو لا تتصل بتاتاً بظروفها الخاصة. وعلى سبيل المثال، سيتعين على المنظمات الحكومية الدولية المؤلفة من مجموعة من المكاتب الوطنية أن تُعدّل بعض الأسئلة. بالإضافة إلى ذلك، فإن السؤال المتعلق بالطلبات الدولية المودعة في مكتب استلام الطلبات في مكتب وطني لا يعتزم القيام بدور إدارة دولية لملتمسي الطلبات لن يوفر معلومات مفيدة ويتعين حذفه في هذه الحالة وتوفير معلومات أكثر فائدة ربما تتعلق بالفئات المستهدفة، عوضاً عن ذلك. </w:t>
      </w:r>
    </w:p>
    <w:p w14:paraId="103CF288" w14:textId="243727E1" w:rsidR="009060D0" w:rsidRPr="005639FB" w:rsidRDefault="009060D0" w:rsidP="00A513BF">
      <w:pPr>
        <w:pStyle w:val="NumberedParaAR"/>
        <w:numPr>
          <w:ilvl w:val="0"/>
          <w:numId w:val="7"/>
        </w:numPr>
        <w:ind w:left="566"/>
      </w:pPr>
      <w:r w:rsidRPr="005639FB">
        <w:rPr>
          <w:rFonts w:hint="cs"/>
          <w:rtl/>
        </w:rPr>
        <w:t xml:space="preserve">وأوصى الفريق الفرعي بأن يدعو المكتب الدولي إلى تقديم تعليقات إضافية على صياغة استمارة من هذا النوع على المنتدى </w:t>
      </w:r>
      <w:r w:rsidR="007A065F" w:rsidRPr="005639FB">
        <w:rPr>
          <w:rFonts w:hint="cs"/>
          <w:rtl/>
        </w:rPr>
        <w:t>الإلكتروني</w:t>
      </w:r>
      <w:r w:rsidR="005639FB" w:rsidRPr="005639FB">
        <w:rPr>
          <w:rFonts w:hint="cs"/>
          <w:rtl/>
        </w:rPr>
        <w:t xml:space="preserve"> </w:t>
      </w:r>
      <w:r w:rsidRPr="005639FB">
        <w:rPr>
          <w:rFonts w:hint="cs"/>
          <w:rtl/>
        </w:rPr>
        <w:t>لفترة تصل إلى حوالي أسبوعين بغية تمكينه من إعداد اقتراح يقدمه إلى</w:t>
      </w:r>
      <w:r w:rsidRPr="005639FB">
        <w:rPr>
          <w:rtl/>
        </w:rPr>
        <w:t xml:space="preserve"> الفريق العامل لمعاهدة التعاون بشأن البراءات</w:t>
      </w:r>
      <w:r w:rsidRPr="005639FB">
        <w:rPr>
          <w:rFonts w:hint="cs"/>
          <w:rtl/>
        </w:rPr>
        <w:t xml:space="preserve"> أو </w:t>
      </w:r>
      <w:r w:rsidRPr="005639FB">
        <w:rPr>
          <w:rtl/>
        </w:rPr>
        <w:t>اللجنة المعنية بالتعاون التقني</w:t>
      </w:r>
      <w:r w:rsidRPr="005639FB">
        <w:rPr>
          <w:rFonts w:hint="cs"/>
          <w:rtl/>
        </w:rPr>
        <w:t>.</w:t>
      </w:r>
    </w:p>
    <w:p w14:paraId="0D310986" w14:textId="77777777" w:rsidR="009060D0" w:rsidRPr="005639FB" w:rsidRDefault="009060D0" w:rsidP="00A513BF">
      <w:pPr>
        <w:pStyle w:val="Heading1AR"/>
        <w:spacing w:after="240" w:line="360" w:lineRule="exact"/>
        <w:ind w:left="-1"/>
        <w:rPr>
          <w:b/>
        </w:rPr>
      </w:pPr>
      <w:r w:rsidRPr="005639FB">
        <w:rPr>
          <w:rFonts w:hint="cs"/>
          <w:rtl/>
        </w:rPr>
        <w:t>6</w:t>
      </w:r>
      <w:r w:rsidRPr="005639FB">
        <w:rPr>
          <w:rFonts w:hint="cs"/>
          <w:b/>
          <w:rtl/>
        </w:rPr>
        <w:t>.</w:t>
      </w:r>
      <w:r w:rsidRPr="005639FB">
        <w:rPr>
          <w:b/>
          <w:rtl/>
        </w:rPr>
        <w:tab/>
        <w:t>أفكار أخرى لتحسين الجودة</w:t>
      </w:r>
    </w:p>
    <w:p w14:paraId="2D472369" w14:textId="5D7AFC89" w:rsidR="009060D0" w:rsidRPr="005639FB" w:rsidRDefault="009060D0" w:rsidP="00A513BF">
      <w:pPr>
        <w:pStyle w:val="NumberedParaAR"/>
        <w:numPr>
          <w:ilvl w:val="0"/>
          <w:numId w:val="7"/>
        </w:numPr>
      </w:pPr>
      <w:r w:rsidRPr="005639FB">
        <w:rPr>
          <w:rFonts w:hint="cs"/>
          <w:rtl/>
        </w:rPr>
        <w:t xml:space="preserve">اعتبرت الإدارات أن النسق المعتمد لهذه الدورة نسق مفيد، إذ أن عدداً من المسائل أُعدّ على المنتدى </w:t>
      </w:r>
      <w:r w:rsidR="007A065F" w:rsidRPr="005639FB">
        <w:rPr>
          <w:rFonts w:hint="cs"/>
          <w:rtl/>
        </w:rPr>
        <w:t>الإلكتروني</w:t>
      </w:r>
      <w:r w:rsidR="005639FB" w:rsidRPr="005639FB">
        <w:rPr>
          <w:rFonts w:hint="cs"/>
          <w:rtl/>
        </w:rPr>
        <w:t xml:space="preserve"> </w:t>
      </w:r>
      <w:r w:rsidRPr="005639FB">
        <w:rPr>
          <w:rFonts w:hint="cs"/>
          <w:rtl/>
        </w:rPr>
        <w:t xml:space="preserve">ونُوقش خلال الدورة. واقتُرحت عدة مجالات مشابهة للنظر فيها في السنة المقبلة منها: </w:t>
      </w:r>
    </w:p>
    <w:p w14:paraId="1D2642CC" w14:textId="082BA4EF" w:rsidR="009060D0" w:rsidRPr="005639FB" w:rsidRDefault="009060D0" w:rsidP="00A513BF">
      <w:pPr>
        <w:pStyle w:val="ListParagraph"/>
        <w:bidi/>
        <w:spacing w:before="240" w:after="240" w:line="360" w:lineRule="exact"/>
        <w:ind w:left="566"/>
        <w:contextualSpacing w:val="0"/>
        <w:rPr>
          <w:rFonts w:ascii="Arabic Typesetting" w:hAnsi="Arabic Typesetting" w:cs="Arabic Typesetting"/>
          <w:sz w:val="36"/>
          <w:szCs w:val="36"/>
          <w:rtl/>
          <w:lang w:bidi="ar-LB"/>
        </w:rPr>
      </w:pPr>
      <w:r w:rsidRPr="005639FB">
        <w:rPr>
          <w:rFonts w:ascii="Arabic Typesetting" w:hAnsi="Arabic Typesetting" w:cs="Arabic Typesetting" w:hint="cs"/>
          <w:sz w:val="36"/>
          <w:szCs w:val="36"/>
          <w:rtl/>
        </w:rPr>
        <w:tab/>
        <w:t>(أ)</w:t>
      </w:r>
      <w:r w:rsidR="001E4928" w:rsidRPr="005639FB">
        <w:rPr>
          <w:rFonts w:ascii="Arabic Typesetting" w:hAnsi="Arabic Typesetting" w:cs="Arabic Typesetting"/>
          <w:sz w:val="36"/>
          <w:szCs w:val="36"/>
          <w:rtl/>
        </w:rPr>
        <w:tab/>
      </w:r>
      <w:r w:rsidRPr="005639FB">
        <w:rPr>
          <w:rFonts w:ascii="Arabic Typesetting" w:hAnsi="Arabic Typesetting" w:cs="Arabic Typesetting" w:hint="cs"/>
          <w:sz w:val="36"/>
          <w:szCs w:val="36"/>
          <w:rtl/>
        </w:rPr>
        <w:t xml:space="preserve">المسائل المتعلقة بمعايير الجودة مثل المعيار </w:t>
      </w:r>
      <w:r w:rsidRPr="005639FB">
        <w:t>ISO 9001</w:t>
      </w:r>
      <w:r w:rsidRPr="005639FB">
        <w:rPr>
          <w:rFonts w:ascii="Arabic Typesetting" w:hAnsi="Arabic Typesetting" w:cs="Arabic Typesetting"/>
          <w:sz w:val="36"/>
          <w:szCs w:val="36"/>
          <w:rtl/>
          <w:lang w:bidi="ar-LB"/>
        </w:rPr>
        <w:t xml:space="preserve">، بما </w:t>
      </w:r>
      <w:r w:rsidRPr="005639FB">
        <w:rPr>
          <w:rFonts w:ascii="Arabic Typesetting" w:hAnsi="Arabic Typesetting" w:cs="Arabic Typesetting" w:hint="cs"/>
          <w:sz w:val="36"/>
          <w:szCs w:val="36"/>
          <w:rtl/>
          <w:lang w:bidi="ar-LB"/>
        </w:rPr>
        <w:t xml:space="preserve">في ذلك تكييف نُظم إدارة الجودة للحصول على الشهادات الخارجية والموارد اللازمة والمسائل المتعلقة بمراجعة الحسابات الخارجية. </w:t>
      </w:r>
    </w:p>
    <w:p w14:paraId="5FDD42CE" w14:textId="19932BB9" w:rsidR="009060D0" w:rsidRPr="005639FB" w:rsidRDefault="009060D0" w:rsidP="00A513BF">
      <w:pPr>
        <w:pStyle w:val="ListParagraph"/>
        <w:bidi/>
        <w:spacing w:before="240" w:after="240" w:line="360" w:lineRule="exact"/>
        <w:ind w:left="566"/>
        <w:contextualSpacing w:val="0"/>
        <w:rPr>
          <w:rFonts w:ascii="Arabic Typesetting" w:hAnsi="Arabic Typesetting" w:cs="Arabic Typesetting"/>
          <w:sz w:val="36"/>
          <w:szCs w:val="36"/>
          <w:rtl/>
        </w:rPr>
      </w:pPr>
      <w:r w:rsidRPr="005639FB">
        <w:rPr>
          <w:rFonts w:ascii="Arabic Typesetting" w:hAnsi="Arabic Typesetting" w:cs="Arabic Typesetting" w:hint="cs"/>
          <w:sz w:val="36"/>
          <w:szCs w:val="36"/>
          <w:rtl/>
          <w:lang w:bidi="ar-LB"/>
        </w:rPr>
        <w:tab/>
      </w:r>
      <w:r w:rsidRPr="005639FB">
        <w:rPr>
          <w:rFonts w:ascii="Arabic Typesetting" w:hAnsi="Arabic Typesetting" w:cs="Arabic Typesetting" w:hint="cs"/>
          <w:sz w:val="36"/>
          <w:szCs w:val="36"/>
          <w:rtl/>
        </w:rPr>
        <w:t>(ب)</w:t>
      </w:r>
      <w:r w:rsidR="001E4928" w:rsidRPr="005639FB">
        <w:rPr>
          <w:rFonts w:ascii="Arabic Typesetting" w:hAnsi="Arabic Typesetting" w:cs="Arabic Typesetting"/>
          <w:sz w:val="36"/>
          <w:szCs w:val="36"/>
          <w:rtl/>
        </w:rPr>
        <w:tab/>
      </w:r>
      <w:r w:rsidRPr="005639FB">
        <w:rPr>
          <w:rFonts w:ascii="Arabic Typesetting" w:hAnsi="Arabic Typesetting" w:cs="Arabic Typesetting" w:hint="cs"/>
          <w:sz w:val="36"/>
          <w:szCs w:val="36"/>
          <w:rtl/>
        </w:rPr>
        <w:t>إدارة المخاطر</w:t>
      </w:r>
      <w:r w:rsidR="009D6F94" w:rsidRPr="005639FB">
        <w:rPr>
          <w:rFonts w:ascii="Arabic Typesetting" w:hAnsi="Arabic Typesetting" w:cs="Arabic Typesetting" w:hint="cs"/>
          <w:sz w:val="36"/>
          <w:szCs w:val="36"/>
          <w:rtl/>
        </w:rPr>
        <w:t xml:space="preserve"> </w:t>
      </w:r>
    </w:p>
    <w:p w14:paraId="4658C99A" w14:textId="4D997729" w:rsidR="009060D0" w:rsidRPr="005639FB" w:rsidRDefault="009060D0" w:rsidP="00A513BF">
      <w:pPr>
        <w:pStyle w:val="ListParagraph"/>
        <w:bidi/>
        <w:spacing w:before="240" w:after="240" w:line="360" w:lineRule="exact"/>
        <w:ind w:left="566"/>
        <w:contextualSpacing w:val="0"/>
        <w:rPr>
          <w:rFonts w:ascii="Arabic Typesetting" w:hAnsi="Arabic Typesetting" w:cs="Arabic Typesetting"/>
          <w:sz w:val="36"/>
          <w:szCs w:val="36"/>
          <w:rtl/>
        </w:rPr>
      </w:pPr>
      <w:r w:rsidRPr="005639FB">
        <w:rPr>
          <w:rFonts w:ascii="Arabic Typesetting" w:hAnsi="Arabic Typesetting" w:cs="Arabic Typesetting" w:hint="cs"/>
          <w:sz w:val="36"/>
          <w:szCs w:val="36"/>
          <w:rtl/>
        </w:rPr>
        <w:tab/>
        <w:t>(ج)</w:t>
      </w:r>
      <w:r w:rsidR="001E4928" w:rsidRPr="005639FB">
        <w:rPr>
          <w:rFonts w:ascii="Arabic Typesetting" w:hAnsi="Arabic Typesetting" w:cs="Arabic Typesetting"/>
          <w:sz w:val="36"/>
          <w:szCs w:val="36"/>
          <w:rtl/>
        </w:rPr>
        <w:tab/>
      </w:r>
      <w:r w:rsidRPr="005639FB">
        <w:rPr>
          <w:rFonts w:ascii="Arabic Typesetting" w:hAnsi="Arabic Typesetting" w:cs="Arabic Typesetting" w:hint="cs"/>
          <w:sz w:val="36"/>
          <w:szCs w:val="36"/>
          <w:rtl/>
        </w:rPr>
        <w:t>أساليب التدريب والاحتياجات</w:t>
      </w:r>
    </w:p>
    <w:p w14:paraId="573B00F2" w14:textId="1F2E9965" w:rsidR="009060D0" w:rsidRPr="005639FB" w:rsidRDefault="009060D0" w:rsidP="00A513BF">
      <w:pPr>
        <w:pStyle w:val="ListParagraph"/>
        <w:bidi/>
        <w:spacing w:before="240" w:after="240" w:line="360" w:lineRule="exact"/>
        <w:ind w:left="566"/>
        <w:contextualSpacing w:val="0"/>
        <w:rPr>
          <w:rFonts w:ascii="Arabic Typesetting" w:hAnsi="Arabic Typesetting" w:cs="Arabic Typesetting"/>
          <w:sz w:val="36"/>
          <w:szCs w:val="36"/>
          <w:rtl/>
        </w:rPr>
      </w:pPr>
      <w:r w:rsidRPr="005639FB">
        <w:rPr>
          <w:rFonts w:ascii="Arabic Typesetting" w:hAnsi="Arabic Typesetting" w:cs="Arabic Typesetting" w:hint="cs"/>
          <w:sz w:val="36"/>
          <w:szCs w:val="36"/>
          <w:rtl/>
        </w:rPr>
        <w:tab/>
        <w:t>(د)</w:t>
      </w:r>
      <w:r w:rsidR="001E4928" w:rsidRPr="005639FB">
        <w:rPr>
          <w:rFonts w:ascii="Arabic Typesetting" w:hAnsi="Arabic Typesetting" w:cs="Arabic Typesetting"/>
          <w:sz w:val="36"/>
          <w:szCs w:val="36"/>
          <w:rtl/>
        </w:rPr>
        <w:tab/>
      </w:r>
      <w:r w:rsidRPr="005639FB">
        <w:rPr>
          <w:rFonts w:ascii="Arabic Typesetting" w:hAnsi="Arabic Typesetting" w:cs="Arabic Typesetting" w:hint="cs"/>
          <w:sz w:val="36"/>
          <w:szCs w:val="36"/>
          <w:rtl/>
        </w:rPr>
        <w:t xml:space="preserve">تحليل كيفية ارتباط الفصل </w:t>
      </w:r>
      <w:r w:rsidR="00694993" w:rsidRPr="005639FB">
        <w:rPr>
          <w:rFonts w:ascii="Arabic Typesetting" w:hAnsi="Arabic Typesetting" w:cs="Arabic Typesetting" w:hint="cs"/>
          <w:sz w:val="36"/>
          <w:szCs w:val="36"/>
          <w:rtl/>
        </w:rPr>
        <w:t>الواحد والع</w:t>
      </w:r>
      <w:r w:rsidRPr="005639FB">
        <w:rPr>
          <w:rFonts w:ascii="Arabic Typesetting" w:hAnsi="Arabic Typesetting" w:cs="Arabic Typesetting" w:hint="cs"/>
          <w:sz w:val="36"/>
          <w:szCs w:val="36"/>
          <w:rtl/>
        </w:rPr>
        <w:t>شر</w:t>
      </w:r>
      <w:r w:rsidR="00694993" w:rsidRPr="005639FB">
        <w:rPr>
          <w:rFonts w:ascii="Arabic Typesetting" w:hAnsi="Arabic Typesetting" w:cs="Arabic Typesetting" w:hint="cs"/>
          <w:sz w:val="36"/>
          <w:szCs w:val="36"/>
          <w:rtl/>
        </w:rPr>
        <w:t>ون</w:t>
      </w:r>
      <w:r w:rsidRPr="005639FB">
        <w:rPr>
          <w:rFonts w:ascii="Arabic Typesetting" w:hAnsi="Arabic Typesetting" w:cs="Arabic Typesetting" w:hint="cs"/>
          <w:sz w:val="36"/>
          <w:szCs w:val="36"/>
          <w:rtl/>
        </w:rPr>
        <w:t xml:space="preserve"> بالمعيار </w:t>
      </w:r>
      <w:r w:rsidRPr="005639FB">
        <w:rPr>
          <w:rFonts w:ascii="Arabic Typesetting" w:hAnsi="Arabic Typesetting" w:cs="Arabic Typesetting"/>
          <w:sz w:val="36"/>
          <w:szCs w:val="36"/>
        </w:rPr>
        <w:t>ISO 9001</w:t>
      </w:r>
      <w:r w:rsidRPr="005639FB">
        <w:rPr>
          <w:rFonts w:ascii="Arabic Typesetting" w:hAnsi="Arabic Typesetting" w:cs="Arabic Typesetting" w:hint="cs"/>
          <w:sz w:val="36"/>
          <w:szCs w:val="36"/>
          <w:rtl/>
        </w:rPr>
        <w:t xml:space="preserve">. </w:t>
      </w:r>
    </w:p>
    <w:p w14:paraId="0DA02241" w14:textId="1EA38610" w:rsidR="009060D0" w:rsidRPr="005639FB" w:rsidRDefault="009060D0" w:rsidP="00A513BF">
      <w:pPr>
        <w:pStyle w:val="ListParagraph"/>
        <w:bidi/>
        <w:spacing w:before="240" w:after="240" w:line="360" w:lineRule="exact"/>
        <w:ind w:left="566"/>
        <w:contextualSpacing w:val="0"/>
        <w:rPr>
          <w:rFonts w:ascii="Arabic Typesetting" w:hAnsi="Arabic Typesetting" w:cs="Arabic Typesetting"/>
          <w:sz w:val="36"/>
          <w:szCs w:val="36"/>
          <w:rtl/>
        </w:rPr>
      </w:pPr>
      <w:r w:rsidRPr="005639FB">
        <w:rPr>
          <w:rFonts w:ascii="Arabic Typesetting" w:hAnsi="Arabic Typesetting" w:cs="Arabic Typesetting" w:hint="cs"/>
          <w:sz w:val="36"/>
          <w:szCs w:val="36"/>
          <w:rtl/>
        </w:rPr>
        <w:lastRenderedPageBreak/>
        <w:tab/>
        <w:t>(ه)</w:t>
      </w:r>
      <w:r w:rsidR="001E4928" w:rsidRPr="005639FB">
        <w:rPr>
          <w:rFonts w:ascii="Arabic Typesetting" w:hAnsi="Arabic Typesetting" w:cs="Arabic Typesetting"/>
          <w:sz w:val="36"/>
          <w:szCs w:val="36"/>
          <w:rtl/>
        </w:rPr>
        <w:tab/>
      </w:r>
      <w:r w:rsidRPr="005639FB">
        <w:rPr>
          <w:rFonts w:ascii="Arabic Typesetting" w:hAnsi="Arabic Typesetting" w:cs="Arabic Typesetting" w:hint="cs"/>
          <w:sz w:val="36"/>
          <w:szCs w:val="36"/>
          <w:rtl/>
        </w:rPr>
        <w:t xml:space="preserve">وسائل فعالة للتحقق من نتائج عمل الفاحصين. </w:t>
      </w:r>
    </w:p>
    <w:p w14:paraId="534EBF06" w14:textId="66A50E8A" w:rsidR="009060D0" w:rsidRPr="005639FB" w:rsidRDefault="009060D0" w:rsidP="00A513BF">
      <w:pPr>
        <w:pStyle w:val="ListParagraph"/>
        <w:bidi/>
        <w:spacing w:before="240" w:after="240" w:line="360" w:lineRule="exact"/>
        <w:ind w:left="566"/>
        <w:contextualSpacing w:val="0"/>
        <w:rPr>
          <w:rFonts w:ascii="Arabic Typesetting" w:hAnsi="Arabic Typesetting" w:cs="Arabic Typesetting"/>
          <w:sz w:val="36"/>
          <w:szCs w:val="36"/>
          <w:rtl/>
          <w:lang w:bidi="ar-LB"/>
        </w:rPr>
      </w:pPr>
      <w:r w:rsidRPr="005639FB">
        <w:rPr>
          <w:rFonts w:ascii="Arabic Typesetting" w:hAnsi="Arabic Typesetting" w:cs="Arabic Typesetting" w:hint="cs"/>
          <w:sz w:val="36"/>
          <w:szCs w:val="36"/>
          <w:rtl/>
        </w:rPr>
        <w:tab/>
        <w:t>(و)</w:t>
      </w:r>
      <w:r w:rsidR="001E4928" w:rsidRPr="005639FB">
        <w:rPr>
          <w:rFonts w:ascii="Arabic Typesetting" w:hAnsi="Arabic Typesetting" w:cs="Arabic Typesetting"/>
          <w:sz w:val="36"/>
          <w:szCs w:val="36"/>
          <w:rtl/>
        </w:rPr>
        <w:tab/>
      </w:r>
      <w:r w:rsidRPr="005639FB">
        <w:rPr>
          <w:rFonts w:ascii="Arabic Typesetting" w:hAnsi="Arabic Typesetting" w:cs="Arabic Typesetting" w:hint="cs"/>
          <w:sz w:val="36"/>
          <w:szCs w:val="36"/>
          <w:rtl/>
        </w:rPr>
        <w:t xml:space="preserve">حسن توقيت </w:t>
      </w:r>
      <w:r w:rsidRPr="005639FB">
        <w:rPr>
          <w:rFonts w:ascii="Arabic Typesetting" w:hAnsi="Arabic Typesetting" w:cs="Arabic Typesetting"/>
          <w:sz w:val="36"/>
          <w:szCs w:val="36"/>
          <w:rtl/>
        </w:rPr>
        <w:t>البحث في إطار معاهدة التعاون بشأن البراءات</w:t>
      </w:r>
      <w:r w:rsidRPr="005639FB">
        <w:rPr>
          <w:rFonts w:ascii="Arabic Typesetting" w:hAnsi="Arabic Typesetting" w:cs="Arabic Typesetting" w:hint="cs"/>
          <w:sz w:val="36"/>
          <w:szCs w:val="36"/>
          <w:rtl/>
        </w:rPr>
        <w:t xml:space="preserve"> والتحديات وإجراءات التحسين المتبعة.</w:t>
      </w:r>
      <w:r w:rsidRPr="005639FB">
        <w:rPr>
          <w:rFonts w:ascii="Arabic Typesetting" w:hAnsi="Arabic Typesetting" w:cs="Arabic Typesetting" w:hint="cs"/>
          <w:sz w:val="36"/>
          <w:szCs w:val="36"/>
          <w:rtl/>
          <w:lang w:bidi="ar-LB"/>
        </w:rPr>
        <w:t xml:space="preserve"> </w:t>
      </w:r>
    </w:p>
    <w:p w14:paraId="0F0337DA" w14:textId="7E287F60" w:rsidR="009060D0" w:rsidRPr="005639FB" w:rsidRDefault="009D6F94" w:rsidP="003175E3">
      <w:pPr>
        <w:pStyle w:val="NumberedParaAR"/>
        <w:numPr>
          <w:ilvl w:val="0"/>
          <w:numId w:val="7"/>
        </w:numPr>
      </w:pPr>
      <w:r w:rsidRPr="005639FB">
        <w:rPr>
          <w:rFonts w:hint="cs"/>
          <w:rtl/>
        </w:rPr>
        <w:t xml:space="preserve"> </w:t>
      </w:r>
      <w:r w:rsidR="009060D0" w:rsidRPr="005639FB">
        <w:rPr>
          <w:rFonts w:hint="cs"/>
          <w:rtl/>
        </w:rPr>
        <w:t>وأُشير إلى إمكانية جمع العديد من هذه المواضيع في بنود فرعية لمناقشة عامة تتناول مسائل خاصة بالمعيار</w:t>
      </w:r>
      <w:r w:rsidR="001E4928" w:rsidRPr="005639FB">
        <w:rPr>
          <w:rFonts w:hint="eastAsia"/>
          <w:rtl/>
        </w:rPr>
        <w:t> </w:t>
      </w:r>
      <w:r w:rsidR="001E4928" w:rsidRPr="005639FB">
        <w:rPr>
          <w:rFonts w:hint="cs"/>
          <w:rtl/>
        </w:rPr>
        <w:t>9001</w:t>
      </w:r>
      <w:r w:rsidR="001E4928" w:rsidRPr="005639FB">
        <w:rPr>
          <w:rFonts w:hint="eastAsia"/>
          <w:rtl/>
        </w:rPr>
        <w:t> </w:t>
      </w:r>
      <w:r w:rsidR="009060D0" w:rsidRPr="005639FB">
        <w:t>ISO</w:t>
      </w:r>
      <w:r w:rsidR="003175E3" w:rsidRPr="005639FB">
        <w:rPr>
          <w:rFonts w:hint="cs"/>
          <w:rtl/>
        </w:rPr>
        <w:t>.</w:t>
      </w:r>
    </w:p>
    <w:p w14:paraId="0982648A" w14:textId="77777777" w:rsidR="009060D0" w:rsidRPr="005639FB" w:rsidRDefault="009060D0" w:rsidP="00A513BF">
      <w:pPr>
        <w:pStyle w:val="NumberedParaAR"/>
        <w:numPr>
          <w:ilvl w:val="0"/>
          <w:numId w:val="7"/>
        </w:numPr>
        <w:ind w:left="566"/>
      </w:pPr>
      <w:r w:rsidRPr="005639FB">
        <w:rPr>
          <w:rFonts w:hint="cs"/>
          <w:rtl/>
        </w:rPr>
        <w:t>وأوصى الفريق الفرعي بأن تُعقد دورة إضافي</w:t>
      </w:r>
      <w:r w:rsidRPr="005639FB">
        <w:rPr>
          <w:rFonts w:hint="eastAsia"/>
          <w:rtl/>
        </w:rPr>
        <w:t>ة</w:t>
      </w:r>
      <w:r w:rsidRPr="005639FB">
        <w:rPr>
          <w:rFonts w:hint="cs"/>
          <w:rtl/>
        </w:rPr>
        <w:t xml:space="preserve"> له في عام 2018. </w:t>
      </w:r>
    </w:p>
    <w:p w14:paraId="3BFDDEB3" w14:textId="131841EE" w:rsidR="001E4928" w:rsidRPr="005639FB" w:rsidRDefault="009060D0" w:rsidP="00A513BF">
      <w:pPr>
        <w:pStyle w:val="NumberedParaAR"/>
        <w:numPr>
          <w:ilvl w:val="0"/>
          <w:numId w:val="7"/>
        </w:numPr>
        <w:ind w:left="566"/>
      </w:pPr>
      <w:r w:rsidRPr="005639FB">
        <w:rPr>
          <w:rFonts w:hint="cs"/>
          <w:rtl/>
        </w:rPr>
        <w:t xml:space="preserve">وأوصى الفريق الفرعي بأن يُعدّ المكتب الدولي صفحات لنقاش المواضيع المشار إليها في الفقرة 66 أعلاه، من أجل تحضير مجالات نقاش محتملة للدورة المقبلة ودعوة الإدارات إلى تقديم عروض أو أوراق لتركيز المناقشات. </w:t>
      </w:r>
    </w:p>
    <w:p w14:paraId="426DB4A0" w14:textId="77777777" w:rsidR="009060D0" w:rsidRPr="005639FB" w:rsidRDefault="009060D0" w:rsidP="00A513BF">
      <w:pPr>
        <w:pStyle w:val="EndofDocumentAR"/>
        <w:spacing w:after="480"/>
      </w:pPr>
      <w:r w:rsidRPr="005639FB">
        <w:rPr>
          <w:rtl/>
        </w:rPr>
        <w:t>[نهاية المرفق والوثيقة]</w:t>
      </w:r>
    </w:p>
    <w:sectPr w:rsidR="009060D0" w:rsidRPr="005639FB" w:rsidSect="0013005A">
      <w:headerReference w:type="default" r:id="rId13"/>
      <w:headerReference w:type="first" r:id="rId14"/>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183B5" w14:textId="77777777" w:rsidR="001D6068" w:rsidRDefault="001D6068">
      <w:r>
        <w:separator/>
      </w:r>
    </w:p>
  </w:endnote>
  <w:endnote w:type="continuationSeparator" w:id="0">
    <w:p w14:paraId="6AF21043" w14:textId="77777777" w:rsidR="001D6068" w:rsidRDefault="001D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57ACC" w14:textId="77777777" w:rsidR="001D6068" w:rsidRDefault="001D6068" w:rsidP="009622BF">
      <w:pPr>
        <w:bidi/>
      </w:pPr>
      <w:bookmarkStart w:id="0" w:name="OLE_LINK1"/>
      <w:bookmarkStart w:id="1" w:name="OLE_LINK2"/>
      <w:r>
        <w:separator/>
      </w:r>
      <w:bookmarkEnd w:id="0"/>
      <w:bookmarkEnd w:id="1"/>
    </w:p>
  </w:footnote>
  <w:footnote w:type="continuationSeparator" w:id="0">
    <w:p w14:paraId="75713D00" w14:textId="77777777" w:rsidR="001D6068" w:rsidRDefault="001D6068" w:rsidP="009622BF">
      <w:pPr>
        <w:bidi/>
      </w:pPr>
      <w:r>
        <w:separator/>
      </w:r>
    </w:p>
  </w:footnote>
  <w:footnote w:id="1">
    <w:p w14:paraId="40E23AE1" w14:textId="77777777" w:rsidR="001D6068" w:rsidRDefault="001D6068" w:rsidP="0047277E">
      <w:pPr>
        <w:pStyle w:val="FootnoteText"/>
        <w:rPr>
          <w:rtl/>
        </w:rPr>
      </w:pPr>
      <w:r>
        <w:rPr>
          <w:rStyle w:val="FootnoteReference"/>
        </w:rPr>
        <w:footnoteRef/>
      </w:r>
      <w:r>
        <w:rPr>
          <w:rtl/>
        </w:rPr>
        <w:t xml:space="preserve"> </w:t>
      </w:r>
      <w:r>
        <w:rPr>
          <w:rFonts w:hint="cs"/>
          <w:rtl/>
        </w:rPr>
        <w:tab/>
        <w:t xml:space="preserve">تتوفر </w:t>
      </w:r>
      <w:r>
        <w:rPr>
          <w:rtl/>
        </w:rPr>
        <w:t>نسخة من العرض على موقع الويب</w:t>
      </w:r>
      <w:r>
        <w:rPr>
          <w:rFonts w:hint="cs"/>
          <w:rtl/>
        </w:rPr>
        <w:t>و:</w:t>
      </w:r>
    </w:p>
    <w:p w14:paraId="54D7433D" w14:textId="4BCE355E" w:rsidR="001D6068" w:rsidRDefault="00BA5A4A" w:rsidP="0047277E">
      <w:pPr>
        <w:pStyle w:val="FootnoteText"/>
        <w:rPr>
          <w:lang w:bidi="ar-EG"/>
        </w:rPr>
      </w:pPr>
      <w:hyperlink r:id="rId1" w:history="1">
        <w:r w:rsidR="001D6068" w:rsidRPr="00834EEA">
          <w:rPr>
            <w:rStyle w:val="Hyperlink"/>
          </w:rPr>
          <w:t>http://www.wipo.int/meetings/en/doc_details.jsp?meeting_code=pct/mia/24_statistics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9CB8B" w14:textId="77777777" w:rsidR="001D6068" w:rsidRDefault="001D6068" w:rsidP="00725D20">
    <w:pPr>
      <w:bidi/>
      <w:jc w:val="right"/>
    </w:pPr>
    <w:r>
      <w:t>PCT/WG/10/3</w:t>
    </w:r>
  </w:p>
  <w:p w14:paraId="33524074" w14:textId="77777777" w:rsidR="001D6068" w:rsidRDefault="001D6068" w:rsidP="00725D20">
    <w:pPr>
      <w:bidi/>
      <w:jc w:val="right"/>
    </w:pPr>
    <w:r>
      <w:rPr>
        <w:rtl/>
      </w:rPr>
      <w:t>الصفحة</w:t>
    </w:r>
    <w:r>
      <w:t xml:space="preserve"> </w:t>
    </w:r>
    <w:r>
      <w:fldChar w:fldCharType="begin"/>
    </w:r>
    <w:r>
      <w:instrText xml:space="preserve"> PAGE  \* MERGEFORMAT </w:instrText>
    </w:r>
    <w:r>
      <w:fldChar w:fldCharType="separate"/>
    </w:r>
    <w:r>
      <w:rPr>
        <w:noProof/>
      </w:rPr>
      <w:t>21</w:t>
    </w:r>
    <w:r>
      <w:fldChar w:fldCharType="end"/>
    </w:r>
  </w:p>
  <w:p w14:paraId="757F7B61" w14:textId="77777777" w:rsidR="001D6068" w:rsidRDefault="001D6068" w:rsidP="00725D2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6E4F9" w14:textId="77777777" w:rsidR="001D6068" w:rsidRDefault="001D6068" w:rsidP="0013005A">
    <w:pPr>
      <w:bidi/>
      <w:jc w:val="right"/>
    </w:pPr>
    <w:r>
      <w:t>PCT/WG/10/3</w:t>
    </w:r>
  </w:p>
  <w:p w14:paraId="140AFDA0" w14:textId="77777777" w:rsidR="001D6068" w:rsidRDefault="001D6068" w:rsidP="00725FE8">
    <w:r>
      <w:t>Annex</w:t>
    </w:r>
  </w:p>
  <w:p w14:paraId="04B09C73" w14:textId="7450CA5E" w:rsidR="001D6068" w:rsidRDefault="001D6068" w:rsidP="00725FE8">
    <w:pPr>
      <w:rPr>
        <w:noProof/>
        <w:rtl/>
      </w:rPr>
    </w:pPr>
    <w:r>
      <w:fldChar w:fldCharType="begin"/>
    </w:r>
    <w:r>
      <w:instrText xml:space="preserve"> PAGE   \* MERGEFORMAT </w:instrText>
    </w:r>
    <w:r>
      <w:fldChar w:fldCharType="separate"/>
    </w:r>
    <w:r w:rsidR="00BA5A4A">
      <w:rPr>
        <w:noProof/>
      </w:rPr>
      <w:t>12</w:t>
    </w:r>
    <w:r>
      <w:rPr>
        <w:noProof/>
      </w:rPr>
      <w:fldChar w:fldCharType="end"/>
    </w:r>
  </w:p>
  <w:p w14:paraId="066E9989" w14:textId="77777777" w:rsidR="001D6068" w:rsidRDefault="001D6068" w:rsidP="00725FE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6EC6D" w14:textId="77777777" w:rsidR="001D6068" w:rsidRDefault="001D6068" w:rsidP="00725FE8">
    <w:pPr>
      <w:pStyle w:val="Header"/>
    </w:pPr>
    <w:r>
      <w:t>PCT/WG/10/3</w:t>
    </w:r>
  </w:p>
  <w:p w14:paraId="1658D735" w14:textId="77777777" w:rsidR="001D6068" w:rsidRDefault="001D6068" w:rsidP="00725FE8">
    <w:pPr>
      <w:pStyle w:val="Header"/>
    </w:pPr>
    <w:r>
      <w:t>ANNEX</w:t>
    </w:r>
  </w:p>
  <w:p w14:paraId="6944DC46" w14:textId="77777777" w:rsidR="001D6068" w:rsidRPr="00725FE8" w:rsidRDefault="001D6068">
    <w:pPr>
      <w:pStyle w:val="Header"/>
      <w:rPr>
        <w:rFonts w:ascii="Arabic Typesetting" w:hAnsi="Arabic Typesetting" w:cs="Arabic Typesetting"/>
        <w:sz w:val="36"/>
        <w:szCs w:val="36"/>
        <w:rtl/>
        <w:lang w:val="fr-FR" w:bidi="ar-EG"/>
      </w:rPr>
    </w:pPr>
    <w:r w:rsidRPr="00725FE8">
      <w:rPr>
        <w:rFonts w:ascii="Arabic Typesetting" w:hAnsi="Arabic Typesetting" w:cs="Arabic Typesetting"/>
        <w:sz w:val="36"/>
        <w:szCs w:val="36"/>
        <w:rtl/>
        <w:lang w:val="fr-FR" w:bidi="ar-EG"/>
      </w:rPr>
      <w:t>المرفق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CBE0B" w14:textId="77777777" w:rsidR="001D6068" w:rsidRDefault="001D6068" w:rsidP="0013005A">
    <w:pPr>
      <w:bidi/>
      <w:jc w:val="right"/>
    </w:pPr>
    <w:r>
      <w:t>PCT/WG/10/3</w:t>
    </w:r>
  </w:p>
  <w:p w14:paraId="4E036F82" w14:textId="77777777" w:rsidR="001D6068" w:rsidRDefault="001D6068" w:rsidP="008420C2">
    <w:r>
      <w:t>Annex</w:t>
    </w:r>
  </w:p>
  <w:p w14:paraId="74D99AF3" w14:textId="55B164C7" w:rsidR="001D6068" w:rsidRDefault="001D6068" w:rsidP="00AA685D">
    <w:pPr>
      <w:rPr>
        <w:noProof/>
        <w:rtl/>
      </w:rPr>
    </w:pPr>
    <w:r>
      <w:fldChar w:fldCharType="begin"/>
    </w:r>
    <w:r>
      <w:instrText xml:space="preserve"> PAGE   \* MERGEFORMAT </w:instrText>
    </w:r>
    <w:r>
      <w:fldChar w:fldCharType="separate"/>
    </w:r>
    <w:r w:rsidR="00BA5A4A">
      <w:rPr>
        <w:noProof/>
      </w:rPr>
      <w:t>23</w:t>
    </w:r>
    <w:r>
      <w:rPr>
        <w:noProof/>
      </w:rPr>
      <w:fldChar w:fldCharType="end"/>
    </w:r>
  </w:p>
  <w:p w14:paraId="3A54307D" w14:textId="77777777" w:rsidR="001D6068" w:rsidRDefault="001D6068" w:rsidP="00AA685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AAC6F" w14:textId="77777777" w:rsidR="001D6068" w:rsidRDefault="001D6068" w:rsidP="0013005A">
    <w:pPr>
      <w:pStyle w:val="Header"/>
      <w:jc w:val="right"/>
    </w:pPr>
    <w:r>
      <w:t>PCT/WG/10/3</w:t>
    </w:r>
  </w:p>
  <w:p w14:paraId="3A95D852" w14:textId="77777777" w:rsidR="001D6068" w:rsidRDefault="001D6068" w:rsidP="0013005A">
    <w:pPr>
      <w:pStyle w:val="Header"/>
      <w:jc w:val="right"/>
    </w:pPr>
    <w:r>
      <w:t>ANNEX</w:t>
    </w:r>
  </w:p>
  <w:p w14:paraId="21988BE5" w14:textId="77777777" w:rsidR="001D6068" w:rsidRDefault="001D6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72E42B7E"/>
    <w:lvl w:ilvl="0">
      <w:start w:val="5"/>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5E87973"/>
    <w:multiLevelType w:val="hybridMultilevel"/>
    <w:tmpl w:val="55AE500E"/>
    <w:lvl w:ilvl="0" w:tplc="B5668680">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153B38"/>
    <w:multiLevelType w:val="hybridMultilevel"/>
    <w:tmpl w:val="F3244CC2"/>
    <w:lvl w:ilvl="0" w:tplc="C84225FE">
      <w:start w:val="1"/>
      <w:numFmt w:val="arabicAlpha"/>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2"/>
    <w:lvlOverride w:ilvl="0">
      <w:startOverride w:val="1"/>
    </w:lvlOverride>
  </w:num>
  <w:num w:numId="6">
    <w:abstractNumId w:val="3"/>
  </w:num>
  <w:num w:numId="7">
    <w:abstractNumId w:val="2"/>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ED"/>
    <w:rsid w:val="00002CBE"/>
    <w:rsid w:val="00003232"/>
    <w:rsid w:val="000033DA"/>
    <w:rsid w:val="0000579F"/>
    <w:rsid w:val="000074D1"/>
    <w:rsid w:val="000076BD"/>
    <w:rsid w:val="00010481"/>
    <w:rsid w:val="00010671"/>
    <w:rsid w:val="000114E2"/>
    <w:rsid w:val="000131D0"/>
    <w:rsid w:val="00013347"/>
    <w:rsid w:val="00013D73"/>
    <w:rsid w:val="000142E1"/>
    <w:rsid w:val="000146BD"/>
    <w:rsid w:val="00014B68"/>
    <w:rsid w:val="0001645D"/>
    <w:rsid w:val="00017A43"/>
    <w:rsid w:val="0002157B"/>
    <w:rsid w:val="00023101"/>
    <w:rsid w:val="0002407C"/>
    <w:rsid w:val="00024193"/>
    <w:rsid w:val="0002476F"/>
    <w:rsid w:val="00024E17"/>
    <w:rsid w:val="000258DB"/>
    <w:rsid w:val="000259E5"/>
    <w:rsid w:val="00030DC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6E2"/>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00AB"/>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14E"/>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B7DD0"/>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9EE"/>
    <w:rsid w:val="000F70F9"/>
    <w:rsid w:val="000F72C7"/>
    <w:rsid w:val="001007AB"/>
    <w:rsid w:val="00100F97"/>
    <w:rsid w:val="001012E0"/>
    <w:rsid w:val="001016F2"/>
    <w:rsid w:val="001024C1"/>
    <w:rsid w:val="0010385D"/>
    <w:rsid w:val="001042E0"/>
    <w:rsid w:val="00104C51"/>
    <w:rsid w:val="0010597B"/>
    <w:rsid w:val="00105D76"/>
    <w:rsid w:val="00110107"/>
    <w:rsid w:val="00110531"/>
    <w:rsid w:val="00110794"/>
    <w:rsid w:val="00112524"/>
    <w:rsid w:val="00113769"/>
    <w:rsid w:val="00114141"/>
    <w:rsid w:val="00114827"/>
    <w:rsid w:val="00115266"/>
    <w:rsid w:val="001154FB"/>
    <w:rsid w:val="00115B51"/>
    <w:rsid w:val="001171EF"/>
    <w:rsid w:val="001173C5"/>
    <w:rsid w:val="00121092"/>
    <w:rsid w:val="0012181A"/>
    <w:rsid w:val="00121AA0"/>
    <w:rsid w:val="00121FE6"/>
    <w:rsid w:val="00123F16"/>
    <w:rsid w:val="0012405D"/>
    <w:rsid w:val="001252B1"/>
    <w:rsid w:val="00126897"/>
    <w:rsid w:val="0012696D"/>
    <w:rsid w:val="00127FD7"/>
    <w:rsid w:val="0013005A"/>
    <w:rsid w:val="00130FC9"/>
    <w:rsid w:val="001310EE"/>
    <w:rsid w:val="0013191A"/>
    <w:rsid w:val="00131E8F"/>
    <w:rsid w:val="00134DC9"/>
    <w:rsid w:val="00135C24"/>
    <w:rsid w:val="00136389"/>
    <w:rsid w:val="00136A1A"/>
    <w:rsid w:val="00136A96"/>
    <w:rsid w:val="001376B6"/>
    <w:rsid w:val="00140A35"/>
    <w:rsid w:val="00142F4D"/>
    <w:rsid w:val="00143428"/>
    <w:rsid w:val="0014366E"/>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009"/>
    <w:rsid w:val="001B3131"/>
    <w:rsid w:val="001B4B2F"/>
    <w:rsid w:val="001B6175"/>
    <w:rsid w:val="001B6766"/>
    <w:rsid w:val="001B6FEB"/>
    <w:rsid w:val="001B7C00"/>
    <w:rsid w:val="001C09D2"/>
    <w:rsid w:val="001C1620"/>
    <w:rsid w:val="001C17CF"/>
    <w:rsid w:val="001C18B2"/>
    <w:rsid w:val="001C1994"/>
    <w:rsid w:val="001C2933"/>
    <w:rsid w:val="001C5EEE"/>
    <w:rsid w:val="001C6A73"/>
    <w:rsid w:val="001C73C2"/>
    <w:rsid w:val="001D0474"/>
    <w:rsid w:val="001D141D"/>
    <w:rsid w:val="001D1EBD"/>
    <w:rsid w:val="001D2184"/>
    <w:rsid w:val="001D24F3"/>
    <w:rsid w:val="001D2678"/>
    <w:rsid w:val="001D2DC4"/>
    <w:rsid w:val="001D6068"/>
    <w:rsid w:val="001D61B5"/>
    <w:rsid w:val="001D6A48"/>
    <w:rsid w:val="001E1043"/>
    <w:rsid w:val="001E10E1"/>
    <w:rsid w:val="001E175F"/>
    <w:rsid w:val="001E19F7"/>
    <w:rsid w:val="001E1EC6"/>
    <w:rsid w:val="001E2669"/>
    <w:rsid w:val="001E3F88"/>
    <w:rsid w:val="001E3FB9"/>
    <w:rsid w:val="001E4083"/>
    <w:rsid w:val="001E4928"/>
    <w:rsid w:val="001E5588"/>
    <w:rsid w:val="001E56CB"/>
    <w:rsid w:val="001E56FC"/>
    <w:rsid w:val="001E582D"/>
    <w:rsid w:val="001E6318"/>
    <w:rsid w:val="001F062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58A"/>
    <w:rsid w:val="00203D45"/>
    <w:rsid w:val="00205495"/>
    <w:rsid w:val="002061DE"/>
    <w:rsid w:val="002065E2"/>
    <w:rsid w:val="00206C61"/>
    <w:rsid w:val="00206F30"/>
    <w:rsid w:val="002072D8"/>
    <w:rsid w:val="00207616"/>
    <w:rsid w:val="00207F10"/>
    <w:rsid w:val="002112E6"/>
    <w:rsid w:val="002121E4"/>
    <w:rsid w:val="00213213"/>
    <w:rsid w:val="00213ADD"/>
    <w:rsid w:val="0021457F"/>
    <w:rsid w:val="0021505D"/>
    <w:rsid w:val="00215E66"/>
    <w:rsid w:val="0021604B"/>
    <w:rsid w:val="00216545"/>
    <w:rsid w:val="002176C7"/>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4F21"/>
    <w:rsid w:val="00235C9D"/>
    <w:rsid w:val="00240F3E"/>
    <w:rsid w:val="002412D4"/>
    <w:rsid w:val="0024220D"/>
    <w:rsid w:val="00242BD3"/>
    <w:rsid w:val="00242C02"/>
    <w:rsid w:val="00243155"/>
    <w:rsid w:val="00245E07"/>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19E"/>
    <w:rsid w:val="00272503"/>
    <w:rsid w:val="00272F3A"/>
    <w:rsid w:val="002736FD"/>
    <w:rsid w:val="00273941"/>
    <w:rsid w:val="00273D91"/>
    <w:rsid w:val="002743E2"/>
    <w:rsid w:val="0027447E"/>
    <w:rsid w:val="0027520A"/>
    <w:rsid w:val="00275419"/>
    <w:rsid w:val="00275A2D"/>
    <w:rsid w:val="0027655E"/>
    <w:rsid w:val="00276F0E"/>
    <w:rsid w:val="002772A5"/>
    <w:rsid w:val="00277BE5"/>
    <w:rsid w:val="002806F8"/>
    <w:rsid w:val="002810B5"/>
    <w:rsid w:val="00281F4F"/>
    <w:rsid w:val="00286744"/>
    <w:rsid w:val="002900ED"/>
    <w:rsid w:val="002909B9"/>
    <w:rsid w:val="00292CEE"/>
    <w:rsid w:val="00292D22"/>
    <w:rsid w:val="0029470D"/>
    <w:rsid w:val="00294B03"/>
    <w:rsid w:val="00295551"/>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4E85"/>
    <w:rsid w:val="002C7D29"/>
    <w:rsid w:val="002D0298"/>
    <w:rsid w:val="002D1662"/>
    <w:rsid w:val="002D1DE5"/>
    <w:rsid w:val="002D2BB3"/>
    <w:rsid w:val="002D3506"/>
    <w:rsid w:val="002D3670"/>
    <w:rsid w:val="002D4807"/>
    <w:rsid w:val="002D5DDC"/>
    <w:rsid w:val="002D5F16"/>
    <w:rsid w:val="002D62F1"/>
    <w:rsid w:val="002D6FD8"/>
    <w:rsid w:val="002D727B"/>
    <w:rsid w:val="002D7EAD"/>
    <w:rsid w:val="002E1169"/>
    <w:rsid w:val="002E1218"/>
    <w:rsid w:val="002E1948"/>
    <w:rsid w:val="002E28F3"/>
    <w:rsid w:val="002E7615"/>
    <w:rsid w:val="002E7A2A"/>
    <w:rsid w:val="002E7F16"/>
    <w:rsid w:val="002F05DB"/>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5E3"/>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1B41"/>
    <w:rsid w:val="003433E5"/>
    <w:rsid w:val="00344082"/>
    <w:rsid w:val="0034582C"/>
    <w:rsid w:val="00345916"/>
    <w:rsid w:val="00345CAC"/>
    <w:rsid w:val="0034789E"/>
    <w:rsid w:val="003501DA"/>
    <w:rsid w:val="003503E2"/>
    <w:rsid w:val="00351DC1"/>
    <w:rsid w:val="003523B9"/>
    <w:rsid w:val="003534EE"/>
    <w:rsid w:val="003600A2"/>
    <w:rsid w:val="003612D8"/>
    <w:rsid w:val="003637B6"/>
    <w:rsid w:val="00363F89"/>
    <w:rsid w:val="00363FB0"/>
    <w:rsid w:val="003646D6"/>
    <w:rsid w:val="00364FC6"/>
    <w:rsid w:val="0036541D"/>
    <w:rsid w:val="00370504"/>
    <w:rsid w:val="00371814"/>
    <w:rsid w:val="00372BAE"/>
    <w:rsid w:val="00372EE9"/>
    <w:rsid w:val="00373631"/>
    <w:rsid w:val="00373F07"/>
    <w:rsid w:val="00374A60"/>
    <w:rsid w:val="00375181"/>
    <w:rsid w:val="003764C0"/>
    <w:rsid w:val="003767A4"/>
    <w:rsid w:val="003774F6"/>
    <w:rsid w:val="003818B3"/>
    <w:rsid w:val="0038356A"/>
    <w:rsid w:val="0038382F"/>
    <w:rsid w:val="0038443F"/>
    <w:rsid w:val="00385427"/>
    <w:rsid w:val="00387542"/>
    <w:rsid w:val="003876C4"/>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6861"/>
    <w:rsid w:val="003A78C7"/>
    <w:rsid w:val="003A7E9A"/>
    <w:rsid w:val="003B15FE"/>
    <w:rsid w:val="003B1C41"/>
    <w:rsid w:val="003B46AD"/>
    <w:rsid w:val="003B5C96"/>
    <w:rsid w:val="003B65FB"/>
    <w:rsid w:val="003B6A26"/>
    <w:rsid w:val="003B6D7D"/>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6C1"/>
    <w:rsid w:val="003D47A7"/>
    <w:rsid w:val="003D56B5"/>
    <w:rsid w:val="003D5DCC"/>
    <w:rsid w:val="003D6B84"/>
    <w:rsid w:val="003E1A49"/>
    <w:rsid w:val="003E2D01"/>
    <w:rsid w:val="003E330E"/>
    <w:rsid w:val="003E3AE3"/>
    <w:rsid w:val="003E5733"/>
    <w:rsid w:val="003E5E27"/>
    <w:rsid w:val="003E6FD2"/>
    <w:rsid w:val="003E76B4"/>
    <w:rsid w:val="003E788F"/>
    <w:rsid w:val="003E7A97"/>
    <w:rsid w:val="003E7D3A"/>
    <w:rsid w:val="003F0950"/>
    <w:rsid w:val="003F09C9"/>
    <w:rsid w:val="003F4C37"/>
    <w:rsid w:val="003F67AE"/>
    <w:rsid w:val="003F6BBB"/>
    <w:rsid w:val="003F719F"/>
    <w:rsid w:val="0040033D"/>
    <w:rsid w:val="004007E1"/>
    <w:rsid w:val="00400B1F"/>
    <w:rsid w:val="004032D2"/>
    <w:rsid w:val="00403603"/>
    <w:rsid w:val="00403C4F"/>
    <w:rsid w:val="00404201"/>
    <w:rsid w:val="004058B4"/>
    <w:rsid w:val="00405C45"/>
    <w:rsid w:val="004062EF"/>
    <w:rsid w:val="004062F0"/>
    <w:rsid w:val="00406CB5"/>
    <w:rsid w:val="00410B8F"/>
    <w:rsid w:val="00412057"/>
    <w:rsid w:val="004126C1"/>
    <w:rsid w:val="00413BA5"/>
    <w:rsid w:val="00414FD0"/>
    <w:rsid w:val="004170F4"/>
    <w:rsid w:val="00417E93"/>
    <w:rsid w:val="00422A2A"/>
    <w:rsid w:val="00424BB4"/>
    <w:rsid w:val="004258CD"/>
    <w:rsid w:val="00425E50"/>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0988"/>
    <w:rsid w:val="0046222F"/>
    <w:rsid w:val="004627AE"/>
    <w:rsid w:val="0046298E"/>
    <w:rsid w:val="004647BB"/>
    <w:rsid w:val="0046482B"/>
    <w:rsid w:val="004648E0"/>
    <w:rsid w:val="00472043"/>
    <w:rsid w:val="0047277E"/>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17"/>
    <w:rsid w:val="00486FFC"/>
    <w:rsid w:val="004903B8"/>
    <w:rsid w:val="00490ED4"/>
    <w:rsid w:val="00491B91"/>
    <w:rsid w:val="00491C21"/>
    <w:rsid w:val="00491C66"/>
    <w:rsid w:val="004935D6"/>
    <w:rsid w:val="00494195"/>
    <w:rsid w:val="004945FB"/>
    <w:rsid w:val="00494646"/>
    <w:rsid w:val="00497356"/>
    <w:rsid w:val="004A076F"/>
    <w:rsid w:val="004A1CB2"/>
    <w:rsid w:val="004A1DC1"/>
    <w:rsid w:val="004A31A2"/>
    <w:rsid w:val="004A47FD"/>
    <w:rsid w:val="004A48A7"/>
    <w:rsid w:val="004A655D"/>
    <w:rsid w:val="004B01B1"/>
    <w:rsid w:val="004B08D1"/>
    <w:rsid w:val="004B10E6"/>
    <w:rsid w:val="004B198F"/>
    <w:rsid w:val="004B357D"/>
    <w:rsid w:val="004B3D4B"/>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4FEB"/>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260"/>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439"/>
    <w:rsid w:val="005266BD"/>
    <w:rsid w:val="0052772D"/>
    <w:rsid w:val="00530442"/>
    <w:rsid w:val="00530BFC"/>
    <w:rsid w:val="00532381"/>
    <w:rsid w:val="0053242E"/>
    <w:rsid w:val="00534AF0"/>
    <w:rsid w:val="00535060"/>
    <w:rsid w:val="00535738"/>
    <w:rsid w:val="00536D9F"/>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39FB"/>
    <w:rsid w:val="00564985"/>
    <w:rsid w:val="00565379"/>
    <w:rsid w:val="00566C92"/>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0F2E"/>
    <w:rsid w:val="00581FF0"/>
    <w:rsid w:val="005825FC"/>
    <w:rsid w:val="00583437"/>
    <w:rsid w:val="00583CE0"/>
    <w:rsid w:val="00584B4A"/>
    <w:rsid w:val="00584DCB"/>
    <w:rsid w:val="00585A16"/>
    <w:rsid w:val="00585B98"/>
    <w:rsid w:val="005863D8"/>
    <w:rsid w:val="005865B2"/>
    <w:rsid w:val="00586812"/>
    <w:rsid w:val="00587BC2"/>
    <w:rsid w:val="00587C66"/>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30B"/>
    <w:rsid w:val="005A5554"/>
    <w:rsid w:val="005A5651"/>
    <w:rsid w:val="005A6AFE"/>
    <w:rsid w:val="005A6F7F"/>
    <w:rsid w:val="005A7BF3"/>
    <w:rsid w:val="005A7DE0"/>
    <w:rsid w:val="005B0005"/>
    <w:rsid w:val="005B0AEF"/>
    <w:rsid w:val="005B37D9"/>
    <w:rsid w:val="005B445B"/>
    <w:rsid w:val="005B474E"/>
    <w:rsid w:val="005B489A"/>
    <w:rsid w:val="005B4A9E"/>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2B0"/>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A7D"/>
    <w:rsid w:val="00601A1F"/>
    <w:rsid w:val="00602655"/>
    <w:rsid w:val="00603B68"/>
    <w:rsid w:val="00605297"/>
    <w:rsid w:val="00605CB9"/>
    <w:rsid w:val="006065BF"/>
    <w:rsid w:val="0060749E"/>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7D8"/>
    <w:rsid w:val="00623A4F"/>
    <w:rsid w:val="00624D17"/>
    <w:rsid w:val="00624F56"/>
    <w:rsid w:val="00626594"/>
    <w:rsid w:val="00630442"/>
    <w:rsid w:val="0063048C"/>
    <w:rsid w:val="00630FCD"/>
    <w:rsid w:val="006319C2"/>
    <w:rsid w:val="00631FF6"/>
    <w:rsid w:val="006321AE"/>
    <w:rsid w:val="006326AB"/>
    <w:rsid w:val="0063292C"/>
    <w:rsid w:val="0063312C"/>
    <w:rsid w:val="00633DBC"/>
    <w:rsid w:val="0063499A"/>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56D5"/>
    <w:rsid w:val="0064656E"/>
    <w:rsid w:val="00646DF5"/>
    <w:rsid w:val="006474BD"/>
    <w:rsid w:val="00650397"/>
    <w:rsid w:val="006507E8"/>
    <w:rsid w:val="00650C73"/>
    <w:rsid w:val="00651143"/>
    <w:rsid w:val="00651959"/>
    <w:rsid w:val="00651A6C"/>
    <w:rsid w:val="00653149"/>
    <w:rsid w:val="006531E4"/>
    <w:rsid w:val="00654505"/>
    <w:rsid w:val="00654DB4"/>
    <w:rsid w:val="006575ED"/>
    <w:rsid w:val="006578FD"/>
    <w:rsid w:val="00660060"/>
    <w:rsid w:val="006609AA"/>
    <w:rsid w:val="006613C4"/>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3135"/>
    <w:rsid w:val="006868CA"/>
    <w:rsid w:val="00686E32"/>
    <w:rsid w:val="0069087A"/>
    <w:rsid w:val="00690B4B"/>
    <w:rsid w:val="00690BE4"/>
    <w:rsid w:val="00691077"/>
    <w:rsid w:val="00691982"/>
    <w:rsid w:val="00691BB0"/>
    <w:rsid w:val="00692777"/>
    <w:rsid w:val="00692BE0"/>
    <w:rsid w:val="00692C98"/>
    <w:rsid w:val="00692CF8"/>
    <w:rsid w:val="0069324E"/>
    <w:rsid w:val="00694487"/>
    <w:rsid w:val="00694993"/>
    <w:rsid w:val="00695815"/>
    <w:rsid w:val="0069581B"/>
    <w:rsid w:val="00696601"/>
    <w:rsid w:val="006977FA"/>
    <w:rsid w:val="006A20FB"/>
    <w:rsid w:val="006A339D"/>
    <w:rsid w:val="006A414F"/>
    <w:rsid w:val="006A4462"/>
    <w:rsid w:val="006A5B59"/>
    <w:rsid w:val="006A6A14"/>
    <w:rsid w:val="006A753A"/>
    <w:rsid w:val="006A777C"/>
    <w:rsid w:val="006A7C46"/>
    <w:rsid w:val="006B0F76"/>
    <w:rsid w:val="006B1F20"/>
    <w:rsid w:val="006B2C76"/>
    <w:rsid w:val="006B398A"/>
    <w:rsid w:val="006B3E04"/>
    <w:rsid w:val="006B4024"/>
    <w:rsid w:val="006B47D7"/>
    <w:rsid w:val="006B499D"/>
    <w:rsid w:val="006B5041"/>
    <w:rsid w:val="006B643D"/>
    <w:rsid w:val="006B79A4"/>
    <w:rsid w:val="006C0348"/>
    <w:rsid w:val="006C1254"/>
    <w:rsid w:val="006C2DC5"/>
    <w:rsid w:val="006C3CC6"/>
    <w:rsid w:val="006C3FFE"/>
    <w:rsid w:val="006C480B"/>
    <w:rsid w:val="006C570B"/>
    <w:rsid w:val="006C572E"/>
    <w:rsid w:val="006C5997"/>
    <w:rsid w:val="006C5BF5"/>
    <w:rsid w:val="006C5CD2"/>
    <w:rsid w:val="006C746B"/>
    <w:rsid w:val="006D0636"/>
    <w:rsid w:val="006D06DC"/>
    <w:rsid w:val="006D6E46"/>
    <w:rsid w:val="006D7FA8"/>
    <w:rsid w:val="006E4601"/>
    <w:rsid w:val="006E5B86"/>
    <w:rsid w:val="006E63FF"/>
    <w:rsid w:val="006E652D"/>
    <w:rsid w:val="006E7572"/>
    <w:rsid w:val="006F2F22"/>
    <w:rsid w:val="006F434A"/>
    <w:rsid w:val="006F46EA"/>
    <w:rsid w:val="006F7974"/>
    <w:rsid w:val="00700A60"/>
    <w:rsid w:val="00705027"/>
    <w:rsid w:val="00710494"/>
    <w:rsid w:val="007117BD"/>
    <w:rsid w:val="00711E50"/>
    <w:rsid w:val="00715129"/>
    <w:rsid w:val="007154CE"/>
    <w:rsid w:val="00715B25"/>
    <w:rsid w:val="00716020"/>
    <w:rsid w:val="00720860"/>
    <w:rsid w:val="00721087"/>
    <w:rsid w:val="00721530"/>
    <w:rsid w:val="00723422"/>
    <w:rsid w:val="00725D20"/>
    <w:rsid w:val="00725FE8"/>
    <w:rsid w:val="007260FE"/>
    <w:rsid w:val="00726DD6"/>
    <w:rsid w:val="0073076E"/>
    <w:rsid w:val="00733416"/>
    <w:rsid w:val="0073377E"/>
    <w:rsid w:val="00733E05"/>
    <w:rsid w:val="007358BA"/>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3C50"/>
    <w:rsid w:val="00774756"/>
    <w:rsid w:val="00775181"/>
    <w:rsid w:val="007751B6"/>
    <w:rsid w:val="00775345"/>
    <w:rsid w:val="00775D53"/>
    <w:rsid w:val="00776A33"/>
    <w:rsid w:val="00776F15"/>
    <w:rsid w:val="007779ED"/>
    <w:rsid w:val="00780B1A"/>
    <w:rsid w:val="007810D3"/>
    <w:rsid w:val="0078264A"/>
    <w:rsid w:val="00783D11"/>
    <w:rsid w:val="00785E46"/>
    <w:rsid w:val="00787917"/>
    <w:rsid w:val="00791489"/>
    <w:rsid w:val="00791683"/>
    <w:rsid w:val="00791B48"/>
    <w:rsid w:val="00792473"/>
    <w:rsid w:val="00792F0C"/>
    <w:rsid w:val="00795460"/>
    <w:rsid w:val="00796CF7"/>
    <w:rsid w:val="007A0313"/>
    <w:rsid w:val="007A065F"/>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22D"/>
    <w:rsid w:val="007C4827"/>
    <w:rsid w:val="007C4A20"/>
    <w:rsid w:val="007C571B"/>
    <w:rsid w:val="007D0B7F"/>
    <w:rsid w:val="007D1266"/>
    <w:rsid w:val="007D1B94"/>
    <w:rsid w:val="007D226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1FD1"/>
    <w:rsid w:val="007F2F55"/>
    <w:rsid w:val="007F342F"/>
    <w:rsid w:val="007F38D1"/>
    <w:rsid w:val="007F56BB"/>
    <w:rsid w:val="007F63CE"/>
    <w:rsid w:val="007F6EA4"/>
    <w:rsid w:val="007F6F4E"/>
    <w:rsid w:val="008002A5"/>
    <w:rsid w:val="0080050E"/>
    <w:rsid w:val="00800A64"/>
    <w:rsid w:val="00801329"/>
    <w:rsid w:val="00801424"/>
    <w:rsid w:val="00801AA4"/>
    <w:rsid w:val="00801B7E"/>
    <w:rsid w:val="008021B9"/>
    <w:rsid w:val="008022D2"/>
    <w:rsid w:val="008032AB"/>
    <w:rsid w:val="00804917"/>
    <w:rsid w:val="00806E68"/>
    <w:rsid w:val="00807FC3"/>
    <w:rsid w:val="00810034"/>
    <w:rsid w:val="008114CF"/>
    <w:rsid w:val="008117CC"/>
    <w:rsid w:val="00811AB3"/>
    <w:rsid w:val="0081421D"/>
    <w:rsid w:val="00814ADB"/>
    <w:rsid w:val="00815C5D"/>
    <w:rsid w:val="0081618F"/>
    <w:rsid w:val="00817179"/>
    <w:rsid w:val="008174D1"/>
    <w:rsid w:val="008178B2"/>
    <w:rsid w:val="00820217"/>
    <w:rsid w:val="0082165E"/>
    <w:rsid w:val="00822136"/>
    <w:rsid w:val="008221E8"/>
    <w:rsid w:val="00822AAF"/>
    <w:rsid w:val="00822F01"/>
    <w:rsid w:val="008232A6"/>
    <w:rsid w:val="00823898"/>
    <w:rsid w:val="008239D1"/>
    <w:rsid w:val="00824071"/>
    <w:rsid w:val="008246B2"/>
    <w:rsid w:val="0082488A"/>
    <w:rsid w:val="00824C08"/>
    <w:rsid w:val="008250F6"/>
    <w:rsid w:val="00826559"/>
    <w:rsid w:val="00826560"/>
    <w:rsid w:val="00826CBB"/>
    <w:rsid w:val="00827180"/>
    <w:rsid w:val="0082770D"/>
    <w:rsid w:val="00827B6D"/>
    <w:rsid w:val="00827C90"/>
    <w:rsid w:val="00827E3D"/>
    <w:rsid w:val="0083004E"/>
    <w:rsid w:val="00831031"/>
    <w:rsid w:val="00831EAF"/>
    <w:rsid w:val="00832288"/>
    <w:rsid w:val="008326D6"/>
    <w:rsid w:val="008337EA"/>
    <w:rsid w:val="00833839"/>
    <w:rsid w:val="00833B4A"/>
    <w:rsid w:val="00833D15"/>
    <w:rsid w:val="008344C4"/>
    <w:rsid w:val="008348DA"/>
    <w:rsid w:val="00835621"/>
    <w:rsid w:val="008362AE"/>
    <w:rsid w:val="008369C1"/>
    <w:rsid w:val="00837719"/>
    <w:rsid w:val="00840419"/>
    <w:rsid w:val="00840585"/>
    <w:rsid w:val="00840A24"/>
    <w:rsid w:val="00840F1B"/>
    <w:rsid w:val="0084117A"/>
    <w:rsid w:val="008420C2"/>
    <w:rsid w:val="00842827"/>
    <w:rsid w:val="00842965"/>
    <w:rsid w:val="00844300"/>
    <w:rsid w:val="008458BD"/>
    <w:rsid w:val="00846956"/>
    <w:rsid w:val="00846CF1"/>
    <w:rsid w:val="00847622"/>
    <w:rsid w:val="008505B8"/>
    <w:rsid w:val="00851005"/>
    <w:rsid w:val="00851ADD"/>
    <w:rsid w:val="00855480"/>
    <w:rsid w:val="00855CA6"/>
    <w:rsid w:val="00860323"/>
    <w:rsid w:val="00860F4F"/>
    <w:rsid w:val="008610B9"/>
    <w:rsid w:val="00862656"/>
    <w:rsid w:val="00863013"/>
    <w:rsid w:val="0086349C"/>
    <w:rsid w:val="00863F67"/>
    <w:rsid w:val="0086483A"/>
    <w:rsid w:val="0087049C"/>
    <w:rsid w:val="00870AAD"/>
    <w:rsid w:val="00870EDE"/>
    <w:rsid w:val="00871C9E"/>
    <w:rsid w:val="00871DA0"/>
    <w:rsid w:val="00872030"/>
    <w:rsid w:val="00873973"/>
    <w:rsid w:val="0087536A"/>
    <w:rsid w:val="00875C28"/>
    <w:rsid w:val="00875E75"/>
    <w:rsid w:val="0087658F"/>
    <w:rsid w:val="0087762E"/>
    <w:rsid w:val="00877823"/>
    <w:rsid w:val="008803F5"/>
    <w:rsid w:val="008812BF"/>
    <w:rsid w:val="00881341"/>
    <w:rsid w:val="0088212A"/>
    <w:rsid w:val="00882931"/>
    <w:rsid w:val="00884939"/>
    <w:rsid w:val="008853E0"/>
    <w:rsid w:val="00885BE2"/>
    <w:rsid w:val="00885E31"/>
    <w:rsid w:val="008863C8"/>
    <w:rsid w:val="00886D40"/>
    <w:rsid w:val="00887A0E"/>
    <w:rsid w:val="00890350"/>
    <w:rsid w:val="008907F3"/>
    <w:rsid w:val="00890D3C"/>
    <w:rsid w:val="008920C2"/>
    <w:rsid w:val="0089257E"/>
    <w:rsid w:val="00895702"/>
    <w:rsid w:val="00897566"/>
    <w:rsid w:val="0089757B"/>
    <w:rsid w:val="008A1594"/>
    <w:rsid w:val="008A1757"/>
    <w:rsid w:val="008A1CE6"/>
    <w:rsid w:val="008A1F25"/>
    <w:rsid w:val="008A2AE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63E4"/>
    <w:rsid w:val="008D7D8C"/>
    <w:rsid w:val="008E004E"/>
    <w:rsid w:val="008E04FB"/>
    <w:rsid w:val="008E3E79"/>
    <w:rsid w:val="008E5282"/>
    <w:rsid w:val="008E5452"/>
    <w:rsid w:val="008E5E2C"/>
    <w:rsid w:val="008E78F1"/>
    <w:rsid w:val="008F03CE"/>
    <w:rsid w:val="008F075B"/>
    <w:rsid w:val="008F0E9E"/>
    <w:rsid w:val="008F2913"/>
    <w:rsid w:val="008F2A4E"/>
    <w:rsid w:val="008F2AE9"/>
    <w:rsid w:val="008F332B"/>
    <w:rsid w:val="008F3903"/>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0D0"/>
    <w:rsid w:val="00906468"/>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B4A"/>
    <w:rsid w:val="00925DD2"/>
    <w:rsid w:val="00926344"/>
    <w:rsid w:val="00926929"/>
    <w:rsid w:val="00927301"/>
    <w:rsid w:val="00927E9D"/>
    <w:rsid w:val="00931859"/>
    <w:rsid w:val="0093205C"/>
    <w:rsid w:val="009343F5"/>
    <w:rsid w:val="0093456A"/>
    <w:rsid w:val="009345AE"/>
    <w:rsid w:val="00935301"/>
    <w:rsid w:val="00936096"/>
    <w:rsid w:val="00936F64"/>
    <w:rsid w:val="00937B8E"/>
    <w:rsid w:val="00940C5B"/>
    <w:rsid w:val="009411F7"/>
    <w:rsid w:val="009417F1"/>
    <w:rsid w:val="00941A84"/>
    <w:rsid w:val="0094204A"/>
    <w:rsid w:val="00942108"/>
    <w:rsid w:val="009443ED"/>
    <w:rsid w:val="00945DBF"/>
    <w:rsid w:val="00946042"/>
    <w:rsid w:val="00946AB3"/>
    <w:rsid w:val="00947074"/>
    <w:rsid w:val="0094752A"/>
    <w:rsid w:val="009475E3"/>
    <w:rsid w:val="00947D01"/>
    <w:rsid w:val="009503EA"/>
    <w:rsid w:val="0095112D"/>
    <w:rsid w:val="00952124"/>
    <w:rsid w:val="00956244"/>
    <w:rsid w:val="00956A06"/>
    <w:rsid w:val="00957435"/>
    <w:rsid w:val="009578D0"/>
    <w:rsid w:val="009600C6"/>
    <w:rsid w:val="00960D80"/>
    <w:rsid w:val="009621CE"/>
    <w:rsid w:val="009622BF"/>
    <w:rsid w:val="00963634"/>
    <w:rsid w:val="009651B8"/>
    <w:rsid w:val="009653F3"/>
    <w:rsid w:val="0096587A"/>
    <w:rsid w:val="009666E7"/>
    <w:rsid w:val="00967278"/>
    <w:rsid w:val="00971568"/>
    <w:rsid w:val="00972662"/>
    <w:rsid w:val="009728F2"/>
    <w:rsid w:val="00972BEF"/>
    <w:rsid w:val="00973BCF"/>
    <w:rsid w:val="009744BC"/>
    <w:rsid w:val="00974E60"/>
    <w:rsid w:val="00975896"/>
    <w:rsid w:val="00975C68"/>
    <w:rsid w:val="00975DF1"/>
    <w:rsid w:val="00976AFE"/>
    <w:rsid w:val="00983389"/>
    <w:rsid w:val="00983CEA"/>
    <w:rsid w:val="00984198"/>
    <w:rsid w:val="00984E04"/>
    <w:rsid w:val="00986194"/>
    <w:rsid w:val="009861D2"/>
    <w:rsid w:val="00986E53"/>
    <w:rsid w:val="00987CE5"/>
    <w:rsid w:val="00993CF0"/>
    <w:rsid w:val="0099428D"/>
    <w:rsid w:val="009949A7"/>
    <w:rsid w:val="00994C1E"/>
    <w:rsid w:val="00995CDC"/>
    <w:rsid w:val="009975CA"/>
    <w:rsid w:val="009A0C15"/>
    <w:rsid w:val="009A1088"/>
    <w:rsid w:val="009A14CB"/>
    <w:rsid w:val="009A27C7"/>
    <w:rsid w:val="009A2961"/>
    <w:rsid w:val="009A2ABC"/>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3D4"/>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6F94"/>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09F"/>
    <w:rsid w:val="009F2C2E"/>
    <w:rsid w:val="009F4190"/>
    <w:rsid w:val="009F4911"/>
    <w:rsid w:val="009F513E"/>
    <w:rsid w:val="009F5241"/>
    <w:rsid w:val="009F640A"/>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3BF"/>
    <w:rsid w:val="00A51DF1"/>
    <w:rsid w:val="00A52025"/>
    <w:rsid w:val="00A52AFB"/>
    <w:rsid w:val="00A53967"/>
    <w:rsid w:val="00A5455C"/>
    <w:rsid w:val="00A545EC"/>
    <w:rsid w:val="00A54C5F"/>
    <w:rsid w:val="00A54D3B"/>
    <w:rsid w:val="00A5578A"/>
    <w:rsid w:val="00A56DA0"/>
    <w:rsid w:val="00A61365"/>
    <w:rsid w:val="00A61759"/>
    <w:rsid w:val="00A61B88"/>
    <w:rsid w:val="00A62216"/>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71A"/>
    <w:rsid w:val="00A80850"/>
    <w:rsid w:val="00A83454"/>
    <w:rsid w:val="00A843FC"/>
    <w:rsid w:val="00A84DA5"/>
    <w:rsid w:val="00A85302"/>
    <w:rsid w:val="00A86119"/>
    <w:rsid w:val="00A8649F"/>
    <w:rsid w:val="00A86D25"/>
    <w:rsid w:val="00A877BD"/>
    <w:rsid w:val="00A8786B"/>
    <w:rsid w:val="00A90299"/>
    <w:rsid w:val="00A903F1"/>
    <w:rsid w:val="00A905CC"/>
    <w:rsid w:val="00A90974"/>
    <w:rsid w:val="00A9197E"/>
    <w:rsid w:val="00A91E75"/>
    <w:rsid w:val="00A92065"/>
    <w:rsid w:val="00A92184"/>
    <w:rsid w:val="00A9334F"/>
    <w:rsid w:val="00A93D6F"/>
    <w:rsid w:val="00A9614E"/>
    <w:rsid w:val="00A963B5"/>
    <w:rsid w:val="00A96FA8"/>
    <w:rsid w:val="00A97665"/>
    <w:rsid w:val="00AA0270"/>
    <w:rsid w:val="00AA0504"/>
    <w:rsid w:val="00AA0909"/>
    <w:rsid w:val="00AA0E00"/>
    <w:rsid w:val="00AA1C72"/>
    <w:rsid w:val="00AA1E8D"/>
    <w:rsid w:val="00AA1FDE"/>
    <w:rsid w:val="00AA291C"/>
    <w:rsid w:val="00AA2F51"/>
    <w:rsid w:val="00AA30F6"/>
    <w:rsid w:val="00AA334D"/>
    <w:rsid w:val="00AA37B1"/>
    <w:rsid w:val="00AA3C37"/>
    <w:rsid w:val="00AA47B8"/>
    <w:rsid w:val="00AA550A"/>
    <w:rsid w:val="00AA5EBD"/>
    <w:rsid w:val="00AA628B"/>
    <w:rsid w:val="00AA685D"/>
    <w:rsid w:val="00AA6DE4"/>
    <w:rsid w:val="00AA70FE"/>
    <w:rsid w:val="00AA7408"/>
    <w:rsid w:val="00AA7D1F"/>
    <w:rsid w:val="00AB02C6"/>
    <w:rsid w:val="00AB059D"/>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1D6F"/>
    <w:rsid w:val="00AE2328"/>
    <w:rsid w:val="00AE4338"/>
    <w:rsid w:val="00AE473C"/>
    <w:rsid w:val="00AE55E7"/>
    <w:rsid w:val="00AE6363"/>
    <w:rsid w:val="00AE6CD6"/>
    <w:rsid w:val="00AE7348"/>
    <w:rsid w:val="00AE7394"/>
    <w:rsid w:val="00AE7CD2"/>
    <w:rsid w:val="00AF0B77"/>
    <w:rsid w:val="00AF138B"/>
    <w:rsid w:val="00AF15AC"/>
    <w:rsid w:val="00AF160F"/>
    <w:rsid w:val="00AF1919"/>
    <w:rsid w:val="00AF1B7B"/>
    <w:rsid w:val="00AF3291"/>
    <w:rsid w:val="00AF395E"/>
    <w:rsid w:val="00AF4D6A"/>
    <w:rsid w:val="00AF538E"/>
    <w:rsid w:val="00AF5D2C"/>
    <w:rsid w:val="00AF5D6E"/>
    <w:rsid w:val="00AF6318"/>
    <w:rsid w:val="00B0072E"/>
    <w:rsid w:val="00B02874"/>
    <w:rsid w:val="00B03B63"/>
    <w:rsid w:val="00B04B52"/>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4C82"/>
    <w:rsid w:val="00B359A5"/>
    <w:rsid w:val="00B3620E"/>
    <w:rsid w:val="00B362D9"/>
    <w:rsid w:val="00B36B99"/>
    <w:rsid w:val="00B36D20"/>
    <w:rsid w:val="00B36F67"/>
    <w:rsid w:val="00B4030B"/>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4C7B"/>
    <w:rsid w:val="00B751C3"/>
    <w:rsid w:val="00B76C0D"/>
    <w:rsid w:val="00B77D0D"/>
    <w:rsid w:val="00B8002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332"/>
    <w:rsid w:val="00BA54F7"/>
    <w:rsid w:val="00BA576C"/>
    <w:rsid w:val="00BA5A4A"/>
    <w:rsid w:val="00BA6205"/>
    <w:rsid w:val="00BA6CE5"/>
    <w:rsid w:val="00BA6F38"/>
    <w:rsid w:val="00BB1388"/>
    <w:rsid w:val="00BB2683"/>
    <w:rsid w:val="00BB40DF"/>
    <w:rsid w:val="00BB5E2C"/>
    <w:rsid w:val="00BB6DBA"/>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152"/>
    <w:rsid w:val="00BD7662"/>
    <w:rsid w:val="00BE05ED"/>
    <w:rsid w:val="00BE1B09"/>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7E30"/>
    <w:rsid w:val="00C01804"/>
    <w:rsid w:val="00C026BC"/>
    <w:rsid w:val="00C02AD4"/>
    <w:rsid w:val="00C03869"/>
    <w:rsid w:val="00C07988"/>
    <w:rsid w:val="00C07C5E"/>
    <w:rsid w:val="00C10068"/>
    <w:rsid w:val="00C10AC5"/>
    <w:rsid w:val="00C11F91"/>
    <w:rsid w:val="00C12DAD"/>
    <w:rsid w:val="00C12E17"/>
    <w:rsid w:val="00C14741"/>
    <w:rsid w:val="00C1544B"/>
    <w:rsid w:val="00C1665A"/>
    <w:rsid w:val="00C1739F"/>
    <w:rsid w:val="00C177FF"/>
    <w:rsid w:val="00C20732"/>
    <w:rsid w:val="00C222FF"/>
    <w:rsid w:val="00C2338E"/>
    <w:rsid w:val="00C23B11"/>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1764"/>
    <w:rsid w:val="00C720F8"/>
    <w:rsid w:val="00C7294B"/>
    <w:rsid w:val="00C742C5"/>
    <w:rsid w:val="00C75139"/>
    <w:rsid w:val="00C7525C"/>
    <w:rsid w:val="00C76CF7"/>
    <w:rsid w:val="00C83A4C"/>
    <w:rsid w:val="00C8533B"/>
    <w:rsid w:val="00C858BA"/>
    <w:rsid w:val="00C86977"/>
    <w:rsid w:val="00C86E68"/>
    <w:rsid w:val="00C916C8"/>
    <w:rsid w:val="00C9398D"/>
    <w:rsid w:val="00C939EE"/>
    <w:rsid w:val="00C93BAB"/>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1A"/>
    <w:rsid w:val="00CB2575"/>
    <w:rsid w:val="00CB3677"/>
    <w:rsid w:val="00CB368F"/>
    <w:rsid w:val="00CB4C42"/>
    <w:rsid w:val="00CB4DFA"/>
    <w:rsid w:val="00CB79E4"/>
    <w:rsid w:val="00CB7BD7"/>
    <w:rsid w:val="00CB7E91"/>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2C0C"/>
    <w:rsid w:val="00D039B5"/>
    <w:rsid w:val="00D04AA9"/>
    <w:rsid w:val="00D04F76"/>
    <w:rsid w:val="00D053D2"/>
    <w:rsid w:val="00D07291"/>
    <w:rsid w:val="00D07D07"/>
    <w:rsid w:val="00D10F87"/>
    <w:rsid w:val="00D1149D"/>
    <w:rsid w:val="00D11B8E"/>
    <w:rsid w:val="00D11D8D"/>
    <w:rsid w:val="00D12B12"/>
    <w:rsid w:val="00D12DD7"/>
    <w:rsid w:val="00D12E07"/>
    <w:rsid w:val="00D13A8C"/>
    <w:rsid w:val="00D149E1"/>
    <w:rsid w:val="00D14A44"/>
    <w:rsid w:val="00D15BCC"/>
    <w:rsid w:val="00D1628F"/>
    <w:rsid w:val="00D21D89"/>
    <w:rsid w:val="00D22522"/>
    <w:rsid w:val="00D22657"/>
    <w:rsid w:val="00D227B6"/>
    <w:rsid w:val="00D228DF"/>
    <w:rsid w:val="00D233E3"/>
    <w:rsid w:val="00D23557"/>
    <w:rsid w:val="00D2427F"/>
    <w:rsid w:val="00D24BB7"/>
    <w:rsid w:val="00D2506D"/>
    <w:rsid w:val="00D263AE"/>
    <w:rsid w:val="00D27855"/>
    <w:rsid w:val="00D27E5A"/>
    <w:rsid w:val="00D31021"/>
    <w:rsid w:val="00D31C52"/>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D18"/>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1CE3"/>
    <w:rsid w:val="00D82A5C"/>
    <w:rsid w:val="00D82D11"/>
    <w:rsid w:val="00D83CD3"/>
    <w:rsid w:val="00D83E51"/>
    <w:rsid w:val="00D84719"/>
    <w:rsid w:val="00D856EA"/>
    <w:rsid w:val="00D85ACD"/>
    <w:rsid w:val="00D86460"/>
    <w:rsid w:val="00D912D5"/>
    <w:rsid w:val="00D91AAF"/>
    <w:rsid w:val="00D92F1E"/>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257"/>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51CC"/>
    <w:rsid w:val="00E06951"/>
    <w:rsid w:val="00E10C94"/>
    <w:rsid w:val="00E10EC4"/>
    <w:rsid w:val="00E118D7"/>
    <w:rsid w:val="00E13F46"/>
    <w:rsid w:val="00E15BD4"/>
    <w:rsid w:val="00E16458"/>
    <w:rsid w:val="00E16FB6"/>
    <w:rsid w:val="00E17001"/>
    <w:rsid w:val="00E17814"/>
    <w:rsid w:val="00E17CEF"/>
    <w:rsid w:val="00E20FBC"/>
    <w:rsid w:val="00E21B64"/>
    <w:rsid w:val="00E244CA"/>
    <w:rsid w:val="00E2512D"/>
    <w:rsid w:val="00E2548C"/>
    <w:rsid w:val="00E262F0"/>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0F79"/>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7E6"/>
    <w:rsid w:val="00E55F3E"/>
    <w:rsid w:val="00E56392"/>
    <w:rsid w:val="00E56BFE"/>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5B61"/>
    <w:rsid w:val="00E86343"/>
    <w:rsid w:val="00E866CD"/>
    <w:rsid w:val="00E877ED"/>
    <w:rsid w:val="00E901FD"/>
    <w:rsid w:val="00E91964"/>
    <w:rsid w:val="00E91FB1"/>
    <w:rsid w:val="00E94468"/>
    <w:rsid w:val="00E94A0E"/>
    <w:rsid w:val="00E95A09"/>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B775B"/>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46D2"/>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AA6"/>
    <w:rsid w:val="00F11B61"/>
    <w:rsid w:val="00F12422"/>
    <w:rsid w:val="00F135D6"/>
    <w:rsid w:val="00F13922"/>
    <w:rsid w:val="00F13DBC"/>
    <w:rsid w:val="00F15FCF"/>
    <w:rsid w:val="00F162E3"/>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CA4"/>
    <w:rsid w:val="00F37CFD"/>
    <w:rsid w:val="00F37D33"/>
    <w:rsid w:val="00F40178"/>
    <w:rsid w:val="00F40DB9"/>
    <w:rsid w:val="00F40ED1"/>
    <w:rsid w:val="00F415A3"/>
    <w:rsid w:val="00F41778"/>
    <w:rsid w:val="00F41B3E"/>
    <w:rsid w:val="00F421D1"/>
    <w:rsid w:val="00F4323B"/>
    <w:rsid w:val="00F438EF"/>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4EB"/>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47D"/>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7F37"/>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18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Endofdocument-Annex">
    <w:name w:val="[End of document - Annex]"/>
    <w:basedOn w:val="Normal"/>
    <w:rsid w:val="002900ED"/>
    <w:pPr>
      <w:ind w:left="5534"/>
    </w:pPr>
    <w:rPr>
      <w:rFonts w:eastAsia="SimSun"/>
      <w:lang w:eastAsia="zh-CN"/>
    </w:rPr>
  </w:style>
  <w:style w:type="paragraph" w:styleId="BodyText">
    <w:name w:val="Body Text"/>
    <w:basedOn w:val="Normal"/>
    <w:link w:val="BodyTextChar"/>
    <w:rsid w:val="002900ED"/>
    <w:pPr>
      <w:spacing w:after="220"/>
    </w:pPr>
    <w:rPr>
      <w:rFonts w:eastAsia="SimSun"/>
      <w:lang w:eastAsia="zh-CN"/>
    </w:rPr>
  </w:style>
  <w:style w:type="character" w:customStyle="1" w:styleId="BodyTextChar">
    <w:name w:val="Body Text Char"/>
    <w:basedOn w:val="DefaultParagraphFont"/>
    <w:link w:val="BodyText"/>
    <w:rsid w:val="002900ED"/>
    <w:rPr>
      <w:rFonts w:ascii="Arial" w:eastAsia="SimSun" w:hAnsi="Arial" w:cs="Arial"/>
      <w:sz w:val="22"/>
      <w:lang w:eastAsia="zh-CN"/>
    </w:rPr>
  </w:style>
  <w:style w:type="paragraph" w:customStyle="1" w:styleId="ONUME">
    <w:name w:val="ONUM E"/>
    <w:basedOn w:val="BodyText"/>
    <w:link w:val="ONUMEChar"/>
    <w:uiPriority w:val="99"/>
    <w:rsid w:val="002900ED"/>
    <w:pPr>
      <w:numPr>
        <w:numId w:val="3"/>
      </w:numPr>
    </w:pPr>
  </w:style>
  <w:style w:type="paragraph" w:customStyle="1" w:styleId="ONUMFS">
    <w:name w:val="ONUM FS"/>
    <w:basedOn w:val="BodyText"/>
    <w:rsid w:val="002900ED"/>
    <w:pPr>
      <w:numPr>
        <w:numId w:val="4"/>
      </w:numPr>
    </w:pPr>
  </w:style>
  <w:style w:type="character" w:customStyle="1" w:styleId="ONUMEChar">
    <w:name w:val="ONUM E Char"/>
    <w:link w:val="ONUME"/>
    <w:uiPriority w:val="99"/>
    <w:locked/>
    <w:rsid w:val="002900ED"/>
    <w:rPr>
      <w:rFonts w:ascii="Arial" w:eastAsia="SimSun" w:hAnsi="Arial" w:cs="Arial"/>
      <w:sz w:val="22"/>
      <w:lang w:eastAsia="zh-CN"/>
    </w:rPr>
  </w:style>
  <w:style w:type="character" w:styleId="Hyperlink">
    <w:name w:val="Hyperlink"/>
    <w:basedOn w:val="DefaultParagraphFont"/>
    <w:unhideWhenUsed/>
    <w:rsid w:val="002900ED"/>
    <w:rPr>
      <w:color w:val="0000FF" w:themeColor="hyperlink"/>
      <w:u w:val="single"/>
    </w:rPr>
  </w:style>
  <w:style w:type="paragraph" w:customStyle="1" w:styleId="Endofdocument">
    <w:name w:val="End of document"/>
    <w:basedOn w:val="Normal"/>
    <w:rsid w:val="002900ED"/>
    <w:pPr>
      <w:tabs>
        <w:tab w:val="left" w:pos="1588"/>
        <w:tab w:val="left" w:pos="2155"/>
        <w:tab w:val="left" w:pos="2722"/>
      </w:tabs>
      <w:spacing w:after="120" w:line="260" w:lineRule="atLeast"/>
      <w:ind w:left="5534"/>
      <w:contextualSpacing/>
    </w:pPr>
    <w:rPr>
      <w:rFonts w:cs="Times New Roman"/>
      <w:sz w:val="20"/>
    </w:rPr>
  </w:style>
  <w:style w:type="character" w:styleId="CommentReference">
    <w:name w:val="annotation reference"/>
    <w:basedOn w:val="DefaultParagraphFont"/>
    <w:rsid w:val="00FC7F37"/>
    <w:rPr>
      <w:sz w:val="16"/>
      <w:szCs w:val="16"/>
    </w:rPr>
  </w:style>
  <w:style w:type="paragraph" w:styleId="CommentSubject">
    <w:name w:val="annotation subject"/>
    <w:basedOn w:val="CommentText"/>
    <w:next w:val="CommentText"/>
    <w:link w:val="CommentSubjectChar"/>
    <w:rsid w:val="00FC7F37"/>
    <w:rPr>
      <w:b/>
      <w:bCs/>
      <w:sz w:val="20"/>
    </w:rPr>
  </w:style>
  <w:style w:type="character" w:customStyle="1" w:styleId="CommentTextChar">
    <w:name w:val="Comment Text Char"/>
    <w:basedOn w:val="DefaultParagraphFont"/>
    <w:link w:val="CommentText"/>
    <w:semiHidden/>
    <w:rsid w:val="00FC7F37"/>
    <w:rPr>
      <w:rFonts w:ascii="Arial" w:hAnsi="Arial" w:cs="Arial"/>
      <w:sz w:val="18"/>
    </w:rPr>
  </w:style>
  <w:style w:type="character" w:customStyle="1" w:styleId="CommentSubjectChar">
    <w:name w:val="Comment Subject Char"/>
    <w:basedOn w:val="CommentTextChar"/>
    <w:link w:val="CommentSubject"/>
    <w:rsid w:val="00FC7F37"/>
    <w:rPr>
      <w:rFonts w:ascii="Arial" w:hAnsi="Arial" w:cs="Arial"/>
      <w:b/>
      <w:bCs/>
      <w:sz w:val="18"/>
    </w:rPr>
  </w:style>
  <w:style w:type="paragraph" w:styleId="ListParagraph">
    <w:name w:val="List Paragraph"/>
    <w:basedOn w:val="Normal"/>
    <w:uiPriority w:val="34"/>
    <w:qFormat/>
    <w:rsid w:val="001D61B5"/>
    <w:pPr>
      <w:ind w:left="720"/>
      <w:contextualSpacing/>
    </w:pPr>
  </w:style>
  <w:style w:type="character" w:customStyle="1" w:styleId="Heading2Char">
    <w:name w:val="Heading 2 Char"/>
    <w:basedOn w:val="DefaultParagraphFont"/>
    <w:link w:val="Heading2"/>
    <w:rsid w:val="009060D0"/>
    <w:rPr>
      <w:rFonts w:ascii="Arial" w:eastAsia="SimSun" w:hAnsi="Arial" w:cs="Arial"/>
      <w:bCs/>
      <w:iCs/>
      <w:caps/>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Endofdocument-Annex">
    <w:name w:val="[End of document - Annex]"/>
    <w:basedOn w:val="Normal"/>
    <w:rsid w:val="002900ED"/>
    <w:pPr>
      <w:ind w:left="5534"/>
    </w:pPr>
    <w:rPr>
      <w:rFonts w:eastAsia="SimSun"/>
      <w:lang w:eastAsia="zh-CN"/>
    </w:rPr>
  </w:style>
  <w:style w:type="paragraph" w:styleId="BodyText">
    <w:name w:val="Body Text"/>
    <w:basedOn w:val="Normal"/>
    <w:link w:val="BodyTextChar"/>
    <w:rsid w:val="002900ED"/>
    <w:pPr>
      <w:spacing w:after="220"/>
    </w:pPr>
    <w:rPr>
      <w:rFonts w:eastAsia="SimSun"/>
      <w:lang w:eastAsia="zh-CN"/>
    </w:rPr>
  </w:style>
  <w:style w:type="character" w:customStyle="1" w:styleId="BodyTextChar">
    <w:name w:val="Body Text Char"/>
    <w:basedOn w:val="DefaultParagraphFont"/>
    <w:link w:val="BodyText"/>
    <w:rsid w:val="002900ED"/>
    <w:rPr>
      <w:rFonts w:ascii="Arial" w:eastAsia="SimSun" w:hAnsi="Arial" w:cs="Arial"/>
      <w:sz w:val="22"/>
      <w:lang w:eastAsia="zh-CN"/>
    </w:rPr>
  </w:style>
  <w:style w:type="paragraph" w:customStyle="1" w:styleId="ONUME">
    <w:name w:val="ONUM E"/>
    <w:basedOn w:val="BodyText"/>
    <w:link w:val="ONUMEChar"/>
    <w:uiPriority w:val="99"/>
    <w:rsid w:val="002900ED"/>
    <w:pPr>
      <w:numPr>
        <w:numId w:val="3"/>
      </w:numPr>
    </w:pPr>
  </w:style>
  <w:style w:type="paragraph" w:customStyle="1" w:styleId="ONUMFS">
    <w:name w:val="ONUM FS"/>
    <w:basedOn w:val="BodyText"/>
    <w:rsid w:val="002900ED"/>
    <w:pPr>
      <w:numPr>
        <w:numId w:val="4"/>
      </w:numPr>
    </w:pPr>
  </w:style>
  <w:style w:type="character" w:customStyle="1" w:styleId="ONUMEChar">
    <w:name w:val="ONUM E Char"/>
    <w:link w:val="ONUME"/>
    <w:uiPriority w:val="99"/>
    <w:locked/>
    <w:rsid w:val="002900ED"/>
    <w:rPr>
      <w:rFonts w:ascii="Arial" w:eastAsia="SimSun" w:hAnsi="Arial" w:cs="Arial"/>
      <w:sz w:val="22"/>
      <w:lang w:eastAsia="zh-CN"/>
    </w:rPr>
  </w:style>
  <w:style w:type="character" w:styleId="Hyperlink">
    <w:name w:val="Hyperlink"/>
    <w:basedOn w:val="DefaultParagraphFont"/>
    <w:unhideWhenUsed/>
    <w:rsid w:val="002900ED"/>
    <w:rPr>
      <w:color w:val="0000FF" w:themeColor="hyperlink"/>
      <w:u w:val="single"/>
    </w:rPr>
  </w:style>
  <w:style w:type="paragraph" w:customStyle="1" w:styleId="Endofdocument">
    <w:name w:val="End of document"/>
    <w:basedOn w:val="Normal"/>
    <w:rsid w:val="002900ED"/>
    <w:pPr>
      <w:tabs>
        <w:tab w:val="left" w:pos="1588"/>
        <w:tab w:val="left" w:pos="2155"/>
        <w:tab w:val="left" w:pos="2722"/>
      </w:tabs>
      <w:spacing w:after="120" w:line="260" w:lineRule="atLeast"/>
      <w:ind w:left="5534"/>
      <w:contextualSpacing/>
    </w:pPr>
    <w:rPr>
      <w:rFonts w:cs="Times New Roman"/>
      <w:sz w:val="20"/>
    </w:rPr>
  </w:style>
  <w:style w:type="character" w:styleId="CommentReference">
    <w:name w:val="annotation reference"/>
    <w:basedOn w:val="DefaultParagraphFont"/>
    <w:rsid w:val="00FC7F37"/>
    <w:rPr>
      <w:sz w:val="16"/>
      <w:szCs w:val="16"/>
    </w:rPr>
  </w:style>
  <w:style w:type="paragraph" w:styleId="CommentSubject">
    <w:name w:val="annotation subject"/>
    <w:basedOn w:val="CommentText"/>
    <w:next w:val="CommentText"/>
    <w:link w:val="CommentSubjectChar"/>
    <w:rsid w:val="00FC7F37"/>
    <w:rPr>
      <w:b/>
      <w:bCs/>
      <w:sz w:val="20"/>
    </w:rPr>
  </w:style>
  <w:style w:type="character" w:customStyle="1" w:styleId="CommentTextChar">
    <w:name w:val="Comment Text Char"/>
    <w:basedOn w:val="DefaultParagraphFont"/>
    <w:link w:val="CommentText"/>
    <w:semiHidden/>
    <w:rsid w:val="00FC7F37"/>
    <w:rPr>
      <w:rFonts w:ascii="Arial" w:hAnsi="Arial" w:cs="Arial"/>
      <w:sz w:val="18"/>
    </w:rPr>
  </w:style>
  <w:style w:type="character" w:customStyle="1" w:styleId="CommentSubjectChar">
    <w:name w:val="Comment Subject Char"/>
    <w:basedOn w:val="CommentTextChar"/>
    <w:link w:val="CommentSubject"/>
    <w:rsid w:val="00FC7F37"/>
    <w:rPr>
      <w:rFonts w:ascii="Arial" w:hAnsi="Arial" w:cs="Arial"/>
      <w:b/>
      <w:bCs/>
      <w:sz w:val="18"/>
    </w:rPr>
  </w:style>
  <w:style w:type="paragraph" w:styleId="ListParagraph">
    <w:name w:val="List Paragraph"/>
    <w:basedOn w:val="Normal"/>
    <w:uiPriority w:val="34"/>
    <w:qFormat/>
    <w:rsid w:val="001D61B5"/>
    <w:pPr>
      <w:ind w:left="720"/>
      <w:contextualSpacing/>
    </w:pPr>
  </w:style>
  <w:style w:type="character" w:customStyle="1" w:styleId="Heading2Char">
    <w:name w:val="Heading 2 Char"/>
    <w:basedOn w:val="DefaultParagraphFont"/>
    <w:link w:val="Heading2"/>
    <w:rsid w:val="009060D0"/>
    <w:rPr>
      <w:rFonts w:ascii="Arial" w:eastAsia="SimSun" w:hAnsi="Arial" w:cs="Arial"/>
      <w:bCs/>
      <w:iCs/>
      <w:cap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oc_details.jsp?doc_id=365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5934-E5A8-4D94-A25B-DC5BB269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24</Pages>
  <Words>9612</Words>
  <Characters>50520</Characters>
  <Application>Microsoft Office Word</Application>
  <DocSecurity>0</DocSecurity>
  <Lines>421</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PCT/WG/9/-- (Arabic)</vt:lpstr>
      <vt:lpstr>PCT/WG/9/-- (Arabic)</vt:lpstr>
    </vt:vector>
  </TitlesOfParts>
  <Company>World Intellectual Property Organization</Company>
  <LinksUpToDate>false</LinksUpToDate>
  <CharactersWithSpaces>60012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 (Arabic)</dc:title>
  <dc:creator>BEN ALI Lassad</dc:creator>
  <cp:lastModifiedBy>BEN ALI Lassad</cp:lastModifiedBy>
  <cp:revision>43</cp:revision>
  <cp:lastPrinted>2015-01-29T08:17:00Z</cp:lastPrinted>
  <dcterms:created xsi:type="dcterms:W3CDTF">2017-03-01T22:22:00Z</dcterms:created>
  <dcterms:modified xsi:type="dcterms:W3CDTF">2017-03-03T13:57:00Z</dcterms:modified>
</cp:coreProperties>
</file>