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C3B" w:rsidRDefault="00AA5C3B">
      <w:pPr>
        <w:bidi/>
      </w:pPr>
    </w:p>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44305941" wp14:editId="0DDCDCF2">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AF538E">
            <w:pPr>
              <w:pStyle w:val="DocumentCodeAR"/>
              <w:bidi/>
              <w:rPr>
                <w:rtl/>
              </w:rPr>
            </w:pPr>
            <w:r>
              <w:t>PCT</w:t>
            </w:r>
            <w:r w:rsidR="00772E46">
              <w:t>/</w:t>
            </w:r>
            <w:r w:rsidR="00C742C5">
              <w:t>WG</w:t>
            </w:r>
            <w:r w:rsidR="00100F97">
              <w:t>/</w:t>
            </w:r>
            <w:r w:rsidR="00AF538E">
              <w:t>10</w:t>
            </w:r>
            <w:r w:rsidR="00B6101C" w:rsidRPr="00B6101C">
              <w:t>/</w:t>
            </w:r>
            <w:r w:rsidR="00AA5C3B">
              <w:rPr>
                <w:caps/>
                <w:sz w:val="15"/>
              </w:rPr>
              <w:t>23</w:t>
            </w:r>
          </w:p>
        </w:tc>
      </w:tr>
      <w:tr w:rsidR="001667B6" w:rsidTr="00BF164F">
        <w:tc>
          <w:tcPr>
            <w:tcW w:w="9571" w:type="dxa"/>
            <w:gridSpan w:val="3"/>
          </w:tcPr>
          <w:p w:rsidR="001667B6" w:rsidRPr="00B6101C" w:rsidRDefault="00B6101C" w:rsidP="00AA5C3B">
            <w:pPr>
              <w:pStyle w:val="DocumentLanguageAR"/>
              <w:bidi/>
              <w:rPr>
                <w:rtl/>
              </w:rPr>
            </w:pPr>
            <w:r w:rsidRPr="00B6101C">
              <w:rPr>
                <w:rFonts w:hint="cs"/>
                <w:rtl/>
              </w:rPr>
              <w:t xml:space="preserve">الأصل: </w:t>
            </w:r>
            <w:proofErr w:type="gramStart"/>
            <w:r w:rsidR="00AA5C3B">
              <w:rPr>
                <w:rFonts w:hint="cs"/>
                <w:rtl/>
              </w:rPr>
              <w:t>بالإنكليزية</w:t>
            </w:r>
            <w:proofErr w:type="gramEnd"/>
          </w:p>
        </w:tc>
      </w:tr>
      <w:tr w:rsidR="001667B6" w:rsidTr="00BF164F">
        <w:tc>
          <w:tcPr>
            <w:tcW w:w="9571" w:type="dxa"/>
            <w:gridSpan w:val="3"/>
          </w:tcPr>
          <w:p w:rsidR="001667B6" w:rsidRPr="00B6101C" w:rsidRDefault="00B6101C" w:rsidP="00AA5C3B">
            <w:pPr>
              <w:pStyle w:val="DocumentDateAR"/>
              <w:bidi/>
              <w:rPr>
                <w:rtl/>
              </w:rPr>
            </w:pPr>
            <w:r w:rsidRPr="00B6101C">
              <w:rPr>
                <w:rFonts w:hint="cs"/>
                <w:rtl/>
              </w:rPr>
              <w:t xml:space="preserve">التاريخ: </w:t>
            </w:r>
            <w:r w:rsidR="00AA5C3B">
              <w:rPr>
                <w:rFonts w:hint="cs"/>
                <w:rtl/>
              </w:rPr>
              <w:t xml:space="preserve">28 </w:t>
            </w:r>
            <w:proofErr w:type="gramStart"/>
            <w:r w:rsidR="00AA5C3B">
              <w:rPr>
                <w:rFonts w:hint="cs"/>
                <w:rtl/>
              </w:rPr>
              <w:t>أبريل</w:t>
            </w:r>
            <w:proofErr w:type="gramEnd"/>
            <w:r w:rsidRPr="00B6101C">
              <w:rPr>
                <w:rFonts w:hint="cs"/>
                <w:rtl/>
              </w:rPr>
              <w:t xml:space="preserve"> </w:t>
            </w:r>
            <w:r w:rsidR="005C64F7">
              <w:rPr>
                <w:rFonts w:hint="cs"/>
                <w:rtl/>
              </w:rPr>
              <w:t>201</w:t>
            </w:r>
            <w:r w:rsidR="00AF538E">
              <w:rPr>
                <w:rFonts w:hint="cs"/>
                <w:rtl/>
              </w:rPr>
              <w:t>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proofErr w:type="gramStart"/>
      <w:r>
        <w:rPr>
          <w:rFonts w:hint="cs"/>
          <w:rtl/>
        </w:rPr>
        <w:t>الفريق</w:t>
      </w:r>
      <w:proofErr w:type="gramEnd"/>
      <w:r>
        <w:rPr>
          <w:rFonts w:hint="cs"/>
          <w:rtl/>
        </w:rPr>
        <w:t xml:space="preserve"> العامل</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AF538E">
      <w:pPr>
        <w:pStyle w:val="MeetingSessionAR"/>
        <w:bidi/>
        <w:rPr>
          <w:rFonts w:ascii="Cambria Math" w:hAnsi="Cambria Math"/>
          <w:rtl/>
        </w:rPr>
      </w:pPr>
      <w:proofErr w:type="gramStart"/>
      <w:r w:rsidRPr="00783D11">
        <w:rPr>
          <w:rFonts w:ascii="Cambria Math" w:hAnsi="Cambria Math"/>
          <w:rtl/>
        </w:rPr>
        <w:t>الدورة</w:t>
      </w:r>
      <w:proofErr w:type="gramEnd"/>
      <w:r w:rsidRPr="00783D11">
        <w:rPr>
          <w:rFonts w:ascii="Cambria Math" w:hAnsi="Cambria Math"/>
          <w:rtl/>
        </w:rPr>
        <w:t xml:space="preserve"> </w:t>
      </w:r>
      <w:r w:rsidR="00AF538E">
        <w:rPr>
          <w:rFonts w:ascii="Cambria Math" w:hAnsi="Cambria Math" w:hint="cs"/>
          <w:rtl/>
        </w:rPr>
        <w:t>العاشرة</w:t>
      </w:r>
    </w:p>
    <w:p w:rsidR="00D61541" w:rsidRPr="00D61541" w:rsidRDefault="00D61541" w:rsidP="008369C1">
      <w:pPr>
        <w:pStyle w:val="MeetingDatesAR"/>
        <w:bidi/>
        <w:rPr>
          <w:rtl/>
        </w:rPr>
      </w:pPr>
      <w:r w:rsidRPr="00D61541">
        <w:rPr>
          <w:rFonts w:hint="cs"/>
          <w:rtl/>
        </w:rPr>
        <w:t xml:space="preserve">جنيف، من </w:t>
      </w:r>
      <w:r w:rsidR="008369C1">
        <w:rPr>
          <w:rFonts w:hint="cs"/>
          <w:rtl/>
        </w:rPr>
        <w:t>8</w:t>
      </w:r>
      <w:r w:rsidR="00C742C5">
        <w:rPr>
          <w:rFonts w:hint="cs"/>
          <w:rtl/>
        </w:rPr>
        <w:t xml:space="preserve"> إلى </w:t>
      </w:r>
      <w:r w:rsidR="008369C1">
        <w:rPr>
          <w:rFonts w:hint="cs"/>
          <w:rtl/>
        </w:rPr>
        <w:t>12</w:t>
      </w:r>
      <w:r w:rsidR="00D07291">
        <w:rPr>
          <w:rFonts w:hint="cs"/>
          <w:rtl/>
        </w:rPr>
        <w:t xml:space="preserve"> مايو</w:t>
      </w:r>
      <w:r w:rsidR="00C742C5">
        <w:rPr>
          <w:rFonts w:hint="cs"/>
          <w:rtl/>
        </w:rPr>
        <w:t xml:space="preserve"> </w:t>
      </w:r>
      <w:r w:rsidR="005C64F7">
        <w:rPr>
          <w:rFonts w:hint="cs"/>
          <w:rtl/>
        </w:rPr>
        <w:t>201</w:t>
      </w:r>
      <w:r w:rsidR="008369C1">
        <w:rPr>
          <w:rFonts w:hint="cs"/>
          <w:rtl/>
        </w:rPr>
        <w:t>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2F32B6" w:rsidP="00FB7EC9">
      <w:pPr>
        <w:pStyle w:val="DocumentTitleAR"/>
        <w:bidi/>
        <w:rPr>
          <w:rtl/>
        </w:rPr>
      </w:pPr>
      <w:r w:rsidRPr="002F32B6">
        <w:rPr>
          <w:rtl/>
        </w:rPr>
        <w:t>عدد الكلمات في الملخصات ورسوم صفحات الغلاف</w:t>
      </w:r>
      <w:r w:rsidRPr="002F32B6">
        <w:rPr>
          <w:rFonts w:hint="cs"/>
          <w:rtl/>
        </w:rPr>
        <w:t xml:space="preserve"> </w:t>
      </w:r>
    </w:p>
    <w:p w:rsidR="00D61541" w:rsidRDefault="002F32B6" w:rsidP="00931859">
      <w:pPr>
        <w:pStyle w:val="PreparedbyAR"/>
        <w:bidi/>
        <w:rPr>
          <w:rtl/>
        </w:rPr>
      </w:pPr>
      <w:proofErr w:type="gramStart"/>
      <w:r>
        <w:rPr>
          <w:rFonts w:hint="cs"/>
          <w:rtl/>
        </w:rPr>
        <w:t>وثيقة</w:t>
      </w:r>
      <w:proofErr w:type="gramEnd"/>
      <w:r>
        <w:rPr>
          <w:rFonts w:hint="cs"/>
          <w:rtl/>
        </w:rPr>
        <w:t xml:space="preserve"> </w:t>
      </w:r>
      <w:r w:rsidR="00D61541" w:rsidRPr="00D61541">
        <w:rPr>
          <w:rFonts w:hint="cs"/>
          <w:rtl/>
        </w:rPr>
        <w:t xml:space="preserve">من </w:t>
      </w:r>
      <w:r w:rsidR="00D61541" w:rsidRPr="00931859">
        <w:rPr>
          <w:rFonts w:hint="cs"/>
          <w:rtl/>
        </w:rPr>
        <w:t>إعداد</w:t>
      </w:r>
      <w:r>
        <w:rPr>
          <w:rFonts w:hint="cs"/>
          <w:rtl/>
        </w:rPr>
        <w:t xml:space="preserve"> المكتب الدولي</w:t>
      </w:r>
    </w:p>
    <w:p w:rsidR="00E43613" w:rsidRPr="00E43613" w:rsidRDefault="00E43613" w:rsidP="00E01435">
      <w:pPr>
        <w:pStyle w:val="NormalParaAR"/>
        <w:spacing w:after="60"/>
        <w:rPr>
          <w:b/>
          <w:bCs/>
          <w:sz w:val="40"/>
          <w:szCs w:val="40"/>
          <w:rtl/>
        </w:rPr>
      </w:pPr>
      <w:r w:rsidRPr="00E43613">
        <w:rPr>
          <w:rFonts w:hint="cs"/>
          <w:b/>
          <w:bCs/>
          <w:sz w:val="40"/>
          <w:szCs w:val="40"/>
          <w:rtl/>
        </w:rPr>
        <w:t xml:space="preserve">ملخص </w:t>
      </w:r>
    </w:p>
    <w:p w:rsidR="009E11E1" w:rsidRDefault="002C7918" w:rsidP="00044526">
      <w:pPr>
        <w:pStyle w:val="NumberedParaAR"/>
      </w:pPr>
      <w:r>
        <w:rPr>
          <w:rFonts w:hint="cs"/>
          <w:rtl/>
        </w:rPr>
        <w:t xml:space="preserve">يتخطى </w:t>
      </w:r>
      <w:proofErr w:type="gramStart"/>
      <w:r>
        <w:rPr>
          <w:rFonts w:hint="cs"/>
          <w:rtl/>
        </w:rPr>
        <w:t>طول</w:t>
      </w:r>
      <w:proofErr w:type="gramEnd"/>
      <w:r>
        <w:rPr>
          <w:rFonts w:hint="cs"/>
          <w:rtl/>
        </w:rPr>
        <w:t xml:space="preserve"> الملخ</w:t>
      </w:r>
      <w:r w:rsidR="00495DD6">
        <w:rPr>
          <w:rFonts w:hint="cs"/>
          <w:rtl/>
        </w:rPr>
        <w:t>ص في</w:t>
      </w:r>
      <w:r w:rsidR="002E24CC">
        <w:rPr>
          <w:rFonts w:hint="cs"/>
          <w:rtl/>
        </w:rPr>
        <w:t xml:space="preserve"> الكثير من الطلبات الدولية</w:t>
      </w:r>
      <w:r w:rsidR="00495DD6">
        <w:rPr>
          <w:rFonts w:hint="cs"/>
          <w:rtl/>
        </w:rPr>
        <w:t xml:space="preserve"> عدد الكلمات </w:t>
      </w:r>
      <w:proofErr w:type="spellStart"/>
      <w:r w:rsidR="00495DD6" w:rsidRPr="00495DD6">
        <w:rPr>
          <w:rtl/>
        </w:rPr>
        <w:t>الموصى</w:t>
      </w:r>
      <w:proofErr w:type="spellEnd"/>
      <w:r w:rsidR="00495DD6" w:rsidRPr="00495DD6">
        <w:rPr>
          <w:rtl/>
        </w:rPr>
        <w:t xml:space="preserve"> به</w:t>
      </w:r>
      <w:r w:rsidR="00495DD6">
        <w:rPr>
          <w:rFonts w:hint="cs"/>
          <w:rtl/>
        </w:rPr>
        <w:t xml:space="preserve"> في </w:t>
      </w:r>
      <w:r w:rsidR="00495DD6" w:rsidRPr="00495DD6">
        <w:rPr>
          <w:rtl/>
        </w:rPr>
        <w:t>القاعدة 1.8(ب)</w:t>
      </w:r>
      <w:r w:rsidR="00495DD6">
        <w:rPr>
          <w:rFonts w:hint="cs"/>
          <w:rtl/>
        </w:rPr>
        <w:t xml:space="preserve"> </w:t>
      </w:r>
      <w:r w:rsidR="00176BD0">
        <w:rPr>
          <w:rFonts w:hint="cs"/>
          <w:rtl/>
        </w:rPr>
        <w:t xml:space="preserve">من </w:t>
      </w:r>
      <w:r>
        <w:rPr>
          <w:rFonts w:hint="cs"/>
          <w:rtl/>
        </w:rPr>
        <w:t>اللائحة التنفيذية ل</w:t>
      </w:r>
      <w:r w:rsidR="00176BD0">
        <w:rPr>
          <w:rFonts w:hint="cs"/>
          <w:rtl/>
        </w:rPr>
        <w:t xml:space="preserve">معاهدة </w:t>
      </w:r>
      <w:r w:rsidR="00176BD0" w:rsidRPr="00176BD0">
        <w:rPr>
          <w:rtl/>
        </w:rPr>
        <w:t>التعاون بشأن البراءات</w:t>
      </w:r>
      <w:r w:rsidR="00176BD0">
        <w:rPr>
          <w:rFonts w:hint="cs"/>
          <w:rtl/>
        </w:rPr>
        <w:t xml:space="preserve"> أو يتضمن </w:t>
      </w:r>
      <w:r w:rsidR="00176BD0">
        <w:rPr>
          <w:rtl/>
        </w:rPr>
        <w:t xml:space="preserve">الرسم </w:t>
      </w:r>
      <w:r w:rsidR="00176BD0">
        <w:rPr>
          <w:rFonts w:hint="cs"/>
          <w:rtl/>
        </w:rPr>
        <w:t>المختار ليُرفق</w:t>
      </w:r>
      <w:r w:rsidR="00176BD0">
        <w:rPr>
          <w:rtl/>
        </w:rPr>
        <w:t xml:space="preserve"> بالملخص</w:t>
      </w:r>
      <w:r w:rsidR="00176BD0">
        <w:rPr>
          <w:rFonts w:hint="cs"/>
          <w:rtl/>
        </w:rPr>
        <w:t xml:space="preserve"> عدداً كبيراً من الكلمات خلافاً لما تنص عليه القاعدة </w:t>
      </w:r>
      <w:r w:rsidR="00176BD0" w:rsidRPr="00176BD0">
        <w:rPr>
          <w:rtl/>
        </w:rPr>
        <w:t>11.11</w:t>
      </w:r>
      <w:r w:rsidR="00176BD0">
        <w:rPr>
          <w:rFonts w:hint="cs"/>
          <w:rtl/>
        </w:rPr>
        <w:t xml:space="preserve"> (أ) </w:t>
      </w:r>
      <w:proofErr w:type="gramStart"/>
      <w:r w:rsidR="00176BD0">
        <w:rPr>
          <w:rFonts w:hint="cs"/>
          <w:rtl/>
        </w:rPr>
        <w:t>من</w:t>
      </w:r>
      <w:proofErr w:type="gramEnd"/>
      <w:r w:rsidR="00176BD0">
        <w:rPr>
          <w:rFonts w:hint="cs"/>
          <w:rtl/>
        </w:rPr>
        <w:t xml:space="preserve"> </w:t>
      </w:r>
      <w:r w:rsidR="00B2097C">
        <w:rPr>
          <w:rFonts w:hint="cs"/>
          <w:rtl/>
        </w:rPr>
        <w:t>اللائحة التنفيذية ل</w:t>
      </w:r>
      <w:r w:rsidR="00176BD0">
        <w:rPr>
          <w:rFonts w:hint="cs"/>
          <w:rtl/>
        </w:rPr>
        <w:t xml:space="preserve">لمعاهدة. </w:t>
      </w:r>
      <w:proofErr w:type="gramStart"/>
      <w:r w:rsidR="00DB6518">
        <w:rPr>
          <w:rFonts w:hint="cs"/>
          <w:rtl/>
        </w:rPr>
        <w:t>ونطاق</w:t>
      </w:r>
      <w:proofErr w:type="gramEnd"/>
      <w:r w:rsidR="00DB6518">
        <w:rPr>
          <w:rFonts w:hint="cs"/>
          <w:rtl/>
        </w:rPr>
        <w:t xml:space="preserve"> الطول المفضل له طابع إرشادي بحت للحالات التقليدية وسيتعين </w:t>
      </w:r>
      <w:r w:rsidR="003739BB">
        <w:rPr>
          <w:rFonts w:hint="cs"/>
          <w:rtl/>
        </w:rPr>
        <w:t xml:space="preserve">الحياد عنه في حالات خاصة لضمان كشف دقيق ومفيد. </w:t>
      </w:r>
      <w:proofErr w:type="gramStart"/>
      <w:r w:rsidR="003739BB">
        <w:rPr>
          <w:rFonts w:hint="cs"/>
          <w:rtl/>
        </w:rPr>
        <w:t>لكن</w:t>
      </w:r>
      <w:proofErr w:type="gramEnd"/>
      <w:r w:rsidR="003739BB">
        <w:rPr>
          <w:rFonts w:hint="cs"/>
          <w:rtl/>
        </w:rPr>
        <w:t xml:space="preserve"> المكتب الدولي </w:t>
      </w:r>
      <w:r w:rsidR="00044526">
        <w:rPr>
          <w:rFonts w:hint="cs"/>
          <w:rtl/>
        </w:rPr>
        <w:t>يودّ</w:t>
      </w:r>
      <w:r w:rsidR="003739BB">
        <w:rPr>
          <w:rFonts w:hint="cs"/>
          <w:rtl/>
        </w:rPr>
        <w:t xml:space="preserve"> </w:t>
      </w:r>
      <w:r w:rsidR="00044526">
        <w:rPr>
          <w:rFonts w:hint="cs"/>
          <w:rtl/>
        </w:rPr>
        <w:t xml:space="preserve">تشجيع العمل على ضمان جودة ملخصات الطلبات الدولية وفائدتها، مع تقليص تكاليف الترجمة إلى أدنى حدّ ممكن. </w:t>
      </w:r>
    </w:p>
    <w:p w:rsidR="009E11E1" w:rsidRPr="009E11E1" w:rsidRDefault="009E11E1" w:rsidP="00ED2AD5">
      <w:pPr>
        <w:pStyle w:val="NumberedParaAR"/>
        <w:numPr>
          <w:ilvl w:val="0"/>
          <w:numId w:val="0"/>
        </w:numPr>
        <w:spacing w:after="60"/>
        <w:rPr>
          <w:b/>
          <w:bCs/>
          <w:sz w:val="40"/>
          <w:szCs w:val="40"/>
        </w:rPr>
      </w:pPr>
      <w:proofErr w:type="gramStart"/>
      <w:r w:rsidRPr="009E11E1">
        <w:rPr>
          <w:rFonts w:hint="cs"/>
          <w:b/>
          <w:bCs/>
          <w:sz w:val="40"/>
          <w:szCs w:val="40"/>
          <w:rtl/>
        </w:rPr>
        <w:t>معلومات</w:t>
      </w:r>
      <w:proofErr w:type="gramEnd"/>
      <w:r w:rsidRPr="009E11E1">
        <w:rPr>
          <w:rFonts w:hint="cs"/>
          <w:b/>
          <w:bCs/>
          <w:sz w:val="40"/>
          <w:szCs w:val="40"/>
          <w:rtl/>
        </w:rPr>
        <w:t xml:space="preserve"> أساسية </w:t>
      </w:r>
    </w:p>
    <w:p w:rsidR="00A304A8" w:rsidRDefault="003C425B" w:rsidP="00D039A5">
      <w:pPr>
        <w:pStyle w:val="NumberedParaAR"/>
      </w:pPr>
      <w:proofErr w:type="gramStart"/>
      <w:r>
        <w:rPr>
          <w:rFonts w:hint="cs"/>
          <w:rtl/>
        </w:rPr>
        <w:t>تُحدّد</w:t>
      </w:r>
      <w:proofErr w:type="gramEnd"/>
      <w:r w:rsidR="0034746F">
        <w:rPr>
          <w:rFonts w:hint="cs"/>
          <w:rtl/>
        </w:rPr>
        <w:t xml:space="preserve"> القاعدة 3.8 الهدف من الملخص</w:t>
      </w:r>
      <w:r w:rsidR="00D039A5">
        <w:rPr>
          <w:rFonts w:hint="cs"/>
          <w:rtl/>
        </w:rPr>
        <w:t xml:space="preserve"> على النحو التالي</w:t>
      </w:r>
      <w:r w:rsidR="0034746F">
        <w:rPr>
          <w:rFonts w:hint="cs"/>
          <w:rtl/>
        </w:rPr>
        <w:t>:</w:t>
      </w:r>
    </w:p>
    <w:p w:rsidR="00A304A8" w:rsidRDefault="00A304A8" w:rsidP="005F5836">
      <w:pPr>
        <w:pStyle w:val="NumberedParaAR"/>
        <w:numPr>
          <w:ilvl w:val="0"/>
          <w:numId w:val="0"/>
        </w:numPr>
        <w:ind w:left="566"/>
      </w:pPr>
      <w:r>
        <w:rPr>
          <w:rFonts w:hint="cs"/>
          <w:rtl/>
        </w:rPr>
        <w:t>"</w:t>
      </w:r>
      <w:r w:rsidRPr="00A304A8">
        <w:rPr>
          <w:rtl/>
        </w:rPr>
        <w:t xml:space="preserve"> يجب تحرير الملخص بشكل يسمح باستعماله على نحو فعال كأداة مسح لأغراض البحث في أي مجال تقني محدد، ولا سيما لمساعدة رجال العلم أو الهندسة أو البحث في معرفة ما إذا كان من الضروري الاطلاع على الطلب الدولي</w:t>
      </w:r>
      <w:r w:rsidR="005F5836">
        <w:rPr>
          <w:rFonts w:hint="cs"/>
          <w:rtl/>
        </w:rPr>
        <w:t> </w:t>
      </w:r>
      <w:r w:rsidRPr="00A304A8">
        <w:rPr>
          <w:rtl/>
        </w:rPr>
        <w:t>بالذات.</w:t>
      </w:r>
      <w:r>
        <w:rPr>
          <w:rFonts w:hint="cs"/>
          <w:rtl/>
        </w:rPr>
        <w:t>"</w:t>
      </w:r>
    </w:p>
    <w:p w:rsidR="00D721D0" w:rsidRDefault="00AA028A" w:rsidP="005F5836">
      <w:pPr>
        <w:pStyle w:val="NumberedParaAR"/>
      </w:pPr>
      <w:proofErr w:type="gramStart"/>
      <w:r>
        <w:rPr>
          <w:rFonts w:hint="cs"/>
          <w:rtl/>
        </w:rPr>
        <w:t>وتُقدّم</w:t>
      </w:r>
      <w:proofErr w:type="gramEnd"/>
      <w:r>
        <w:rPr>
          <w:rFonts w:hint="cs"/>
          <w:rtl/>
        </w:rPr>
        <w:t xml:space="preserve"> الملخصات والرسوم المصاحبة لها في أنساق عدة. </w:t>
      </w:r>
      <w:proofErr w:type="gramStart"/>
      <w:r>
        <w:rPr>
          <w:rFonts w:hint="cs"/>
          <w:rtl/>
        </w:rPr>
        <w:t>وهي</w:t>
      </w:r>
      <w:proofErr w:type="gramEnd"/>
      <w:r>
        <w:rPr>
          <w:rFonts w:hint="cs"/>
          <w:rtl/>
        </w:rPr>
        <w:t xml:space="preserve"> قد </w:t>
      </w:r>
      <w:r w:rsidR="007B4708">
        <w:rPr>
          <w:rFonts w:hint="cs"/>
          <w:rtl/>
        </w:rPr>
        <w:t>تظهر</w:t>
      </w:r>
      <w:r>
        <w:rPr>
          <w:rFonts w:hint="cs"/>
          <w:rtl/>
        </w:rPr>
        <w:t xml:space="preserve"> في </w:t>
      </w:r>
      <w:r w:rsidR="007B4708">
        <w:rPr>
          <w:rFonts w:hint="cs"/>
          <w:rtl/>
        </w:rPr>
        <w:t>نسق مطبوع على صفحة غلاف الطلب الدولي المنشور</w:t>
      </w:r>
      <w:r w:rsidR="001D2B79">
        <w:rPr>
          <w:rFonts w:hint="cs"/>
          <w:rtl/>
        </w:rPr>
        <w:t xml:space="preserve"> </w:t>
      </w:r>
      <w:r w:rsidR="00A917A2">
        <w:rPr>
          <w:rFonts w:hint="cs"/>
          <w:rtl/>
        </w:rPr>
        <w:t>باللغة الإنكليزية وبلغة النشر</w:t>
      </w:r>
      <w:r w:rsidR="00AF1F31">
        <w:rPr>
          <w:rFonts w:hint="cs"/>
          <w:rtl/>
        </w:rPr>
        <w:t xml:space="preserve"> في آنٍ معاً</w:t>
      </w:r>
      <w:r w:rsidR="00A917A2">
        <w:rPr>
          <w:rFonts w:hint="cs"/>
          <w:rtl/>
        </w:rPr>
        <w:t xml:space="preserve">. وتظهر الملخصات والرسوم في ركن البراءات بالإنكليزية والفرنسية ولغة النشر، ويمكن البحث في نص الملخص بينما لا يُتاح هذا البحث في نص الرسم. </w:t>
      </w:r>
      <w:r w:rsidR="000667DD">
        <w:rPr>
          <w:rFonts w:hint="cs"/>
          <w:rtl/>
        </w:rPr>
        <w:t>وتُتاح الملخصات والرسوم المصاحبة لها</w:t>
      </w:r>
      <w:r w:rsidR="00D721D0">
        <w:rPr>
          <w:rFonts w:hint="cs"/>
          <w:rtl/>
        </w:rPr>
        <w:t xml:space="preserve"> </w:t>
      </w:r>
      <w:r w:rsidR="00D721D0">
        <w:rPr>
          <w:rFonts w:hint="cs"/>
          <w:rtl/>
        </w:rPr>
        <w:lastRenderedPageBreak/>
        <w:t>للمكاتب الوطنية ولموفري المعلومات عن البراءات لكي تُستخدم في أنظمة مختلفة</w:t>
      </w:r>
      <w:r w:rsidR="008E6FDD">
        <w:rPr>
          <w:rFonts w:hint="cs"/>
          <w:rtl/>
        </w:rPr>
        <w:t>،</w:t>
      </w:r>
      <w:r w:rsidR="00D721D0">
        <w:rPr>
          <w:rFonts w:hint="cs"/>
          <w:rtl/>
        </w:rPr>
        <w:t xml:space="preserve"> وقد تثير أنماط مختلفة للاست</w:t>
      </w:r>
      <w:r w:rsidR="008E6FDD">
        <w:rPr>
          <w:rFonts w:hint="cs"/>
          <w:rtl/>
        </w:rPr>
        <w:t>خدام</w:t>
      </w:r>
      <w:r w:rsidR="00D721D0">
        <w:rPr>
          <w:rFonts w:hint="cs"/>
          <w:rtl/>
        </w:rPr>
        <w:t xml:space="preserve"> شواغل</w:t>
      </w:r>
      <w:r w:rsidR="005F5836">
        <w:rPr>
          <w:rFonts w:hint="eastAsia"/>
          <w:rtl/>
        </w:rPr>
        <w:t> </w:t>
      </w:r>
      <w:r w:rsidR="00D721D0">
        <w:rPr>
          <w:rFonts w:hint="cs"/>
          <w:rtl/>
        </w:rPr>
        <w:t xml:space="preserve">مختلفة. </w:t>
      </w:r>
    </w:p>
    <w:p w:rsidR="00EF442F" w:rsidRDefault="00283DC0" w:rsidP="005F5836">
      <w:pPr>
        <w:pStyle w:val="NumberedParaAR"/>
      </w:pPr>
      <w:r>
        <w:rPr>
          <w:rFonts w:hint="cs"/>
          <w:rtl/>
        </w:rPr>
        <w:t>وأُ</w:t>
      </w:r>
      <w:r w:rsidR="00D46553">
        <w:rPr>
          <w:rFonts w:hint="cs"/>
          <w:rtl/>
        </w:rPr>
        <w:t>درجت</w:t>
      </w:r>
      <w:r>
        <w:rPr>
          <w:rFonts w:hint="cs"/>
          <w:rtl/>
        </w:rPr>
        <w:t xml:space="preserve"> أمثلة </w:t>
      </w:r>
      <w:r w:rsidR="00D46553">
        <w:rPr>
          <w:rFonts w:hint="cs"/>
          <w:rtl/>
        </w:rPr>
        <w:t>ع</w:t>
      </w:r>
      <w:r>
        <w:rPr>
          <w:rFonts w:hint="cs"/>
          <w:rtl/>
        </w:rPr>
        <w:t xml:space="preserve">ن الملخصات والرسوم المصاحبة لها الواردة على صفحة </w:t>
      </w:r>
      <w:proofErr w:type="gramStart"/>
      <w:r>
        <w:rPr>
          <w:rFonts w:hint="cs"/>
          <w:rtl/>
        </w:rPr>
        <w:t>غلاف</w:t>
      </w:r>
      <w:proofErr w:type="gramEnd"/>
      <w:r>
        <w:rPr>
          <w:rFonts w:hint="cs"/>
          <w:rtl/>
        </w:rPr>
        <w:t xml:space="preserve"> طلبات دولية منشورة بمرفق الوثيقة</w:t>
      </w:r>
      <w:r w:rsidR="005F5836">
        <w:rPr>
          <w:rFonts w:hint="eastAsia"/>
          <w:rtl/>
        </w:rPr>
        <w:t> </w:t>
      </w:r>
      <w:r>
        <w:t>PCT/WG/9/16</w:t>
      </w:r>
      <w:r>
        <w:rPr>
          <w:rFonts w:hint="cs"/>
          <w:rtl/>
        </w:rPr>
        <w:t xml:space="preserve">. </w:t>
      </w:r>
      <w:proofErr w:type="gramStart"/>
      <w:r>
        <w:rPr>
          <w:rFonts w:hint="cs"/>
          <w:rtl/>
        </w:rPr>
        <w:t>و</w:t>
      </w:r>
      <w:r w:rsidR="00EF442F">
        <w:rPr>
          <w:rFonts w:hint="cs"/>
          <w:rtl/>
        </w:rPr>
        <w:t>تتمثل</w:t>
      </w:r>
      <w:proofErr w:type="gramEnd"/>
      <w:r w:rsidR="00EF442F">
        <w:rPr>
          <w:rFonts w:hint="cs"/>
          <w:rtl/>
        </w:rPr>
        <w:t xml:space="preserve"> </w:t>
      </w:r>
      <w:r>
        <w:rPr>
          <w:rFonts w:hint="cs"/>
          <w:rtl/>
        </w:rPr>
        <w:t xml:space="preserve">المشاكل الرئيسية التي عبّر عنها المستخدمون </w:t>
      </w:r>
      <w:r w:rsidR="00EF442F">
        <w:rPr>
          <w:rFonts w:hint="cs"/>
          <w:rtl/>
        </w:rPr>
        <w:t xml:space="preserve">في أمرين هما أن الملخصات الطويلة أو الرسوم التي تتضمن نصاً </w:t>
      </w:r>
      <w:r w:rsidR="00DA56AA">
        <w:rPr>
          <w:rFonts w:hint="cs"/>
          <w:rtl/>
        </w:rPr>
        <w:t>كبيراً:</w:t>
      </w:r>
      <w:r w:rsidR="00EF442F">
        <w:rPr>
          <w:rFonts w:hint="cs"/>
          <w:rtl/>
        </w:rPr>
        <w:t xml:space="preserve"> </w:t>
      </w:r>
    </w:p>
    <w:p w:rsidR="00EF442F" w:rsidRDefault="00307CEA" w:rsidP="00EF442F">
      <w:pPr>
        <w:pStyle w:val="NumberedParaAR"/>
        <w:numPr>
          <w:ilvl w:val="0"/>
          <w:numId w:val="21"/>
        </w:numPr>
        <w:ind w:left="850" w:hanging="490"/>
      </w:pPr>
      <w:r>
        <w:rPr>
          <w:rFonts w:hint="cs"/>
          <w:rtl/>
        </w:rPr>
        <w:t xml:space="preserve">قد تُصعّب </w:t>
      </w:r>
      <w:proofErr w:type="gramStart"/>
      <w:r>
        <w:rPr>
          <w:rFonts w:hint="cs"/>
          <w:rtl/>
        </w:rPr>
        <w:t>تحديد</w:t>
      </w:r>
      <w:proofErr w:type="gramEnd"/>
      <w:r>
        <w:rPr>
          <w:rFonts w:hint="cs"/>
          <w:rtl/>
        </w:rPr>
        <w:t xml:space="preserve"> الجوانب الرئيسية من الكشف؛ </w:t>
      </w:r>
    </w:p>
    <w:p w:rsidR="00307CEA" w:rsidRDefault="00307CEA" w:rsidP="00082690">
      <w:pPr>
        <w:pStyle w:val="NumberedParaAR"/>
        <w:numPr>
          <w:ilvl w:val="0"/>
          <w:numId w:val="21"/>
        </w:numPr>
        <w:ind w:left="850" w:hanging="490"/>
      </w:pPr>
      <w:r>
        <w:rPr>
          <w:rFonts w:hint="cs"/>
          <w:rtl/>
        </w:rPr>
        <w:t xml:space="preserve">قد تصعّب بقدر كبير قراءاتها في </w:t>
      </w:r>
      <w:proofErr w:type="spellStart"/>
      <w:r>
        <w:rPr>
          <w:rFonts w:hint="cs"/>
          <w:rtl/>
        </w:rPr>
        <w:t>الأنساق</w:t>
      </w:r>
      <w:proofErr w:type="spellEnd"/>
      <w:r>
        <w:rPr>
          <w:rFonts w:hint="cs"/>
          <w:rtl/>
        </w:rPr>
        <w:t xml:space="preserve"> التي تُ</w:t>
      </w:r>
      <w:r w:rsidR="00082690">
        <w:rPr>
          <w:rFonts w:hint="cs"/>
          <w:rtl/>
        </w:rPr>
        <w:t>نشر</w:t>
      </w:r>
      <w:r>
        <w:rPr>
          <w:rFonts w:hint="cs"/>
          <w:rtl/>
        </w:rPr>
        <w:t xml:space="preserve"> بها</w:t>
      </w:r>
    </w:p>
    <w:p w:rsidR="00307CEA" w:rsidRDefault="00307CEA" w:rsidP="00307CEA">
      <w:pPr>
        <w:pStyle w:val="NumberedParaAR"/>
        <w:numPr>
          <w:ilvl w:val="0"/>
          <w:numId w:val="0"/>
        </w:numPr>
      </w:pPr>
      <w:r>
        <w:rPr>
          <w:rFonts w:hint="cs"/>
          <w:rtl/>
        </w:rPr>
        <w:t xml:space="preserve">وبناءً عليه، فقد </w:t>
      </w:r>
      <w:proofErr w:type="gramStart"/>
      <w:r>
        <w:rPr>
          <w:rFonts w:hint="cs"/>
          <w:rtl/>
        </w:rPr>
        <w:t>تكون</w:t>
      </w:r>
      <w:proofErr w:type="gramEnd"/>
      <w:r>
        <w:rPr>
          <w:rFonts w:hint="cs"/>
          <w:rtl/>
        </w:rPr>
        <w:t xml:space="preserve"> قيمة هذه الملخصات والرسوم محدودة رغم الكلفة الباهظة لإعدادها. </w:t>
      </w:r>
    </w:p>
    <w:p w:rsidR="00E12EFD" w:rsidRDefault="00D45D62" w:rsidP="00177E84">
      <w:pPr>
        <w:pStyle w:val="NumberedParaAR"/>
      </w:pPr>
      <w:proofErr w:type="gramStart"/>
      <w:r>
        <w:rPr>
          <w:rFonts w:hint="cs"/>
          <w:rtl/>
        </w:rPr>
        <w:t>ويبدو</w:t>
      </w:r>
      <w:proofErr w:type="gramEnd"/>
      <w:r>
        <w:rPr>
          <w:rFonts w:hint="cs"/>
          <w:rtl/>
        </w:rPr>
        <w:t xml:space="preserve"> جلياً أن عدد الكلمات في الملخص ليس مؤشراً مباشراً على الجودة، إذ أن بعض الاختراعات قد توصف وصفاً جيداً في بضع كلمات، بينما </w:t>
      </w:r>
      <w:r w:rsidR="005C6AE2">
        <w:rPr>
          <w:rFonts w:hint="cs"/>
          <w:rtl/>
        </w:rPr>
        <w:t xml:space="preserve">قد تتطلب اختراعات أخرى تفاصيل أوسع. لكن </w:t>
      </w:r>
      <w:proofErr w:type="gramStart"/>
      <w:r w:rsidR="005C6AE2">
        <w:rPr>
          <w:rFonts w:hint="cs"/>
          <w:rtl/>
        </w:rPr>
        <w:t>نسبة</w:t>
      </w:r>
      <w:proofErr w:type="gramEnd"/>
      <w:r w:rsidR="005C6AE2">
        <w:rPr>
          <w:rFonts w:hint="cs"/>
          <w:rtl/>
        </w:rPr>
        <w:t xml:space="preserve"> عدد الكلمات التي تخرج عن النطاق </w:t>
      </w:r>
      <w:proofErr w:type="spellStart"/>
      <w:r w:rsidR="005C6AE2">
        <w:rPr>
          <w:rFonts w:hint="cs"/>
          <w:rtl/>
        </w:rPr>
        <w:t>الموصى</w:t>
      </w:r>
      <w:proofErr w:type="spellEnd"/>
      <w:r w:rsidR="005C6AE2">
        <w:rPr>
          <w:rFonts w:hint="cs"/>
          <w:rtl/>
        </w:rPr>
        <w:t xml:space="preserve"> به </w:t>
      </w:r>
      <w:r w:rsidR="00177E84">
        <w:rPr>
          <w:rFonts w:hint="cs"/>
          <w:rtl/>
        </w:rPr>
        <w:t xml:space="preserve">نسبة مرتفعة. ويتعذّر تبرير كلفة الترجمة والإجراءات الإدارية ذات الصلة </w:t>
      </w:r>
      <w:r w:rsidR="005B708B">
        <w:rPr>
          <w:rFonts w:hint="cs"/>
          <w:rtl/>
        </w:rPr>
        <w:t>إلا إذا تسنى تقديم المعلومات إلى المكاتب وموفري المعلومات عن البراءات</w:t>
      </w:r>
      <w:r w:rsidR="00E12EFD">
        <w:rPr>
          <w:rFonts w:hint="cs"/>
          <w:rtl/>
        </w:rPr>
        <w:t xml:space="preserve"> في أنساق مفيدة تتضمن محتوى ملائماً لاحتياجاتها. </w:t>
      </w:r>
    </w:p>
    <w:p w:rsidR="00D41912" w:rsidRDefault="00D41912" w:rsidP="00B70176">
      <w:pPr>
        <w:pStyle w:val="NumberedParaAR"/>
      </w:pPr>
      <w:r>
        <w:rPr>
          <w:rFonts w:hint="cs"/>
          <w:rtl/>
        </w:rPr>
        <w:t>وت</w:t>
      </w:r>
      <w:r w:rsidR="00B70176">
        <w:rPr>
          <w:rFonts w:hint="cs"/>
          <w:rtl/>
        </w:rPr>
        <w:t>برز</w:t>
      </w:r>
      <w:r>
        <w:rPr>
          <w:rFonts w:hint="cs"/>
          <w:rtl/>
        </w:rPr>
        <w:t xml:space="preserve"> حاجة إلى التوصل </w:t>
      </w:r>
      <w:proofErr w:type="gramStart"/>
      <w:r>
        <w:rPr>
          <w:rFonts w:hint="cs"/>
          <w:rtl/>
        </w:rPr>
        <w:t>إلى</w:t>
      </w:r>
      <w:proofErr w:type="gramEnd"/>
      <w:r>
        <w:rPr>
          <w:rFonts w:hint="cs"/>
          <w:rtl/>
        </w:rPr>
        <w:t xml:space="preserve"> توازن ملائم فيما يخص طول الملخصات: </w:t>
      </w:r>
    </w:p>
    <w:p w:rsidR="00D41912" w:rsidRDefault="00D41912" w:rsidP="00FA552E">
      <w:pPr>
        <w:pStyle w:val="NumberedParaAR"/>
        <w:numPr>
          <w:ilvl w:val="0"/>
          <w:numId w:val="22"/>
        </w:numPr>
        <w:ind w:left="566" w:firstLine="0"/>
      </w:pPr>
      <w:proofErr w:type="gramStart"/>
      <w:r>
        <w:rPr>
          <w:rFonts w:hint="cs"/>
          <w:rtl/>
        </w:rPr>
        <w:t>ينبغي</w:t>
      </w:r>
      <w:proofErr w:type="gramEnd"/>
      <w:r>
        <w:rPr>
          <w:rFonts w:hint="cs"/>
          <w:rtl/>
        </w:rPr>
        <w:t xml:space="preserve"> أن </w:t>
      </w:r>
      <w:r w:rsidR="000B1E7C">
        <w:rPr>
          <w:rFonts w:hint="cs"/>
          <w:rtl/>
        </w:rPr>
        <w:t>يكون</w:t>
      </w:r>
      <w:r>
        <w:rPr>
          <w:rFonts w:hint="cs"/>
          <w:rtl/>
        </w:rPr>
        <w:t xml:space="preserve"> الملخص </w:t>
      </w:r>
      <w:r w:rsidR="00B8389B">
        <w:rPr>
          <w:rFonts w:hint="cs"/>
          <w:rtl/>
        </w:rPr>
        <w:t>طويلاً بما فيه الكفاية</w:t>
      </w:r>
      <w:r w:rsidR="000B1E7C">
        <w:rPr>
          <w:rFonts w:hint="cs"/>
          <w:rtl/>
        </w:rPr>
        <w:t xml:space="preserve"> </w:t>
      </w:r>
      <w:r w:rsidR="00FA552E">
        <w:rPr>
          <w:rFonts w:hint="cs"/>
          <w:rtl/>
        </w:rPr>
        <w:t>للدلالة على</w:t>
      </w:r>
      <w:r>
        <w:rPr>
          <w:rFonts w:hint="cs"/>
          <w:rtl/>
        </w:rPr>
        <w:t xml:space="preserve"> أهم الخصائص التقنية المفيدة للمستخدم الذي يبحث عن معلومات تقنية و</w:t>
      </w:r>
      <w:r w:rsidR="00FA552E">
        <w:rPr>
          <w:rFonts w:hint="cs"/>
          <w:rtl/>
        </w:rPr>
        <w:t>لتكوين</w:t>
      </w:r>
      <w:r>
        <w:rPr>
          <w:rFonts w:hint="cs"/>
          <w:rtl/>
        </w:rPr>
        <w:t xml:space="preserve"> فكرة عامة عن المجال الذي تُطلب فيه الحماية؛ </w:t>
      </w:r>
    </w:p>
    <w:p w:rsidR="00D41912" w:rsidRDefault="00B8389B" w:rsidP="00C70110">
      <w:pPr>
        <w:pStyle w:val="NumberedParaAR"/>
        <w:numPr>
          <w:ilvl w:val="0"/>
          <w:numId w:val="22"/>
        </w:numPr>
        <w:ind w:left="566" w:firstLine="0"/>
      </w:pPr>
      <w:r>
        <w:rPr>
          <w:rFonts w:hint="cs"/>
          <w:rtl/>
        </w:rPr>
        <w:t xml:space="preserve">ينبغي أن يكون الملخص قصيراً بما فيه الكفاية ليتسنى للقارئ </w:t>
      </w:r>
      <w:r w:rsidR="008171C3">
        <w:rPr>
          <w:rFonts w:hint="cs"/>
          <w:rtl/>
        </w:rPr>
        <w:t xml:space="preserve">أن يرصد المعلومات الرئيسية من النظرة الأولى؛ وينبغي على وجه الخصوص أن يتسنى إدخال أغلبية الملخصات </w:t>
      </w:r>
      <w:r w:rsidR="001D15B5">
        <w:rPr>
          <w:rFonts w:hint="cs"/>
          <w:rtl/>
        </w:rPr>
        <w:t>في</w:t>
      </w:r>
      <w:r w:rsidR="008171C3">
        <w:rPr>
          <w:rFonts w:hint="cs"/>
          <w:rtl/>
        </w:rPr>
        <w:t xml:space="preserve"> صفحة غلاف الطلب المنشور (للمستخدمين الذين يبحثون عن وثائق تقليدية) أو في مساحات على الشاشة</w:t>
      </w:r>
      <w:r w:rsidR="0089256A">
        <w:rPr>
          <w:rFonts w:hint="cs"/>
          <w:rtl/>
        </w:rPr>
        <w:t xml:space="preserve"> </w:t>
      </w:r>
      <w:r w:rsidR="00E235B3">
        <w:rPr>
          <w:rFonts w:hint="cs"/>
          <w:rtl/>
        </w:rPr>
        <w:t xml:space="preserve">تُستغل بدقة فائقة </w:t>
      </w:r>
      <w:r w:rsidR="001D15B5">
        <w:rPr>
          <w:rFonts w:hint="cs"/>
          <w:rtl/>
        </w:rPr>
        <w:t>و</w:t>
      </w:r>
      <w:r w:rsidR="00E235B3">
        <w:rPr>
          <w:rFonts w:hint="cs"/>
          <w:rtl/>
        </w:rPr>
        <w:t xml:space="preserve">تسمح للباحثين </w:t>
      </w:r>
      <w:r w:rsidR="001D15B5">
        <w:rPr>
          <w:rFonts w:hint="cs"/>
          <w:rtl/>
        </w:rPr>
        <w:t>ب</w:t>
      </w:r>
      <w:r w:rsidR="00E235B3">
        <w:rPr>
          <w:rFonts w:hint="cs"/>
          <w:rtl/>
        </w:rPr>
        <w:t>رؤية أغلبية الملخصات التقليدية دون الحاجة إلى النزول أو الصعود أو تصغير حجم النص للتصفح.</w:t>
      </w:r>
      <w:r w:rsidR="008171C3">
        <w:rPr>
          <w:rFonts w:hint="cs"/>
          <w:rtl/>
        </w:rPr>
        <w:t xml:space="preserve"> </w:t>
      </w:r>
    </w:p>
    <w:p w:rsidR="00792D24" w:rsidRDefault="00240473" w:rsidP="00D41912">
      <w:pPr>
        <w:pStyle w:val="NumberedParaAR"/>
      </w:pPr>
      <w:proofErr w:type="gramStart"/>
      <w:r>
        <w:rPr>
          <w:rFonts w:hint="cs"/>
          <w:rtl/>
        </w:rPr>
        <w:t>ومن</w:t>
      </w:r>
      <w:proofErr w:type="gramEnd"/>
      <w:r>
        <w:rPr>
          <w:rFonts w:hint="cs"/>
          <w:rtl/>
        </w:rPr>
        <w:t xml:space="preserve"> حيث المحتوى، ينبغي أن يكون الملخص محدداً بما فيه الكفاية لتقديم معلومات تقنية مفيدة عن الكشف دون أن </w:t>
      </w:r>
      <w:r w:rsidR="00792D24">
        <w:rPr>
          <w:rFonts w:hint="cs"/>
          <w:rtl/>
        </w:rPr>
        <w:t xml:space="preserve">يتضمن أي معلومات مضللة عن حجم البدائل التي يمكن طلب حمايتها. </w:t>
      </w:r>
    </w:p>
    <w:p w:rsidR="00A72A8F" w:rsidRDefault="00792D24" w:rsidP="00A72A8F">
      <w:pPr>
        <w:pStyle w:val="NumberedParaAR"/>
      </w:pPr>
      <w:proofErr w:type="gramStart"/>
      <w:r>
        <w:rPr>
          <w:rFonts w:hint="cs"/>
          <w:rtl/>
        </w:rPr>
        <w:t>أما</w:t>
      </w:r>
      <w:proofErr w:type="gramEnd"/>
      <w:r>
        <w:rPr>
          <w:rFonts w:hint="cs"/>
          <w:rtl/>
        </w:rPr>
        <w:t xml:space="preserve"> </w:t>
      </w:r>
      <w:r w:rsidR="00A72A8F">
        <w:rPr>
          <w:rFonts w:hint="cs"/>
          <w:rtl/>
        </w:rPr>
        <w:t xml:space="preserve">فيما يخص </w:t>
      </w:r>
      <w:r>
        <w:rPr>
          <w:rFonts w:hint="cs"/>
          <w:rtl/>
        </w:rPr>
        <w:t>الرسوم المصاحبة للملخص</w:t>
      </w:r>
      <w:r w:rsidR="00A72A8F">
        <w:rPr>
          <w:rFonts w:hint="cs"/>
          <w:rtl/>
        </w:rPr>
        <w:t xml:space="preserve">، فينبغي أن تُراعى الجوانب التالية في النصوص الواردة في الرسوم: </w:t>
      </w:r>
    </w:p>
    <w:p w:rsidR="00A72A8F" w:rsidRDefault="00C957D8" w:rsidP="002A4AB6">
      <w:pPr>
        <w:pStyle w:val="NumberedParaAR"/>
        <w:numPr>
          <w:ilvl w:val="0"/>
          <w:numId w:val="23"/>
        </w:numPr>
        <w:tabs>
          <w:tab w:val="left" w:pos="1133"/>
        </w:tabs>
        <w:ind w:left="566" w:firstLine="0"/>
      </w:pPr>
      <w:proofErr w:type="gramStart"/>
      <w:r>
        <w:rPr>
          <w:rFonts w:hint="cs"/>
          <w:rtl/>
        </w:rPr>
        <w:t>أن</w:t>
      </w:r>
      <w:proofErr w:type="gramEnd"/>
      <w:r>
        <w:rPr>
          <w:rFonts w:hint="cs"/>
          <w:rtl/>
        </w:rPr>
        <w:t xml:space="preserve"> يبقى النص مقروءاً إن صُغّر حجمه ليُدرج </w:t>
      </w:r>
      <w:r w:rsidR="002A4AB6">
        <w:rPr>
          <w:rFonts w:hint="cs"/>
          <w:rtl/>
        </w:rPr>
        <w:t>في</w:t>
      </w:r>
      <w:r>
        <w:rPr>
          <w:rFonts w:hint="cs"/>
          <w:rtl/>
        </w:rPr>
        <w:t xml:space="preserve"> صفحة الغلاف؛ </w:t>
      </w:r>
    </w:p>
    <w:p w:rsidR="00A72A8F" w:rsidRDefault="00221946" w:rsidP="00135531">
      <w:pPr>
        <w:pStyle w:val="NumberedParaAR"/>
        <w:numPr>
          <w:ilvl w:val="0"/>
          <w:numId w:val="23"/>
        </w:numPr>
        <w:ind w:left="566" w:firstLine="0"/>
      </w:pPr>
      <w:r>
        <w:rPr>
          <w:rFonts w:hint="cs"/>
          <w:rtl/>
        </w:rPr>
        <w:t xml:space="preserve">أن يسهل فهم النص إذا كان النص المترجم مُدرجاً تحت الرسم أو إلى جانبه </w:t>
      </w:r>
      <w:r w:rsidR="001B5755">
        <w:rPr>
          <w:rFonts w:hint="cs"/>
          <w:rtl/>
        </w:rPr>
        <w:t>وإ</w:t>
      </w:r>
      <w:r w:rsidR="008A661A">
        <w:rPr>
          <w:rFonts w:hint="cs"/>
          <w:rtl/>
        </w:rPr>
        <w:t>ذا كان مصحوباً ب</w:t>
      </w:r>
      <w:r w:rsidR="008A661A">
        <w:rPr>
          <w:rtl/>
        </w:rPr>
        <w:t xml:space="preserve">أرقام </w:t>
      </w:r>
      <w:r w:rsidR="008A661A" w:rsidRPr="008A661A">
        <w:rPr>
          <w:rtl/>
        </w:rPr>
        <w:t>مرجعية</w:t>
      </w:r>
      <w:r w:rsidR="008A661A">
        <w:rPr>
          <w:rFonts w:hint="cs"/>
          <w:rtl/>
        </w:rPr>
        <w:t xml:space="preserve"> </w:t>
      </w:r>
      <w:r w:rsidR="00636F9E">
        <w:rPr>
          <w:rFonts w:hint="cs"/>
          <w:rtl/>
        </w:rPr>
        <w:t>(نظراً إلى أنه لا يُتوقع أن تتغيّر الوسائل المستخدمة لعرض ترج</w:t>
      </w:r>
      <w:r w:rsidR="00D567A2">
        <w:rPr>
          <w:rFonts w:hint="cs"/>
          <w:rtl/>
        </w:rPr>
        <w:t>مات الرسوم في المستقبل القريب).</w:t>
      </w:r>
      <w:r w:rsidR="00636F9E">
        <w:rPr>
          <w:rFonts w:hint="cs"/>
          <w:rtl/>
        </w:rPr>
        <w:t xml:space="preserve"> </w:t>
      </w:r>
    </w:p>
    <w:p w:rsidR="00275A2C" w:rsidRDefault="005C6BBE" w:rsidP="005F5836">
      <w:pPr>
        <w:pStyle w:val="NumberedParaAR"/>
      </w:pPr>
      <w:r>
        <w:rPr>
          <w:rFonts w:hint="cs"/>
          <w:rtl/>
        </w:rPr>
        <w:t xml:space="preserve">وناقش </w:t>
      </w:r>
      <w:r w:rsidRPr="005C6BBE">
        <w:rPr>
          <w:rtl/>
        </w:rPr>
        <w:t>الفريق العامل لمعاهدة التعاون بشأن البراءات</w:t>
      </w:r>
      <w:r>
        <w:rPr>
          <w:rFonts w:hint="cs"/>
          <w:rtl/>
        </w:rPr>
        <w:t xml:space="preserve"> في دورته التاسعة المعقودة </w:t>
      </w:r>
      <w:r w:rsidR="002C297C">
        <w:rPr>
          <w:rFonts w:hint="cs"/>
          <w:rtl/>
        </w:rPr>
        <w:t>في جنيف من</w:t>
      </w:r>
      <w:r w:rsidR="005F5836">
        <w:rPr>
          <w:rFonts w:hint="eastAsia"/>
          <w:rtl/>
        </w:rPr>
        <w:t> </w:t>
      </w:r>
      <w:r w:rsidR="002C297C">
        <w:rPr>
          <w:rFonts w:hint="cs"/>
          <w:rtl/>
        </w:rPr>
        <w:t>17</w:t>
      </w:r>
      <w:r w:rsidR="005F5836">
        <w:rPr>
          <w:rFonts w:hint="eastAsia"/>
          <w:rtl/>
        </w:rPr>
        <w:t> </w:t>
      </w:r>
      <w:r w:rsidR="002C297C">
        <w:rPr>
          <w:rFonts w:hint="cs"/>
          <w:rtl/>
        </w:rPr>
        <w:t>إلى</w:t>
      </w:r>
      <w:r w:rsidR="005F5836">
        <w:rPr>
          <w:rFonts w:hint="eastAsia"/>
          <w:rtl/>
        </w:rPr>
        <w:t> </w:t>
      </w:r>
      <w:r w:rsidR="002C297C">
        <w:rPr>
          <w:rFonts w:hint="cs"/>
          <w:rtl/>
        </w:rPr>
        <w:t>20</w:t>
      </w:r>
      <w:r w:rsidR="005F5836">
        <w:rPr>
          <w:rFonts w:hint="eastAsia"/>
          <w:rtl/>
        </w:rPr>
        <w:t> </w:t>
      </w:r>
      <w:r w:rsidR="002C297C">
        <w:rPr>
          <w:rFonts w:hint="cs"/>
          <w:rtl/>
        </w:rPr>
        <w:t>مايو</w:t>
      </w:r>
      <w:r w:rsidR="005F5836">
        <w:rPr>
          <w:rFonts w:hint="eastAsia"/>
          <w:rtl/>
        </w:rPr>
        <w:t> </w:t>
      </w:r>
      <w:r w:rsidR="002C297C">
        <w:rPr>
          <w:rFonts w:hint="cs"/>
          <w:rtl/>
        </w:rPr>
        <w:t xml:space="preserve">2016، وثيقة عمل أظهرت أن نسبة كبيرة من الطلبات الدولية المنشورة تتضمن ملخصات تتخطى بكثير نطاق الطول </w:t>
      </w:r>
      <w:proofErr w:type="spellStart"/>
      <w:r w:rsidR="002C297C">
        <w:rPr>
          <w:rFonts w:hint="cs"/>
          <w:rtl/>
        </w:rPr>
        <w:t>الموصى</w:t>
      </w:r>
      <w:proofErr w:type="spellEnd"/>
      <w:r w:rsidR="002C297C">
        <w:rPr>
          <w:rFonts w:hint="cs"/>
          <w:rtl/>
        </w:rPr>
        <w:t xml:space="preserve"> به في القاعدة </w:t>
      </w:r>
      <w:r w:rsidR="002C297C" w:rsidRPr="00495DD6">
        <w:rPr>
          <w:rtl/>
        </w:rPr>
        <w:t>1.8(ب)</w:t>
      </w:r>
      <w:r w:rsidR="002C297C">
        <w:rPr>
          <w:rFonts w:hint="cs"/>
          <w:rtl/>
        </w:rPr>
        <w:t xml:space="preserve"> </w:t>
      </w:r>
      <w:proofErr w:type="gramStart"/>
      <w:r w:rsidR="005B366F">
        <w:rPr>
          <w:rFonts w:hint="cs"/>
          <w:rtl/>
        </w:rPr>
        <w:t>وكمّ</w:t>
      </w:r>
      <w:r w:rsidR="00275A2C">
        <w:rPr>
          <w:rFonts w:hint="cs"/>
          <w:rtl/>
        </w:rPr>
        <w:t>ية</w:t>
      </w:r>
      <w:proofErr w:type="gramEnd"/>
      <w:r w:rsidR="00275A2C">
        <w:rPr>
          <w:rFonts w:hint="cs"/>
          <w:rtl/>
        </w:rPr>
        <w:t xml:space="preserve"> نص</w:t>
      </w:r>
      <w:r w:rsidR="005B366F">
        <w:rPr>
          <w:rFonts w:hint="cs"/>
          <w:rtl/>
        </w:rPr>
        <w:t xml:space="preserve"> كبير</w:t>
      </w:r>
      <w:r w:rsidR="00275A2C">
        <w:rPr>
          <w:rFonts w:hint="cs"/>
          <w:rtl/>
        </w:rPr>
        <w:t>ة</w:t>
      </w:r>
      <w:r w:rsidR="005B366F">
        <w:rPr>
          <w:rFonts w:hint="cs"/>
          <w:rtl/>
        </w:rPr>
        <w:t xml:space="preserve"> في الرسوم المختارة لصفحة غلاف الطلب الدولي المنشور. </w:t>
      </w:r>
      <w:proofErr w:type="gramStart"/>
      <w:r w:rsidR="005B366F">
        <w:rPr>
          <w:rFonts w:hint="cs"/>
          <w:rtl/>
        </w:rPr>
        <w:t>وي</w:t>
      </w:r>
      <w:r w:rsidR="00A05D3A">
        <w:rPr>
          <w:rFonts w:hint="cs"/>
          <w:rtl/>
        </w:rPr>
        <w:t>زيد</w:t>
      </w:r>
      <w:proofErr w:type="gramEnd"/>
      <w:r w:rsidR="005B366F">
        <w:rPr>
          <w:rFonts w:hint="cs"/>
          <w:rtl/>
        </w:rPr>
        <w:t xml:space="preserve"> ذلك </w:t>
      </w:r>
      <w:r w:rsidR="00A05D3A">
        <w:rPr>
          <w:rFonts w:hint="cs"/>
          <w:rtl/>
        </w:rPr>
        <w:t xml:space="preserve">من تكاليف الترجمة والمعالجة لكنه </w:t>
      </w:r>
      <w:r w:rsidR="00275A2C">
        <w:rPr>
          <w:rFonts w:hint="cs"/>
          <w:rtl/>
        </w:rPr>
        <w:t>يطرح</w:t>
      </w:r>
      <w:r w:rsidR="00A05D3A">
        <w:rPr>
          <w:rFonts w:hint="cs"/>
          <w:rtl/>
        </w:rPr>
        <w:t xml:space="preserve"> أيضاً </w:t>
      </w:r>
      <w:r w:rsidR="00275A2C">
        <w:rPr>
          <w:rFonts w:hint="cs"/>
          <w:rtl/>
        </w:rPr>
        <w:t>مسألة</w:t>
      </w:r>
      <w:r w:rsidR="00A05D3A">
        <w:rPr>
          <w:rFonts w:hint="cs"/>
          <w:rtl/>
        </w:rPr>
        <w:t xml:space="preserve"> </w:t>
      </w:r>
      <w:r w:rsidR="00275A2C">
        <w:rPr>
          <w:rFonts w:hint="cs"/>
          <w:rtl/>
        </w:rPr>
        <w:t xml:space="preserve">عدم ملاءمة </w:t>
      </w:r>
      <w:r w:rsidR="00A05D3A">
        <w:rPr>
          <w:rFonts w:hint="cs"/>
          <w:rtl/>
        </w:rPr>
        <w:t>الملخصات والرسوم المنشورة على صفحة الغلاف</w:t>
      </w:r>
      <w:r w:rsidR="00275A2C">
        <w:rPr>
          <w:rFonts w:hint="cs"/>
          <w:rtl/>
        </w:rPr>
        <w:t xml:space="preserve"> في أغلب الأحيان لأغراض البحث الفعال. </w:t>
      </w:r>
    </w:p>
    <w:p w:rsidR="00754AC8" w:rsidRDefault="00C73B06" w:rsidP="00275A2C">
      <w:pPr>
        <w:pStyle w:val="NumberedParaAR"/>
      </w:pPr>
      <w:proofErr w:type="gramStart"/>
      <w:r>
        <w:rPr>
          <w:rFonts w:hint="cs"/>
          <w:rtl/>
        </w:rPr>
        <w:lastRenderedPageBreak/>
        <w:t>وتُفصّل</w:t>
      </w:r>
      <w:proofErr w:type="gramEnd"/>
      <w:r>
        <w:rPr>
          <w:rFonts w:hint="cs"/>
          <w:rtl/>
        </w:rPr>
        <w:t xml:space="preserve"> الفقرات من 110 إلى 116 من ملخص الرئيس (الوثيقة </w:t>
      </w:r>
      <w:r>
        <w:t>PCT/WG/9/27</w:t>
      </w:r>
      <w:r>
        <w:rPr>
          <w:rFonts w:hint="cs"/>
          <w:rtl/>
        </w:rPr>
        <w:t xml:space="preserve">) </w:t>
      </w:r>
      <w:r w:rsidR="00754AC8">
        <w:rPr>
          <w:rFonts w:hint="cs"/>
          <w:rtl/>
        </w:rPr>
        <w:t xml:space="preserve">المناقشات المتعلقة بهذا المقترح والمتابعة التي اتفق عليها الفريق العامل، على النحو التالي: </w:t>
      </w:r>
    </w:p>
    <w:p w:rsidR="001C0B7C" w:rsidRDefault="001C0B7C" w:rsidP="00F02672">
      <w:pPr>
        <w:pStyle w:val="NumberedParaAR"/>
        <w:numPr>
          <w:ilvl w:val="0"/>
          <w:numId w:val="0"/>
        </w:numPr>
        <w:tabs>
          <w:tab w:val="left" w:pos="566"/>
        </w:tabs>
        <w:rPr>
          <w:rtl/>
        </w:rPr>
      </w:pPr>
      <w:r>
        <w:rPr>
          <w:rFonts w:hint="cs"/>
          <w:rtl/>
        </w:rPr>
        <w:t>"</w:t>
      </w:r>
      <w:r>
        <w:rPr>
          <w:rtl/>
        </w:rPr>
        <w:t>110.</w:t>
      </w:r>
      <w:r>
        <w:rPr>
          <w:rtl/>
        </w:rPr>
        <w:tab/>
        <w:t xml:space="preserve">استندت المناقشات إلى الوثيقة </w:t>
      </w:r>
      <w:r>
        <w:t>PCT/WG/9/16</w:t>
      </w:r>
      <w:r>
        <w:rPr>
          <w:rtl/>
        </w:rPr>
        <w:t>.</w:t>
      </w:r>
    </w:p>
    <w:p w:rsidR="001C0B7C" w:rsidRDefault="001C0B7C" w:rsidP="001C0B7C">
      <w:pPr>
        <w:pStyle w:val="NumberedParaAR"/>
        <w:numPr>
          <w:ilvl w:val="0"/>
          <w:numId w:val="0"/>
        </w:numPr>
        <w:tabs>
          <w:tab w:val="left" w:pos="566"/>
        </w:tabs>
        <w:rPr>
          <w:rtl/>
        </w:rPr>
      </w:pPr>
      <w:r>
        <w:rPr>
          <w:rFonts w:hint="cs"/>
          <w:rtl/>
        </w:rPr>
        <w:t>"111.</w:t>
      </w:r>
      <w:r>
        <w:rPr>
          <w:rFonts w:hint="cs"/>
          <w:rtl/>
        </w:rPr>
        <w:tab/>
      </w:r>
      <w:r>
        <w:rPr>
          <w:rtl/>
        </w:rPr>
        <w:t>وذكرت عدة وفود تمثل مكاتب عاملة كإدارات دولية أن إدارة البحث الدولي هي المسؤولة في نهاية المطاف عن محتوى الملخص وجودته فضلاً عن اختيار الصور المصاحبة؛ ومن ثم ينبغي للإدارات أن تتحقق من استيفاء المعايير المعنية في هذا الشأن وأن تختار عند الإمكان رسوماً لا تشتمل على كمية نص كبيرة.</w:t>
      </w:r>
    </w:p>
    <w:p w:rsidR="001C0B7C" w:rsidRDefault="001C0B7C" w:rsidP="001C0B7C">
      <w:pPr>
        <w:pStyle w:val="NumberedParaAR"/>
        <w:numPr>
          <w:ilvl w:val="0"/>
          <w:numId w:val="0"/>
        </w:numPr>
        <w:tabs>
          <w:tab w:val="left" w:pos="566"/>
        </w:tabs>
        <w:rPr>
          <w:rtl/>
        </w:rPr>
      </w:pPr>
      <w:r>
        <w:rPr>
          <w:rFonts w:hint="cs"/>
          <w:rtl/>
        </w:rPr>
        <w:t>"112</w:t>
      </w:r>
      <w:r>
        <w:rPr>
          <w:rtl/>
        </w:rPr>
        <w:t>.</w:t>
      </w:r>
      <w:r>
        <w:rPr>
          <w:rtl/>
        </w:rPr>
        <w:tab/>
        <w:t xml:space="preserve">وأكدت عدة وفود أن المودعين والمكاتب يواجهون صعوبات جمة في تحديد مدى استيفاء طول الملخصات المحررة بلغات غير الإنكليزية للمبدأ الإرشادي المنصوص عليه في القاعدة 1.8(ب) والتمست المزيد من المشورة في هذه المسألة. وأشار أحد الوفود إلى عدم وجود أية بيّنات تثبت الصلة بين عدد الكلمات الواردة في الملخصات وبين ارتفاع مستوى الجودة وإلى لزوم مراعاة أشكال الحروف الخاصة بكل لغة. </w:t>
      </w:r>
      <w:proofErr w:type="gramStart"/>
      <w:r>
        <w:rPr>
          <w:rtl/>
        </w:rPr>
        <w:t>وذكَّرت</w:t>
      </w:r>
      <w:proofErr w:type="gramEnd"/>
      <w:r>
        <w:rPr>
          <w:rtl/>
        </w:rPr>
        <w:t xml:space="preserve"> وفود بضرورة عدم إغفال الغرض من مبدأ التراوح بين "خمسين ومائة وخمسين كلمة" وهو الإرشاد؛ وعليه قد يكون وضع ملخصات أطول أو أقصر أكثر ملاءمة ويظل عالي الجودة. </w:t>
      </w:r>
      <w:proofErr w:type="gramStart"/>
      <w:r>
        <w:rPr>
          <w:rtl/>
        </w:rPr>
        <w:t>واقترح</w:t>
      </w:r>
      <w:proofErr w:type="gramEnd"/>
      <w:r>
        <w:rPr>
          <w:rtl/>
        </w:rPr>
        <w:t xml:space="preserve"> وفد أن تفرض مكاتب تسلّم الطلبات حداً صارماً على المودعين وأن تلزمهم بتصحيح الملخص إذا تجاوز عدد الكلمات المحددة لكل لغة. </w:t>
      </w:r>
      <w:proofErr w:type="gramStart"/>
      <w:r>
        <w:rPr>
          <w:rtl/>
        </w:rPr>
        <w:t>ولكن</w:t>
      </w:r>
      <w:proofErr w:type="gramEnd"/>
      <w:r>
        <w:rPr>
          <w:rtl/>
        </w:rPr>
        <w:t xml:space="preserve"> وفدا آخر قال إنه من غير المستحسن فرض حد صارم من هذا القبيل.</w:t>
      </w:r>
    </w:p>
    <w:p w:rsidR="001C0B7C" w:rsidRDefault="001C0B7C" w:rsidP="00295072">
      <w:pPr>
        <w:pStyle w:val="NumberedParaAR"/>
        <w:numPr>
          <w:ilvl w:val="0"/>
          <w:numId w:val="0"/>
        </w:numPr>
        <w:tabs>
          <w:tab w:val="left" w:pos="566"/>
        </w:tabs>
        <w:rPr>
          <w:rtl/>
        </w:rPr>
      </w:pPr>
      <w:r>
        <w:rPr>
          <w:rFonts w:hint="cs"/>
          <w:rtl/>
        </w:rPr>
        <w:t>"113</w:t>
      </w:r>
      <w:r>
        <w:rPr>
          <w:rtl/>
        </w:rPr>
        <w:t>.</w:t>
      </w:r>
      <w:r>
        <w:rPr>
          <w:rtl/>
        </w:rPr>
        <w:tab/>
      </w:r>
      <w:proofErr w:type="gramStart"/>
      <w:r>
        <w:rPr>
          <w:rtl/>
        </w:rPr>
        <w:t>وأشارت</w:t>
      </w:r>
      <w:proofErr w:type="gramEnd"/>
      <w:r>
        <w:rPr>
          <w:rtl/>
        </w:rPr>
        <w:t xml:space="preserve"> العديد من الوفود إلى أن أساليب البحث قد شهدت تغيراً كبيراً منذ وضع القاعدة 8. </w:t>
      </w:r>
      <w:proofErr w:type="gramStart"/>
      <w:r>
        <w:rPr>
          <w:rtl/>
        </w:rPr>
        <w:t>وذكرت</w:t>
      </w:r>
      <w:proofErr w:type="gramEnd"/>
      <w:r>
        <w:rPr>
          <w:rtl/>
        </w:rPr>
        <w:t xml:space="preserve"> عدة وفود أن المكاتب التي تمثلها تعتمد أساساً على البحث في النص بأكمله عن طريق وظيفتَي التظليل والترجمة الآلية؛ وعليه يكون استخدامها للملخصات محدوداً لأغراض البحث. ومع ذلك، تعتمد مكاتب أخرى وبعض مستخدمي المعلومات المتعلقة بالبراءات اعتماداً كبيراً على الملخصات لأغراض البحث، مع العلم بأن خدمات البحث المتاحة للعديد من المستخدمين أقل تطوراً من الأدوات المتاحة لفاحصي البحث وغيرهم من الباحثين المهنيين. </w:t>
      </w:r>
      <w:proofErr w:type="gramStart"/>
      <w:r>
        <w:rPr>
          <w:rtl/>
        </w:rPr>
        <w:t>ومن</w:t>
      </w:r>
      <w:proofErr w:type="gramEnd"/>
      <w:r>
        <w:rPr>
          <w:rtl/>
        </w:rPr>
        <w:t xml:space="preserve"> ثم، ينبغي تحديد حاجة جميع المستخدمين إلى الملخص </w:t>
      </w:r>
      <w:r w:rsidR="00295072">
        <w:rPr>
          <w:rFonts w:hint="cs"/>
          <w:rtl/>
        </w:rPr>
        <w:t>والرسوم</w:t>
      </w:r>
      <w:r>
        <w:rPr>
          <w:rtl/>
        </w:rPr>
        <w:t xml:space="preserve"> المصاحبة تحديداً للمحتوى والجودة المناسبَين.</w:t>
      </w:r>
    </w:p>
    <w:p w:rsidR="001C0B7C" w:rsidRDefault="001C0B7C" w:rsidP="001C0B7C">
      <w:pPr>
        <w:pStyle w:val="NumberedParaAR"/>
        <w:numPr>
          <w:ilvl w:val="0"/>
          <w:numId w:val="0"/>
        </w:numPr>
        <w:tabs>
          <w:tab w:val="left" w:pos="566"/>
        </w:tabs>
        <w:rPr>
          <w:rtl/>
        </w:rPr>
      </w:pPr>
      <w:r>
        <w:rPr>
          <w:rFonts w:hint="cs"/>
          <w:rtl/>
        </w:rPr>
        <w:t>"114.</w:t>
      </w:r>
      <w:r>
        <w:rPr>
          <w:rFonts w:hint="cs"/>
          <w:rtl/>
        </w:rPr>
        <w:tab/>
      </w:r>
      <w:proofErr w:type="gramStart"/>
      <w:r>
        <w:rPr>
          <w:rtl/>
        </w:rPr>
        <w:t>واقترح</w:t>
      </w:r>
      <w:proofErr w:type="gramEnd"/>
      <w:r>
        <w:rPr>
          <w:rtl/>
        </w:rPr>
        <w:t xml:space="preserve"> وفدٌ اعتمادَ نهج أكثر مرونة في ترجمة النص المدرج في الرسوم في بعض الحالات. وذكر أن الطلبات المودعة حالياً باللغة الألمانية تضم أحياناً رسوم</w:t>
      </w:r>
      <w:r w:rsidR="00F81EC8">
        <w:rPr>
          <w:rFonts w:hint="cs"/>
          <w:rtl/>
        </w:rPr>
        <w:t>اً</w:t>
      </w:r>
      <w:r>
        <w:rPr>
          <w:rtl/>
        </w:rPr>
        <w:t xml:space="preserve"> تشتمل على نص بالإنكليزية، فيطلب مكتب تسلّم الطلبات ترجمة هذا النص إلى الألمانية، وقد يحتاج المكتب الدولي بعدئذ إلى إعادة ترجمة هذا النص إلى الإنكليزية. </w:t>
      </w:r>
      <w:proofErr w:type="gramStart"/>
      <w:r>
        <w:rPr>
          <w:rtl/>
        </w:rPr>
        <w:t>ومن</w:t>
      </w:r>
      <w:proofErr w:type="gramEnd"/>
      <w:r>
        <w:rPr>
          <w:rtl/>
        </w:rPr>
        <w:t xml:space="preserve"> ثم، قد يُستحسن في بعض الحالات الاحتفاظ بالمصطلحات التقنية باللغة الإنكليزية في الرسوم أياً كانت لغتها.</w:t>
      </w:r>
    </w:p>
    <w:p w:rsidR="001C0B7C" w:rsidRDefault="001C0B7C" w:rsidP="001C0B7C">
      <w:pPr>
        <w:pStyle w:val="NumberedParaAR"/>
        <w:numPr>
          <w:ilvl w:val="0"/>
          <w:numId w:val="0"/>
        </w:numPr>
        <w:tabs>
          <w:tab w:val="left" w:pos="566"/>
        </w:tabs>
        <w:rPr>
          <w:rtl/>
        </w:rPr>
      </w:pPr>
      <w:r>
        <w:rPr>
          <w:rFonts w:hint="cs"/>
          <w:rtl/>
        </w:rPr>
        <w:t>"115.</w:t>
      </w:r>
      <w:r>
        <w:rPr>
          <w:rFonts w:hint="cs"/>
          <w:rtl/>
        </w:rPr>
        <w:tab/>
      </w:r>
      <w:r>
        <w:rPr>
          <w:rtl/>
        </w:rPr>
        <w:t>ورداً على سؤال طرحه أحد الوفود، أكد المكتب الدولي أن النص المدرج في الصور المصاحبة للملخص يتاح حالياً كصورة غير قابلة للبحث باللغة الأصلية وترجمتها أو ترجماتها.</w:t>
      </w:r>
    </w:p>
    <w:p w:rsidR="00754AC8" w:rsidRDefault="004A345D" w:rsidP="004A345D">
      <w:pPr>
        <w:pStyle w:val="NumberedParaAR"/>
        <w:numPr>
          <w:ilvl w:val="0"/>
          <w:numId w:val="0"/>
        </w:numPr>
        <w:ind w:left="566"/>
        <w:rPr>
          <w:rtl/>
        </w:rPr>
      </w:pPr>
      <w:r>
        <w:rPr>
          <w:rFonts w:hint="cs"/>
          <w:rtl/>
        </w:rPr>
        <w:t>"116.</w:t>
      </w:r>
      <w:r>
        <w:rPr>
          <w:rFonts w:hint="cs"/>
          <w:rtl/>
        </w:rPr>
        <w:tab/>
      </w:r>
      <w:r w:rsidR="001C0B7C">
        <w:rPr>
          <w:rtl/>
        </w:rPr>
        <w:t xml:space="preserve">ووافق الفريق العامل على أنه ينبغي للمكتب الدولي أن يصدر تعميماً يدعو فيه الأطراف المعنية ولا سيما المكاتب المعيَّنة وممثلي المودعين ومستخدمي المعلومات المتعلقة بالبراءات إلى تقديم تعليقات أكثر تفصيلاً على المسائل المذكورة في الفقرة 23 من الوثيقة </w:t>
      </w:r>
      <w:r w:rsidR="001C0B7C">
        <w:t>PCT/WG/9/16</w:t>
      </w:r>
      <w:r w:rsidR="001C0B7C">
        <w:rPr>
          <w:rtl/>
        </w:rPr>
        <w:t xml:space="preserve"> بغية إرشاد المناقشات المزمع إجراؤها إبّان الدورة المقبلة لاجتماع الإدارات الدولية</w:t>
      </w:r>
      <w:r w:rsidR="00B75250">
        <w:rPr>
          <w:rFonts w:hint="cs"/>
          <w:rtl/>
        </w:rPr>
        <w:t>"</w:t>
      </w:r>
      <w:r w:rsidR="001C0B7C">
        <w:rPr>
          <w:rtl/>
        </w:rPr>
        <w:t>.</w:t>
      </w:r>
    </w:p>
    <w:p w:rsidR="00687E26" w:rsidRPr="00687E26" w:rsidRDefault="00687E26" w:rsidP="00A14F99">
      <w:pPr>
        <w:pStyle w:val="NumberedParaAR"/>
        <w:numPr>
          <w:ilvl w:val="0"/>
          <w:numId w:val="0"/>
        </w:numPr>
        <w:spacing w:after="60"/>
        <w:rPr>
          <w:b/>
          <w:bCs/>
          <w:sz w:val="40"/>
          <w:szCs w:val="40"/>
        </w:rPr>
      </w:pPr>
      <w:r w:rsidRPr="00687E26">
        <w:rPr>
          <w:b/>
          <w:bCs/>
          <w:sz w:val="40"/>
          <w:szCs w:val="40"/>
          <w:rtl/>
        </w:rPr>
        <w:t>التعميم</w:t>
      </w:r>
      <w:r w:rsidRPr="00687E26">
        <w:rPr>
          <w:rFonts w:hint="cs"/>
          <w:b/>
          <w:bCs/>
          <w:sz w:val="40"/>
          <w:szCs w:val="40"/>
          <w:rtl/>
        </w:rPr>
        <w:t xml:space="preserve"> </w:t>
      </w:r>
      <w:r w:rsidRPr="00687E26">
        <w:rPr>
          <w:b/>
          <w:bCs/>
          <w:sz w:val="40"/>
          <w:szCs w:val="40"/>
        </w:rPr>
        <w:t>C.PCT 1486</w:t>
      </w:r>
      <w:r w:rsidRPr="00687E26">
        <w:rPr>
          <w:rFonts w:hint="cs"/>
          <w:b/>
          <w:bCs/>
          <w:sz w:val="40"/>
          <w:szCs w:val="40"/>
          <w:rtl/>
        </w:rPr>
        <w:t xml:space="preserve"> </w:t>
      </w:r>
    </w:p>
    <w:p w:rsidR="00981645" w:rsidRDefault="001768E3" w:rsidP="001768E3">
      <w:pPr>
        <w:pStyle w:val="NumberedParaAR"/>
      </w:pPr>
      <w:r>
        <w:rPr>
          <w:rFonts w:hint="cs"/>
          <w:rtl/>
        </w:rPr>
        <w:t xml:space="preserve">تضمّن التعميم </w:t>
      </w:r>
      <w:r>
        <w:t>C. PCT 1486</w:t>
      </w:r>
      <w:r>
        <w:rPr>
          <w:rFonts w:hint="cs"/>
          <w:rtl/>
        </w:rPr>
        <w:t xml:space="preserve"> الذي صدر استجابة للمناقشات المبيّنة أعلاه مزيداً من التفاصيل عن مدى تخطي الملخصات والرسوم للنطاق </w:t>
      </w:r>
      <w:proofErr w:type="spellStart"/>
      <w:r>
        <w:rPr>
          <w:rFonts w:hint="cs"/>
          <w:rtl/>
        </w:rPr>
        <w:t>الموصى</w:t>
      </w:r>
      <w:proofErr w:type="spellEnd"/>
      <w:r>
        <w:rPr>
          <w:rFonts w:hint="cs"/>
          <w:rtl/>
        </w:rPr>
        <w:t xml:space="preserve"> به وعن اختلاف توزيع عدد الكلمات حسب الموضوع أو اللغة أو المكتب المتلقي أو</w:t>
      </w:r>
      <w:r w:rsidR="00F60006">
        <w:rPr>
          <w:rFonts w:hint="cs"/>
          <w:rtl/>
        </w:rPr>
        <w:t xml:space="preserve"> </w:t>
      </w:r>
      <w:r w:rsidR="00F60006">
        <w:rPr>
          <w:rFonts w:hint="cs"/>
          <w:rtl/>
        </w:rPr>
        <w:lastRenderedPageBreak/>
        <w:t xml:space="preserve">إدارة البحث الدولية. </w:t>
      </w:r>
      <w:r w:rsidR="001C0529">
        <w:rPr>
          <w:rFonts w:hint="cs"/>
          <w:rtl/>
        </w:rPr>
        <w:t xml:space="preserve">ودعا التعميم المكاتب ومستخدمي المعلومات عن البراءات إلى تقديم معلومات عن الملخصات وعن كيفية استخدامها في الوقت الراهن. </w:t>
      </w:r>
    </w:p>
    <w:p w:rsidR="000079BD" w:rsidRDefault="00981645" w:rsidP="0078311E">
      <w:pPr>
        <w:pStyle w:val="NumberedParaAR"/>
      </w:pPr>
      <w:r>
        <w:rPr>
          <w:rFonts w:hint="cs"/>
          <w:rtl/>
        </w:rPr>
        <w:t xml:space="preserve">ووردت </w:t>
      </w:r>
      <w:r w:rsidR="009308BE">
        <w:rPr>
          <w:rFonts w:hint="cs"/>
          <w:rtl/>
        </w:rPr>
        <w:t>إجابات</w:t>
      </w:r>
      <w:r>
        <w:rPr>
          <w:rFonts w:hint="cs"/>
          <w:rtl/>
        </w:rPr>
        <w:t xml:space="preserve"> من 26 مكتباً وطنياً </w:t>
      </w:r>
      <w:proofErr w:type="gramStart"/>
      <w:r>
        <w:rPr>
          <w:rFonts w:hint="cs"/>
          <w:rtl/>
        </w:rPr>
        <w:t>وإقليمياً</w:t>
      </w:r>
      <w:proofErr w:type="gramEnd"/>
      <w:r>
        <w:rPr>
          <w:rFonts w:hint="cs"/>
          <w:rtl/>
        </w:rPr>
        <w:t xml:space="preserve">. </w:t>
      </w:r>
      <w:r w:rsidR="000079BD">
        <w:rPr>
          <w:rFonts w:hint="cs"/>
          <w:rtl/>
        </w:rPr>
        <w:t xml:space="preserve">وجاءت العناصر الرئيسية لهذه الردود </w:t>
      </w:r>
      <w:r w:rsidR="0078311E">
        <w:rPr>
          <w:rFonts w:hint="cs"/>
          <w:rtl/>
        </w:rPr>
        <w:t>كالآتي</w:t>
      </w:r>
      <w:r w:rsidR="000079BD">
        <w:rPr>
          <w:rFonts w:hint="cs"/>
          <w:rtl/>
        </w:rPr>
        <w:t xml:space="preserve">: </w:t>
      </w:r>
    </w:p>
    <w:p w:rsidR="000A1034" w:rsidRDefault="007F25B3" w:rsidP="00E43D68">
      <w:pPr>
        <w:pStyle w:val="NumberedParaAR"/>
        <w:numPr>
          <w:ilvl w:val="0"/>
          <w:numId w:val="24"/>
        </w:numPr>
        <w:ind w:left="566" w:firstLine="0"/>
      </w:pPr>
      <w:proofErr w:type="gramStart"/>
      <w:r>
        <w:rPr>
          <w:rFonts w:hint="cs"/>
          <w:rtl/>
        </w:rPr>
        <w:t>تستخدم</w:t>
      </w:r>
      <w:proofErr w:type="gramEnd"/>
      <w:r>
        <w:rPr>
          <w:rFonts w:hint="cs"/>
          <w:rtl/>
        </w:rPr>
        <w:t xml:space="preserve"> المكاتب الملخصات بطرق مختلفة؛ لا بل تُستخدم </w:t>
      </w:r>
      <w:r w:rsidR="00F612D0">
        <w:rPr>
          <w:rFonts w:hint="cs"/>
          <w:rtl/>
        </w:rPr>
        <w:t>في ب</w:t>
      </w:r>
      <w:r>
        <w:rPr>
          <w:rFonts w:hint="cs"/>
          <w:rtl/>
        </w:rPr>
        <w:t>عض الحالات طرق عديدة مختلفة لأغراض مختلفة في ال</w:t>
      </w:r>
      <w:r w:rsidR="00192BEB">
        <w:rPr>
          <w:rFonts w:hint="cs"/>
          <w:rtl/>
        </w:rPr>
        <w:t>م</w:t>
      </w:r>
      <w:r>
        <w:rPr>
          <w:rFonts w:hint="cs"/>
          <w:rtl/>
        </w:rPr>
        <w:t>كتب نفسه.</w:t>
      </w:r>
      <w:r w:rsidR="00192BEB">
        <w:rPr>
          <w:rFonts w:hint="cs"/>
          <w:rtl/>
        </w:rPr>
        <w:t xml:space="preserve"> </w:t>
      </w:r>
      <w:proofErr w:type="gramStart"/>
      <w:r w:rsidR="000A1034">
        <w:rPr>
          <w:rFonts w:hint="cs"/>
          <w:rtl/>
        </w:rPr>
        <w:t>ويزداد</w:t>
      </w:r>
      <w:proofErr w:type="gramEnd"/>
      <w:r w:rsidR="000A1034">
        <w:rPr>
          <w:rFonts w:hint="cs"/>
          <w:rtl/>
        </w:rPr>
        <w:t xml:space="preserve"> لجوء الفاحصين إلى استخدام النص الكامل في معظم عمليات البحث وهم يستخدمون أيضاً ملخصات </w:t>
      </w:r>
      <w:r w:rsidR="00C04DC3">
        <w:rPr>
          <w:rFonts w:hint="cs"/>
          <w:rtl/>
        </w:rPr>
        <w:t>مُعدّة بأسلوب تجاري</w:t>
      </w:r>
      <w:r w:rsidR="000A1034">
        <w:rPr>
          <w:rFonts w:hint="cs"/>
          <w:rtl/>
        </w:rPr>
        <w:t xml:space="preserve"> لكن الملخص الأصلي يبقى مهماً في بعض عمليات البحث </w:t>
      </w:r>
      <w:r w:rsidR="00E43D68">
        <w:rPr>
          <w:rFonts w:hint="cs"/>
          <w:rtl/>
        </w:rPr>
        <w:t>ولمسح فعال</w:t>
      </w:r>
      <w:r w:rsidR="000A1034">
        <w:rPr>
          <w:rFonts w:hint="cs"/>
          <w:rtl/>
        </w:rPr>
        <w:t xml:space="preserve"> للنتائج لتحديد الطلبات المنشورة التي ينبغي قراءتها بالتفصيل. </w:t>
      </w:r>
    </w:p>
    <w:p w:rsidR="00A2511C" w:rsidRDefault="005D7157" w:rsidP="00096A8D">
      <w:pPr>
        <w:pStyle w:val="NumberedParaAR"/>
        <w:numPr>
          <w:ilvl w:val="0"/>
          <w:numId w:val="24"/>
        </w:numPr>
        <w:ind w:left="566" w:firstLine="0"/>
      </w:pPr>
      <w:r>
        <w:rPr>
          <w:rFonts w:hint="cs"/>
          <w:rtl/>
        </w:rPr>
        <w:t xml:space="preserve">وتختلف الشروط المثالية للملخصات </w:t>
      </w:r>
      <w:r w:rsidR="00096A8D">
        <w:rPr>
          <w:rFonts w:hint="cs"/>
          <w:rtl/>
        </w:rPr>
        <w:t>بناءً على</w:t>
      </w:r>
      <w:r>
        <w:rPr>
          <w:rFonts w:hint="cs"/>
          <w:rtl/>
        </w:rPr>
        <w:t xml:space="preserve"> عدد كبير من العوامل، منها الموضوع واللغة </w:t>
      </w:r>
      <w:r w:rsidR="00BC5083">
        <w:rPr>
          <w:rFonts w:hint="cs"/>
          <w:rtl/>
        </w:rPr>
        <w:t xml:space="preserve">والمسائل الخاصة المتعلقة بمودعين أو مستخدمين معيّنين لمعلومات البراءات. </w:t>
      </w:r>
    </w:p>
    <w:p w:rsidR="00C82273" w:rsidRDefault="006D0583" w:rsidP="00316CE7">
      <w:pPr>
        <w:pStyle w:val="NumberedParaAR"/>
        <w:numPr>
          <w:ilvl w:val="0"/>
          <w:numId w:val="24"/>
        </w:numPr>
        <w:ind w:left="566" w:firstLine="0"/>
      </w:pPr>
      <w:proofErr w:type="gramStart"/>
      <w:r>
        <w:rPr>
          <w:rFonts w:hint="cs"/>
          <w:rtl/>
        </w:rPr>
        <w:t>و</w:t>
      </w:r>
      <w:r w:rsidR="003D1ADC">
        <w:rPr>
          <w:rFonts w:hint="cs"/>
          <w:rtl/>
        </w:rPr>
        <w:t>يتسع</w:t>
      </w:r>
      <w:proofErr w:type="gramEnd"/>
      <w:r w:rsidR="003D1ADC">
        <w:rPr>
          <w:rFonts w:hint="cs"/>
          <w:rtl/>
        </w:rPr>
        <w:t xml:space="preserve"> مدى اختلاف وجهات النظر في نسبة الملخصات </w:t>
      </w:r>
      <w:r w:rsidR="00EE4BE9">
        <w:rPr>
          <w:rFonts w:hint="cs"/>
          <w:rtl/>
        </w:rPr>
        <w:t xml:space="preserve">رديئة الجودة اختلافاً </w:t>
      </w:r>
      <w:r w:rsidR="003D1ADC">
        <w:rPr>
          <w:rFonts w:hint="cs"/>
          <w:rtl/>
        </w:rPr>
        <w:t>كبير</w:t>
      </w:r>
      <w:r w:rsidR="00EE4BE9">
        <w:rPr>
          <w:rFonts w:hint="cs"/>
          <w:rtl/>
        </w:rPr>
        <w:t xml:space="preserve">اً، فتعتبر بعض المكاتب أن أغلبية واسعة منها غير مناسبة. </w:t>
      </w:r>
      <w:proofErr w:type="gramStart"/>
      <w:r w:rsidR="00EE4BE9">
        <w:rPr>
          <w:rFonts w:hint="cs"/>
          <w:rtl/>
        </w:rPr>
        <w:t>وتعتبر</w:t>
      </w:r>
      <w:proofErr w:type="gramEnd"/>
      <w:r w:rsidR="00EE4BE9">
        <w:rPr>
          <w:rFonts w:hint="cs"/>
          <w:rtl/>
        </w:rPr>
        <w:t xml:space="preserve"> مكات</w:t>
      </w:r>
      <w:r w:rsidR="004F3AA1">
        <w:rPr>
          <w:rFonts w:hint="cs"/>
          <w:rtl/>
        </w:rPr>
        <w:t>ب أخرى أن النهج العام المتبع الذي يُودع وفقه</w:t>
      </w:r>
      <w:r w:rsidR="00504FCE">
        <w:rPr>
          <w:rFonts w:hint="cs"/>
          <w:rtl/>
        </w:rPr>
        <w:t xml:space="preserve"> ملخص مماثل تقريباً لل</w:t>
      </w:r>
      <w:r w:rsidR="00504FCE" w:rsidRPr="00504FCE">
        <w:rPr>
          <w:rtl/>
        </w:rPr>
        <w:t xml:space="preserve">مطالبة 1 </w:t>
      </w:r>
      <w:r>
        <w:rPr>
          <w:rFonts w:hint="cs"/>
          <w:rtl/>
        </w:rPr>
        <w:t xml:space="preserve">لا </w:t>
      </w:r>
      <w:r w:rsidR="00504FCE">
        <w:rPr>
          <w:rFonts w:hint="cs"/>
          <w:rtl/>
        </w:rPr>
        <w:t>"</w:t>
      </w:r>
      <w:r w:rsidR="00504FCE" w:rsidRPr="00504FCE">
        <w:rPr>
          <w:rtl/>
        </w:rPr>
        <w:t>يسمح بتكوين فكرة واضحة عن المشكلة التقنية، وجوهر حل هذه المشكلة بوساطة الاختراع والاستعمال الرئيسي أو الاستعمالات الرئيسية للاختراع</w:t>
      </w:r>
      <w:r w:rsidR="00504FCE">
        <w:rPr>
          <w:rFonts w:hint="cs"/>
          <w:rtl/>
        </w:rPr>
        <w:t xml:space="preserve">". </w:t>
      </w:r>
      <w:proofErr w:type="gramStart"/>
      <w:r w:rsidR="00504FCE">
        <w:rPr>
          <w:rFonts w:hint="cs"/>
          <w:rtl/>
        </w:rPr>
        <w:t>وأشارت</w:t>
      </w:r>
      <w:proofErr w:type="gramEnd"/>
      <w:r w:rsidR="00504FCE">
        <w:rPr>
          <w:rFonts w:hint="cs"/>
          <w:rtl/>
        </w:rPr>
        <w:t xml:space="preserve"> بعض المكاتب إلى أن </w:t>
      </w:r>
      <w:r w:rsidR="00A72501">
        <w:rPr>
          <w:rFonts w:hint="cs"/>
          <w:rtl/>
        </w:rPr>
        <w:t xml:space="preserve">الملخصات المعدّة بأسلوب مهني ضرورية لبحث فعّال. </w:t>
      </w:r>
      <w:proofErr w:type="gramStart"/>
      <w:r w:rsidR="00C82273">
        <w:rPr>
          <w:rFonts w:hint="cs"/>
          <w:rtl/>
        </w:rPr>
        <w:t>وأفادت</w:t>
      </w:r>
      <w:proofErr w:type="gramEnd"/>
      <w:r w:rsidR="00C82273">
        <w:rPr>
          <w:rFonts w:hint="cs"/>
          <w:rtl/>
        </w:rPr>
        <w:t xml:space="preserve"> مكاتب أخرى بأنها لا تزال مترددة و</w:t>
      </w:r>
      <w:r>
        <w:rPr>
          <w:rFonts w:hint="cs"/>
          <w:rtl/>
        </w:rPr>
        <w:t xml:space="preserve">أنها </w:t>
      </w:r>
      <w:r w:rsidR="00C82273">
        <w:rPr>
          <w:rFonts w:hint="cs"/>
          <w:rtl/>
        </w:rPr>
        <w:t>لم تتمكن من تحليل المسألة</w:t>
      </w:r>
      <w:r w:rsidR="00316CE7" w:rsidRPr="00316CE7">
        <w:rPr>
          <w:rFonts w:hint="cs"/>
          <w:rtl/>
        </w:rPr>
        <w:t xml:space="preserve"> </w:t>
      </w:r>
      <w:r w:rsidR="00316CE7">
        <w:rPr>
          <w:rFonts w:hint="cs"/>
          <w:rtl/>
        </w:rPr>
        <w:t>بعد</w:t>
      </w:r>
      <w:r w:rsidR="00C82273">
        <w:rPr>
          <w:rFonts w:hint="cs"/>
          <w:rtl/>
        </w:rPr>
        <w:t xml:space="preserve">. </w:t>
      </w:r>
    </w:p>
    <w:p w:rsidR="00BC5083" w:rsidRDefault="00892CB7" w:rsidP="004A0ABD">
      <w:pPr>
        <w:pStyle w:val="NumberedParaAR"/>
        <w:numPr>
          <w:ilvl w:val="0"/>
          <w:numId w:val="24"/>
        </w:numPr>
        <w:ind w:left="566" w:firstLine="0"/>
      </w:pPr>
      <w:r>
        <w:rPr>
          <w:rFonts w:hint="cs"/>
          <w:rtl/>
        </w:rPr>
        <w:t>و</w:t>
      </w:r>
      <w:r w:rsidR="004A0ABD">
        <w:rPr>
          <w:rFonts w:hint="cs"/>
          <w:rtl/>
        </w:rPr>
        <w:t>ا</w:t>
      </w:r>
      <w:r w:rsidR="00CE548E">
        <w:rPr>
          <w:rFonts w:hint="cs"/>
          <w:rtl/>
        </w:rPr>
        <w:t xml:space="preserve">عتبر الكثير من المكاتب أن طول الملخص مؤشر مفيد بما أن الملخصات الطويلة جداً أو القصيرة جداً ستكون غالباً دون المستوى </w:t>
      </w:r>
      <w:r w:rsidR="00B75CCA">
        <w:rPr>
          <w:rFonts w:hint="cs"/>
          <w:rtl/>
        </w:rPr>
        <w:t xml:space="preserve">الأمثل لسبب أو لآخر، لكن </w:t>
      </w:r>
      <w:r w:rsidR="00C60F80">
        <w:rPr>
          <w:rFonts w:hint="cs"/>
          <w:rtl/>
        </w:rPr>
        <w:t xml:space="preserve">المكاتب </w:t>
      </w:r>
      <w:r w:rsidR="004A0ABD">
        <w:rPr>
          <w:rFonts w:hint="cs"/>
          <w:rtl/>
        </w:rPr>
        <w:t>شدّدت</w:t>
      </w:r>
      <w:r w:rsidR="00B75CCA">
        <w:rPr>
          <w:rFonts w:hint="cs"/>
          <w:rtl/>
        </w:rPr>
        <w:t xml:space="preserve"> عامة على أن ذلك لا يصحّ في جميع الحالات وأن طول الملخص لا </w:t>
      </w:r>
      <w:r w:rsidR="00405CA8">
        <w:rPr>
          <w:rFonts w:hint="cs"/>
          <w:rtl/>
        </w:rPr>
        <w:t xml:space="preserve">يسمح بقياس جودة المعلومات المقدمة في حالات معيّنة. </w:t>
      </w:r>
    </w:p>
    <w:p w:rsidR="00946AC0" w:rsidRDefault="00826D1F" w:rsidP="00994FBE">
      <w:pPr>
        <w:pStyle w:val="NumberedParaAR"/>
        <w:numPr>
          <w:ilvl w:val="0"/>
          <w:numId w:val="24"/>
        </w:numPr>
        <w:ind w:left="566" w:firstLine="0"/>
      </w:pPr>
      <w:proofErr w:type="gramStart"/>
      <w:r>
        <w:rPr>
          <w:rFonts w:hint="cs"/>
          <w:rtl/>
        </w:rPr>
        <w:t>ولا</w:t>
      </w:r>
      <w:proofErr w:type="gramEnd"/>
      <w:r>
        <w:rPr>
          <w:rFonts w:hint="cs"/>
          <w:rtl/>
        </w:rPr>
        <w:t xml:space="preserve"> تكون كميات كبيرة من النص في الرسوم مفيدة عامة </w:t>
      </w:r>
      <w:r w:rsidR="00361EFC">
        <w:rPr>
          <w:rFonts w:hint="cs"/>
          <w:rtl/>
        </w:rPr>
        <w:t>ويمكن ل</w:t>
      </w:r>
      <w:r w:rsidR="003F690E">
        <w:rPr>
          <w:rFonts w:hint="cs"/>
          <w:rtl/>
        </w:rPr>
        <w:t>أي من ا</w:t>
      </w:r>
      <w:r w:rsidR="00361EFC">
        <w:rPr>
          <w:rFonts w:hint="cs"/>
          <w:rtl/>
        </w:rPr>
        <w:t>لمكتب المتلقي أو المكتب الدولي أو</w:t>
      </w:r>
      <w:r w:rsidR="00023232">
        <w:rPr>
          <w:rFonts w:hint="eastAsia"/>
          <w:rtl/>
        </w:rPr>
        <w:t> </w:t>
      </w:r>
      <w:r w:rsidR="00093F17">
        <w:rPr>
          <w:rFonts w:hint="cs"/>
          <w:rtl/>
        </w:rPr>
        <w:t>إدارة البحث الدولي</w:t>
      </w:r>
      <w:r w:rsidR="00361EFC">
        <w:rPr>
          <w:rFonts w:hint="cs"/>
          <w:rtl/>
        </w:rPr>
        <w:t xml:space="preserve"> </w:t>
      </w:r>
      <w:r w:rsidR="003F690E">
        <w:rPr>
          <w:rFonts w:hint="cs"/>
          <w:rtl/>
        </w:rPr>
        <w:t xml:space="preserve">رؤيتها بسهولة. لكن في بعض الحالات </w:t>
      </w:r>
      <w:r w:rsidR="00C84460">
        <w:rPr>
          <w:rFonts w:hint="cs"/>
          <w:rtl/>
        </w:rPr>
        <w:t xml:space="preserve">تكون الرسوم البيانية </w:t>
      </w:r>
      <w:r w:rsidR="009F2362">
        <w:rPr>
          <w:rFonts w:hint="cs"/>
          <w:rtl/>
        </w:rPr>
        <w:t>المتسلسلة</w:t>
      </w:r>
      <w:r w:rsidR="00C84460">
        <w:rPr>
          <w:rFonts w:hint="cs"/>
          <w:rtl/>
        </w:rPr>
        <w:t xml:space="preserve"> المدعومة بنص وسيلة مفيدة للغاية </w:t>
      </w:r>
      <w:proofErr w:type="gramStart"/>
      <w:r w:rsidR="00100C81">
        <w:rPr>
          <w:rFonts w:hint="cs"/>
          <w:rtl/>
        </w:rPr>
        <w:t>لشرح</w:t>
      </w:r>
      <w:proofErr w:type="gramEnd"/>
      <w:r w:rsidR="00100C81">
        <w:rPr>
          <w:rFonts w:hint="cs"/>
          <w:rtl/>
        </w:rPr>
        <w:t xml:space="preserve"> الاختراع.</w:t>
      </w:r>
      <w:r w:rsidR="00C60F80">
        <w:rPr>
          <w:rFonts w:hint="cs"/>
          <w:rtl/>
        </w:rPr>
        <w:t xml:space="preserve"> </w:t>
      </w:r>
      <w:r w:rsidR="005363FE">
        <w:rPr>
          <w:rFonts w:hint="cs"/>
          <w:rtl/>
        </w:rPr>
        <w:t xml:space="preserve">وبصفة </w:t>
      </w:r>
      <w:r w:rsidR="00653E02">
        <w:rPr>
          <w:rFonts w:hint="cs"/>
          <w:rtl/>
        </w:rPr>
        <w:t>عامة</w:t>
      </w:r>
      <w:r w:rsidR="005363FE">
        <w:rPr>
          <w:rFonts w:hint="cs"/>
          <w:rtl/>
        </w:rPr>
        <w:t xml:space="preserve">، ولا سيما في سياق معاهدة التعاون بشأن البراءات، يرمي البحث الذي يجريه الفاحص </w:t>
      </w:r>
      <w:r w:rsidR="00653E02">
        <w:rPr>
          <w:rFonts w:hint="cs"/>
          <w:rtl/>
        </w:rPr>
        <w:t xml:space="preserve">في </w:t>
      </w:r>
      <w:r w:rsidR="005363FE">
        <w:rPr>
          <w:rFonts w:hint="cs"/>
          <w:rtl/>
        </w:rPr>
        <w:t xml:space="preserve">موضوع </w:t>
      </w:r>
      <w:r w:rsidR="00653E02">
        <w:rPr>
          <w:rFonts w:hint="cs"/>
          <w:rtl/>
        </w:rPr>
        <w:t xml:space="preserve">الطلب </w:t>
      </w:r>
      <w:r w:rsidR="005363FE">
        <w:rPr>
          <w:rFonts w:hint="cs"/>
          <w:rtl/>
        </w:rPr>
        <w:t xml:space="preserve">إلى إبداء رأي غير ملزم، </w:t>
      </w:r>
      <w:r w:rsidR="00023232">
        <w:rPr>
          <w:rFonts w:hint="cs"/>
          <w:rtl/>
        </w:rPr>
        <w:t xml:space="preserve">وقد </w:t>
      </w:r>
      <w:r w:rsidR="00D038CB">
        <w:rPr>
          <w:rFonts w:hint="cs"/>
          <w:rtl/>
        </w:rPr>
        <w:t>تنطوي</w:t>
      </w:r>
      <w:r w:rsidR="005363FE">
        <w:rPr>
          <w:rFonts w:hint="cs"/>
          <w:rtl/>
        </w:rPr>
        <w:t xml:space="preserve"> دعوة المودع إلى تصحيح هذا النوع من الخلل في الشروط الشكلية بعد إيداع الطلب </w:t>
      </w:r>
      <w:r w:rsidR="00D038CB">
        <w:rPr>
          <w:rFonts w:hint="cs"/>
          <w:rtl/>
        </w:rPr>
        <w:t xml:space="preserve">على </w:t>
      </w:r>
      <w:r w:rsidR="00C8244B">
        <w:rPr>
          <w:rFonts w:hint="cs"/>
          <w:rtl/>
        </w:rPr>
        <w:t xml:space="preserve">خطر جلب مشاكل </w:t>
      </w:r>
      <w:r w:rsidR="00994FBE">
        <w:rPr>
          <w:rFonts w:hint="cs"/>
          <w:rtl/>
        </w:rPr>
        <w:t>موضوعية</w:t>
      </w:r>
      <w:r w:rsidR="00C8244B">
        <w:rPr>
          <w:rFonts w:hint="cs"/>
          <w:rtl/>
        </w:rPr>
        <w:t xml:space="preserve"> (خاصة إضافة عناصر موضوعية) سيتعذر أو يستحيل معالجتها في المرحلة الوطنية.</w:t>
      </w:r>
      <w:r w:rsidR="005363FE">
        <w:rPr>
          <w:rFonts w:hint="cs"/>
          <w:rtl/>
        </w:rPr>
        <w:t xml:space="preserve"> </w:t>
      </w:r>
    </w:p>
    <w:p w:rsidR="00B94A72" w:rsidRDefault="00946AC0" w:rsidP="009F2362">
      <w:pPr>
        <w:pStyle w:val="NumberedParaAR"/>
        <w:numPr>
          <w:ilvl w:val="0"/>
          <w:numId w:val="24"/>
        </w:numPr>
        <w:ind w:left="566" w:firstLine="0"/>
      </w:pPr>
      <w:r>
        <w:rPr>
          <w:rFonts w:hint="cs"/>
          <w:rtl/>
        </w:rPr>
        <w:t xml:space="preserve">ومن حيث المبدأ، سيكون من المفيد أن يُتاح البحث ورؤية النص </w:t>
      </w:r>
      <w:r w:rsidR="004240A6">
        <w:rPr>
          <w:rFonts w:hint="cs"/>
          <w:rtl/>
        </w:rPr>
        <w:t xml:space="preserve">بشكل أفضل </w:t>
      </w:r>
      <w:r>
        <w:rPr>
          <w:rFonts w:hint="cs"/>
          <w:rtl/>
        </w:rPr>
        <w:t xml:space="preserve">في أنساق غير منظّمة في فقرات </w:t>
      </w:r>
      <w:r w:rsidR="003135CA">
        <w:rPr>
          <w:rFonts w:hint="cs"/>
          <w:rtl/>
        </w:rPr>
        <w:t>من قبيل</w:t>
      </w:r>
      <w:r w:rsidR="003135CA" w:rsidRPr="003135CA">
        <w:rPr>
          <w:rFonts w:hint="cs"/>
          <w:rtl/>
        </w:rPr>
        <w:t xml:space="preserve"> </w:t>
      </w:r>
      <w:r w:rsidR="003135CA">
        <w:rPr>
          <w:rFonts w:hint="cs"/>
          <w:rtl/>
        </w:rPr>
        <w:t xml:space="preserve">الرسوم البيانية </w:t>
      </w:r>
      <w:r w:rsidR="009F2362">
        <w:rPr>
          <w:rFonts w:hint="cs"/>
          <w:rtl/>
        </w:rPr>
        <w:t xml:space="preserve">المتسلسلة </w:t>
      </w:r>
      <w:r w:rsidR="006E1D42">
        <w:rPr>
          <w:rFonts w:hint="cs"/>
          <w:rtl/>
        </w:rPr>
        <w:t xml:space="preserve">لكن لم يتضح بعد ما الذي يتعيّن فعله لتيسير ذلك. </w:t>
      </w:r>
    </w:p>
    <w:p w:rsidR="004138A8" w:rsidRDefault="00B94A72" w:rsidP="005103B4">
      <w:pPr>
        <w:pStyle w:val="NumberedParaAR"/>
        <w:numPr>
          <w:ilvl w:val="0"/>
          <w:numId w:val="24"/>
        </w:numPr>
        <w:ind w:left="566" w:firstLine="0"/>
      </w:pPr>
      <w:proofErr w:type="gramStart"/>
      <w:r>
        <w:rPr>
          <w:rFonts w:hint="cs"/>
          <w:rtl/>
        </w:rPr>
        <w:t>وأشار</w:t>
      </w:r>
      <w:proofErr w:type="gramEnd"/>
      <w:r>
        <w:rPr>
          <w:rFonts w:hint="cs"/>
          <w:rtl/>
        </w:rPr>
        <w:t xml:space="preserve"> بعض المكاتب إلى أن المكاتب المتلق</w:t>
      </w:r>
      <w:r w:rsidR="00403F84">
        <w:rPr>
          <w:rFonts w:hint="cs"/>
          <w:rtl/>
        </w:rPr>
        <w:t xml:space="preserve">ية قد ترغب في التدخل في الملخصات من خلال الدعوة مثلاً إلى توفير ملخصات بديلة أو فرض رسوم إضافية في حال كانت الملخصات تتخطى نطاق الطول </w:t>
      </w:r>
      <w:proofErr w:type="spellStart"/>
      <w:r w:rsidR="00403F84">
        <w:rPr>
          <w:rFonts w:hint="cs"/>
          <w:rtl/>
        </w:rPr>
        <w:t>الموصى</w:t>
      </w:r>
      <w:proofErr w:type="spellEnd"/>
      <w:r w:rsidR="00403F84">
        <w:rPr>
          <w:rFonts w:hint="cs"/>
          <w:rtl/>
        </w:rPr>
        <w:t xml:space="preserve"> به.</w:t>
      </w:r>
      <w:r w:rsidR="00AD585B">
        <w:rPr>
          <w:rFonts w:hint="cs"/>
          <w:rtl/>
        </w:rPr>
        <w:t xml:space="preserve"> لكن مكاتب عدة أشارت إلى ضرورة ألا تضيف إجراءات من هذا القبيل أعباء جديدة كتعداد الكلمات مثلاً. </w:t>
      </w:r>
      <w:proofErr w:type="gramStart"/>
      <w:r w:rsidR="00AD585B">
        <w:rPr>
          <w:rFonts w:hint="cs"/>
          <w:rtl/>
        </w:rPr>
        <w:t>بالإضافة</w:t>
      </w:r>
      <w:proofErr w:type="gramEnd"/>
      <w:r w:rsidR="00AD585B">
        <w:rPr>
          <w:rFonts w:hint="cs"/>
          <w:rtl/>
        </w:rPr>
        <w:t xml:space="preserve"> إلى ذلك، </w:t>
      </w:r>
      <w:r w:rsidR="004138A8">
        <w:rPr>
          <w:rFonts w:hint="cs"/>
          <w:rtl/>
        </w:rPr>
        <w:t xml:space="preserve">كان هناك تشديد على أن </w:t>
      </w:r>
      <w:r w:rsidR="005103B4">
        <w:rPr>
          <w:rFonts w:hint="cs"/>
          <w:rtl/>
        </w:rPr>
        <w:t>إدارة</w:t>
      </w:r>
      <w:r w:rsidR="004138A8">
        <w:rPr>
          <w:rFonts w:hint="cs"/>
          <w:rtl/>
        </w:rPr>
        <w:t xml:space="preserve"> البحث الدولية هي وحدها القادرة على تقييم جودة ملخص ما. </w:t>
      </w:r>
    </w:p>
    <w:p w:rsidR="006C37CD" w:rsidRDefault="004138A8" w:rsidP="00A5300E">
      <w:pPr>
        <w:pStyle w:val="NumberedParaAR"/>
        <w:numPr>
          <w:ilvl w:val="0"/>
          <w:numId w:val="24"/>
        </w:numPr>
        <w:ind w:left="566" w:firstLine="0"/>
      </w:pPr>
      <w:r>
        <w:rPr>
          <w:rFonts w:hint="cs"/>
          <w:rtl/>
        </w:rPr>
        <w:t xml:space="preserve">واقترحت عدة مكاتب أنه من الضروري تدريب المستخدمين والتوعية بأهمية أن يُحرر المودعون ملخصاتهم بشكل جيد. </w:t>
      </w:r>
      <w:r w:rsidR="002A69E5">
        <w:rPr>
          <w:rFonts w:hint="cs"/>
          <w:rtl/>
        </w:rPr>
        <w:t xml:space="preserve">ومن </w:t>
      </w:r>
      <w:r w:rsidR="009F4434">
        <w:rPr>
          <w:rFonts w:hint="cs"/>
          <w:rtl/>
        </w:rPr>
        <w:t xml:space="preserve">بين </w:t>
      </w:r>
      <w:r w:rsidR="002A69E5">
        <w:rPr>
          <w:rFonts w:hint="cs"/>
          <w:rtl/>
        </w:rPr>
        <w:t xml:space="preserve">المسائل المهمة </w:t>
      </w:r>
      <w:r w:rsidR="006C37CD">
        <w:rPr>
          <w:rFonts w:hint="cs"/>
          <w:rtl/>
        </w:rPr>
        <w:t>يمكن ذكر قيمة الطلب المنشور لإجراء عمليات البحث بالعناية الواجبة، وتقليص خطر ال</w:t>
      </w:r>
      <w:r w:rsidR="002031D5">
        <w:rPr>
          <w:rFonts w:hint="cs"/>
          <w:rtl/>
        </w:rPr>
        <w:t xml:space="preserve">تعدي على أي براءة ممنوحة </w:t>
      </w:r>
      <w:r w:rsidR="00A5300E">
        <w:rPr>
          <w:rFonts w:hint="cs"/>
          <w:rtl/>
        </w:rPr>
        <w:t>وتوفير "دعاي</w:t>
      </w:r>
      <w:r w:rsidR="00A5300E">
        <w:rPr>
          <w:rFonts w:hint="eastAsia"/>
          <w:rtl/>
        </w:rPr>
        <w:t>ة</w:t>
      </w:r>
      <w:r w:rsidR="006C37CD">
        <w:rPr>
          <w:rFonts w:hint="cs"/>
          <w:rtl/>
        </w:rPr>
        <w:t xml:space="preserve">" جيدة لتكنولوجيا المودع. </w:t>
      </w:r>
    </w:p>
    <w:p w:rsidR="003B3471" w:rsidRDefault="003B3471" w:rsidP="006C37CD">
      <w:pPr>
        <w:pStyle w:val="NumberedParaAR"/>
        <w:numPr>
          <w:ilvl w:val="0"/>
          <w:numId w:val="24"/>
        </w:numPr>
        <w:ind w:left="566" w:firstLine="0"/>
      </w:pPr>
      <w:proofErr w:type="gramStart"/>
      <w:r>
        <w:rPr>
          <w:rFonts w:hint="cs"/>
          <w:rtl/>
        </w:rPr>
        <w:lastRenderedPageBreak/>
        <w:t>واقتُرح</w:t>
      </w:r>
      <w:proofErr w:type="gramEnd"/>
      <w:r>
        <w:rPr>
          <w:rFonts w:hint="cs"/>
          <w:rtl/>
        </w:rPr>
        <w:t xml:space="preserve"> أن تتضمن أنظمة الإيداع خدمات ترجمة آلية لتقدير طول الملخصات بعد أن تترجم إلى الإنكليزية. </w:t>
      </w:r>
    </w:p>
    <w:p w:rsidR="00826D1F" w:rsidRDefault="00CC679B" w:rsidP="002031D5">
      <w:pPr>
        <w:pStyle w:val="NumberedParaAR"/>
        <w:numPr>
          <w:ilvl w:val="0"/>
          <w:numId w:val="24"/>
        </w:numPr>
        <w:ind w:left="566" w:firstLine="0"/>
      </w:pPr>
      <w:r>
        <w:rPr>
          <w:rFonts w:hint="cs"/>
          <w:rtl/>
        </w:rPr>
        <w:t xml:space="preserve">واقترح أحد المكاتب أن يُحلل استخدام الاستمارة </w:t>
      </w:r>
      <w:r>
        <w:t>PCT/RO/106</w:t>
      </w:r>
      <w:r>
        <w:rPr>
          <w:rFonts w:hint="cs"/>
          <w:rtl/>
        </w:rPr>
        <w:t xml:space="preserve"> إذ أن ذلك سيفيد في تحديد الاختلافات في أنماط </w:t>
      </w:r>
      <w:r w:rsidR="002031D5">
        <w:rPr>
          <w:rFonts w:hint="cs"/>
          <w:rtl/>
        </w:rPr>
        <w:t>إجراءات الفحص الشكلية</w:t>
      </w:r>
      <w:r>
        <w:rPr>
          <w:rFonts w:hint="cs"/>
          <w:rtl/>
        </w:rPr>
        <w:t xml:space="preserve"> في مكاتب أخرى. </w:t>
      </w:r>
    </w:p>
    <w:p w:rsidR="002112EE" w:rsidRPr="006D583E" w:rsidRDefault="00355F02" w:rsidP="006D583E">
      <w:pPr>
        <w:pStyle w:val="NumberedParaAR"/>
        <w:numPr>
          <w:ilvl w:val="0"/>
          <w:numId w:val="24"/>
        </w:numPr>
        <w:ind w:left="566" w:firstLine="0"/>
      </w:pPr>
      <w:r>
        <w:rPr>
          <w:rFonts w:hint="cs"/>
          <w:rtl/>
        </w:rPr>
        <w:t xml:space="preserve">وشدّد بعض المكاتب على فائدة الحصول على آراء وكلاء البراءات. وكان التعميم قد أُرسل إلى عدد من المنظمات التي تمثل قطاع الأعمال ومنظمات المهنيين المتخصصين في البراءات ومستخدمي معلومات البراءات، </w:t>
      </w:r>
      <w:r w:rsidRPr="006D583E">
        <w:rPr>
          <w:rFonts w:hint="cs"/>
          <w:rtl/>
        </w:rPr>
        <w:t xml:space="preserve">لكن في تاريخ تحرير هذه الوثيقة كانت الإجابات قد </w:t>
      </w:r>
      <w:bookmarkStart w:id="2" w:name="_GoBack"/>
      <w:bookmarkEnd w:id="2"/>
      <w:r w:rsidRPr="006D583E">
        <w:rPr>
          <w:rFonts w:hint="cs"/>
          <w:rtl/>
        </w:rPr>
        <w:t>وردت من المك</w:t>
      </w:r>
      <w:r w:rsidR="00E62E8A" w:rsidRPr="006D583E">
        <w:rPr>
          <w:rFonts w:hint="cs"/>
          <w:rtl/>
        </w:rPr>
        <w:t>ا</w:t>
      </w:r>
      <w:r w:rsidRPr="006D583E">
        <w:rPr>
          <w:rFonts w:hint="cs"/>
          <w:rtl/>
        </w:rPr>
        <w:t xml:space="preserve">تب فقط. </w:t>
      </w:r>
    </w:p>
    <w:p w:rsidR="00350A3C" w:rsidRPr="00350A3C" w:rsidRDefault="00350A3C" w:rsidP="00A03A1E">
      <w:pPr>
        <w:pStyle w:val="NumberedParaAR"/>
        <w:numPr>
          <w:ilvl w:val="0"/>
          <w:numId w:val="0"/>
        </w:numPr>
        <w:rPr>
          <w:b/>
          <w:bCs/>
          <w:sz w:val="40"/>
          <w:szCs w:val="40"/>
        </w:rPr>
      </w:pPr>
      <w:proofErr w:type="gramStart"/>
      <w:r w:rsidRPr="00350A3C">
        <w:rPr>
          <w:rFonts w:hint="cs"/>
          <w:b/>
          <w:bCs/>
          <w:sz w:val="40"/>
          <w:szCs w:val="40"/>
          <w:rtl/>
        </w:rPr>
        <w:t>تحسين</w:t>
      </w:r>
      <w:proofErr w:type="gramEnd"/>
      <w:r w:rsidRPr="00350A3C">
        <w:rPr>
          <w:rFonts w:hint="cs"/>
          <w:b/>
          <w:bCs/>
          <w:sz w:val="40"/>
          <w:szCs w:val="40"/>
          <w:rtl/>
        </w:rPr>
        <w:t xml:space="preserve"> جودة الملخصات الواردة</w:t>
      </w:r>
    </w:p>
    <w:p w:rsidR="002112EE" w:rsidRPr="008A46E6" w:rsidRDefault="002112EE" w:rsidP="00A03A1E">
      <w:pPr>
        <w:pStyle w:val="NumberedParaAR"/>
        <w:numPr>
          <w:ilvl w:val="0"/>
          <w:numId w:val="0"/>
        </w:numPr>
        <w:spacing w:after="60"/>
        <w:rPr>
          <w:u w:val="single"/>
        </w:rPr>
      </w:pPr>
      <w:proofErr w:type="gramStart"/>
      <w:r w:rsidRPr="008A46E6">
        <w:rPr>
          <w:rFonts w:hint="cs"/>
          <w:u w:val="single"/>
          <w:rtl/>
        </w:rPr>
        <w:t>إرشادات</w:t>
      </w:r>
      <w:proofErr w:type="gramEnd"/>
      <w:r w:rsidRPr="008A46E6">
        <w:rPr>
          <w:rFonts w:hint="cs"/>
          <w:u w:val="single"/>
          <w:rtl/>
        </w:rPr>
        <w:t xml:space="preserve"> للمودعين</w:t>
      </w:r>
      <w:r w:rsidR="00355F02" w:rsidRPr="008A46E6">
        <w:rPr>
          <w:rFonts w:hint="cs"/>
          <w:u w:val="single"/>
          <w:rtl/>
        </w:rPr>
        <w:t xml:space="preserve"> </w:t>
      </w:r>
    </w:p>
    <w:p w:rsidR="008A46E6" w:rsidRDefault="002112EE" w:rsidP="00722B04">
      <w:pPr>
        <w:pStyle w:val="NumberedParaAR"/>
      </w:pPr>
      <w:r w:rsidRPr="002112EE">
        <w:rPr>
          <w:rtl/>
        </w:rPr>
        <w:t xml:space="preserve">أحاط المكتب الدولي </w:t>
      </w:r>
      <w:proofErr w:type="gramStart"/>
      <w:r w:rsidRPr="002112EE">
        <w:rPr>
          <w:rtl/>
        </w:rPr>
        <w:t>علماً</w:t>
      </w:r>
      <w:proofErr w:type="gramEnd"/>
      <w:r w:rsidRPr="002112EE">
        <w:rPr>
          <w:rtl/>
        </w:rPr>
        <w:t xml:space="preserve"> بالاقتراحات التي تلقاها رداً على التعميم</w:t>
      </w:r>
      <w:r>
        <w:t xml:space="preserve"> C. PCT 1486</w:t>
      </w:r>
      <w:r w:rsidRPr="002112EE">
        <w:t xml:space="preserve"> </w:t>
      </w:r>
      <w:r w:rsidRPr="002112EE">
        <w:rPr>
          <w:rtl/>
        </w:rPr>
        <w:t xml:space="preserve">والتي تدلّ على أن الكثير من المودعين قد يكونون مستعدين لصياغة ملخصات أفضل إن حصلوا على مبادئ توجيهية وشروحات مناسبة توضّح لهم لما يكون ملخص جيد في صالحهم. وسيستعرض المكتب الدولي المشورة الواردة في الفصل الخامس من دليل المودع بناء على معاهدة </w:t>
      </w:r>
      <w:r w:rsidR="0097164F">
        <w:rPr>
          <w:rFonts w:hint="cs"/>
          <w:rtl/>
        </w:rPr>
        <w:t xml:space="preserve">التعاون بشأن </w:t>
      </w:r>
      <w:r w:rsidRPr="002112EE">
        <w:rPr>
          <w:rtl/>
        </w:rPr>
        <w:t>البراءات. ودعماً لهذا الاستعراض سيأخذ المكتب الدولي في الاعتبار معيار الويبو</w:t>
      </w:r>
      <w:r w:rsidRPr="002112EE">
        <w:t xml:space="preserve"> ST.12 </w:t>
      </w:r>
      <w:r w:rsidRPr="002112EE">
        <w:rPr>
          <w:rtl/>
        </w:rPr>
        <w:t>لكنه ير</w:t>
      </w:r>
      <w:r w:rsidR="00722B04">
        <w:rPr>
          <w:rtl/>
        </w:rPr>
        <w:t>حب في الوقت عينه بأية معلومات ع</w:t>
      </w:r>
      <w:r w:rsidR="00722B04">
        <w:rPr>
          <w:rFonts w:hint="cs"/>
          <w:rtl/>
        </w:rPr>
        <w:t>ن</w:t>
      </w:r>
      <w:r w:rsidRPr="002112EE">
        <w:rPr>
          <w:rtl/>
        </w:rPr>
        <w:t xml:space="preserve"> المبادئ التوجيهية الوطنية بشأن صياغة الملخصات فضلاً عن آراء بخصوص الشواغل التي أثيرت بين حين وآخر. وعلى سبيل المثال، يرى بعض المودعين أن استخدام نص المطالبة 1 خيار "آمن" نظراً إلى وجود قلق من أن تؤثر أي اختلافات بين الملخص والمطالبة 1 على تفسير المطالبات ر</w:t>
      </w:r>
      <w:r w:rsidR="00722B04">
        <w:rPr>
          <w:rtl/>
        </w:rPr>
        <w:t>غم وضوح نص المادة 3(3) من معاه</w:t>
      </w:r>
      <w:r w:rsidR="00722B04">
        <w:rPr>
          <w:rFonts w:hint="cs"/>
          <w:rtl/>
        </w:rPr>
        <w:t>دة</w:t>
      </w:r>
      <w:r w:rsidR="008A46E6">
        <w:t xml:space="preserve"> </w:t>
      </w:r>
      <w:r w:rsidR="008A46E6">
        <w:rPr>
          <w:rFonts w:hint="cs"/>
          <w:rtl/>
        </w:rPr>
        <w:t>التعاون</w:t>
      </w:r>
      <w:r w:rsidR="008A46E6">
        <w:t xml:space="preserve"> </w:t>
      </w:r>
      <w:r w:rsidR="008A46E6">
        <w:rPr>
          <w:rFonts w:hint="cs"/>
          <w:rtl/>
        </w:rPr>
        <w:t>بشأن البراءات التي تنص على أن "</w:t>
      </w:r>
      <w:r w:rsidR="008A46E6" w:rsidRPr="008A46E6">
        <w:rPr>
          <w:rtl/>
        </w:rPr>
        <w:t xml:space="preserve"> الغاية من الملخص تقتصر على الإعلام التقني فقط، ولا يجوز أن يعتد به لأية غاية أخرى، لا سيما من أجل تقدير نطاق الحماية المطلوبة</w:t>
      </w:r>
      <w:r w:rsidR="008A46E6">
        <w:rPr>
          <w:rFonts w:hint="cs"/>
          <w:rtl/>
        </w:rPr>
        <w:t>"</w:t>
      </w:r>
      <w:r w:rsidR="008A46E6" w:rsidRPr="008A46E6">
        <w:t>.</w:t>
      </w:r>
    </w:p>
    <w:p w:rsidR="00265F41" w:rsidRDefault="00265F41" w:rsidP="007058F8">
      <w:pPr>
        <w:pStyle w:val="NumberedParaAR"/>
        <w:numPr>
          <w:ilvl w:val="0"/>
          <w:numId w:val="0"/>
        </w:numPr>
        <w:spacing w:after="60"/>
      </w:pPr>
      <w:r w:rsidRPr="008A46E6">
        <w:rPr>
          <w:rFonts w:hint="cs"/>
          <w:u w:val="single"/>
          <w:rtl/>
        </w:rPr>
        <w:t xml:space="preserve">الملخصات </w:t>
      </w:r>
      <w:r>
        <w:rPr>
          <w:rFonts w:hint="cs"/>
          <w:u w:val="single"/>
          <w:rtl/>
        </w:rPr>
        <w:t>المحررة في لغات غير الإنكليزية</w:t>
      </w:r>
    </w:p>
    <w:p w:rsidR="00667C84" w:rsidRDefault="007D5BB0" w:rsidP="00653E02">
      <w:pPr>
        <w:pStyle w:val="NumberedParaAR"/>
      </w:pPr>
      <w:proofErr w:type="gramStart"/>
      <w:r>
        <w:rPr>
          <w:rFonts w:hint="cs"/>
          <w:rtl/>
        </w:rPr>
        <w:t>تبيّن</w:t>
      </w:r>
      <w:proofErr w:type="gramEnd"/>
      <w:r>
        <w:rPr>
          <w:rFonts w:hint="cs"/>
          <w:rtl/>
        </w:rPr>
        <w:t xml:space="preserve"> أن أحد جوانب التحرير التي تثير قلقاً بالغاً يتمثل في أن المودعين الذين يودعون طلباتهم في لغات غير اللغة الإنكليزية لا يستطيعون أن يعرفوا كم سيبلغ </w:t>
      </w:r>
      <w:r w:rsidR="00653E02">
        <w:rPr>
          <w:rFonts w:hint="cs"/>
          <w:rtl/>
        </w:rPr>
        <w:t xml:space="preserve">طول </w:t>
      </w:r>
      <w:r>
        <w:rPr>
          <w:rFonts w:hint="cs"/>
          <w:rtl/>
        </w:rPr>
        <w:t xml:space="preserve">الملخص بعد أن يُترجم إلى الإنكليزية. </w:t>
      </w:r>
      <w:r w:rsidR="006013E5">
        <w:rPr>
          <w:rFonts w:hint="cs"/>
          <w:rtl/>
        </w:rPr>
        <w:t xml:space="preserve">ويُقترح أن تُعدّ مبادئ توجيهية في كل من لغات النشر وأن تتضمن نطاقات موصى بها تستند إلى </w:t>
      </w:r>
      <w:r w:rsidR="00667C84">
        <w:rPr>
          <w:rFonts w:hint="cs"/>
          <w:rtl/>
        </w:rPr>
        <w:t xml:space="preserve">نسبة متوسط عدد الكلمات أو الحروف في لغة النشر مقارنة بمتوسط عدد الكلمات في اللغة الإنكليزية المحسوب </w:t>
      </w:r>
      <w:r w:rsidR="00653E02">
        <w:rPr>
          <w:rFonts w:hint="cs"/>
          <w:rtl/>
        </w:rPr>
        <w:t>استناداً إلى</w:t>
      </w:r>
      <w:r w:rsidR="00667C84">
        <w:rPr>
          <w:rFonts w:hint="cs"/>
          <w:rtl/>
        </w:rPr>
        <w:t xml:space="preserve"> ترجمات </w:t>
      </w:r>
      <w:r w:rsidR="001A4396">
        <w:rPr>
          <w:rFonts w:hint="cs"/>
          <w:rtl/>
        </w:rPr>
        <w:t xml:space="preserve">الملخصات إلى اللغة الإنكليزية </w:t>
      </w:r>
      <w:r w:rsidR="00667C84">
        <w:rPr>
          <w:rFonts w:hint="cs"/>
          <w:rtl/>
        </w:rPr>
        <w:t>ال</w:t>
      </w:r>
      <w:r w:rsidR="001A4396">
        <w:rPr>
          <w:rFonts w:hint="cs"/>
          <w:rtl/>
        </w:rPr>
        <w:t>تي</w:t>
      </w:r>
      <w:r w:rsidR="00667C84">
        <w:rPr>
          <w:rFonts w:hint="cs"/>
          <w:rtl/>
        </w:rPr>
        <w:t xml:space="preserve"> </w:t>
      </w:r>
      <w:r w:rsidR="001A4396">
        <w:rPr>
          <w:rFonts w:hint="cs"/>
          <w:rtl/>
        </w:rPr>
        <w:t>نفذها</w:t>
      </w:r>
      <w:r w:rsidR="00667C84">
        <w:rPr>
          <w:rFonts w:hint="cs"/>
          <w:rtl/>
        </w:rPr>
        <w:t xml:space="preserve"> المكتب الدولي خلال عام 2016، على النحو التالي: </w:t>
      </w:r>
    </w:p>
    <w:tbl>
      <w:tblPr>
        <w:tblStyle w:val="TableGrid"/>
        <w:bidiVisual/>
        <w:tblW w:w="9705" w:type="dxa"/>
        <w:tblLayout w:type="fixed"/>
        <w:tblCellMar>
          <w:left w:w="57" w:type="dxa"/>
          <w:right w:w="57" w:type="dxa"/>
        </w:tblCellMar>
        <w:tblLook w:val="04A0" w:firstRow="1" w:lastRow="0" w:firstColumn="1" w:lastColumn="0" w:noHBand="0" w:noVBand="1"/>
      </w:tblPr>
      <w:tblGrid>
        <w:gridCol w:w="1242"/>
        <w:gridCol w:w="1083"/>
        <w:gridCol w:w="1134"/>
        <w:gridCol w:w="1346"/>
        <w:gridCol w:w="1064"/>
        <w:gridCol w:w="843"/>
        <w:gridCol w:w="876"/>
        <w:gridCol w:w="2117"/>
      </w:tblGrid>
      <w:tr w:rsidR="001A4396" w:rsidRPr="001A4396" w:rsidTr="001A4396">
        <w:tc>
          <w:tcPr>
            <w:tcW w:w="1242" w:type="dxa"/>
            <w:noWrap/>
            <w:hideMark/>
          </w:tcPr>
          <w:p w:rsidR="001A4396" w:rsidRPr="00605B87" w:rsidRDefault="001A4396" w:rsidP="001A4396">
            <w:pPr>
              <w:bidi/>
              <w:spacing w:before="40" w:after="40"/>
              <w:rPr>
                <w:rFonts w:ascii="Arabic Typesetting" w:hAnsi="Arabic Typesetting" w:cs="Arabic Typesetting"/>
                <w:b/>
                <w:bCs/>
                <w:sz w:val="24"/>
                <w:szCs w:val="24"/>
              </w:rPr>
            </w:pPr>
            <w:proofErr w:type="gramStart"/>
            <w:r w:rsidRPr="00605B87">
              <w:rPr>
                <w:rFonts w:ascii="Arabic Typesetting" w:hAnsi="Arabic Typesetting" w:cs="Arabic Typesetting" w:hint="cs"/>
                <w:b/>
                <w:bCs/>
                <w:sz w:val="24"/>
                <w:szCs w:val="24"/>
                <w:rtl/>
              </w:rPr>
              <w:t>لغة</w:t>
            </w:r>
            <w:proofErr w:type="gramEnd"/>
            <w:r w:rsidRPr="00605B87">
              <w:rPr>
                <w:rFonts w:ascii="Arabic Typesetting" w:hAnsi="Arabic Typesetting" w:cs="Arabic Typesetting" w:hint="cs"/>
                <w:b/>
                <w:bCs/>
                <w:sz w:val="24"/>
                <w:szCs w:val="24"/>
                <w:rtl/>
              </w:rPr>
              <w:t xml:space="preserve"> النشر</w:t>
            </w:r>
          </w:p>
        </w:tc>
        <w:tc>
          <w:tcPr>
            <w:tcW w:w="1083" w:type="dxa"/>
            <w:hideMark/>
          </w:tcPr>
          <w:p w:rsidR="001A4396" w:rsidRPr="00605B87" w:rsidRDefault="001A4396" w:rsidP="001A4396">
            <w:pPr>
              <w:bidi/>
              <w:spacing w:before="40" w:after="40"/>
              <w:rPr>
                <w:rFonts w:ascii="Arabic Typesetting" w:hAnsi="Arabic Typesetting" w:cs="Arabic Typesetting"/>
                <w:b/>
                <w:bCs/>
                <w:sz w:val="24"/>
                <w:szCs w:val="24"/>
              </w:rPr>
            </w:pPr>
            <w:r w:rsidRPr="00605B87">
              <w:rPr>
                <w:rFonts w:ascii="Arabic Typesetting" w:hAnsi="Arabic Typesetting" w:cs="Arabic Typesetting" w:hint="cs"/>
                <w:b/>
                <w:bCs/>
                <w:sz w:val="24"/>
                <w:szCs w:val="24"/>
                <w:rtl/>
              </w:rPr>
              <w:t xml:space="preserve">عدد الملخصات المنشورة </w:t>
            </w:r>
            <w:proofErr w:type="gramStart"/>
            <w:r w:rsidRPr="00605B87">
              <w:rPr>
                <w:rFonts w:ascii="Arabic Typesetting" w:hAnsi="Arabic Typesetting" w:cs="Arabic Typesetting" w:hint="cs"/>
                <w:b/>
                <w:bCs/>
                <w:sz w:val="24"/>
                <w:szCs w:val="24"/>
                <w:rtl/>
              </w:rPr>
              <w:t>في</w:t>
            </w:r>
            <w:proofErr w:type="gramEnd"/>
            <w:r w:rsidRPr="00605B87">
              <w:rPr>
                <w:rFonts w:ascii="Arabic Typesetting" w:hAnsi="Arabic Typesetting" w:cs="Arabic Typesetting" w:hint="cs"/>
                <w:b/>
                <w:bCs/>
                <w:sz w:val="24"/>
                <w:szCs w:val="24"/>
                <w:rtl/>
              </w:rPr>
              <w:t xml:space="preserve"> عام 2016</w:t>
            </w:r>
          </w:p>
        </w:tc>
        <w:tc>
          <w:tcPr>
            <w:tcW w:w="1134" w:type="dxa"/>
            <w:hideMark/>
          </w:tcPr>
          <w:p w:rsidR="001A4396" w:rsidRPr="00605B87" w:rsidRDefault="001A4396" w:rsidP="001A4396">
            <w:pPr>
              <w:bidi/>
              <w:spacing w:before="40" w:after="40"/>
              <w:rPr>
                <w:rFonts w:ascii="Arabic Typesetting" w:hAnsi="Arabic Typesetting" w:cs="Arabic Typesetting"/>
                <w:b/>
                <w:bCs/>
                <w:sz w:val="24"/>
                <w:szCs w:val="24"/>
              </w:rPr>
            </w:pPr>
            <w:proofErr w:type="gramStart"/>
            <w:r w:rsidRPr="00605B87">
              <w:rPr>
                <w:rFonts w:ascii="Arabic Typesetting" w:hAnsi="Arabic Typesetting" w:cs="Arabic Typesetting" w:hint="cs"/>
                <w:b/>
                <w:bCs/>
                <w:sz w:val="24"/>
                <w:szCs w:val="24"/>
                <w:rtl/>
              </w:rPr>
              <w:t>متوسط</w:t>
            </w:r>
            <w:proofErr w:type="gramEnd"/>
            <w:r w:rsidRPr="00605B87">
              <w:rPr>
                <w:rFonts w:ascii="Arabic Typesetting" w:hAnsi="Arabic Typesetting" w:cs="Arabic Typesetting" w:hint="cs"/>
                <w:b/>
                <w:bCs/>
                <w:sz w:val="24"/>
                <w:szCs w:val="24"/>
                <w:rtl/>
              </w:rPr>
              <w:t xml:space="preserve"> عدد الكلمات في الملخص (</w:t>
            </w:r>
            <w:r w:rsidR="003B4DDD" w:rsidRPr="00605B87">
              <w:rPr>
                <w:rFonts w:ascii="Arabic Typesetting" w:hAnsi="Arabic Typesetting" w:cs="Arabic Typesetting" w:hint="cs"/>
                <w:b/>
                <w:bCs/>
                <w:sz w:val="24"/>
                <w:szCs w:val="24"/>
                <w:rtl/>
              </w:rPr>
              <w:t>ب</w:t>
            </w:r>
            <w:r w:rsidR="00D95216">
              <w:rPr>
                <w:rFonts w:ascii="Arabic Typesetting" w:hAnsi="Arabic Typesetting" w:cs="Arabic Typesetting" w:hint="cs"/>
                <w:b/>
                <w:bCs/>
                <w:sz w:val="24"/>
                <w:szCs w:val="24"/>
                <w:rtl/>
              </w:rPr>
              <w:t>ال</w:t>
            </w:r>
            <w:r w:rsidRPr="00605B87">
              <w:rPr>
                <w:rFonts w:ascii="Arabic Typesetting" w:hAnsi="Arabic Typesetting" w:cs="Arabic Typesetting" w:hint="cs"/>
                <w:b/>
                <w:bCs/>
                <w:sz w:val="24"/>
                <w:szCs w:val="24"/>
                <w:rtl/>
              </w:rPr>
              <w:t>لغة الأصل</w:t>
            </w:r>
            <w:r w:rsidR="00D95216">
              <w:rPr>
                <w:rFonts w:ascii="Arabic Typesetting" w:hAnsi="Arabic Typesetting" w:cs="Arabic Typesetting" w:hint="cs"/>
                <w:b/>
                <w:bCs/>
                <w:sz w:val="24"/>
                <w:szCs w:val="24"/>
                <w:rtl/>
              </w:rPr>
              <w:t>ية</w:t>
            </w:r>
            <w:r w:rsidRPr="00605B87">
              <w:rPr>
                <w:rFonts w:ascii="Arabic Typesetting" w:hAnsi="Arabic Typesetting" w:cs="Arabic Typesetting" w:hint="cs"/>
                <w:b/>
                <w:bCs/>
                <w:sz w:val="24"/>
                <w:szCs w:val="24"/>
                <w:rtl/>
              </w:rPr>
              <w:t>)</w:t>
            </w:r>
          </w:p>
        </w:tc>
        <w:tc>
          <w:tcPr>
            <w:tcW w:w="1346" w:type="dxa"/>
            <w:hideMark/>
          </w:tcPr>
          <w:p w:rsidR="001A4396" w:rsidRPr="00605B87" w:rsidRDefault="003B4DDD" w:rsidP="003B4DDD">
            <w:pPr>
              <w:bidi/>
              <w:spacing w:before="40" w:after="40"/>
              <w:rPr>
                <w:rFonts w:ascii="Arabic Typesetting" w:hAnsi="Arabic Typesetting" w:cs="Arabic Typesetting"/>
                <w:b/>
                <w:bCs/>
                <w:sz w:val="24"/>
                <w:szCs w:val="24"/>
              </w:rPr>
            </w:pPr>
            <w:proofErr w:type="gramStart"/>
            <w:r w:rsidRPr="00605B87">
              <w:rPr>
                <w:rFonts w:ascii="Arabic Typesetting" w:hAnsi="Arabic Typesetting" w:cs="Arabic Typesetting" w:hint="cs"/>
                <w:b/>
                <w:bCs/>
                <w:sz w:val="24"/>
                <w:szCs w:val="24"/>
                <w:rtl/>
              </w:rPr>
              <w:t>متوسط</w:t>
            </w:r>
            <w:proofErr w:type="gramEnd"/>
            <w:r w:rsidRPr="00605B87">
              <w:rPr>
                <w:rFonts w:ascii="Arabic Typesetting" w:hAnsi="Arabic Typesetting" w:cs="Arabic Typesetting" w:hint="cs"/>
                <w:b/>
                <w:bCs/>
                <w:sz w:val="24"/>
                <w:szCs w:val="24"/>
                <w:rtl/>
              </w:rPr>
              <w:t xml:space="preserve"> عدد الكلمات في الملخص (باللغة الإنكليزية)</w:t>
            </w:r>
          </w:p>
        </w:tc>
        <w:tc>
          <w:tcPr>
            <w:tcW w:w="1064" w:type="dxa"/>
            <w:hideMark/>
          </w:tcPr>
          <w:p w:rsidR="001A4396" w:rsidRPr="00605B87" w:rsidRDefault="00A759E6" w:rsidP="001A4396">
            <w:pPr>
              <w:bidi/>
              <w:spacing w:before="40" w:after="40"/>
              <w:rPr>
                <w:rFonts w:ascii="Arabic Typesetting" w:hAnsi="Arabic Typesetting" w:cs="Arabic Typesetting"/>
                <w:b/>
                <w:bCs/>
                <w:sz w:val="24"/>
                <w:szCs w:val="24"/>
                <w:rtl/>
              </w:rPr>
            </w:pPr>
            <w:r w:rsidRPr="00605B87">
              <w:rPr>
                <w:rFonts w:ascii="Arabic Typesetting" w:hAnsi="Arabic Typesetting" w:cs="Arabic Typesetting" w:hint="cs"/>
                <w:b/>
                <w:bCs/>
                <w:sz w:val="24"/>
                <w:szCs w:val="24"/>
                <w:rtl/>
              </w:rPr>
              <w:t>المضاعِف</w:t>
            </w:r>
          </w:p>
        </w:tc>
        <w:tc>
          <w:tcPr>
            <w:tcW w:w="843" w:type="dxa"/>
            <w:noWrap/>
            <w:hideMark/>
          </w:tcPr>
          <w:p w:rsidR="001A4396" w:rsidRPr="00605B87" w:rsidRDefault="00A759E6" w:rsidP="001A4396">
            <w:pPr>
              <w:bidi/>
              <w:spacing w:before="40" w:after="40"/>
              <w:rPr>
                <w:rFonts w:ascii="Arabic Typesetting" w:hAnsi="Arabic Typesetting" w:cs="Arabic Typesetting"/>
                <w:b/>
                <w:bCs/>
                <w:sz w:val="24"/>
                <w:szCs w:val="24"/>
              </w:rPr>
            </w:pPr>
            <w:r w:rsidRPr="00605B87">
              <w:rPr>
                <w:rFonts w:ascii="Arabic Typesetting" w:hAnsi="Arabic Typesetting" w:cs="Arabic Typesetting" w:hint="cs"/>
                <w:b/>
                <w:bCs/>
                <w:sz w:val="24"/>
                <w:szCs w:val="24"/>
                <w:rtl/>
              </w:rPr>
              <w:t xml:space="preserve">معادل 50 </w:t>
            </w:r>
          </w:p>
        </w:tc>
        <w:tc>
          <w:tcPr>
            <w:tcW w:w="876" w:type="dxa"/>
            <w:noWrap/>
            <w:hideMark/>
          </w:tcPr>
          <w:p w:rsidR="001A4396" w:rsidRPr="00605B87" w:rsidRDefault="00A759E6" w:rsidP="001A4396">
            <w:pPr>
              <w:bidi/>
              <w:spacing w:before="40" w:after="40"/>
              <w:rPr>
                <w:rFonts w:ascii="Arabic Typesetting" w:hAnsi="Arabic Typesetting" w:cs="Arabic Typesetting"/>
                <w:b/>
                <w:bCs/>
                <w:sz w:val="24"/>
                <w:szCs w:val="24"/>
              </w:rPr>
            </w:pPr>
            <w:r w:rsidRPr="00605B87">
              <w:rPr>
                <w:rFonts w:ascii="Arabic Typesetting" w:hAnsi="Arabic Typesetting" w:cs="Arabic Typesetting" w:hint="cs"/>
                <w:b/>
                <w:bCs/>
                <w:sz w:val="24"/>
                <w:szCs w:val="24"/>
                <w:rtl/>
              </w:rPr>
              <w:t>معادل 150</w:t>
            </w:r>
          </w:p>
        </w:tc>
        <w:tc>
          <w:tcPr>
            <w:tcW w:w="2117" w:type="dxa"/>
            <w:hideMark/>
          </w:tcPr>
          <w:p w:rsidR="001A4396" w:rsidRPr="00605B87" w:rsidRDefault="00A759E6" w:rsidP="001A4396">
            <w:pPr>
              <w:bidi/>
              <w:spacing w:before="40" w:after="40"/>
              <w:rPr>
                <w:rFonts w:ascii="Arabic Typesetting" w:hAnsi="Arabic Typesetting" w:cs="Arabic Typesetting"/>
                <w:b/>
                <w:bCs/>
                <w:sz w:val="24"/>
                <w:szCs w:val="24"/>
              </w:rPr>
            </w:pPr>
            <w:r w:rsidRPr="00605B87">
              <w:rPr>
                <w:rFonts w:ascii="Arabic Typesetting" w:hAnsi="Arabic Typesetting" w:cs="Arabic Typesetting" w:hint="cs"/>
                <w:b/>
                <w:bCs/>
                <w:sz w:val="24"/>
                <w:szCs w:val="24"/>
                <w:rtl/>
              </w:rPr>
              <w:t xml:space="preserve">النطاق المقترح في </w:t>
            </w:r>
            <w:r w:rsidR="00D95216">
              <w:rPr>
                <w:rFonts w:ascii="Arabic Typesetting" w:hAnsi="Arabic Typesetting" w:cs="Arabic Typesetting" w:hint="cs"/>
                <w:b/>
                <w:bCs/>
                <w:sz w:val="24"/>
                <w:szCs w:val="24"/>
                <w:rtl/>
              </w:rPr>
              <w:t>ال</w:t>
            </w:r>
            <w:r w:rsidRPr="00605B87">
              <w:rPr>
                <w:rFonts w:ascii="Arabic Typesetting" w:hAnsi="Arabic Typesetting" w:cs="Arabic Typesetting" w:hint="cs"/>
                <w:b/>
                <w:bCs/>
                <w:sz w:val="24"/>
                <w:szCs w:val="24"/>
                <w:rtl/>
              </w:rPr>
              <w:t>لغة الأصل</w:t>
            </w:r>
            <w:r w:rsidR="00D95216">
              <w:rPr>
                <w:rFonts w:ascii="Arabic Typesetting" w:hAnsi="Arabic Typesetting" w:cs="Arabic Typesetting" w:hint="cs"/>
                <w:b/>
                <w:bCs/>
                <w:sz w:val="24"/>
                <w:szCs w:val="24"/>
                <w:rtl/>
              </w:rPr>
              <w:t>ية</w:t>
            </w:r>
          </w:p>
        </w:tc>
      </w:tr>
      <w:tr w:rsidR="001A4396" w:rsidRPr="001A4396" w:rsidTr="001A4396">
        <w:tc>
          <w:tcPr>
            <w:tcW w:w="1242" w:type="dxa"/>
            <w:noWrap/>
            <w:hideMark/>
          </w:tcPr>
          <w:p w:rsidR="001A4396" w:rsidRPr="001A4396" w:rsidRDefault="00A759E6"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العربية</w:t>
            </w:r>
          </w:p>
        </w:tc>
        <w:tc>
          <w:tcPr>
            <w:tcW w:w="108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26</w:t>
            </w:r>
          </w:p>
        </w:tc>
        <w:tc>
          <w:tcPr>
            <w:tcW w:w="1134" w:type="dxa"/>
            <w:noWrap/>
            <w:hideMark/>
          </w:tcPr>
          <w:p w:rsidR="001A4396" w:rsidRPr="001A4396" w:rsidRDefault="001A4396" w:rsidP="00A759E6">
            <w:pPr>
              <w:bidi/>
              <w:spacing w:before="40" w:after="40"/>
              <w:ind w:right="84"/>
              <w:rPr>
                <w:rFonts w:ascii="Arabic Typesetting" w:hAnsi="Arabic Typesetting" w:cs="Arabic Typesetting"/>
                <w:sz w:val="24"/>
                <w:szCs w:val="24"/>
              </w:rPr>
            </w:pPr>
            <w:r w:rsidRPr="001A4396">
              <w:rPr>
                <w:rFonts w:ascii="Arabic Typesetting" w:hAnsi="Arabic Typesetting" w:cs="Arabic Typesetting"/>
                <w:sz w:val="24"/>
                <w:szCs w:val="24"/>
              </w:rPr>
              <w:t>127</w:t>
            </w:r>
          </w:p>
        </w:tc>
        <w:tc>
          <w:tcPr>
            <w:tcW w:w="1346" w:type="dxa"/>
            <w:noWrap/>
            <w:hideMark/>
          </w:tcPr>
          <w:p w:rsidR="001A4396" w:rsidRPr="001A4396" w:rsidRDefault="001A4396" w:rsidP="00A759E6">
            <w:pPr>
              <w:bidi/>
              <w:spacing w:before="40" w:after="40"/>
              <w:ind w:right="296"/>
              <w:rPr>
                <w:rFonts w:ascii="Arabic Typesetting" w:hAnsi="Arabic Typesetting" w:cs="Arabic Typesetting"/>
                <w:sz w:val="24"/>
                <w:szCs w:val="24"/>
              </w:rPr>
            </w:pPr>
            <w:r w:rsidRPr="001A4396">
              <w:rPr>
                <w:rFonts w:ascii="Arabic Typesetting" w:hAnsi="Arabic Typesetting" w:cs="Arabic Typesetting"/>
                <w:sz w:val="24"/>
                <w:szCs w:val="24"/>
              </w:rPr>
              <w:t>172</w:t>
            </w:r>
          </w:p>
        </w:tc>
        <w:tc>
          <w:tcPr>
            <w:tcW w:w="1064"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0.74</w:t>
            </w:r>
          </w:p>
        </w:tc>
        <w:tc>
          <w:tcPr>
            <w:tcW w:w="84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36.9</w:t>
            </w:r>
          </w:p>
        </w:tc>
        <w:tc>
          <w:tcPr>
            <w:tcW w:w="876" w:type="dxa"/>
            <w:noWrap/>
            <w:hideMark/>
          </w:tcPr>
          <w:p w:rsidR="001A4396" w:rsidRPr="001A4396" w:rsidRDefault="001A4396" w:rsidP="001A4396">
            <w:pPr>
              <w:bidi/>
              <w:spacing w:before="40" w:after="40"/>
              <w:ind w:right="149"/>
              <w:jc w:val="right"/>
              <w:rPr>
                <w:rFonts w:ascii="Arabic Typesetting" w:hAnsi="Arabic Typesetting" w:cs="Arabic Typesetting"/>
                <w:sz w:val="24"/>
                <w:szCs w:val="24"/>
              </w:rPr>
            </w:pPr>
            <w:r w:rsidRPr="001A4396">
              <w:rPr>
                <w:rFonts w:ascii="Arabic Typesetting" w:hAnsi="Arabic Typesetting" w:cs="Arabic Typesetting"/>
                <w:sz w:val="24"/>
                <w:szCs w:val="24"/>
              </w:rPr>
              <w:t>110.8</w:t>
            </w:r>
          </w:p>
        </w:tc>
        <w:tc>
          <w:tcPr>
            <w:tcW w:w="2117" w:type="dxa"/>
            <w:noWrap/>
            <w:hideMark/>
          </w:tcPr>
          <w:p w:rsidR="001A4396" w:rsidRPr="001A4396" w:rsidRDefault="008C65B3"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35 إلى 110 كلمات</w:t>
            </w:r>
          </w:p>
        </w:tc>
      </w:tr>
      <w:tr w:rsidR="001A4396" w:rsidRPr="001A4396" w:rsidTr="001A4396">
        <w:tc>
          <w:tcPr>
            <w:tcW w:w="1242" w:type="dxa"/>
            <w:noWrap/>
            <w:hideMark/>
          </w:tcPr>
          <w:p w:rsidR="001A4396" w:rsidRPr="001A4396" w:rsidRDefault="00A759E6"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الصينية</w:t>
            </w:r>
          </w:p>
        </w:tc>
        <w:tc>
          <w:tcPr>
            <w:tcW w:w="108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26,001</w:t>
            </w:r>
          </w:p>
        </w:tc>
        <w:tc>
          <w:tcPr>
            <w:tcW w:w="1134" w:type="dxa"/>
            <w:noWrap/>
          </w:tcPr>
          <w:p w:rsidR="001A4396" w:rsidRPr="001A4396" w:rsidRDefault="001A4396" w:rsidP="001B4CBD">
            <w:pPr>
              <w:bidi/>
              <w:spacing w:before="40" w:after="40"/>
              <w:ind w:right="84"/>
              <w:rPr>
                <w:rFonts w:ascii="Arabic Typesetting" w:hAnsi="Arabic Typesetting" w:cs="Arabic Typesetting"/>
                <w:sz w:val="24"/>
                <w:szCs w:val="24"/>
              </w:rPr>
            </w:pPr>
            <w:r w:rsidRPr="001A4396">
              <w:rPr>
                <w:rFonts w:ascii="Arabic Typesetting" w:hAnsi="Arabic Typesetting" w:cs="Arabic Typesetting"/>
                <w:sz w:val="24"/>
                <w:szCs w:val="24"/>
              </w:rPr>
              <w:t xml:space="preserve">236 </w:t>
            </w:r>
            <w:r w:rsidR="001B4CBD">
              <w:rPr>
                <w:rFonts w:ascii="Arabic Typesetting" w:hAnsi="Arabic Typesetting" w:cs="Arabic Typesetting" w:hint="cs"/>
                <w:sz w:val="24"/>
                <w:szCs w:val="24"/>
                <w:rtl/>
              </w:rPr>
              <w:t xml:space="preserve"> حرفاً</w:t>
            </w:r>
          </w:p>
        </w:tc>
        <w:tc>
          <w:tcPr>
            <w:tcW w:w="1346" w:type="dxa"/>
            <w:noWrap/>
          </w:tcPr>
          <w:p w:rsidR="001A4396" w:rsidRPr="001A4396" w:rsidRDefault="001A4396" w:rsidP="00A759E6">
            <w:pPr>
              <w:bidi/>
              <w:spacing w:before="40" w:after="40"/>
              <w:ind w:right="296"/>
              <w:rPr>
                <w:rFonts w:ascii="Arabic Typesetting" w:hAnsi="Arabic Typesetting" w:cs="Arabic Typesetting"/>
                <w:sz w:val="24"/>
                <w:szCs w:val="24"/>
              </w:rPr>
            </w:pPr>
            <w:r w:rsidRPr="001A4396">
              <w:rPr>
                <w:rFonts w:ascii="Arabic Typesetting" w:hAnsi="Arabic Typesetting" w:cs="Arabic Typesetting"/>
                <w:sz w:val="24"/>
                <w:szCs w:val="24"/>
              </w:rPr>
              <w:t>150</w:t>
            </w:r>
          </w:p>
        </w:tc>
        <w:tc>
          <w:tcPr>
            <w:tcW w:w="1064" w:type="dxa"/>
            <w:noWrap/>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1.57</w:t>
            </w:r>
          </w:p>
        </w:tc>
        <w:tc>
          <w:tcPr>
            <w:tcW w:w="843" w:type="dxa"/>
            <w:noWrap/>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78.7</w:t>
            </w:r>
          </w:p>
        </w:tc>
        <w:tc>
          <w:tcPr>
            <w:tcW w:w="876" w:type="dxa"/>
            <w:noWrap/>
          </w:tcPr>
          <w:p w:rsidR="001A4396" w:rsidRPr="001A4396" w:rsidRDefault="001A4396" w:rsidP="001A4396">
            <w:pPr>
              <w:bidi/>
              <w:spacing w:before="40" w:after="40"/>
              <w:ind w:right="149"/>
              <w:jc w:val="right"/>
              <w:rPr>
                <w:rFonts w:ascii="Arabic Typesetting" w:hAnsi="Arabic Typesetting" w:cs="Arabic Typesetting"/>
                <w:sz w:val="24"/>
                <w:szCs w:val="24"/>
              </w:rPr>
            </w:pPr>
            <w:r w:rsidRPr="001A4396">
              <w:rPr>
                <w:rFonts w:ascii="Arabic Typesetting" w:hAnsi="Arabic Typesetting" w:cs="Arabic Typesetting"/>
                <w:sz w:val="24"/>
                <w:szCs w:val="24"/>
              </w:rPr>
              <w:t>236.0</w:t>
            </w:r>
          </w:p>
        </w:tc>
        <w:tc>
          <w:tcPr>
            <w:tcW w:w="2117" w:type="dxa"/>
            <w:noWrap/>
          </w:tcPr>
          <w:p w:rsidR="001A4396" w:rsidRPr="001A4396" w:rsidRDefault="008C65B3"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 xml:space="preserve">80 </w:t>
            </w:r>
            <w:proofErr w:type="gramStart"/>
            <w:r>
              <w:rPr>
                <w:rFonts w:ascii="Arabic Typesetting" w:hAnsi="Arabic Typesetting" w:cs="Arabic Typesetting" w:hint="cs"/>
                <w:sz w:val="24"/>
                <w:szCs w:val="24"/>
                <w:rtl/>
              </w:rPr>
              <w:t>إلى</w:t>
            </w:r>
            <w:proofErr w:type="gramEnd"/>
            <w:r>
              <w:rPr>
                <w:rFonts w:ascii="Arabic Typesetting" w:hAnsi="Arabic Typesetting" w:cs="Arabic Typesetting" w:hint="cs"/>
                <w:sz w:val="24"/>
                <w:szCs w:val="24"/>
                <w:rtl/>
              </w:rPr>
              <w:t xml:space="preserve"> 240 حرفاً</w:t>
            </w:r>
          </w:p>
        </w:tc>
      </w:tr>
      <w:tr w:rsidR="001A4396" w:rsidRPr="001A4396" w:rsidTr="001A4396">
        <w:tc>
          <w:tcPr>
            <w:tcW w:w="1242" w:type="dxa"/>
            <w:noWrap/>
            <w:hideMark/>
          </w:tcPr>
          <w:p w:rsidR="001A4396" w:rsidRPr="001A4396" w:rsidRDefault="00A759E6"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الفرنسية</w:t>
            </w:r>
          </w:p>
        </w:tc>
        <w:tc>
          <w:tcPr>
            <w:tcW w:w="108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6183</w:t>
            </w:r>
          </w:p>
        </w:tc>
        <w:tc>
          <w:tcPr>
            <w:tcW w:w="1134" w:type="dxa"/>
            <w:noWrap/>
            <w:hideMark/>
          </w:tcPr>
          <w:p w:rsidR="001A4396" w:rsidRPr="001A4396" w:rsidRDefault="001A4396" w:rsidP="00A759E6">
            <w:pPr>
              <w:bidi/>
              <w:spacing w:before="40" w:after="40"/>
              <w:ind w:right="84"/>
              <w:rPr>
                <w:rFonts w:ascii="Arabic Typesetting" w:hAnsi="Arabic Typesetting" w:cs="Arabic Typesetting"/>
                <w:sz w:val="24"/>
                <w:szCs w:val="24"/>
              </w:rPr>
            </w:pPr>
            <w:r w:rsidRPr="001A4396">
              <w:rPr>
                <w:rFonts w:ascii="Arabic Typesetting" w:hAnsi="Arabic Typesetting" w:cs="Arabic Typesetting"/>
                <w:sz w:val="24"/>
                <w:szCs w:val="24"/>
              </w:rPr>
              <w:t>125</w:t>
            </w:r>
          </w:p>
        </w:tc>
        <w:tc>
          <w:tcPr>
            <w:tcW w:w="1346" w:type="dxa"/>
            <w:noWrap/>
            <w:hideMark/>
          </w:tcPr>
          <w:p w:rsidR="001A4396" w:rsidRPr="001A4396" w:rsidRDefault="001A4396" w:rsidP="00A759E6">
            <w:pPr>
              <w:bidi/>
              <w:spacing w:before="40" w:after="40"/>
              <w:ind w:right="296"/>
              <w:rPr>
                <w:rFonts w:ascii="Arabic Typesetting" w:hAnsi="Arabic Typesetting" w:cs="Arabic Typesetting"/>
                <w:sz w:val="24"/>
                <w:szCs w:val="24"/>
              </w:rPr>
            </w:pPr>
            <w:r w:rsidRPr="001A4396">
              <w:rPr>
                <w:rFonts w:ascii="Arabic Typesetting" w:hAnsi="Arabic Typesetting" w:cs="Arabic Typesetting"/>
                <w:sz w:val="24"/>
                <w:szCs w:val="24"/>
              </w:rPr>
              <w:t>126</w:t>
            </w:r>
          </w:p>
        </w:tc>
        <w:tc>
          <w:tcPr>
            <w:tcW w:w="1064"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0.99</w:t>
            </w:r>
          </w:p>
        </w:tc>
        <w:tc>
          <w:tcPr>
            <w:tcW w:w="84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49.6</w:t>
            </w:r>
          </w:p>
        </w:tc>
        <w:tc>
          <w:tcPr>
            <w:tcW w:w="876" w:type="dxa"/>
            <w:noWrap/>
            <w:hideMark/>
          </w:tcPr>
          <w:p w:rsidR="001A4396" w:rsidRPr="001A4396" w:rsidRDefault="001A4396" w:rsidP="001A4396">
            <w:pPr>
              <w:bidi/>
              <w:spacing w:before="40" w:after="40"/>
              <w:ind w:right="149"/>
              <w:jc w:val="right"/>
              <w:rPr>
                <w:rFonts w:ascii="Arabic Typesetting" w:hAnsi="Arabic Typesetting" w:cs="Arabic Typesetting"/>
                <w:sz w:val="24"/>
                <w:szCs w:val="24"/>
              </w:rPr>
            </w:pPr>
            <w:r w:rsidRPr="001A4396">
              <w:rPr>
                <w:rFonts w:ascii="Arabic Typesetting" w:hAnsi="Arabic Typesetting" w:cs="Arabic Typesetting"/>
                <w:sz w:val="24"/>
                <w:szCs w:val="24"/>
              </w:rPr>
              <w:t>148.8</w:t>
            </w:r>
          </w:p>
        </w:tc>
        <w:tc>
          <w:tcPr>
            <w:tcW w:w="2117" w:type="dxa"/>
            <w:noWrap/>
            <w:hideMark/>
          </w:tcPr>
          <w:p w:rsidR="001A4396" w:rsidRPr="001A4396" w:rsidRDefault="008C65B3"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50 إلى 150 كلمة</w:t>
            </w:r>
          </w:p>
        </w:tc>
      </w:tr>
      <w:tr w:rsidR="001A4396" w:rsidRPr="001A4396" w:rsidTr="001A4396">
        <w:tc>
          <w:tcPr>
            <w:tcW w:w="1242" w:type="dxa"/>
            <w:noWrap/>
            <w:hideMark/>
          </w:tcPr>
          <w:p w:rsidR="001A4396" w:rsidRPr="001A4396" w:rsidRDefault="00A759E6"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الألمانية</w:t>
            </w:r>
          </w:p>
        </w:tc>
        <w:tc>
          <w:tcPr>
            <w:tcW w:w="108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16,088</w:t>
            </w:r>
          </w:p>
        </w:tc>
        <w:tc>
          <w:tcPr>
            <w:tcW w:w="1134" w:type="dxa"/>
            <w:noWrap/>
            <w:hideMark/>
          </w:tcPr>
          <w:p w:rsidR="001A4396" w:rsidRPr="001A4396" w:rsidRDefault="001A4396" w:rsidP="00A759E6">
            <w:pPr>
              <w:bidi/>
              <w:spacing w:before="40" w:after="40"/>
              <w:ind w:right="84"/>
              <w:rPr>
                <w:rFonts w:ascii="Arabic Typesetting" w:hAnsi="Arabic Typesetting" w:cs="Arabic Typesetting"/>
                <w:sz w:val="24"/>
                <w:szCs w:val="24"/>
              </w:rPr>
            </w:pPr>
            <w:r w:rsidRPr="001A4396">
              <w:rPr>
                <w:rFonts w:ascii="Arabic Typesetting" w:hAnsi="Arabic Typesetting" w:cs="Arabic Typesetting"/>
                <w:sz w:val="24"/>
                <w:szCs w:val="24"/>
              </w:rPr>
              <w:t>109</w:t>
            </w:r>
          </w:p>
        </w:tc>
        <w:tc>
          <w:tcPr>
            <w:tcW w:w="1346" w:type="dxa"/>
            <w:noWrap/>
            <w:hideMark/>
          </w:tcPr>
          <w:p w:rsidR="001A4396" w:rsidRPr="001A4396" w:rsidRDefault="001A4396" w:rsidP="00A759E6">
            <w:pPr>
              <w:bidi/>
              <w:spacing w:before="40" w:after="40"/>
              <w:ind w:right="296"/>
              <w:rPr>
                <w:rFonts w:ascii="Arabic Typesetting" w:hAnsi="Arabic Typesetting" w:cs="Arabic Typesetting"/>
                <w:sz w:val="24"/>
                <w:szCs w:val="24"/>
              </w:rPr>
            </w:pPr>
            <w:r w:rsidRPr="001A4396">
              <w:rPr>
                <w:rFonts w:ascii="Arabic Typesetting" w:hAnsi="Arabic Typesetting" w:cs="Arabic Typesetting"/>
                <w:sz w:val="24"/>
                <w:szCs w:val="24"/>
              </w:rPr>
              <w:t>141</w:t>
            </w:r>
          </w:p>
        </w:tc>
        <w:tc>
          <w:tcPr>
            <w:tcW w:w="1064"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0.77</w:t>
            </w:r>
          </w:p>
        </w:tc>
        <w:tc>
          <w:tcPr>
            <w:tcW w:w="84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38.7</w:t>
            </w:r>
          </w:p>
        </w:tc>
        <w:tc>
          <w:tcPr>
            <w:tcW w:w="876" w:type="dxa"/>
            <w:noWrap/>
            <w:hideMark/>
          </w:tcPr>
          <w:p w:rsidR="001A4396" w:rsidRPr="001A4396" w:rsidRDefault="001A4396" w:rsidP="001A4396">
            <w:pPr>
              <w:bidi/>
              <w:spacing w:before="40" w:after="40"/>
              <w:ind w:right="149"/>
              <w:jc w:val="right"/>
              <w:rPr>
                <w:rFonts w:ascii="Arabic Typesetting" w:hAnsi="Arabic Typesetting" w:cs="Arabic Typesetting"/>
                <w:sz w:val="24"/>
                <w:szCs w:val="24"/>
              </w:rPr>
            </w:pPr>
            <w:r w:rsidRPr="001A4396">
              <w:rPr>
                <w:rFonts w:ascii="Arabic Typesetting" w:hAnsi="Arabic Typesetting" w:cs="Arabic Typesetting"/>
                <w:sz w:val="24"/>
                <w:szCs w:val="24"/>
              </w:rPr>
              <w:t>116.0</w:t>
            </w:r>
          </w:p>
        </w:tc>
        <w:tc>
          <w:tcPr>
            <w:tcW w:w="2117" w:type="dxa"/>
            <w:noWrap/>
            <w:hideMark/>
          </w:tcPr>
          <w:p w:rsidR="001A4396" w:rsidRPr="001A4396" w:rsidRDefault="008C65B3"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40 إلى 120 كلمة</w:t>
            </w:r>
          </w:p>
        </w:tc>
      </w:tr>
      <w:tr w:rsidR="001A4396" w:rsidRPr="001A4396" w:rsidTr="001A4396">
        <w:tc>
          <w:tcPr>
            <w:tcW w:w="1242" w:type="dxa"/>
            <w:noWrap/>
            <w:hideMark/>
          </w:tcPr>
          <w:p w:rsidR="001A4396" w:rsidRPr="001A4396" w:rsidRDefault="00A759E6"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اليابانية</w:t>
            </w:r>
          </w:p>
        </w:tc>
        <w:tc>
          <w:tcPr>
            <w:tcW w:w="108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41,847</w:t>
            </w:r>
          </w:p>
        </w:tc>
        <w:tc>
          <w:tcPr>
            <w:tcW w:w="1134" w:type="dxa"/>
            <w:noWrap/>
            <w:hideMark/>
          </w:tcPr>
          <w:p w:rsidR="001A4396" w:rsidRPr="001A4396" w:rsidRDefault="001A4396" w:rsidP="001B4CBD">
            <w:pPr>
              <w:bidi/>
              <w:spacing w:before="40" w:after="40"/>
              <w:ind w:right="84"/>
              <w:rPr>
                <w:rFonts w:ascii="Arabic Typesetting" w:hAnsi="Arabic Typesetting" w:cs="Arabic Typesetting"/>
                <w:sz w:val="24"/>
                <w:szCs w:val="24"/>
              </w:rPr>
            </w:pPr>
            <w:r w:rsidRPr="001A4396">
              <w:rPr>
                <w:rFonts w:ascii="Arabic Typesetting" w:hAnsi="Arabic Typesetting" w:cs="Arabic Typesetting"/>
                <w:sz w:val="24"/>
                <w:szCs w:val="24"/>
              </w:rPr>
              <w:t xml:space="preserve"> 274 </w:t>
            </w:r>
            <w:r w:rsidR="001B4CBD">
              <w:rPr>
                <w:rFonts w:ascii="Arabic Typesetting" w:hAnsi="Arabic Typesetting" w:cs="Arabic Typesetting" w:hint="cs"/>
                <w:sz w:val="24"/>
                <w:szCs w:val="24"/>
                <w:rtl/>
              </w:rPr>
              <w:t>حرفاً</w:t>
            </w:r>
          </w:p>
        </w:tc>
        <w:tc>
          <w:tcPr>
            <w:tcW w:w="1346" w:type="dxa"/>
            <w:noWrap/>
            <w:hideMark/>
          </w:tcPr>
          <w:p w:rsidR="001A4396" w:rsidRPr="001A4396" w:rsidRDefault="001A4396" w:rsidP="00A759E6">
            <w:pPr>
              <w:bidi/>
              <w:spacing w:before="40" w:after="40"/>
              <w:ind w:right="296"/>
              <w:rPr>
                <w:rFonts w:ascii="Arabic Typesetting" w:hAnsi="Arabic Typesetting" w:cs="Arabic Typesetting"/>
                <w:sz w:val="24"/>
                <w:szCs w:val="24"/>
              </w:rPr>
            </w:pPr>
            <w:r w:rsidRPr="001A4396">
              <w:rPr>
                <w:rFonts w:ascii="Arabic Typesetting" w:hAnsi="Arabic Typesetting" w:cs="Arabic Typesetting"/>
                <w:sz w:val="24"/>
                <w:szCs w:val="24"/>
              </w:rPr>
              <w:t>135</w:t>
            </w:r>
          </w:p>
        </w:tc>
        <w:tc>
          <w:tcPr>
            <w:tcW w:w="1064" w:type="dxa"/>
            <w:noWrap/>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2.03</w:t>
            </w:r>
          </w:p>
        </w:tc>
        <w:tc>
          <w:tcPr>
            <w:tcW w:w="843" w:type="dxa"/>
            <w:noWrap/>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101.5</w:t>
            </w:r>
          </w:p>
        </w:tc>
        <w:tc>
          <w:tcPr>
            <w:tcW w:w="876" w:type="dxa"/>
            <w:noWrap/>
          </w:tcPr>
          <w:p w:rsidR="001A4396" w:rsidRPr="001A4396" w:rsidRDefault="001A4396" w:rsidP="001A4396">
            <w:pPr>
              <w:bidi/>
              <w:spacing w:before="40" w:after="40"/>
              <w:ind w:right="149"/>
              <w:jc w:val="right"/>
              <w:rPr>
                <w:rFonts w:ascii="Arabic Typesetting" w:hAnsi="Arabic Typesetting" w:cs="Arabic Typesetting"/>
                <w:sz w:val="24"/>
                <w:szCs w:val="24"/>
              </w:rPr>
            </w:pPr>
            <w:r w:rsidRPr="001A4396">
              <w:rPr>
                <w:rFonts w:ascii="Arabic Typesetting" w:hAnsi="Arabic Typesetting" w:cs="Arabic Typesetting"/>
                <w:sz w:val="24"/>
                <w:szCs w:val="24"/>
              </w:rPr>
              <w:t>304.4</w:t>
            </w:r>
          </w:p>
        </w:tc>
        <w:tc>
          <w:tcPr>
            <w:tcW w:w="2117" w:type="dxa"/>
            <w:noWrap/>
            <w:hideMark/>
          </w:tcPr>
          <w:p w:rsidR="001A4396" w:rsidRPr="001A4396" w:rsidRDefault="00DC44BD"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 xml:space="preserve">100 </w:t>
            </w:r>
            <w:proofErr w:type="gramStart"/>
            <w:r>
              <w:rPr>
                <w:rFonts w:ascii="Arabic Typesetting" w:hAnsi="Arabic Typesetting" w:cs="Arabic Typesetting" w:hint="cs"/>
                <w:sz w:val="24"/>
                <w:szCs w:val="24"/>
                <w:rtl/>
              </w:rPr>
              <w:t>إلى</w:t>
            </w:r>
            <w:proofErr w:type="gramEnd"/>
            <w:r>
              <w:rPr>
                <w:rFonts w:ascii="Arabic Typesetting" w:hAnsi="Arabic Typesetting" w:cs="Arabic Typesetting" w:hint="cs"/>
                <w:sz w:val="24"/>
                <w:szCs w:val="24"/>
                <w:rtl/>
              </w:rPr>
              <w:t xml:space="preserve"> 300 حرف</w:t>
            </w:r>
          </w:p>
        </w:tc>
      </w:tr>
      <w:tr w:rsidR="001A4396" w:rsidRPr="001A4396" w:rsidTr="001A4396">
        <w:tc>
          <w:tcPr>
            <w:tcW w:w="1242" w:type="dxa"/>
            <w:noWrap/>
            <w:hideMark/>
          </w:tcPr>
          <w:p w:rsidR="001A4396" w:rsidRPr="001A4396" w:rsidRDefault="00A759E6"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الكورية</w:t>
            </w:r>
          </w:p>
        </w:tc>
        <w:tc>
          <w:tcPr>
            <w:tcW w:w="108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11,866</w:t>
            </w:r>
          </w:p>
        </w:tc>
        <w:tc>
          <w:tcPr>
            <w:tcW w:w="1134" w:type="dxa"/>
            <w:noWrap/>
            <w:hideMark/>
          </w:tcPr>
          <w:p w:rsidR="001A4396" w:rsidRPr="001A4396" w:rsidRDefault="001A4396" w:rsidP="00A759E6">
            <w:pPr>
              <w:bidi/>
              <w:spacing w:before="40" w:after="40"/>
              <w:ind w:right="84"/>
              <w:rPr>
                <w:rFonts w:ascii="Arabic Typesetting" w:hAnsi="Arabic Typesetting" w:cs="Arabic Typesetting"/>
                <w:sz w:val="24"/>
                <w:szCs w:val="24"/>
              </w:rPr>
            </w:pPr>
            <w:r w:rsidRPr="001A4396">
              <w:rPr>
                <w:rFonts w:ascii="Arabic Typesetting" w:hAnsi="Arabic Typesetting" w:cs="Arabic Typesetting"/>
                <w:sz w:val="24"/>
                <w:szCs w:val="24"/>
              </w:rPr>
              <w:t>77</w:t>
            </w:r>
          </w:p>
        </w:tc>
        <w:tc>
          <w:tcPr>
            <w:tcW w:w="1346" w:type="dxa"/>
            <w:noWrap/>
            <w:hideMark/>
          </w:tcPr>
          <w:p w:rsidR="001A4396" w:rsidRPr="001A4396" w:rsidRDefault="001A4396" w:rsidP="00A759E6">
            <w:pPr>
              <w:bidi/>
              <w:spacing w:before="40" w:after="40"/>
              <w:ind w:right="296"/>
              <w:rPr>
                <w:rFonts w:ascii="Arabic Typesetting" w:hAnsi="Arabic Typesetting" w:cs="Arabic Typesetting"/>
                <w:sz w:val="24"/>
                <w:szCs w:val="24"/>
              </w:rPr>
            </w:pPr>
            <w:r w:rsidRPr="001A4396">
              <w:rPr>
                <w:rFonts w:ascii="Arabic Typesetting" w:hAnsi="Arabic Typesetting" w:cs="Arabic Typesetting"/>
                <w:sz w:val="24"/>
                <w:szCs w:val="24"/>
              </w:rPr>
              <w:t>132</w:t>
            </w:r>
          </w:p>
        </w:tc>
        <w:tc>
          <w:tcPr>
            <w:tcW w:w="1064"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0.58</w:t>
            </w:r>
          </w:p>
        </w:tc>
        <w:tc>
          <w:tcPr>
            <w:tcW w:w="84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29.2</w:t>
            </w:r>
          </w:p>
        </w:tc>
        <w:tc>
          <w:tcPr>
            <w:tcW w:w="876" w:type="dxa"/>
            <w:noWrap/>
            <w:hideMark/>
          </w:tcPr>
          <w:p w:rsidR="001A4396" w:rsidRPr="001A4396" w:rsidRDefault="001A4396" w:rsidP="001A4396">
            <w:pPr>
              <w:bidi/>
              <w:spacing w:before="40" w:after="40"/>
              <w:ind w:right="149"/>
              <w:jc w:val="right"/>
              <w:rPr>
                <w:rFonts w:ascii="Arabic Typesetting" w:hAnsi="Arabic Typesetting" w:cs="Arabic Typesetting"/>
                <w:sz w:val="24"/>
                <w:szCs w:val="24"/>
              </w:rPr>
            </w:pPr>
            <w:r w:rsidRPr="001A4396">
              <w:rPr>
                <w:rFonts w:ascii="Arabic Typesetting" w:hAnsi="Arabic Typesetting" w:cs="Arabic Typesetting"/>
                <w:sz w:val="24"/>
                <w:szCs w:val="24"/>
              </w:rPr>
              <w:t>87.5</w:t>
            </w:r>
          </w:p>
        </w:tc>
        <w:tc>
          <w:tcPr>
            <w:tcW w:w="2117" w:type="dxa"/>
            <w:noWrap/>
            <w:hideMark/>
          </w:tcPr>
          <w:p w:rsidR="001A4396" w:rsidRPr="001A4396" w:rsidRDefault="00DC44BD"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30 إلى 130 كلمة</w:t>
            </w:r>
          </w:p>
        </w:tc>
      </w:tr>
      <w:tr w:rsidR="001A4396" w:rsidRPr="001A4396" w:rsidTr="001A4396">
        <w:tc>
          <w:tcPr>
            <w:tcW w:w="1242" w:type="dxa"/>
            <w:noWrap/>
            <w:hideMark/>
          </w:tcPr>
          <w:p w:rsidR="001A4396" w:rsidRPr="001A4396" w:rsidRDefault="00A759E6"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البرتغالية</w:t>
            </w:r>
          </w:p>
        </w:tc>
        <w:tc>
          <w:tcPr>
            <w:tcW w:w="108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480</w:t>
            </w:r>
          </w:p>
        </w:tc>
        <w:tc>
          <w:tcPr>
            <w:tcW w:w="1134" w:type="dxa"/>
            <w:noWrap/>
            <w:hideMark/>
          </w:tcPr>
          <w:p w:rsidR="001A4396" w:rsidRPr="001A4396" w:rsidRDefault="001A4396" w:rsidP="00A759E6">
            <w:pPr>
              <w:bidi/>
              <w:spacing w:before="40" w:after="40"/>
              <w:ind w:right="84"/>
              <w:rPr>
                <w:rFonts w:ascii="Arabic Typesetting" w:hAnsi="Arabic Typesetting" w:cs="Arabic Typesetting"/>
                <w:sz w:val="24"/>
                <w:szCs w:val="24"/>
              </w:rPr>
            </w:pPr>
            <w:r w:rsidRPr="001A4396">
              <w:rPr>
                <w:rFonts w:ascii="Arabic Typesetting" w:hAnsi="Arabic Typesetting" w:cs="Arabic Typesetting"/>
                <w:sz w:val="24"/>
                <w:szCs w:val="24"/>
              </w:rPr>
              <w:t>131</w:t>
            </w:r>
          </w:p>
        </w:tc>
        <w:tc>
          <w:tcPr>
            <w:tcW w:w="1346" w:type="dxa"/>
            <w:noWrap/>
            <w:hideMark/>
          </w:tcPr>
          <w:p w:rsidR="001A4396" w:rsidRPr="001A4396" w:rsidRDefault="001A4396" w:rsidP="00A759E6">
            <w:pPr>
              <w:bidi/>
              <w:spacing w:before="40" w:after="40"/>
              <w:ind w:right="296"/>
              <w:rPr>
                <w:rFonts w:ascii="Arabic Typesetting" w:hAnsi="Arabic Typesetting" w:cs="Arabic Typesetting"/>
                <w:sz w:val="24"/>
                <w:szCs w:val="24"/>
              </w:rPr>
            </w:pPr>
            <w:r w:rsidRPr="001A4396">
              <w:rPr>
                <w:rFonts w:ascii="Arabic Typesetting" w:hAnsi="Arabic Typesetting" w:cs="Arabic Typesetting"/>
                <w:sz w:val="24"/>
                <w:szCs w:val="24"/>
              </w:rPr>
              <w:t>129</w:t>
            </w:r>
          </w:p>
        </w:tc>
        <w:tc>
          <w:tcPr>
            <w:tcW w:w="1064"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1.02</w:t>
            </w:r>
          </w:p>
        </w:tc>
        <w:tc>
          <w:tcPr>
            <w:tcW w:w="84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50.8</w:t>
            </w:r>
          </w:p>
        </w:tc>
        <w:tc>
          <w:tcPr>
            <w:tcW w:w="876" w:type="dxa"/>
            <w:noWrap/>
            <w:hideMark/>
          </w:tcPr>
          <w:p w:rsidR="001A4396" w:rsidRPr="001A4396" w:rsidRDefault="001A4396" w:rsidP="001A4396">
            <w:pPr>
              <w:bidi/>
              <w:spacing w:before="40" w:after="40"/>
              <w:ind w:right="149"/>
              <w:jc w:val="right"/>
              <w:rPr>
                <w:rFonts w:ascii="Arabic Typesetting" w:hAnsi="Arabic Typesetting" w:cs="Arabic Typesetting"/>
                <w:sz w:val="24"/>
                <w:szCs w:val="24"/>
              </w:rPr>
            </w:pPr>
            <w:r w:rsidRPr="001A4396">
              <w:rPr>
                <w:rFonts w:ascii="Arabic Typesetting" w:hAnsi="Arabic Typesetting" w:cs="Arabic Typesetting"/>
                <w:sz w:val="24"/>
                <w:szCs w:val="24"/>
              </w:rPr>
              <w:t>152.3</w:t>
            </w:r>
          </w:p>
        </w:tc>
        <w:tc>
          <w:tcPr>
            <w:tcW w:w="2117" w:type="dxa"/>
            <w:noWrap/>
            <w:hideMark/>
          </w:tcPr>
          <w:p w:rsidR="001A4396" w:rsidRPr="001A4396" w:rsidRDefault="00DC44BD"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50 إلى 150 كلمة</w:t>
            </w:r>
          </w:p>
        </w:tc>
      </w:tr>
      <w:tr w:rsidR="001A4396" w:rsidRPr="001A4396" w:rsidTr="001A4396">
        <w:tc>
          <w:tcPr>
            <w:tcW w:w="1242" w:type="dxa"/>
            <w:noWrap/>
            <w:hideMark/>
          </w:tcPr>
          <w:p w:rsidR="001A4396" w:rsidRPr="001A4396" w:rsidRDefault="00A759E6"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الروسية</w:t>
            </w:r>
          </w:p>
        </w:tc>
        <w:tc>
          <w:tcPr>
            <w:tcW w:w="108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824</w:t>
            </w:r>
          </w:p>
        </w:tc>
        <w:tc>
          <w:tcPr>
            <w:tcW w:w="1134" w:type="dxa"/>
            <w:noWrap/>
            <w:hideMark/>
          </w:tcPr>
          <w:p w:rsidR="001A4396" w:rsidRPr="001A4396" w:rsidRDefault="001A4396" w:rsidP="00A759E6">
            <w:pPr>
              <w:bidi/>
              <w:spacing w:before="40" w:after="40"/>
              <w:ind w:right="84"/>
              <w:rPr>
                <w:rFonts w:ascii="Arabic Typesetting" w:hAnsi="Arabic Typesetting" w:cs="Arabic Typesetting"/>
                <w:sz w:val="24"/>
                <w:szCs w:val="24"/>
              </w:rPr>
            </w:pPr>
            <w:r w:rsidRPr="001A4396">
              <w:rPr>
                <w:rFonts w:ascii="Arabic Typesetting" w:hAnsi="Arabic Typesetting" w:cs="Arabic Typesetting"/>
                <w:sz w:val="24"/>
                <w:szCs w:val="24"/>
              </w:rPr>
              <w:t>122</w:t>
            </w:r>
          </w:p>
        </w:tc>
        <w:tc>
          <w:tcPr>
            <w:tcW w:w="1346" w:type="dxa"/>
            <w:noWrap/>
            <w:hideMark/>
          </w:tcPr>
          <w:p w:rsidR="001A4396" w:rsidRPr="001A4396" w:rsidRDefault="001A4396" w:rsidP="00A759E6">
            <w:pPr>
              <w:bidi/>
              <w:spacing w:before="40" w:after="40"/>
              <w:ind w:right="296"/>
              <w:rPr>
                <w:rFonts w:ascii="Arabic Typesetting" w:hAnsi="Arabic Typesetting" w:cs="Arabic Typesetting"/>
                <w:sz w:val="24"/>
                <w:szCs w:val="24"/>
              </w:rPr>
            </w:pPr>
            <w:r w:rsidRPr="001A4396">
              <w:rPr>
                <w:rFonts w:ascii="Arabic Typesetting" w:hAnsi="Arabic Typesetting" w:cs="Arabic Typesetting"/>
                <w:sz w:val="24"/>
                <w:szCs w:val="24"/>
              </w:rPr>
              <w:t>171</w:t>
            </w:r>
          </w:p>
        </w:tc>
        <w:tc>
          <w:tcPr>
            <w:tcW w:w="1064"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0.71</w:t>
            </w:r>
          </w:p>
        </w:tc>
        <w:tc>
          <w:tcPr>
            <w:tcW w:w="84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35.7</w:t>
            </w:r>
          </w:p>
        </w:tc>
        <w:tc>
          <w:tcPr>
            <w:tcW w:w="876" w:type="dxa"/>
            <w:noWrap/>
            <w:hideMark/>
          </w:tcPr>
          <w:p w:rsidR="001A4396" w:rsidRPr="001A4396" w:rsidRDefault="001A4396" w:rsidP="001A4396">
            <w:pPr>
              <w:bidi/>
              <w:spacing w:before="40" w:after="40"/>
              <w:ind w:right="149"/>
              <w:jc w:val="right"/>
              <w:rPr>
                <w:rFonts w:ascii="Arabic Typesetting" w:hAnsi="Arabic Typesetting" w:cs="Arabic Typesetting"/>
                <w:sz w:val="24"/>
                <w:szCs w:val="24"/>
              </w:rPr>
            </w:pPr>
            <w:r w:rsidRPr="001A4396">
              <w:rPr>
                <w:rFonts w:ascii="Arabic Typesetting" w:hAnsi="Arabic Typesetting" w:cs="Arabic Typesetting"/>
                <w:sz w:val="24"/>
                <w:szCs w:val="24"/>
              </w:rPr>
              <w:t>107.0</w:t>
            </w:r>
          </w:p>
        </w:tc>
        <w:tc>
          <w:tcPr>
            <w:tcW w:w="2117" w:type="dxa"/>
            <w:noWrap/>
            <w:hideMark/>
          </w:tcPr>
          <w:p w:rsidR="001A4396" w:rsidRPr="001A4396" w:rsidRDefault="00DC44BD"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35 إلى 110 كلمات</w:t>
            </w:r>
          </w:p>
        </w:tc>
      </w:tr>
      <w:tr w:rsidR="001A4396" w:rsidRPr="001A4396" w:rsidTr="001A4396">
        <w:tc>
          <w:tcPr>
            <w:tcW w:w="1242" w:type="dxa"/>
            <w:noWrap/>
            <w:hideMark/>
          </w:tcPr>
          <w:p w:rsidR="001A4396" w:rsidRPr="001A4396" w:rsidRDefault="00A759E6"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الإسبانية</w:t>
            </w:r>
          </w:p>
        </w:tc>
        <w:tc>
          <w:tcPr>
            <w:tcW w:w="108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1,497</w:t>
            </w:r>
          </w:p>
        </w:tc>
        <w:tc>
          <w:tcPr>
            <w:tcW w:w="1134" w:type="dxa"/>
            <w:noWrap/>
            <w:hideMark/>
          </w:tcPr>
          <w:p w:rsidR="001A4396" w:rsidRPr="001A4396" w:rsidRDefault="001A4396" w:rsidP="00A759E6">
            <w:pPr>
              <w:bidi/>
              <w:spacing w:before="40" w:after="40"/>
              <w:ind w:right="84"/>
              <w:rPr>
                <w:rFonts w:ascii="Arabic Typesetting" w:hAnsi="Arabic Typesetting" w:cs="Arabic Typesetting"/>
                <w:sz w:val="24"/>
                <w:szCs w:val="24"/>
              </w:rPr>
            </w:pPr>
            <w:r w:rsidRPr="001A4396">
              <w:rPr>
                <w:rFonts w:ascii="Arabic Typesetting" w:hAnsi="Arabic Typesetting" w:cs="Arabic Typesetting"/>
                <w:sz w:val="24"/>
                <w:szCs w:val="24"/>
              </w:rPr>
              <w:t>118</w:t>
            </w:r>
          </w:p>
        </w:tc>
        <w:tc>
          <w:tcPr>
            <w:tcW w:w="1346" w:type="dxa"/>
            <w:noWrap/>
            <w:hideMark/>
          </w:tcPr>
          <w:p w:rsidR="001A4396" w:rsidRPr="001A4396" w:rsidRDefault="001A4396" w:rsidP="00A759E6">
            <w:pPr>
              <w:bidi/>
              <w:spacing w:before="40" w:after="40"/>
              <w:ind w:right="296"/>
              <w:rPr>
                <w:rFonts w:ascii="Arabic Typesetting" w:hAnsi="Arabic Typesetting" w:cs="Arabic Typesetting"/>
                <w:sz w:val="24"/>
                <w:szCs w:val="24"/>
              </w:rPr>
            </w:pPr>
            <w:r w:rsidRPr="001A4396">
              <w:rPr>
                <w:rFonts w:ascii="Arabic Typesetting" w:hAnsi="Arabic Typesetting" w:cs="Arabic Typesetting"/>
                <w:sz w:val="24"/>
                <w:szCs w:val="24"/>
              </w:rPr>
              <w:t>116</w:t>
            </w:r>
          </w:p>
        </w:tc>
        <w:tc>
          <w:tcPr>
            <w:tcW w:w="1064"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1.02</w:t>
            </w:r>
          </w:p>
        </w:tc>
        <w:tc>
          <w:tcPr>
            <w:tcW w:w="843" w:type="dxa"/>
            <w:noWrap/>
            <w:hideMark/>
          </w:tcPr>
          <w:p w:rsidR="001A4396" w:rsidRPr="001A4396" w:rsidRDefault="001A4396" w:rsidP="00A759E6">
            <w:pPr>
              <w:bidi/>
              <w:spacing w:before="40" w:after="40"/>
              <w:ind w:right="149"/>
              <w:rPr>
                <w:rFonts w:ascii="Arabic Typesetting" w:hAnsi="Arabic Typesetting" w:cs="Arabic Typesetting"/>
                <w:sz w:val="24"/>
                <w:szCs w:val="24"/>
              </w:rPr>
            </w:pPr>
            <w:r w:rsidRPr="001A4396">
              <w:rPr>
                <w:rFonts w:ascii="Arabic Typesetting" w:hAnsi="Arabic Typesetting" w:cs="Arabic Typesetting"/>
                <w:sz w:val="24"/>
                <w:szCs w:val="24"/>
              </w:rPr>
              <w:t>50.9</w:t>
            </w:r>
          </w:p>
        </w:tc>
        <w:tc>
          <w:tcPr>
            <w:tcW w:w="876" w:type="dxa"/>
            <w:noWrap/>
            <w:hideMark/>
          </w:tcPr>
          <w:p w:rsidR="001A4396" w:rsidRPr="001A4396" w:rsidRDefault="001A4396" w:rsidP="001A4396">
            <w:pPr>
              <w:bidi/>
              <w:spacing w:before="40" w:after="40"/>
              <w:ind w:right="149"/>
              <w:jc w:val="right"/>
              <w:rPr>
                <w:rFonts w:ascii="Arabic Typesetting" w:hAnsi="Arabic Typesetting" w:cs="Arabic Typesetting"/>
                <w:sz w:val="24"/>
                <w:szCs w:val="24"/>
              </w:rPr>
            </w:pPr>
            <w:r w:rsidRPr="001A4396">
              <w:rPr>
                <w:rFonts w:ascii="Arabic Typesetting" w:hAnsi="Arabic Typesetting" w:cs="Arabic Typesetting"/>
                <w:sz w:val="24"/>
                <w:szCs w:val="24"/>
              </w:rPr>
              <w:t>152.6</w:t>
            </w:r>
          </w:p>
        </w:tc>
        <w:tc>
          <w:tcPr>
            <w:tcW w:w="2117" w:type="dxa"/>
            <w:noWrap/>
            <w:hideMark/>
          </w:tcPr>
          <w:p w:rsidR="001A4396" w:rsidRPr="001A4396" w:rsidRDefault="00DC44BD" w:rsidP="001A4396">
            <w:pPr>
              <w:bidi/>
              <w:spacing w:before="40" w:after="40"/>
              <w:rPr>
                <w:rFonts w:ascii="Arabic Typesetting" w:hAnsi="Arabic Typesetting" w:cs="Arabic Typesetting"/>
                <w:sz w:val="24"/>
                <w:szCs w:val="24"/>
              </w:rPr>
            </w:pPr>
            <w:r>
              <w:rPr>
                <w:rFonts w:ascii="Arabic Typesetting" w:hAnsi="Arabic Typesetting" w:cs="Arabic Typesetting" w:hint="cs"/>
                <w:sz w:val="24"/>
                <w:szCs w:val="24"/>
                <w:rtl/>
              </w:rPr>
              <w:t>50 إلى 150 كلمة</w:t>
            </w:r>
          </w:p>
        </w:tc>
      </w:tr>
    </w:tbl>
    <w:p w:rsidR="00143999" w:rsidRPr="00143999" w:rsidRDefault="00143999" w:rsidP="00876251">
      <w:pPr>
        <w:pStyle w:val="NumberedParaAR"/>
        <w:numPr>
          <w:ilvl w:val="0"/>
          <w:numId w:val="0"/>
        </w:numPr>
        <w:spacing w:after="60"/>
        <w:rPr>
          <w:b/>
          <w:bCs/>
          <w:sz w:val="40"/>
          <w:szCs w:val="40"/>
        </w:rPr>
      </w:pPr>
      <w:r w:rsidRPr="00143999">
        <w:rPr>
          <w:rFonts w:hint="cs"/>
          <w:b/>
          <w:bCs/>
          <w:sz w:val="40"/>
          <w:szCs w:val="40"/>
          <w:rtl/>
        </w:rPr>
        <w:lastRenderedPageBreak/>
        <w:t>الاستعراض من قبل المكاتب المتلقية</w:t>
      </w:r>
    </w:p>
    <w:p w:rsidR="00CC5CA3" w:rsidRDefault="003E45A1" w:rsidP="00992856">
      <w:pPr>
        <w:pStyle w:val="NumberedParaAR"/>
      </w:pPr>
      <w:r>
        <w:rPr>
          <w:rFonts w:hint="cs"/>
          <w:rtl/>
        </w:rPr>
        <w:t xml:space="preserve">يحيط المكتب الدولي </w:t>
      </w:r>
      <w:proofErr w:type="gramStart"/>
      <w:r>
        <w:rPr>
          <w:rFonts w:hint="cs"/>
          <w:rtl/>
        </w:rPr>
        <w:t>علماً</w:t>
      </w:r>
      <w:proofErr w:type="gramEnd"/>
      <w:r>
        <w:rPr>
          <w:rFonts w:hint="cs"/>
          <w:rtl/>
        </w:rPr>
        <w:t xml:space="preserve"> بالاقتراحات التي </w:t>
      </w:r>
      <w:r w:rsidR="00992856">
        <w:rPr>
          <w:rFonts w:hint="cs"/>
          <w:rtl/>
        </w:rPr>
        <w:t>قُدّمت</w:t>
      </w:r>
      <w:r>
        <w:rPr>
          <w:rFonts w:hint="cs"/>
          <w:rtl/>
        </w:rPr>
        <w:t xml:space="preserve"> في الردود على التعميم</w:t>
      </w:r>
      <w:r>
        <w:t>C. PCT </w:t>
      </w:r>
      <w:proofErr w:type="gramStart"/>
      <w:r>
        <w:t xml:space="preserve">1486 </w:t>
      </w:r>
      <w:r>
        <w:rPr>
          <w:rFonts w:hint="cs"/>
          <w:rtl/>
        </w:rPr>
        <w:t xml:space="preserve"> </w:t>
      </w:r>
      <w:r w:rsidR="00902D3E">
        <w:rPr>
          <w:rFonts w:hint="cs"/>
          <w:rtl/>
        </w:rPr>
        <w:t>والتي</w:t>
      </w:r>
      <w:proofErr w:type="gramEnd"/>
      <w:r w:rsidR="00902D3E">
        <w:rPr>
          <w:rFonts w:hint="cs"/>
          <w:rtl/>
        </w:rPr>
        <w:t xml:space="preserve"> تعرض تدابير يمكن أن تتخذها المكاتب المتلقية</w:t>
      </w:r>
      <w:r w:rsidR="00992856">
        <w:rPr>
          <w:rFonts w:hint="cs"/>
          <w:rtl/>
        </w:rPr>
        <w:t>،</w:t>
      </w:r>
      <w:r w:rsidR="00902D3E">
        <w:rPr>
          <w:rFonts w:hint="cs"/>
          <w:rtl/>
        </w:rPr>
        <w:t xml:space="preserve"> وهو سيبحث احتمال رفع الاقتراحات إلى</w:t>
      </w:r>
      <w:r w:rsidR="00CC5CA3">
        <w:rPr>
          <w:rFonts w:hint="cs"/>
          <w:rtl/>
        </w:rPr>
        <w:t xml:space="preserve"> </w:t>
      </w:r>
      <w:r w:rsidR="00CC5CA3" w:rsidRPr="00CC5CA3">
        <w:rPr>
          <w:rtl/>
        </w:rPr>
        <w:t>الفريق العامل لمعاهدة التعاون بشأن البراءات</w:t>
      </w:r>
      <w:r w:rsidR="00CC5CA3">
        <w:rPr>
          <w:rFonts w:hint="cs"/>
          <w:rtl/>
        </w:rPr>
        <w:t xml:space="preserve">. </w:t>
      </w:r>
      <w:proofErr w:type="gramStart"/>
      <w:r w:rsidR="00CC5CA3">
        <w:rPr>
          <w:rFonts w:hint="cs"/>
          <w:rtl/>
        </w:rPr>
        <w:t>لكن</w:t>
      </w:r>
      <w:proofErr w:type="gramEnd"/>
      <w:r w:rsidR="00CC5CA3">
        <w:rPr>
          <w:rFonts w:hint="cs"/>
          <w:rtl/>
        </w:rPr>
        <w:t xml:space="preserve"> الفكرة الأولية في هذا الخصوص هي أن أي إجراء سيقتصر مبدئياً على استعراض ما إ</w:t>
      </w:r>
      <w:r w:rsidR="00FC07E2">
        <w:rPr>
          <w:rFonts w:hint="cs"/>
          <w:rtl/>
        </w:rPr>
        <w:t>ذ</w:t>
      </w:r>
      <w:r w:rsidR="00CC5CA3">
        <w:rPr>
          <w:rFonts w:hint="cs"/>
          <w:rtl/>
        </w:rPr>
        <w:t xml:space="preserve">ا كانت المبادئ التوجيهية للمكتب المتلقي واضحة كفاية. وتنص الفقرة 147 حالياً </w:t>
      </w:r>
      <w:proofErr w:type="gramStart"/>
      <w:r w:rsidR="00CC5CA3">
        <w:rPr>
          <w:rFonts w:hint="cs"/>
          <w:rtl/>
        </w:rPr>
        <w:t>على</w:t>
      </w:r>
      <w:proofErr w:type="gramEnd"/>
      <w:r w:rsidR="00CC5CA3">
        <w:rPr>
          <w:rFonts w:hint="cs"/>
          <w:rtl/>
        </w:rPr>
        <w:t xml:space="preserve"> ما يلي: </w:t>
      </w:r>
    </w:p>
    <w:p w:rsidR="003438F2" w:rsidRDefault="003438F2" w:rsidP="003438F2">
      <w:pPr>
        <w:pStyle w:val="NumberedParaAR"/>
        <w:numPr>
          <w:ilvl w:val="0"/>
          <w:numId w:val="0"/>
        </w:numPr>
        <w:ind w:left="566"/>
      </w:pPr>
      <w:r>
        <w:rPr>
          <w:rFonts w:hint="cs"/>
          <w:rtl/>
        </w:rPr>
        <w:t xml:space="preserve">"يتحقق المكتب المتلقي </w:t>
      </w:r>
      <w:r w:rsidR="00100F53">
        <w:rPr>
          <w:rFonts w:hint="cs"/>
          <w:rtl/>
        </w:rPr>
        <w:t xml:space="preserve">مما </w:t>
      </w:r>
      <w:r>
        <w:rPr>
          <w:rFonts w:hint="cs"/>
          <w:rtl/>
        </w:rPr>
        <w:t>إذا كان الطلب يتضمن ملخصاً وفق ما تنص عليه المادة 14(1)(أ)(4) لا إذا كان الملخص يمتثل للقاعدة 8 (وتحديداً، لا تقع عل</w:t>
      </w:r>
      <w:r w:rsidR="00100F53">
        <w:rPr>
          <w:rFonts w:hint="cs"/>
          <w:rtl/>
        </w:rPr>
        <w:t>ى</w:t>
      </w:r>
      <w:r>
        <w:rPr>
          <w:rFonts w:hint="cs"/>
          <w:rtl/>
        </w:rPr>
        <w:t xml:space="preserve"> عاتق المكتب المتلقي مسؤولية التحقق مما إذا كان الملخص يتضمن أكثر من 150 كلمة باللغة الإنكليزية أو بعد أن يُترجم إلى اللغة الإنكليزية). ..."</w:t>
      </w:r>
    </w:p>
    <w:p w:rsidR="00DE4ED3" w:rsidRDefault="00EC5F7A" w:rsidP="002A7882">
      <w:pPr>
        <w:pStyle w:val="NumberedParaAR"/>
      </w:pPr>
      <w:r>
        <w:rPr>
          <w:rFonts w:hint="cs"/>
          <w:rtl/>
        </w:rPr>
        <w:t xml:space="preserve">وقد يكون من الملائم أن تلفت المكاتب المتلقية انتباه المودع إلى الحالات القصوى كملخص طويل للغاية أو قصير للغاية أو ملخص يتضمن نصاً </w:t>
      </w:r>
      <w:r w:rsidR="00256B7C">
        <w:rPr>
          <w:rFonts w:hint="cs"/>
          <w:rtl/>
        </w:rPr>
        <w:t xml:space="preserve">يتضح جلياً أنه غير سليم. </w:t>
      </w:r>
      <w:proofErr w:type="gramStart"/>
      <w:r w:rsidR="00256B7C">
        <w:rPr>
          <w:rFonts w:hint="cs"/>
          <w:rtl/>
        </w:rPr>
        <w:t>لكن</w:t>
      </w:r>
      <w:proofErr w:type="gramEnd"/>
      <w:r w:rsidR="00256B7C">
        <w:rPr>
          <w:rFonts w:hint="cs"/>
          <w:rtl/>
        </w:rPr>
        <w:t xml:space="preserve"> المكتب المتلقي لن يكون عامة في موقع يسمح له </w:t>
      </w:r>
      <w:r w:rsidR="00BA2A09">
        <w:rPr>
          <w:rFonts w:hint="cs"/>
          <w:rtl/>
        </w:rPr>
        <w:t xml:space="preserve">بأن يحكم على </w:t>
      </w:r>
      <w:r w:rsidR="00256B7C">
        <w:rPr>
          <w:rFonts w:hint="cs"/>
          <w:rtl/>
        </w:rPr>
        <w:t xml:space="preserve">جودة </w:t>
      </w:r>
      <w:r w:rsidR="00BA2A09">
        <w:rPr>
          <w:rFonts w:hint="cs"/>
          <w:rtl/>
        </w:rPr>
        <w:t xml:space="preserve">النص </w:t>
      </w:r>
      <w:r w:rsidR="00256B7C">
        <w:rPr>
          <w:rFonts w:hint="cs"/>
          <w:rtl/>
        </w:rPr>
        <w:t xml:space="preserve">الموضوعية </w:t>
      </w:r>
      <w:r w:rsidR="00BA2A09">
        <w:rPr>
          <w:rFonts w:hint="cs"/>
          <w:rtl/>
        </w:rPr>
        <w:t xml:space="preserve">وأن يبتّ بالتالي في </w:t>
      </w:r>
      <w:r w:rsidR="00100F53">
        <w:rPr>
          <w:rFonts w:hint="cs"/>
          <w:rtl/>
        </w:rPr>
        <w:t>جدوى</w:t>
      </w:r>
      <w:r w:rsidR="00BA2A09">
        <w:rPr>
          <w:rFonts w:hint="cs"/>
          <w:rtl/>
        </w:rPr>
        <w:t xml:space="preserve"> أن يتخطى طول النص </w:t>
      </w:r>
      <w:r w:rsidR="00100F53">
        <w:rPr>
          <w:rFonts w:hint="cs"/>
          <w:rtl/>
        </w:rPr>
        <w:t>النطاق</w:t>
      </w:r>
      <w:r w:rsidR="00BA2A09">
        <w:rPr>
          <w:rFonts w:hint="cs"/>
          <w:rtl/>
        </w:rPr>
        <w:t xml:space="preserve"> العادي </w:t>
      </w:r>
      <w:proofErr w:type="spellStart"/>
      <w:r w:rsidR="00BA2A09">
        <w:rPr>
          <w:rFonts w:hint="cs"/>
          <w:rtl/>
        </w:rPr>
        <w:t>الموصى</w:t>
      </w:r>
      <w:proofErr w:type="spellEnd"/>
      <w:r w:rsidR="00BA2A09">
        <w:rPr>
          <w:rFonts w:hint="cs"/>
          <w:rtl/>
        </w:rPr>
        <w:t xml:space="preserve"> به. </w:t>
      </w:r>
      <w:proofErr w:type="gramStart"/>
      <w:r w:rsidR="00BA2A09">
        <w:rPr>
          <w:rFonts w:hint="cs"/>
          <w:rtl/>
        </w:rPr>
        <w:t>ومن</w:t>
      </w:r>
      <w:proofErr w:type="gramEnd"/>
      <w:r w:rsidR="00BA2A09">
        <w:rPr>
          <w:rFonts w:hint="cs"/>
          <w:rtl/>
        </w:rPr>
        <w:t xml:space="preserve"> هنا</w:t>
      </w:r>
      <w:r w:rsidR="002A7882">
        <w:rPr>
          <w:rFonts w:hint="cs"/>
          <w:rtl/>
        </w:rPr>
        <w:t>،</w:t>
      </w:r>
      <w:r w:rsidR="00BA2A09">
        <w:rPr>
          <w:rFonts w:hint="cs"/>
          <w:rtl/>
        </w:rPr>
        <w:t xml:space="preserve"> فقد </w:t>
      </w:r>
      <w:r w:rsidR="009516DE">
        <w:rPr>
          <w:rFonts w:hint="cs"/>
          <w:rtl/>
        </w:rPr>
        <w:t xml:space="preserve">يُستساغ تكييف أنظمة الإيداع بحيث تنبّه المودع قبل الإيداع إلى أن طول الملخص يتخطى </w:t>
      </w:r>
      <w:r w:rsidR="002A7882">
        <w:rPr>
          <w:rFonts w:hint="cs"/>
          <w:rtl/>
        </w:rPr>
        <w:t>النطاق</w:t>
      </w:r>
      <w:r w:rsidR="009516DE">
        <w:rPr>
          <w:rFonts w:hint="cs"/>
          <w:rtl/>
        </w:rPr>
        <w:t xml:space="preserve"> المتوقع لكن لا يبدو مفيداً الطلب إلى المكاتب المتلقية أن تتحقق من عدد الكلمات. </w:t>
      </w:r>
      <w:proofErr w:type="gramStart"/>
      <w:r w:rsidR="00833342">
        <w:rPr>
          <w:rFonts w:hint="cs"/>
          <w:rtl/>
        </w:rPr>
        <w:t>ولا</w:t>
      </w:r>
      <w:proofErr w:type="gramEnd"/>
      <w:r w:rsidR="00833342">
        <w:rPr>
          <w:rFonts w:hint="cs"/>
          <w:rtl/>
        </w:rPr>
        <w:t xml:space="preserve"> يرى المكتب الدولي أنه من المستحب اللجوء إلى حوافز مرتبطة بالرسوم لأن من شأنها أن تُقلّص فعالية العملية بشكل عام. </w:t>
      </w:r>
      <w:proofErr w:type="gramStart"/>
      <w:r w:rsidR="00916752">
        <w:rPr>
          <w:rFonts w:hint="cs"/>
          <w:rtl/>
        </w:rPr>
        <w:t>وعلاوة</w:t>
      </w:r>
      <w:proofErr w:type="gramEnd"/>
      <w:r w:rsidR="00916752">
        <w:rPr>
          <w:rFonts w:hint="cs"/>
          <w:rtl/>
        </w:rPr>
        <w:t xml:space="preserve"> على ذلك، فقد تكون كلفة تطبيق هذه الحوافز أكبر من الكلفة التي يمكن تبريرها لتحسين الجودة </w:t>
      </w:r>
      <w:r w:rsidR="00DE4ED3">
        <w:rPr>
          <w:rFonts w:hint="cs"/>
          <w:rtl/>
        </w:rPr>
        <w:t xml:space="preserve">لو كان المكتب المتلقي يدير العملية، خاصة وأنه غير مؤهل للحكم على جودة النتيجة. </w:t>
      </w:r>
    </w:p>
    <w:p w:rsidR="00DE4ED3" w:rsidRDefault="00DE4ED3" w:rsidP="00E43ACE">
      <w:pPr>
        <w:pStyle w:val="NumberedParaAR"/>
        <w:numPr>
          <w:ilvl w:val="0"/>
          <w:numId w:val="0"/>
        </w:numPr>
        <w:spacing w:after="60"/>
      </w:pPr>
      <w:r w:rsidRPr="00143999">
        <w:rPr>
          <w:rFonts w:hint="cs"/>
          <w:b/>
          <w:bCs/>
          <w:sz w:val="40"/>
          <w:szCs w:val="40"/>
          <w:rtl/>
        </w:rPr>
        <w:t>الاستعراض من قبل</w:t>
      </w:r>
      <w:r>
        <w:rPr>
          <w:rFonts w:hint="cs"/>
          <w:b/>
          <w:bCs/>
          <w:sz w:val="40"/>
          <w:szCs w:val="40"/>
          <w:rtl/>
        </w:rPr>
        <w:t xml:space="preserve"> </w:t>
      </w:r>
      <w:r w:rsidR="00901BE6">
        <w:rPr>
          <w:rFonts w:hint="cs"/>
          <w:b/>
          <w:bCs/>
          <w:sz w:val="40"/>
          <w:szCs w:val="40"/>
          <w:rtl/>
        </w:rPr>
        <w:t>الإدارات</w:t>
      </w:r>
      <w:r>
        <w:rPr>
          <w:rFonts w:hint="cs"/>
          <w:b/>
          <w:bCs/>
          <w:sz w:val="40"/>
          <w:szCs w:val="40"/>
          <w:rtl/>
        </w:rPr>
        <w:t xml:space="preserve"> الدولية</w:t>
      </w:r>
    </w:p>
    <w:p w:rsidR="0037508B" w:rsidRDefault="00834083" w:rsidP="00336FED">
      <w:pPr>
        <w:pStyle w:val="NumberedParaAR"/>
      </w:pPr>
      <w:proofErr w:type="gramStart"/>
      <w:r>
        <w:rPr>
          <w:rFonts w:hint="cs"/>
          <w:rtl/>
        </w:rPr>
        <w:t>يتضح</w:t>
      </w:r>
      <w:proofErr w:type="gramEnd"/>
      <w:r>
        <w:rPr>
          <w:rFonts w:hint="cs"/>
          <w:rtl/>
        </w:rPr>
        <w:t xml:space="preserve"> جلياً أن وحدها </w:t>
      </w:r>
      <w:r w:rsidR="00336FED">
        <w:rPr>
          <w:rFonts w:hint="cs"/>
          <w:rtl/>
        </w:rPr>
        <w:t>إدارة</w:t>
      </w:r>
      <w:r>
        <w:rPr>
          <w:rFonts w:hint="cs"/>
          <w:rtl/>
        </w:rPr>
        <w:t xml:space="preserve"> البحث الدولية قادرة على الحكم على مضمون ملخص ما. وتُسن</w:t>
      </w:r>
      <w:r w:rsidR="00336FED">
        <w:rPr>
          <w:rFonts w:hint="cs"/>
          <w:rtl/>
        </w:rPr>
        <w:t>ِ</w:t>
      </w:r>
      <w:r>
        <w:rPr>
          <w:rFonts w:hint="cs"/>
          <w:rtl/>
        </w:rPr>
        <w:t xml:space="preserve">د القاعدة 2.38 </w:t>
      </w:r>
      <w:proofErr w:type="gramStart"/>
      <w:r>
        <w:rPr>
          <w:rFonts w:hint="cs"/>
          <w:rtl/>
        </w:rPr>
        <w:t>إلى</w:t>
      </w:r>
      <w:proofErr w:type="gramEnd"/>
      <w:r>
        <w:rPr>
          <w:rFonts w:hint="cs"/>
          <w:rtl/>
        </w:rPr>
        <w:t xml:space="preserve"> </w:t>
      </w:r>
      <w:r w:rsidR="00336FED">
        <w:rPr>
          <w:rFonts w:hint="cs"/>
          <w:rtl/>
        </w:rPr>
        <w:t>إدارة</w:t>
      </w:r>
      <w:r>
        <w:rPr>
          <w:rFonts w:hint="cs"/>
          <w:rtl/>
        </w:rPr>
        <w:t xml:space="preserve"> البحث الدولي مهمة وضع ملخص إذا لم </w:t>
      </w:r>
      <w:r w:rsidR="00336FED">
        <w:rPr>
          <w:rFonts w:hint="cs"/>
          <w:rtl/>
        </w:rPr>
        <w:t>يُقدم</w:t>
      </w:r>
      <w:r>
        <w:rPr>
          <w:rFonts w:hint="cs"/>
          <w:rtl/>
        </w:rPr>
        <w:t xml:space="preserve"> </w:t>
      </w:r>
      <w:r w:rsidR="00336FED">
        <w:rPr>
          <w:rFonts w:hint="cs"/>
          <w:rtl/>
        </w:rPr>
        <w:t xml:space="preserve">المودع </w:t>
      </w:r>
      <w:r>
        <w:rPr>
          <w:rFonts w:hint="cs"/>
          <w:rtl/>
        </w:rPr>
        <w:t>ملخص</w:t>
      </w:r>
      <w:r w:rsidR="00336FED">
        <w:rPr>
          <w:rFonts w:hint="cs"/>
          <w:rtl/>
        </w:rPr>
        <w:t>اً</w:t>
      </w:r>
      <w:r>
        <w:rPr>
          <w:rFonts w:hint="cs"/>
          <w:rtl/>
        </w:rPr>
        <w:t xml:space="preserve"> أو إذا كان الملخص المودع </w:t>
      </w:r>
      <w:r w:rsidRPr="00834083">
        <w:rPr>
          <w:rtl/>
          <w:lang w:bidi="ar-EG"/>
        </w:rPr>
        <w:t>لا يتمشى مع أحكام القاعدة 8</w:t>
      </w:r>
      <w:r>
        <w:rPr>
          <w:rFonts w:hint="cs"/>
          <w:rtl/>
          <w:lang w:bidi="ar-EG"/>
        </w:rPr>
        <w:t xml:space="preserve">. ويأمل </w:t>
      </w:r>
      <w:r w:rsidR="00A12FD8">
        <w:rPr>
          <w:rFonts w:hint="cs"/>
          <w:rtl/>
          <w:lang w:bidi="ar-EG"/>
        </w:rPr>
        <w:t>المكتب الدولي أن ي</w:t>
      </w:r>
      <w:r>
        <w:rPr>
          <w:rFonts w:hint="cs"/>
          <w:rtl/>
          <w:lang w:bidi="ar-EG"/>
        </w:rPr>
        <w:t xml:space="preserve">تسنى خفض كلفة الترجمة </w:t>
      </w:r>
      <w:r w:rsidR="00A12FD8">
        <w:rPr>
          <w:rFonts w:hint="cs"/>
          <w:rtl/>
          <w:lang w:bidi="ar-EG"/>
        </w:rPr>
        <w:t>من خلال تقليص حجم الملخصات الطويلة واختيار عدد أقل من</w:t>
      </w:r>
      <w:r w:rsidR="00AA4ED5">
        <w:rPr>
          <w:rFonts w:hint="cs"/>
          <w:rtl/>
          <w:lang w:bidi="ar-EG"/>
        </w:rPr>
        <w:t xml:space="preserve"> الرسوم المصاحبة للملخص التي</w:t>
      </w:r>
      <w:r w:rsidR="00A12FD8">
        <w:rPr>
          <w:rFonts w:hint="cs"/>
          <w:rtl/>
          <w:lang w:bidi="ar-EG"/>
        </w:rPr>
        <w:t xml:space="preserve"> تضمّ عدداً كبيراً من الكلمات. </w:t>
      </w:r>
      <w:proofErr w:type="gramStart"/>
      <w:r w:rsidR="0037508B">
        <w:rPr>
          <w:rFonts w:hint="cs"/>
          <w:rtl/>
          <w:lang w:bidi="ar-EG"/>
        </w:rPr>
        <w:t>لكن</w:t>
      </w:r>
      <w:proofErr w:type="gramEnd"/>
      <w:r w:rsidR="0037508B">
        <w:rPr>
          <w:rFonts w:hint="cs"/>
          <w:rtl/>
          <w:lang w:bidi="ar-EG"/>
        </w:rPr>
        <w:t xml:space="preserve"> في نهاية المطاف</w:t>
      </w:r>
      <w:r w:rsidR="0037508B" w:rsidRPr="0037508B">
        <w:rPr>
          <w:rFonts w:hint="cs"/>
          <w:rtl/>
          <w:lang w:bidi="ar-EG"/>
        </w:rPr>
        <w:t xml:space="preserve"> </w:t>
      </w:r>
      <w:r w:rsidR="0037508B">
        <w:rPr>
          <w:rFonts w:hint="cs"/>
          <w:rtl/>
          <w:lang w:bidi="ar-EG"/>
        </w:rPr>
        <w:t xml:space="preserve">ينبغي أن يكون العامل الرئيسي ضمان أن تفي الملخصات والرسوم الغرض الذي وُضعت لأجله. </w:t>
      </w:r>
    </w:p>
    <w:p w:rsidR="00265F41" w:rsidRDefault="007D11B9" w:rsidP="000B5FE0">
      <w:pPr>
        <w:pStyle w:val="NumberedParaAR"/>
      </w:pPr>
      <w:proofErr w:type="gramStart"/>
      <w:r>
        <w:rPr>
          <w:rFonts w:hint="cs"/>
          <w:rtl/>
        </w:rPr>
        <w:t>وترد</w:t>
      </w:r>
      <w:proofErr w:type="gramEnd"/>
      <w:r>
        <w:rPr>
          <w:rFonts w:hint="cs"/>
          <w:rtl/>
        </w:rPr>
        <w:t xml:space="preserve"> أهم الإرشادات </w:t>
      </w:r>
      <w:r w:rsidR="00A244B4">
        <w:rPr>
          <w:rFonts w:hint="cs"/>
          <w:rtl/>
        </w:rPr>
        <w:t xml:space="preserve">التي تساعد </w:t>
      </w:r>
      <w:r w:rsidR="00866941">
        <w:rPr>
          <w:rFonts w:hint="cs"/>
          <w:rtl/>
        </w:rPr>
        <w:t>الإدارات</w:t>
      </w:r>
      <w:r>
        <w:rPr>
          <w:rFonts w:hint="cs"/>
          <w:rtl/>
        </w:rPr>
        <w:t xml:space="preserve"> الدولي</w:t>
      </w:r>
      <w:r w:rsidR="00866941">
        <w:rPr>
          <w:rFonts w:hint="cs"/>
          <w:rtl/>
        </w:rPr>
        <w:t>ة</w:t>
      </w:r>
      <w:r>
        <w:rPr>
          <w:rFonts w:hint="cs"/>
          <w:rtl/>
        </w:rPr>
        <w:t xml:space="preserve"> في </w:t>
      </w:r>
      <w:r w:rsidR="00A244B4">
        <w:rPr>
          <w:rFonts w:hint="cs"/>
          <w:rtl/>
        </w:rPr>
        <w:t xml:space="preserve">تحديد ملاءمة الملخص وفي كيفية صياغة التعديلات في الفقرتين 36.16 و37.16 </w:t>
      </w:r>
      <w:proofErr w:type="gramStart"/>
      <w:r w:rsidR="00A244B4">
        <w:rPr>
          <w:rFonts w:hint="cs"/>
          <w:rtl/>
        </w:rPr>
        <w:t>من</w:t>
      </w:r>
      <w:proofErr w:type="gramEnd"/>
      <w:r w:rsidR="00A244B4">
        <w:rPr>
          <w:rFonts w:hint="cs"/>
          <w:rtl/>
        </w:rPr>
        <w:t xml:space="preserve"> ا</w:t>
      </w:r>
      <w:r w:rsidR="00A244B4" w:rsidRPr="00A244B4">
        <w:rPr>
          <w:rtl/>
        </w:rPr>
        <w:t>لمبادئ التوجيهية بشأن البحث الدولي والفحص التمهيدي الدولي</w:t>
      </w:r>
      <w:r w:rsidR="00A244B4">
        <w:rPr>
          <w:rFonts w:hint="cs"/>
          <w:rtl/>
        </w:rPr>
        <w:t xml:space="preserve">. </w:t>
      </w:r>
      <w:r w:rsidR="00866941">
        <w:rPr>
          <w:rFonts w:hint="cs"/>
          <w:rtl/>
        </w:rPr>
        <w:t xml:space="preserve">واتفقت الإدارات الدولية في </w:t>
      </w:r>
      <w:r w:rsidR="00866941" w:rsidRPr="00866941">
        <w:rPr>
          <w:rtl/>
        </w:rPr>
        <w:t>الدورة الرابعة والعشرين لاجتماع الإدارات الدولية العاملة في ظل معاهدة التعاون بشأن البراءات</w:t>
      </w:r>
      <w:r w:rsidR="00866941">
        <w:rPr>
          <w:rFonts w:hint="cs"/>
          <w:rtl/>
        </w:rPr>
        <w:t xml:space="preserve"> على استعراض هذه الإرشادات للتأكد من أنها ملائمة ومتّبعة على النحو المطلوب</w:t>
      </w:r>
      <w:r w:rsidR="00ED5400">
        <w:rPr>
          <w:rFonts w:hint="cs"/>
          <w:rtl/>
        </w:rPr>
        <w:t xml:space="preserve"> (انظر الفقرات من 43 إلى 51 من الوثيقة </w:t>
      </w:r>
      <w:r w:rsidR="00ED5400">
        <w:t>PCT/MIA/24/15</w:t>
      </w:r>
      <w:r w:rsidR="00ED5400">
        <w:rPr>
          <w:rFonts w:hint="cs"/>
          <w:rtl/>
        </w:rPr>
        <w:t xml:space="preserve">). </w:t>
      </w:r>
      <w:proofErr w:type="gramStart"/>
      <w:r w:rsidR="00CD1F6D">
        <w:rPr>
          <w:rFonts w:hint="cs"/>
          <w:rtl/>
        </w:rPr>
        <w:t>لكن</w:t>
      </w:r>
      <w:proofErr w:type="gramEnd"/>
      <w:r w:rsidR="00CD1F6D">
        <w:rPr>
          <w:rFonts w:hint="cs"/>
          <w:rtl/>
        </w:rPr>
        <w:t xml:space="preserve"> شُدّد على أنه من واجب المودع أن يقدم م</w:t>
      </w:r>
      <w:r w:rsidR="003D6A58">
        <w:rPr>
          <w:rFonts w:hint="cs"/>
          <w:rtl/>
        </w:rPr>
        <w:t xml:space="preserve">لخصاً ملائماً وأنه لا ينبغي أن </w:t>
      </w:r>
      <w:r w:rsidR="000B5FE0">
        <w:rPr>
          <w:rFonts w:hint="cs"/>
          <w:rtl/>
        </w:rPr>
        <w:t>تُ</w:t>
      </w:r>
      <w:r w:rsidR="00CD1F6D">
        <w:rPr>
          <w:rFonts w:hint="cs"/>
          <w:rtl/>
        </w:rPr>
        <w:t>صبح</w:t>
      </w:r>
      <w:r w:rsidR="003D6A58">
        <w:rPr>
          <w:rFonts w:hint="cs"/>
          <w:rtl/>
        </w:rPr>
        <w:t xml:space="preserve"> </w:t>
      </w:r>
      <w:r w:rsidR="000B5FE0">
        <w:rPr>
          <w:rFonts w:hint="cs"/>
          <w:rtl/>
        </w:rPr>
        <w:t>القاعدة أن تضطر</w:t>
      </w:r>
      <w:r w:rsidR="003D6A58">
        <w:rPr>
          <w:rFonts w:hint="cs"/>
          <w:rtl/>
        </w:rPr>
        <w:t xml:space="preserve"> الإدارة الدولية إلى إجراء </w:t>
      </w:r>
      <w:r w:rsidR="00CD1F6D">
        <w:rPr>
          <w:rFonts w:hint="cs"/>
          <w:rtl/>
        </w:rPr>
        <w:t xml:space="preserve">مراجعة </w:t>
      </w:r>
      <w:r w:rsidR="003D6A58">
        <w:rPr>
          <w:rFonts w:hint="cs"/>
          <w:rtl/>
        </w:rPr>
        <w:t xml:space="preserve">كبيرة. </w:t>
      </w:r>
      <w:proofErr w:type="gramStart"/>
      <w:r w:rsidR="003D6A58">
        <w:rPr>
          <w:rFonts w:hint="cs"/>
          <w:rtl/>
        </w:rPr>
        <w:t>وبناءً</w:t>
      </w:r>
      <w:proofErr w:type="gramEnd"/>
      <w:r w:rsidR="003D6A58">
        <w:rPr>
          <w:rFonts w:hint="cs"/>
          <w:rtl/>
        </w:rPr>
        <w:t xml:space="preserve"> عليه، ينبغي إجراء هذا الاستعراض في سياق التعديلات ذات الصلة على دليل المودع. </w:t>
      </w:r>
    </w:p>
    <w:p w:rsidR="008529E4" w:rsidRPr="008529E4" w:rsidRDefault="008529E4" w:rsidP="00AC1EA8">
      <w:pPr>
        <w:pStyle w:val="NumberedParaAR"/>
        <w:numPr>
          <w:ilvl w:val="0"/>
          <w:numId w:val="0"/>
        </w:numPr>
        <w:spacing w:after="60"/>
        <w:rPr>
          <w:b/>
          <w:bCs/>
          <w:sz w:val="40"/>
          <w:szCs w:val="40"/>
        </w:rPr>
      </w:pPr>
      <w:proofErr w:type="gramStart"/>
      <w:r w:rsidRPr="008529E4">
        <w:rPr>
          <w:rFonts w:hint="cs"/>
          <w:b/>
          <w:bCs/>
          <w:sz w:val="40"/>
          <w:szCs w:val="40"/>
          <w:rtl/>
        </w:rPr>
        <w:t>الخطوات</w:t>
      </w:r>
      <w:proofErr w:type="gramEnd"/>
      <w:r w:rsidRPr="008529E4">
        <w:rPr>
          <w:rFonts w:hint="cs"/>
          <w:b/>
          <w:bCs/>
          <w:sz w:val="40"/>
          <w:szCs w:val="40"/>
          <w:rtl/>
        </w:rPr>
        <w:t xml:space="preserve"> المقبلة</w:t>
      </w:r>
    </w:p>
    <w:p w:rsidR="003D6A58" w:rsidRDefault="005146AE" w:rsidP="005146AE">
      <w:pPr>
        <w:pStyle w:val="NumberedParaAR"/>
      </w:pPr>
      <w:r>
        <w:rPr>
          <w:rFonts w:hint="cs"/>
          <w:rtl/>
        </w:rPr>
        <w:t xml:space="preserve">يعتزم المكتب الدولي إجراء مشاورات بشأن التعديلات المحتملة على دليل المودع </w:t>
      </w:r>
      <w:r w:rsidRPr="005146AE">
        <w:rPr>
          <w:rtl/>
        </w:rPr>
        <w:t>بناء على معاهدة التعاون بشأن البراءات</w:t>
      </w:r>
      <w:r>
        <w:rPr>
          <w:rFonts w:hint="cs"/>
          <w:rtl/>
        </w:rPr>
        <w:t xml:space="preserve"> وا</w:t>
      </w:r>
      <w:r w:rsidRPr="00A244B4">
        <w:rPr>
          <w:rtl/>
        </w:rPr>
        <w:t>لمبادئ التوجيهية بشأن البحث الدولي والفحص التمهيدي الدولي</w:t>
      </w:r>
      <w:r>
        <w:rPr>
          <w:rFonts w:hint="cs"/>
          <w:rtl/>
        </w:rPr>
        <w:t>.</w:t>
      </w:r>
      <w:r w:rsidR="00DF144A">
        <w:rPr>
          <w:rFonts w:hint="cs"/>
          <w:rtl/>
        </w:rPr>
        <w:t xml:space="preserve"> وكما ورد في الفقرة 13 أعلاه، سيُرحب المكتب بأي</w:t>
      </w:r>
      <w:r w:rsidR="00736460">
        <w:rPr>
          <w:rFonts w:hint="cs"/>
          <w:rtl/>
        </w:rPr>
        <w:t>ة</w:t>
      </w:r>
      <w:r w:rsidR="00DF144A">
        <w:rPr>
          <w:rFonts w:hint="cs"/>
          <w:rtl/>
        </w:rPr>
        <w:t xml:space="preserve"> معلومات عن مبادئ توجيهية وطنية قد تُفيد في صياغة هذه التعديلات. </w:t>
      </w:r>
      <w:r w:rsidR="00CE1F83">
        <w:rPr>
          <w:rFonts w:hint="cs"/>
          <w:rtl/>
        </w:rPr>
        <w:t xml:space="preserve">كما يُرحب أيضاً بأية تعليقات على مسألة إقناع المودعين بما يعود عليهم تقديم ملخصات عالية الجودة من منافع. </w:t>
      </w:r>
    </w:p>
    <w:p w:rsidR="00CE1F83" w:rsidRDefault="001C4832" w:rsidP="00736460">
      <w:pPr>
        <w:pStyle w:val="NumberedParaAR"/>
      </w:pPr>
      <w:r>
        <w:rPr>
          <w:rFonts w:hint="cs"/>
          <w:rtl/>
        </w:rPr>
        <w:lastRenderedPageBreak/>
        <w:t xml:space="preserve">بالإضافة إلى ذلك، سيُعدّل نظام </w:t>
      </w:r>
      <w:r w:rsidRPr="001C4832">
        <w:rPr>
          <w:rtl/>
        </w:rPr>
        <w:t>الإيداع الإلكتروني بناء على معاهدة التعاون بشأن البراءات</w:t>
      </w:r>
      <w:r>
        <w:rPr>
          <w:rFonts w:hint="cs"/>
          <w:rtl/>
        </w:rPr>
        <w:t xml:space="preserve"> بحيث يتسنى، عند الإمكان، تعداد الكلمات في الملخصات </w:t>
      </w:r>
      <w:r w:rsidR="00FB6A47">
        <w:rPr>
          <w:rFonts w:hint="cs"/>
          <w:rtl/>
        </w:rPr>
        <w:t xml:space="preserve">وتنبيه المودع حين يتخطى عدد الكلمات </w:t>
      </w:r>
      <w:r w:rsidR="00736460">
        <w:rPr>
          <w:rFonts w:hint="cs"/>
          <w:rtl/>
        </w:rPr>
        <w:t>النطاق</w:t>
      </w:r>
      <w:r w:rsidR="00FB6A47">
        <w:rPr>
          <w:rFonts w:hint="cs"/>
          <w:rtl/>
        </w:rPr>
        <w:t xml:space="preserve"> المتوقع. </w:t>
      </w:r>
      <w:proofErr w:type="gramStart"/>
      <w:r w:rsidR="00FB6A47">
        <w:rPr>
          <w:rFonts w:hint="cs"/>
          <w:rtl/>
        </w:rPr>
        <w:t>لكن</w:t>
      </w:r>
      <w:proofErr w:type="gramEnd"/>
      <w:r w:rsidR="00FB6A47">
        <w:rPr>
          <w:rFonts w:hint="cs"/>
          <w:rtl/>
        </w:rPr>
        <w:t xml:space="preserve"> ذلك لن يمنع المودع من تقديم ملخص أطول أو أقصر من المعتاد. </w:t>
      </w:r>
      <w:proofErr w:type="gramStart"/>
      <w:r w:rsidR="00FB6A47">
        <w:rPr>
          <w:rFonts w:hint="cs"/>
          <w:rtl/>
        </w:rPr>
        <w:t>وتُدعى</w:t>
      </w:r>
      <w:proofErr w:type="gramEnd"/>
      <w:r w:rsidR="00FB6A47">
        <w:rPr>
          <w:rFonts w:hint="cs"/>
          <w:rtl/>
        </w:rPr>
        <w:t xml:space="preserve"> المكاتب المتلقية التي تحتفظ بأنظمة الإيداع الخاصة بها أن تنظر في اعتماد تدابير مماثلة. </w:t>
      </w:r>
    </w:p>
    <w:p w:rsidR="00416A36" w:rsidRDefault="00416A36" w:rsidP="00416A36">
      <w:pPr>
        <w:pStyle w:val="DecisionParaAR"/>
      </w:pPr>
      <w:r w:rsidRPr="00416A36">
        <w:rPr>
          <w:rtl/>
        </w:rPr>
        <w:t>إن الفريق العامل مدعو إلى التعليق على التدابير التي قد تُتخذ لخفض تكاليف الترجمة وتحسين جودة المعلومات المتعلقة بالملخصات والرسوم المصاحبة لها.</w:t>
      </w:r>
    </w:p>
    <w:p w:rsidR="00416A36" w:rsidRDefault="00416A36" w:rsidP="00416A36">
      <w:pPr>
        <w:pStyle w:val="EndofDocumentAR"/>
        <w:rPr>
          <w:lang w:bidi="ar-EG"/>
        </w:rPr>
      </w:pPr>
      <w:r w:rsidRPr="00345D5C">
        <w:rPr>
          <w:rtl/>
        </w:rPr>
        <w:t>[</w:t>
      </w:r>
      <w:proofErr w:type="gramStart"/>
      <w:r w:rsidRPr="00345D5C">
        <w:rPr>
          <w:rtl/>
        </w:rPr>
        <w:t>نهاية</w:t>
      </w:r>
      <w:proofErr w:type="gramEnd"/>
      <w:r w:rsidRPr="00345D5C">
        <w:rPr>
          <w:rtl/>
        </w:rPr>
        <w:t xml:space="preserve"> الوثيقة]</w:t>
      </w:r>
    </w:p>
    <w:p w:rsidR="00416A36" w:rsidRDefault="00416A36" w:rsidP="00416A36">
      <w:pPr>
        <w:pStyle w:val="EndofDocumentAR"/>
      </w:pPr>
    </w:p>
    <w:p w:rsidR="00AF538E" w:rsidRDefault="00AF538E" w:rsidP="007F38D1">
      <w:pPr>
        <w:pStyle w:val="NormalParaAR"/>
        <w:rPr>
          <w:rtl/>
        </w:rPr>
      </w:pPr>
    </w:p>
    <w:sectPr w:rsidR="00AF538E"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F4E" w:rsidRDefault="007F6F4E">
      <w:r>
        <w:separator/>
      </w:r>
    </w:p>
  </w:endnote>
  <w:endnote w:type="continuationSeparator" w:id="0">
    <w:p w:rsidR="007F6F4E" w:rsidRDefault="007F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F4E" w:rsidRDefault="007F6F4E" w:rsidP="009622BF">
      <w:pPr>
        <w:bidi/>
      </w:pPr>
      <w:bookmarkStart w:id="0" w:name="OLE_LINK1"/>
      <w:bookmarkStart w:id="1" w:name="OLE_LINK2"/>
      <w:r>
        <w:separator/>
      </w:r>
      <w:bookmarkEnd w:id="0"/>
      <w:bookmarkEnd w:id="1"/>
    </w:p>
  </w:footnote>
  <w:footnote w:type="continuationSeparator" w:id="0">
    <w:p w:rsidR="007F6F4E" w:rsidRDefault="007F6F4E"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6F150D">
    <w:r>
      <w:t>PCT</w:t>
    </w:r>
    <w:r w:rsidR="00772E46">
      <w:t>/</w:t>
    </w:r>
    <w:r w:rsidR="00C742C5">
      <w:t>WG</w:t>
    </w:r>
    <w:r w:rsidR="002F77FC">
      <w:t>/</w:t>
    </w:r>
    <w:r w:rsidR="00AF538E" w:rsidRPr="00AF538E">
      <w:rPr>
        <w:rFonts w:hint="cs"/>
        <w:szCs w:val="22"/>
        <w:rtl/>
      </w:rPr>
      <w:t>10</w:t>
    </w:r>
    <w:r w:rsidR="002F77FC">
      <w:t>/</w:t>
    </w:r>
    <w:r w:rsidR="006F150D">
      <w:t>23</w:t>
    </w:r>
  </w:p>
  <w:p w:rsidR="002F77FC" w:rsidRDefault="002F77FC" w:rsidP="00D61541">
    <w:r>
      <w:fldChar w:fldCharType="begin"/>
    </w:r>
    <w:r>
      <w:instrText xml:space="preserve"> PAGE  \* MERGEFORMAT </w:instrText>
    </w:r>
    <w:r>
      <w:fldChar w:fldCharType="separate"/>
    </w:r>
    <w:r w:rsidR="00905D65">
      <w:rPr>
        <w:noProof/>
      </w:rPr>
      <w:t>7</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1436911"/>
    <w:multiLevelType w:val="hybridMultilevel"/>
    <w:tmpl w:val="13DE6FD8"/>
    <w:lvl w:ilvl="0" w:tplc="92C6452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nsid w:val="177D5000"/>
    <w:multiLevelType w:val="singleLevel"/>
    <w:tmpl w:val="0409000F"/>
    <w:lvl w:ilvl="0">
      <w:start w:val="1"/>
      <w:numFmt w:val="decimal"/>
      <w:lvlText w:val="%1."/>
      <w:lvlJc w:val="left"/>
      <w:pPr>
        <w:tabs>
          <w:tab w:val="num" w:pos="360"/>
        </w:tabs>
        <w:ind w:left="360" w:hanging="360"/>
      </w:pPr>
    </w:lvl>
  </w:abstractNum>
  <w:abstractNum w:abstractNumId="13">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607410B"/>
    <w:multiLevelType w:val="hybridMultilevel"/>
    <w:tmpl w:val="146A79C4"/>
    <w:lvl w:ilvl="0" w:tplc="92C6452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E1515B8"/>
    <w:multiLevelType w:val="hybridMultilevel"/>
    <w:tmpl w:val="FDFC4A40"/>
    <w:lvl w:ilvl="0" w:tplc="9B1634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B137C04"/>
    <w:multiLevelType w:val="hybridMultilevel"/>
    <w:tmpl w:val="EEF61784"/>
    <w:lvl w:ilvl="0" w:tplc="92C6452E">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2">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15"/>
  </w:num>
  <w:num w:numId="3">
    <w:abstractNumId w:val="11"/>
  </w:num>
  <w:num w:numId="4">
    <w:abstractNumId w:val="21"/>
  </w:num>
  <w:num w:numId="5">
    <w:abstractNumId w:val="8"/>
  </w:num>
  <w:num w:numId="6">
    <w:abstractNumId w:val="22"/>
  </w:num>
  <w:num w:numId="7">
    <w:abstractNumId w:val="14"/>
  </w:num>
  <w:num w:numId="8">
    <w:abstractNumId w:val="19"/>
  </w:num>
  <w:num w:numId="9">
    <w:abstractNumId w:val="17"/>
  </w:num>
  <w:num w:numId="10">
    <w:abstractNumId w:val="23"/>
  </w:num>
  <w:num w:numId="11">
    <w:abstractNumId w:val="13"/>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8"/>
  </w:num>
  <w:num w:numId="22">
    <w:abstractNumId w:val="10"/>
  </w:num>
  <w:num w:numId="23">
    <w:abstractNumId w:val="16"/>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F4E"/>
    <w:rsid w:val="00002CBE"/>
    <w:rsid w:val="00003232"/>
    <w:rsid w:val="000033DA"/>
    <w:rsid w:val="0000579F"/>
    <w:rsid w:val="000074D1"/>
    <w:rsid w:val="000076BD"/>
    <w:rsid w:val="000079BD"/>
    <w:rsid w:val="00010481"/>
    <w:rsid w:val="00010671"/>
    <w:rsid w:val="000114E2"/>
    <w:rsid w:val="00013347"/>
    <w:rsid w:val="00013D73"/>
    <w:rsid w:val="000142E1"/>
    <w:rsid w:val="000146BD"/>
    <w:rsid w:val="00014B68"/>
    <w:rsid w:val="0001645D"/>
    <w:rsid w:val="00017A43"/>
    <w:rsid w:val="0002157B"/>
    <w:rsid w:val="00023101"/>
    <w:rsid w:val="00023232"/>
    <w:rsid w:val="0002407C"/>
    <w:rsid w:val="0002476F"/>
    <w:rsid w:val="00024E17"/>
    <w:rsid w:val="000258DB"/>
    <w:rsid w:val="000259E5"/>
    <w:rsid w:val="00031B2C"/>
    <w:rsid w:val="00031FA7"/>
    <w:rsid w:val="00033D2C"/>
    <w:rsid w:val="00035CE8"/>
    <w:rsid w:val="00036041"/>
    <w:rsid w:val="00040637"/>
    <w:rsid w:val="00040688"/>
    <w:rsid w:val="0004070F"/>
    <w:rsid w:val="0004115B"/>
    <w:rsid w:val="00042F2D"/>
    <w:rsid w:val="000432B2"/>
    <w:rsid w:val="000432CF"/>
    <w:rsid w:val="000438A8"/>
    <w:rsid w:val="00044526"/>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2F7D"/>
    <w:rsid w:val="00063C91"/>
    <w:rsid w:val="000640E7"/>
    <w:rsid w:val="000667DD"/>
    <w:rsid w:val="00066DC7"/>
    <w:rsid w:val="0006794A"/>
    <w:rsid w:val="00067F31"/>
    <w:rsid w:val="00071138"/>
    <w:rsid w:val="000717BF"/>
    <w:rsid w:val="00073402"/>
    <w:rsid w:val="00075745"/>
    <w:rsid w:val="00075A04"/>
    <w:rsid w:val="00075D39"/>
    <w:rsid w:val="000760C3"/>
    <w:rsid w:val="000763A4"/>
    <w:rsid w:val="00076901"/>
    <w:rsid w:val="0008237C"/>
    <w:rsid w:val="00082690"/>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3F17"/>
    <w:rsid w:val="00094C85"/>
    <w:rsid w:val="00094D7E"/>
    <w:rsid w:val="0009517B"/>
    <w:rsid w:val="00095AE2"/>
    <w:rsid w:val="000962DF"/>
    <w:rsid w:val="0009661E"/>
    <w:rsid w:val="00096A8D"/>
    <w:rsid w:val="000A1034"/>
    <w:rsid w:val="000A12BC"/>
    <w:rsid w:val="000A1306"/>
    <w:rsid w:val="000A1521"/>
    <w:rsid w:val="000A2FC1"/>
    <w:rsid w:val="000A3A57"/>
    <w:rsid w:val="000A5408"/>
    <w:rsid w:val="000A6510"/>
    <w:rsid w:val="000B0BB4"/>
    <w:rsid w:val="000B1045"/>
    <w:rsid w:val="000B1BAE"/>
    <w:rsid w:val="000B1E7C"/>
    <w:rsid w:val="000B29B3"/>
    <w:rsid w:val="000B3889"/>
    <w:rsid w:val="000B3B3B"/>
    <w:rsid w:val="000B42E7"/>
    <w:rsid w:val="000B5FE0"/>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477"/>
    <w:rsid w:val="000D1A1D"/>
    <w:rsid w:val="000D5FB7"/>
    <w:rsid w:val="000E06A5"/>
    <w:rsid w:val="000E16EB"/>
    <w:rsid w:val="000E21F9"/>
    <w:rsid w:val="000E55A8"/>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C81"/>
    <w:rsid w:val="00100F53"/>
    <w:rsid w:val="00100F97"/>
    <w:rsid w:val="001012E0"/>
    <w:rsid w:val="001016F2"/>
    <w:rsid w:val="001024C1"/>
    <w:rsid w:val="0010385D"/>
    <w:rsid w:val="001042E0"/>
    <w:rsid w:val="00104C51"/>
    <w:rsid w:val="0010597B"/>
    <w:rsid w:val="00110107"/>
    <w:rsid w:val="00110531"/>
    <w:rsid w:val="00110794"/>
    <w:rsid w:val="00112524"/>
    <w:rsid w:val="00113769"/>
    <w:rsid w:val="00113D90"/>
    <w:rsid w:val="00114141"/>
    <w:rsid w:val="00114827"/>
    <w:rsid w:val="00115266"/>
    <w:rsid w:val="001154FB"/>
    <w:rsid w:val="00115A6D"/>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531"/>
    <w:rsid w:val="00135C24"/>
    <w:rsid w:val="00136389"/>
    <w:rsid w:val="00136A1A"/>
    <w:rsid w:val="00136A96"/>
    <w:rsid w:val="001376B6"/>
    <w:rsid w:val="00140A35"/>
    <w:rsid w:val="00142F4D"/>
    <w:rsid w:val="00143428"/>
    <w:rsid w:val="00143999"/>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8E3"/>
    <w:rsid w:val="00176BD0"/>
    <w:rsid w:val="00176D64"/>
    <w:rsid w:val="00176E2C"/>
    <w:rsid w:val="00177DBF"/>
    <w:rsid w:val="00177E84"/>
    <w:rsid w:val="00182417"/>
    <w:rsid w:val="0018242F"/>
    <w:rsid w:val="00183B2E"/>
    <w:rsid w:val="0018414E"/>
    <w:rsid w:val="00185718"/>
    <w:rsid w:val="001857AF"/>
    <w:rsid w:val="00185BBE"/>
    <w:rsid w:val="00186606"/>
    <w:rsid w:val="00190B6D"/>
    <w:rsid w:val="00191E75"/>
    <w:rsid w:val="00192022"/>
    <w:rsid w:val="00192BEB"/>
    <w:rsid w:val="0019301D"/>
    <w:rsid w:val="0019454F"/>
    <w:rsid w:val="00194719"/>
    <w:rsid w:val="00194774"/>
    <w:rsid w:val="00195CE0"/>
    <w:rsid w:val="001A098F"/>
    <w:rsid w:val="001A0EE2"/>
    <w:rsid w:val="001A10CB"/>
    <w:rsid w:val="001A110B"/>
    <w:rsid w:val="001A149A"/>
    <w:rsid w:val="001A2AB7"/>
    <w:rsid w:val="001A4396"/>
    <w:rsid w:val="001A4A9C"/>
    <w:rsid w:val="001A6B88"/>
    <w:rsid w:val="001A6C33"/>
    <w:rsid w:val="001A6E68"/>
    <w:rsid w:val="001B3131"/>
    <w:rsid w:val="001B4B2F"/>
    <w:rsid w:val="001B4CBD"/>
    <w:rsid w:val="001B5755"/>
    <w:rsid w:val="001B7C00"/>
    <w:rsid w:val="001C0529"/>
    <w:rsid w:val="001C09D2"/>
    <w:rsid w:val="001C0B7C"/>
    <w:rsid w:val="001C1620"/>
    <w:rsid w:val="001C18B2"/>
    <w:rsid w:val="001C1994"/>
    <w:rsid w:val="001C2933"/>
    <w:rsid w:val="001C4832"/>
    <w:rsid w:val="001C5EEE"/>
    <w:rsid w:val="001C6A73"/>
    <w:rsid w:val="001C73C2"/>
    <w:rsid w:val="001D0474"/>
    <w:rsid w:val="001D141D"/>
    <w:rsid w:val="001D15B5"/>
    <w:rsid w:val="001D1EBD"/>
    <w:rsid w:val="001D2184"/>
    <w:rsid w:val="001D24F3"/>
    <w:rsid w:val="001D2678"/>
    <w:rsid w:val="001D2B79"/>
    <w:rsid w:val="001D2DC4"/>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2CD5"/>
    <w:rsid w:val="001F3A75"/>
    <w:rsid w:val="001F3A9D"/>
    <w:rsid w:val="001F3FDB"/>
    <w:rsid w:val="001F6545"/>
    <w:rsid w:val="001F66B5"/>
    <w:rsid w:val="001F6F36"/>
    <w:rsid w:val="001F76FD"/>
    <w:rsid w:val="002004C0"/>
    <w:rsid w:val="002012F2"/>
    <w:rsid w:val="002014D7"/>
    <w:rsid w:val="00202F07"/>
    <w:rsid w:val="00203030"/>
    <w:rsid w:val="002030AF"/>
    <w:rsid w:val="002031D5"/>
    <w:rsid w:val="00203D45"/>
    <w:rsid w:val="00205495"/>
    <w:rsid w:val="002061DE"/>
    <w:rsid w:val="002065E2"/>
    <w:rsid w:val="00206C61"/>
    <w:rsid w:val="00206F30"/>
    <w:rsid w:val="002072D8"/>
    <w:rsid w:val="00207616"/>
    <w:rsid w:val="00207F10"/>
    <w:rsid w:val="002112E6"/>
    <w:rsid w:val="002112EE"/>
    <w:rsid w:val="00213213"/>
    <w:rsid w:val="0021457F"/>
    <w:rsid w:val="0021505D"/>
    <w:rsid w:val="0021604B"/>
    <w:rsid w:val="00216545"/>
    <w:rsid w:val="00220227"/>
    <w:rsid w:val="0022176B"/>
    <w:rsid w:val="00221946"/>
    <w:rsid w:val="00222760"/>
    <w:rsid w:val="00222782"/>
    <w:rsid w:val="0022360A"/>
    <w:rsid w:val="00224667"/>
    <w:rsid w:val="00226B82"/>
    <w:rsid w:val="00227103"/>
    <w:rsid w:val="00230249"/>
    <w:rsid w:val="00230D5F"/>
    <w:rsid w:val="00231BE3"/>
    <w:rsid w:val="00232C51"/>
    <w:rsid w:val="00233414"/>
    <w:rsid w:val="00233D69"/>
    <w:rsid w:val="00234E82"/>
    <w:rsid w:val="00235C9D"/>
    <w:rsid w:val="00240473"/>
    <w:rsid w:val="002412D4"/>
    <w:rsid w:val="0024220D"/>
    <w:rsid w:val="00242BD3"/>
    <w:rsid w:val="00242C02"/>
    <w:rsid w:val="00243155"/>
    <w:rsid w:val="002447C0"/>
    <w:rsid w:val="00246E87"/>
    <w:rsid w:val="00247783"/>
    <w:rsid w:val="0025172C"/>
    <w:rsid w:val="00252CF8"/>
    <w:rsid w:val="00252E2E"/>
    <w:rsid w:val="00253210"/>
    <w:rsid w:val="0025353E"/>
    <w:rsid w:val="00253DE1"/>
    <w:rsid w:val="0025425F"/>
    <w:rsid w:val="00254468"/>
    <w:rsid w:val="0025462E"/>
    <w:rsid w:val="00254DE4"/>
    <w:rsid w:val="002559DA"/>
    <w:rsid w:val="00256955"/>
    <w:rsid w:val="00256B7C"/>
    <w:rsid w:val="0026071A"/>
    <w:rsid w:val="00261B27"/>
    <w:rsid w:val="00262B5A"/>
    <w:rsid w:val="0026520E"/>
    <w:rsid w:val="00265F41"/>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C"/>
    <w:rsid w:val="00275A2D"/>
    <w:rsid w:val="0027655E"/>
    <w:rsid w:val="002772A5"/>
    <w:rsid w:val="002806F8"/>
    <w:rsid w:val="002810B5"/>
    <w:rsid w:val="00281F4F"/>
    <w:rsid w:val="00283DC0"/>
    <w:rsid w:val="00286744"/>
    <w:rsid w:val="002909B9"/>
    <w:rsid w:val="00292CEE"/>
    <w:rsid w:val="00292D22"/>
    <w:rsid w:val="0029470D"/>
    <w:rsid w:val="00295072"/>
    <w:rsid w:val="00297B80"/>
    <w:rsid w:val="002A076C"/>
    <w:rsid w:val="002A1059"/>
    <w:rsid w:val="002A3C9D"/>
    <w:rsid w:val="002A4AB6"/>
    <w:rsid w:val="002A5403"/>
    <w:rsid w:val="002A69E5"/>
    <w:rsid w:val="002A6C9F"/>
    <w:rsid w:val="002A77F3"/>
    <w:rsid w:val="002A7882"/>
    <w:rsid w:val="002B14F0"/>
    <w:rsid w:val="002B1F0F"/>
    <w:rsid w:val="002B53D3"/>
    <w:rsid w:val="002B6202"/>
    <w:rsid w:val="002C014C"/>
    <w:rsid w:val="002C060C"/>
    <w:rsid w:val="002C0BA6"/>
    <w:rsid w:val="002C12A7"/>
    <w:rsid w:val="002C297C"/>
    <w:rsid w:val="002C2B6F"/>
    <w:rsid w:val="002C314F"/>
    <w:rsid w:val="002C4AD1"/>
    <w:rsid w:val="002C7918"/>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4CC"/>
    <w:rsid w:val="002E28F3"/>
    <w:rsid w:val="002E7615"/>
    <w:rsid w:val="002E7A2A"/>
    <w:rsid w:val="002E7F16"/>
    <w:rsid w:val="002F1425"/>
    <w:rsid w:val="002F2EC8"/>
    <w:rsid w:val="002F32B6"/>
    <w:rsid w:val="002F4CE2"/>
    <w:rsid w:val="002F5F6A"/>
    <w:rsid w:val="002F60A4"/>
    <w:rsid w:val="002F6B0C"/>
    <w:rsid w:val="002F738F"/>
    <w:rsid w:val="002F77FC"/>
    <w:rsid w:val="003004A6"/>
    <w:rsid w:val="0030129C"/>
    <w:rsid w:val="003013E2"/>
    <w:rsid w:val="00301FE4"/>
    <w:rsid w:val="0030306C"/>
    <w:rsid w:val="00303E3A"/>
    <w:rsid w:val="00305417"/>
    <w:rsid w:val="00306127"/>
    <w:rsid w:val="0030641B"/>
    <w:rsid w:val="003067C8"/>
    <w:rsid w:val="00306BC9"/>
    <w:rsid w:val="00307CEA"/>
    <w:rsid w:val="00311453"/>
    <w:rsid w:val="003114C9"/>
    <w:rsid w:val="0031229D"/>
    <w:rsid w:val="003135CA"/>
    <w:rsid w:val="00314E12"/>
    <w:rsid w:val="003166A5"/>
    <w:rsid w:val="00316C8C"/>
    <w:rsid w:val="00316CE7"/>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6FED"/>
    <w:rsid w:val="00337388"/>
    <w:rsid w:val="0034007D"/>
    <w:rsid w:val="003433E5"/>
    <w:rsid w:val="003438F2"/>
    <w:rsid w:val="00344082"/>
    <w:rsid w:val="0034582C"/>
    <w:rsid w:val="00345916"/>
    <w:rsid w:val="00345CAC"/>
    <w:rsid w:val="0034746F"/>
    <w:rsid w:val="0034789E"/>
    <w:rsid w:val="003501DA"/>
    <w:rsid w:val="003503E2"/>
    <w:rsid w:val="00350A3C"/>
    <w:rsid w:val="00351DC1"/>
    <w:rsid w:val="003534EE"/>
    <w:rsid w:val="00355F02"/>
    <w:rsid w:val="003600A2"/>
    <w:rsid w:val="003612D8"/>
    <w:rsid w:val="00361EFC"/>
    <w:rsid w:val="003637B6"/>
    <w:rsid w:val="00363F89"/>
    <w:rsid w:val="00363FB0"/>
    <w:rsid w:val="003646D6"/>
    <w:rsid w:val="00364FC6"/>
    <w:rsid w:val="0036541D"/>
    <w:rsid w:val="00370504"/>
    <w:rsid w:val="00371814"/>
    <w:rsid w:val="00371ED5"/>
    <w:rsid w:val="00372BAE"/>
    <w:rsid w:val="00372EE9"/>
    <w:rsid w:val="003739BB"/>
    <w:rsid w:val="00373F07"/>
    <w:rsid w:val="00374A60"/>
    <w:rsid w:val="0037508B"/>
    <w:rsid w:val="00375181"/>
    <w:rsid w:val="003764C0"/>
    <w:rsid w:val="003767A4"/>
    <w:rsid w:val="003774F6"/>
    <w:rsid w:val="003818B3"/>
    <w:rsid w:val="0038356A"/>
    <w:rsid w:val="0038382F"/>
    <w:rsid w:val="003839FA"/>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6AD"/>
    <w:rsid w:val="003A37F7"/>
    <w:rsid w:val="003A54E9"/>
    <w:rsid w:val="003A5E7C"/>
    <w:rsid w:val="003A78C7"/>
    <w:rsid w:val="003A7E9A"/>
    <w:rsid w:val="003B15FE"/>
    <w:rsid w:val="003B1C41"/>
    <w:rsid w:val="003B3471"/>
    <w:rsid w:val="003B46AD"/>
    <w:rsid w:val="003B4DDD"/>
    <w:rsid w:val="003B5C96"/>
    <w:rsid w:val="003B65FB"/>
    <w:rsid w:val="003B6A26"/>
    <w:rsid w:val="003C032B"/>
    <w:rsid w:val="003C218D"/>
    <w:rsid w:val="003C3D89"/>
    <w:rsid w:val="003C3EE2"/>
    <w:rsid w:val="003C4224"/>
    <w:rsid w:val="003C425B"/>
    <w:rsid w:val="003C426D"/>
    <w:rsid w:val="003C4877"/>
    <w:rsid w:val="003C4B42"/>
    <w:rsid w:val="003C4E91"/>
    <w:rsid w:val="003C6A50"/>
    <w:rsid w:val="003C6D76"/>
    <w:rsid w:val="003C72F6"/>
    <w:rsid w:val="003D073C"/>
    <w:rsid w:val="003D0791"/>
    <w:rsid w:val="003D1130"/>
    <w:rsid w:val="003D1ADC"/>
    <w:rsid w:val="003D1C9C"/>
    <w:rsid w:val="003D37D4"/>
    <w:rsid w:val="003D47A7"/>
    <w:rsid w:val="003D56B5"/>
    <w:rsid w:val="003D5DCC"/>
    <w:rsid w:val="003D6A58"/>
    <w:rsid w:val="003D6B84"/>
    <w:rsid w:val="003E1A49"/>
    <w:rsid w:val="003E2D01"/>
    <w:rsid w:val="003E330E"/>
    <w:rsid w:val="003E3AE3"/>
    <w:rsid w:val="003E45A1"/>
    <w:rsid w:val="003E5308"/>
    <w:rsid w:val="003E5733"/>
    <w:rsid w:val="003E5E27"/>
    <w:rsid w:val="003E6FD2"/>
    <w:rsid w:val="003E788F"/>
    <w:rsid w:val="003E7A97"/>
    <w:rsid w:val="003E7D3A"/>
    <w:rsid w:val="003F0950"/>
    <w:rsid w:val="003F09C9"/>
    <w:rsid w:val="003F1099"/>
    <w:rsid w:val="003F1E91"/>
    <w:rsid w:val="003F4C37"/>
    <w:rsid w:val="003F67AE"/>
    <w:rsid w:val="003F690E"/>
    <w:rsid w:val="003F6BBB"/>
    <w:rsid w:val="003F719F"/>
    <w:rsid w:val="0040033D"/>
    <w:rsid w:val="004007E1"/>
    <w:rsid w:val="00400B1F"/>
    <w:rsid w:val="00401E19"/>
    <w:rsid w:val="004032D2"/>
    <w:rsid w:val="00403C4F"/>
    <w:rsid w:val="00403F84"/>
    <w:rsid w:val="00404201"/>
    <w:rsid w:val="004058B4"/>
    <w:rsid w:val="00405C45"/>
    <w:rsid w:val="00405CA8"/>
    <w:rsid w:val="004062EF"/>
    <w:rsid w:val="004062F0"/>
    <w:rsid w:val="00406CB5"/>
    <w:rsid w:val="00410B8F"/>
    <w:rsid w:val="00412057"/>
    <w:rsid w:val="004126C1"/>
    <w:rsid w:val="00412A58"/>
    <w:rsid w:val="004138A8"/>
    <w:rsid w:val="00413BA5"/>
    <w:rsid w:val="00414FD0"/>
    <w:rsid w:val="004166DF"/>
    <w:rsid w:val="00416A36"/>
    <w:rsid w:val="00417E93"/>
    <w:rsid w:val="00422A2A"/>
    <w:rsid w:val="004240A6"/>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8C8"/>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5DD6"/>
    <w:rsid w:val="00497356"/>
    <w:rsid w:val="004A076F"/>
    <w:rsid w:val="004A0ABD"/>
    <w:rsid w:val="004A1DC1"/>
    <w:rsid w:val="004A31A2"/>
    <w:rsid w:val="004A345D"/>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3AA1"/>
    <w:rsid w:val="004F40D6"/>
    <w:rsid w:val="004F43FC"/>
    <w:rsid w:val="004F6925"/>
    <w:rsid w:val="00503AE1"/>
    <w:rsid w:val="00503CA6"/>
    <w:rsid w:val="00503FAE"/>
    <w:rsid w:val="00504DC1"/>
    <w:rsid w:val="00504FCE"/>
    <w:rsid w:val="00505332"/>
    <w:rsid w:val="00505A57"/>
    <w:rsid w:val="00505D37"/>
    <w:rsid w:val="005103B4"/>
    <w:rsid w:val="005104E8"/>
    <w:rsid w:val="00510705"/>
    <w:rsid w:val="005107DB"/>
    <w:rsid w:val="00510DB0"/>
    <w:rsid w:val="005119F6"/>
    <w:rsid w:val="00511B7D"/>
    <w:rsid w:val="00511D00"/>
    <w:rsid w:val="005132C3"/>
    <w:rsid w:val="005137E7"/>
    <w:rsid w:val="005146AE"/>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363FE"/>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56A5"/>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B0F"/>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218"/>
    <w:rsid w:val="005A5554"/>
    <w:rsid w:val="005A5651"/>
    <w:rsid w:val="005A59E3"/>
    <w:rsid w:val="005A6AFE"/>
    <w:rsid w:val="005A7BF3"/>
    <w:rsid w:val="005A7DE0"/>
    <w:rsid w:val="005B0AEF"/>
    <w:rsid w:val="005B366F"/>
    <w:rsid w:val="005B37D9"/>
    <w:rsid w:val="005B445B"/>
    <w:rsid w:val="005B474E"/>
    <w:rsid w:val="005B489A"/>
    <w:rsid w:val="005B61A9"/>
    <w:rsid w:val="005B63A6"/>
    <w:rsid w:val="005B64D1"/>
    <w:rsid w:val="005B6A88"/>
    <w:rsid w:val="005B6E05"/>
    <w:rsid w:val="005B708B"/>
    <w:rsid w:val="005B7F42"/>
    <w:rsid w:val="005C1D45"/>
    <w:rsid w:val="005C3C9B"/>
    <w:rsid w:val="005C42AB"/>
    <w:rsid w:val="005C45C0"/>
    <w:rsid w:val="005C5335"/>
    <w:rsid w:val="005C5D7B"/>
    <w:rsid w:val="005C5E29"/>
    <w:rsid w:val="005C6474"/>
    <w:rsid w:val="005C64F7"/>
    <w:rsid w:val="005C6A68"/>
    <w:rsid w:val="005C6AE2"/>
    <w:rsid w:val="005C6BBE"/>
    <w:rsid w:val="005D0AE3"/>
    <w:rsid w:val="005D1103"/>
    <w:rsid w:val="005D276D"/>
    <w:rsid w:val="005D5912"/>
    <w:rsid w:val="005D7157"/>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5836"/>
    <w:rsid w:val="005F6B68"/>
    <w:rsid w:val="005F6F2E"/>
    <w:rsid w:val="005F7D85"/>
    <w:rsid w:val="006013E5"/>
    <w:rsid w:val="00601A1F"/>
    <w:rsid w:val="00602655"/>
    <w:rsid w:val="00603B68"/>
    <w:rsid w:val="00605297"/>
    <w:rsid w:val="00605B8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4D66"/>
    <w:rsid w:val="006351AD"/>
    <w:rsid w:val="00635A2A"/>
    <w:rsid w:val="00636A63"/>
    <w:rsid w:val="00636C79"/>
    <w:rsid w:val="00636DCB"/>
    <w:rsid w:val="00636DE3"/>
    <w:rsid w:val="00636F89"/>
    <w:rsid w:val="00636F9E"/>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3E02"/>
    <w:rsid w:val="00654505"/>
    <w:rsid w:val="006575ED"/>
    <w:rsid w:val="006578FD"/>
    <w:rsid w:val="00660060"/>
    <w:rsid w:val="006609AA"/>
    <w:rsid w:val="00662EDE"/>
    <w:rsid w:val="00664C9F"/>
    <w:rsid w:val="00666548"/>
    <w:rsid w:val="00666A71"/>
    <w:rsid w:val="00667537"/>
    <w:rsid w:val="00667C84"/>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11B"/>
    <w:rsid w:val="00681B4A"/>
    <w:rsid w:val="00681D07"/>
    <w:rsid w:val="00681EDA"/>
    <w:rsid w:val="00682017"/>
    <w:rsid w:val="00682AAD"/>
    <w:rsid w:val="006868CA"/>
    <w:rsid w:val="00686E32"/>
    <w:rsid w:val="00687E26"/>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3932"/>
    <w:rsid w:val="006A4462"/>
    <w:rsid w:val="006A5B59"/>
    <w:rsid w:val="006A6A14"/>
    <w:rsid w:val="006A753A"/>
    <w:rsid w:val="006A777C"/>
    <w:rsid w:val="006A7C46"/>
    <w:rsid w:val="006B0F76"/>
    <w:rsid w:val="006B1F20"/>
    <w:rsid w:val="006B398A"/>
    <w:rsid w:val="006B3E04"/>
    <w:rsid w:val="006B4024"/>
    <w:rsid w:val="006B47D7"/>
    <w:rsid w:val="006B499D"/>
    <w:rsid w:val="006B4E89"/>
    <w:rsid w:val="006B5041"/>
    <w:rsid w:val="006B643D"/>
    <w:rsid w:val="006B79A4"/>
    <w:rsid w:val="006C1254"/>
    <w:rsid w:val="006C2DC5"/>
    <w:rsid w:val="006C37CD"/>
    <w:rsid w:val="006C480B"/>
    <w:rsid w:val="006C570B"/>
    <w:rsid w:val="006C572E"/>
    <w:rsid w:val="006C5997"/>
    <w:rsid w:val="006C5CD2"/>
    <w:rsid w:val="006C746B"/>
    <w:rsid w:val="006D0583"/>
    <w:rsid w:val="006D0636"/>
    <w:rsid w:val="006D06DC"/>
    <w:rsid w:val="006D583E"/>
    <w:rsid w:val="006D6E46"/>
    <w:rsid w:val="006D7FA8"/>
    <w:rsid w:val="006E1D42"/>
    <w:rsid w:val="006E4601"/>
    <w:rsid w:val="006E5B86"/>
    <w:rsid w:val="006E63FF"/>
    <w:rsid w:val="006E652D"/>
    <w:rsid w:val="006E7572"/>
    <w:rsid w:val="006F150D"/>
    <w:rsid w:val="006F2F22"/>
    <w:rsid w:val="006F434A"/>
    <w:rsid w:val="006F7974"/>
    <w:rsid w:val="00700A60"/>
    <w:rsid w:val="0070148C"/>
    <w:rsid w:val="0070498A"/>
    <w:rsid w:val="00705027"/>
    <w:rsid w:val="007058F8"/>
    <w:rsid w:val="00710494"/>
    <w:rsid w:val="007117BD"/>
    <w:rsid w:val="00715129"/>
    <w:rsid w:val="007154CE"/>
    <w:rsid w:val="00715B25"/>
    <w:rsid w:val="00716020"/>
    <w:rsid w:val="00720860"/>
    <w:rsid w:val="00721087"/>
    <w:rsid w:val="00721530"/>
    <w:rsid w:val="00722B04"/>
    <w:rsid w:val="00723422"/>
    <w:rsid w:val="00723E65"/>
    <w:rsid w:val="007260FE"/>
    <w:rsid w:val="00726DD6"/>
    <w:rsid w:val="0073076E"/>
    <w:rsid w:val="00733416"/>
    <w:rsid w:val="0073377E"/>
    <w:rsid w:val="00733E05"/>
    <w:rsid w:val="00735C8A"/>
    <w:rsid w:val="00735FE2"/>
    <w:rsid w:val="00736460"/>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D53"/>
    <w:rsid w:val="00752FBA"/>
    <w:rsid w:val="00753324"/>
    <w:rsid w:val="0075458D"/>
    <w:rsid w:val="00754AC8"/>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11E"/>
    <w:rsid w:val="00783D11"/>
    <w:rsid w:val="00785E46"/>
    <w:rsid w:val="00787917"/>
    <w:rsid w:val="00791489"/>
    <w:rsid w:val="00791683"/>
    <w:rsid w:val="00792D24"/>
    <w:rsid w:val="00792F0C"/>
    <w:rsid w:val="00795460"/>
    <w:rsid w:val="00796CF7"/>
    <w:rsid w:val="007A0313"/>
    <w:rsid w:val="007A0A83"/>
    <w:rsid w:val="007A4BB3"/>
    <w:rsid w:val="007A55FA"/>
    <w:rsid w:val="007A6307"/>
    <w:rsid w:val="007A6822"/>
    <w:rsid w:val="007A724D"/>
    <w:rsid w:val="007A749D"/>
    <w:rsid w:val="007A7B37"/>
    <w:rsid w:val="007B024C"/>
    <w:rsid w:val="007B1C4C"/>
    <w:rsid w:val="007B2800"/>
    <w:rsid w:val="007B38F7"/>
    <w:rsid w:val="007B40D4"/>
    <w:rsid w:val="007B4511"/>
    <w:rsid w:val="007B4708"/>
    <w:rsid w:val="007B5C86"/>
    <w:rsid w:val="007B6071"/>
    <w:rsid w:val="007B6540"/>
    <w:rsid w:val="007B69A2"/>
    <w:rsid w:val="007C09C4"/>
    <w:rsid w:val="007C25E9"/>
    <w:rsid w:val="007C2F78"/>
    <w:rsid w:val="007C34C5"/>
    <w:rsid w:val="007C4079"/>
    <w:rsid w:val="007C4827"/>
    <w:rsid w:val="007C4A20"/>
    <w:rsid w:val="007D0B7F"/>
    <w:rsid w:val="007D11B9"/>
    <w:rsid w:val="007D1266"/>
    <w:rsid w:val="007D1B94"/>
    <w:rsid w:val="007D458D"/>
    <w:rsid w:val="007D4E8C"/>
    <w:rsid w:val="007D538F"/>
    <w:rsid w:val="007D5BB0"/>
    <w:rsid w:val="007D668A"/>
    <w:rsid w:val="007E09E2"/>
    <w:rsid w:val="007E0FF5"/>
    <w:rsid w:val="007E1012"/>
    <w:rsid w:val="007E17CD"/>
    <w:rsid w:val="007E24ED"/>
    <w:rsid w:val="007E374B"/>
    <w:rsid w:val="007E39DE"/>
    <w:rsid w:val="007E3F53"/>
    <w:rsid w:val="007E7997"/>
    <w:rsid w:val="007E7B47"/>
    <w:rsid w:val="007F04EF"/>
    <w:rsid w:val="007F1652"/>
    <w:rsid w:val="007F25B3"/>
    <w:rsid w:val="007F342F"/>
    <w:rsid w:val="007F38D1"/>
    <w:rsid w:val="007F56BB"/>
    <w:rsid w:val="007F63CE"/>
    <w:rsid w:val="007F6EA4"/>
    <w:rsid w:val="007F6F4E"/>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1C3"/>
    <w:rsid w:val="008174D1"/>
    <w:rsid w:val="008178B2"/>
    <w:rsid w:val="0082165E"/>
    <w:rsid w:val="00822136"/>
    <w:rsid w:val="00822AAF"/>
    <w:rsid w:val="00822EC6"/>
    <w:rsid w:val="00822F01"/>
    <w:rsid w:val="008232A6"/>
    <w:rsid w:val="00823898"/>
    <w:rsid w:val="008239D1"/>
    <w:rsid w:val="00824071"/>
    <w:rsid w:val="008246B2"/>
    <w:rsid w:val="0082488A"/>
    <w:rsid w:val="00824C08"/>
    <w:rsid w:val="008250F6"/>
    <w:rsid w:val="00826560"/>
    <w:rsid w:val="00826CBB"/>
    <w:rsid w:val="00826D1F"/>
    <w:rsid w:val="00827180"/>
    <w:rsid w:val="0082770D"/>
    <w:rsid w:val="00827B6D"/>
    <w:rsid w:val="00827C90"/>
    <w:rsid w:val="00827E3D"/>
    <w:rsid w:val="0083004E"/>
    <w:rsid w:val="00831EAF"/>
    <w:rsid w:val="00832288"/>
    <w:rsid w:val="008326D6"/>
    <w:rsid w:val="00833342"/>
    <w:rsid w:val="008337EA"/>
    <w:rsid w:val="00833839"/>
    <w:rsid w:val="00833B4A"/>
    <w:rsid w:val="00833D15"/>
    <w:rsid w:val="00834083"/>
    <w:rsid w:val="008344C4"/>
    <w:rsid w:val="008348BB"/>
    <w:rsid w:val="008348DA"/>
    <w:rsid w:val="00835621"/>
    <w:rsid w:val="008362AE"/>
    <w:rsid w:val="008369C1"/>
    <w:rsid w:val="00837719"/>
    <w:rsid w:val="00840419"/>
    <w:rsid w:val="00840A24"/>
    <w:rsid w:val="00840F1B"/>
    <w:rsid w:val="0084117A"/>
    <w:rsid w:val="00842827"/>
    <w:rsid w:val="00842965"/>
    <w:rsid w:val="00844300"/>
    <w:rsid w:val="008458BD"/>
    <w:rsid w:val="00846775"/>
    <w:rsid w:val="00846956"/>
    <w:rsid w:val="00846CF1"/>
    <w:rsid w:val="00847622"/>
    <w:rsid w:val="008505B8"/>
    <w:rsid w:val="00851005"/>
    <w:rsid w:val="00851ADD"/>
    <w:rsid w:val="008529E4"/>
    <w:rsid w:val="00855CA6"/>
    <w:rsid w:val="00860323"/>
    <w:rsid w:val="00860F4F"/>
    <w:rsid w:val="008610B9"/>
    <w:rsid w:val="00862656"/>
    <w:rsid w:val="00863013"/>
    <w:rsid w:val="00863F67"/>
    <w:rsid w:val="0086483A"/>
    <w:rsid w:val="00866941"/>
    <w:rsid w:val="0087049C"/>
    <w:rsid w:val="00870AAD"/>
    <w:rsid w:val="00870EDE"/>
    <w:rsid w:val="00871DA0"/>
    <w:rsid w:val="00872030"/>
    <w:rsid w:val="00873973"/>
    <w:rsid w:val="00875C28"/>
    <w:rsid w:val="00875E75"/>
    <w:rsid w:val="00876251"/>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256A"/>
    <w:rsid w:val="00892CB7"/>
    <w:rsid w:val="00895702"/>
    <w:rsid w:val="00897566"/>
    <w:rsid w:val="0089757B"/>
    <w:rsid w:val="008A1594"/>
    <w:rsid w:val="008A1757"/>
    <w:rsid w:val="008A1CE6"/>
    <w:rsid w:val="008A1F25"/>
    <w:rsid w:val="008A46E6"/>
    <w:rsid w:val="008A47FB"/>
    <w:rsid w:val="008A5234"/>
    <w:rsid w:val="008A5397"/>
    <w:rsid w:val="008A661A"/>
    <w:rsid w:val="008A6861"/>
    <w:rsid w:val="008A7522"/>
    <w:rsid w:val="008A7B55"/>
    <w:rsid w:val="008B0578"/>
    <w:rsid w:val="008B170D"/>
    <w:rsid w:val="008B3DA5"/>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65B3"/>
    <w:rsid w:val="008C7736"/>
    <w:rsid w:val="008D0948"/>
    <w:rsid w:val="008D1A06"/>
    <w:rsid w:val="008D311C"/>
    <w:rsid w:val="008D31D2"/>
    <w:rsid w:val="008D3CC5"/>
    <w:rsid w:val="008D564A"/>
    <w:rsid w:val="008D5E47"/>
    <w:rsid w:val="008D7D8C"/>
    <w:rsid w:val="008E004E"/>
    <w:rsid w:val="008E04FB"/>
    <w:rsid w:val="008E3E79"/>
    <w:rsid w:val="008E5282"/>
    <w:rsid w:val="008E5E2C"/>
    <w:rsid w:val="008E6FDD"/>
    <w:rsid w:val="008E78F1"/>
    <w:rsid w:val="008F03CE"/>
    <w:rsid w:val="008F075B"/>
    <w:rsid w:val="008F0A9A"/>
    <w:rsid w:val="008F0E9E"/>
    <w:rsid w:val="008F2913"/>
    <w:rsid w:val="008F2A4E"/>
    <w:rsid w:val="008F2AE9"/>
    <w:rsid w:val="008F332B"/>
    <w:rsid w:val="008F52D0"/>
    <w:rsid w:val="008F58BB"/>
    <w:rsid w:val="008F6106"/>
    <w:rsid w:val="008F791D"/>
    <w:rsid w:val="00900959"/>
    <w:rsid w:val="00901900"/>
    <w:rsid w:val="00901B7A"/>
    <w:rsid w:val="00901BE6"/>
    <w:rsid w:val="00901EE8"/>
    <w:rsid w:val="00901F6C"/>
    <w:rsid w:val="0090266B"/>
    <w:rsid w:val="00902D3E"/>
    <w:rsid w:val="00902F06"/>
    <w:rsid w:val="009035DB"/>
    <w:rsid w:val="00904671"/>
    <w:rsid w:val="00905BC5"/>
    <w:rsid w:val="00905D65"/>
    <w:rsid w:val="009064AA"/>
    <w:rsid w:val="00912257"/>
    <w:rsid w:val="00913495"/>
    <w:rsid w:val="00913874"/>
    <w:rsid w:val="009163CC"/>
    <w:rsid w:val="0091674C"/>
    <w:rsid w:val="00916752"/>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08BE"/>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6AC0"/>
    <w:rsid w:val="00947074"/>
    <w:rsid w:val="0094752A"/>
    <w:rsid w:val="00947D01"/>
    <w:rsid w:val="009503EA"/>
    <w:rsid w:val="0095112D"/>
    <w:rsid w:val="009516DE"/>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164F"/>
    <w:rsid w:val="009728F2"/>
    <w:rsid w:val="00972BEF"/>
    <w:rsid w:val="00973BCF"/>
    <w:rsid w:val="00974305"/>
    <w:rsid w:val="009744BC"/>
    <w:rsid w:val="00974E60"/>
    <w:rsid w:val="00975896"/>
    <w:rsid w:val="00975DF1"/>
    <w:rsid w:val="00976AFE"/>
    <w:rsid w:val="00981645"/>
    <w:rsid w:val="00983389"/>
    <w:rsid w:val="00983CEA"/>
    <w:rsid w:val="00984198"/>
    <w:rsid w:val="00984E04"/>
    <w:rsid w:val="00986194"/>
    <w:rsid w:val="009861D2"/>
    <w:rsid w:val="00986E53"/>
    <w:rsid w:val="00987CE5"/>
    <w:rsid w:val="00992856"/>
    <w:rsid w:val="00993CF0"/>
    <w:rsid w:val="0099428D"/>
    <w:rsid w:val="009949A7"/>
    <w:rsid w:val="00994FBE"/>
    <w:rsid w:val="00995CDC"/>
    <w:rsid w:val="009975CA"/>
    <w:rsid w:val="009A0132"/>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C784F"/>
    <w:rsid w:val="009D2376"/>
    <w:rsid w:val="009D2D48"/>
    <w:rsid w:val="009D3103"/>
    <w:rsid w:val="009D4409"/>
    <w:rsid w:val="009D4724"/>
    <w:rsid w:val="009D4B2F"/>
    <w:rsid w:val="009D4C1B"/>
    <w:rsid w:val="009D500A"/>
    <w:rsid w:val="009D5159"/>
    <w:rsid w:val="009D5EA5"/>
    <w:rsid w:val="009D64DA"/>
    <w:rsid w:val="009D6BEA"/>
    <w:rsid w:val="009D7283"/>
    <w:rsid w:val="009D76A3"/>
    <w:rsid w:val="009E09F5"/>
    <w:rsid w:val="009E0DBC"/>
    <w:rsid w:val="009E11BD"/>
    <w:rsid w:val="009E11E1"/>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6CD"/>
    <w:rsid w:val="009F1D3A"/>
    <w:rsid w:val="009F2362"/>
    <w:rsid w:val="009F2C2E"/>
    <w:rsid w:val="009F4190"/>
    <w:rsid w:val="009F4434"/>
    <w:rsid w:val="009F4911"/>
    <w:rsid w:val="009F513E"/>
    <w:rsid w:val="009F5241"/>
    <w:rsid w:val="009F6807"/>
    <w:rsid w:val="009F68DF"/>
    <w:rsid w:val="009F6A24"/>
    <w:rsid w:val="009F728E"/>
    <w:rsid w:val="00A0042C"/>
    <w:rsid w:val="00A00495"/>
    <w:rsid w:val="00A01925"/>
    <w:rsid w:val="00A01DEB"/>
    <w:rsid w:val="00A03A1E"/>
    <w:rsid w:val="00A05D3A"/>
    <w:rsid w:val="00A06D32"/>
    <w:rsid w:val="00A07545"/>
    <w:rsid w:val="00A10ED6"/>
    <w:rsid w:val="00A12FD8"/>
    <w:rsid w:val="00A13947"/>
    <w:rsid w:val="00A13E2B"/>
    <w:rsid w:val="00A14F99"/>
    <w:rsid w:val="00A1562A"/>
    <w:rsid w:val="00A15901"/>
    <w:rsid w:val="00A1618E"/>
    <w:rsid w:val="00A161A1"/>
    <w:rsid w:val="00A20562"/>
    <w:rsid w:val="00A20F75"/>
    <w:rsid w:val="00A212B1"/>
    <w:rsid w:val="00A244B4"/>
    <w:rsid w:val="00A2511C"/>
    <w:rsid w:val="00A26FFF"/>
    <w:rsid w:val="00A304A8"/>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00E"/>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501"/>
    <w:rsid w:val="00A72874"/>
    <w:rsid w:val="00A72A8F"/>
    <w:rsid w:val="00A72E48"/>
    <w:rsid w:val="00A7359C"/>
    <w:rsid w:val="00A73616"/>
    <w:rsid w:val="00A759E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7A2"/>
    <w:rsid w:val="00A9197E"/>
    <w:rsid w:val="00A92065"/>
    <w:rsid w:val="00A92184"/>
    <w:rsid w:val="00A9334F"/>
    <w:rsid w:val="00A93D6F"/>
    <w:rsid w:val="00A9614E"/>
    <w:rsid w:val="00A963B5"/>
    <w:rsid w:val="00A96FA8"/>
    <w:rsid w:val="00A97665"/>
    <w:rsid w:val="00AA028A"/>
    <w:rsid w:val="00AA0504"/>
    <w:rsid w:val="00AA0909"/>
    <w:rsid w:val="00AA0E00"/>
    <w:rsid w:val="00AA1C72"/>
    <w:rsid w:val="00AA1E8D"/>
    <w:rsid w:val="00AA1FDE"/>
    <w:rsid w:val="00AA291C"/>
    <w:rsid w:val="00AA30F6"/>
    <w:rsid w:val="00AA334D"/>
    <w:rsid w:val="00AA37B1"/>
    <w:rsid w:val="00AA47B8"/>
    <w:rsid w:val="00AA4ED5"/>
    <w:rsid w:val="00AA550A"/>
    <w:rsid w:val="00AA5C2E"/>
    <w:rsid w:val="00AA5C3B"/>
    <w:rsid w:val="00AA5EBD"/>
    <w:rsid w:val="00AA628B"/>
    <w:rsid w:val="00AA6DE4"/>
    <w:rsid w:val="00AA7408"/>
    <w:rsid w:val="00AA7D1F"/>
    <w:rsid w:val="00AB02C6"/>
    <w:rsid w:val="00AB246B"/>
    <w:rsid w:val="00AB2A62"/>
    <w:rsid w:val="00AB2E96"/>
    <w:rsid w:val="00AB36D4"/>
    <w:rsid w:val="00AB54AE"/>
    <w:rsid w:val="00AB5500"/>
    <w:rsid w:val="00AB5564"/>
    <w:rsid w:val="00AB57FB"/>
    <w:rsid w:val="00AB7348"/>
    <w:rsid w:val="00AC13B0"/>
    <w:rsid w:val="00AC1EA8"/>
    <w:rsid w:val="00AC2FD0"/>
    <w:rsid w:val="00AC3DBD"/>
    <w:rsid w:val="00AC5E85"/>
    <w:rsid w:val="00AD03D8"/>
    <w:rsid w:val="00AD0D5F"/>
    <w:rsid w:val="00AD34CF"/>
    <w:rsid w:val="00AD36C8"/>
    <w:rsid w:val="00AD37C9"/>
    <w:rsid w:val="00AD47D3"/>
    <w:rsid w:val="00AD585B"/>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1F31"/>
    <w:rsid w:val="00AF3291"/>
    <w:rsid w:val="00AF395E"/>
    <w:rsid w:val="00AF4D6A"/>
    <w:rsid w:val="00AF538E"/>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097C"/>
    <w:rsid w:val="00B213EF"/>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4CD0"/>
    <w:rsid w:val="00B55B09"/>
    <w:rsid w:val="00B56711"/>
    <w:rsid w:val="00B57EF2"/>
    <w:rsid w:val="00B604F3"/>
    <w:rsid w:val="00B6101C"/>
    <w:rsid w:val="00B615ED"/>
    <w:rsid w:val="00B63A9D"/>
    <w:rsid w:val="00B64888"/>
    <w:rsid w:val="00B672E3"/>
    <w:rsid w:val="00B675F9"/>
    <w:rsid w:val="00B70176"/>
    <w:rsid w:val="00B70849"/>
    <w:rsid w:val="00B72C1C"/>
    <w:rsid w:val="00B73BB7"/>
    <w:rsid w:val="00B751C3"/>
    <w:rsid w:val="00B75250"/>
    <w:rsid w:val="00B75CCA"/>
    <w:rsid w:val="00B76C0D"/>
    <w:rsid w:val="00B77D0D"/>
    <w:rsid w:val="00B80817"/>
    <w:rsid w:val="00B80A07"/>
    <w:rsid w:val="00B827E6"/>
    <w:rsid w:val="00B82A28"/>
    <w:rsid w:val="00B82B8D"/>
    <w:rsid w:val="00B82C97"/>
    <w:rsid w:val="00B8389B"/>
    <w:rsid w:val="00B851D5"/>
    <w:rsid w:val="00B85B06"/>
    <w:rsid w:val="00B90558"/>
    <w:rsid w:val="00B92451"/>
    <w:rsid w:val="00B92958"/>
    <w:rsid w:val="00B93957"/>
    <w:rsid w:val="00B9404A"/>
    <w:rsid w:val="00B94877"/>
    <w:rsid w:val="00B9491F"/>
    <w:rsid w:val="00B94A72"/>
    <w:rsid w:val="00B96043"/>
    <w:rsid w:val="00B96F5D"/>
    <w:rsid w:val="00BA02F9"/>
    <w:rsid w:val="00BA1987"/>
    <w:rsid w:val="00BA2682"/>
    <w:rsid w:val="00BA2A09"/>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083"/>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3E0"/>
    <w:rsid w:val="00BF4D03"/>
    <w:rsid w:val="00BF4E85"/>
    <w:rsid w:val="00BF54BD"/>
    <w:rsid w:val="00BF5892"/>
    <w:rsid w:val="00C01804"/>
    <w:rsid w:val="00C026BC"/>
    <w:rsid w:val="00C02AD4"/>
    <w:rsid w:val="00C033B6"/>
    <w:rsid w:val="00C03869"/>
    <w:rsid w:val="00C04DC3"/>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20E"/>
    <w:rsid w:val="00C348C7"/>
    <w:rsid w:val="00C35B2A"/>
    <w:rsid w:val="00C36742"/>
    <w:rsid w:val="00C36789"/>
    <w:rsid w:val="00C374AD"/>
    <w:rsid w:val="00C40DE4"/>
    <w:rsid w:val="00C40E63"/>
    <w:rsid w:val="00C41A06"/>
    <w:rsid w:val="00C4261B"/>
    <w:rsid w:val="00C42BFB"/>
    <w:rsid w:val="00C44DDC"/>
    <w:rsid w:val="00C47EA0"/>
    <w:rsid w:val="00C5128B"/>
    <w:rsid w:val="00C51423"/>
    <w:rsid w:val="00C5294D"/>
    <w:rsid w:val="00C52F83"/>
    <w:rsid w:val="00C54C1B"/>
    <w:rsid w:val="00C54DBA"/>
    <w:rsid w:val="00C57ED3"/>
    <w:rsid w:val="00C60F80"/>
    <w:rsid w:val="00C61640"/>
    <w:rsid w:val="00C61AA7"/>
    <w:rsid w:val="00C61B8E"/>
    <w:rsid w:val="00C668DE"/>
    <w:rsid w:val="00C70110"/>
    <w:rsid w:val="00C7044F"/>
    <w:rsid w:val="00C720F8"/>
    <w:rsid w:val="00C7294B"/>
    <w:rsid w:val="00C73B06"/>
    <w:rsid w:val="00C742C5"/>
    <w:rsid w:val="00C75139"/>
    <w:rsid w:val="00C7525C"/>
    <w:rsid w:val="00C76CF7"/>
    <w:rsid w:val="00C82273"/>
    <w:rsid w:val="00C8244B"/>
    <w:rsid w:val="00C82D4C"/>
    <w:rsid w:val="00C83A4C"/>
    <w:rsid w:val="00C84460"/>
    <w:rsid w:val="00C8533B"/>
    <w:rsid w:val="00C858BA"/>
    <w:rsid w:val="00C86977"/>
    <w:rsid w:val="00C916C8"/>
    <w:rsid w:val="00C9398D"/>
    <w:rsid w:val="00C939EE"/>
    <w:rsid w:val="00C93C6E"/>
    <w:rsid w:val="00C93F93"/>
    <w:rsid w:val="00C94D44"/>
    <w:rsid w:val="00C957D8"/>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3BC9"/>
    <w:rsid w:val="00CC4CB6"/>
    <w:rsid w:val="00CC4DB0"/>
    <w:rsid w:val="00CC5038"/>
    <w:rsid w:val="00CC5326"/>
    <w:rsid w:val="00CC5CA3"/>
    <w:rsid w:val="00CC679B"/>
    <w:rsid w:val="00CC7426"/>
    <w:rsid w:val="00CC7910"/>
    <w:rsid w:val="00CD0C20"/>
    <w:rsid w:val="00CD1F6D"/>
    <w:rsid w:val="00CD297A"/>
    <w:rsid w:val="00CD3DB0"/>
    <w:rsid w:val="00CD4129"/>
    <w:rsid w:val="00CD5DBB"/>
    <w:rsid w:val="00CD675D"/>
    <w:rsid w:val="00CD67E7"/>
    <w:rsid w:val="00CD7388"/>
    <w:rsid w:val="00CE130A"/>
    <w:rsid w:val="00CE1F83"/>
    <w:rsid w:val="00CE23CD"/>
    <w:rsid w:val="00CE247A"/>
    <w:rsid w:val="00CE2A1A"/>
    <w:rsid w:val="00CE2F05"/>
    <w:rsid w:val="00CE4A51"/>
    <w:rsid w:val="00CE4F80"/>
    <w:rsid w:val="00CE50E4"/>
    <w:rsid w:val="00CE51E8"/>
    <w:rsid w:val="00CE548E"/>
    <w:rsid w:val="00CE56A1"/>
    <w:rsid w:val="00CE64A5"/>
    <w:rsid w:val="00CE669E"/>
    <w:rsid w:val="00CE66B5"/>
    <w:rsid w:val="00CE6BFE"/>
    <w:rsid w:val="00CE7031"/>
    <w:rsid w:val="00CE7258"/>
    <w:rsid w:val="00CF0B9B"/>
    <w:rsid w:val="00CF0F7C"/>
    <w:rsid w:val="00CF108E"/>
    <w:rsid w:val="00CF13B8"/>
    <w:rsid w:val="00CF285E"/>
    <w:rsid w:val="00CF3739"/>
    <w:rsid w:val="00CF5597"/>
    <w:rsid w:val="00CF57B4"/>
    <w:rsid w:val="00CF5CA5"/>
    <w:rsid w:val="00CF658A"/>
    <w:rsid w:val="00CF66B6"/>
    <w:rsid w:val="00D007D6"/>
    <w:rsid w:val="00D01A9F"/>
    <w:rsid w:val="00D01CED"/>
    <w:rsid w:val="00D01E38"/>
    <w:rsid w:val="00D022B5"/>
    <w:rsid w:val="00D038CB"/>
    <w:rsid w:val="00D039A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1912"/>
    <w:rsid w:val="00D4200A"/>
    <w:rsid w:val="00D4267F"/>
    <w:rsid w:val="00D441E9"/>
    <w:rsid w:val="00D44425"/>
    <w:rsid w:val="00D44FC8"/>
    <w:rsid w:val="00D45D62"/>
    <w:rsid w:val="00D45D8F"/>
    <w:rsid w:val="00D46553"/>
    <w:rsid w:val="00D46E49"/>
    <w:rsid w:val="00D50332"/>
    <w:rsid w:val="00D52141"/>
    <w:rsid w:val="00D52B95"/>
    <w:rsid w:val="00D5362B"/>
    <w:rsid w:val="00D53A09"/>
    <w:rsid w:val="00D54AAB"/>
    <w:rsid w:val="00D552F9"/>
    <w:rsid w:val="00D567A2"/>
    <w:rsid w:val="00D56EDF"/>
    <w:rsid w:val="00D56F08"/>
    <w:rsid w:val="00D57361"/>
    <w:rsid w:val="00D61406"/>
    <w:rsid w:val="00D61541"/>
    <w:rsid w:val="00D61575"/>
    <w:rsid w:val="00D621B7"/>
    <w:rsid w:val="00D6294E"/>
    <w:rsid w:val="00D6299F"/>
    <w:rsid w:val="00D63C9A"/>
    <w:rsid w:val="00D640BC"/>
    <w:rsid w:val="00D654D5"/>
    <w:rsid w:val="00D65A9D"/>
    <w:rsid w:val="00D65CB5"/>
    <w:rsid w:val="00D677BB"/>
    <w:rsid w:val="00D70544"/>
    <w:rsid w:val="00D71463"/>
    <w:rsid w:val="00D7194A"/>
    <w:rsid w:val="00D721D0"/>
    <w:rsid w:val="00D72AE4"/>
    <w:rsid w:val="00D73026"/>
    <w:rsid w:val="00D73FA1"/>
    <w:rsid w:val="00D7469D"/>
    <w:rsid w:val="00D7550B"/>
    <w:rsid w:val="00D75EEB"/>
    <w:rsid w:val="00D75F1E"/>
    <w:rsid w:val="00D803CB"/>
    <w:rsid w:val="00D80F87"/>
    <w:rsid w:val="00D812A5"/>
    <w:rsid w:val="00D82A5C"/>
    <w:rsid w:val="00D82D11"/>
    <w:rsid w:val="00D83CD3"/>
    <w:rsid w:val="00D83E51"/>
    <w:rsid w:val="00D84719"/>
    <w:rsid w:val="00D856EA"/>
    <w:rsid w:val="00D85ACD"/>
    <w:rsid w:val="00D86460"/>
    <w:rsid w:val="00D912D5"/>
    <w:rsid w:val="00D91AAF"/>
    <w:rsid w:val="00D94564"/>
    <w:rsid w:val="00D95216"/>
    <w:rsid w:val="00D9536E"/>
    <w:rsid w:val="00D97426"/>
    <w:rsid w:val="00D97568"/>
    <w:rsid w:val="00DA06B0"/>
    <w:rsid w:val="00DA29BA"/>
    <w:rsid w:val="00DA3249"/>
    <w:rsid w:val="00DA38CE"/>
    <w:rsid w:val="00DA4B01"/>
    <w:rsid w:val="00DA5322"/>
    <w:rsid w:val="00DA55AC"/>
    <w:rsid w:val="00DA5600"/>
    <w:rsid w:val="00DA56AA"/>
    <w:rsid w:val="00DA608B"/>
    <w:rsid w:val="00DA7413"/>
    <w:rsid w:val="00DB0066"/>
    <w:rsid w:val="00DB0F9E"/>
    <w:rsid w:val="00DB1028"/>
    <w:rsid w:val="00DB1307"/>
    <w:rsid w:val="00DB1E1A"/>
    <w:rsid w:val="00DB2AF6"/>
    <w:rsid w:val="00DB364F"/>
    <w:rsid w:val="00DB39E7"/>
    <w:rsid w:val="00DB3B3E"/>
    <w:rsid w:val="00DB5E7D"/>
    <w:rsid w:val="00DB6518"/>
    <w:rsid w:val="00DB71DB"/>
    <w:rsid w:val="00DB71E1"/>
    <w:rsid w:val="00DB7B0F"/>
    <w:rsid w:val="00DB7CB3"/>
    <w:rsid w:val="00DC0D57"/>
    <w:rsid w:val="00DC16F7"/>
    <w:rsid w:val="00DC1CA3"/>
    <w:rsid w:val="00DC2641"/>
    <w:rsid w:val="00DC2B1E"/>
    <w:rsid w:val="00DC425E"/>
    <w:rsid w:val="00DC44BD"/>
    <w:rsid w:val="00DC7481"/>
    <w:rsid w:val="00DC7591"/>
    <w:rsid w:val="00DD0839"/>
    <w:rsid w:val="00DD26D0"/>
    <w:rsid w:val="00DD47D5"/>
    <w:rsid w:val="00DD6729"/>
    <w:rsid w:val="00DD7960"/>
    <w:rsid w:val="00DD7B0D"/>
    <w:rsid w:val="00DE1F29"/>
    <w:rsid w:val="00DE3FEB"/>
    <w:rsid w:val="00DE4905"/>
    <w:rsid w:val="00DE4ED3"/>
    <w:rsid w:val="00DE510C"/>
    <w:rsid w:val="00DE7822"/>
    <w:rsid w:val="00DF081A"/>
    <w:rsid w:val="00DF144A"/>
    <w:rsid w:val="00DF265D"/>
    <w:rsid w:val="00DF2EB0"/>
    <w:rsid w:val="00DF31C1"/>
    <w:rsid w:val="00DF41B1"/>
    <w:rsid w:val="00DF427A"/>
    <w:rsid w:val="00DF45C5"/>
    <w:rsid w:val="00DF5A8C"/>
    <w:rsid w:val="00DF71D8"/>
    <w:rsid w:val="00E00CCA"/>
    <w:rsid w:val="00E01435"/>
    <w:rsid w:val="00E01623"/>
    <w:rsid w:val="00E03FE3"/>
    <w:rsid w:val="00E06951"/>
    <w:rsid w:val="00E10C94"/>
    <w:rsid w:val="00E10EC4"/>
    <w:rsid w:val="00E118D7"/>
    <w:rsid w:val="00E12EFD"/>
    <w:rsid w:val="00E13F46"/>
    <w:rsid w:val="00E15BD4"/>
    <w:rsid w:val="00E16458"/>
    <w:rsid w:val="00E16FB6"/>
    <w:rsid w:val="00E17001"/>
    <w:rsid w:val="00E17814"/>
    <w:rsid w:val="00E17CEF"/>
    <w:rsid w:val="00E20FBC"/>
    <w:rsid w:val="00E21F0E"/>
    <w:rsid w:val="00E235B3"/>
    <w:rsid w:val="00E23901"/>
    <w:rsid w:val="00E244CA"/>
    <w:rsid w:val="00E2512D"/>
    <w:rsid w:val="00E2548C"/>
    <w:rsid w:val="00E2662B"/>
    <w:rsid w:val="00E26736"/>
    <w:rsid w:val="00E268AC"/>
    <w:rsid w:val="00E27986"/>
    <w:rsid w:val="00E27D23"/>
    <w:rsid w:val="00E30A8A"/>
    <w:rsid w:val="00E319D8"/>
    <w:rsid w:val="00E31BC7"/>
    <w:rsid w:val="00E31E7F"/>
    <w:rsid w:val="00E363CD"/>
    <w:rsid w:val="00E365C4"/>
    <w:rsid w:val="00E36C7F"/>
    <w:rsid w:val="00E37652"/>
    <w:rsid w:val="00E3768F"/>
    <w:rsid w:val="00E402BC"/>
    <w:rsid w:val="00E41403"/>
    <w:rsid w:val="00E418C7"/>
    <w:rsid w:val="00E41BD7"/>
    <w:rsid w:val="00E428D6"/>
    <w:rsid w:val="00E43284"/>
    <w:rsid w:val="00E43304"/>
    <w:rsid w:val="00E43613"/>
    <w:rsid w:val="00E43ACE"/>
    <w:rsid w:val="00E43D68"/>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560"/>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2E8A"/>
    <w:rsid w:val="00E63E99"/>
    <w:rsid w:val="00E6454D"/>
    <w:rsid w:val="00E65301"/>
    <w:rsid w:val="00E6598A"/>
    <w:rsid w:val="00E667A7"/>
    <w:rsid w:val="00E679B3"/>
    <w:rsid w:val="00E7178A"/>
    <w:rsid w:val="00E7190A"/>
    <w:rsid w:val="00E71CAD"/>
    <w:rsid w:val="00E71E5C"/>
    <w:rsid w:val="00E7245E"/>
    <w:rsid w:val="00E73831"/>
    <w:rsid w:val="00E73B66"/>
    <w:rsid w:val="00E7498E"/>
    <w:rsid w:val="00E74BB9"/>
    <w:rsid w:val="00E74FF5"/>
    <w:rsid w:val="00E7584A"/>
    <w:rsid w:val="00E760D0"/>
    <w:rsid w:val="00E76D85"/>
    <w:rsid w:val="00E77C2E"/>
    <w:rsid w:val="00E80342"/>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F7A"/>
    <w:rsid w:val="00EC664F"/>
    <w:rsid w:val="00EC6749"/>
    <w:rsid w:val="00EC72F5"/>
    <w:rsid w:val="00EC7334"/>
    <w:rsid w:val="00ED16CC"/>
    <w:rsid w:val="00ED1877"/>
    <w:rsid w:val="00ED247F"/>
    <w:rsid w:val="00ED27E4"/>
    <w:rsid w:val="00ED2AD5"/>
    <w:rsid w:val="00ED2F27"/>
    <w:rsid w:val="00ED3370"/>
    <w:rsid w:val="00ED4D96"/>
    <w:rsid w:val="00ED5400"/>
    <w:rsid w:val="00ED5A40"/>
    <w:rsid w:val="00ED5F21"/>
    <w:rsid w:val="00ED602C"/>
    <w:rsid w:val="00ED62B5"/>
    <w:rsid w:val="00ED6DDB"/>
    <w:rsid w:val="00ED7985"/>
    <w:rsid w:val="00EE270D"/>
    <w:rsid w:val="00EE4BE9"/>
    <w:rsid w:val="00EE5A21"/>
    <w:rsid w:val="00EE6989"/>
    <w:rsid w:val="00EE6C77"/>
    <w:rsid w:val="00EE7604"/>
    <w:rsid w:val="00EE7912"/>
    <w:rsid w:val="00EE7915"/>
    <w:rsid w:val="00EF0465"/>
    <w:rsid w:val="00EF13C5"/>
    <w:rsid w:val="00EF16D8"/>
    <w:rsid w:val="00EF28EF"/>
    <w:rsid w:val="00EF2EB9"/>
    <w:rsid w:val="00EF40E7"/>
    <w:rsid w:val="00EF442F"/>
    <w:rsid w:val="00EF4529"/>
    <w:rsid w:val="00EF4A8D"/>
    <w:rsid w:val="00EF5B34"/>
    <w:rsid w:val="00EF657C"/>
    <w:rsid w:val="00F004D1"/>
    <w:rsid w:val="00F00C0D"/>
    <w:rsid w:val="00F0128B"/>
    <w:rsid w:val="00F02663"/>
    <w:rsid w:val="00F02672"/>
    <w:rsid w:val="00F03369"/>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06E"/>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5FE7"/>
    <w:rsid w:val="00F46842"/>
    <w:rsid w:val="00F4725A"/>
    <w:rsid w:val="00F4765F"/>
    <w:rsid w:val="00F479B5"/>
    <w:rsid w:val="00F47A1B"/>
    <w:rsid w:val="00F47C4B"/>
    <w:rsid w:val="00F53775"/>
    <w:rsid w:val="00F539A6"/>
    <w:rsid w:val="00F55E0E"/>
    <w:rsid w:val="00F5611D"/>
    <w:rsid w:val="00F56E3E"/>
    <w:rsid w:val="00F578A8"/>
    <w:rsid w:val="00F57EEB"/>
    <w:rsid w:val="00F57F67"/>
    <w:rsid w:val="00F57FAA"/>
    <w:rsid w:val="00F60006"/>
    <w:rsid w:val="00F60996"/>
    <w:rsid w:val="00F60B5D"/>
    <w:rsid w:val="00F611E4"/>
    <w:rsid w:val="00F612D0"/>
    <w:rsid w:val="00F613D4"/>
    <w:rsid w:val="00F61FE7"/>
    <w:rsid w:val="00F62AFE"/>
    <w:rsid w:val="00F633E5"/>
    <w:rsid w:val="00F64A3A"/>
    <w:rsid w:val="00F64F35"/>
    <w:rsid w:val="00F64FC4"/>
    <w:rsid w:val="00F65DE3"/>
    <w:rsid w:val="00F67E6A"/>
    <w:rsid w:val="00F70472"/>
    <w:rsid w:val="00F71430"/>
    <w:rsid w:val="00F71A8A"/>
    <w:rsid w:val="00F734A7"/>
    <w:rsid w:val="00F75896"/>
    <w:rsid w:val="00F76666"/>
    <w:rsid w:val="00F76ECB"/>
    <w:rsid w:val="00F76EF7"/>
    <w:rsid w:val="00F776B7"/>
    <w:rsid w:val="00F77758"/>
    <w:rsid w:val="00F77BDB"/>
    <w:rsid w:val="00F8031F"/>
    <w:rsid w:val="00F80C5C"/>
    <w:rsid w:val="00F818A5"/>
    <w:rsid w:val="00F8197C"/>
    <w:rsid w:val="00F81EC8"/>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979C8"/>
    <w:rsid w:val="00FA00AF"/>
    <w:rsid w:val="00FA0A0A"/>
    <w:rsid w:val="00FA0C9D"/>
    <w:rsid w:val="00FA169B"/>
    <w:rsid w:val="00FA2C4B"/>
    <w:rsid w:val="00FA552E"/>
    <w:rsid w:val="00FA5C92"/>
    <w:rsid w:val="00FA5CC6"/>
    <w:rsid w:val="00FA64D5"/>
    <w:rsid w:val="00FA6760"/>
    <w:rsid w:val="00FA70F6"/>
    <w:rsid w:val="00FA7420"/>
    <w:rsid w:val="00FA756C"/>
    <w:rsid w:val="00FA75E4"/>
    <w:rsid w:val="00FA776B"/>
    <w:rsid w:val="00FB0AB1"/>
    <w:rsid w:val="00FB2BEF"/>
    <w:rsid w:val="00FB36CA"/>
    <w:rsid w:val="00FB6A47"/>
    <w:rsid w:val="00FB72AC"/>
    <w:rsid w:val="00FB7706"/>
    <w:rsid w:val="00FB7EC9"/>
    <w:rsid w:val="00FB7F82"/>
    <w:rsid w:val="00FC07E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15A8"/>
    <w:rsid w:val="00FE36F3"/>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994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59453-D073-4932-9E87-E2C3EA7C7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2727</Words>
  <Characters>13251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PCT/WG/9/-- (Arabic)</vt:lpstr>
    </vt:vector>
  </TitlesOfParts>
  <Company>World Intellectual Property Organization</Company>
  <LinksUpToDate>false</LinksUpToDate>
  <CharactersWithSpaces>15947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PCT/WG/9/-- (Arabic)</dc:title>
  <dc:creator>YOUSSEF Randa</dc:creator>
  <cp:lastModifiedBy>YOUSSEF Randa</cp:lastModifiedBy>
  <cp:revision>6</cp:revision>
  <cp:lastPrinted>2017-05-02T15:09:00Z</cp:lastPrinted>
  <dcterms:created xsi:type="dcterms:W3CDTF">2017-05-02T12:44:00Z</dcterms:created>
  <dcterms:modified xsi:type="dcterms:W3CDTF">2017-05-02T15:10:00Z</dcterms:modified>
</cp:coreProperties>
</file>