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106" w:type="dxa"/>
        <w:tblLook w:val="01E0" w:firstRow="1" w:lastRow="1" w:firstColumn="1" w:lastColumn="1" w:noHBand="0" w:noVBand="0"/>
      </w:tblPr>
      <w:tblGrid>
        <w:gridCol w:w="4843"/>
        <w:gridCol w:w="4223"/>
        <w:gridCol w:w="505"/>
      </w:tblGrid>
      <w:tr w:rsidR="006E1EB5" w:rsidRPr="006E1EB5">
        <w:tc>
          <w:tcPr>
            <w:tcW w:w="4843" w:type="dxa"/>
            <w:tcBorders>
              <w:bottom w:val="single" w:sz="4" w:space="0" w:color="auto"/>
            </w:tcBorders>
          </w:tcPr>
          <w:p w:rsidR="002A42D3" w:rsidRPr="006E1EB5" w:rsidRDefault="002A42D3"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2A42D3" w:rsidRPr="006E1EB5" w:rsidRDefault="007304DC" w:rsidP="00246E87">
            <w:pPr>
              <w:bidi/>
              <w:spacing w:after="20"/>
              <w:rPr>
                <w:rFonts w:ascii="Arabic Typesetting" w:hAnsi="Arabic Typesetting" w:cs="Arabic Typesetting"/>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A-B&amp;W" style="width:103.95pt;height:96.4pt;visibility:visible">
                  <v:imagedata r:id="rId8" o:title=""/>
                </v:shape>
              </w:pict>
            </w:r>
          </w:p>
        </w:tc>
        <w:tc>
          <w:tcPr>
            <w:tcW w:w="505" w:type="dxa"/>
            <w:tcBorders>
              <w:bottom w:val="single" w:sz="4" w:space="0" w:color="auto"/>
            </w:tcBorders>
          </w:tcPr>
          <w:p w:rsidR="002A42D3" w:rsidRPr="006E1EB5" w:rsidRDefault="002A42D3" w:rsidP="001667B6">
            <w:pPr>
              <w:rPr>
                <w:b/>
                <w:bCs/>
                <w:sz w:val="40"/>
                <w:szCs w:val="40"/>
              </w:rPr>
            </w:pPr>
            <w:r w:rsidRPr="006E1EB5">
              <w:rPr>
                <w:b/>
                <w:bCs/>
                <w:sz w:val="40"/>
                <w:szCs w:val="40"/>
              </w:rPr>
              <w:t>A</w:t>
            </w:r>
          </w:p>
        </w:tc>
      </w:tr>
      <w:tr w:rsidR="006E1EB5" w:rsidRPr="006E1EB5">
        <w:trPr>
          <w:trHeight w:val="333"/>
        </w:trPr>
        <w:tc>
          <w:tcPr>
            <w:tcW w:w="9571" w:type="dxa"/>
            <w:gridSpan w:val="3"/>
            <w:tcBorders>
              <w:top w:val="single" w:sz="4" w:space="0" w:color="auto"/>
            </w:tcBorders>
            <w:vAlign w:val="bottom"/>
          </w:tcPr>
          <w:p w:rsidR="002A42D3" w:rsidRPr="006E1EB5" w:rsidRDefault="002A42D3" w:rsidP="006C4C61">
            <w:pPr>
              <w:pStyle w:val="DocumentCodeAR"/>
              <w:bidi/>
            </w:pPr>
            <w:r w:rsidRPr="006E1EB5">
              <w:rPr>
                <w:caps/>
                <w:sz w:val="15"/>
              </w:rPr>
              <w:t>PCT/WG/10/</w:t>
            </w:r>
            <w:bookmarkStart w:id="3" w:name="Code"/>
            <w:bookmarkEnd w:id="3"/>
            <w:r w:rsidRPr="006E1EB5">
              <w:rPr>
                <w:caps/>
                <w:sz w:val="15"/>
              </w:rPr>
              <w:t>15</w:t>
            </w:r>
          </w:p>
        </w:tc>
      </w:tr>
      <w:tr w:rsidR="006E1EB5" w:rsidRPr="006E1EB5">
        <w:tc>
          <w:tcPr>
            <w:tcW w:w="9571" w:type="dxa"/>
            <w:gridSpan w:val="3"/>
          </w:tcPr>
          <w:p w:rsidR="002A42D3" w:rsidRPr="006E1EB5" w:rsidRDefault="002A42D3" w:rsidP="006C4C61">
            <w:pPr>
              <w:pStyle w:val="DocumentLanguageAR"/>
              <w:bidi/>
              <w:rPr>
                <w:lang w:bidi="ar-SY"/>
              </w:rPr>
            </w:pPr>
            <w:r w:rsidRPr="006E1EB5">
              <w:rPr>
                <w:rtl/>
              </w:rPr>
              <w:t>الأصل: بالإنكليزية</w:t>
            </w:r>
          </w:p>
        </w:tc>
      </w:tr>
      <w:tr w:rsidR="006E1EB5" w:rsidRPr="006E1EB5">
        <w:tc>
          <w:tcPr>
            <w:tcW w:w="9571" w:type="dxa"/>
            <w:gridSpan w:val="3"/>
          </w:tcPr>
          <w:p w:rsidR="002A42D3" w:rsidRPr="006E1EB5" w:rsidRDefault="002A42D3" w:rsidP="006C4C61">
            <w:pPr>
              <w:pStyle w:val="DocumentDateAR"/>
              <w:bidi/>
            </w:pPr>
            <w:r w:rsidRPr="006E1EB5">
              <w:rPr>
                <w:rtl/>
              </w:rPr>
              <w:t>التاريخ: 12 أبريل 2017</w:t>
            </w:r>
          </w:p>
        </w:tc>
      </w:tr>
    </w:tbl>
    <w:p w:rsidR="002A42D3" w:rsidRPr="006E1EB5" w:rsidRDefault="002A42D3" w:rsidP="001667B6">
      <w:pPr>
        <w:bidi/>
        <w:spacing w:line="360" w:lineRule="exact"/>
        <w:rPr>
          <w:rFonts w:ascii="Arabic Typesetting" w:hAnsi="Arabic Typesetting" w:cs="Arabic Typesetting"/>
          <w:sz w:val="36"/>
          <w:szCs w:val="36"/>
          <w:rtl/>
        </w:rPr>
      </w:pPr>
    </w:p>
    <w:p w:rsidR="002A42D3" w:rsidRPr="006E1EB5" w:rsidRDefault="002A42D3" w:rsidP="001667B6">
      <w:pPr>
        <w:bidi/>
        <w:spacing w:line="360" w:lineRule="exact"/>
        <w:rPr>
          <w:rFonts w:ascii="Arabic Typesetting" w:hAnsi="Arabic Typesetting" w:cs="Arabic Typesetting"/>
          <w:sz w:val="36"/>
          <w:szCs w:val="36"/>
          <w:rtl/>
        </w:rPr>
      </w:pPr>
    </w:p>
    <w:p w:rsidR="002A42D3" w:rsidRPr="006E1EB5" w:rsidRDefault="002A42D3" w:rsidP="00F27305">
      <w:pPr>
        <w:bidi/>
        <w:spacing w:line="360" w:lineRule="exact"/>
        <w:rPr>
          <w:rFonts w:ascii="Arabic Typesetting" w:hAnsi="Arabic Typesetting" w:cs="Arabic Typesetting"/>
          <w:sz w:val="36"/>
          <w:szCs w:val="36"/>
          <w:rtl/>
        </w:rPr>
      </w:pPr>
    </w:p>
    <w:p w:rsidR="002A42D3" w:rsidRPr="006E1EB5" w:rsidRDefault="002A42D3" w:rsidP="00983389">
      <w:pPr>
        <w:pStyle w:val="MeetingTitleAR"/>
        <w:bidi/>
        <w:ind w:right="550"/>
        <w:rPr>
          <w:rtl/>
        </w:rPr>
      </w:pPr>
      <w:r w:rsidRPr="006E1EB5">
        <w:rPr>
          <w:rFonts w:hint="eastAsia"/>
          <w:rtl/>
        </w:rPr>
        <w:t>معاهدة</w:t>
      </w:r>
      <w:r w:rsidRPr="006E1EB5">
        <w:rPr>
          <w:rtl/>
        </w:rPr>
        <w:t xml:space="preserve"> </w:t>
      </w:r>
      <w:r w:rsidRPr="006E1EB5">
        <w:rPr>
          <w:rFonts w:hint="eastAsia"/>
          <w:rtl/>
        </w:rPr>
        <w:t>التعاون</w:t>
      </w:r>
      <w:r w:rsidRPr="006E1EB5">
        <w:rPr>
          <w:rtl/>
        </w:rPr>
        <w:t xml:space="preserve"> </w:t>
      </w:r>
      <w:r w:rsidRPr="006E1EB5">
        <w:rPr>
          <w:rFonts w:hint="eastAsia"/>
          <w:rtl/>
        </w:rPr>
        <w:t>بشأن</w:t>
      </w:r>
      <w:r w:rsidRPr="006E1EB5">
        <w:rPr>
          <w:rtl/>
        </w:rPr>
        <w:t xml:space="preserve"> </w:t>
      </w:r>
      <w:r w:rsidRPr="006E1EB5">
        <w:rPr>
          <w:rFonts w:hint="eastAsia"/>
          <w:rtl/>
        </w:rPr>
        <w:t>البراءات</w:t>
      </w:r>
    </w:p>
    <w:p w:rsidR="002A42D3" w:rsidRPr="006E1EB5" w:rsidRDefault="002A42D3" w:rsidP="00AB54AE">
      <w:pPr>
        <w:pStyle w:val="MeetingTitleAR"/>
        <w:bidi/>
        <w:ind w:right="550"/>
        <w:rPr>
          <w:rtl/>
        </w:rPr>
      </w:pPr>
      <w:r w:rsidRPr="006E1EB5">
        <w:rPr>
          <w:rFonts w:hint="eastAsia"/>
          <w:rtl/>
        </w:rPr>
        <w:t>الفريق</w:t>
      </w:r>
      <w:r w:rsidRPr="006E1EB5">
        <w:rPr>
          <w:rtl/>
        </w:rPr>
        <w:t xml:space="preserve"> </w:t>
      </w:r>
      <w:r w:rsidRPr="006E1EB5">
        <w:rPr>
          <w:rFonts w:hint="eastAsia"/>
          <w:rtl/>
        </w:rPr>
        <w:t>العامل</w:t>
      </w:r>
    </w:p>
    <w:p w:rsidR="002A42D3" w:rsidRPr="006E1EB5" w:rsidRDefault="002A42D3" w:rsidP="001667B6">
      <w:pPr>
        <w:bidi/>
        <w:spacing w:line="360" w:lineRule="exact"/>
        <w:rPr>
          <w:rFonts w:ascii="Arabic Typesetting" w:hAnsi="Arabic Typesetting" w:cs="Arabic Typesetting"/>
          <w:sz w:val="36"/>
          <w:szCs w:val="36"/>
          <w:rtl/>
        </w:rPr>
      </w:pPr>
    </w:p>
    <w:p w:rsidR="002A42D3" w:rsidRPr="006E1EB5" w:rsidRDefault="002A42D3" w:rsidP="000E5F0D">
      <w:pPr>
        <w:pStyle w:val="MeetingSessionAR"/>
        <w:bidi/>
        <w:rPr>
          <w:rFonts w:ascii="Cambria Math" w:hAnsi="Cambria Math"/>
          <w:rtl/>
          <w:lang w:bidi="ar-EG"/>
        </w:rPr>
      </w:pPr>
      <w:r w:rsidRPr="006E1EB5">
        <w:rPr>
          <w:rFonts w:ascii="Cambria Math" w:hAnsi="Cambria Math" w:hint="eastAsia"/>
          <w:rtl/>
        </w:rPr>
        <w:t>الدورة</w:t>
      </w:r>
      <w:r w:rsidRPr="006E1EB5">
        <w:rPr>
          <w:rFonts w:ascii="Cambria Math" w:hAnsi="Cambria Math"/>
          <w:rtl/>
        </w:rPr>
        <w:t xml:space="preserve"> </w:t>
      </w:r>
      <w:r w:rsidRPr="006E1EB5">
        <w:rPr>
          <w:rFonts w:ascii="Cambria Math" w:hAnsi="Cambria Math" w:hint="eastAsia"/>
          <w:rtl/>
          <w:lang w:bidi="ar-EG"/>
        </w:rPr>
        <w:t>العاشرة</w:t>
      </w:r>
    </w:p>
    <w:p w:rsidR="002A42D3" w:rsidRPr="006E1EB5" w:rsidRDefault="002A42D3" w:rsidP="000E5F0D">
      <w:pPr>
        <w:pStyle w:val="MeetingDatesAR"/>
        <w:bidi/>
        <w:rPr>
          <w:rtl/>
        </w:rPr>
      </w:pPr>
      <w:r w:rsidRPr="006E1EB5">
        <w:rPr>
          <w:rtl/>
        </w:rPr>
        <w:t>جنيف، من 8 إلى 12 مايو 2017</w:t>
      </w:r>
    </w:p>
    <w:p w:rsidR="002A42D3" w:rsidRPr="006E1EB5" w:rsidRDefault="002A42D3" w:rsidP="00D61541">
      <w:pPr>
        <w:bidi/>
        <w:spacing w:line="360" w:lineRule="exact"/>
        <w:rPr>
          <w:rFonts w:ascii="Arabic Typesetting" w:hAnsi="Arabic Typesetting" w:cs="Arabic Typesetting"/>
          <w:sz w:val="36"/>
          <w:szCs w:val="36"/>
          <w:rtl/>
        </w:rPr>
      </w:pPr>
    </w:p>
    <w:p w:rsidR="002A42D3" w:rsidRPr="006E1EB5" w:rsidRDefault="002A42D3" w:rsidP="00D61541">
      <w:pPr>
        <w:bidi/>
        <w:spacing w:line="360" w:lineRule="exact"/>
        <w:rPr>
          <w:rFonts w:ascii="Arabic Typesetting" w:hAnsi="Arabic Typesetting" w:cs="Arabic Typesetting"/>
          <w:sz w:val="36"/>
          <w:szCs w:val="36"/>
          <w:rtl/>
        </w:rPr>
      </w:pPr>
    </w:p>
    <w:p w:rsidR="002A42D3" w:rsidRPr="006E1EB5" w:rsidRDefault="002A42D3" w:rsidP="00F4318C">
      <w:pPr>
        <w:pStyle w:val="DocumentTitleAR"/>
        <w:bidi/>
        <w:rPr>
          <w:i/>
          <w:iCs/>
          <w:rtl/>
        </w:rPr>
      </w:pPr>
      <w:r w:rsidRPr="006E1EB5">
        <w:rPr>
          <w:rFonts w:hint="eastAsia"/>
          <w:rtl/>
        </w:rPr>
        <w:t>معيار</w:t>
      </w:r>
      <w:r w:rsidRPr="006E1EB5">
        <w:rPr>
          <w:rtl/>
        </w:rPr>
        <w:t xml:space="preserve"> </w:t>
      </w:r>
      <w:r w:rsidRPr="006E1EB5">
        <w:rPr>
          <w:rFonts w:hint="eastAsia"/>
          <w:rtl/>
        </w:rPr>
        <w:t>عرض</w:t>
      </w:r>
      <w:r w:rsidRPr="006E1EB5">
        <w:rPr>
          <w:rtl/>
        </w:rPr>
        <w:t xml:space="preserve"> </w:t>
      </w:r>
      <w:r w:rsidRPr="006E1EB5">
        <w:rPr>
          <w:rFonts w:hint="eastAsia"/>
          <w:rtl/>
        </w:rPr>
        <w:t>قوائم</w:t>
      </w:r>
      <w:r w:rsidRPr="006E1EB5">
        <w:rPr>
          <w:rtl/>
        </w:rPr>
        <w:t xml:space="preserve"> </w:t>
      </w:r>
      <w:r w:rsidRPr="006E1EB5">
        <w:rPr>
          <w:rFonts w:hint="eastAsia"/>
          <w:rtl/>
        </w:rPr>
        <w:t>التسلسل</w:t>
      </w:r>
      <w:r w:rsidRPr="006E1EB5">
        <w:rPr>
          <w:rtl/>
        </w:rPr>
        <w:t xml:space="preserve"> </w:t>
      </w:r>
      <w:r w:rsidR="005A2D1A" w:rsidRPr="006E1EB5">
        <w:rPr>
          <w:rFonts w:hint="cs"/>
          <w:rtl/>
        </w:rPr>
        <w:t>في إطار</w:t>
      </w:r>
      <w:r w:rsidRPr="006E1EB5">
        <w:rPr>
          <w:rtl/>
        </w:rPr>
        <w:t xml:space="preserve"> </w:t>
      </w:r>
      <w:r w:rsidRPr="006E1EB5">
        <w:rPr>
          <w:rFonts w:hint="eastAsia"/>
          <w:rtl/>
        </w:rPr>
        <w:t>معاهدة</w:t>
      </w:r>
      <w:r w:rsidRPr="006E1EB5">
        <w:rPr>
          <w:rtl/>
        </w:rPr>
        <w:t xml:space="preserve"> </w:t>
      </w:r>
      <w:r w:rsidRPr="006E1EB5">
        <w:rPr>
          <w:rFonts w:hint="eastAsia"/>
          <w:rtl/>
        </w:rPr>
        <w:t>التعاون</w:t>
      </w:r>
      <w:r w:rsidRPr="006E1EB5">
        <w:rPr>
          <w:rtl/>
        </w:rPr>
        <w:t xml:space="preserve"> </w:t>
      </w:r>
      <w:r w:rsidRPr="006E1EB5">
        <w:rPr>
          <w:rFonts w:hint="eastAsia"/>
          <w:rtl/>
        </w:rPr>
        <w:t>بشأن</w:t>
      </w:r>
      <w:r w:rsidRPr="006E1EB5">
        <w:rPr>
          <w:rtl/>
        </w:rPr>
        <w:t xml:space="preserve"> </w:t>
      </w:r>
      <w:r w:rsidRPr="006E1EB5">
        <w:rPr>
          <w:rFonts w:hint="eastAsia"/>
          <w:rtl/>
        </w:rPr>
        <w:t>البراءات</w:t>
      </w:r>
    </w:p>
    <w:p w:rsidR="002A42D3" w:rsidRPr="006E1EB5" w:rsidRDefault="002A42D3" w:rsidP="00EA05B9">
      <w:pPr>
        <w:pStyle w:val="PreparedbyAR"/>
        <w:bidi/>
        <w:rPr>
          <w:rtl/>
        </w:rPr>
      </w:pPr>
      <w:r w:rsidRPr="006E1EB5">
        <w:rPr>
          <w:rtl/>
        </w:rPr>
        <w:t>وثيقة من إعداد المكتب الأوروبي للبراءات</w:t>
      </w:r>
    </w:p>
    <w:p w:rsidR="002A42D3" w:rsidRPr="006E1EB5" w:rsidRDefault="002A42D3" w:rsidP="00A85532">
      <w:pPr>
        <w:pStyle w:val="Heading1AR"/>
      </w:pPr>
      <w:r w:rsidRPr="006E1EB5">
        <w:rPr>
          <w:rtl/>
        </w:rPr>
        <w:t>ملخص</w:t>
      </w:r>
    </w:p>
    <w:p w:rsidR="002A42D3" w:rsidRPr="006E1EB5" w:rsidRDefault="005A2D1A" w:rsidP="00EA05B9">
      <w:pPr>
        <w:pStyle w:val="NumberedParaAR"/>
        <w:rPr>
          <w:lang w:val="fr-CH"/>
        </w:rPr>
      </w:pPr>
      <w:r w:rsidRPr="006E1EB5">
        <w:rPr>
          <w:rtl/>
          <w:lang w:val="fr-CH"/>
        </w:rPr>
        <w:t>تتضمن هذه الوثيقة تقرير</w:t>
      </w:r>
      <w:r w:rsidR="002A42D3" w:rsidRPr="006E1EB5">
        <w:rPr>
          <w:rtl/>
          <w:lang w:val="fr-CH"/>
        </w:rPr>
        <w:t xml:space="preserve">ا من إعداد المكتب الأوروبي للبراءات بصفته المشرف على فرقة العمل المعنية بقوائم التسلسل التي أنشأتها اللجنة المعنية بمعايير الويبو (اللجنة). وهي تقدم إفادة محددة بشأن مراجعة معيار الويبو </w:t>
      </w:r>
      <w:r w:rsidR="002A42D3" w:rsidRPr="006E1EB5">
        <w:rPr>
          <w:lang w:val="fr-CH"/>
        </w:rPr>
        <w:t>ST.26</w:t>
      </w:r>
      <w:r w:rsidR="002A42D3" w:rsidRPr="006E1EB5">
        <w:rPr>
          <w:rtl/>
          <w:lang w:val="fr-CH"/>
        </w:rPr>
        <w:t xml:space="preserve"> وتعرض توصيات بشأن أحكام الانتقال من معيار الويبو </w:t>
      </w:r>
      <w:r w:rsidR="002A42D3" w:rsidRPr="006E1EB5">
        <w:rPr>
          <w:lang w:val="fr-CH"/>
        </w:rPr>
        <w:t>ST.25</w:t>
      </w:r>
      <w:r w:rsidR="002A42D3" w:rsidRPr="006E1EB5">
        <w:rPr>
          <w:rtl/>
          <w:lang w:val="fr-CH"/>
        </w:rPr>
        <w:t xml:space="preserve"> إلى معيار الويبو </w:t>
      </w:r>
      <w:r w:rsidR="002A42D3" w:rsidRPr="006E1EB5">
        <w:rPr>
          <w:lang w:val="fr-CH"/>
        </w:rPr>
        <w:t>ST.26</w:t>
      </w:r>
      <w:r w:rsidR="002A42D3" w:rsidRPr="006E1EB5">
        <w:rPr>
          <w:rtl/>
          <w:lang w:val="fr-CH"/>
        </w:rPr>
        <w:t xml:space="preserve"> والتي ستُعرض على اللجنة لتوافق عليها في دورتها الخامسة المقرر انعقادها في الفترة من 29 مايو إلى 2 يونيو 2017، والتي سيكون لها عواقب بشأن وضع القواعد والتعليمات الإدارية المرتقبة لتنفيذ المعيار الجديد في إطار معاهدة التعاون بشأن البراءات.</w:t>
      </w:r>
    </w:p>
    <w:p w:rsidR="002A42D3" w:rsidRPr="006E1EB5" w:rsidRDefault="002A42D3" w:rsidP="0009473E">
      <w:pPr>
        <w:pStyle w:val="Heading1AR"/>
        <w:spacing w:before="0"/>
        <w:rPr>
          <w:rtl/>
        </w:rPr>
      </w:pPr>
      <w:r w:rsidRPr="006E1EB5">
        <w:rPr>
          <w:rtl/>
        </w:rPr>
        <w:t>معلومات أساسية</w:t>
      </w:r>
    </w:p>
    <w:p w:rsidR="002A42D3" w:rsidRPr="006E1EB5" w:rsidRDefault="002A42D3" w:rsidP="00C72AF9">
      <w:pPr>
        <w:pStyle w:val="NumberedParaAR"/>
      </w:pPr>
      <w:r w:rsidRPr="006E1EB5">
        <w:rPr>
          <w:rtl/>
        </w:rPr>
        <w:t>أنشأت اللجنة المعنية بمعايير الويبو (اللجنة) فرقة العمل المعنية بقوائم التسلسل في دورتها الأولى (25 إلى 29 أكتوبر</w:t>
      </w:r>
      <w:r w:rsidR="00C72AF9" w:rsidRPr="006E1EB5">
        <w:rPr>
          <w:rFonts w:hint="cs"/>
          <w:rtl/>
        </w:rPr>
        <w:t> </w:t>
      </w:r>
      <w:r w:rsidRPr="006E1EB5">
        <w:rPr>
          <w:rtl/>
        </w:rPr>
        <w:t xml:space="preserve">2010) لكي تتولى المهمة 44 (انظر الفقرة 29 من الوثيقة </w:t>
      </w:r>
      <w:r w:rsidRPr="006E1EB5">
        <w:t>CWS/1/10</w:t>
      </w:r>
      <w:r w:rsidRPr="006E1EB5">
        <w:rPr>
          <w:rtl/>
        </w:rPr>
        <w:t>):</w:t>
      </w:r>
    </w:p>
    <w:p w:rsidR="002A42D3" w:rsidRPr="006E1EB5" w:rsidRDefault="002A42D3" w:rsidP="0012277B">
      <w:pPr>
        <w:pStyle w:val="NumberedParaAR"/>
        <w:numPr>
          <w:ilvl w:val="0"/>
          <w:numId w:val="0"/>
        </w:numPr>
        <w:ind w:left="566"/>
        <w:rPr>
          <w:noProof/>
          <w:rtl/>
        </w:rPr>
      </w:pPr>
      <w:r w:rsidRPr="006E1EB5">
        <w:rPr>
          <w:noProof/>
          <w:rtl/>
        </w:rPr>
        <w:t>"صياغة توصية بشأن عرض قوائم تسلسل النوويدات والحوامض الأمينية باستخدام لغة الترميز الموسعة (</w:t>
      </w:r>
      <w:r w:rsidRPr="006E1EB5">
        <w:rPr>
          <w:noProof/>
        </w:rPr>
        <w:t>XML</w:t>
      </w:r>
      <w:r w:rsidRPr="006E1EB5">
        <w:rPr>
          <w:noProof/>
          <w:rtl/>
        </w:rPr>
        <w:t xml:space="preserve">) لاعتمادها معيارا للويبو. وينبغي تقديم اقتراح معيار الويبو الجديد إلى جانب تقرير بشأن تأثير المعيار المذكور على معيار الويبو </w:t>
      </w:r>
      <w:r w:rsidRPr="006E1EB5">
        <w:rPr>
          <w:noProof/>
        </w:rPr>
        <w:t>ST.25</w:t>
      </w:r>
      <w:r w:rsidRPr="006E1EB5">
        <w:rPr>
          <w:noProof/>
          <w:rtl/>
        </w:rPr>
        <w:t xml:space="preserve">، وتضمين التقرير التغييرات الضرورية المقترح إدخالها على المعيار </w:t>
      </w:r>
      <w:r w:rsidRPr="006E1EB5">
        <w:rPr>
          <w:noProof/>
        </w:rPr>
        <w:t>ST.25</w:t>
      </w:r>
      <w:r w:rsidRPr="006E1EB5">
        <w:rPr>
          <w:noProof/>
          <w:rtl/>
        </w:rPr>
        <w:t>"</w:t>
      </w:r>
    </w:p>
    <w:p w:rsidR="0009473E" w:rsidRPr="006E1EB5" w:rsidRDefault="0009473E" w:rsidP="0012277B">
      <w:pPr>
        <w:pStyle w:val="NumberedParaAR"/>
        <w:numPr>
          <w:ilvl w:val="0"/>
          <w:numId w:val="0"/>
        </w:numPr>
        <w:ind w:left="566"/>
        <w:rPr>
          <w:rtl/>
        </w:rPr>
        <w:sectPr w:rsidR="0009473E" w:rsidRPr="006E1EB5">
          <w:endnotePr>
            <w:numFmt w:val="decimal"/>
          </w:endnotePr>
          <w:pgSz w:w="11907" w:h="16840"/>
          <w:pgMar w:top="567" w:right="1134" w:bottom="1418" w:left="1418" w:header="510" w:footer="1021" w:gutter="0"/>
          <w:cols w:space="720"/>
        </w:sectPr>
      </w:pPr>
    </w:p>
    <w:p w:rsidR="002A42D3" w:rsidRPr="006E1EB5" w:rsidRDefault="002A42D3" w:rsidP="0009473E">
      <w:pPr>
        <w:pStyle w:val="NumberedParaAR"/>
        <w:keepNext/>
        <w:rPr>
          <w:lang w:val="fr-CH"/>
        </w:rPr>
      </w:pPr>
      <w:r w:rsidRPr="006E1EB5">
        <w:rPr>
          <w:rtl/>
          <w:lang w:val="fr-CH"/>
        </w:rPr>
        <w:lastRenderedPageBreak/>
        <w:t>وطُلب إلى فرقة العمل ما يلي:</w:t>
      </w:r>
    </w:p>
    <w:p w:rsidR="0009473E" w:rsidRPr="006E1EB5" w:rsidRDefault="002A42D3" w:rsidP="0009473E">
      <w:pPr>
        <w:pStyle w:val="NumberedParaAR"/>
        <w:keepNext/>
        <w:numPr>
          <w:ilvl w:val="0"/>
          <w:numId w:val="0"/>
        </w:numPr>
        <w:ind w:left="567"/>
        <w:rPr>
          <w:lang w:val="fr-CH"/>
        </w:rPr>
      </w:pPr>
      <w:r w:rsidRPr="006E1EB5">
        <w:rPr>
          <w:rtl/>
          <w:lang w:val="fr-CH"/>
        </w:rPr>
        <w:t>"التنسيق مع هيئة معاهدة التعاون بشأن البراءات المعنية فيما يخص التأثير المحتمل لذلك المعيار على المرفق جيم من التعليمات الإدارية لمعاهدة التعاون بشأن البراءات."</w:t>
      </w:r>
    </w:p>
    <w:p w:rsidR="002A42D3" w:rsidRPr="006E1EB5" w:rsidRDefault="002A42D3" w:rsidP="00EA05B9">
      <w:pPr>
        <w:pStyle w:val="NumberedParaAR"/>
        <w:rPr>
          <w:lang w:val="fr-CH"/>
        </w:rPr>
      </w:pPr>
      <w:r w:rsidRPr="006E1EB5">
        <w:rPr>
          <w:rtl/>
          <w:lang w:val="fr-CH"/>
        </w:rPr>
        <w:t xml:space="preserve">وأُسند إلى المكتب الأوروبي للبراءات </w:t>
      </w:r>
      <w:r w:rsidR="0012277B" w:rsidRPr="006E1EB5">
        <w:rPr>
          <w:rtl/>
          <w:lang w:val="fr-CH"/>
        </w:rPr>
        <w:t>دور المشرف على فرقة العمل، واعت</w:t>
      </w:r>
      <w:r w:rsidRPr="006E1EB5">
        <w:rPr>
          <w:rtl/>
          <w:lang w:val="fr-CH"/>
        </w:rPr>
        <w:t xml:space="preserve">مد معيار الويبو الجديد، المسمى </w:t>
      </w:r>
      <w:r w:rsidRPr="006E1EB5">
        <w:rPr>
          <w:lang w:val="fr-CH"/>
        </w:rPr>
        <w:t>ST.26</w:t>
      </w:r>
      <w:r w:rsidRPr="006E1EB5">
        <w:rPr>
          <w:rtl/>
          <w:lang w:val="fr-CH"/>
        </w:rPr>
        <w:t>، رسميًا خلال الدورة الرابعة المستأنفة للجنة في مارس 2016 (</w:t>
      </w:r>
      <w:r w:rsidRPr="006E1EB5">
        <w:rPr>
          <w:lang w:val="fr-CH"/>
        </w:rPr>
        <w:t>CWS/4BIS</w:t>
      </w:r>
      <w:r w:rsidRPr="006E1EB5">
        <w:rPr>
          <w:rtl/>
          <w:lang w:val="fr-CH"/>
        </w:rPr>
        <w:t>).</w:t>
      </w:r>
    </w:p>
    <w:p w:rsidR="002A42D3" w:rsidRPr="006E1EB5" w:rsidRDefault="002A42D3" w:rsidP="00EA05B9">
      <w:pPr>
        <w:pStyle w:val="NumberedParaAR"/>
        <w:rPr>
          <w:lang w:val="fr-CH"/>
        </w:rPr>
      </w:pPr>
      <w:r w:rsidRPr="006E1EB5">
        <w:rPr>
          <w:rtl/>
          <w:lang w:val="fr-CH"/>
        </w:rPr>
        <w:t xml:space="preserve">ووافقت اللجنة على الوصف المعدّل للمهمة 44 في دورتها الرابعة المستأنفة في مارس 2016 (انظر الفقرة 83 من الوثيقة </w:t>
      </w:r>
      <w:r w:rsidRPr="006E1EB5">
        <w:rPr>
          <w:lang w:val="fr-CH"/>
        </w:rPr>
        <w:t>CWS/4BIS/16</w:t>
      </w:r>
      <w:r w:rsidRPr="006E1EB5">
        <w:rPr>
          <w:rtl/>
          <w:lang w:val="fr-CH"/>
        </w:rPr>
        <w:t>)، فصار الآن كالتالي:</w:t>
      </w:r>
    </w:p>
    <w:p w:rsidR="002A42D3" w:rsidRPr="006E1EB5" w:rsidRDefault="002A42D3" w:rsidP="0012277B">
      <w:pPr>
        <w:pStyle w:val="NumberedParaAR"/>
        <w:numPr>
          <w:ilvl w:val="0"/>
          <w:numId w:val="0"/>
        </w:numPr>
        <w:ind w:left="567"/>
        <w:rPr>
          <w:rtl/>
          <w:lang w:val="fr-CH" w:bidi="ar-EG"/>
        </w:rPr>
      </w:pPr>
      <w:r w:rsidRPr="006E1EB5">
        <w:rPr>
          <w:rtl/>
          <w:lang w:val="fr-CH"/>
        </w:rPr>
        <w:t xml:space="preserve">"إعداد توصيات بشأن أحكام الانتقال من المعيار </w:t>
      </w:r>
      <w:r w:rsidRPr="006E1EB5">
        <w:rPr>
          <w:lang w:val="fr-CH"/>
        </w:rPr>
        <w:t>ST.25</w:t>
      </w:r>
      <w:r w:rsidRPr="006E1EB5">
        <w:rPr>
          <w:rtl/>
          <w:lang w:val="fr-CH"/>
        </w:rPr>
        <w:t xml:space="preserve"> إلى المعيار </w:t>
      </w:r>
      <w:r w:rsidRPr="006E1EB5">
        <w:rPr>
          <w:lang w:val="fr-CH"/>
        </w:rPr>
        <w:t>ST.26</w:t>
      </w:r>
      <w:r w:rsidRPr="006E1EB5">
        <w:rPr>
          <w:rtl/>
          <w:lang w:val="fr-CH"/>
        </w:rPr>
        <w:t xml:space="preserve">؛ واقتراح </w:t>
      </w:r>
      <w:r w:rsidR="0012277B" w:rsidRPr="006E1EB5">
        <w:rPr>
          <w:rFonts w:hint="cs"/>
          <w:rtl/>
          <w:lang w:val="fr-FR" w:bidi="ar-EG"/>
        </w:rPr>
        <w:t>ل</w:t>
      </w:r>
      <w:r w:rsidRPr="006E1EB5">
        <w:rPr>
          <w:rtl/>
          <w:lang w:val="fr-CH"/>
        </w:rPr>
        <w:t>مراجعة معيار الويبو</w:t>
      </w:r>
      <w:r w:rsidR="0012277B" w:rsidRPr="006E1EB5">
        <w:rPr>
          <w:rFonts w:hint="cs"/>
          <w:rtl/>
          <w:lang w:val="fr-CH"/>
        </w:rPr>
        <w:t> </w:t>
      </w:r>
      <w:r w:rsidRPr="006E1EB5">
        <w:rPr>
          <w:lang w:val="fr-CH"/>
        </w:rPr>
        <w:t>ST.26</w:t>
      </w:r>
      <w:r w:rsidRPr="006E1EB5">
        <w:rPr>
          <w:rtl/>
          <w:lang w:val="fr-CH"/>
        </w:rPr>
        <w:t xml:space="preserve">، </w:t>
      </w:r>
      <w:r w:rsidR="0012277B" w:rsidRPr="006E1EB5">
        <w:rPr>
          <w:rFonts w:hint="cs"/>
          <w:rtl/>
          <w:lang w:val="fr-CH"/>
        </w:rPr>
        <w:t>إذا لزم الأمر</w:t>
      </w:r>
      <w:r w:rsidRPr="006E1EB5">
        <w:rPr>
          <w:rtl/>
          <w:lang w:val="fr-CH"/>
        </w:rPr>
        <w:t>".</w:t>
      </w:r>
    </w:p>
    <w:p w:rsidR="002A42D3" w:rsidRPr="006E1EB5" w:rsidRDefault="002A42D3" w:rsidP="0009473E">
      <w:pPr>
        <w:pStyle w:val="Heading1AR"/>
        <w:spacing w:before="0"/>
      </w:pPr>
      <w:r w:rsidRPr="006E1EB5">
        <w:rPr>
          <w:rtl/>
        </w:rPr>
        <w:t>التقرير المرحلي</w:t>
      </w:r>
    </w:p>
    <w:p w:rsidR="002A42D3" w:rsidRPr="006E1EB5" w:rsidRDefault="002A42D3" w:rsidP="0029167E">
      <w:pPr>
        <w:pStyle w:val="NumberedParaAR"/>
        <w:rPr>
          <w:lang w:val="fr-CH"/>
        </w:rPr>
      </w:pPr>
      <w:r w:rsidRPr="006E1EB5">
        <w:rPr>
          <w:rtl/>
          <w:lang w:val="fr-CH"/>
        </w:rPr>
        <w:t xml:space="preserve">عقب اعتماد معيار الويبو </w:t>
      </w:r>
      <w:r w:rsidRPr="006E1EB5">
        <w:rPr>
          <w:lang w:val="fr-CH"/>
        </w:rPr>
        <w:t>ST.26</w:t>
      </w:r>
      <w:r w:rsidRPr="006E1EB5">
        <w:rPr>
          <w:rtl/>
          <w:lang w:val="fr-CH"/>
        </w:rPr>
        <w:t xml:space="preserve"> في الدورة الرابعة المستأنفة للجنة، عقدت فرقة العمل جولتين من المناقشات. وركزت الجولة 8 على كيفية تحسين المعيار المعتمد لضمان فعاليته فور تنفيذه، أما الجولة 9 فركزت على ش</w:t>
      </w:r>
      <w:r w:rsidR="0029167E" w:rsidRPr="006E1EB5">
        <w:rPr>
          <w:rFonts w:hint="cs"/>
          <w:rtl/>
          <w:lang w:val="fr-CH"/>
        </w:rPr>
        <w:t>ؤ</w:t>
      </w:r>
      <w:r w:rsidRPr="006E1EB5">
        <w:rPr>
          <w:rtl/>
          <w:lang w:val="fr-CH"/>
        </w:rPr>
        <w:t>ون الانتقال (من</w:t>
      </w:r>
      <w:r w:rsidR="0029167E" w:rsidRPr="006E1EB5">
        <w:rPr>
          <w:rFonts w:hint="cs"/>
          <w:rtl/>
          <w:lang w:val="fr-CH"/>
        </w:rPr>
        <w:t> </w:t>
      </w:r>
      <w:r w:rsidRPr="006E1EB5">
        <w:rPr>
          <w:lang w:val="fr-CH"/>
        </w:rPr>
        <w:t>ST.25</w:t>
      </w:r>
      <w:r w:rsidRPr="006E1EB5">
        <w:rPr>
          <w:rtl/>
          <w:lang w:val="fr-CH"/>
        </w:rPr>
        <w:t xml:space="preserve"> إلى </w:t>
      </w:r>
      <w:r w:rsidRPr="006E1EB5">
        <w:rPr>
          <w:lang w:val="fr-CH"/>
        </w:rPr>
        <w:t>ST.26</w:t>
      </w:r>
      <w:r w:rsidRPr="006E1EB5">
        <w:rPr>
          <w:rtl/>
          <w:lang w:val="fr-CH"/>
        </w:rPr>
        <w:t>). وخلال هذه الفترة، عقدت فرقة العمل العديد من الاجتماعات عن بعد (</w:t>
      </w:r>
      <w:r w:rsidRPr="006E1EB5">
        <w:rPr>
          <w:lang w:val="fr-CH"/>
        </w:rPr>
        <w:t>WebEx</w:t>
      </w:r>
      <w:r w:rsidR="00644425" w:rsidRPr="006E1EB5">
        <w:rPr>
          <w:rtl/>
          <w:lang w:val="fr-CH"/>
        </w:rPr>
        <w:t>) فضلا</w:t>
      </w:r>
      <w:r w:rsidRPr="006E1EB5">
        <w:rPr>
          <w:rtl/>
          <w:lang w:val="fr-CH"/>
        </w:rPr>
        <w:t xml:space="preserve"> عن اجتماعين غير رسميين في جنيف (23 مارس 2016 و9 سبتمبر 2016).</w:t>
      </w:r>
    </w:p>
    <w:p w:rsidR="002A42D3" w:rsidRPr="006E1EB5" w:rsidRDefault="002A42D3" w:rsidP="00EA05B9">
      <w:pPr>
        <w:pStyle w:val="NumberedParaAR"/>
        <w:rPr>
          <w:lang w:val="fr-CH"/>
        </w:rPr>
      </w:pPr>
      <w:r w:rsidRPr="006E1EB5">
        <w:rPr>
          <w:rtl/>
          <w:lang w:val="fr-CH"/>
        </w:rPr>
        <w:t xml:space="preserve">وعملت فرقة العمل بشكل خاص على مراجعة المعيار المعتمد </w:t>
      </w:r>
      <w:r w:rsidRPr="006E1EB5">
        <w:rPr>
          <w:lang w:val="fr-CH"/>
        </w:rPr>
        <w:t>ST.26</w:t>
      </w:r>
      <w:r w:rsidRPr="006E1EB5">
        <w:rPr>
          <w:rtl/>
          <w:lang w:val="fr-CH"/>
        </w:rPr>
        <w:t xml:space="preserve"> بغية تيسير تنفيذه من قبل المودعين والمكاتب. ويشمل المعيار المعدل </w:t>
      </w:r>
      <w:r w:rsidRPr="006E1EB5">
        <w:rPr>
          <w:lang w:val="fr-CH"/>
        </w:rPr>
        <w:t>ST.26</w:t>
      </w:r>
      <w:r w:rsidRPr="006E1EB5">
        <w:rPr>
          <w:rtl/>
          <w:lang w:val="fr-CH"/>
        </w:rPr>
        <w:t xml:space="preserve"> والذي قُدم للجنة في دورتها الخامسة لاعتماده، التغييرات الأساسية التالية:</w:t>
      </w:r>
    </w:p>
    <w:p w:rsidR="002A42D3" w:rsidRPr="006E1EB5" w:rsidRDefault="002A42D3" w:rsidP="00454CFF">
      <w:pPr>
        <w:pStyle w:val="NumberedParaAR"/>
        <w:numPr>
          <w:ilvl w:val="0"/>
          <w:numId w:val="0"/>
        </w:numPr>
        <w:ind w:left="567"/>
        <w:rPr>
          <w:lang w:val="fr-CH"/>
        </w:rPr>
      </w:pPr>
      <w:r w:rsidRPr="006E1EB5">
        <w:rPr>
          <w:lang w:val="fr-CH"/>
        </w:rPr>
        <w:noBreakHyphen/>
        <w:t xml:space="preserve"> </w:t>
      </w:r>
      <w:r w:rsidRPr="006E1EB5">
        <w:rPr>
          <w:lang w:val="fr-CH"/>
        </w:rPr>
        <w:tab/>
      </w:r>
      <w:r w:rsidRPr="006E1EB5">
        <w:rPr>
          <w:rtl/>
          <w:lang w:val="fr-CH"/>
        </w:rPr>
        <w:t>توضيح حوامض البيبتايد النووية والتسلسلات المتنوعة داخل المعيار؛</w:t>
      </w:r>
    </w:p>
    <w:p w:rsidR="002A42D3" w:rsidRPr="006E1EB5" w:rsidRDefault="002A42D3" w:rsidP="00454CFF">
      <w:pPr>
        <w:pStyle w:val="NumberedParaAR"/>
        <w:numPr>
          <w:ilvl w:val="0"/>
          <w:numId w:val="0"/>
        </w:numPr>
        <w:ind w:left="567"/>
        <w:rPr>
          <w:lang w:val="fr-CH"/>
        </w:rPr>
      </w:pPr>
      <w:r w:rsidRPr="006E1EB5">
        <w:rPr>
          <w:lang w:val="fr-CH"/>
        </w:rPr>
        <w:noBreakHyphen/>
        <w:t xml:space="preserve"> </w:t>
      </w:r>
      <w:r w:rsidRPr="006E1EB5">
        <w:rPr>
          <w:lang w:val="fr-CH"/>
        </w:rPr>
        <w:tab/>
      </w:r>
      <w:r w:rsidRPr="006E1EB5">
        <w:rPr>
          <w:rtl/>
          <w:lang w:val="fr-CH"/>
        </w:rPr>
        <w:t>إعداد وثيقة توجيهية (المرفق السادس) لتيسير توحيد الممارسة والتفسير فيما بين المكاتب والمودعين؛</w:t>
      </w:r>
      <w:r w:rsidRPr="006E1EB5">
        <w:rPr>
          <w:lang w:val="fr-CH"/>
        </w:rPr>
        <w:t xml:space="preserve"> </w:t>
      </w:r>
    </w:p>
    <w:p w:rsidR="002A42D3" w:rsidRPr="006E1EB5" w:rsidRDefault="002A42D3" w:rsidP="00C7061B">
      <w:pPr>
        <w:pStyle w:val="NumberedParaAR"/>
        <w:numPr>
          <w:ilvl w:val="0"/>
          <w:numId w:val="0"/>
        </w:numPr>
        <w:ind w:left="567"/>
        <w:rPr>
          <w:lang w:val="fr-CH"/>
        </w:rPr>
      </w:pPr>
      <w:r w:rsidRPr="006E1EB5">
        <w:rPr>
          <w:lang w:val="fr-CH"/>
        </w:rPr>
        <w:noBreakHyphen/>
        <w:t xml:space="preserve"> </w:t>
      </w:r>
      <w:r w:rsidRPr="006E1EB5">
        <w:rPr>
          <w:lang w:val="fr-CH"/>
        </w:rPr>
        <w:tab/>
      </w:r>
      <w:r w:rsidRPr="006E1EB5">
        <w:rPr>
          <w:rtl/>
          <w:lang w:val="fr-CH"/>
        </w:rPr>
        <w:t xml:space="preserve">تحديث المرفق الأول ـ المفردات الخاضعة للمراقبة </w:t>
      </w:r>
      <w:r w:rsidR="00C26AFC" w:rsidRPr="006E1EB5">
        <w:rPr>
          <w:rFonts w:hint="cs"/>
          <w:rtl/>
          <w:lang w:val="fr-CH"/>
        </w:rPr>
        <w:t>و</w:t>
      </w:r>
      <w:r w:rsidR="00C7061B" w:rsidRPr="006E1EB5">
        <w:rPr>
          <w:rFonts w:hint="cs"/>
          <w:rtl/>
          <w:lang w:val="fr-CH"/>
        </w:rPr>
        <w:t xml:space="preserve">المتسقة </w:t>
      </w:r>
      <w:r w:rsidRPr="006E1EB5">
        <w:rPr>
          <w:rtl/>
          <w:lang w:val="fr-CH"/>
        </w:rPr>
        <w:t xml:space="preserve">مع جدول السمات </w:t>
      </w:r>
      <w:r w:rsidRPr="006E1EB5">
        <w:rPr>
          <w:lang w:val="fr-CH"/>
        </w:rPr>
        <w:t>V.10.6</w:t>
      </w:r>
      <w:r w:rsidRPr="006E1EB5">
        <w:rPr>
          <w:rtl/>
          <w:lang w:val="fr-CH"/>
        </w:rPr>
        <w:t xml:space="preserve"> بقاعدة البيانات الدولية لتسلسل النوويدات (</w:t>
      </w:r>
      <w:r w:rsidRPr="006E1EB5">
        <w:rPr>
          <w:lang w:val="fr-CH"/>
        </w:rPr>
        <w:t>INSDC</w:t>
      </w:r>
      <w:r w:rsidRPr="006E1EB5">
        <w:rPr>
          <w:rtl/>
          <w:lang w:val="fr-CH"/>
        </w:rPr>
        <w:t>) الصادر في نوفمبر 2016؛</w:t>
      </w:r>
      <w:r w:rsidRPr="006E1EB5">
        <w:rPr>
          <w:lang w:val="fr-CH"/>
        </w:rPr>
        <w:t xml:space="preserve"> </w:t>
      </w:r>
    </w:p>
    <w:p w:rsidR="002A42D3" w:rsidRPr="006E1EB5" w:rsidRDefault="002A42D3" w:rsidP="00C7061B">
      <w:pPr>
        <w:pStyle w:val="NumberedParaAR"/>
        <w:numPr>
          <w:ilvl w:val="0"/>
          <w:numId w:val="0"/>
        </w:numPr>
        <w:ind w:left="567"/>
        <w:rPr>
          <w:lang w:val="fr-CH"/>
        </w:rPr>
      </w:pPr>
      <w:r w:rsidRPr="006E1EB5">
        <w:rPr>
          <w:lang w:val="fr-CH"/>
        </w:rPr>
        <w:noBreakHyphen/>
        <w:t xml:space="preserve"> </w:t>
      </w:r>
      <w:r w:rsidRPr="006E1EB5">
        <w:rPr>
          <w:lang w:val="fr-CH"/>
        </w:rPr>
        <w:tab/>
      </w:r>
      <w:r w:rsidRPr="006E1EB5">
        <w:rPr>
          <w:rtl/>
          <w:lang w:val="fr-CH"/>
        </w:rPr>
        <w:t xml:space="preserve">إضافة تعليقات أو إعادة صياغتها داخل المرفق الثاني (تعريف </w:t>
      </w:r>
      <w:r w:rsidR="00F4318C" w:rsidRPr="006E1EB5">
        <w:rPr>
          <w:rFonts w:hint="cs"/>
          <w:rtl/>
          <w:lang w:val="fr-FR" w:bidi="ar-EG"/>
        </w:rPr>
        <w:t>أ</w:t>
      </w:r>
      <w:r w:rsidRPr="006E1EB5">
        <w:rPr>
          <w:rtl/>
          <w:lang w:val="fr-CH"/>
        </w:rPr>
        <w:t>نو</w:t>
      </w:r>
      <w:r w:rsidR="00F4318C" w:rsidRPr="006E1EB5">
        <w:rPr>
          <w:rFonts w:hint="cs"/>
          <w:rtl/>
          <w:lang w:val="fr-CH"/>
        </w:rPr>
        <w:t>ا</w:t>
      </w:r>
      <w:r w:rsidRPr="006E1EB5">
        <w:rPr>
          <w:rtl/>
          <w:lang w:val="fr-CH"/>
        </w:rPr>
        <w:t>ع الوثائق) ل</w:t>
      </w:r>
      <w:r w:rsidR="00C26AFC" w:rsidRPr="006E1EB5">
        <w:rPr>
          <w:rFonts w:hint="cs"/>
          <w:rtl/>
          <w:lang w:val="fr-CH"/>
        </w:rPr>
        <w:t>ضمان ا</w:t>
      </w:r>
      <w:r w:rsidRPr="006E1EB5">
        <w:rPr>
          <w:rtl/>
          <w:lang w:val="fr-CH"/>
        </w:rPr>
        <w:t>لتوضيح و</w:t>
      </w:r>
      <w:r w:rsidR="00C7061B" w:rsidRPr="006E1EB5">
        <w:rPr>
          <w:rFonts w:hint="cs"/>
          <w:rtl/>
          <w:lang w:val="fr-CH"/>
        </w:rPr>
        <w:t xml:space="preserve">الاتساق </w:t>
      </w:r>
      <w:r w:rsidRPr="006E1EB5">
        <w:rPr>
          <w:rtl/>
          <w:lang w:val="fr-CH"/>
        </w:rPr>
        <w:t>مع</w:t>
      </w:r>
      <w:r w:rsidR="00C26AFC" w:rsidRPr="006E1EB5">
        <w:rPr>
          <w:rFonts w:hint="cs"/>
          <w:rtl/>
          <w:lang w:val="fr-CH"/>
        </w:rPr>
        <w:t> </w:t>
      </w:r>
      <w:r w:rsidRPr="006E1EB5">
        <w:rPr>
          <w:lang w:val="fr-CH"/>
        </w:rPr>
        <w:t>INSDC DTD v1.5</w:t>
      </w:r>
      <w:r w:rsidRPr="006E1EB5">
        <w:rPr>
          <w:rtl/>
          <w:lang w:val="fr-CH"/>
        </w:rPr>
        <w:t>.</w:t>
      </w:r>
      <w:r w:rsidRPr="006E1EB5">
        <w:rPr>
          <w:lang w:val="fr-CH"/>
        </w:rPr>
        <w:t xml:space="preserve"> </w:t>
      </w:r>
    </w:p>
    <w:p w:rsidR="002A42D3" w:rsidRPr="006E1EB5" w:rsidRDefault="002A42D3" w:rsidP="00454CFF">
      <w:pPr>
        <w:pStyle w:val="NumberedParaAR"/>
        <w:numPr>
          <w:ilvl w:val="0"/>
          <w:numId w:val="0"/>
        </w:numPr>
        <w:ind w:left="567"/>
        <w:rPr>
          <w:lang w:val="fr-CH"/>
        </w:rPr>
      </w:pPr>
      <w:r w:rsidRPr="006E1EB5">
        <w:rPr>
          <w:lang w:val="fr-CH"/>
        </w:rPr>
        <w:noBreakHyphen/>
        <w:t xml:space="preserve"> </w:t>
      </w:r>
      <w:r w:rsidRPr="006E1EB5">
        <w:rPr>
          <w:lang w:val="fr-CH"/>
        </w:rPr>
        <w:tab/>
      </w:r>
      <w:r w:rsidRPr="006E1EB5">
        <w:rPr>
          <w:rtl/>
          <w:lang w:val="fr-CH"/>
        </w:rPr>
        <w:t xml:space="preserve">تحسين </w:t>
      </w:r>
      <w:r w:rsidR="00C26AFC" w:rsidRPr="006E1EB5">
        <w:rPr>
          <w:rtl/>
          <w:lang w:val="fr-CH"/>
        </w:rPr>
        <w:t>نص المعيار بوجه عام استناد</w:t>
      </w:r>
      <w:r w:rsidRPr="006E1EB5">
        <w:rPr>
          <w:rtl/>
          <w:lang w:val="fr-CH"/>
        </w:rPr>
        <w:t xml:space="preserve">ا إلى المناقشات العامة التي أجراها المكتب الأوروبي للبراءات ومكتب براءات اليابان ومكتب الولايات المتحدة للبراءات والعلامات في 2016 و2017. </w:t>
      </w:r>
    </w:p>
    <w:p w:rsidR="002A42D3" w:rsidRPr="006E1EB5" w:rsidRDefault="002A42D3" w:rsidP="0086646A">
      <w:pPr>
        <w:pStyle w:val="NumberedParaAR"/>
        <w:rPr>
          <w:lang w:val="fr-CH"/>
        </w:rPr>
      </w:pPr>
      <w:r w:rsidRPr="006E1EB5">
        <w:rPr>
          <w:rtl/>
          <w:lang w:val="fr-CH"/>
        </w:rPr>
        <w:t xml:space="preserve">وفيما يخص أمور الانتقال، بالنظر إلى علاقة هذا الانتقال من معيار الويبو </w:t>
      </w:r>
      <w:r w:rsidRPr="006E1EB5">
        <w:rPr>
          <w:lang w:val="fr-CH"/>
        </w:rPr>
        <w:t>ST.25</w:t>
      </w:r>
      <w:r w:rsidRPr="006E1EB5">
        <w:rPr>
          <w:rtl/>
          <w:lang w:val="fr-CH"/>
        </w:rPr>
        <w:t xml:space="preserve"> إلى </w:t>
      </w:r>
      <w:r w:rsidRPr="006E1EB5">
        <w:rPr>
          <w:lang w:val="fr-CH"/>
        </w:rPr>
        <w:t>ST.26</w:t>
      </w:r>
      <w:r w:rsidRPr="006E1EB5">
        <w:rPr>
          <w:rtl/>
          <w:lang w:val="fr-CH"/>
        </w:rPr>
        <w:t xml:space="preserve"> بمعاهدة التعاون بشأن البراءات، دعت فرقة العمل المكتب الدولي إلى التشاور مع أعضاء المعاهدة للإفادة في عملها. وتبعا لذلك، أ</w:t>
      </w:r>
      <w:r w:rsidR="00C26AFC" w:rsidRPr="006E1EB5">
        <w:rPr>
          <w:rtl/>
          <w:lang w:val="fr-CH"/>
        </w:rPr>
        <w:t>رسل المكتب الدولي الخطاب المعم</w:t>
      </w:r>
      <w:r w:rsidRPr="006E1EB5">
        <w:rPr>
          <w:rtl/>
          <w:lang w:val="fr-CH"/>
        </w:rPr>
        <w:t xml:space="preserve">م رقم </w:t>
      </w:r>
      <w:r w:rsidRPr="006E1EB5">
        <w:rPr>
          <w:lang w:val="fr-CH"/>
        </w:rPr>
        <w:t>C. PCT 1485/C. CWS 75</w:t>
      </w:r>
      <w:r w:rsidRPr="006E1EB5">
        <w:rPr>
          <w:rtl/>
          <w:lang w:val="fr-CH"/>
        </w:rPr>
        <w:t>، المؤرخ 18 نوفمبر، 2016. وشاطر المكتب الدولي فرقة العمل الردود المستلمة بشأ</w:t>
      </w:r>
      <w:r w:rsidR="00C26AFC" w:rsidRPr="006E1EB5">
        <w:rPr>
          <w:rtl/>
          <w:lang w:val="fr-CH"/>
        </w:rPr>
        <w:t>ن الخطاب المعم</w:t>
      </w:r>
      <w:r w:rsidRPr="006E1EB5">
        <w:rPr>
          <w:rtl/>
          <w:lang w:val="fr-CH"/>
        </w:rPr>
        <w:t>م، وقدّم تحليلا لتلك الردود في الدورة الرابعة والعشرين لاجتماع الإدارات الدولية لمعاهدة التعاون بشأن البراءات (</w:t>
      </w:r>
      <w:r w:rsidRPr="006E1EB5">
        <w:rPr>
          <w:lang w:val="fr-CH"/>
        </w:rPr>
        <w:t>PCT/MIA</w:t>
      </w:r>
      <w:r w:rsidRPr="006E1EB5">
        <w:rPr>
          <w:rtl/>
          <w:lang w:val="fr-CH"/>
        </w:rPr>
        <w:t xml:space="preserve">) في فبراير 2017 (انظر الوثيقة </w:t>
      </w:r>
      <w:r w:rsidRPr="006E1EB5">
        <w:rPr>
          <w:lang w:val="fr-CH"/>
        </w:rPr>
        <w:t>PCT/MIA/24/14</w:t>
      </w:r>
      <w:r w:rsidRPr="006E1EB5">
        <w:rPr>
          <w:rtl/>
          <w:lang w:val="fr-CH"/>
        </w:rPr>
        <w:t>).</w:t>
      </w:r>
    </w:p>
    <w:p w:rsidR="002A42D3" w:rsidRPr="006E1EB5" w:rsidRDefault="002A42D3" w:rsidP="00EA05B9">
      <w:pPr>
        <w:pStyle w:val="NumberedParaAR"/>
        <w:rPr>
          <w:lang w:val="fr-CH"/>
        </w:rPr>
      </w:pPr>
      <w:r w:rsidRPr="006E1EB5">
        <w:rPr>
          <w:rtl/>
          <w:lang w:val="fr-CH"/>
        </w:rPr>
        <w:lastRenderedPageBreak/>
        <w:t>وناقش أعضا</w:t>
      </w:r>
      <w:r w:rsidR="00C26AFC" w:rsidRPr="006E1EB5">
        <w:rPr>
          <w:rtl/>
          <w:lang w:val="fr-CH"/>
        </w:rPr>
        <w:t>ء فرقة العمل نتائج الخطاب المعم</w:t>
      </w:r>
      <w:r w:rsidRPr="006E1EB5">
        <w:rPr>
          <w:rtl/>
          <w:lang w:val="fr-CH"/>
        </w:rPr>
        <w:t xml:space="preserve">م </w:t>
      </w:r>
      <w:r w:rsidRPr="006E1EB5">
        <w:rPr>
          <w:lang w:val="fr-CH"/>
        </w:rPr>
        <w:t>C. PCT 1485/C. CWS 75</w:t>
      </w:r>
      <w:r w:rsidRPr="006E1EB5">
        <w:rPr>
          <w:rtl/>
          <w:lang w:val="fr-CH"/>
        </w:rPr>
        <w:t xml:space="preserve"> ومسائل عملية الانتقال في العديد من الاجتماعات عن بعد (</w:t>
      </w:r>
      <w:r w:rsidRPr="006E1EB5">
        <w:rPr>
          <w:lang w:val="fr-CH"/>
        </w:rPr>
        <w:t>WebEx</w:t>
      </w:r>
      <w:r w:rsidRPr="006E1EB5">
        <w:rPr>
          <w:rtl/>
          <w:lang w:val="fr-CH"/>
        </w:rPr>
        <w:t xml:space="preserve">) وعلى المنتدى الإلكتروني. وكانت نتيجة تلك المناقشات أن قدّمت فرقة العمل اقتراحا بعنوان "توصيات بشأن أحكام الانتقال من معيار الويبو </w:t>
      </w:r>
      <w:r w:rsidRPr="006E1EB5">
        <w:rPr>
          <w:lang w:val="fr-CH"/>
        </w:rPr>
        <w:t>ST.25</w:t>
      </w:r>
      <w:r w:rsidRPr="006E1EB5">
        <w:rPr>
          <w:rtl/>
          <w:lang w:val="fr-CH"/>
        </w:rPr>
        <w:t xml:space="preserve"> إلى </w:t>
      </w:r>
      <w:r w:rsidRPr="006E1EB5">
        <w:rPr>
          <w:lang w:val="fr-CH"/>
        </w:rPr>
        <w:t>ST.26</w:t>
      </w:r>
      <w:r w:rsidRPr="006E1EB5">
        <w:rPr>
          <w:rtl/>
          <w:lang w:val="fr-CH"/>
        </w:rPr>
        <w:t xml:space="preserve">" كي تنظر فيها لجنة المعايير وتوافق عليها في دورتها الخامسة المقرر عقدها في الفترة من 29 مايو إلى 2 يونيو 2017 (انظر مرفق الوثيقة </w:t>
      </w:r>
      <w:r w:rsidRPr="006E1EB5">
        <w:rPr>
          <w:lang w:val="fr-CH"/>
        </w:rPr>
        <w:t>CWS/5/7</w:t>
      </w:r>
      <w:r w:rsidRPr="006E1EB5">
        <w:rPr>
          <w:rtl/>
          <w:lang w:val="fr-CH"/>
        </w:rPr>
        <w:t>). ويرد الاقتراح في مرفق هذه الوثيقة.</w:t>
      </w:r>
    </w:p>
    <w:p w:rsidR="002A42D3" w:rsidRPr="006E1EB5" w:rsidRDefault="002A42D3" w:rsidP="00EA05B9">
      <w:pPr>
        <w:pStyle w:val="NumberedParaAR"/>
        <w:rPr>
          <w:lang w:val="fr-CH"/>
        </w:rPr>
      </w:pPr>
      <w:r w:rsidRPr="006E1EB5">
        <w:rPr>
          <w:rtl/>
          <w:lang w:val="fr-CH"/>
        </w:rPr>
        <w:t xml:space="preserve">وقدمت فرقة العمل أيضا الدعم إلى المكتب الدولي لتحديد متطلبات الأداة البرمجية الجديدة للإصدار والتحقق اللازمة لتنفيذ المعيار </w:t>
      </w:r>
      <w:r w:rsidRPr="006E1EB5">
        <w:rPr>
          <w:lang w:val="fr-CH"/>
        </w:rPr>
        <w:t>ST.26</w:t>
      </w:r>
      <w:r w:rsidRPr="006E1EB5">
        <w:rPr>
          <w:rtl/>
          <w:lang w:val="fr-CH"/>
        </w:rPr>
        <w:t xml:space="preserve"> الذي سيضعه المكتب الدولي.</w:t>
      </w:r>
    </w:p>
    <w:p w:rsidR="002A42D3" w:rsidRPr="006E1EB5" w:rsidRDefault="002A42D3" w:rsidP="00C12711">
      <w:pPr>
        <w:pStyle w:val="Heading1AR"/>
        <w:spacing w:before="0"/>
      </w:pPr>
      <w:r w:rsidRPr="006E1EB5">
        <w:rPr>
          <w:rtl/>
        </w:rPr>
        <w:t>خارطة الطريق</w:t>
      </w:r>
    </w:p>
    <w:p w:rsidR="002A42D3" w:rsidRPr="006E1EB5" w:rsidRDefault="002A42D3" w:rsidP="00EA05B9">
      <w:pPr>
        <w:pStyle w:val="NumberedParaAR"/>
        <w:rPr>
          <w:lang w:val="fr-CH"/>
        </w:rPr>
      </w:pPr>
      <w:r w:rsidRPr="006E1EB5">
        <w:rPr>
          <w:rtl/>
          <w:lang w:val="fr-CH"/>
        </w:rPr>
        <w:t xml:space="preserve">الحصول على الموافقة على النصوص المعدلة أو المضافة بشأن المعيار </w:t>
      </w:r>
      <w:r w:rsidRPr="006E1EB5">
        <w:rPr>
          <w:lang w:val="fr-CH"/>
        </w:rPr>
        <w:t>ST.26</w:t>
      </w:r>
      <w:r w:rsidRPr="006E1EB5">
        <w:rPr>
          <w:rtl/>
          <w:lang w:val="fr-CH"/>
        </w:rPr>
        <w:t xml:space="preserve"> في الدورة الخامسة للجنة.</w:t>
      </w:r>
    </w:p>
    <w:p w:rsidR="002A42D3" w:rsidRPr="006E1EB5" w:rsidRDefault="002A42D3" w:rsidP="00EA05B9">
      <w:pPr>
        <w:pStyle w:val="NumberedParaAR"/>
        <w:rPr>
          <w:lang w:val="fr-CH"/>
        </w:rPr>
      </w:pPr>
      <w:r w:rsidRPr="006E1EB5">
        <w:rPr>
          <w:rtl/>
          <w:lang w:val="fr-CH"/>
        </w:rPr>
        <w:t xml:space="preserve">الحصول على الموافقة على "التوصيات بشأن أحكام الانتقال من معيار الويبو </w:t>
      </w:r>
      <w:r w:rsidRPr="006E1EB5">
        <w:rPr>
          <w:lang w:val="fr-CH"/>
        </w:rPr>
        <w:t>ST.25</w:t>
      </w:r>
      <w:r w:rsidRPr="006E1EB5">
        <w:rPr>
          <w:rtl/>
          <w:lang w:val="fr-CH"/>
        </w:rPr>
        <w:t xml:space="preserve"> إلى </w:t>
      </w:r>
      <w:r w:rsidRPr="006E1EB5">
        <w:rPr>
          <w:lang w:val="fr-CH"/>
        </w:rPr>
        <w:t>ST.26</w:t>
      </w:r>
      <w:r w:rsidRPr="006E1EB5">
        <w:rPr>
          <w:rtl/>
          <w:lang w:val="fr-CH"/>
        </w:rPr>
        <w:t>" في الدورة الخامسة للجنة.</w:t>
      </w:r>
    </w:p>
    <w:p w:rsidR="002A42D3" w:rsidRPr="006E1EB5" w:rsidRDefault="002A42D3" w:rsidP="00EA05B9">
      <w:pPr>
        <w:pStyle w:val="NumberedParaAR"/>
        <w:rPr>
          <w:lang w:val="fr-CH"/>
        </w:rPr>
      </w:pPr>
      <w:r w:rsidRPr="006E1EB5">
        <w:rPr>
          <w:rtl/>
          <w:lang w:val="fr-CH"/>
        </w:rPr>
        <w:t>دعم المكتب الدولي للويبو عن طريق توفير متطلبات المستخدمين وردودهم بشأن أداة الإصدار.</w:t>
      </w:r>
    </w:p>
    <w:p w:rsidR="002A42D3" w:rsidRPr="006E1EB5" w:rsidRDefault="002A42D3" w:rsidP="00EA05B9">
      <w:pPr>
        <w:pStyle w:val="NumberedParaAR"/>
        <w:rPr>
          <w:lang w:val="fr-CH"/>
        </w:rPr>
      </w:pPr>
      <w:r w:rsidRPr="006E1EB5">
        <w:rPr>
          <w:rtl/>
          <w:lang w:val="fr-CH"/>
        </w:rPr>
        <w:t>دعم المكتب الدولي للويبو لإجراء المراجعات اللازمة على التعليمات الإدارية لمعاهدة التعاون بشأن البراءات.</w:t>
      </w:r>
    </w:p>
    <w:p w:rsidR="002A42D3" w:rsidRPr="006E1EB5" w:rsidRDefault="002A42D3" w:rsidP="00D90E6D">
      <w:pPr>
        <w:pStyle w:val="NumberedParaAR"/>
        <w:rPr>
          <w:rtl/>
          <w:lang w:val="fr-CH"/>
        </w:rPr>
      </w:pPr>
      <w:r w:rsidRPr="006E1EB5">
        <w:rPr>
          <w:rtl/>
          <w:lang w:val="fr-CH"/>
        </w:rPr>
        <w:t xml:space="preserve">العمل على أي مراجعة مقبلة لمعيار الويبو </w:t>
      </w:r>
      <w:r w:rsidRPr="006E1EB5">
        <w:rPr>
          <w:lang w:val="fr-CH"/>
        </w:rPr>
        <w:t>ST.26</w:t>
      </w:r>
      <w:r w:rsidRPr="006E1EB5">
        <w:rPr>
          <w:rtl/>
          <w:lang w:val="fr-CH"/>
        </w:rPr>
        <w:t>. ومن المقترح أن تكون المراجعات المقبلة للمعيار قائمة على طلب من أعضاء لجنة المعايير وليس تابعة لجدول زمني محدّد مسبقا.</w:t>
      </w:r>
    </w:p>
    <w:p w:rsidR="002A42D3" w:rsidRPr="006E1EB5" w:rsidRDefault="002A42D3" w:rsidP="0031122C">
      <w:pPr>
        <w:pStyle w:val="DecisionParaAR"/>
        <w:rPr>
          <w:lang w:bidi="ar-EG"/>
        </w:rPr>
      </w:pPr>
      <w:r w:rsidRPr="006E1EB5">
        <w:rPr>
          <w:rtl/>
          <w:lang w:bidi="ar-EG"/>
        </w:rPr>
        <w:t xml:space="preserve"> إن الفريق العامل مدعو إلى الإحاطة علما بمضمون هذه الوثيقة.</w:t>
      </w:r>
    </w:p>
    <w:p w:rsidR="002A42D3" w:rsidRPr="006E1EB5" w:rsidRDefault="002A42D3" w:rsidP="00F4318C">
      <w:pPr>
        <w:pStyle w:val="EndofDocumentAR"/>
        <w:spacing w:before="480"/>
        <w:rPr>
          <w:lang w:bidi="ar-EG"/>
        </w:rPr>
      </w:pPr>
      <w:r w:rsidRPr="006E1EB5">
        <w:rPr>
          <w:rtl/>
          <w:lang w:bidi="ar-EG"/>
        </w:rPr>
        <w:t>[يلي ذلك المرفق]</w:t>
      </w:r>
    </w:p>
    <w:p w:rsidR="002A42D3" w:rsidRPr="006E1EB5" w:rsidRDefault="002A42D3" w:rsidP="0031122C">
      <w:pPr>
        <w:pStyle w:val="NumberedParaAR"/>
        <w:numPr>
          <w:ilvl w:val="0"/>
          <w:numId w:val="0"/>
        </w:numPr>
        <w:rPr>
          <w:lang w:val="fr-CH"/>
        </w:rPr>
        <w:sectPr w:rsidR="002A42D3" w:rsidRPr="006E1EB5" w:rsidSect="0009473E">
          <w:headerReference w:type="default" r:id="rId9"/>
          <w:endnotePr>
            <w:numFmt w:val="decimal"/>
          </w:endnotePr>
          <w:pgSz w:w="11907" w:h="16840"/>
          <w:pgMar w:top="567" w:right="1134" w:bottom="1418" w:left="1418" w:header="510" w:footer="1021" w:gutter="0"/>
          <w:pgNumType w:start="2"/>
          <w:cols w:space="720"/>
        </w:sectPr>
      </w:pPr>
    </w:p>
    <w:p w:rsidR="002A42D3" w:rsidRPr="006E1EB5" w:rsidRDefault="002A42D3" w:rsidP="00C12711">
      <w:pPr>
        <w:pStyle w:val="Heading1AR"/>
        <w:spacing w:after="240" w:line="360" w:lineRule="exact"/>
        <w:rPr>
          <w:rtl/>
          <w:lang w:val="fr-FR" w:bidi="ar-EG"/>
        </w:rPr>
      </w:pPr>
      <w:r w:rsidRPr="006E1EB5">
        <w:rPr>
          <w:rtl/>
        </w:rPr>
        <w:lastRenderedPageBreak/>
        <w:t xml:space="preserve">توصيات بشأن أحكام الانتقال من معيار الويبو </w:t>
      </w:r>
      <w:r w:rsidRPr="006E1EB5">
        <w:t>ST.25</w:t>
      </w:r>
      <w:r w:rsidRPr="006E1EB5">
        <w:rPr>
          <w:rtl/>
        </w:rPr>
        <w:t xml:space="preserve"> إلى </w:t>
      </w:r>
      <w:r w:rsidRPr="006E1EB5">
        <w:t>ST.26</w:t>
      </w:r>
      <w:r w:rsidR="00F60F5D" w:rsidRPr="006E1EB5">
        <w:rPr>
          <w:rFonts w:hint="cs"/>
          <w:rtl/>
        </w:rPr>
        <w:t xml:space="preserve"> </w:t>
      </w:r>
      <w:r w:rsidR="00644425" w:rsidRPr="006E1EB5">
        <w:rPr>
          <w:rFonts w:hint="cs"/>
          <w:rtl/>
        </w:rPr>
        <w:t>(المهمة 44)</w:t>
      </w:r>
    </w:p>
    <w:p w:rsidR="002A42D3" w:rsidRPr="006E1EB5" w:rsidRDefault="002A42D3" w:rsidP="00C12711">
      <w:pPr>
        <w:pStyle w:val="Heading1"/>
        <w:keepNext w:val="0"/>
        <w:bidi/>
        <w:spacing w:before="0" w:after="240" w:line="360" w:lineRule="exact"/>
        <w:rPr>
          <w:rFonts w:ascii="Arabic Typesetting" w:hAnsi="Arabic Typesetting" w:cs="Arabic Typesetting"/>
          <w:bCs w:val="0"/>
          <w:i/>
          <w:iCs/>
          <w:kern w:val="0"/>
          <w:sz w:val="36"/>
          <w:szCs w:val="36"/>
          <w:lang w:val="fr-CH" w:bidi="ar-EG"/>
        </w:rPr>
      </w:pPr>
      <w:r w:rsidRPr="006E1EB5">
        <w:rPr>
          <w:rFonts w:ascii="Arabic Typesetting" w:hAnsi="Arabic Typesetting" w:cs="Arabic Typesetting"/>
          <w:bCs w:val="0"/>
          <w:i/>
          <w:iCs/>
          <w:kern w:val="0"/>
          <w:sz w:val="36"/>
          <w:szCs w:val="36"/>
          <w:rtl/>
          <w:lang w:val="fr-CH" w:bidi="ar-EG"/>
        </w:rPr>
        <w:t xml:space="preserve">(كما وردت في مرفق الوثيقة </w:t>
      </w:r>
      <w:r w:rsidRPr="006E1EB5">
        <w:rPr>
          <w:rFonts w:ascii="Arabic Typesetting" w:hAnsi="Arabic Typesetting" w:cs="Arabic Typesetting"/>
          <w:b w:val="0"/>
          <w:i/>
          <w:iCs/>
          <w:kern w:val="0"/>
          <w:sz w:val="36"/>
          <w:szCs w:val="36"/>
          <w:lang w:val="fr-CH" w:bidi="ar-EG"/>
        </w:rPr>
        <w:t>CWS/5/7</w:t>
      </w:r>
      <w:r w:rsidRPr="006E1EB5">
        <w:rPr>
          <w:rFonts w:ascii="Arabic Typesetting" w:hAnsi="Arabic Typesetting" w:cs="Arabic Typesetting"/>
          <w:bCs w:val="0"/>
          <w:i/>
          <w:iCs/>
          <w:kern w:val="0"/>
          <w:sz w:val="36"/>
          <w:szCs w:val="36"/>
          <w:rtl/>
          <w:lang w:val="fr-CH" w:bidi="ar-EG"/>
        </w:rPr>
        <w:t>)</w:t>
      </w:r>
    </w:p>
    <w:p w:rsidR="002A42D3" w:rsidRPr="006E1EB5" w:rsidRDefault="002A42D3" w:rsidP="00C12711">
      <w:pPr>
        <w:pStyle w:val="Heading2"/>
        <w:bidi/>
        <w:spacing w:before="0" w:line="360" w:lineRule="exact"/>
        <w:rPr>
          <w:rFonts w:ascii="Arabic Typesetting" w:hAnsi="Arabic Typesetting" w:cs="Arabic Typesetting"/>
          <w:b w:val="0"/>
          <w:bCs w:val="0"/>
          <w:i w:val="0"/>
          <w:iCs w:val="0"/>
          <w:sz w:val="40"/>
          <w:szCs w:val="40"/>
          <w:rtl/>
          <w:lang w:val="fr-CH"/>
        </w:rPr>
      </w:pPr>
      <w:r w:rsidRPr="006E1EB5">
        <w:rPr>
          <w:rFonts w:ascii="Arabic Typesetting" w:hAnsi="Arabic Typesetting" w:cs="Arabic Typesetting"/>
          <w:b w:val="0"/>
          <w:bCs w:val="0"/>
          <w:i w:val="0"/>
          <w:iCs w:val="0"/>
          <w:sz w:val="40"/>
          <w:szCs w:val="40"/>
          <w:rtl/>
          <w:lang w:val="fr-CH"/>
        </w:rPr>
        <w:t>معلومات أساسية</w:t>
      </w:r>
    </w:p>
    <w:p w:rsidR="002A42D3" w:rsidRPr="006E1EB5" w:rsidRDefault="002A42D3" w:rsidP="00F60F5D">
      <w:pPr>
        <w:pStyle w:val="NumberedParaAR"/>
        <w:numPr>
          <w:ilvl w:val="0"/>
          <w:numId w:val="19"/>
        </w:numPr>
        <w:spacing w:after="60"/>
      </w:pPr>
      <w:r w:rsidRPr="006E1EB5">
        <w:rPr>
          <w:rtl/>
        </w:rPr>
        <w:t xml:space="preserve">التمست </w:t>
      </w:r>
      <w:r w:rsidRPr="006E1EB5">
        <w:rPr>
          <w:rtl/>
          <w:lang w:bidi="ar-EG"/>
        </w:rPr>
        <w:t>ال</w:t>
      </w:r>
      <w:r w:rsidRPr="006E1EB5">
        <w:rPr>
          <w:rtl/>
        </w:rPr>
        <w:t xml:space="preserve">لجنة المعنية بمعايير الويبو (لجنة المعايير) من فرقة العمل المعنية بقوائم التسلسل </w:t>
      </w:r>
      <w:r w:rsidRPr="006E1EB5">
        <w:rPr>
          <w:lang w:bidi="ar-EG"/>
        </w:rPr>
        <w:t>(SEQL)</w:t>
      </w:r>
      <w:r w:rsidRPr="006E1EB5">
        <w:rPr>
          <w:rtl/>
          <w:lang w:bidi="ar-EG"/>
        </w:rPr>
        <w:t xml:space="preserve"> </w:t>
      </w:r>
      <w:r w:rsidRPr="006E1EB5">
        <w:rPr>
          <w:rtl/>
        </w:rPr>
        <w:t xml:space="preserve">تقديم اقتراح بشأن أحكام الانتقال من معيار الويبو </w:t>
      </w:r>
      <w:r w:rsidRPr="006E1EB5">
        <w:t>ST.25</w:t>
      </w:r>
      <w:r w:rsidRPr="006E1EB5">
        <w:rPr>
          <w:rtl/>
        </w:rPr>
        <w:t xml:space="preserve"> إلى </w:t>
      </w:r>
      <w:r w:rsidRPr="006E1EB5">
        <w:t>ST.26</w:t>
      </w:r>
      <w:r w:rsidRPr="006E1EB5">
        <w:rPr>
          <w:rtl/>
        </w:rPr>
        <w:t xml:space="preserve"> كي تنظر فيه اللجنة وتوافق عليه في دورتها المنعقدة في 2017. وبعد أن اعتمدت لجنة المعايير المعيار </w:t>
      </w:r>
      <w:r w:rsidRPr="006E1EB5">
        <w:t>ST.26</w:t>
      </w:r>
      <w:r w:rsidRPr="006E1EB5">
        <w:rPr>
          <w:rtl/>
        </w:rPr>
        <w:t xml:space="preserve"> في 2016، أجرت فرقة العمل جولة من المناقشات التي تمحورت حول مسائل عملية الانتقال (</w:t>
      </w:r>
      <w:r w:rsidRPr="006E1EB5">
        <w:t>ST.25</w:t>
      </w:r>
      <w:r w:rsidRPr="006E1EB5">
        <w:rPr>
          <w:rtl/>
        </w:rPr>
        <w:t xml:space="preserve"> إلى </w:t>
      </w:r>
      <w:r w:rsidRPr="006E1EB5">
        <w:t>ST.26</w:t>
      </w:r>
      <w:r w:rsidRPr="006E1EB5">
        <w:rPr>
          <w:rtl/>
        </w:rPr>
        <w:t>).</w:t>
      </w:r>
    </w:p>
    <w:p w:rsidR="002A42D3" w:rsidRPr="006E1EB5" w:rsidRDefault="002A42D3" w:rsidP="0031122C">
      <w:pPr>
        <w:pStyle w:val="NumberedParaAR"/>
      </w:pPr>
      <w:r w:rsidRPr="006E1EB5">
        <w:rPr>
          <w:rtl/>
        </w:rPr>
        <w:t xml:space="preserve">وبالنظر إلى علاقة هذا الانتقال </w:t>
      </w:r>
      <w:r w:rsidRPr="006E1EB5">
        <w:rPr>
          <w:rtl/>
          <w:lang w:bidi="ar-EG"/>
        </w:rPr>
        <w:t xml:space="preserve">من </w:t>
      </w:r>
      <w:r w:rsidRPr="006E1EB5">
        <w:rPr>
          <w:rtl/>
        </w:rPr>
        <w:t xml:space="preserve">معيار الويبو </w:t>
      </w:r>
      <w:r w:rsidRPr="006E1EB5">
        <w:t>ST.25</w:t>
      </w:r>
      <w:r w:rsidRPr="006E1EB5">
        <w:rPr>
          <w:rtl/>
        </w:rPr>
        <w:t xml:space="preserve"> إلى </w:t>
      </w:r>
      <w:r w:rsidRPr="006E1EB5">
        <w:t>ST.26</w:t>
      </w:r>
      <w:r w:rsidRPr="006E1EB5">
        <w:rPr>
          <w:rtl/>
        </w:rPr>
        <w:t xml:space="preserve"> بمعاهدة التعاون بشأن البراءات، دعت فرقة العمل المكتب الدولي إلى التشاور مع أعضاء المعاهدة للإفادة في عملها. وتبعا لذلك، أرسل المكتب الدولي الخطاب المعمَّم رقم </w:t>
      </w:r>
      <w:r w:rsidRPr="006E1EB5">
        <w:t>C. PCT 1485/C. CWS 74</w:t>
      </w:r>
      <w:r w:rsidRPr="006E1EB5">
        <w:rPr>
          <w:rtl/>
        </w:rPr>
        <w:t xml:space="preserve">. </w:t>
      </w:r>
      <w:r w:rsidRPr="006E1EB5">
        <w:rPr>
          <w:rtl/>
          <w:lang w:bidi="ar-EG"/>
        </w:rPr>
        <w:t xml:space="preserve">. وشاطر المكتب الدولي مع فرقة العمل الردود المستلمة بشأن الخطاب المعمَّم، وقدّم تحليلا لتلك الردود في اجتماع الإدارات الدولية لمعاهدة التعاون بشأن البراءات </w:t>
      </w:r>
      <w:r w:rsidRPr="006E1EB5">
        <w:rPr>
          <w:lang w:bidi="ar-EG"/>
        </w:rPr>
        <w:t>(PCT/MIA)</w:t>
      </w:r>
      <w:r w:rsidRPr="006E1EB5">
        <w:rPr>
          <w:rtl/>
          <w:lang w:bidi="ar-EG"/>
        </w:rPr>
        <w:t xml:space="preserve"> في فبراير 2017. وناقش أعضاء فرقة العمل مسائل عملية الانتقال في العديد من الاجتماعات عن بعد </w:t>
      </w:r>
      <w:r w:rsidRPr="006E1EB5">
        <w:rPr>
          <w:lang w:bidi="ar-EG"/>
        </w:rPr>
        <w:t>(WebEx)</w:t>
      </w:r>
      <w:r w:rsidRPr="006E1EB5">
        <w:rPr>
          <w:rtl/>
          <w:lang w:bidi="ar-EG"/>
        </w:rPr>
        <w:t xml:space="preserve"> وعلى المنتدى الإلكتروني.</w:t>
      </w:r>
    </w:p>
    <w:p w:rsidR="002A42D3" w:rsidRPr="006E1EB5" w:rsidRDefault="002A42D3" w:rsidP="0009473E">
      <w:pPr>
        <w:pStyle w:val="Heading2"/>
        <w:bidi/>
        <w:spacing w:line="400" w:lineRule="exact"/>
        <w:rPr>
          <w:rFonts w:ascii="Arabic Typesetting" w:hAnsi="Arabic Typesetting" w:cs="Arabic Typesetting"/>
          <w:b w:val="0"/>
          <w:bCs w:val="0"/>
          <w:i w:val="0"/>
          <w:iCs w:val="0"/>
          <w:sz w:val="40"/>
          <w:szCs w:val="40"/>
          <w:lang w:val="fr-CH"/>
        </w:rPr>
      </w:pPr>
      <w:r w:rsidRPr="006E1EB5">
        <w:rPr>
          <w:rFonts w:ascii="Arabic Typesetting" w:hAnsi="Arabic Typesetting" w:cs="Arabic Typesetting"/>
          <w:b w:val="0"/>
          <w:bCs w:val="0"/>
          <w:i w:val="0"/>
          <w:iCs w:val="0"/>
          <w:sz w:val="40"/>
          <w:szCs w:val="40"/>
          <w:rtl/>
          <w:lang w:val="fr-CH"/>
        </w:rPr>
        <w:t>توصيات من فرقة العمل</w:t>
      </w:r>
    </w:p>
    <w:p w:rsidR="002A42D3" w:rsidRPr="006E1EB5" w:rsidRDefault="002A42D3" w:rsidP="0031122C">
      <w:pPr>
        <w:pStyle w:val="NumberedParaAR"/>
      </w:pPr>
      <w:r w:rsidRPr="006E1EB5">
        <w:rPr>
          <w:rtl/>
        </w:rPr>
        <w:t>نزولا عند التماس لجنة المعايير ومع مراعاة حصيلة المشاورات التي أجراها المكتب الدولي من خلال الخطاب المعمَّم، فإن فرقة العمل المعنية بقوائم التسلسل توصي بما يلي:</w:t>
      </w:r>
    </w:p>
    <w:p w:rsidR="002A42D3" w:rsidRPr="006E1EB5" w:rsidRDefault="002A42D3" w:rsidP="0009473E">
      <w:pPr>
        <w:pStyle w:val="Heading3"/>
        <w:bidi/>
        <w:spacing w:line="360" w:lineRule="exact"/>
        <w:rPr>
          <w:rFonts w:ascii="Arabic Typesetting" w:hAnsi="Arabic Typesetting" w:cs="Arabic Typesetting"/>
          <w:b w:val="0"/>
          <w:bCs w:val="0"/>
          <w:sz w:val="36"/>
          <w:szCs w:val="36"/>
          <w:u w:val="single"/>
          <w:lang w:val="fr-CH"/>
        </w:rPr>
      </w:pPr>
      <w:r w:rsidRPr="006E1EB5">
        <w:rPr>
          <w:rFonts w:ascii="Arabic Typesetting" w:hAnsi="Arabic Typesetting" w:cs="Arabic Typesetting"/>
          <w:b w:val="0"/>
          <w:bCs w:val="0"/>
          <w:sz w:val="36"/>
          <w:szCs w:val="36"/>
          <w:u w:val="single"/>
          <w:rtl/>
          <w:lang w:val="fr-CH"/>
        </w:rPr>
        <w:t>سيناريوهات الانتقال:</w:t>
      </w:r>
    </w:p>
    <w:p w:rsidR="002A42D3" w:rsidRPr="006E1EB5" w:rsidRDefault="002A42D3" w:rsidP="0031122C">
      <w:pPr>
        <w:pStyle w:val="NumberedParaAR"/>
      </w:pPr>
      <w:r w:rsidRPr="006E1EB5">
        <w:rPr>
          <w:rtl/>
        </w:rPr>
        <w:t xml:space="preserve">تمشيا والرأي الذي أعربت عنه جميع المكاتب في ردّها على الخطاب المعمَّم، تعتقد فرقة العمل أن سيناريو "القطيعة" هو الخيار الأفضل لأنه يتيح على ما يبدو أعلى درجة من اليقين القانوني للمودعين والمكاتب. وينبغي بالتالي أن تتّفق جميع المكاتب على تاريخ واحد للانتقال من المعيار </w:t>
      </w:r>
      <w:r w:rsidRPr="006E1EB5">
        <w:t>ST.25</w:t>
      </w:r>
      <w:r w:rsidRPr="006E1EB5">
        <w:rPr>
          <w:rtl/>
        </w:rPr>
        <w:t xml:space="preserve"> إلى </w:t>
      </w:r>
      <w:r w:rsidRPr="006E1EB5">
        <w:t>ST.26</w:t>
      </w:r>
      <w:r w:rsidRPr="006E1EB5">
        <w:rPr>
          <w:rtl/>
        </w:rPr>
        <w:t xml:space="preserve"> لأغراض إيداع قوائم التسلسل في الطلبات الجديدة ("تاريخ الانتقال").</w:t>
      </w:r>
    </w:p>
    <w:p w:rsidR="002A42D3" w:rsidRPr="006E1EB5" w:rsidRDefault="002A42D3" w:rsidP="0009473E">
      <w:pPr>
        <w:pStyle w:val="Heading3"/>
        <w:bidi/>
        <w:spacing w:line="360" w:lineRule="exact"/>
        <w:rPr>
          <w:rFonts w:ascii="Arabic Typesetting" w:hAnsi="Arabic Typesetting" w:cs="Arabic Typesetting"/>
          <w:b w:val="0"/>
          <w:bCs w:val="0"/>
          <w:sz w:val="36"/>
          <w:szCs w:val="36"/>
          <w:u w:val="single"/>
          <w:lang w:val="fr-CH"/>
        </w:rPr>
      </w:pPr>
      <w:r w:rsidRPr="006E1EB5">
        <w:rPr>
          <w:rFonts w:ascii="Arabic Typesetting" w:hAnsi="Arabic Typesetting" w:cs="Arabic Typesetting"/>
          <w:b w:val="0"/>
          <w:bCs w:val="0"/>
          <w:sz w:val="36"/>
          <w:szCs w:val="36"/>
          <w:u w:val="single"/>
          <w:rtl/>
          <w:lang w:val="fr-CH"/>
        </w:rPr>
        <w:t xml:space="preserve">الطلبات الدولية المودعة بعد تاريخ الانتقال التي يطالب فيها بأولوية طلب يحتوي على قوائم تسلسل مودعة وفقا لمعيار الويبو معيار الويبو </w:t>
      </w:r>
      <w:r w:rsidRPr="006E1EB5">
        <w:rPr>
          <w:rFonts w:ascii="Arabic Typesetting" w:hAnsi="Arabic Typesetting" w:cs="Arabic Typesetting"/>
          <w:b w:val="0"/>
          <w:bCs w:val="0"/>
          <w:sz w:val="36"/>
          <w:szCs w:val="36"/>
          <w:u w:val="single"/>
          <w:lang w:val="fr-CH"/>
        </w:rPr>
        <w:t>ST.25</w:t>
      </w:r>
      <w:r w:rsidRPr="006E1EB5">
        <w:rPr>
          <w:rFonts w:ascii="Arabic Typesetting" w:hAnsi="Arabic Typesetting" w:cs="Arabic Typesetting"/>
          <w:b w:val="0"/>
          <w:bCs w:val="0"/>
          <w:sz w:val="36"/>
          <w:szCs w:val="36"/>
          <w:u w:val="single"/>
          <w:rtl/>
          <w:lang w:val="fr-CH"/>
        </w:rPr>
        <w:t>:</w:t>
      </w:r>
    </w:p>
    <w:p w:rsidR="002A42D3" w:rsidRPr="006E1EB5" w:rsidRDefault="002A42D3" w:rsidP="0031122C">
      <w:pPr>
        <w:pStyle w:val="NumberedParaAR"/>
      </w:pPr>
      <w:r w:rsidRPr="006E1EB5">
        <w:rPr>
          <w:rtl/>
          <w:lang w:val="fr-CH"/>
        </w:rPr>
        <w:t>أعربت الردود على الخطاب المعمَّم عن آراء متباينة حول إمكانية تحديد تاريخ الانتقال بالاعتماد على تاريخ الإيداع الدولي للطلبات الدولية أو على تاريخ الأولوية أو أن يترك الخيار للمودع.</w:t>
      </w:r>
    </w:p>
    <w:p w:rsidR="002A42D3" w:rsidRPr="006E1EB5" w:rsidRDefault="002A42D3" w:rsidP="0031122C">
      <w:pPr>
        <w:pStyle w:val="NumberedParaAR"/>
      </w:pPr>
      <w:r w:rsidRPr="006E1EB5">
        <w:rPr>
          <w:rtl/>
        </w:rPr>
        <w:t xml:space="preserve">وبعد تحليل معمّق للإيجابيات والسلبيات في كل واحد من الخيارات الثلاثة، بما في ذلك الردود التي قدّمها اجتماع الإدارات الدولية </w:t>
      </w:r>
      <w:r w:rsidRPr="006E1EB5">
        <w:t>PCT/MIA</w:t>
      </w:r>
      <w:r w:rsidRPr="006E1EB5">
        <w:rPr>
          <w:rtl/>
          <w:lang w:bidi="ar-EG"/>
        </w:rPr>
        <w:t xml:space="preserve"> في فبراير (انظر الفقرات 65 إلى 67 من الوثيقة </w:t>
      </w:r>
      <w:r w:rsidRPr="006E1EB5">
        <w:rPr>
          <w:lang w:val="fr-CH" w:bidi="ar-EG"/>
        </w:rPr>
        <w:t>PCT/MIA/24/15</w:t>
      </w:r>
      <w:r w:rsidRPr="006E1EB5">
        <w:rPr>
          <w:rtl/>
          <w:lang w:bidi="ar-EG"/>
        </w:rPr>
        <w:t>)، قرّرت فرقة العمل مؤقتا أن تاريخ الإيداع الدولي سيكون التاريخ الأنسب، في انتظار مزيد من التحليل للنظر في احتمال إضافة مادة أو حذفها جراء تحويل قائمة تسلسل من ال</w:t>
      </w:r>
      <w:r w:rsidRPr="006E1EB5">
        <w:rPr>
          <w:rtl/>
        </w:rPr>
        <w:t xml:space="preserve">معيار </w:t>
      </w:r>
      <w:r w:rsidRPr="006E1EB5">
        <w:t>ST.25</w:t>
      </w:r>
      <w:r w:rsidRPr="006E1EB5">
        <w:rPr>
          <w:rtl/>
        </w:rPr>
        <w:t xml:space="preserve">، وشرط توافر أداة للإصدار والتثبيت يمكن الاستعانة بها في تحويل قوائم التسلسل من المعيار </w:t>
      </w:r>
      <w:r w:rsidRPr="006E1EB5">
        <w:t>ST.25</w:t>
      </w:r>
      <w:r w:rsidRPr="006E1EB5">
        <w:rPr>
          <w:rtl/>
        </w:rPr>
        <w:t xml:space="preserve"> إلى </w:t>
      </w:r>
      <w:r w:rsidRPr="006E1EB5">
        <w:t>ST.26</w:t>
      </w:r>
      <w:r w:rsidRPr="006E1EB5">
        <w:rPr>
          <w:rtl/>
        </w:rPr>
        <w:t xml:space="preserve"> دون إضافة مادة أو حذفها. ويجري إعداد وثيقة لإجرار هذا التحليل وصياغة التوصيات المناسبة لفائدة المودعين.</w:t>
      </w:r>
    </w:p>
    <w:p w:rsidR="002A42D3" w:rsidRPr="006E1EB5" w:rsidRDefault="002A42D3" w:rsidP="0031122C">
      <w:pPr>
        <w:pStyle w:val="NumberedParaAR"/>
      </w:pPr>
      <w:r w:rsidRPr="006E1EB5">
        <w:rPr>
          <w:rtl/>
        </w:rPr>
        <w:t>وينبغي أن يترك للمكاتب الوطنية/الإقليمية حرية تحديد الإجراءات الواجب اتخاذها في المرحلة الوطنية/الإقليمية (مثلا بشأن الطلبات الجزئية).</w:t>
      </w:r>
    </w:p>
    <w:p w:rsidR="002A42D3" w:rsidRPr="006E1EB5" w:rsidRDefault="002A42D3" w:rsidP="0009473E">
      <w:pPr>
        <w:pStyle w:val="Heading3"/>
        <w:bidi/>
        <w:spacing w:line="360" w:lineRule="exact"/>
        <w:rPr>
          <w:rFonts w:ascii="Arabic Typesetting" w:hAnsi="Arabic Typesetting" w:cs="Arabic Typesetting"/>
          <w:b w:val="0"/>
          <w:bCs w:val="0"/>
          <w:sz w:val="36"/>
          <w:szCs w:val="36"/>
          <w:u w:val="single"/>
          <w:lang w:val="fr-CH"/>
        </w:rPr>
      </w:pPr>
      <w:r w:rsidRPr="006E1EB5">
        <w:rPr>
          <w:rFonts w:ascii="Arabic Typesetting" w:hAnsi="Arabic Typesetting" w:cs="Arabic Typesetting"/>
          <w:b w:val="0"/>
          <w:bCs w:val="0"/>
          <w:sz w:val="36"/>
          <w:szCs w:val="36"/>
          <w:u w:val="single"/>
          <w:rtl/>
          <w:lang w:val="fr-CH"/>
        </w:rPr>
        <w:lastRenderedPageBreak/>
        <w:t>تاريخ الانتقال المؤقت</w:t>
      </w:r>
    </w:p>
    <w:p w:rsidR="002A42D3" w:rsidRPr="006E1EB5" w:rsidRDefault="002A42D3" w:rsidP="0031122C">
      <w:pPr>
        <w:pStyle w:val="NumberedParaAR"/>
      </w:pPr>
      <w:r w:rsidRPr="006E1EB5">
        <w:rPr>
          <w:rtl/>
        </w:rPr>
        <w:t>اتفقت فرقة العمل مؤقتا على أن يكون يناير 2022 هو تاريخ التنفيذ، شريطة توافر برمجية للإصدار والتثبيت تمكّن من عرض قوائم التسلسل وطباعتها في نسق قابل للقراءة.</w:t>
      </w:r>
    </w:p>
    <w:p w:rsidR="002A42D3" w:rsidRPr="006E1EB5" w:rsidRDefault="002A42D3" w:rsidP="0009473E">
      <w:pPr>
        <w:pStyle w:val="Heading2"/>
        <w:bidi/>
        <w:spacing w:line="400" w:lineRule="exact"/>
        <w:rPr>
          <w:rFonts w:ascii="Arabic Typesetting" w:hAnsi="Arabic Typesetting" w:cs="Arabic Typesetting"/>
          <w:b w:val="0"/>
          <w:bCs w:val="0"/>
          <w:i w:val="0"/>
          <w:iCs w:val="0"/>
          <w:sz w:val="40"/>
          <w:szCs w:val="40"/>
          <w:lang w:val="fr-CH"/>
        </w:rPr>
      </w:pPr>
      <w:r w:rsidRPr="006E1EB5">
        <w:rPr>
          <w:rFonts w:ascii="Arabic Typesetting" w:hAnsi="Arabic Typesetting" w:cs="Arabic Typesetting"/>
          <w:b w:val="0"/>
          <w:bCs w:val="0"/>
          <w:i w:val="0"/>
          <w:iCs w:val="0"/>
          <w:sz w:val="40"/>
          <w:szCs w:val="40"/>
          <w:rtl/>
          <w:lang w:val="fr-CH"/>
        </w:rPr>
        <w:t>العمل المقبل لفرقة العمل</w:t>
      </w:r>
    </w:p>
    <w:p w:rsidR="002A42D3" w:rsidRPr="006E1EB5" w:rsidRDefault="002A42D3" w:rsidP="0031122C">
      <w:pPr>
        <w:pStyle w:val="NumberedParaAR"/>
      </w:pPr>
      <w:r w:rsidRPr="006E1EB5">
        <w:rPr>
          <w:rtl/>
        </w:rPr>
        <w:t xml:space="preserve">اتفقت فرقة العمل المعنية بقوائم التسلسل </w:t>
      </w:r>
      <w:r w:rsidRPr="006E1EB5">
        <w:t>(SEQL)</w:t>
      </w:r>
      <w:r w:rsidRPr="006E1EB5">
        <w:rPr>
          <w:rtl/>
          <w:lang w:bidi="ar-EG"/>
        </w:rPr>
        <w:t xml:space="preserve"> على المهام التالية:</w:t>
      </w:r>
    </w:p>
    <w:p w:rsidR="002A42D3" w:rsidRPr="006E1EB5" w:rsidRDefault="002A42D3" w:rsidP="0031122C">
      <w:pPr>
        <w:pStyle w:val="NumberedParaAR"/>
        <w:numPr>
          <w:ilvl w:val="0"/>
          <w:numId w:val="0"/>
        </w:numPr>
        <w:ind w:left="566"/>
        <w:rPr>
          <w:rtl/>
          <w:lang w:bidi="ar-EG"/>
        </w:rPr>
      </w:pPr>
      <w:r w:rsidRPr="006E1EB5">
        <w:rPr>
          <w:rtl/>
          <w:lang w:bidi="ar-EG"/>
        </w:rPr>
        <w:t>(أ)</w:t>
      </w:r>
      <w:r w:rsidRPr="006E1EB5">
        <w:rPr>
          <w:rtl/>
          <w:lang w:bidi="ar-EG"/>
        </w:rPr>
        <w:tab/>
        <w:t>ستقدّم فرقة العمل دعمها للمكتب الدولي للويبو بتوفير متطلبات المستخدمين والردود على أداة الإصدار.</w:t>
      </w:r>
    </w:p>
    <w:p w:rsidR="002A42D3" w:rsidRPr="006E1EB5" w:rsidRDefault="002A42D3" w:rsidP="0031122C">
      <w:pPr>
        <w:pStyle w:val="NumberedParaAR"/>
        <w:numPr>
          <w:ilvl w:val="0"/>
          <w:numId w:val="0"/>
        </w:numPr>
        <w:ind w:left="566"/>
        <w:rPr>
          <w:rtl/>
        </w:rPr>
      </w:pPr>
      <w:r w:rsidRPr="006E1EB5">
        <w:rPr>
          <w:rtl/>
        </w:rPr>
        <w:t>(ب)</w:t>
      </w:r>
      <w:r w:rsidRPr="006E1EB5">
        <w:rPr>
          <w:rtl/>
        </w:rPr>
        <w:tab/>
        <w:t>ستقدّم فرقة العمل دعمها للمكتب الدولي للويبو لإجراء المراجعات اللازم على التعليمات الإدارية لمعاهدة التعاون بشأن البراءات.</w:t>
      </w:r>
    </w:p>
    <w:p w:rsidR="002A42D3" w:rsidRPr="006E1EB5" w:rsidRDefault="002A42D3" w:rsidP="0031122C">
      <w:pPr>
        <w:pStyle w:val="NumberedParaAR"/>
        <w:numPr>
          <w:ilvl w:val="0"/>
          <w:numId w:val="0"/>
        </w:numPr>
        <w:ind w:left="566"/>
        <w:rPr>
          <w:rtl/>
        </w:rPr>
      </w:pPr>
      <w:r w:rsidRPr="006E1EB5">
        <w:rPr>
          <w:rtl/>
        </w:rPr>
        <w:t>(ج)</w:t>
      </w:r>
      <w:r w:rsidRPr="006E1EB5">
        <w:rPr>
          <w:rtl/>
        </w:rPr>
        <w:tab/>
        <w:t xml:space="preserve">ستوجّه فرقة العمل جهودها في المستقبل أيضا نحو مراجعة المعيار </w:t>
      </w:r>
      <w:r w:rsidRPr="006E1EB5">
        <w:t>ST.26</w:t>
      </w:r>
      <w:r w:rsidRPr="006E1EB5">
        <w:rPr>
          <w:rtl/>
        </w:rPr>
        <w:t>. ومن المقترح أن تكون المراجعات المقبلة للمعيار قائمة على طلب من أعضاء لجنة المعايير وليس تابعة لجدول زمني محدّد مسبقا.</w:t>
      </w:r>
    </w:p>
    <w:p w:rsidR="002A42D3" w:rsidRPr="006E1EB5" w:rsidRDefault="002A42D3" w:rsidP="0009473E">
      <w:pPr>
        <w:pStyle w:val="EndofDocumentAR"/>
        <w:spacing w:before="480"/>
      </w:pPr>
      <w:r w:rsidRPr="006E1EB5">
        <w:rPr>
          <w:rtl/>
        </w:rPr>
        <w:t>[نهاية المرفق والوثيقة]</w:t>
      </w:r>
    </w:p>
    <w:sectPr w:rsidR="002A42D3" w:rsidRPr="006E1EB5" w:rsidSect="0009473E">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2D3" w:rsidRDefault="002A42D3">
      <w:r>
        <w:separator/>
      </w:r>
    </w:p>
  </w:endnote>
  <w:endnote w:type="continuationSeparator" w:id="0">
    <w:p w:rsidR="002A42D3" w:rsidRDefault="002A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2D3" w:rsidRDefault="002A42D3" w:rsidP="009622BF">
      <w:pPr>
        <w:bidi/>
      </w:pPr>
      <w:bookmarkStart w:id="0" w:name="OLE_LINK1"/>
      <w:bookmarkStart w:id="1" w:name="OLE_LINK2"/>
      <w:r>
        <w:separator/>
      </w:r>
      <w:bookmarkEnd w:id="0"/>
      <w:bookmarkEnd w:id="1"/>
    </w:p>
  </w:footnote>
  <w:footnote w:type="continuationSeparator" w:id="0">
    <w:p w:rsidR="002A42D3" w:rsidRDefault="002A42D3"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3E" w:rsidRPr="0009473E" w:rsidRDefault="0009473E" w:rsidP="0009473E">
    <w:pPr>
      <w:rPr>
        <w:szCs w:val="22"/>
      </w:rPr>
    </w:pPr>
    <w:bookmarkStart w:id="4" w:name="Code2"/>
    <w:bookmarkEnd w:id="4"/>
    <w:r w:rsidRPr="0009473E">
      <w:rPr>
        <w:szCs w:val="22"/>
      </w:rPr>
      <w:t>PCT/WG/10/15</w:t>
    </w:r>
  </w:p>
  <w:p w:rsidR="0009473E" w:rsidRPr="0009473E" w:rsidRDefault="0009473E">
    <w:pPr>
      <w:pStyle w:val="Header"/>
      <w:rPr>
        <w:noProof/>
        <w:sz w:val="22"/>
        <w:szCs w:val="22"/>
        <w:rtl/>
      </w:rPr>
    </w:pPr>
    <w:r w:rsidRPr="0009473E">
      <w:rPr>
        <w:sz w:val="22"/>
        <w:szCs w:val="22"/>
      </w:rPr>
      <w:fldChar w:fldCharType="begin"/>
    </w:r>
    <w:r w:rsidRPr="0009473E">
      <w:rPr>
        <w:sz w:val="22"/>
        <w:szCs w:val="22"/>
      </w:rPr>
      <w:instrText xml:space="preserve"> PAGE   \* MERGEFORMAT </w:instrText>
    </w:r>
    <w:r w:rsidRPr="0009473E">
      <w:rPr>
        <w:sz w:val="22"/>
        <w:szCs w:val="22"/>
      </w:rPr>
      <w:fldChar w:fldCharType="separate"/>
    </w:r>
    <w:r w:rsidR="007304DC">
      <w:rPr>
        <w:noProof/>
        <w:sz w:val="22"/>
        <w:szCs w:val="22"/>
      </w:rPr>
      <w:t>3</w:t>
    </w:r>
    <w:r w:rsidRPr="0009473E">
      <w:rPr>
        <w:noProof/>
        <w:sz w:val="22"/>
        <w:szCs w:val="22"/>
      </w:rPr>
      <w:fldChar w:fldCharType="end"/>
    </w:r>
  </w:p>
  <w:p w:rsidR="0009473E" w:rsidRDefault="000947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3E" w:rsidRPr="0009473E" w:rsidRDefault="0009473E" w:rsidP="0009473E">
    <w:pPr>
      <w:rPr>
        <w:szCs w:val="22"/>
      </w:rPr>
    </w:pPr>
    <w:r w:rsidRPr="0009473E">
      <w:rPr>
        <w:szCs w:val="22"/>
      </w:rPr>
      <w:t>PCT/WG/10/15</w:t>
    </w:r>
  </w:p>
  <w:p w:rsidR="0009473E" w:rsidRPr="0009473E" w:rsidRDefault="0009473E" w:rsidP="0009473E">
    <w:pPr>
      <w:pStyle w:val="Header"/>
      <w:rPr>
        <w:rFonts w:ascii="Arabic Typesetting" w:hAnsi="Arabic Typesetting" w:cs="Arabic Typesetting"/>
        <w:sz w:val="22"/>
        <w:szCs w:val="22"/>
      </w:rPr>
    </w:pPr>
    <w:r w:rsidRPr="0009473E">
      <w:rPr>
        <w:sz w:val="22"/>
        <w:szCs w:val="22"/>
      </w:rPr>
      <w:t>A</w:t>
    </w:r>
    <w:r>
      <w:rPr>
        <w:sz w:val="22"/>
        <w:szCs w:val="22"/>
      </w:rPr>
      <w:t>nnex</w:t>
    </w:r>
  </w:p>
  <w:p w:rsidR="002A42D3" w:rsidRDefault="0009473E" w:rsidP="0009473E">
    <w:pPr>
      <w:pStyle w:val="Header"/>
      <w:rPr>
        <w:noProof/>
      </w:rPr>
    </w:pPr>
    <w:r>
      <w:fldChar w:fldCharType="begin"/>
    </w:r>
    <w:r>
      <w:instrText xml:space="preserve"> PAGE   \* MERGEFORMAT </w:instrText>
    </w:r>
    <w:r>
      <w:fldChar w:fldCharType="separate"/>
    </w:r>
    <w:r w:rsidR="007304DC">
      <w:rPr>
        <w:noProof/>
      </w:rPr>
      <w:t>2</w:t>
    </w:r>
    <w:r>
      <w:rPr>
        <w:noProof/>
      </w:rPr>
      <w:fldChar w:fldCharType="end"/>
    </w:r>
  </w:p>
  <w:p w:rsidR="0009473E" w:rsidRPr="0009473E" w:rsidRDefault="0009473E" w:rsidP="000947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2D3" w:rsidRPr="0009473E" w:rsidRDefault="002A42D3" w:rsidP="00AC4695">
    <w:pPr>
      <w:rPr>
        <w:szCs w:val="22"/>
      </w:rPr>
    </w:pPr>
    <w:r w:rsidRPr="0009473E">
      <w:rPr>
        <w:szCs w:val="22"/>
      </w:rPr>
      <w:t>PCT/WG/10/15</w:t>
    </w:r>
  </w:p>
  <w:p w:rsidR="002A42D3" w:rsidRPr="0009473E" w:rsidRDefault="002A42D3" w:rsidP="00AC4695">
    <w:pPr>
      <w:pStyle w:val="Header"/>
      <w:rPr>
        <w:rFonts w:ascii="Arabic Typesetting" w:hAnsi="Arabic Typesetting" w:cs="Arabic Typesetting"/>
        <w:sz w:val="22"/>
        <w:szCs w:val="22"/>
      </w:rPr>
    </w:pPr>
    <w:r w:rsidRPr="0009473E">
      <w:rPr>
        <w:sz w:val="22"/>
        <w:szCs w:val="22"/>
      </w:rPr>
      <w:t>ANNEX</w:t>
    </w:r>
  </w:p>
  <w:p w:rsidR="002A42D3" w:rsidRDefault="002A42D3" w:rsidP="00AC4695">
    <w:pPr>
      <w:pStyle w:val="Header"/>
      <w:bidi/>
      <w:jc w:val="right"/>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المرفق</w:t>
    </w:r>
  </w:p>
  <w:p w:rsidR="0009473E" w:rsidRPr="0009473E" w:rsidRDefault="0009473E" w:rsidP="0009473E">
    <w:pPr>
      <w:pStyle w:val="Header"/>
      <w:bidi/>
      <w:jc w:val="right"/>
      <w:rPr>
        <w:rFonts w:cs="Arial"/>
        <w:sz w:val="22"/>
        <w:szCs w:val="22"/>
        <w:rtl/>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A224328"/>
    <w:lvl w:ilvl="0">
      <w:start w:val="1"/>
      <w:numFmt w:val="decimal"/>
      <w:pStyle w:val="ONUME"/>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2">
    <w:nsid w:val="1727581F"/>
    <w:multiLevelType w:val="multilevel"/>
    <w:tmpl w:val="34D8CCB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1B3E44C6"/>
    <w:multiLevelType w:val="hybridMultilevel"/>
    <w:tmpl w:val="45C4F23E"/>
    <w:lvl w:ilvl="0" w:tplc="CBD68302">
      <w:start w:val="5"/>
      <w:numFmt w:val="arabicAlpha"/>
      <w:lvlText w:val="(%1)"/>
      <w:lvlJc w:val="left"/>
      <w:pPr>
        <w:tabs>
          <w:tab w:val="num" w:pos="930"/>
        </w:tabs>
        <w:ind w:left="930" w:hanging="570"/>
      </w:pPr>
      <w:rPr>
        <w:rFonts w:cs="Times New Roman" w:hint="default"/>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5E87973"/>
    <w:multiLevelType w:val="hybridMultilevel"/>
    <w:tmpl w:val="C78CE340"/>
    <w:lvl w:ilvl="0" w:tplc="D09EF666">
      <w:start w:val="1"/>
      <w:numFmt w:val="decimal"/>
      <w:pStyle w:val="NumberedParaAR"/>
      <w:lvlText w:val="%1."/>
      <w:lvlJc w:val="left"/>
      <w:pPr>
        <w:tabs>
          <w:tab w:val="num" w:pos="567"/>
        </w:tabs>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42B5499D"/>
    <w:multiLevelType w:val="hybridMultilevel"/>
    <w:tmpl w:val="2500ED4A"/>
    <w:lvl w:ilvl="0" w:tplc="C240C968">
      <w:start w:val="1"/>
      <w:numFmt w:val="arabicAbjad"/>
      <w:lvlText w:val="(%1)"/>
      <w:lvlJc w:val="left"/>
      <w:pPr>
        <w:ind w:left="720" w:hanging="360"/>
      </w:pPr>
      <w:rPr>
        <w:rFonts w:ascii="Arabic Typesetting" w:hAnsi="Arabic Typesetting" w:cs="Arabic Typesetting" w:hint="default"/>
        <w:sz w:val="36"/>
        <w:szCs w:val="3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5D704C4"/>
    <w:multiLevelType w:val="hybridMultilevel"/>
    <w:tmpl w:val="0B201A10"/>
    <w:lvl w:ilvl="0" w:tplc="CBD68302">
      <w:start w:val="5"/>
      <w:numFmt w:val="arabicAlpha"/>
      <w:lvlText w:val="(%1)"/>
      <w:lvlJc w:val="left"/>
      <w:pPr>
        <w:tabs>
          <w:tab w:val="num" w:pos="930"/>
        </w:tabs>
        <w:ind w:left="930" w:hanging="570"/>
      </w:pPr>
      <w:rPr>
        <w:rFonts w:cs="Times New Roman" w:hint="default"/>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DF442C6"/>
    <w:multiLevelType w:val="multilevel"/>
    <w:tmpl w:val="2500ED4A"/>
    <w:lvl w:ilvl="0">
      <w:start w:val="1"/>
      <w:numFmt w:val="arabicAbjad"/>
      <w:lvlText w:val="(%1)"/>
      <w:lvlJc w:val="left"/>
      <w:pPr>
        <w:ind w:left="720" w:hanging="360"/>
      </w:pPr>
      <w:rPr>
        <w:rFonts w:ascii="Arabic Typesetting" w:hAnsi="Arabic Typesetting" w:cs="Arabic Typesetting" w:hint="default"/>
        <w:sz w:val="36"/>
        <w:szCs w:val="3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52FC45C1"/>
    <w:multiLevelType w:val="hybridMultilevel"/>
    <w:tmpl w:val="E1028D04"/>
    <w:lvl w:ilvl="0" w:tplc="0409000F">
      <w:start w:val="1"/>
      <w:numFmt w:val="decimal"/>
      <w:lvlText w:val="%1."/>
      <w:lvlJc w:val="left"/>
      <w:pPr>
        <w:tabs>
          <w:tab w:val="num" w:pos="720"/>
        </w:tabs>
        <w:ind w:left="720" w:hanging="360"/>
      </w:pPr>
      <w:rPr>
        <w:rFonts w:cs="Times New Roman"/>
      </w:rPr>
    </w:lvl>
    <w:lvl w:ilvl="1" w:tplc="53008B7E">
      <w:start w:val="1"/>
      <w:numFmt w:val="arabicAlpha"/>
      <w:lvlText w:val="(%2)"/>
      <w:lvlJc w:val="left"/>
      <w:pPr>
        <w:tabs>
          <w:tab w:val="num" w:pos="1650"/>
        </w:tabs>
        <w:ind w:left="1650" w:hanging="570"/>
      </w:pPr>
      <w:rPr>
        <w:rFonts w:cs="Times New Roman" w:hint="default"/>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0E91801"/>
    <w:multiLevelType w:val="hybridMultilevel"/>
    <w:tmpl w:val="7CF42090"/>
    <w:lvl w:ilvl="0" w:tplc="CBD68302">
      <w:start w:val="5"/>
      <w:numFmt w:val="arabicAlpha"/>
      <w:lvlText w:val="(%1)"/>
      <w:lvlJc w:val="left"/>
      <w:pPr>
        <w:tabs>
          <w:tab w:val="num" w:pos="930"/>
        </w:tabs>
        <w:ind w:left="930" w:hanging="570"/>
      </w:pPr>
      <w:rPr>
        <w:rFonts w:cs="Times New Roman" w:hint="default"/>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8AD72B9"/>
    <w:multiLevelType w:val="multilevel"/>
    <w:tmpl w:val="025AB0C2"/>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7AEF7B0A"/>
    <w:multiLevelType w:val="hybridMultilevel"/>
    <w:tmpl w:val="B24A4F2E"/>
    <w:lvl w:ilvl="0" w:tplc="61521332">
      <w:start w:val="1"/>
      <w:numFmt w:val="decimal"/>
      <w:lvlRestart w:val="0"/>
      <w:pStyle w:val="ListNumber"/>
      <w:lvlText w:val="03.%1."/>
      <w:lvlJc w:val="left"/>
      <w:pPr>
        <w:tabs>
          <w:tab w:val="num" w:pos="567"/>
        </w:tabs>
      </w:pPr>
      <w:rPr>
        <w:rFonts w:ascii="Times New Roman" w:hAnsi="Times New Roman" w:cs="Simplified Arabic" w:hint="default"/>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12"/>
  </w:num>
  <w:num w:numId="5">
    <w:abstractNumId w:val="4"/>
  </w:num>
  <w:num w:numId="6">
    <w:abstractNumId w:val="5"/>
  </w:num>
  <w:num w:numId="7">
    <w:abstractNumId w:val="4"/>
  </w:num>
  <w:num w:numId="8">
    <w:abstractNumId w:val="4"/>
  </w:num>
  <w:num w:numId="9">
    <w:abstractNumId w:val="8"/>
  </w:num>
  <w:num w:numId="10">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4"/>
  </w:num>
  <w:num w:numId="12">
    <w:abstractNumId w:val="6"/>
  </w:num>
  <w:num w:numId="13">
    <w:abstractNumId w:val="9"/>
  </w:num>
  <w:num w:numId="14">
    <w:abstractNumId w:val="10"/>
  </w:num>
  <w:num w:numId="15">
    <w:abstractNumId w:val="7"/>
  </w:num>
  <w:num w:numId="16">
    <w:abstractNumId w:val="3"/>
  </w:num>
  <w:num w:numId="17">
    <w:abstractNumId w:val="2"/>
  </w:num>
  <w:num w:numId="18">
    <w:abstractNumId w:val="11"/>
  </w:num>
  <w:num w:numId="1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doNotTrackMoves/>
  <w:defaultTabStop w:val="567"/>
  <w:doNotHyphenateCaps/>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C61"/>
    <w:rsid w:val="00002CBE"/>
    <w:rsid w:val="00003232"/>
    <w:rsid w:val="000033DA"/>
    <w:rsid w:val="0000579F"/>
    <w:rsid w:val="0000687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73E"/>
    <w:rsid w:val="00094C85"/>
    <w:rsid w:val="00094D7E"/>
    <w:rsid w:val="0009517B"/>
    <w:rsid w:val="00095910"/>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201"/>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5F0D"/>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1811"/>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277B"/>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3D6"/>
    <w:rsid w:val="0017385A"/>
    <w:rsid w:val="00175448"/>
    <w:rsid w:val="001757AF"/>
    <w:rsid w:val="00175825"/>
    <w:rsid w:val="0017666F"/>
    <w:rsid w:val="00176D64"/>
    <w:rsid w:val="00176E2C"/>
    <w:rsid w:val="00177DBF"/>
    <w:rsid w:val="00180944"/>
    <w:rsid w:val="00182417"/>
    <w:rsid w:val="0018242F"/>
    <w:rsid w:val="0018414E"/>
    <w:rsid w:val="00185718"/>
    <w:rsid w:val="001857AF"/>
    <w:rsid w:val="00185BBE"/>
    <w:rsid w:val="00185D47"/>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890"/>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055A"/>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167E"/>
    <w:rsid w:val="00292CEE"/>
    <w:rsid w:val="00292D22"/>
    <w:rsid w:val="00293B19"/>
    <w:rsid w:val="0029470D"/>
    <w:rsid w:val="00297B80"/>
    <w:rsid w:val="002A076C"/>
    <w:rsid w:val="002A1059"/>
    <w:rsid w:val="002A3C9D"/>
    <w:rsid w:val="002A42D3"/>
    <w:rsid w:val="002A5403"/>
    <w:rsid w:val="002A6C9F"/>
    <w:rsid w:val="002A77F3"/>
    <w:rsid w:val="002B14F0"/>
    <w:rsid w:val="002B1F0F"/>
    <w:rsid w:val="002B53D3"/>
    <w:rsid w:val="002B6202"/>
    <w:rsid w:val="002B766E"/>
    <w:rsid w:val="002C014C"/>
    <w:rsid w:val="002C060C"/>
    <w:rsid w:val="002C0BA6"/>
    <w:rsid w:val="002C12A7"/>
    <w:rsid w:val="002C1C4D"/>
    <w:rsid w:val="002C2B6F"/>
    <w:rsid w:val="002C314F"/>
    <w:rsid w:val="002C42F4"/>
    <w:rsid w:val="002C4AD1"/>
    <w:rsid w:val="002C7D29"/>
    <w:rsid w:val="002C7DF2"/>
    <w:rsid w:val="002D0298"/>
    <w:rsid w:val="002D1662"/>
    <w:rsid w:val="002D1DE5"/>
    <w:rsid w:val="002D3506"/>
    <w:rsid w:val="002D3670"/>
    <w:rsid w:val="002D4807"/>
    <w:rsid w:val="002D5BEB"/>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0E17"/>
    <w:rsid w:val="0030129C"/>
    <w:rsid w:val="003013E2"/>
    <w:rsid w:val="00301FE4"/>
    <w:rsid w:val="00303E3A"/>
    <w:rsid w:val="00305417"/>
    <w:rsid w:val="003055B1"/>
    <w:rsid w:val="00306127"/>
    <w:rsid w:val="0030641B"/>
    <w:rsid w:val="003067C8"/>
    <w:rsid w:val="0031122C"/>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6BA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6CE"/>
    <w:rsid w:val="003E1A49"/>
    <w:rsid w:val="003E2D01"/>
    <w:rsid w:val="003E330E"/>
    <w:rsid w:val="003E3AE3"/>
    <w:rsid w:val="003E5733"/>
    <w:rsid w:val="003E5E27"/>
    <w:rsid w:val="003E6FD2"/>
    <w:rsid w:val="003E788F"/>
    <w:rsid w:val="003E7A97"/>
    <w:rsid w:val="003E7D3A"/>
    <w:rsid w:val="003F0950"/>
    <w:rsid w:val="003F09C9"/>
    <w:rsid w:val="003F2DB7"/>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4CFF"/>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4CD4"/>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3AC9"/>
    <w:rsid w:val="004C482F"/>
    <w:rsid w:val="004C49A9"/>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3C7"/>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188B"/>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5A1D"/>
    <w:rsid w:val="00576319"/>
    <w:rsid w:val="0057648C"/>
    <w:rsid w:val="00576AF3"/>
    <w:rsid w:val="00576B17"/>
    <w:rsid w:val="00577050"/>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2D1A"/>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1FB7"/>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251"/>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47F"/>
    <w:rsid w:val="00637E13"/>
    <w:rsid w:val="00640D89"/>
    <w:rsid w:val="00640F1C"/>
    <w:rsid w:val="00640F58"/>
    <w:rsid w:val="00641203"/>
    <w:rsid w:val="00641776"/>
    <w:rsid w:val="00644425"/>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32E5"/>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0F9A"/>
    <w:rsid w:val="006B1F20"/>
    <w:rsid w:val="006B398A"/>
    <w:rsid w:val="006B3E04"/>
    <w:rsid w:val="006B4024"/>
    <w:rsid w:val="006B47D7"/>
    <w:rsid w:val="006B499D"/>
    <w:rsid w:val="006B5041"/>
    <w:rsid w:val="006B643D"/>
    <w:rsid w:val="006B79A4"/>
    <w:rsid w:val="006C1254"/>
    <w:rsid w:val="006C2DC5"/>
    <w:rsid w:val="006C480B"/>
    <w:rsid w:val="006C4C61"/>
    <w:rsid w:val="006C570B"/>
    <w:rsid w:val="006C572E"/>
    <w:rsid w:val="006C5997"/>
    <w:rsid w:val="006C5CD2"/>
    <w:rsid w:val="006C746B"/>
    <w:rsid w:val="006D0636"/>
    <w:rsid w:val="006D06DC"/>
    <w:rsid w:val="006D6E46"/>
    <w:rsid w:val="006D7FA8"/>
    <w:rsid w:val="006E1EB5"/>
    <w:rsid w:val="006E2071"/>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4DC"/>
    <w:rsid w:val="0073076E"/>
    <w:rsid w:val="00733416"/>
    <w:rsid w:val="0073377E"/>
    <w:rsid w:val="00733E05"/>
    <w:rsid w:val="00735C8A"/>
    <w:rsid w:val="00735FE2"/>
    <w:rsid w:val="0073719A"/>
    <w:rsid w:val="00737C62"/>
    <w:rsid w:val="00737C91"/>
    <w:rsid w:val="007403EF"/>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9FF"/>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40EB"/>
    <w:rsid w:val="00795460"/>
    <w:rsid w:val="00796CF7"/>
    <w:rsid w:val="007A0313"/>
    <w:rsid w:val="007A0809"/>
    <w:rsid w:val="007A0A83"/>
    <w:rsid w:val="007A4BB3"/>
    <w:rsid w:val="007A6307"/>
    <w:rsid w:val="007A6822"/>
    <w:rsid w:val="007A724D"/>
    <w:rsid w:val="007A749D"/>
    <w:rsid w:val="007A7B37"/>
    <w:rsid w:val="007B024C"/>
    <w:rsid w:val="007B1C4C"/>
    <w:rsid w:val="007B2800"/>
    <w:rsid w:val="007B38F7"/>
    <w:rsid w:val="007B40D4"/>
    <w:rsid w:val="007B4511"/>
    <w:rsid w:val="007B5027"/>
    <w:rsid w:val="007B5C86"/>
    <w:rsid w:val="007B6071"/>
    <w:rsid w:val="007B6540"/>
    <w:rsid w:val="007B69A2"/>
    <w:rsid w:val="007C09C4"/>
    <w:rsid w:val="007C25E9"/>
    <w:rsid w:val="007C2F78"/>
    <w:rsid w:val="007C34C5"/>
    <w:rsid w:val="007C3BB8"/>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57BB"/>
    <w:rsid w:val="0086646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97996"/>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3A79"/>
    <w:rsid w:val="00904671"/>
    <w:rsid w:val="00905BC5"/>
    <w:rsid w:val="009064AA"/>
    <w:rsid w:val="00910F84"/>
    <w:rsid w:val="00912257"/>
    <w:rsid w:val="00913495"/>
    <w:rsid w:val="00913874"/>
    <w:rsid w:val="009161DC"/>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5849"/>
    <w:rsid w:val="009361D0"/>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23B"/>
    <w:rsid w:val="00961DA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C73"/>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46C"/>
    <w:rsid w:val="009A4F5A"/>
    <w:rsid w:val="009A5C82"/>
    <w:rsid w:val="009A7BB1"/>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1DB8"/>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3D31"/>
    <w:rsid w:val="00A76648"/>
    <w:rsid w:val="00A76DF7"/>
    <w:rsid w:val="00A77523"/>
    <w:rsid w:val="00A83454"/>
    <w:rsid w:val="00A843FC"/>
    <w:rsid w:val="00A84DA5"/>
    <w:rsid w:val="00A85302"/>
    <w:rsid w:val="00A85532"/>
    <w:rsid w:val="00A86119"/>
    <w:rsid w:val="00A8649F"/>
    <w:rsid w:val="00A86D25"/>
    <w:rsid w:val="00A86EC1"/>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0C72"/>
    <w:rsid w:val="00AC13B0"/>
    <w:rsid w:val="00AC2FD0"/>
    <w:rsid w:val="00AC3DBD"/>
    <w:rsid w:val="00AC4695"/>
    <w:rsid w:val="00AC5E85"/>
    <w:rsid w:val="00AC6F22"/>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976AB"/>
    <w:rsid w:val="00BA02F9"/>
    <w:rsid w:val="00BA1987"/>
    <w:rsid w:val="00BA2682"/>
    <w:rsid w:val="00BA31E4"/>
    <w:rsid w:val="00BA3959"/>
    <w:rsid w:val="00BA47CC"/>
    <w:rsid w:val="00BA524B"/>
    <w:rsid w:val="00BA54F7"/>
    <w:rsid w:val="00BA576C"/>
    <w:rsid w:val="00BA6205"/>
    <w:rsid w:val="00BA6CE5"/>
    <w:rsid w:val="00BA6F38"/>
    <w:rsid w:val="00BA7CA8"/>
    <w:rsid w:val="00BB1388"/>
    <w:rsid w:val="00BB2683"/>
    <w:rsid w:val="00BB40DF"/>
    <w:rsid w:val="00BB5E2C"/>
    <w:rsid w:val="00BB7D9E"/>
    <w:rsid w:val="00BC16AC"/>
    <w:rsid w:val="00BC2B7B"/>
    <w:rsid w:val="00BC3AE8"/>
    <w:rsid w:val="00BC3AF4"/>
    <w:rsid w:val="00BC43A8"/>
    <w:rsid w:val="00BC5C6D"/>
    <w:rsid w:val="00BC7120"/>
    <w:rsid w:val="00BC76A3"/>
    <w:rsid w:val="00BC7FB6"/>
    <w:rsid w:val="00BD00D1"/>
    <w:rsid w:val="00BD07A2"/>
    <w:rsid w:val="00BD2603"/>
    <w:rsid w:val="00BD4EEC"/>
    <w:rsid w:val="00BD4F34"/>
    <w:rsid w:val="00BD537C"/>
    <w:rsid w:val="00BD692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711"/>
    <w:rsid w:val="00C12DAD"/>
    <w:rsid w:val="00C12E17"/>
    <w:rsid w:val="00C14741"/>
    <w:rsid w:val="00C1544B"/>
    <w:rsid w:val="00C1665A"/>
    <w:rsid w:val="00C1739F"/>
    <w:rsid w:val="00C177FF"/>
    <w:rsid w:val="00C17CE6"/>
    <w:rsid w:val="00C222FF"/>
    <w:rsid w:val="00C2338E"/>
    <w:rsid w:val="00C23FB0"/>
    <w:rsid w:val="00C24021"/>
    <w:rsid w:val="00C248AF"/>
    <w:rsid w:val="00C24B09"/>
    <w:rsid w:val="00C24BDE"/>
    <w:rsid w:val="00C24E9F"/>
    <w:rsid w:val="00C26AFC"/>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17B"/>
    <w:rsid w:val="00C5128B"/>
    <w:rsid w:val="00C51423"/>
    <w:rsid w:val="00C5294D"/>
    <w:rsid w:val="00C52F83"/>
    <w:rsid w:val="00C54C1B"/>
    <w:rsid w:val="00C54DBA"/>
    <w:rsid w:val="00C57ED3"/>
    <w:rsid w:val="00C61640"/>
    <w:rsid w:val="00C61AA7"/>
    <w:rsid w:val="00C61B8E"/>
    <w:rsid w:val="00C668DE"/>
    <w:rsid w:val="00C7044F"/>
    <w:rsid w:val="00C7061B"/>
    <w:rsid w:val="00C720F8"/>
    <w:rsid w:val="00C7294B"/>
    <w:rsid w:val="00C72AF9"/>
    <w:rsid w:val="00C742C5"/>
    <w:rsid w:val="00C75139"/>
    <w:rsid w:val="00C7525C"/>
    <w:rsid w:val="00C76C90"/>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7D6"/>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66"/>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91"/>
    <w:rsid w:val="00D07D07"/>
    <w:rsid w:val="00D10EE7"/>
    <w:rsid w:val="00D10F87"/>
    <w:rsid w:val="00D1149D"/>
    <w:rsid w:val="00D11B8E"/>
    <w:rsid w:val="00D11D8D"/>
    <w:rsid w:val="00D12B12"/>
    <w:rsid w:val="00D12DD7"/>
    <w:rsid w:val="00D13A8C"/>
    <w:rsid w:val="00D13DBB"/>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4954"/>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7675"/>
    <w:rsid w:val="00D80F87"/>
    <w:rsid w:val="00D812A5"/>
    <w:rsid w:val="00D82A5C"/>
    <w:rsid w:val="00D82D11"/>
    <w:rsid w:val="00D83CD3"/>
    <w:rsid w:val="00D83E51"/>
    <w:rsid w:val="00D8408A"/>
    <w:rsid w:val="00D84719"/>
    <w:rsid w:val="00D856EA"/>
    <w:rsid w:val="00D85ACD"/>
    <w:rsid w:val="00D86460"/>
    <w:rsid w:val="00D90E6D"/>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91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200"/>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7D"/>
    <w:rsid w:val="00E91FB1"/>
    <w:rsid w:val="00E94468"/>
    <w:rsid w:val="00E94A0E"/>
    <w:rsid w:val="00E96226"/>
    <w:rsid w:val="00E96DDE"/>
    <w:rsid w:val="00EA04AE"/>
    <w:rsid w:val="00EA05B9"/>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67D4"/>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4A9"/>
    <w:rsid w:val="00EF5B34"/>
    <w:rsid w:val="00EF657C"/>
    <w:rsid w:val="00F004D1"/>
    <w:rsid w:val="00F00C0D"/>
    <w:rsid w:val="00F0112F"/>
    <w:rsid w:val="00F0128B"/>
    <w:rsid w:val="00F02663"/>
    <w:rsid w:val="00F03369"/>
    <w:rsid w:val="00F04E62"/>
    <w:rsid w:val="00F050AA"/>
    <w:rsid w:val="00F05E6D"/>
    <w:rsid w:val="00F11553"/>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18C"/>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0F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595F"/>
    <w:rsid w:val="00F86A0B"/>
    <w:rsid w:val="00F87431"/>
    <w:rsid w:val="00F8765C"/>
    <w:rsid w:val="00F87A53"/>
    <w:rsid w:val="00F9031B"/>
    <w:rsid w:val="00F91DA4"/>
    <w:rsid w:val="00F92728"/>
    <w:rsid w:val="00F92C10"/>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A8"/>
    <w:rPr>
      <w:rFonts w:ascii="Arial" w:hAnsi="Arial" w:cs="Arial"/>
      <w:sz w:val="22"/>
    </w:rPr>
  </w:style>
  <w:style w:type="paragraph" w:styleId="Heading1">
    <w:name w:val="heading 1"/>
    <w:basedOn w:val="Normal"/>
    <w:next w:val="Normal"/>
    <w:link w:val="Heading1Char"/>
    <w:uiPriority w:val="99"/>
    <w:qFormat/>
    <w:rsid w:val="0074488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744889"/>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744889"/>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b/>
      <w:kern w:val="32"/>
      <w:sz w:val="32"/>
    </w:rPr>
  </w:style>
  <w:style w:type="character" w:customStyle="1" w:styleId="Heading2Char">
    <w:name w:val="Heading 2 Char"/>
    <w:link w:val="Heading2"/>
    <w:uiPriority w:val="99"/>
    <w:semiHidden/>
    <w:locked/>
    <w:rPr>
      <w:rFonts w:ascii="Cambria" w:hAnsi="Cambria"/>
      <w:b/>
      <w:i/>
      <w:sz w:val="28"/>
    </w:rPr>
  </w:style>
  <w:style w:type="character" w:customStyle="1" w:styleId="Heading3Char">
    <w:name w:val="Heading 3 Char"/>
    <w:link w:val="Heading3"/>
    <w:uiPriority w:val="99"/>
    <w:semiHidden/>
    <w:locked/>
    <w:rPr>
      <w:rFonts w:ascii="Cambria" w:hAnsi="Cambria"/>
      <w:b/>
      <w:sz w:val="26"/>
    </w:rPr>
  </w:style>
  <w:style w:type="character" w:customStyle="1" w:styleId="Heading4Char">
    <w:name w:val="Heading 4 Char"/>
    <w:link w:val="Heading4"/>
    <w:uiPriority w:val="99"/>
    <w:semiHidden/>
    <w:locked/>
    <w:rPr>
      <w:rFonts w:ascii="Calibri" w:hAnsi="Calibri"/>
      <w:b/>
      <w:sz w:val="28"/>
    </w:rPr>
  </w:style>
  <w:style w:type="paragraph" w:styleId="Header">
    <w:name w:val="header"/>
    <w:basedOn w:val="Normal"/>
    <w:link w:val="HeaderChar"/>
    <w:uiPriority w:val="99"/>
    <w:rsid w:val="00BA7CA8"/>
    <w:pPr>
      <w:tabs>
        <w:tab w:val="center" w:pos="4536"/>
        <w:tab w:val="right" w:pos="9072"/>
      </w:tabs>
    </w:pPr>
    <w:rPr>
      <w:rFonts w:cs="Times New Roman"/>
      <w:sz w:val="20"/>
    </w:rPr>
  </w:style>
  <w:style w:type="character" w:customStyle="1" w:styleId="HeaderChar">
    <w:name w:val="Header Char"/>
    <w:link w:val="Header"/>
    <w:uiPriority w:val="99"/>
    <w:locked/>
    <w:rPr>
      <w:rFonts w:ascii="Arial" w:hAnsi="Arial"/>
      <w:sz w:val="20"/>
    </w:rPr>
  </w:style>
  <w:style w:type="paragraph" w:styleId="Footer">
    <w:name w:val="footer"/>
    <w:basedOn w:val="Normal"/>
    <w:link w:val="FooterChar"/>
    <w:uiPriority w:val="99"/>
    <w:semiHidden/>
    <w:rsid w:val="00744889"/>
    <w:pPr>
      <w:tabs>
        <w:tab w:val="center" w:pos="4320"/>
        <w:tab w:val="right" w:pos="8640"/>
      </w:tabs>
    </w:pPr>
    <w:rPr>
      <w:rFonts w:cs="Times New Roman"/>
      <w:sz w:val="20"/>
    </w:rPr>
  </w:style>
  <w:style w:type="character" w:customStyle="1" w:styleId="FooterChar">
    <w:name w:val="Footer Char"/>
    <w:link w:val="Footer"/>
    <w:uiPriority w:val="99"/>
    <w:semiHidden/>
    <w:locked/>
    <w:rPr>
      <w:rFonts w:ascii="Arial" w:hAnsi="Arial"/>
      <w:sz w:val="20"/>
    </w:rPr>
  </w:style>
  <w:style w:type="paragraph" w:styleId="Salutation">
    <w:name w:val="Salutation"/>
    <w:basedOn w:val="Normal"/>
    <w:next w:val="Normal"/>
    <w:link w:val="SalutationChar"/>
    <w:uiPriority w:val="99"/>
    <w:semiHidden/>
    <w:rsid w:val="00744889"/>
    <w:rPr>
      <w:rFonts w:cs="Times New Roman"/>
      <w:sz w:val="20"/>
    </w:rPr>
  </w:style>
  <w:style w:type="character" w:customStyle="1" w:styleId="SalutationChar">
    <w:name w:val="Salutation Char"/>
    <w:link w:val="Salutation"/>
    <w:uiPriority w:val="99"/>
    <w:semiHidden/>
    <w:locked/>
    <w:rPr>
      <w:rFonts w:ascii="Arial" w:hAnsi="Arial"/>
      <w:sz w:val="20"/>
    </w:rPr>
  </w:style>
  <w:style w:type="paragraph" w:styleId="Signature">
    <w:name w:val="Signature"/>
    <w:basedOn w:val="Normal"/>
    <w:link w:val="SignatureChar"/>
    <w:uiPriority w:val="99"/>
    <w:semiHidden/>
    <w:rsid w:val="00744889"/>
    <w:pPr>
      <w:ind w:left="5250"/>
    </w:pPr>
    <w:rPr>
      <w:rFonts w:cs="Times New Roman"/>
      <w:sz w:val="20"/>
    </w:rPr>
  </w:style>
  <w:style w:type="character" w:customStyle="1" w:styleId="SignatureChar">
    <w:name w:val="Signature Char"/>
    <w:link w:val="Signature"/>
    <w:uiPriority w:val="99"/>
    <w:semiHidden/>
    <w:locked/>
    <w:rPr>
      <w:rFonts w:ascii="Arial" w:hAnsi="Arial"/>
      <w:sz w:val="20"/>
    </w:rPr>
  </w:style>
  <w:style w:type="paragraph" w:styleId="FootnoteText">
    <w:name w:val="footnote text"/>
    <w:basedOn w:val="NormalParaAR"/>
    <w:link w:val="FootnoteTextChar"/>
    <w:uiPriority w:val="99"/>
    <w:semiHidden/>
    <w:rsid w:val="009622BF"/>
    <w:pPr>
      <w:spacing w:after="0" w:line="280" w:lineRule="exact"/>
    </w:pPr>
    <w:rPr>
      <w:rFonts w:ascii="Arial" w:hAnsi="Arial" w:cs="Times New Roman"/>
      <w:sz w:val="20"/>
      <w:szCs w:val="20"/>
    </w:rPr>
  </w:style>
  <w:style w:type="character" w:customStyle="1" w:styleId="FootnoteTextChar">
    <w:name w:val="Footnote Text Char"/>
    <w:link w:val="FootnoteText"/>
    <w:uiPriority w:val="99"/>
    <w:semiHidden/>
    <w:locked/>
    <w:rPr>
      <w:rFonts w:ascii="Arial" w:hAnsi="Arial"/>
      <w:sz w:val="20"/>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uiPriority w:val="99"/>
    <w:semiHidden/>
    <w:rsid w:val="00744889"/>
    <w:rPr>
      <w:rFonts w:cs="Times New Roman"/>
      <w:sz w:val="20"/>
    </w:rPr>
  </w:style>
  <w:style w:type="character" w:customStyle="1" w:styleId="EndnoteTextChar">
    <w:name w:val="Endnote Text Char"/>
    <w:link w:val="EndnoteText"/>
    <w:uiPriority w:val="99"/>
    <w:semiHidden/>
    <w:locked/>
    <w:rPr>
      <w:rFonts w:ascii="Arial" w:hAnsi="Arial"/>
      <w:sz w:val="20"/>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rFonts w:cs="Times New Roman"/>
      <w:sz w:val="20"/>
    </w:rPr>
  </w:style>
  <w:style w:type="character" w:customStyle="1" w:styleId="CommentTextChar">
    <w:name w:val="Comment Text Char"/>
    <w:link w:val="CommentText"/>
    <w:uiPriority w:val="99"/>
    <w:semiHidden/>
    <w:locked/>
    <w:rPr>
      <w:rFonts w:ascii="Arial" w:hAnsi="Arial"/>
      <w:sz w:val="20"/>
    </w:rPr>
  </w:style>
  <w:style w:type="paragraph" w:customStyle="1" w:styleId="NumberedParaAR">
    <w:name w:val="Numbered_Para_AR"/>
    <w:basedOn w:val="NormalParaAR"/>
    <w:uiPriority w:val="99"/>
    <w:rsid w:val="00BB2683"/>
    <w:pPr>
      <w:numPr>
        <w:numId w:val="5"/>
      </w:numPr>
    </w:pPr>
  </w:style>
  <w:style w:type="paragraph" w:styleId="ListNumber">
    <w:name w:val="List Number"/>
    <w:basedOn w:val="Normal"/>
    <w:uiPriority w:val="99"/>
    <w:semiHidden/>
    <w:rsid w:val="00744889"/>
    <w:pPr>
      <w:numPr>
        <w:numId w:val="4"/>
      </w:numPr>
    </w:pPr>
  </w:style>
  <w:style w:type="table" w:styleId="TableGrid">
    <w:name w:val="Table Grid"/>
    <w:basedOn w:val="TableNormal"/>
    <w:uiPriority w:val="9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AC4695"/>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CD675D"/>
    <w:pPr>
      <w:keepNext/>
      <w:spacing w:before="240" w:after="6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uiPriority w:val="99"/>
    <w:semiHidden/>
    <w:rsid w:val="00570B8B"/>
    <w:rPr>
      <w:rFonts w:ascii="Tahoma" w:hAnsi="Tahoma" w:cs="Times New Roman"/>
      <w:sz w:val="16"/>
      <w:szCs w:val="16"/>
    </w:rPr>
  </w:style>
  <w:style w:type="character" w:customStyle="1" w:styleId="BalloonTextChar">
    <w:name w:val="Balloon Text Char"/>
    <w:link w:val="BalloonText"/>
    <w:uiPriority w:val="99"/>
    <w:locked/>
    <w:rsid w:val="00570B8B"/>
    <w:rPr>
      <w:rFonts w:ascii="Tahoma" w:hAnsi="Tahoma"/>
      <w:sz w:val="16"/>
    </w:rPr>
  </w:style>
  <w:style w:type="paragraph" w:styleId="ListParagraph">
    <w:name w:val="List Paragraph"/>
    <w:basedOn w:val="Normal"/>
    <w:uiPriority w:val="99"/>
    <w:qFormat/>
    <w:rsid w:val="00366BAD"/>
    <w:pPr>
      <w:ind w:left="720"/>
    </w:pPr>
  </w:style>
  <w:style w:type="paragraph" w:customStyle="1" w:styleId="Endofdocument-Annex">
    <w:name w:val="[End of document - Annex]"/>
    <w:basedOn w:val="Normal"/>
    <w:uiPriority w:val="99"/>
    <w:rsid w:val="000E5F0D"/>
    <w:pPr>
      <w:ind w:left="5534"/>
    </w:pPr>
    <w:rPr>
      <w:rFonts w:eastAsia="SimSun"/>
    </w:rPr>
  </w:style>
  <w:style w:type="paragraph" w:customStyle="1" w:styleId="ONUME">
    <w:name w:val="ONUM E"/>
    <w:basedOn w:val="BodyText"/>
    <w:uiPriority w:val="99"/>
    <w:rsid w:val="000E5F0D"/>
    <w:pPr>
      <w:numPr>
        <w:numId w:val="2"/>
      </w:numPr>
      <w:tabs>
        <w:tab w:val="clear" w:pos="360"/>
        <w:tab w:val="num" w:pos="567"/>
      </w:tabs>
      <w:spacing w:after="220"/>
      <w:ind w:left="0" w:firstLine="0"/>
    </w:pPr>
    <w:rPr>
      <w:rFonts w:eastAsia="SimSun"/>
    </w:rPr>
  </w:style>
  <w:style w:type="paragraph" w:customStyle="1" w:styleId="LegTitle">
    <w:name w:val="Leg # Title"/>
    <w:basedOn w:val="Normal"/>
    <w:next w:val="Normal"/>
    <w:uiPriority w:val="99"/>
    <w:rsid w:val="000E5F0D"/>
    <w:pPr>
      <w:keepNext/>
      <w:keepLines/>
      <w:suppressAutoHyphens/>
      <w:spacing w:before="240"/>
      <w:jc w:val="center"/>
    </w:pPr>
    <w:rPr>
      <w:rFonts w:cs="Times New Roman"/>
      <w:b/>
    </w:rPr>
  </w:style>
  <w:style w:type="paragraph" w:customStyle="1" w:styleId="LegBasic">
    <w:name w:val="Leg Basic"/>
    <w:uiPriority w:val="99"/>
    <w:rsid w:val="000E5F0D"/>
    <w:pPr>
      <w:spacing w:after="480" w:line="480" w:lineRule="auto"/>
    </w:pPr>
    <w:rPr>
      <w:rFonts w:ascii="Arial" w:hAnsi="Arial"/>
      <w:sz w:val="22"/>
    </w:rPr>
  </w:style>
  <w:style w:type="paragraph" w:styleId="BodyText">
    <w:name w:val="Body Text"/>
    <w:basedOn w:val="Normal"/>
    <w:link w:val="BodyTextChar"/>
    <w:uiPriority w:val="99"/>
    <w:rsid w:val="000E5F0D"/>
    <w:pPr>
      <w:spacing w:after="120"/>
    </w:pPr>
    <w:rPr>
      <w:rFonts w:cs="Times New Roman"/>
      <w:sz w:val="20"/>
    </w:rPr>
  </w:style>
  <w:style w:type="character" w:customStyle="1" w:styleId="BodyTextChar">
    <w:name w:val="Body Text Char"/>
    <w:link w:val="BodyText"/>
    <w:uiPriority w:val="99"/>
    <w:semiHidden/>
    <w:locked/>
    <w:rPr>
      <w:rFonts w:ascii="Arial" w:hAnsi="Arial"/>
      <w:sz w:val="20"/>
    </w:rPr>
  </w:style>
  <w:style w:type="character" w:customStyle="1" w:styleId="LegAddedText">
    <w:name w:val="Leg Added Text"/>
    <w:uiPriority w:val="99"/>
    <w:rsid w:val="007A0809"/>
    <w:rPr>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76151">
      <w:bodyDiv w:val="1"/>
      <w:marLeft w:val="0"/>
      <w:marRight w:val="0"/>
      <w:marTop w:val="0"/>
      <w:marBottom w:val="0"/>
      <w:divBdr>
        <w:top w:val="none" w:sz="0" w:space="0" w:color="auto"/>
        <w:left w:val="none" w:sz="0" w:space="0" w:color="auto"/>
        <w:bottom w:val="none" w:sz="0" w:space="0" w:color="auto"/>
        <w:right w:val="none" w:sz="0" w:space="0" w:color="auto"/>
      </w:divBdr>
    </w:div>
    <w:div w:id="1286279692">
      <w:bodyDiv w:val="1"/>
      <w:marLeft w:val="0"/>
      <w:marRight w:val="0"/>
      <w:marTop w:val="0"/>
      <w:marBottom w:val="0"/>
      <w:divBdr>
        <w:top w:val="none" w:sz="0" w:space="0" w:color="auto"/>
        <w:left w:val="none" w:sz="0" w:space="0" w:color="auto"/>
        <w:bottom w:val="none" w:sz="0" w:space="0" w:color="auto"/>
        <w:right w:val="none" w:sz="0" w:space="0" w:color="auto"/>
      </w:divBdr>
    </w:div>
    <w:div w:id="1517621222">
      <w:marLeft w:val="0"/>
      <w:marRight w:val="0"/>
      <w:marTop w:val="0"/>
      <w:marBottom w:val="0"/>
      <w:divBdr>
        <w:top w:val="none" w:sz="0" w:space="0" w:color="auto"/>
        <w:left w:val="none" w:sz="0" w:space="0" w:color="auto"/>
        <w:bottom w:val="none" w:sz="0" w:space="0" w:color="auto"/>
        <w:right w:val="none" w:sz="0" w:space="0" w:color="auto"/>
      </w:divBdr>
    </w:div>
    <w:div w:id="1517621223">
      <w:marLeft w:val="0"/>
      <w:marRight w:val="0"/>
      <w:marTop w:val="0"/>
      <w:marBottom w:val="0"/>
      <w:divBdr>
        <w:top w:val="none" w:sz="0" w:space="0" w:color="auto"/>
        <w:left w:val="none" w:sz="0" w:space="0" w:color="auto"/>
        <w:bottom w:val="none" w:sz="0" w:space="0" w:color="auto"/>
        <w:right w:val="none" w:sz="0" w:space="0" w:color="auto"/>
      </w:divBdr>
    </w:div>
    <w:div w:id="1517621224">
      <w:marLeft w:val="0"/>
      <w:marRight w:val="0"/>
      <w:marTop w:val="0"/>
      <w:marBottom w:val="0"/>
      <w:divBdr>
        <w:top w:val="none" w:sz="0" w:space="0" w:color="auto"/>
        <w:left w:val="none" w:sz="0" w:space="0" w:color="auto"/>
        <w:bottom w:val="none" w:sz="0" w:space="0" w:color="auto"/>
        <w:right w:val="none" w:sz="0" w:space="0" w:color="auto"/>
      </w:divBdr>
    </w:div>
    <w:div w:id="1517621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5</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PCT/WG/9/-- (Arabic)</vt:lpstr>
    </vt:vector>
  </TitlesOfParts>
  <Company>World Intellectual Property Organization</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 (Arabic)</dc:title>
  <dc:subject/>
  <dc:creator>Basel Alakhras</dc:creator>
  <cp:keywords/>
  <dc:description/>
  <cp:lastModifiedBy>YOUSSEF Randa</cp:lastModifiedBy>
  <cp:revision>15</cp:revision>
  <cp:lastPrinted>2017-04-24T10:23:00Z</cp:lastPrinted>
  <dcterms:created xsi:type="dcterms:W3CDTF">2017-04-11T09:47:00Z</dcterms:created>
  <dcterms:modified xsi:type="dcterms:W3CDTF">2017-04-24T10:23:00Z</dcterms:modified>
</cp:coreProperties>
</file>