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B640EE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DA5E88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640EE" w:rsidRDefault="00B7209A" w:rsidP="00916EE2">
            <w:r w:rsidRPr="00B640EE">
              <w:rPr>
                <w:noProof/>
                <w:lang w:val="en-US" w:eastAsia="en-US"/>
              </w:rPr>
              <w:drawing>
                <wp:inline distT="0" distB="0" distL="0" distR="0">
                  <wp:extent cx="1836420" cy="1325880"/>
                  <wp:effectExtent l="1905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325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640EE" w:rsidRDefault="00BE55D8" w:rsidP="00916EE2">
            <w:pPr>
              <w:jc w:val="right"/>
            </w:pPr>
            <w:r w:rsidRPr="00B640EE">
              <w:rPr>
                <w:b/>
                <w:sz w:val="40"/>
              </w:rPr>
              <w:t>R</w:t>
            </w:r>
          </w:p>
        </w:tc>
      </w:tr>
      <w:tr w:rsidR="008B2CC1" w:rsidRPr="00B640EE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640EE" w:rsidRDefault="00BE55D8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640EE">
              <w:rPr>
                <w:rFonts w:ascii="Arial Black" w:hAnsi="Arial Black"/>
                <w:caps/>
                <w:sz w:val="15"/>
              </w:rPr>
              <w:t>CDIP/17/</w:t>
            </w:r>
            <w:bookmarkStart w:id="0" w:name="Code"/>
            <w:bookmarkEnd w:id="0"/>
            <w:r w:rsidRPr="00B640EE">
              <w:rPr>
                <w:rFonts w:ascii="Arial Black" w:hAnsi="Arial Black"/>
                <w:caps/>
                <w:sz w:val="15"/>
              </w:rPr>
              <w:t xml:space="preserve">7    </w:t>
            </w:r>
          </w:p>
        </w:tc>
      </w:tr>
      <w:tr w:rsidR="008B2CC1" w:rsidRPr="00B640EE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640EE" w:rsidRDefault="00BE55D8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640EE">
              <w:rPr>
                <w:rFonts w:ascii="Arial Black" w:hAnsi="Arial Black"/>
                <w:caps/>
                <w:sz w:val="15"/>
              </w:rPr>
              <w:t xml:space="preserve">ОРИГИНАЛ:  </w:t>
            </w:r>
            <w:bookmarkStart w:id="1" w:name="Original"/>
            <w:bookmarkEnd w:id="1"/>
            <w:r w:rsidRPr="00B640EE">
              <w:rPr>
                <w:rFonts w:ascii="Arial Black" w:hAnsi="Arial Black"/>
                <w:caps/>
                <w:sz w:val="15"/>
              </w:rPr>
              <w:t>Английский</w:t>
            </w:r>
          </w:p>
        </w:tc>
      </w:tr>
      <w:tr w:rsidR="008B2CC1" w:rsidRPr="00B640EE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640EE" w:rsidRDefault="00BE55D8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640EE">
              <w:rPr>
                <w:rFonts w:ascii="Arial Black" w:hAnsi="Arial Black"/>
                <w:caps/>
                <w:sz w:val="15"/>
              </w:rPr>
              <w:t xml:space="preserve">ДАТА:  </w:t>
            </w:r>
            <w:bookmarkStart w:id="2" w:name="Date"/>
            <w:bookmarkEnd w:id="2"/>
            <w:r w:rsidRPr="00B640EE">
              <w:rPr>
                <w:rFonts w:ascii="Arial Black" w:hAnsi="Arial Black"/>
                <w:caps/>
                <w:sz w:val="15"/>
              </w:rPr>
              <w:t>17 февраля 2016 г.</w:t>
            </w:r>
          </w:p>
        </w:tc>
      </w:tr>
    </w:tbl>
    <w:p w:rsidR="008B2CC1" w:rsidRPr="00B640EE" w:rsidRDefault="008B2CC1" w:rsidP="008B2CC1"/>
    <w:p w:rsidR="008B2CC1" w:rsidRPr="00B640EE" w:rsidRDefault="008B2CC1" w:rsidP="008B2CC1"/>
    <w:p w:rsidR="008B2CC1" w:rsidRPr="00B640EE" w:rsidRDefault="008B2CC1" w:rsidP="008B2CC1"/>
    <w:p w:rsidR="008B2CC1" w:rsidRPr="00B640EE" w:rsidRDefault="008B2CC1" w:rsidP="008B2CC1"/>
    <w:p w:rsidR="008B2CC1" w:rsidRPr="00B640EE" w:rsidRDefault="008B2CC1" w:rsidP="008B2CC1"/>
    <w:p w:rsidR="008B2CC1" w:rsidRPr="00B640EE" w:rsidRDefault="00BE55D8" w:rsidP="008B2CC1">
      <w:pPr>
        <w:rPr>
          <w:b/>
          <w:sz w:val="28"/>
          <w:szCs w:val="28"/>
        </w:rPr>
      </w:pPr>
      <w:r w:rsidRPr="00B640EE">
        <w:rPr>
          <w:b/>
          <w:sz w:val="28"/>
        </w:rPr>
        <w:t>Комитет по развитию и интеллектуальной собственности (КРИС)</w:t>
      </w:r>
    </w:p>
    <w:p w:rsidR="003845C1" w:rsidRPr="00B640EE" w:rsidRDefault="003845C1" w:rsidP="003845C1"/>
    <w:p w:rsidR="003845C1" w:rsidRPr="00B640EE" w:rsidRDefault="003845C1" w:rsidP="003845C1"/>
    <w:p w:rsidR="008B2CC1" w:rsidRPr="00B640EE" w:rsidRDefault="00BE55D8" w:rsidP="008B2CC1">
      <w:pPr>
        <w:rPr>
          <w:b/>
          <w:sz w:val="24"/>
          <w:szCs w:val="24"/>
        </w:rPr>
      </w:pPr>
      <w:r w:rsidRPr="00B640EE">
        <w:rPr>
          <w:b/>
          <w:sz w:val="24"/>
        </w:rPr>
        <w:t>Семнадцатая сессия</w:t>
      </w:r>
    </w:p>
    <w:p w:rsidR="008B2CC1" w:rsidRPr="00B640EE" w:rsidRDefault="00BE55D8" w:rsidP="008B2CC1">
      <w:pPr>
        <w:rPr>
          <w:b/>
          <w:sz w:val="24"/>
          <w:szCs w:val="24"/>
        </w:rPr>
      </w:pPr>
      <w:r w:rsidRPr="00B640EE">
        <w:rPr>
          <w:b/>
          <w:sz w:val="24"/>
        </w:rPr>
        <w:t>Женева, 11</w:t>
      </w:r>
      <w:r w:rsidRPr="00B640EE">
        <w:rPr>
          <w:b/>
          <w:sz w:val="24"/>
          <w:rtl/>
          <w:cs/>
        </w:rPr>
        <w:t>–</w:t>
      </w:r>
      <w:r w:rsidRPr="00B640EE">
        <w:rPr>
          <w:b/>
          <w:sz w:val="24"/>
        </w:rPr>
        <w:t>15 апреля 2016 г.</w:t>
      </w:r>
    </w:p>
    <w:p w:rsidR="008B2CC1" w:rsidRPr="00B640EE" w:rsidRDefault="008B2CC1" w:rsidP="008B2CC1"/>
    <w:p w:rsidR="008B2CC1" w:rsidRPr="00B640EE" w:rsidRDefault="008B2CC1" w:rsidP="008B2CC1"/>
    <w:p w:rsidR="008B2CC1" w:rsidRPr="00B640EE" w:rsidRDefault="008B2CC1" w:rsidP="008B2CC1"/>
    <w:p w:rsidR="008B2CC1" w:rsidRPr="00B640EE" w:rsidRDefault="00BE55D8" w:rsidP="008B2CC1">
      <w:pPr>
        <w:rPr>
          <w:caps/>
          <w:sz w:val="24"/>
        </w:rPr>
      </w:pPr>
      <w:bookmarkStart w:id="3" w:name="TitleOfDoc"/>
      <w:bookmarkEnd w:id="3"/>
      <w:r w:rsidRPr="00B640EE">
        <w:rPr>
          <w:caps/>
          <w:sz w:val="24"/>
        </w:rPr>
        <w:t xml:space="preserve">Укрепление и развитие аудиовизуального сектора в Буркина-Фасо и некоторых других африканских странах </w:t>
      </w:r>
      <w:r w:rsidRPr="00B640EE">
        <w:rPr>
          <w:caps/>
          <w:sz w:val="24"/>
          <w:rtl/>
          <w:cs/>
        </w:rPr>
        <w:t xml:space="preserve">– </w:t>
      </w:r>
      <w:r w:rsidRPr="00B640EE">
        <w:rPr>
          <w:caps/>
          <w:sz w:val="24"/>
        </w:rPr>
        <w:t>этап II</w:t>
      </w:r>
    </w:p>
    <w:p w:rsidR="008B2CC1" w:rsidRPr="00B640EE" w:rsidRDefault="008B2CC1" w:rsidP="008B2CC1"/>
    <w:p w:rsidR="008B2CC1" w:rsidRPr="00B640EE" w:rsidRDefault="00BE55D8" w:rsidP="008B2CC1">
      <w:pPr>
        <w:rPr>
          <w:i/>
        </w:rPr>
      </w:pPr>
      <w:bookmarkStart w:id="4" w:name="Prepared"/>
      <w:bookmarkEnd w:id="4"/>
      <w:r w:rsidRPr="00B640EE">
        <w:rPr>
          <w:i/>
        </w:rPr>
        <w:t>подготовлен Секретариатом</w:t>
      </w:r>
    </w:p>
    <w:p w:rsidR="00AC205C" w:rsidRPr="00B640EE" w:rsidRDefault="00AC205C"/>
    <w:p w:rsidR="000F5E56" w:rsidRPr="00B640EE" w:rsidRDefault="000F5E56"/>
    <w:p w:rsidR="002928D3" w:rsidRPr="00B640EE" w:rsidRDefault="002928D3"/>
    <w:p w:rsidR="002928D3" w:rsidRPr="00B640EE" w:rsidRDefault="002928D3" w:rsidP="0053057A"/>
    <w:p w:rsidR="00ED64CB" w:rsidRPr="00B640EE" w:rsidRDefault="00BE55D8" w:rsidP="00794A8F">
      <w:pPr>
        <w:pStyle w:val="ListParagraph"/>
        <w:numPr>
          <w:ilvl w:val="0"/>
          <w:numId w:val="6"/>
        </w:numPr>
        <w:ind w:left="0" w:firstLine="0"/>
        <w:rPr>
          <w:iCs/>
          <w:szCs w:val="22"/>
        </w:rPr>
      </w:pPr>
      <w:r w:rsidRPr="00B640EE">
        <w:t xml:space="preserve">Приложение к настоящему документу, содержащее предложение по проекту </w:t>
      </w:r>
      <w:hyperlink r:id="rId10" w:tgtFrame="_self" w:history="1">
        <w:r w:rsidR="002B294D" w:rsidRPr="00B640EE">
          <w:rPr>
            <w:i/>
          </w:rPr>
          <w:t>«</w:t>
        </w:r>
        <w:r w:rsidRPr="00B640EE">
          <w:rPr>
            <w:i/>
          </w:rPr>
          <w:t>Укрепление и развитие аудиовизуального сектора в Буркина-Фасо и некоторых других африканских странах</w:t>
        </w:r>
      </w:hyperlink>
      <w:r w:rsidRPr="00B640EE">
        <w:rPr>
          <w:i/>
        </w:rPr>
        <w:t xml:space="preserve"> </w:t>
      </w:r>
      <w:r w:rsidRPr="00B640EE">
        <w:rPr>
          <w:i/>
          <w:rtl/>
          <w:cs/>
        </w:rPr>
        <w:t xml:space="preserve">– </w:t>
      </w:r>
      <w:r w:rsidRPr="00B640EE">
        <w:rPr>
          <w:i/>
        </w:rPr>
        <w:t>этап II</w:t>
      </w:r>
      <w:r w:rsidR="002B294D" w:rsidRPr="00B640EE">
        <w:rPr>
          <w:i/>
        </w:rPr>
        <w:t>»</w:t>
      </w:r>
      <w:r w:rsidRPr="00B640EE">
        <w:t xml:space="preserve">, составлено с учетом рекомендаций 1, 2, 4, 10 и 11 Повестки дня в области развития.  Сметная стоимость проекта составляет 540 000 шв. франков, из них 430 000 шв. франков выделено на покрытие расходов, не связанных с персоналом, и 110 000 шв. франков </w:t>
      </w:r>
      <w:r w:rsidRPr="00B640EE">
        <w:rPr>
          <w:rtl/>
          <w:cs/>
        </w:rPr>
        <w:t xml:space="preserve">– </w:t>
      </w:r>
      <w:r w:rsidRPr="00B640EE">
        <w:t>на покрытие расходов на персонал.</w:t>
      </w:r>
    </w:p>
    <w:p w:rsidR="00ED64CB" w:rsidRPr="00B640EE" w:rsidRDefault="00ED64CB" w:rsidP="00ED64CB">
      <w:pPr>
        <w:pStyle w:val="ListParagraph"/>
        <w:ind w:left="0"/>
        <w:rPr>
          <w:iCs/>
          <w:szCs w:val="22"/>
        </w:rPr>
      </w:pPr>
    </w:p>
    <w:p w:rsidR="00ED64CB" w:rsidRPr="00B640EE" w:rsidRDefault="00BE55D8" w:rsidP="00BC5216">
      <w:pPr>
        <w:pStyle w:val="ListParagraph"/>
        <w:numPr>
          <w:ilvl w:val="0"/>
          <w:numId w:val="6"/>
        </w:numPr>
        <w:ind w:left="4962" w:firstLine="0"/>
      </w:pPr>
      <w:r w:rsidRPr="00B640EE">
        <w:rPr>
          <w:i/>
        </w:rPr>
        <w:t xml:space="preserve">КРИС предлагается рассмотреть и одобрить </w:t>
      </w:r>
      <w:r w:rsidR="00263BD4">
        <w:rPr>
          <w:i/>
        </w:rPr>
        <w:t>п</w:t>
      </w:r>
      <w:r w:rsidRPr="00B640EE">
        <w:rPr>
          <w:i/>
        </w:rPr>
        <w:t>риложение к настоящему документу</w:t>
      </w:r>
    </w:p>
    <w:p w:rsidR="00ED64CB" w:rsidRPr="00B640EE" w:rsidRDefault="00ED64CB" w:rsidP="00ED64CB">
      <w:pPr>
        <w:ind w:left="4903"/>
      </w:pPr>
    </w:p>
    <w:p w:rsidR="00ED64CB" w:rsidRPr="00B640EE" w:rsidRDefault="00ED64CB" w:rsidP="00ED64CB">
      <w:pPr>
        <w:ind w:left="4903"/>
      </w:pPr>
    </w:p>
    <w:p w:rsidR="00ED64CB" w:rsidRPr="00B640EE" w:rsidRDefault="00ED64CB" w:rsidP="00ED64CB">
      <w:pPr>
        <w:ind w:left="4903"/>
      </w:pPr>
    </w:p>
    <w:p w:rsidR="00BE55D8" w:rsidRPr="00B640EE" w:rsidRDefault="00BE55D8" w:rsidP="00ED64CB">
      <w:pPr>
        <w:ind w:left="4903"/>
        <w:sectPr w:rsidR="00BE55D8" w:rsidRPr="00B640EE" w:rsidSect="003C6BB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B640EE">
        <w:t>[Приложение следует]</w:t>
      </w:r>
    </w:p>
    <w:p w:rsidR="00BC5216" w:rsidRPr="00B640EE" w:rsidRDefault="00BE55D8" w:rsidP="00BC5216">
      <w:pPr>
        <w:rPr>
          <w:b/>
          <w:bCs/>
          <w:szCs w:val="22"/>
        </w:rPr>
      </w:pPr>
      <w:r w:rsidRPr="00B640EE">
        <w:rPr>
          <w:b/>
        </w:rPr>
        <w:lastRenderedPageBreak/>
        <w:t>РЕКОМЕНДАЦИИ 1, 2, 4, 10 И 11 ПОВЕСТКИ ДНЯ В ОБЛАСТИ РАЗВИТИЯ</w:t>
      </w:r>
    </w:p>
    <w:p w:rsidR="00BC5216" w:rsidRPr="00B640EE" w:rsidRDefault="00BC5216" w:rsidP="00BC5216">
      <w:pPr>
        <w:rPr>
          <w:b/>
          <w:bCs/>
          <w:szCs w:val="22"/>
        </w:rPr>
      </w:pPr>
    </w:p>
    <w:p w:rsidR="00BC5216" w:rsidRPr="00B640EE" w:rsidRDefault="00BE55D8" w:rsidP="00BC5216">
      <w:pPr>
        <w:rPr>
          <w:b/>
          <w:bCs/>
          <w:szCs w:val="22"/>
        </w:rPr>
      </w:pPr>
      <w:r w:rsidRPr="00B640EE">
        <w:rPr>
          <w:b/>
        </w:rPr>
        <w:t>ПРОЕКТНЫЙ ДОКУМЕНТ</w:t>
      </w:r>
    </w:p>
    <w:p w:rsidR="00BC5216" w:rsidRPr="00B640EE" w:rsidRDefault="00BC5216" w:rsidP="00BC5216">
      <w:pPr>
        <w:rPr>
          <w:b/>
          <w:bCs/>
          <w:iCs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BC5216" w:rsidRPr="00B640EE" w:rsidTr="003C6BB0">
        <w:tc>
          <w:tcPr>
            <w:tcW w:w="9288" w:type="dxa"/>
            <w:gridSpan w:val="2"/>
          </w:tcPr>
          <w:p w:rsidR="00BC5216" w:rsidRPr="00B640EE" w:rsidRDefault="00BE55D8" w:rsidP="003C6BB0">
            <w:pPr>
              <w:rPr>
                <w:bCs/>
                <w:iCs/>
                <w:szCs w:val="22"/>
              </w:rPr>
            </w:pPr>
            <w:r w:rsidRPr="00B640EE">
              <w:br w:type="page"/>
            </w:r>
          </w:p>
          <w:p w:rsidR="00BC5216" w:rsidRPr="00B640EE" w:rsidRDefault="00BE55D8" w:rsidP="003C6BB0">
            <w:pPr>
              <w:rPr>
                <w:bCs/>
                <w:iCs/>
                <w:szCs w:val="22"/>
              </w:rPr>
            </w:pPr>
            <w:r w:rsidRPr="00B640EE">
              <w:t xml:space="preserve">1. </w:t>
            </w:r>
            <w:r w:rsidRPr="00B640EE">
              <w:tab/>
              <w:t>РЕЗЮМЕ</w:t>
            </w:r>
          </w:p>
          <w:p w:rsidR="00BC5216" w:rsidRPr="00B640EE" w:rsidRDefault="00BC5216" w:rsidP="003C6BB0">
            <w:pPr>
              <w:rPr>
                <w:bCs/>
                <w:iCs/>
                <w:szCs w:val="22"/>
              </w:rPr>
            </w:pPr>
          </w:p>
        </w:tc>
      </w:tr>
      <w:tr w:rsidR="00BC5216" w:rsidRPr="00B640EE" w:rsidTr="003C6BB0">
        <w:tc>
          <w:tcPr>
            <w:tcW w:w="2376" w:type="dxa"/>
          </w:tcPr>
          <w:p w:rsidR="00BC5216" w:rsidRPr="00B640EE" w:rsidRDefault="00BE55D8" w:rsidP="003C6BB0">
            <w:pPr>
              <w:rPr>
                <w:szCs w:val="22"/>
                <w:u w:val="single"/>
              </w:rPr>
            </w:pPr>
            <w:r w:rsidRPr="00B640EE">
              <w:rPr>
                <w:u w:val="single"/>
              </w:rPr>
              <w:t>Код проекта</w:t>
            </w:r>
          </w:p>
          <w:p w:rsidR="00BC5216" w:rsidRPr="00B640EE" w:rsidRDefault="00BC5216" w:rsidP="003C6BB0">
            <w:pPr>
              <w:rPr>
                <w:b/>
                <w:szCs w:val="22"/>
              </w:rPr>
            </w:pPr>
          </w:p>
        </w:tc>
        <w:tc>
          <w:tcPr>
            <w:tcW w:w="6912" w:type="dxa"/>
          </w:tcPr>
          <w:p w:rsidR="00BC5216" w:rsidRPr="00B640EE" w:rsidRDefault="00BE55D8" w:rsidP="003C6BB0">
            <w:pPr>
              <w:rPr>
                <w:i/>
                <w:iCs/>
                <w:szCs w:val="22"/>
              </w:rPr>
            </w:pPr>
            <w:r w:rsidRPr="00B640EE">
              <w:rPr>
                <w:i/>
              </w:rPr>
              <w:t>DA_1_2_4_10_11</w:t>
            </w:r>
          </w:p>
          <w:p w:rsidR="00BC5216" w:rsidRPr="00B640EE" w:rsidRDefault="00BC5216" w:rsidP="003C6BB0">
            <w:pPr>
              <w:rPr>
                <w:i/>
                <w:iCs/>
                <w:szCs w:val="22"/>
              </w:rPr>
            </w:pPr>
          </w:p>
        </w:tc>
      </w:tr>
      <w:tr w:rsidR="00BC5216" w:rsidRPr="00B640EE" w:rsidTr="003C6BB0">
        <w:tc>
          <w:tcPr>
            <w:tcW w:w="2376" w:type="dxa"/>
          </w:tcPr>
          <w:p w:rsidR="00BC5216" w:rsidRPr="00B640EE" w:rsidRDefault="00BE55D8" w:rsidP="003C6BB0">
            <w:pPr>
              <w:rPr>
                <w:szCs w:val="22"/>
                <w:u w:val="single"/>
              </w:rPr>
            </w:pPr>
            <w:r w:rsidRPr="00B640EE">
              <w:rPr>
                <w:u w:val="single"/>
              </w:rPr>
              <w:t>Название проекта</w:t>
            </w:r>
          </w:p>
          <w:p w:rsidR="00BC5216" w:rsidRPr="00B640EE" w:rsidRDefault="00BC5216" w:rsidP="003C6BB0">
            <w:pPr>
              <w:rPr>
                <w:b/>
                <w:szCs w:val="22"/>
              </w:rPr>
            </w:pPr>
          </w:p>
        </w:tc>
        <w:tc>
          <w:tcPr>
            <w:tcW w:w="6912" w:type="dxa"/>
          </w:tcPr>
          <w:p w:rsidR="00BC5216" w:rsidRPr="00B640EE" w:rsidRDefault="00BE55D8" w:rsidP="003C6BB0">
            <w:pPr>
              <w:pStyle w:val="Heading4"/>
              <w:keepNext w:val="0"/>
              <w:rPr>
                <w:szCs w:val="22"/>
              </w:rPr>
            </w:pPr>
            <w:r w:rsidRPr="00B640EE">
              <w:t xml:space="preserve">Укрепление и развитие аудиовизуального сектора в Буркина-Фасо и некоторых других африканских странах </w:t>
            </w:r>
            <w:r w:rsidRPr="00B640EE">
              <w:rPr>
                <w:rtl/>
                <w:cs/>
              </w:rPr>
              <w:t xml:space="preserve">– </w:t>
            </w:r>
            <w:r w:rsidRPr="00B640EE">
              <w:t>этап II</w:t>
            </w:r>
          </w:p>
          <w:p w:rsidR="00BC5216" w:rsidRPr="00B640EE" w:rsidRDefault="00BC5216" w:rsidP="003C6BB0">
            <w:pPr>
              <w:rPr>
                <w:i/>
                <w:szCs w:val="22"/>
              </w:rPr>
            </w:pPr>
          </w:p>
        </w:tc>
      </w:tr>
      <w:tr w:rsidR="00BC5216" w:rsidRPr="00B640EE" w:rsidTr="003C6BB0">
        <w:tc>
          <w:tcPr>
            <w:tcW w:w="2376" w:type="dxa"/>
          </w:tcPr>
          <w:p w:rsidR="00BC5216" w:rsidRPr="00B640EE" w:rsidRDefault="00BC5216" w:rsidP="003C6BB0">
            <w:pPr>
              <w:rPr>
                <w:bCs/>
                <w:szCs w:val="22"/>
                <w:u w:val="single"/>
              </w:rPr>
            </w:pPr>
          </w:p>
          <w:p w:rsidR="00BC5216" w:rsidRPr="00B640EE" w:rsidRDefault="00BE55D8" w:rsidP="003C6BB0">
            <w:pPr>
              <w:rPr>
                <w:szCs w:val="22"/>
                <w:u w:val="single"/>
              </w:rPr>
            </w:pPr>
            <w:r w:rsidRPr="00B640EE">
              <w:rPr>
                <w:u w:val="single"/>
              </w:rPr>
              <w:t>Рекомендации Повестки дня в области развития:</w:t>
            </w:r>
          </w:p>
          <w:p w:rsidR="00BC5216" w:rsidRPr="00B640EE" w:rsidRDefault="00BC5216" w:rsidP="003C6BB0">
            <w:pPr>
              <w:rPr>
                <w:b/>
                <w:szCs w:val="22"/>
              </w:rPr>
            </w:pPr>
          </w:p>
        </w:tc>
        <w:tc>
          <w:tcPr>
            <w:tcW w:w="6912" w:type="dxa"/>
          </w:tcPr>
          <w:p w:rsidR="00BC5216" w:rsidRPr="00B640EE" w:rsidRDefault="00BE55D8" w:rsidP="003C6BB0">
            <w:pPr>
              <w:pStyle w:val="Heading4"/>
              <w:rPr>
                <w:szCs w:val="22"/>
              </w:rPr>
            </w:pPr>
            <w:r w:rsidRPr="00B640EE">
              <w:t>Рекомендация 1</w:t>
            </w:r>
          </w:p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>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</w:t>
            </w:r>
            <w:r w:rsidR="005B2250" w:rsidRPr="00B640EE">
              <w:t xml:space="preserve"> </w:t>
            </w:r>
            <w:r w:rsidRPr="00B640EE">
              <w:t>при этом деятельность должна включать сроки для завершения.  В этой связи характер помощи, механизмы ее осуществления и процессы оценки программ технической помощи должны быть конкретизированы применительно к каждой стране.</w:t>
            </w:r>
          </w:p>
          <w:p w:rsidR="00BC5216" w:rsidRPr="00B640EE" w:rsidRDefault="00BC5216" w:rsidP="003C6BB0">
            <w:pPr>
              <w:rPr>
                <w:bCs/>
                <w:szCs w:val="22"/>
              </w:rPr>
            </w:pPr>
          </w:p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rPr>
                <w:rStyle w:val="Heading4Char"/>
                <w:sz w:val="22"/>
              </w:rPr>
              <w:t>Рекомендация 2</w:t>
            </w:r>
          </w:p>
          <w:p w:rsidR="00BC5216" w:rsidRPr="00B640EE" w:rsidRDefault="00BE55D8" w:rsidP="003C6BB0">
            <w:pPr>
              <w:rPr>
                <w:bCs/>
                <w:szCs w:val="22"/>
              </w:rPr>
            </w:pPr>
            <w:r w:rsidRPr="00B640EE">
              <w:t xml:space="preserve">Получение ВОИС дополнительной поддержки на основе донорского финансирования, учреждение в рамках ВОИС целевых фондов или иных добровольных фондов, конкретно предназначенных для нужд НРС, при сохранении высокой приоритетности финансирования мероприятий, осуществляемых в Африке на основе бюджетных и внебюджетных ресурсов </w:t>
            </w:r>
            <w:r w:rsidRPr="00B640EE">
              <w:rPr>
                <w:rtl/>
                <w:cs/>
              </w:rPr>
              <w:t xml:space="preserve">– </w:t>
            </w:r>
            <w:r w:rsidRPr="00B640EE">
              <w:t>в частности, в интересах содействия правовому, коммерческому, культурному и экономическому использованию интеллектуальной собственности в соответствующих странах.</w:t>
            </w:r>
          </w:p>
          <w:p w:rsidR="00BC5216" w:rsidRPr="00B640EE" w:rsidRDefault="00BC5216" w:rsidP="003C6BB0">
            <w:pPr>
              <w:rPr>
                <w:szCs w:val="22"/>
              </w:rPr>
            </w:pPr>
          </w:p>
          <w:p w:rsidR="00BC5216" w:rsidRPr="00B640EE" w:rsidRDefault="00BE55D8" w:rsidP="003C6BB0">
            <w:pPr>
              <w:rPr>
                <w:rStyle w:val="Heading4Char"/>
                <w:sz w:val="22"/>
                <w:szCs w:val="22"/>
              </w:rPr>
            </w:pPr>
            <w:r w:rsidRPr="00B640EE">
              <w:rPr>
                <w:rStyle w:val="Heading4Char"/>
                <w:sz w:val="22"/>
              </w:rPr>
              <w:t>Рекомендация 4</w:t>
            </w:r>
          </w:p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>Уделять особое внимание потребностям малых и средних предприятий (МСП) и учреждений, работающих в научно-исследовательской и культурной сфере, по просьбе государств-членов оказывать им содействие в формировании соответствующих национальных стратегий в области ИС</w:t>
            </w:r>
          </w:p>
          <w:p w:rsidR="00BC5216" w:rsidRPr="00B640EE" w:rsidRDefault="00BC5216" w:rsidP="003C6BB0">
            <w:pPr>
              <w:rPr>
                <w:szCs w:val="22"/>
              </w:rPr>
            </w:pPr>
          </w:p>
          <w:p w:rsidR="00BC5216" w:rsidRPr="00B640EE" w:rsidRDefault="00BE55D8" w:rsidP="003C6BB0">
            <w:pPr>
              <w:rPr>
                <w:rStyle w:val="Heading4Char"/>
                <w:sz w:val="22"/>
                <w:szCs w:val="22"/>
              </w:rPr>
            </w:pPr>
            <w:r w:rsidRPr="00B640EE">
              <w:rPr>
                <w:rStyle w:val="Heading4Char"/>
                <w:sz w:val="22"/>
              </w:rPr>
              <w:t>Рекомендация 10</w:t>
            </w:r>
          </w:p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>Оказывать помощь государствам-членам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общества.  Эта техническая помощь должна также распространяться на субрегиональные и региональные организации, занимающиеся вопросами ИС.</w:t>
            </w:r>
          </w:p>
          <w:p w:rsidR="00BC5216" w:rsidRPr="00B640EE" w:rsidRDefault="00BC5216" w:rsidP="003C6BB0">
            <w:pPr>
              <w:rPr>
                <w:szCs w:val="22"/>
              </w:rPr>
            </w:pPr>
          </w:p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rPr>
                <w:rStyle w:val="Heading4Char"/>
                <w:sz w:val="22"/>
              </w:rPr>
              <w:lastRenderedPageBreak/>
              <w:t>Рекомендация 11</w:t>
            </w:r>
          </w:p>
          <w:p w:rsidR="00BC5216" w:rsidRPr="00B640EE" w:rsidRDefault="00BE55D8" w:rsidP="003C6BB0">
            <w:pPr>
              <w:rPr>
                <w:iCs/>
                <w:szCs w:val="22"/>
              </w:rPr>
            </w:pPr>
            <w:r w:rsidRPr="00B640EE">
              <w:t>Оказывать помощь государствам-членам в укреплении национального потенциала в области охраны национальных произведений, инноваций и изобретений и</w:t>
            </w:r>
          </w:p>
          <w:p w:rsidR="00BC5216" w:rsidRPr="00B640EE" w:rsidRDefault="00BE55D8" w:rsidP="003C6BB0">
            <w:pPr>
              <w:rPr>
                <w:iCs/>
                <w:szCs w:val="22"/>
              </w:rPr>
            </w:pPr>
            <w:r w:rsidRPr="00B640EE">
              <w:t>оказывать поддержку развитию национальной научно-технической инфраструктуры, где это применимо, в соответствии с мандатом ВОИС.</w:t>
            </w:r>
          </w:p>
        </w:tc>
      </w:tr>
      <w:tr w:rsidR="00BC5216" w:rsidRPr="00B640EE" w:rsidTr="003C6BB0">
        <w:tc>
          <w:tcPr>
            <w:tcW w:w="2376" w:type="dxa"/>
          </w:tcPr>
          <w:p w:rsidR="00BC5216" w:rsidRPr="00B640EE" w:rsidRDefault="00BE55D8" w:rsidP="003C6BB0">
            <w:pPr>
              <w:rPr>
                <w:szCs w:val="22"/>
                <w:u w:val="single"/>
              </w:rPr>
            </w:pPr>
            <w:r w:rsidRPr="00B640EE">
              <w:rPr>
                <w:u w:val="single"/>
              </w:rPr>
              <w:lastRenderedPageBreak/>
              <w:t>Краткое описание проекта</w:t>
            </w:r>
          </w:p>
          <w:p w:rsidR="00BC5216" w:rsidRPr="00B640EE" w:rsidRDefault="00BC5216" w:rsidP="003C6BB0">
            <w:pPr>
              <w:rPr>
                <w:b/>
                <w:szCs w:val="22"/>
              </w:rPr>
            </w:pPr>
          </w:p>
          <w:p w:rsidR="00BC5216" w:rsidRPr="00B640EE" w:rsidRDefault="00BC5216" w:rsidP="003C6BB0">
            <w:pPr>
              <w:rPr>
                <w:b/>
                <w:szCs w:val="22"/>
              </w:rPr>
            </w:pPr>
          </w:p>
          <w:p w:rsidR="00BC5216" w:rsidRPr="00B640EE" w:rsidRDefault="00BC5216" w:rsidP="003C6BB0">
            <w:pPr>
              <w:rPr>
                <w:b/>
                <w:szCs w:val="22"/>
              </w:rPr>
            </w:pPr>
          </w:p>
          <w:p w:rsidR="00BC5216" w:rsidRPr="00B640EE" w:rsidRDefault="00BC5216" w:rsidP="003C6BB0">
            <w:pPr>
              <w:rPr>
                <w:i/>
                <w:szCs w:val="22"/>
              </w:rPr>
            </w:pPr>
          </w:p>
          <w:p w:rsidR="00BC5216" w:rsidRPr="00B640EE" w:rsidRDefault="00BC5216" w:rsidP="003C6BB0">
            <w:pPr>
              <w:rPr>
                <w:i/>
                <w:szCs w:val="22"/>
              </w:rPr>
            </w:pPr>
          </w:p>
          <w:p w:rsidR="00BC5216" w:rsidRPr="00B640EE" w:rsidRDefault="00BC5216" w:rsidP="003C6BB0">
            <w:pPr>
              <w:rPr>
                <w:i/>
                <w:szCs w:val="22"/>
              </w:rPr>
            </w:pPr>
          </w:p>
          <w:p w:rsidR="00BC5216" w:rsidRPr="00B640EE" w:rsidRDefault="00BC5216" w:rsidP="003C6BB0">
            <w:pPr>
              <w:rPr>
                <w:i/>
                <w:szCs w:val="22"/>
              </w:rPr>
            </w:pPr>
          </w:p>
          <w:p w:rsidR="00BC5216" w:rsidRPr="00B640EE" w:rsidRDefault="00BC5216" w:rsidP="003C6BB0">
            <w:pPr>
              <w:rPr>
                <w:i/>
                <w:szCs w:val="22"/>
              </w:rPr>
            </w:pPr>
          </w:p>
          <w:p w:rsidR="00BC5216" w:rsidRPr="00B640EE" w:rsidRDefault="00BC5216" w:rsidP="003C6BB0">
            <w:pPr>
              <w:rPr>
                <w:i/>
                <w:szCs w:val="22"/>
              </w:rPr>
            </w:pPr>
          </w:p>
          <w:p w:rsidR="00BC5216" w:rsidRPr="00B640EE" w:rsidRDefault="00BC5216" w:rsidP="003C6BB0">
            <w:pPr>
              <w:rPr>
                <w:i/>
                <w:szCs w:val="22"/>
              </w:rPr>
            </w:pPr>
          </w:p>
          <w:p w:rsidR="00BC5216" w:rsidRPr="00B640EE" w:rsidRDefault="00BC5216" w:rsidP="003C6BB0">
            <w:pPr>
              <w:rPr>
                <w:i/>
                <w:szCs w:val="22"/>
              </w:rPr>
            </w:pPr>
          </w:p>
          <w:p w:rsidR="00BC5216" w:rsidRPr="00B640EE" w:rsidRDefault="00BC5216" w:rsidP="003C6BB0">
            <w:pPr>
              <w:rPr>
                <w:i/>
                <w:szCs w:val="22"/>
              </w:rPr>
            </w:pPr>
          </w:p>
          <w:p w:rsidR="00BC5216" w:rsidRPr="00B640EE" w:rsidRDefault="00BC5216" w:rsidP="003C6BB0">
            <w:pPr>
              <w:rPr>
                <w:b/>
                <w:szCs w:val="22"/>
              </w:rPr>
            </w:pPr>
          </w:p>
        </w:tc>
        <w:tc>
          <w:tcPr>
            <w:tcW w:w="6912" w:type="dxa"/>
          </w:tcPr>
          <w:p w:rsidR="00BC5216" w:rsidRPr="00B640EE" w:rsidRDefault="00BE55D8" w:rsidP="003C6BB0">
            <w:pPr>
              <w:autoSpaceDE w:val="0"/>
              <w:autoSpaceDN w:val="0"/>
              <w:rPr>
                <w:szCs w:val="22"/>
              </w:rPr>
            </w:pPr>
            <w:r w:rsidRPr="00B640EE">
              <w:t>Устойчивость кино- и телеиндустрии (далее «аудиовизуальный сектор») является важной проблемой в сфере развития, в то время как распространение цифровых технологий в Африке открывает широкие перспективы для стимулирования местных секторов экономики, связанных с производством фильмов и аудиовизуального контента.</w:t>
            </w:r>
          </w:p>
          <w:p w:rsidR="00BC5216" w:rsidRPr="00B640EE" w:rsidRDefault="00BC5216" w:rsidP="003C6BB0">
            <w:pPr>
              <w:autoSpaceDE w:val="0"/>
              <w:autoSpaceDN w:val="0"/>
              <w:rPr>
                <w:szCs w:val="22"/>
              </w:rPr>
            </w:pPr>
          </w:p>
          <w:p w:rsidR="00BC5216" w:rsidRPr="00B640EE" w:rsidRDefault="00BE55D8" w:rsidP="003C6BB0">
            <w:pPr>
              <w:autoSpaceDE w:val="0"/>
              <w:autoSpaceDN w:val="0"/>
              <w:rPr>
                <w:szCs w:val="22"/>
              </w:rPr>
            </w:pPr>
            <w:r w:rsidRPr="00B640EE">
              <w:t>На этапе I, предусмотренном документом CDIP 9/13, было отмечено, что в Сенегале, Буркина-Фасо и Кении, авторское право играет крайне незначительную роль в финансировании фильмов и в коммерческом использовании/ распространении аудиовизуальных произведений.</w:t>
            </w:r>
          </w:p>
          <w:p w:rsidR="002779FA" w:rsidRPr="00B640EE" w:rsidRDefault="002779FA" w:rsidP="003C6BB0">
            <w:pPr>
              <w:autoSpaceDE w:val="0"/>
              <w:autoSpaceDN w:val="0"/>
              <w:rPr>
                <w:szCs w:val="22"/>
              </w:rPr>
            </w:pPr>
          </w:p>
          <w:p w:rsidR="00BC5216" w:rsidRPr="00B640EE" w:rsidRDefault="00DA5E88" w:rsidP="003C6BB0">
            <w:pPr>
              <w:autoSpaceDE w:val="0"/>
              <w:autoSpaceDN w:val="0"/>
              <w:rPr>
                <w:szCs w:val="22"/>
              </w:rPr>
            </w:pPr>
            <w:r w:rsidRPr="00B640EE">
              <w:t>До настоящего времени заинтересованные стороны в аудиовизуальном секторе обладали ограниченным представлением об авторском праве и не имели возможности пройти специализированное обучение, посвященное правовым вопросам, воспользоваться соответствующими ресурсами и получить соответствующие консультации.</w:t>
            </w:r>
            <w:r w:rsidR="00D453A8">
              <w:t xml:space="preserve"> </w:t>
            </w:r>
            <w:r w:rsidRPr="00B640EE">
              <w:t xml:space="preserve"> </w:t>
            </w:r>
            <w:r w:rsidR="00BE55D8" w:rsidRPr="00B640EE">
              <w:t xml:space="preserve">Как следствие контракты зачастую не заключаются, что приводит к неопределенности в отношении </w:t>
            </w:r>
            <w:r w:rsidR="001713B0">
              <w:t>принадлежности прав</w:t>
            </w:r>
            <w:r w:rsidR="00BE55D8" w:rsidRPr="00B640EE">
              <w:t xml:space="preserve"> и ставит под угрозу возможности финансирования и инвестиций для производителей. </w:t>
            </w:r>
            <w:r w:rsidR="00EF0146">
              <w:t xml:space="preserve"> </w:t>
            </w:r>
            <w:r w:rsidRPr="00B640EE">
              <w:t xml:space="preserve">Аналогичным образом, получаемые правообладателями доходы оказываются недостаточными для финансирования жизнеспособной отрасли, в связи с недостаточными возможностями распределения и коммерческого использования. </w:t>
            </w:r>
            <w:r w:rsidR="00EF0146">
              <w:t xml:space="preserve"> </w:t>
            </w:r>
            <w:r w:rsidRPr="00B640EE">
              <w:t xml:space="preserve">Более эффективное использование авторского права создает реальные </w:t>
            </w:r>
            <w:r w:rsidR="001713B0">
              <w:t>перспективы</w:t>
            </w:r>
            <w:r w:rsidRPr="00B640EE">
              <w:t xml:space="preserve"> для укрепления сектора, но этот процесс должен быть подкреплен соответствующими структурными изменениями.</w:t>
            </w:r>
          </w:p>
          <w:p w:rsidR="00BC5216" w:rsidRPr="00B640EE" w:rsidRDefault="00BC5216" w:rsidP="003C6BB0">
            <w:pPr>
              <w:autoSpaceDE w:val="0"/>
              <w:autoSpaceDN w:val="0"/>
              <w:rPr>
                <w:szCs w:val="22"/>
              </w:rPr>
            </w:pPr>
          </w:p>
          <w:p w:rsidR="00A518B2" w:rsidRPr="00263BD4" w:rsidRDefault="00BE55D8" w:rsidP="003C6BB0">
            <w:pPr>
              <w:rPr>
                <w:szCs w:val="22"/>
              </w:rPr>
            </w:pPr>
            <w:r w:rsidRPr="00B640EE">
              <w:t xml:space="preserve">Проект направлен на предоставление профессионалам киноиндустрии практических средств </w:t>
            </w:r>
            <w:r w:rsidR="001713B0">
              <w:t>б</w:t>
            </w:r>
            <w:r w:rsidRPr="00B640EE">
              <w:t xml:space="preserve">олее эффективного использования системы авторского права при привлечении финансовых ресурсов, а также на гарантирование потоков доходов за счет совершенствования договорной практики, расширенного управления правами и мер </w:t>
            </w:r>
            <w:r w:rsidR="001713B0">
              <w:t xml:space="preserve">обеспечения </w:t>
            </w:r>
            <w:r w:rsidRPr="00B640EE">
              <w:t xml:space="preserve">распределения и доходов </w:t>
            </w:r>
            <w:r w:rsidR="001713B0">
              <w:t>путем</w:t>
            </w:r>
            <w:r w:rsidRPr="00B640EE">
              <w:t xml:space="preserve"> развити</w:t>
            </w:r>
            <w:r w:rsidR="001713B0">
              <w:t>я</w:t>
            </w:r>
            <w:r w:rsidRPr="00B640EE">
              <w:t xml:space="preserve"> легальных производственно-с</w:t>
            </w:r>
            <w:r w:rsidR="001713B0">
              <w:t>бытовых цепей.  Этап II проекта</w:t>
            </w:r>
            <w:r w:rsidRPr="00B640EE">
              <w:t xml:space="preserve"> </w:t>
            </w:r>
            <w:r w:rsidR="001713B0">
              <w:t xml:space="preserve">дает новые стимулы </w:t>
            </w:r>
            <w:r w:rsidRPr="00B640EE">
              <w:t>для наращивания устойчивости и эффективности проекта.</w:t>
            </w:r>
            <w:r w:rsidR="001713B0">
              <w:t xml:space="preserve"> </w:t>
            </w:r>
            <w:r w:rsidRPr="00B640EE">
              <w:t xml:space="preserve"> Он будет осуществляться с опорой на </w:t>
            </w:r>
            <w:r w:rsidR="00DA5E88" w:rsidRPr="00B640EE">
              <w:t>результаты</w:t>
            </w:r>
            <w:r w:rsidRPr="00B640EE">
              <w:t xml:space="preserve"> этапа I, </w:t>
            </w:r>
            <w:r w:rsidR="001713B0">
              <w:t xml:space="preserve">на котором были </w:t>
            </w:r>
            <w:r w:rsidRPr="00B640EE">
              <w:t>залож</w:t>
            </w:r>
            <w:r w:rsidR="001713B0">
              <w:t>ены</w:t>
            </w:r>
            <w:r w:rsidRPr="00B640EE">
              <w:t xml:space="preserve"> первые основы </w:t>
            </w:r>
            <w:r w:rsidR="001713B0">
              <w:t>для</w:t>
            </w:r>
            <w:r w:rsidRPr="00B640EE">
              <w:t xml:space="preserve"> </w:t>
            </w:r>
            <w:r w:rsidR="001713B0">
              <w:t xml:space="preserve">повышения </w:t>
            </w:r>
            <w:r w:rsidRPr="00B640EE">
              <w:t xml:space="preserve">осведомленности и </w:t>
            </w:r>
            <w:r w:rsidR="001713B0">
              <w:t xml:space="preserve">расширения </w:t>
            </w:r>
            <w:r w:rsidRPr="00B640EE">
              <w:t>знаний об использовании ИС в секторе</w:t>
            </w:r>
            <w:r w:rsidR="001713B0">
              <w:t>,</w:t>
            </w:r>
            <w:r w:rsidRPr="00B640EE">
              <w:t xml:space="preserve"> и обеспечит непрерывную поддержку специалистов-практиков, которая остается важным фактором достижения ощутимых результатов в профессиональной деятельности.</w:t>
            </w:r>
          </w:p>
        </w:tc>
      </w:tr>
      <w:tr w:rsidR="00BC5216" w:rsidRPr="00B640EE" w:rsidTr="003C6BB0">
        <w:tc>
          <w:tcPr>
            <w:tcW w:w="2376" w:type="dxa"/>
          </w:tcPr>
          <w:p w:rsidR="00BC5216" w:rsidRPr="00B640EE" w:rsidRDefault="00BE55D8" w:rsidP="003C6BB0">
            <w:pPr>
              <w:rPr>
                <w:bCs/>
                <w:szCs w:val="22"/>
                <w:u w:val="single"/>
              </w:rPr>
            </w:pPr>
            <w:r w:rsidRPr="00B640EE">
              <w:rPr>
                <w:u w:val="single"/>
              </w:rPr>
              <w:lastRenderedPageBreak/>
              <w:t>Соответствующая программа (программы)</w:t>
            </w:r>
          </w:p>
          <w:p w:rsidR="00BC5216" w:rsidRPr="00B640EE" w:rsidRDefault="00BC5216" w:rsidP="003C6BB0">
            <w:pPr>
              <w:rPr>
                <w:szCs w:val="22"/>
                <w:u w:val="single"/>
              </w:rPr>
            </w:pPr>
          </w:p>
        </w:tc>
        <w:tc>
          <w:tcPr>
            <w:tcW w:w="6912" w:type="dxa"/>
          </w:tcPr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>Программа 3</w:t>
            </w:r>
          </w:p>
          <w:p w:rsidR="00BC5216" w:rsidRPr="00B640EE" w:rsidRDefault="00BC5216" w:rsidP="003C6BB0">
            <w:pPr>
              <w:rPr>
                <w:iCs/>
                <w:szCs w:val="22"/>
              </w:rPr>
            </w:pPr>
          </w:p>
        </w:tc>
      </w:tr>
      <w:tr w:rsidR="00BC5216" w:rsidRPr="00B640EE" w:rsidTr="003C6BB0">
        <w:trPr>
          <w:cantSplit/>
        </w:trPr>
        <w:tc>
          <w:tcPr>
            <w:tcW w:w="2376" w:type="dxa"/>
          </w:tcPr>
          <w:p w:rsidR="00BC5216" w:rsidRPr="00B640EE" w:rsidRDefault="00BE55D8" w:rsidP="003C6BB0">
            <w:pPr>
              <w:rPr>
                <w:szCs w:val="22"/>
                <w:u w:val="single"/>
              </w:rPr>
            </w:pPr>
            <w:r w:rsidRPr="00B640EE">
              <w:rPr>
                <w:u w:val="single"/>
              </w:rPr>
              <w:t>Связи с другими программами/ проектами, предусмотренными Повесткой дня</w:t>
            </w:r>
          </w:p>
          <w:p w:rsidR="00BC5216" w:rsidRPr="00B640EE" w:rsidRDefault="00BC5216" w:rsidP="003C6BB0">
            <w:pPr>
              <w:rPr>
                <w:szCs w:val="22"/>
                <w:u w:val="single"/>
              </w:rPr>
            </w:pPr>
          </w:p>
        </w:tc>
        <w:tc>
          <w:tcPr>
            <w:tcW w:w="6912" w:type="dxa"/>
          </w:tcPr>
          <w:p w:rsidR="00BC5216" w:rsidRPr="00B640EE" w:rsidRDefault="00BC5216" w:rsidP="003C6BB0">
            <w:pPr>
              <w:rPr>
                <w:szCs w:val="22"/>
              </w:rPr>
            </w:pPr>
          </w:p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>Программы 9, 11,15, 16 и 17</w:t>
            </w:r>
          </w:p>
          <w:p w:rsidR="00BC5216" w:rsidRPr="00B640EE" w:rsidRDefault="00BC5216" w:rsidP="003C6BB0">
            <w:pPr>
              <w:rPr>
                <w:i/>
                <w:szCs w:val="22"/>
              </w:rPr>
            </w:pPr>
          </w:p>
        </w:tc>
      </w:tr>
      <w:tr w:rsidR="00BC5216" w:rsidRPr="00B640EE" w:rsidTr="003C6BB0">
        <w:tc>
          <w:tcPr>
            <w:tcW w:w="2376" w:type="dxa"/>
          </w:tcPr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rPr>
                <w:u w:val="single"/>
              </w:rPr>
              <w:t>Связи с ожидаемыми результатами, предусмотренными Программой и бюджетом</w:t>
            </w:r>
          </w:p>
          <w:p w:rsidR="00BC5216" w:rsidRPr="00B640EE" w:rsidRDefault="00BC5216" w:rsidP="003C6BB0">
            <w:pPr>
              <w:rPr>
                <w:szCs w:val="22"/>
              </w:rPr>
            </w:pPr>
          </w:p>
        </w:tc>
        <w:tc>
          <w:tcPr>
            <w:tcW w:w="6912" w:type="dxa"/>
            <w:vAlign w:val="center"/>
          </w:tcPr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>Программа 3</w:t>
            </w:r>
          </w:p>
          <w:p w:rsidR="00BC5216" w:rsidRPr="00B640EE" w:rsidRDefault="00BC5216" w:rsidP="003C6BB0">
            <w:pPr>
              <w:rPr>
                <w:szCs w:val="22"/>
              </w:rPr>
            </w:pPr>
          </w:p>
          <w:p w:rsidR="00BC5216" w:rsidRPr="00B640EE" w:rsidRDefault="00BE55D8" w:rsidP="003C6BB0">
            <w:pPr>
              <w:rPr>
                <w:kern w:val="3"/>
                <w:szCs w:val="22"/>
              </w:rPr>
            </w:pPr>
            <w:r w:rsidRPr="00B640EE">
              <w:t xml:space="preserve">Расширение возможностей и навыков для эффективного использования авторского права и смежных прав и управления ими при финансировании и законном коммерческом использовании аудиовизуального контента с целью </w:t>
            </w:r>
            <w:r w:rsidR="001713B0">
              <w:t>содействия развитию</w:t>
            </w:r>
            <w:r w:rsidRPr="00B640EE">
              <w:t xml:space="preserve"> местного аудиовизуального сектора в цифровую эпоху</w:t>
            </w:r>
            <w:r w:rsidRPr="00B640EE">
              <w:rPr>
                <w:kern w:val="3"/>
              </w:rPr>
              <w:t xml:space="preserve">, направленное на </w:t>
            </w:r>
            <w:r w:rsidR="001713B0">
              <w:rPr>
                <w:kern w:val="3"/>
              </w:rPr>
              <w:t>стимулирование</w:t>
            </w:r>
            <w:r w:rsidRPr="00B640EE">
              <w:rPr>
                <w:kern w:val="3"/>
              </w:rPr>
              <w:t xml:space="preserve"> экономическо</w:t>
            </w:r>
            <w:r w:rsidR="001713B0">
              <w:rPr>
                <w:kern w:val="3"/>
              </w:rPr>
              <w:t>го</w:t>
            </w:r>
            <w:r w:rsidRPr="00B640EE">
              <w:rPr>
                <w:kern w:val="3"/>
              </w:rPr>
              <w:t>, социально</w:t>
            </w:r>
            <w:r w:rsidR="001713B0">
              <w:rPr>
                <w:kern w:val="3"/>
              </w:rPr>
              <w:t>го</w:t>
            </w:r>
            <w:r w:rsidRPr="00B640EE">
              <w:rPr>
                <w:kern w:val="3"/>
              </w:rPr>
              <w:t xml:space="preserve"> и культурно</w:t>
            </w:r>
            <w:r w:rsidR="001713B0">
              <w:rPr>
                <w:kern w:val="3"/>
              </w:rPr>
              <w:t>го</w:t>
            </w:r>
            <w:r w:rsidRPr="00B640EE">
              <w:rPr>
                <w:kern w:val="3"/>
              </w:rPr>
              <w:t xml:space="preserve"> развити</w:t>
            </w:r>
            <w:r w:rsidR="001713B0">
              <w:rPr>
                <w:kern w:val="3"/>
              </w:rPr>
              <w:t>я</w:t>
            </w:r>
            <w:r w:rsidRPr="00B640EE">
              <w:rPr>
                <w:kern w:val="3"/>
              </w:rPr>
              <w:t>.</w:t>
            </w:r>
          </w:p>
          <w:p w:rsidR="00A518B2" w:rsidRPr="00B640EE" w:rsidRDefault="00A518B2" w:rsidP="003C6BB0">
            <w:pPr>
              <w:rPr>
                <w:iCs/>
                <w:szCs w:val="22"/>
              </w:rPr>
            </w:pPr>
          </w:p>
        </w:tc>
      </w:tr>
      <w:tr w:rsidR="00BC5216" w:rsidRPr="00B640EE" w:rsidTr="003C6BB0">
        <w:tc>
          <w:tcPr>
            <w:tcW w:w="2376" w:type="dxa"/>
          </w:tcPr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rPr>
                <w:u w:val="single"/>
              </w:rPr>
              <w:t>Продолжительность проекта</w:t>
            </w:r>
          </w:p>
          <w:p w:rsidR="00BC5216" w:rsidRPr="00B640EE" w:rsidRDefault="00BC5216" w:rsidP="003C6BB0">
            <w:pPr>
              <w:rPr>
                <w:b/>
                <w:szCs w:val="22"/>
              </w:rPr>
            </w:pPr>
          </w:p>
        </w:tc>
        <w:tc>
          <w:tcPr>
            <w:tcW w:w="6912" w:type="dxa"/>
          </w:tcPr>
          <w:p w:rsidR="00BC5216" w:rsidRPr="00B640EE" w:rsidRDefault="00BE55D8" w:rsidP="003C6BB0">
            <w:pPr>
              <w:rPr>
                <w:i/>
                <w:szCs w:val="22"/>
              </w:rPr>
            </w:pPr>
            <w:r w:rsidRPr="00B640EE">
              <w:t>30 месяцев</w:t>
            </w:r>
          </w:p>
        </w:tc>
      </w:tr>
      <w:tr w:rsidR="00BC5216" w:rsidRPr="00B640EE" w:rsidTr="003C6BB0">
        <w:tc>
          <w:tcPr>
            <w:tcW w:w="2376" w:type="dxa"/>
          </w:tcPr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rPr>
                <w:u w:val="single"/>
              </w:rPr>
              <w:t>Бюджет проекта</w:t>
            </w:r>
          </w:p>
          <w:p w:rsidR="00BC5216" w:rsidRPr="00B640EE" w:rsidRDefault="00BC5216" w:rsidP="003C6BB0">
            <w:pPr>
              <w:rPr>
                <w:b/>
                <w:szCs w:val="22"/>
              </w:rPr>
            </w:pPr>
          </w:p>
        </w:tc>
        <w:tc>
          <w:tcPr>
            <w:tcW w:w="6912" w:type="dxa"/>
          </w:tcPr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>Расходы на персонал:  110 000 шв. франков</w:t>
            </w:r>
          </w:p>
          <w:p w:rsidR="00A518B2" w:rsidRPr="00B640EE" w:rsidRDefault="00A518B2" w:rsidP="003C6BB0">
            <w:pPr>
              <w:rPr>
                <w:szCs w:val="22"/>
              </w:rPr>
            </w:pPr>
          </w:p>
          <w:p w:rsidR="00A518B2" w:rsidRPr="00B640EE" w:rsidRDefault="00BE55D8" w:rsidP="003C6BB0">
            <w:pPr>
              <w:rPr>
                <w:szCs w:val="22"/>
              </w:rPr>
            </w:pPr>
            <w:r w:rsidRPr="00B640EE">
              <w:t>Расходы, не связанные с персоналом:  430 000 шв. франков</w:t>
            </w:r>
          </w:p>
          <w:p w:rsidR="00A518B2" w:rsidRPr="00B640EE" w:rsidRDefault="00A518B2" w:rsidP="003C6BB0">
            <w:pPr>
              <w:rPr>
                <w:szCs w:val="22"/>
              </w:rPr>
            </w:pPr>
          </w:p>
          <w:p w:rsidR="00876A69" w:rsidRPr="00B640EE" w:rsidRDefault="00BE55D8" w:rsidP="002463F9">
            <w:pPr>
              <w:rPr>
                <w:szCs w:val="22"/>
              </w:rPr>
            </w:pPr>
            <w:r w:rsidRPr="00B640EE">
              <w:t>Итого:</w:t>
            </w:r>
            <w:r w:rsidR="00124B96" w:rsidRPr="00B640EE">
              <w:t xml:space="preserve"> </w:t>
            </w:r>
            <w:r w:rsidRPr="00B640EE">
              <w:t xml:space="preserve"> 540 000 шв. франков</w:t>
            </w:r>
          </w:p>
        </w:tc>
      </w:tr>
      <w:tr w:rsidR="00BC5216" w:rsidRPr="00B640EE" w:rsidTr="003C6BB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288" w:type="dxa"/>
            <w:gridSpan w:val="2"/>
          </w:tcPr>
          <w:p w:rsidR="00BC5216" w:rsidRPr="00B640EE" w:rsidRDefault="00BC5216" w:rsidP="003C6BB0">
            <w:pPr>
              <w:rPr>
                <w:b/>
                <w:bCs/>
                <w:szCs w:val="22"/>
              </w:rPr>
            </w:pPr>
          </w:p>
          <w:p w:rsidR="00BC5216" w:rsidRPr="00B640EE" w:rsidRDefault="00BE55D8" w:rsidP="003C6BB0">
            <w:pPr>
              <w:rPr>
                <w:bCs/>
                <w:iCs/>
                <w:szCs w:val="22"/>
              </w:rPr>
            </w:pPr>
            <w:r w:rsidRPr="00B640EE">
              <w:t>2.</w:t>
            </w:r>
            <w:r w:rsidRPr="00B640EE">
              <w:tab/>
            </w:r>
            <w:r w:rsidRPr="00B640EE">
              <w:rPr>
                <w:rStyle w:val="Heading2Char"/>
                <w:sz w:val="22"/>
              </w:rPr>
              <w:t>описание проекта</w:t>
            </w:r>
          </w:p>
          <w:p w:rsidR="00BC5216" w:rsidRPr="00B640EE" w:rsidRDefault="00BC5216" w:rsidP="003C6BB0">
            <w:pPr>
              <w:rPr>
                <w:b/>
                <w:bCs/>
                <w:szCs w:val="22"/>
              </w:rPr>
            </w:pPr>
          </w:p>
        </w:tc>
      </w:tr>
      <w:tr w:rsidR="00BC5216" w:rsidRPr="00B640EE" w:rsidTr="003C6BB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19"/>
        </w:trPr>
        <w:tc>
          <w:tcPr>
            <w:tcW w:w="9288" w:type="dxa"/>
            <w:gridSpan w:val="2"/>
          </w:tcPr>
          <w:p w:rsidR="00BC5216" w:rsidRPr="00B640EE" w:rsidRDefault="00BE55D8" w:rsidP="00BC5216">
            <w:pPr>
              <w:numPr>
                <w:ilvl w:val="1"/>
                <w:numId w:val="7"/>
              </w:numPr>
              <w:tabs>
                <w:tab w:val="clear" w:pos="720"/>
                <w:tab w:val="num" w:pos="567"/>
              </w:tabs>
              <w:rPr>
                <w:bCs/>
                <w:szCs w:val="22"/>
                <w:u w:val="single"/>
              </w:rPr>
            </w:pPr>
            <w:r w:rsidRPr="00B640EE">
              <w:rPr>
                <w:u w:val="single"/>
              </w:rPr>
              <w:t>Результаты этапа I</w:t>
            </w:r>
          </w:p>
        </w:tc>
      </w:tr>
      <w:tr w:rsidR="00BC5216" w:rsidRPr="00B640EE" w:rsidTr="003C6BB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288" w:type="dxa"/>
            <w:gridSpan w:val="2"/>
          </w:tcPr>
          <w:p w:rsidR="00BC5216" w:rsidRDefault="00BE55D8" w:rsidP="00BE186A">
            <w:pPr>
              <w:rPr>
                <w:lang w:val="en-US"/>
              </w:rPr>
            </w:pPr>
            <w:r w:rsidRPr="00B640EE">
              <w:t xml:space="preserve">На этапе I были </w:t>
            </w:r>
            <w:r w:rsidR="001713B0">
              <w:t>получены</w:t>
            </w:r>
            <w:r w:rsidRPr="00B640EE">
              <w:t xml:space="preserve"> знания в области использования системы ИС в аудиовизуальном секторе, в частности, для построения законной производственно-сбытовой цепи с целью привлечения инвестиций; </w:t>
            </w:r>
            <w:r w:rsidR="00124B96" w:rsidRPr="00B640EE">
              <w:t xml:space="preserve"> </w:t>
            </w:r>
            <w:r w:rsidRPr="00B640EE">
              <w:t xml:space="preserve">кроме того, он помог создать представление о потенциале ИС.  В рамках проекта осуществлялись инициативы, способствующие совершенствованию систем и структур авторского права, в частности, путем влияния на соответствующие законы и политику, поддержки сделок с правами и их регулирования с помощью, что важно, новых организаций коллективного управления (ОКУ) в Кении и Сенегале, а также развития потенциала </w:t>
            </w:r>
            <w:r w:rsidR="00DA5E88" w:rsidRPr="00B640EE">
              <w:t>действующих</w:t>
            </w:r>
            <w:r w:rsidRPr="00B640EE">
              <w:t xml:space="preserve"> ОКУ в Буркина-Фасо. </w:t>
            </w:r>
            <w:r w:rsidR="00EF0146">
              <w:t xml:space="preserve"> </w:t>
            </w:r>
            <w:r w:rsidRPr="00B640EE">
              <w:t xml:space="preserve">Учитывая низкий уровень осведомленности, добиться существенных изменений в течение 32-месячного срока оказалось проблематично.  </w:t>
            </w:r>
            <w:r w:rsidR="00DA5E88" w:rsidRPr="00B640EE">
              <w:t>Однако</w:t>
            </w:r>
            <w:r w:rsidR="00BE186A">
              <w:t>, судя по</w:t>
            </w:r>
            <w:r w:rsidR="00DA5E88" w:rsidRPr="00B640EE">
              <w:t xml:space="preserve"> </w:t>
            </w:r>
            <w:r w:rsidR="00BE186A">
              <w:t>обратной связи</w:t>
            </w:r>
            <w:r w:rsidR="00DA5E88" w:rsidRPr="00B640EE">
              <w:t>, примеры желаемых изменений есть:</w:t>
            </w:r>
            <w:r w:rsidR="00124B96" w:rsidRPr="00B640EE">
              <w:t xml:space="preserve"> </w:t>
            </w:r>
            <w:r w:rsidR="00DA5E88" w:rsidRPr="00B640EE">
              <w:t xml:space="preserve"> </w:t>
            </w:r>
            <w:r w:rsidR="00124B96" w:rsidRPr="00B640EE">
              <w:t>с</w:t>
            </w:r>
            <w:r w:rsidRPr="00B640EE">
              <w:t>пециалисты начали получать практические знания и методики, которыми смогли воспользоваться в повседневной профессиональной деятельности</w:t>
            </w:r>
            <w:r w:rsidR="00BE186A">
              <w:t>,</w:t>
            </w:r>
            <w:r w:rsidR="00124B96" w:rsidRPr="00B640EE">
              <w:t xml:space="preserve"> </w:t>
            </w:r>
            <w:r w:rsidRPr="00B640EE">
              <w:t>стали шире использовать контракты при заключении сделок в сфере финансирования и распространения.  См. отчет об оценке, документ CDIP 17/1.</w:t>
            </w:r>
          </w:p>
          <w:p w:rsidR="00263BD4" w:rsidRPr="00263BD4" w:rsidRDefault="00263BD4" w:rsidP="00BE186A">
            <w:pPr>
              <w:rPr>
                <w:szCs w:val="22"/>
                <w:lang w:val="en-US"/>
              </w:rPr>
            </w:pPr>
          </w:p>
        </w:tc>
      </w:tr>
    </w:tbl>
    <w:p w:rsidR="00263BD4" w:rsidRDefault="00263BD4">
      <w:r>
        <w:br w:type="page"/>
      </w:r>
    </w:p>
    <w:tbl>
      <w:tblPr>
        <w:tblW w:w="92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636"/>
      </w:tblGrid>
      <w:tr w:rsidR="00BC5216" w:rsidRPr="00B640EE" w:rsidTr="003C6BB0">
        <w:tc>
          <w:tcPr>
            <w:tcW w:w="9288" w:type="dxa"/>
            <w:gridSpan w:val="2"/>
          </w:tcPr>
          <w:p w:rsidR="00BC5216" w:rsidRPr="00B640EE" w:rsidRDefault="00BC5216" w:rsidP="003C6BB0">
            <w:pPr>
              <w:rPr>
                <w:bCs/>
                <w:iCs/>
                <w:szCs w:val="22"/>
              </w:rPr>
            </w:pPr>
          </w:p>
          <w:p w:rsidR="00BC5216" w:rsidRPr="00B640EE" w:rsidRDefault="00BE55D8" w:rsidP="003C6BB0">
            <w:pPr>
              <w:rPr>
                <w:bCs/>
                <w:iCs/>
                <w:szCs w:val="22"/>
              </w:rPr>
            </w:pPr>
            <w:r w:rsidRPr="00B640EE">
              <w:t xml:space="preserve">2.2. </w:t>
            </w:r>
            <w:r w:rsidRPr="00B640EE">
              <w:tab/>
            </w:r>
            <w:r w:rsidRPr="00B640EE">
              <w:rPr>
                <w:u w:val="single"/>
              </w:rPr>
              <w:t>Цели этапа II</w:t>
            </w:r>
          </w:p>
          <w:p w:rsidR="00BC5216" w:rsidRPr="00B640EE" w:rsidRDefault="00BC5216" w:rsidP="003C6BB0">
            <w:pPr>
              <w:rPr>
                <w:i/>
                <w:szCs w:val="22"/>
              </w:rPr>
            </w:pPr>
          </w:p>
        </w:tc>
      </w:tr>
      <w:tr w:rsidR="00BC5216" w:rsidRPr="00B640EE" w:rsidTr="003C6BB0">
        <w:trPr>
          <w:trHeight w:val="1784"/>
        </w:trPr>
        <w:tc>
          <w:tcPr>
            <w:tcW w:w="9288" w:type="dxa"/>
            <w:gridSpan w:val="2"/>
          </w:tcPr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 xml:space="preserve">Появление ориентированного на рынок аудиовизуального сектора создает уникальные возможности для социально-культурных преобразований в Африке за счет развития инфраструктуры, привлечения туристов, инвестиций и создания рабочих мест.  Это один из наиболее творческих активов в экономике знаний и сектор, играющий важнейшую роль в экономическом росте и развитии Африки, о чем свидетельствует и Дакарская декларация по интеллектуальной собственности для Африки, которая была принята на Конференции министров, состоявшейся в Дакаре (Сенегал) с 3 по 5 ноября 2015 г.: </w:t>
            </w:r>
            <w:hyperlink r:id="rId17" w:history="1">
              <w:r w:rsidRPr="00B640EE">
                <w:rPr>
                  <w:u w:val="single"/>
                </w:rPr>
                <w:t>http://www.wipo.int/edocs/mdocs/africa/en/ompi_pi_dak_15/ompi_pi_dak_15_declaration.pdf</w:t>
              </w:r>
            </w:hyperlink>
          </w:p>
          <w:p w:rsidR="00BC5216" w:rsidRPr="00B640EE" w:rsidRDefault="00BC5216" w:rsidP="003C6BB0">
            <w:pPr>
              <w:rPr>
                <w:szCs w:val="22"/>
              </w:rPr>
            </w:pPr>
          </w:p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 xml:space="preserve">Распространение новых технологий послужило стимулом для выхода на глобальные рынки нового поколения амбициозных независимых кинематографистов, однако </w:t>
            </w:r>
            <w:r w:rsidR="00BE186A">
              <w:t>отрицательно сказалось</w:t>
            </w:r>
            <w:r w:rsidRPr="00B640EE">
              <w:t xml:space="preserve"> на ценности различных прав ИС в данной отрасли.  В то же время африканский аудиовизуальный рынок сталкивается с огромными проблемами, например, далеко идущими последствиями распространения цифрового телевидения, ведущего к резкому увеличению числа каналов на всем континенте и росту числа новых аудиовизуальных услуг, таких как онлайн-видео по запросу (VOD) или услуги телевидения с использованием протокола IP (IPTV), включая услуги, предназначенные для смартфонов.</w:t>
            </w:r>
          </w:p>
          <w:p w:rsidR="00BC5216" w:rsidRPr="00B640EE" w:rsidRDefault="00BC5216" w:rsidP="003C6BB0">
            <w:pPr>
              <w:rPr>
                <w:szCs w:val="22"/>
              </w:rPr>
            </w:pPr>
          </w:p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>В то время как новая цифровая инфраструктура открывает перед создателями местного контента новые возможности, специалистов-практиков беспокоят такие вопросы, как устойчивость этого развивающегося рынка, на котором все еще доминируют малые и средние предприятия, застой в сфере рекламы и неспособность небольших аудиовизуальных компаний лицензировать свой контент на устойчивом рынке в связи с низким уровнем соответствующих навыков и отсутствием вспомогательной инфраструктуры.  Переход на цифровые технологии создает перспективы для активизации отраслей местной экономики, связанных с фильмами и аудиовизуальным контентом, позволяя интегрировать их в политику в области развития.</w:t>
            </w:r>
            <w:r w:rsidR="00EF0146">
              <w:t xml:space="preserve"> </w:t>
            </w:r>
            <w:r w:rsidRPr="00B640EE">
              <w:t xml:space="preserve"> Необходимо расширить усилия стран по защите интересов их аудиовизуальных отраслей, </w:t>
            </w:r>
            <w:r w:rsidR="00BE186A">
              <w:t xml:space="preserve">опираясь на </w:t>
            </w:r>
            <w:r w:rsidRPr="00B640EE">
              <w:t xml:space="preserve">признанные методы укрепления доверия инвесторов, и </w:t>
            </w:r>
            <w:r w:rsidR="00BE186A">
              <w:t>дать</w:t>
            </w:r>
            <w:r w:rsidRPr="00B640EE">
              <w:t xml:space="preserve"> творческим деятелям </w:t>
            </w:r>
            <w:r w:rsidR="00BE186A">
              <w:t xml:space="preserve">возможность </w:t>
            </w:r>
            <w:r w:rsidRPr="00B640EE">
              <w:t>максимально повысить стоимость их творческих активов.</w:t>
            </w:r>
          </w:p>
          <w:p w:rsidR="00BC5216" w:rsidRPr="00B640EE" w:rsidRDefault="00BC5216" w:rsidP="003C6BB0">
            <w:pPr>
              <w:rPr>
                <w:szCs w:val="22"/>
              </w:rPr>
            </w:pPr>
          </w:p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 xml:space="preserve">В последние месяцы наблюдается повышение спроса на участие в проекте ВОИС, о чем свидетельствуют формальные запросы с выражением заинтересованности. </w:t>
            </w:r>
            <w:r w:rsidR="00EF0146">
              <w:t xml:space="preserve"> </w:t>
            </w:r>
            <w:r w:rsidRPr="00B640EE">
              <w:t xml:space="preserve">Руководители проекта ответили на эти запросы, допустив к участию в ряде учебных мероприятий ограниченное число наблюдателей из </w:t>
            </w:r>
            <w:r w:rsidRPr="00B640EE">
              <w:rPr>
                <w:color w:val="000000"/>
              </w:rPr>
              <w:t>трех стран (Кот-д</w:t>
            </w:r>
            <w:r w:rsidR="002B294D" w:rsidRPr="00B640EE">
              <w:rPr>
                <w:color w:val="000000"/>
              </w:rPr>
              <w:t>’</w:t>
            </w:r>
            <w:r w:rsidRPr="00B640EE">
              <w:rPr>
                <w:color w:val="000000"/>
              </w:rPr>
              <w:t>Ивуар, Марокко и Уганда).  Однако поскольку проект предусматривает подход, основанный на местных условиях каждой страны, и направлен на решение вопросов национального уровня, нецелесообразно включать в бюджет предлагаемого проекта все страны-кандидаты и учитывать их при определении его продолжительности.</w:t>
            </w:r>
          </w:p>
          <w:p w:rsidR="00BC5216" w:rsidRPr="00B640EE" w:rsidRDefault="00BC5216" w:rsidP="003C6BB0">
            <w:pPr>
              <w:rPr>
                <w:szCs w:val="22"/>
              </w:rPr>
            </w:pPr>
          </w:p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>Цель этапа II проекта заключается в обобщении и расширении первоначальных результатов с опорой на существующий импульс и опыт, полученный на этапе развития внутреннего аудиовизуального сектора стран, а также в повышении правовой определенности.</w:t>
            </w:r>
          </w:p>
          <w:p w:rsidR="00BC5216" w:rsidRPr="00B640EE" w:rsidRDefault="00BC5216" w:rsidP="003C6BB0">
            <w:pPr>
              <w:rPr>
                <w:szCs w:val="22"/>
              </w:rPr>
            </w:pPr>
          </w:p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>Этап II направлен на достижение следующих целей:</w:t>
            </w:r>
          </w:p>
          <w:p w:rsidR="00BC5216" w:rsidRPr="00B640EE" w:rsidRDefault="00BC5216" w:rsidP="003C6BB0">
            <w:pPr>
              <w:rPr>
                <w:szCs w:val="22"/>
              </w:rPr>
            </w:pPr>
          </w:p>
          <w:p w:rsidR="00BC5216" w:rsidRPr="00B640EE" w:rsidRDefault="00BE55D8" w:rsidP="00B333BF">
            <w:pPr>
              <w:numPr>
                <w:ilvl w:val="0"/>
                <w:numId w:val="9"/>
              </w:numPr>
              <w:tabs>
                <w:tab w:val="left" w:pos="851"/>
              </w:tabs>
              <w:ind w:left="357" w:firstLine="0"/>
              <w:rPr>
                <w:szCs w:val="22"/>
              </w:rPr>
            </w:pPr>
            <w:r w:rsidRPr="00B640EE">
              <w:rPr>
                <w:spacing w:val="5"/>
                <w:kern w:val="28"/>
              </w:rPr>
              <w:t xml:space="preserve">Стимулировать развитие аудиовизуального сектора стран-бенефициаров путем </w:t>
            </w:r>
            <w:r w:rsidRPr="00B640EE">
              <w:t xml:space="preserve">повышения профессионализма авторов и деятелей искусства и </w:t>
            </w:r>
            <w:r w:rsidRPr="00B640EE">
              <w:lastRenderedPageBreak/>
              <w:t>формирования у них представления о</w:t>
            </w:r>
            <w:r w:rsidRPr="00B640EE">
              <w:rPr>
                <w:spacing w:val="5"/>
                <w:kern w:val="28"/>
              </w:rPr>
              <w:t xml:space="preserve"> взаимодействии в рамках системы ИС в секторе</w:t>
            </w:r>
            <w:r w:rsidRPr="00B640EE">
              <w:t xml:space="preserve"> с целью эффективного управления активами на основе ИС при разработке планов/стратегий деятельности </w:t>
            </w:r>
            <w:r w:rsidRPr="00B640EE">
              <w:rPr>
                <w:spacing w:val="5"/>
                <w:kern w:val="28"/>
              </w:rPr>
              <w:t>на ключевых этапах процесса кинопроизводства;</w:t>
            </w:r>
          </w:p>
          <w:p w:rsidR="00BC5216" w:rsidRPr="00B640EE" w:rsidRDefault="00BE55D8" w:rsidP="00B333BF">
            <w:pPr>
              <w:numPr>
                <w:ilvl w:val="0"/>
                <w:numId w:val="9"/>
              </w:numPr>
              <w:tabs>
                <w:tab w:val="left" w:pos="851"/>
              </w:tabs>
              <w:ind w:left="357" w:firstLine="0"/>
              <w:rPr>
                <w:szCs w:val="22"/>
              </w:rPr>
            </w:pPr>
            <w:r w:rsidRPr="00B640EE">
              <w:t>Поддерживать разработку и распространение местного контента</w:t>
            </w:r>
            <w:r w:rsidRPr="00B640EE">
              <w:rPr>
                <w:spacing w:val="5"/>
                <w:kern w:val="28"/>
              </w:rPr>
              <w:t xml:space="preserve"> путем укрепления навыков, что</w:t>
            </w:r>
            <w:r w:rsidR="00BE186A">
              <w:rPr>
                <w:spacing w:val="5"/>
                <w:kern w:val="28"/>
              </w:rPr>
              <w:t>бы</w:t>
            </w:r>
            <w:r w:rsidRPr="00B640EE">
              <w:rPr>
                <w:spacing w:val="5"/>
                <w:kern w:val="28"/>
              </w:rPr>
              <w:t xml:space="preserve"> обеспечит</w:t>
            </w:r>
            <w:r w:rsidR="00BE186A">
              <w:rPr>
                <w:spacing w:val="5"/>
                <w:kern w:val="28"/>
              </w:rPr>
              <w:t>ь</w:t>
            </w:r>
            <w:r w:rsidRPr="00B640EE">
              <w:rPr>
                <w:spacing w:val="5"/>
                <w:kern w:val="28"/>
              </w:rPr>
              <w:t xml:space="preserve"> </w:t>
            </w:r>
            <w:r w:rsidRPr="00B640EE">
              <w:t>малым и средним предприятиям</w:t>
            </w:r>
            <w:r w:rsidRPr="00B640EE">
              <w:rPr>
                <w:spacing w:val="5"/>
                <w:kern w:val="28"/>
              </w:rPr>
              <w:t xml:space="preserve"> поток доходов на местных и международных рынках;</w:t>
            </w:r>
          </w:p>
          <w:p w:rsidR="00BC5216" w:rsidRPr="00B640EE" w:rsidRDefault="00BE55D8" w:rsidP="00B333BF">
            <w:pPr>
              <w:numPr>
                <w:ilvl w:val="0"/>
                <w:numId w:val="9"/>
              </w:numPr>
              <w:tabs>
                <w:tab w:val="left" w:pos="851"/>
              </w:tabs>
              <w:ind w:left="357" w:firstLine="0"/>
              <w:rPr>
                <w:szCs w:val="22"/>
              </w:rPr>
            </w:pPr>
            <w:r w:rsidRPr="00B640EE">
              <w:t>Повысить доходность сделок на основе авторского права за счет совершенствования навыков управления активами на основе ИС и нормативно-правовой базы, а также</w:t>
            </w:r>
            <w:r w:rsidRPr="00B640EE">
              <w:rPr>
                <w:spacing w:val="5"/>
                <w:kern w:val="28"/>
              </w:rPr>
              <w:t xml:space="preserve"> укрепления институционального потенциала</w:t>
            </w:r>
            <w:r w:rsidRPr="00B640EE">
              <w:t xml:space="preserve"> с помощью, в частности, развития инфраструктуры;  и</w:t>
            </w:r>
          </w:p>
          <w:p w:rsidR="00BC5216" w:rsidRPr="00B640EE" w:rsidRDefault="00BE55D8" w:rsidP="00B333BF">
            <w:pPr>
              <w:numPr>
                <w:ilvl w:val="0"/>
                <w:numId w:val="9"/>
              </w:numPr>
              <w:tabs>
                <w:tab w:val="left" w:pos="851"/>
              </w:tabs>
              <w:ind w:left="357" w:firstLine="0"/>
              <w:rPr>
                <w:szCs w:val="22"/>
              </w:rPr>
            </w:pPr>
            <w:r w:rsidRPr="00B640EE">
              <w:t>Обеспечить уважение к авторским правам.</w:t>
            </w:r>
          </w:p>
          <w:p w:rsidR="00BC5216" w:rsidRPr="00B640EE" w:rsidRDefault="00BC5216" w:rsidP="003C6BB0">
            <w:pPr>
              <w:ind w:left="720"/>
              <w:rPr>
                <w:szCs w:val="22"/>
              </w:rPr>
            </w:pPr>
          </w:p>
        </w:tc>
      </w:tr>
      <w:tr w:rsidR="00BC5216" w:rsidRPr="00B640EE" w:rsidTr="003C6BB0">
        <w:tc>
          <w:tcPr>
            <w:tcW w:w="9288" w:type="dxa"/>
            <w:gridSpan w:val="2"/>
          </w:tcPr>
          <w:p w:rsidR="00BC5216" w:rsidRPr="00B640EE" w:rsidRDefault="00BC5216" w:rsidP="003C6BB0">
            <w:pPr>
              <w:rPr>
                <w:b/>
                <w:szCs w:val="22"/>
              </w:rPr>
            </w:pPr>
          </w:p>
          <w:p w:rsidR="00BC5216" w:rsidRPr="00B640EE" w:rsidRDefault="00BE55D8" w:rsidP="00BC5216">
            <w:pPr>
              <w:pStyle w:val="ListParagraph"/>
              <w:numPr>
                <w:ilvl w:val="1"/>
                <w:numId w:val="7"/>
              </w:numPr>
              <w:rPr>
                <w:b/>
                <w:szCs w:val="22"/>
              </w:rPr>
            </w:pPr>
            <w:r w:rsidRPr="00B640EE">
              <w:rPr>
                <w:b/>
              </w:rPr>
              <w:t>Стратегия реализации этапа II</w:t>
            </w:r>
          </w:p>
          <w:p w:rsidR="00BC5216" w:rsidRPr="00B640EE" w:rsidRDefault="00BC5216" w:rsidP="003C6BB0">
            <w:pPr>
              <w:pStyle w:val="ListParagraph"/>
              <w:rPr>
                <w:szCs w:val="22"/>
                <w:u w:val="single"/>
              </w:rPr>
            </w:pPr>
          </w:p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>На этапе II проекта планируется:</w:t>
            </w:r>
          </w:p>
          <w:p w:rsidR="00BC5216" w:rsidRPr="00B640EE" w:rsidRDefault="00BC5216" w:rsidP="003C6BB0">
            <w:pPr>
              <w:rPr>
                <w:szCs w:val="22"/>
              </w:rPr>
            </w:pPr>
          </w:p>
          <w:p w:rsidR="00BC5216" w:rsidRPr="00B640EE" w:rsidRDefault="00BE55D8" w:rsidP="000578E9">
            <w:pPr>
              <w:numPr>
                <w:ilvl w:val="0"/>
                <w:numId w:val="13"/>
              </w:numPr>
              <w:tabs>
                <w:tab w:val="left" w:pos="851"/>
              </w:tabs>
              <w:ind w:left="350" w:firstLine="10"/>
              <w:rPr>
                <w:szCs w:val="22"/>
              </w:rPr>
            </w:pPr>
            <w:r w:rsidRPr="00B640EE">
              <w:t xml:space="preserve">принять подход к осуществлению с учетом страновой специфики </w:t>
            </w:r>
            <w:r w:rsidR="00BE186A">
              <w:t xml:space="preserve">для </w:t>
            </w:r>
            <w:r w:rsidRPr="00B640EE">
              <w:t>предоставления индивидуальной поддержки каждой стране-бенефициару;</w:t>
            </w:r>
          </w:p>
          <w:p w:rsidR="00BC5216" w:rsidRPr="00B640EE" w:rsidRDefault="00BE55D8" w:rsidP="00B333BF">
            <w:pPr>
              <w:numPr>
                <w:ilvl w:val="0"/>
                <w:numId w:val="13"/>
              </w:numPr>
              <w:tabs>
                <w:tab w:val="left" w:pos="851"/>
              </w:tabs>
              <w:ind w:left="357" w:firstLine="0"/>
              <w:rPr>
                <w:szCs w:val="22"/>
              </w:rPr>
            </w:pPr>
            <w:r w:rsidRPr="00B640EE">
              <w:t>расширить число участников на региональном и межстрановом уровне для стимулирования эффективного обмена опытом и объединения усилий;</w:t>
            </w:r>
          </w:p>
          <w:p w:rsidR="00BC5216" w:rsidRPr="00B640EE" w:rsidRDefault="00BE55D8" w:rsidP="00B333BF">
            <w:pPr>
              <w:numPr>
                <w:ilvl w:val="0"/>
                <w:numId w:val="13"/>
              </w:numPr>
              <w:tabs>
                <w:tab w:val="left" w:pos="851"/>
              </w:tabs>
              <w:ind w:left="357" w:firstLine="0"/>
              <w:rPr>
                <w:szCs w:val="22"/>
              </w:rPr>
            </w:pPr>
            <w:r w:rsidRPr="00B640EE">
              <w:t>ориентироваться на существующие страны-бенефициары:  Сенегал, Буркина-Фасо и Кению;  и</w:t>
            </w:r>
          </w:p>
          <w:p w:rsidR="00BC5216" w:rsidRPr="00B640EE" w:rsidRDefault="00BE55D8" w:rsidP="00B333BF">
            <w:pPr>
              <w:numPr>
                <w:ilvl w:val="0"/>
                <w:numId w:val="13"/>
              </w:numPr>
              <w:tabs>
                <w:tab w:val="left" w:pos="851"/>
              </w:tabs>
              <w:ind w:left="357" w:firstLine="0"/>
              <w:rPr>
                <w:szCs w:val="22"/>
              </w:rPr>
            </w:pPr>
            <w:r w:rsidRPr="00B640EE">
              <w:t xml:space="preserve">включить в стратегию осуществления еще две страны </w:t>
            </w:r>
            <w:r w:rsidRPr="00B640EE">
              <w:rPr>
                <w:rtl/>
                <w:cs/>
              </w:rPr>
              <w:t xml:space="preserve">– </w:t>
            </w:r>
            <w:r w:rsidRPr="00B640EE">
              <w:t>Марокко и Кот-д</w:t>
            </w:r>
            <w:r w:rsidR="002B294D" w:rsidRPr="00B640EE">
              <w:t>’</w:t>
            </w:r>
            <w:r w:rsidRPr="00B640EE">
              <w:t>Ивуар.</w:t>
            </w:r>
          </w:p>
          <w:p w:rsidR="00BC5216" w:rsidRPr="00B640EE" w:rsidRDefault="00BC5216" w:rsidP="003C6BB0">
            <w:pPr>
              <w:ind w:left="720"/>
              <w:rPr>
                <w:szCs w:val="22"/>
              </w:rPr>
            </w:pPr>
          </w:p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 xml:space="preserve">Причиной выбора этих двух дополнительных стран стало </w:t>
            </w:r>
            <w:r w:rsidR="00BE186A">
              <w:t>их участие</w:t>
            </w:r>
            <w:r w:rsidRPr="00B640EE">
              <w:t xml:space="preserve"> в качестве наблюдателей на этапе I проекта, а также достигнутые ими значительные успехи в разработке политической и институциональной базы в аудиовизуальном секторе, что позволит укрепить межстрановой обмен опытом и передовыми методами. </w:t>
            </w:r>
            <w:r w:rsidR="00EF0146">
              <w:t xml:space="preserve"> </w:t>
            </w:r>
            <w:r w:rsidRPr="00B640EE">
              <w:t>В ходе осуществления этапа I специалисты-практики регулярно просили о предоставлении возможности воспользоваться методами и опытом более зрелых рынков Африки.</w:t>
            </w:r>
          </w:p>
          <w:p w:rsidR="00BC5216" w:rsidRPr="00B640EE" w:rsidRDefault="00BC5216" w:rsidP="003C6BB0">
            <w:pPr>
              <w:rPr>
                <w:szCs w:val="22"/>
              </w:rPr>
            </w:pPr>
          </w:p>
          <w:p w:rsidR="00BC5216" w:rsidRPr="00B640EE" w:rsidRDefault="00BE55D8" w:rsidP="000578E9">
            <w:pPr>
              <w:rPr>
                <w:szCs w:val="22"/>
              </w:rPr>
            </w:pPr>
            <w:r w:rsidRPr="00B640EE">
              <w:t xml:space="preserve">Цели проекта будут достигаться путем сочетания мероприятий по созданию потенциала, обучения на местах, разработки/использования соответствующих учебных материалов, включая программу дистанционного обучения </w:t>
            </w:r>
            <w:r w:rsidR="002B294D" w:rsidRPr="00B640EE">
              <w:t>«</w:t>
            </w:r>
            <w:r w:rsidRPr="00B640EE">
              <w:rPr>
                <w:i/>
              </w:rPr>
              <w:t>Авторское право для работников африканской киноиндустрии</w:t>
            </w:r>
            <w:r w:rsidR="002B294D" w:rsidRPr="00B640EE">
              <w:rPr>
                <w:i/>
              </w:rPr>
              <w:t>»</w:t>
            </w:r>
            <w:r w:rsidRPr="00B640EE">
              <w:t xml:space="preserve">.  В рамках этапа II будет завершена начальная ступень программы с использованием методики дистанционного обучения; </w:t>
            </w:r>
            <w:r w:rsidR="00124B96" w:rsidRPr="00B640EE">
              <w:t xml:space="preserve"> </w:t>
            </w:r>
            <w:r w:rsidR="00BE186A">
              <w:t>в целях</w:t>
            </w:r>
            <w:r w:rsidRPr="00B640EE">
              <w:t xml:space="preserve"> обогащения содержания учебного курса </w:t>
            </w:r>
            <w:r w:rsidR="00BE186A">
              <w:t xml:space="preserve">с использованием Интернета </w:t>
            </w:r>
            <w:r w:rsidRPr="00B640EE">
              <w:t xml:space="preserve">предполагается включить в него дополнительные материалы с новых учебных практикумов.  Кроме того, для придания окончательной формы компоненту дистанционного обучения в рамках проекта будет разработан отдельный модуль по авторскому праву для юристов, работающих в аудиовизуальном секторе.  Этот модуль будет ориентирован </w:t>
            </w:r>
            <w:r w:rsidRPr="00B640EE">
              <w:rPr>
                <w:kern w:val="3"/>
              </w:rPr>
              <w:t>на юристов, специализирующихся на авторском праве, которым необходимо повысить свои профессиональные навыки для содействия местным заинтересованным сторонам в аудиовизуальном секторе Африки.</w:t>
            </w:r>
          </w:p>
          <w:p w:rsidR="00BC5216" w:rsidRPr="00B640EE" w:rsidRDefault="00BC5216" w:rsidP="003C6BB0">
            <w:pPr>
              <w:rPr>
                <w:szCs w:val="22"/>
              </w:rPr>
            </w:pPr>
          </w:p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>Реализация проекта будет по-прежнему основана на сотрудничестве с внешними африканскими и международными консультантами, обладающими признанным профессиональным опытом, специализированными организациями, участвующими в деятельности аудиовизуального сектора, и другими заинтересованными сторонами.  Для объединения профессионалов киноиндустрии в странах-бенефициарах в сеть будет создана специальная веб-страница, которая будет регулярно обновляться.  На веб-странице будет предоставляться правовая информация, имеющая отношение к аудиовизуальному сектору и проекту, а также другая рыночная информация.</w:t>
            </w:r>
          </w:p>
          <w:p w:rsidR="00BC5216" w:rsidRPr="00B640EE" w:rsidRDefault="00BC5216" w:rsidP="003C6BB0">
            <w:pPr>
              <w:rPr>
                <w:szCs w:val="22"/>
              </w:rPr>
            </w:pPr>
          </w:p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 xml:space="preserve">Проект обеспечит эффективную координацию со странами-участницами путем сотрудничества с несколькими </w:t>
            </w:r>
            <w:r w:rsidR="00BE186A">
              <w:t>отобранными</w:t>
            </w:r>
            <w:r w:rsidRPr="00B640EE">
              <w:t xml:space="preserve"> координационными центрами.  Считается, что для успешного завершения проекта таки</w:t>
            </w:r>
            <w:r w:rsidR="00BE186A">
              <w:t>м</w:t>
            </w:r>
            <w:r w:rsidRPr="00B640EE">
              <w:t xml:space="preserve"> центр</w:t>
            </w:r>
            <w:r w:rsidR="00BE186A">
              <w:t>ам</w:t>
            </w:r>
            <w:r w:rsidRPr="00B640EE">
              <w:t xml:space="preserve"> </w:t>
            </w:r>
            <w:r w:rsidR="00BE186A">
              <w:t>необходима</w:t>
            </w:r>
            <w:r w:rsidRPr="00B640EE">
              <w:t xml:space="preserve"> баз</w:t>
            </w:r>
            <w:r w:rsidR="00BE186A">
              <w:t>а</w:t>
            </w:r>
            <w:r w:rsidRPr="00B640EE">
              <w:t>, включающ</w:t>
            </w:r>
            <w:r w:rsidR="00BE186A">
              <w:t>ая</w:t>
            </w:r>
            <w:r w:rsidRPr="00B640EE">
              <w:t xml:space="preserve"> глубокие знания о проекте, стабильные рабочие отношения с заинтересованными сторонами в аудиовизуальном секторе региона, навыки выступлений и управления проектами.  В начале этапа II будут разработаны стратегии осуществления на страновом уровне, которые станут основой для его осуществления.  При необходимости будут проводиться поездки с целью сбора информации, и стратегия будет регулярно обновляться.</w:t>
            </w:r>
          </w:p>
          <w:p w:rsidR="00BC5216" w:rsidRPr="00B640EE" w:rsidRDefault="00BC5216" w:rsidP="00A13CA0">
            <w:pPr>
              <w:rPr>
                <w:szCs w:val="22"/>
              </w:rPr>
            </w:pPr>
          </w:p>
          <w:p w:rsidR="00A13CA0" w:rsidRPr="00B640EE" w:rsidRDefault="00A13CA0" w:rsidP="00A13CA0">
            <w:pPr>
              <w:rPr>
                <w:szCs w:val="22"/>
              </w:rPr>
            </w:pPr>
          </w:p>
          <w:p w:rsidR="00BC5216" w:rsidRPr="00B640EE" w:rsidRDefault="00BE55D8" w:rsidP="00A13CA0">
            <w:pPr>
              <w:pStyle w:val="Heading3"/>
              <w:spacing w:before="0" w:after="0"/>
              <w:rPr>
                <w:bCs w:val="0"/>
                <w:szCs w:val="22"/>
              </w:rPr>
            </w:pPr>
            <w:r w:rsidRPr="00B640EE">
              <w:t>Вид деятельности 1:  Исследование</w:t>
            </w:r>
          </w:p>
          <w:p w:rsidR="00BC5216" w:rsidRPr="00B640EE" w:rsidRDefault="00BC5216" w:rsidP="003C6BB0">
            <w:pPr>
              <w:rPr>
                <w:szCs w:val="22"/>
              </w:rPr>
            </w:pPr>
          </w:p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>На этапе I было обнаружено отсутствие статистических данных по авторскому праву в аудиовизуальном секторе стран-бенефициаров.  Поэтому предлагается провести исследование целесообразности для определения существующих источников информации, оценки потребностей рынка и предложения устойчивого подхода к сбору данных, удовлетворяющего требованиям прозрачности формирующейся структуры аудиовизуального рынка.</w:t>
            </w:r>
          </w:p>
          <w:p w:rsidR="00BC5216" w:rsidRPr="00B640EE" w:rsidRDefault="00BC5216" w:rsidP="003C6BB0">
            <w:pPr>
              <w:rPr>
                <w:szCs w:val="22"/>
              </w:rPr>
            </w:pPr>
          </w:p>
          <w:p w:rsidR="00A13CA0" w:rsidRPr="00B640EE" w:rsidRDefault="00A13CA0" w:rsidP="003C6BB0">
            <w:pPr>
              <w:rPr>
                <w:szCs w:val="22"/>
              </w:rPr>
            </w:pPr>
          </w:p>
          <w:p w:rsidR="00BC5216" w:rsidRPr="00B640EE" w:rsidRDefault="00BE55D8" w:rsidP="003C6BB0">
            <w:pPr>
              <w:rPr>
                <w:bCs/>
                <w:szCs w:val="22"/>
                <w:u w:val="single"/>
              </w:rPr>
            </w:pPr>
            <w:r w:rsidRPr="00B640EE">
              <w:rPr>
                <w:u w:val="single"/>
              </w:rPr>
              <w:t>Вид деятельности 2:  Обучение и повышение квалификации:  инвестирование в людей</w:t>
            </w:r>
          </w:p>
          <w:p w:rsidR="00BC5216" w:rsidRPr="00B640EE" w:rsidRDefault="00BC5216" w:rsidP="003C6BB0">
            <w:pPr>
              <w:rPr>
                <w:szCs w:val="22"/>
              </w:rPr>
            </w:pPr>
          </w:p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 xml:space="preserve">Учебные и информационные мероприятия будут проводиться и адаптироваться в соответствии с уровнем осведомленности и со способностью местных заинтересованных сторон стратегически использовать авторское право, в частности, в </w:t>
            </w:r>
            <w:r w:rsidR="00BE186A">
              <w:t>применении к</w:t>
            </w:r>
            <w:r w:rsidRPr="00B640EE">
              <w:t xml:space="preserve"> новы</w:t>
            </w:r>
            <w:r w:rsidR="00BE186A">
              <w:t>м</w:t>
            </w:r>
            <w:r w:rsidRPr="00B640EE">
              <w:t xml:space="preserve"> цифровы</w:t>
            </w:r>
            <w:r w:rsidR="00BE186A">
              <w:t>м</w:t>
            </w:r>
            <w:r w:rsidRPr="00B640EE">
              <w:t xml:space="preserve"> технологи</w:t>
            </w:r>
            <w:r w:rsidR="00BE186A">
              <w:t>ям</w:t>
            </w:r>
            <w:r w:rsidRPr="00B640EE">
              <w:t>, таки</w:t>
            </w:r>
            <w:r w:rsidR="00BE186A">
              <w:t>м</w:t>
            </w:r>
            <w:r w:rsidRPr="00B640EE">
              <w:t xml:space="preserve"> как цифровое телевидение и Интернет, с тем чтобы нормативная база ИС позволяла получать доходы, обеспечивая экономическую поддержку местной отрасли.  В этой деятельности будут участвовать и специалисты аудиовизуальной отрасли из новых стран-бенефициаров.  На этапе II будут использоваться материалы прошедших учебных мероприятий; </w:t>
            </w:r>
            <w:r w:rsidR="00124B96" w:rsidRPr="00B640EE">
              <w:t xml:space="preserve"> </w:t>
            </w:r>
            <w:r w:rsidRPr="00B640EE">
              <w:t>он будет направлен на обобщение опыта и знаний основных специалистов, участвующих в производственно-сбытовой цепи аудиовизуального сектора, например, режиссеров, продюсеров, дистрибьюторов, при этом предусматривается более прямое и продуктивное участие новых конкретных категорий заинтересованных сторон, таких как:</w:t>
            </w:r>
          </w:p>
          <w:p w:rsidR="00BC5216" w:rsidRPr="00B640EE" w:rsidRDefault="00BC5216" w:rsidP="003C6BB0">
            <w:pPr>
              <w:rPr>
                <w:szCs w:val="22"/>
              </w:rPr>
            </w:pPr>
          </w:p>
          <w:p w:rsidR="00BC5216" w:rsidRPr="00B640EE" w:rsidRDefault="00BE55D8" w:rsidP="00BC5216">
            <w:pPr>
              <w:numPr>
                <w:ilvl w:val="0"/>
                <w:numId w:val="11"/>
              </w:numPr>
              <w:rPr>
                <w:szCs w:val="22"/>
              </w:rPr>
            </w:pPr>
            <w:r w:rsidRPr="00B640EE">
              <w:t>адвокаты и прокуроры;</w:t>
            </w:r>
          </w:p>
          <w:p w:rsidR="00BC5216" w:rsidRPr="00B640EE" w:rsidRDefault="00BE55D8" w:rsidP="00BC5216">
            <w:pPr>
              <w:numPr>
                <w:ilvl w:val="0"/>
                <w:numId w:val="11"/>
              </w:numPr>
              <w:rPr>
                <w:szCs w:val="22"/>
              </w:rPr>
            </w:pPr>
            <w:r w:rsidRPr="00B640EE">
              <w:t>вещательные организации и регуляторы вещания;</w:t>
            </w:r>
          </w:p>
          <w:p w:rsidR="00BC5216" w:rsidRPr="00B640EE" w:rsidRDefault="00BE55D8" w:rsidP="00BC5216">
            <w:pPr>
              <w:numPr>
                <w:ilvl w:val="0"/>
                <w:numId w:val="11"/>
              </w:numPr>
              <w:rPr>
                <w:szCs w:val="22"/>
              </w:rPr>
            </w:pPr>
            <w:r w:rsidRPr="00B640EE">
              <w:t>учреждения финансового и банковского сектора;  и</w:t>
            </w:r>
          </w:p>
          <w:p w:rsidR="00BC5216" w:rsidRPr="00B640EE" w:rsidRDefault="00BE55D8" w:rsidP="00BC5216">
            <w:pPr>
              <w:numPr>
                <w:ilvl w:val="0"/>
                <w:numId w:val="11"/>
              </w:numPr>
              <w:rPr>
                <w:szCs w:val="22"/>
              </w:rPr>
            </w:pPr>
            <w:r w:rsidRPr="00B640EE">
              <w:rPr>
                <w:color w:val="000000"/>
              </w:rPr>
              <w:t>организации коллективного управления правами и их члены.</w:t>
            </w:r>
          </w:p>
          <w:p w:rsidR="00BC5216" w:rsidRPr="00B640EE" w:rsidRDefault="00BC5216" w:rsidP="003C6BB0">
            <w:pPr>
              <w:rPr>
                <w:szCs w:val="22"/>
              </w:rPr>
            </w:pPr>
          </w:p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 xml:space="preserve">Одна из целей </w:t>
            </w:r>
            <w:r w:rsidR="00BE186A">
              <w:t>состоит</w:t>
            </w:r>
            <w:r w:rsidRPr="00B640EE">
              <w:t xml:space="preserve"> в том, чтобы научить специалистов-практиков эффективно вести переговоры о финансовых условиях и требованиях, повысить их авторитет и заметность в глазах финансового сектора. </w:t>
            </w:r>
            <w:r w:rsidR="00EF0146">
              <w:t xml:space="preserve"> </w:t>
            </w:r>
            <w:r w:rsidRPr="00B640EE">
              <w:t xml:space="preserve">На занятиях будут использоваться тематические исследования местного и международного уровня, посвященные таким вопросам, как документирование авторского права, договоры и сделки на основе авторского права, соглашения о предпродаже и финансовые соглашения, трансграничные соглашения, предоставление лицензий на аудиовизуальные произведения вещательным компаниям и Интернет-платформам, понимание законной производственно-сбытовой цепи, вторичные рынки (частные магазины и фирмы видеозаписи) и т.д. </w:t>
            </w:r>
            <w:r w:rsidR="00EF0146">
              <w:t xml:space="preserve"> </w:t>
            </w:r>
            <w:r w:rsidRPr="00B640EE">
              <w:t>Учебные занятия будут по возможности проводиться на региональном уровне, в сельских районах стран, где поддержке специалистов-практиков аудиовизуального сектора уделяется наименьшее внимание.</w:t>
            </w:r>
          </w:p>
          <w:p w:rsidR="00A13CA0" w:rsidRPr="00B640EE" w:rsidRDefault="00A13CA0" w:rsidP="003C6BB0">
            <w:pPr>
              <w:rPr>
                <w:szCs w:val="22"/>
              </w:rPr>
            </w:pPr>
          </w:p>
          <w:p w:rsidR="00BC5216" w:rsidRPr="00B640EE" w:rsidRDefault="00BE55D8" w:rsidP="00A13CA0">
            <w:pPr>
              <w:rPr>
                <w:bCs/>
                <w:szCs w:val="22"/>
                <w:u w:val="single"/>
              </w:rPr>
            </w:pPr>
            <w:r w:rsidRPr="00B640EE">
              <w:rPr>
                <w:u w:val="single"/>
              </w:rPr>
              <w:t>Вид деятельности 3:  Поддержка базы и инфраструктуры</w:t>
            </w:r>
          </w:p>
          <w:p w:rsidR="00BC5216" w:rsidRPr="00B640EE" w:rsidRDefault="00BC5216" w:rsidP="003C6BB0">
            <w:pPr>
              <w:rPr>
                <w:szCs w:val="22"/>
              </w:rPr>
            </w:pPr>
          </w:p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 xml:space="preserve">Одна из главных целей проекта состоит в том, чтобы </w:t>
            </w:r>
            <w:r w:rsidR="002B294D" w:rsidRPr="00B640EE">
              <w:t>«</w:t>
            </w:r>
            <w:r w:rsidRPr="00B640EE">
              <w:t>повысить доходность за счет совершенствования нормативной базы и инфраструктуры для управления сделками на основе прав ИС</w:t>
            </w:r>
            <w:r w:rsidR="002B294D" w:rsidRPr="00B640EE">
              <w:t>»</w:t>
            </w:r>
            <w:r w:rsidRPr="00B640EE">
              <w:t xml:space="preserve">.  На сегодняшний день творческая деятельность не приносит авторам и исполнителям в аудиовизуальном секторе гарантированных эффективных потоков дохода.  Основная проблема заключается в неспособности выгодно управлять активами на основе авторского права на множестве платформ и цифровых платформах, а также в недостаточно сильной позиции авторов при ведении переговоров с пользователями, такими как вещательные компании.  В исследовании </w:t>
            </w:r>
            <w:r w:rsidR="002B294D" w:rsidRPr="00B640EE">
              <w:t>«</w:t>
            </w:r>
            <w:r w:rsidRPr="00B640EE">
              <w:rPr>
                <w:i/>
              </w:rPr>
              <w:t>О коллективных переговорах о правах и коллективном управлении правами в аудиовизуальном секторе</w:t>
            </w:r>
            <w:r w:rsidR="002B294D" w:rsidRPr="00B640EE">
              <w:t>»</w:t>
            </w:r>
            <w:r w:rsidRPr="00B640EE">
              <w:t xml:space="preserve"> (документ CDIP /14/INF/2), опубликованном по адресу: </w:t>
            </w:r>
            <w:r w:rsidR="00124B96" w:rsidRPr="00B640EE">
              <w:t xml:space="preserve"> </w:t>
            </w:r>
            <w:hyperlink r:id="rId18" w:history="1">
              <w:r w:rsidRPr="00B640EE">
                <w:rPr>
                  <w:u w:val="single"/>
                </w:rPr>
                <w:t>http://www.wipo.int/edocs/mdocs/mdocs/EN/cdip_14/cdip_14_inf_2.pdf</w:t>
              </w:r>
            </w:hyperlink>
            <w:r w:rsidRPr="00B640EE">
              <w:t>, указано, что переговоры о заключении договоров могут вестись различными путями:</w:t>
            </w:r>
          </w:p>
          <w:p w:rsidR="009F4605" w:rsidRPr="00B640EE" w:rsidRDefault="009F4605" w:rsidP="003C6BB0">
            <w:pPr>
              <w:rPr>
                <w:bCs/>
                <w:szCs w:val="22"/>
              </w:rPr>
            </w:pPr>
          </w:p>
          <w:p w:rsidR="00BC5216" w:rsidRPr="00B640EE" w:rsidRDefault="00BE55D8" w:rsidP="009F4605">
            <w:pPr>
              <w:pStyle w:val="Default"/>
              <w:spacing w:after="148"/>
              <w:ind w:left="567"/>
              <w:rPr>
                <w:sz w:val="22"/>
                <w:szCs w:val="22"/>
              </w:rPr>
            </w:pPr>
            <w:r w:rsidRPr="00B640EE">
              <w:rPr>
                <w:sz w:val="22"/>
              </w:rPr>
              <w:t>(i)</w:t>
            </w:r>
            <w:r w:rsidRPr="00B640EE">
              <w:rPr>
                <w:sz w:val="22"/>
              </w:rPr>
              <w:tab/>
              <w:t>индивидуально между автором или исполнителем и продюсером путем заключения договоров;</w:t>
            </w:r>
          </w:p>
          <w:p w:rsidR="00BC5216" w:rsidRPr="00B640EE" w:rsidRDefault="00BE55D8" w:rsidP="009F4605">
            <w:pPr>
              <w:pStyle w:val="Default"/>
              <w:spacing w:after="148"/>
              <w:ind w:left="567"/>
              <w:rPr>
                <w:sz w:val="22"/>
                <w:szCs w:val="22"/>
              </w:rPr>
            </w:pPr>
            <w:r w:rsidRPr="00B640EE">
              <w:rPr>
                <w:sz w:val="22"/>
              </w:rPr>
              <w:t>(ii) на коллективной основе между ассоциациями и гильдиями, представляющими стороны;  и</w:t>
            </w:r>
          </w:p>
          <w:p w:rsidR="00BC5216" w:rsidRPr="00B640EE" w:rsidRDefault="00BE55D8" w:rsidP="009F4605">
            <w:pPr>
              <w:pStyle w:val="Default"/>
              <w:spacing w:after="148"/>
              <w:ind w:left="567"/>
              <w:rPr>
                <w:sz w:val="22"/>
                <w:szCs w:val="22"/>
              </w:rPr>
            </w:pPr>
            <w:r w:rsidRPr="00B640EE">
              <w:rPr>
                <w:sz w:val="22"/>
              </w:rPr>
              <w:t>(iii)</w:t>
            </w:r>
            <w:r w:rsidRPr="00B640EE">
              <w:rPr>
                <w:sz w:val="22"/>
              </w:rPr>
              <w:tab/>
              <w:t>организациями коллективного управления (ОКУ), представляющими правообладателей.</w:t>
            </w:r>
          </w:p>
          <w:p w:rsidR="00BC5216" w:rsidRPr="00B640EE" w:rsidRDefault="00BE55D8" w:rsidP="003C6BB0">
            <w:pPr>
              <w:pStyle w:val="Default"/>
              <w:rPr>
                <w:bCs/>
                <w:sz w:val="22"/>
                <w:szCs w:val="22"/>
              </w:rPr>
            </w:pPr>
            <w:r w:rsidRPr="00B640EE">
              <w:rPr>
                <w:sz w:val="22"/>
              </w:rPr>
              <w:t xml:space="preserve">Делается вывод, что проект должен быть направлен на совершенствование комбинации индивидуального пользования и коллективного управления правами, с признанием того, что в аудиовизуальной отрасли ряд прав на практике находится в распоряжении кинематографистов, что позволяет упростить задачу финансирования и коммерческого использования аудиовизуального контента. </w:t>
            </w:r>
            <w:r w:rsidR="00EF0146">
              <w:rPr>
                <w:sz w:val="22"/>
              </w:rPr>
              <w:t xml:space="preserve"> </w:t>
            </w:r>
            <w:r w:rsidRPr="00B640EE">
              <w:rPr>
                <w:sz w:val="22"/>
              </w:rPr>
              <w:t>В ходе учебных мероприятий будут представлены имеющиеся средства, передовые методы и руководящие принципы лицензирования и ведения коллективных переговоров, включая рекомендуемые типовые положения договоров, в том числе в следующих направлениях:</w:t>
            </w:r>
          </w:p>
          <w:p w:rsidR="00BC5216" w:rsidRPr="00B640EE" w:rsidRDefault="00BC5216" w:rsidP="003C6BB0">
            <w:pPr>
              <w:pStyle w:val="Default"/>
              <w:rPr>
                <w:sz w:val="22"/>
                <w:szCs w:val="22"/>
              </w:rPr>
            </w:pPr>
          </w:p>
          <w:p w:rsidR="00BC5216" w:rsidRPr="00B640EE" w:rsidRDefault="00BE55D8" w:rsidP="007B0961">
            <w:pPr>
              <w:pStyle w:val="Default"/>
              <w:spacing w:after="148"/>
              <w:ind w:left="567"/>
              <w:rPr>
                <w:sz w:val="22"/>
                <w:szCs w:val="22"/>
              </w:rPr>
            </w:pPr>
            <w:r w:rsidRPr="00B640EE">
              <w:rPr>
                <w:sz w:val="22"/>
              </w:rPr>
              <w:t>(i)</w:t>
            </w:r>
            <w:r w:rsidRPr="00B640EE">
              <w:tab/>
            </w:r>
            <w:r w:rsidRPr="00B640EE">
              <w:rPr>
                <w:i/>
                <w:sz w:val="22"/>
              </w:rPr>
              <w:t>Включение в положения договоров между авторами аудиовизуальных произведений, работниками и финансирующими партнерами соответствующих механизмов и правил ведения деятельности.</w:t>
            </w:r>
            <w:r w:rsidRPr="00B640EE">
              <w:rPr>
                <w:sz w:val="22"/>
              </w:rPr>
              <w:t xml:space="preserve">  Тщательно проработанные договоры обеспечивают эффективное коммерческое использование и справедливое вознаграждение;</w:t>
            </w:r>
          </w:p>
          <w:p w:rsidR="00BC5216" w:rsidRPr="00B640EE" w:rsidRDefault="00BE55D8" w:rsidP="00863D4D">
            <w:pPr>
              <w:pStyle w:val="Default"/>
              <w:spacing w:after="148"/>
              <w:ind w:left="567"/>
              <w:rPr>
                <w:sz w:val="22"/>
                <w:szCs w:val="22"/>
              </w:rPr>
            </w:pPr>
            <w:r w:rsidRPr="00B640EE">
              <w:rPr>
                <w:sz w:val="22"/>
              </w:rPr>
              <w:t>(ii)</w:t>
            </w:r>
            <w:r w:rsidRPr="00B640EE">
              <w:tab/>
            </w:r>
            <w:r w:rsidRPr="00B640EE">
              <w:rPr>
                <w:i/>
                <w:sz w:val="22"/>
              </w:rPr>
              <w:t>Разработка или укрепление средств коллективного управления аудиовизуальными правами для конкретных сфер применения,</w:t>
            </w:r>
            <w:r w:rsidRPr="00B640EE">
              <w:t xml:space="preserve"> </w:t>
            </w:r>
            <w:r w:rsidRPr="00B640EE">
              <w:rPr>
                <w:sz w:val="22"/>
              </w:rPr>
              <w:t>обеспечение справедливого вознаграждения творческих работников, включая укрепление механизмов управления данными, предназначенных для их сбора и распределения.  Такие сферы коллективного управления включают телевизионное вещание, права ретрансляции по кабельным каналам, схемы копирования для личных нужд и публичные представления небольшого масштаба;  и</w:t>
            </w:r>
          </w:p>
          <w:p w:rsidR="00BC5216" w:rsidRPr="00B640EE" w:rsidRDefault="00BE55D8" w:rsidP="008A38C6">
            <w:pPr>
              <w:pStyle w:val="Default"/>
              <w:ind w:left="567"/>
              <w:rPr>
                <w:bCs/>
                <w:sz w:val="22"/>
                <w:szCs w:val="22"/>
              </w:rPr>
            </w:pPr>
            <w:r w:rsidRPr="00B640EE">
              <w:rPr>
                <w:sz w:val="22"/>
              </w:rPr>
              <w:t>(iii)</w:t>
            </w:r>
            <w:r w:rsidRPr="00B640EE">
              <w:tab/>
            </w:r>
            <w:r w:rsidRPr="00B640EE">
              <w:rPr>
                <w:i/>
                <w:sz w:val="22"/>
              </w:rPr>
              <w:t>Механизмы лицензирования Интернет-услуг по запросу.</w:t>
            </w:r>
          </w:p>
          <w:p w:rsidR="00BC5216" w:rsidRPr="00B640EE" w:rsidRDefault="00BC5216" w:rsidP="003C6BB0">
            <w:pPr>
              <w:pStyle w:val="Default"/>
              <w:ind w:left="720"/>
              <w:rPr>
                <w:bCs/>
                <w:sz w:val="22"/>
                <w:szCs w:val="22"/>
              </w:rPr>
            </w:pPr>
          </w:p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>Будет использован сбалансированный подход, направленный на обеспечение продюсерам возможностей полноценного коммерческого использования аудиовизуальных произведений и в</w:t>
            </w:r>
            <w:r w:rsidR="00256B2E">
              <w:t>месте с тем</w:t>
            </w:r>
            <w:r w:rsidRPr="00B640EE">
              <w:t xml:space="preserve"> на предоставление справедливого вознаграждения их авторам и деятелям искусства, с учетом интересов пользователей, в зависимости от степени признания аудиовизуальных прав и особенностей </w:t>
            </w:r>
            <w:r w:rsidRPr="00B640EE">
              <w:lastRenderedPageBreak/>
              <w:t>управления ими в каждой стране.</w:t>
            </w:r>
            <w:r w:rsidR="00EF0146">
              <w:t xml:space="preserve"> </w:t>
            </w:r>
            <w:r w:rsidRPr="00B640EE">
              <w:t xml:space="preserve"> В число дополнительных направлений, охватываемых проектом, входят расширение использования информационно-коммуникационных технологий (ИКТ) в сфере управления правами, информационно-разъяснительная работа, в особенности касательно смежных прав, и методы деятельности, относящиеся к отчетности и руководству.</w:t>
            </w:r>
          </w:p>
          <w:p w:rsidR="00BC5216" w:rsidRPr="00B640EE" w:rsidRDefault="00BC5216" w:rsidP="003C6BB0">
            <w:pPr>
              <w:rPr>
                <w:bCs/>
                <w:szCs w:val="22"/>
              </w:rPr>
            </w:pPr>
          </w:p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 xml:space="preserve">В Кении, Буркина-Фасо и Сенегале правообладатели </w:t>
            </w:r>
            <w:r w:rsidR="00BD0E87">
              <w:t xml:space="preserve">до последнего времени </w:t>
            </w:r>
            <w:r w:rsidRPr="00B640EE">
              <w:t>не могли передавать вещательным организациям права по лицензии.  Эта ситуация лишает их важного источника доходов и возможности переговоров по финансированию предпродаж с вещательными компаниями.  На этапе II предусмотрены мероприятия по наращиванию потенциала с целью укрепления партнерских отношений с вещательными компаниями и регулирующими органами.  Кроме того, предусмотрены дополнительные меры, направленные на облегчение доступа профессиональных кинематографистов к профессиональным рынкам, для стимулирования заключения соглашений о распространении и законных торговых соглашений.</w:t>
            </w:r>
          </w:p>
          <w:p w:rsidR="00BC5216" w:rsidRPr="00B640EE" w:rsidRDefault="00BC5216" w:rsidP="003C6BB0">
            <w:pPr>
              <w:rPr>
                <w:szCs w:val="22"/>
              </w:rPr>
            </w:pPr>
          </w:p>
          <w:p w:rsidR="00AA7DB4" w:rsidRPr="00263BD4" w:rsidRDefault="00BE55D8" w:rsidP="00263BD4">
            <w:pPr>
              <w:rPr>
                <w:szCs w:val="22"/>
              </w:rPr>
            </w:pPr>
            <w:r w:rsidRPr="00B640EE">
              <w:t>Кроме того, в рамках проекта продолжится предоставление национальным властям юридических консультаций по запросу</w:t>
            </w:r>
            <w:r w:rsidR="00BD0E87">
              <w:t>,</w:t>
            </w:r>
            <w:r w:rsidRPr="00B640EE">
              <w:t xml:space="preserve"> </w:t>
            </w:r>
            <w:r w:rsidR="00BD0E87">
              <w:t>связанным с их</w:t>
            </w:r>
            <w:r w:rsidRPr="00B640EE">
              <w:t xml:space="preserve"> работ</w:t>
            </w:r>
            <w:r w:rsidR="00BD0E87">
              <w:t>ой</w:t>
            </w:r>
            <w:r w:rsidRPr="00B640EE">
              <w:t xml:space="preserve"> по поддержке аудиовизуального сектора путем создания благоприятных нормативных условий для производства и распространения соответствующей продукции.  Такие правительственные стратегии могут включать обновление нормативно-законодательной базы в области авторского права или коммуникаций, политику в области кинематографии и другие соответствующие механизмы.</w:t>
            </w:r>
          </w:p>
          <w:p w:rsidR="00BC5216" w:rsidRPr="00B640EE" w:rsidRDefault="00BC5216" w:rsidP="003C6BB0">
            <w:pPr>
              <w:rPr>
                <w:szCs w:val="22"/>
              </w:rPr>
            </w:pPr>
          </w:p>
        </w:tc>
      </w:tr>
      <w:tr w:rsidR="00BC5216" w:rsidRPr="00B640EE" w:rsidTr="003C6BB0">
        <w:trPr>
          <w:trHeight w:val="791"/>
        </w:trPr>
        <w:tc>
          <w:tcPr>
            <w:tcW w:w="9288" w:type="dxa"/>
            <w:gridSpan w:val="2"/>
          </w:tcPr>
          <w:p w:rsidR="00BC5216" w:rsidRPr="00B640EE" w:rsidRDefault="00BE55D8" w:rsidP="003C6BB0">
            <w:pPr>
              <w:rPr>
                <w:bCs/>
                <w:szCs w:val="22"/>
                <w:u w:val="single"/>
              </w:rPr>
            </w:pPr>
            <w:r w:rsidRPr="00B640EE">
              <w:lastRenderedPageBreak/>
              <w:t>2.4.</w:t>
            </w:r>
            <w:r w:rsidRPr="00B640EE">
              <w:tab/>
            </w:r>
            <w:r w:rsidRPr="00B640EE">
              <w:rPr>
                <w:u w:val="single"/>
              </w:rPr>
              <w:t>Риски и стратегии по их снижению</w:t>
            </w:r>
          </w:p>
          <w:p w:rsidR="00BC5216" w:rsidRPr="00B640EE" w:rsidRDefault="00BC5216" w:rsidP="003C6BB0">
            <w:pPr>
              <w:rPr>
                <w:bCs/>
                <w:szCs w:val="22"/>
                <w:u w:val="single"/>
              </w:rPr>
            </w:pPr>
          </w:p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 xml:space="preserve">Проект основан на прочных партнерских отношениях с государствами-членами </w:t>
            </w:r>
            <w:r w:rsidRPr="00B640EE">
              <w:rPr>
                <w:rtl/>
                <w:cs/>
              </w:rPr>
              <w:t xml:space="preserve">– </w:t>
            </w:r>
            <w:r w:rsidRPr="00B640EE">
              <w:t xml:space="preserve">бенефициарами, и его успех зависит от способности вести совместную деятельность с соответствующими местными партнерами.  Кроме того, для </w:t>
            </w:r>
            <w:r w:rsidR="00BD0E87">
              <w:t xml:space="preserve">этого </w:t>
            </w:r>
            <w:r w:rsidRPr="00B640EE">
              <w:t xml:space="preserve">важна способность адаптировать </w:t>
            </w:r>
            <w:r w:rsidR="00BD0E87">
              <w:t xml:space="preserve">принимаемые </w:t>
            </w:r>
            <w:r w:rsidRPr="00B640EE">
              <w:t>подходы к различным внутренним приоритетам национального уровня и внешним факторам, таким как быстрое развитие новых технологий и процессов в аудиовизуальном секторе каждой страны.  Стратегия снижения риска подразумевает гибкие возможности, позволяющие корректировать сроки и стратегии осуществления проекта в случае возникновения непредвиденных обстоятельств, в частности, связанных с политическими событиями или институциональной реструктуризацией в странах-бенефициарах.</w:t>
            </w:r>
          </w:p>
          <w:p w:rsidR="000674AE" w:rsidRPr="00B640EE" w:rsidRDefault="000674AE" w:rsidP="003C6BB0">
            <w:pPr>
              <w:rPr>
                <w:szCs w:val="22"/>
              </w:rPr>
            </w:pPr>
          </w:p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>Кроме того, ключевым фактором, определяющим уровень поддержки, оказываемой бенефициаром из числа государств-членов, обеспечивающим бесперебойную деятельность и своевременное осуществление проекта, является устойчивое сотрудничество с национальными органами власти и координационными центрами.  В целях снижения рисков руководитель проекта будет проводить всеобъемлющие консультации и рекомендовать местным партнерам полноценно участвовать в осуществлении деятельности.  Кроме того, будут созданы партнерства с соответствующими отраслями частного сектора и некоммерческими организациями, а также ассоциациями, имеющими требуемые знания и опыт.</w:t>
            </w:r>
          </w:p>
          <w:p w:rsidR="00BC5216" w:rsidRPr="00B640EE" w:rsidRDefault="00BC5216" w:rsidP="003C6BB0">
            <w:pPr>
              <w:rPr>
                <w:szCs w:val="22"/>
              </w:rPr>
            </w:pPr>
          </w:p>
          <w:p w:rsidR="00BC5216" w:rsidRDefault="00BE55D8" w:rsidP="003C6BB0">
            <w:pPr>
              <w:rPr>
                <w:lang w:val="fr-CH"/>
              </w:rPr>
            </w:pPr>
            <w:r w:rsidRPr="00B640EE">
              <w:t xml:space="preserve">Учитывая количество стран-бенефициаров и объем выделенных на этап II ресурсов, в рамках проекта будет невозможно удовлетворить все поступающие от стран-бенефициаров запросы о мероприятиях и проектах. </w:t>
            </w:r>
            <w:r w:rsidR="00EF0146">
              <w:t xml:space="preserve"> </w:t>
            </w:r>
            <w:r w:rsidRPr="00B640EE">
              <w:t>Стратегия смягчения последствий предусматривает проведение консультаций руководителей проекта с координационными центрами при определении приоритетных направлений деятельности и бенефициаров.</w:t>
            </w:r>
          </w:p>
          <w:p w:rsidR="00E1734C" w:rsidRPr="00E1734C" w:rsidRDefault="00E1734C" w:rsidP="003C6BB0">
            <w:pPr>
              <w:rPr>
                <w:bCs/>
                <w:szCs w:val="22"/>
                <w:lang w:val="fr-CH"/>
              </w:rPr>
            </w:pPr>
            <w:bookmarkStart w:id="5" w:name="_GoBack"/>
            <w:bookmarkEnd w:id="5"/>
          </w:p>
        </w:tc>
      </w:tr>
      <w:tr w:rsidR="00BC5216" w:rsidRPr="00B640EE" w:rsidTr="003C6BB0">
        <w:trPr>
          <w:trHeight w:val="528"/>
        </w:trPr>
        <w:tc>
          <w:tcPr>
            <w:tcW w:w="9288" w:type="dxa"/>
            <w:gridSpan w:val="2"/>
          </w:tcPr>
          <w:p w:rsidR="00BC5216" w:rsidRPr="00B640EE" w:rsidRDefault="00BC5216" w:rsidP="003C6BB0">
            <w:pPr>
              <w:rPr>
                <w:bCs/>
                <w:iCs/>
                <w:szCs w:val="22"/>
              </w:rPr>
            </w:pPr>
          </w:p>
          <w:p w:rsidR="00BC5216" w:rsidRPr="00B640EE" w:rsidRDefault="00BE55D8" w:rsidP="003C6BB0">
            <w:pPr>
              <w:rPr>
                <w:bCs/>
                <w:iCs/>
                <w:szCs w:val="22"/>
              </w:rPr>
            </w:pPr>
            <w:r w:rsidRPr="00B640EE">
              <w:t>3.</w:t>
            </w:r>
            <w:r w:rsidRPr="00B640EE">
              <w:tab/>
            </w:r>
            <w:r w:rsidRPr="00B640EE">
              <w:rPr>
                <w:rStyle w:val="Heading2Char"/>
                <w:sz w:val="22"/>
              </w:rPr>
              <w:t>ОБЗОР И ОЦЕНКА</w:t>
            </w:r>
          </w:p>
          <w:p w:rsidR="00BC5216" w:rsidRPr="00B640EE" w:rsidRDefault="00BC5216" w:rsidP="003C6BB0">
            <w:pPr>
              <w:rPr>
                <w:b/>
                <w:bCs/>
                <w:szCs w:val="22"/>
              </w:rPr>
            </w:pPr>
          </w:p>
        </w:tc>
      </w:tr>
      <w:tr w:rsidR="00BC5216" w:rsidRPr="00B640EE" w:rsidTr="003C6BB0">
        <w:trPr>
          <w:trHeight w:val="528"/>
        </w:trPr>
        <w:tc>
          <w:tcPr>
            <w:tcW w:w="9288" w:type="dxa"/>
            <w:gridSpan w:val="2"/>
          </w:tcPr>
          <w:p w:rsidR="00BC5216" w:rsidRPr="00B640EE" w:rsidRDefault="00BE55D8" w:rsidP="003C6BB0">
            <w:pPr>
              <w:rPr>
                <w:szCs w:val="22"/>
                <w:u w:val="single"/>
              </w:rPr>
            </w:pPr>
            <w:r w:rsidRPr="00B640EE">
              <w:t xml:space="preserve">3.1. </w:t>
            </w:r>
            <w:r w:rsidRPr="00B640EE">
              <w:tab/>
            </w:r>
            <w:r w:rsidRPr="00B640EE">
              <w:rPr>
                <w:u w:val="single"/>
              </w:rPr>
              <w:t>График обзора проекта</w:t>
            </w:r>
          </w:p>
        </w:tc>
      </w:tr>
      <w:tr w:rsidR="00BC5216" w:rsidRPr="00B640EE" w:rsidTr="003C6BB0">
        <w:trPr>
          <w:trHeight w:val="258"/>
        </w:trPr>
        <w:tc>
          <w:tcPr>
            <w:tcW w:w="9288" w:type="dxa"/>
            <w:gridSpan w:val="2"/>
          </w:tcPr>
          <w:p w:rsidR="00BC5216" w:rsidRPr="00B640EE" w:rsidRDefault="00BE55D8" w:rsidP="003C6BB0">
            <w:pPr>
              <w:rPr>
                <w:i/>
                <w:szCs w:val="22"/>
              </w:rPr>
            </w:pPr>
            <w:r w:rsidRPr="00B640EE">
              <w:t>Будут подготовлены среднесрочный отчет (через 12 месяцев после начала проекта) и итоговый отчет (после завершения проекта).  Отчет об итогах проекта будет передан в КРИС для дальнейшего рассмотрения.</w:t>
            </w:r>
          </w:p>
          <w:p w:rsidR="00BC5216" w:rsidRPr="00B640EE" w:rsidRDefault="00BC5216" w:rsidP="003C6BB0">
            <w:pPr>
              <w:rPr>
                <w:b/>
                <w:bCs/>
                <w:szCs w:val="22"/>
              </w:rPr>
            </w:pPr>
          </w:p>
        </w:tc>
      </w:tr>
      <w:tr w:rsidR="00BC5216" w:rsidRPr="00B640EE" w:rsidTr="003C6BB0">
        <w:tc>
          <w:tcPr>
            <w:tcW w:w="9288" w:type="dxa"/>
            <w:gridSpan w:val="2"/>
          </w:tcPr>
          <w:p w:rsidR="00BC5216" w:rsidRPr="00B640EE" w:rsidRDefault="00BC5216" w:rsidP="003C6BB0">
            <w:pPr>
              <w:rPr>
                <w:szCs w:val="22"/>
              </w:rPr>
            </w:pPr>
          </w:p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>3.2.</w:t>
            </w:r>
            <w:r w:rsidRPr="00B640EE">
              <w:tab/>
            </w:r>
            <w:r w:rsidRPr="00B640EE">
              <w:rPr>
                <w:rStyle w:val="Heading3Char"/>
                <w:sz w:val="22"/>
              </w:rPr>
              <w:t>Самооценка проекта</w:t>
            </w:r>
          </w:p>
          <w:p w:rsidR="00BC5216" w:rsidRPr="00B640EE" w:rsidRDefault="00BE55D8" w:rsidP="003C6BB0">
            <w:pPr>
              <w:rPr>
                <w:i/>
                <w:szCs w:val="22"/>
              </w:rPr>
            </w:pPr>
            <w:r w:rsidRPr="00B640EE">
              <w:rPr>
                <w:i/>
              </w:rPr>
              <w:t>Помимо самооценки проекта, будет проведена его независимая экспертиза.</w:t>
            </w:r>
          </w:p>
        </w:tc>
      </w:tr>
      <w:tr w:rsidR="00BC5216" w:rsidRPr="00B640EE" w:rsidTr="003C6BB0">
        <w:tc>
          <w:tcPr>
            <w:tcW w:w="3652" w:type="dxa"/>
          </w:tcPr>
          <w:p w:rsidR="00BC5216" w:rsidRPr="00B640EE" w:rsidRDefault="00BE55D8" w:rsidP="003C6BB0">
            <w:pPr>
              <w:rPr>
                <w:bCs/>
                <w:i/>
                <w:szCs w:val="22"/>
              </w:rPr>
            </w:pPr>
            <w:r w:rsidRPr="00B640EE">
              <w:rPr>
                <w:i/>
              </w:rPr>
              <w:t>Результаты проекта</w:t>
            </w:r>
          </w:p>
        </w:tc>
        <w:tc>
          <w:tcPr>
            <w:tcW w:w="5636" w:type="dxa"/>
          </w:tcPr>
          <w:p w:rsidR="00BC5216" w:rsidRPr="00B640EE" w:rsidRDefault="00BE55D8" w:rsidP="003C6BB0">
            <w:pPr>
              <w:rPr>
                <w:bCs/>
                <w:i/>
                <w:szCs w:val="22"/>
              </w:rPr>
            </w:pPr>
            <w:r w:rsidRPr="00B640EE">
              <w:rPr>
                <w:i/>
              </w:rPr>
              <w:t>Показатели успешного завершения</w:t>
            </w:r>
          </w:p>
          <w:p w:rsidR="00BC5216" w:rsidRPr="00B640EE" w:rsidRDefault="00BE55D8" w:rsidP="003C6BB0">
            <w:pPr>
              <w:rPr>
                <w:bCs/>
                <w:szCs w:val="22"/>
              </w:rPr>
            </w:pPr>
            <w:r w:rsidRPr="00B640EE">
              <w:t>(показатели результативности)</w:t>
            </w:r>
          </w:p>
          <w:p w:rsidR="00BC5216" w:rsidRPr="00B640EE" w:rsidRDefault="00BC5216" w:rsidP="003C6BB0">
            <w:pPr>
              <w:rPr>
                <w:b/>
                <w:bCs/>
                <w:szCs w:val="22"/>
              </w:rPr>
            </w:pPr>
          </w:p>
        </w:tc>
      </w:tr>
      <w:tr w:rsidR="00BC5216" w:rsidRPr="00B640EE" w:rsidTr="003C6BB0">
        <w:tc>
          <w:tcPr>
            <w:tcW w:w="3652" w:type="dxa"/>
          </w:tcPr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>Исследование</w:t>
            </w:r>
          </w:p>
          <w:p w:rsidR="00BC5216" w:rsidRPr="00B640EE" w:rsidRDefault="00BC5216" w:rsidP="003C6BB0">
            <w:pPr>
              <w:rPr>
                <w:szCs w:val="22"/>
              </w:rPr>
            </w:pPr>
          </w:p>
        </w:tc>
        <w:tc>
          <w:tcPr>
            <w:tcW w:w="5636" w:type="dxa"/>
          </w:tcPr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>Исследовательский отчет, опубликованный на веб-сайте ВОИС</w:t>
            </w:r>
          </w:p>
        </w:tc>
      </w:tr>
      <w:tr w:rsidR="00BC5216" w:rsidRPr="00B640EE" w:rsidTr="003C6BB0">
        <w:tc>
          <w:tcPr>
            <w:tcW w:w="3652" w:type="dxa"/>
          </w:tcPr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>Определение координационных центров, консультации с национальными органами власти и заинтересованными сторонами/разработка национальных стратегий</w:t>
            </w:r>
          </w:p>
        </w:tc>
        <w:tc>
          <w:tcPr>
            <w:tcW w:w="5636" w:type="dxa"/>
          </w:tcPr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>Определение соответствующих заинтересованных сторон и партнеров в каждой стране в координации с ведущими учреждениями</w:t>
            </w:r>
          </w:p>
        </w:tc>
      </w:tr>
      <w:tr w:rsidR="00BC5216" w:rsidRPr="00B640EE" w:rsidTr="003C6BB0">
        <w:tc>
          <w:tcPr>
            <w:tcW w:w="3652" w:type="dxa"/>
          </w:tcPr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>Практикумы с участием экспертов</w:t>
            </w:r>
          </w:p>
          <w:p w:rsidR="00BC5216" w:rsidRPr="00B640EE" w:rsidRDefault="00BC5216" w:rsidP="003C6BB0">
            <w:pPr>
              <w:rPr>
                <w:szCs w:val="22"/>
              </w:rPr>
            </w:pPr>
          </w:p>
          <w:p w:rsidR="00BC5216" w:rsidRPr="00B640EE" w:rsidRDefault="00BC5216" w:rsidP="003C6BB0">
            <w:pPr>
              <w:rPr>
                <w:szCs w:val="22"/>
              </w:rPr>
            </w:pPr>
          </w:p>
        </w:tc>
        <w:tc>
          <w:tcPr>
            <w:tcW w:w="5636" w:type="dxa"/>
          </w:tcPr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>Проведение практикумов с положительной оценкой участников.</w:t>
            </w:r>
          </w:p>
          <w:p w:rsidR="00BC5216" w:rsidRPr="00B640EE" w:rsidRDefault="00BC5216" w:rsidP="003C6BB0">
            <w:pPr>
              <w:rPr>
                <w:szCs w:val="22"/>
              </w:rPr>
            </w:pPr>
          </w:p>
        </w:tc>
      </w:tr>
      <w:tr w:rsidR="00BC5216" w:rsidRPr="00B640EE" w:rsidTr="00FC5A18">
        <w:trPr>
          <w:cantSplit/>
        </w:trPr>
        <w:tc>
          <w:tcPr>
            <w:tcW w:w="3652" w:type="dxa"/>
          </w:tcPr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>Обучение на местах/наращивание потенциала по вопросам коллективного лицензирования и коллективного управления правами</w:t>
            </w:r>
          </w:p>
          <w:p w:rsidR="00BC5216" w:rsidRPr="00B640EE" w:rsidRDefault="00BC5216" w:rsidP="003C6BB0">
            <w:pPr>
              <w:rPr>
                <w:szCs w:val="22"/>
              </w:rPr>
            </w:pPr>
          </w:p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>Развитие институциональной инфраструктуры АВ сектора, навыков и сфер применения для сделок с правами, управление правами в АВ секторе и их использование.</w:t>
            </w:r>
          </w:p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>Внедрение программы дистанционного обучения и разработка модуля для юристов</w:t>
            </w:r>
          </w:p>
          <w:p w:rsidR="00BC5216" w:rsidRPr="00B640EE" w:rsidRDefault="00BC5216" w:rsidP="003C6BB0">
            <w:pPr>
              <w:rPr>
                <w:szCs w:val="22"/>
              </w:rPr>
            </w:pPr>
          </w:p>
        </w:tc>
        <w:tc>
          <w:tcPr>
            <w:tcW w:w="5636" w:type="dxa"/>
          </w:tcPr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>Проведение мероприятий с положительной оценкой их участниками</w:t>
            </w:r>
          </w:p>
          <w:p w:rsidR="00BC5216" w:rsidRPr="00B640EE" w:rsidRDefault="00BC5216" w:rsidP="003C6BB0">
            <w:pPr>
              <w:rPr>
                <w:szCs w:val="22"/>
              </w:rPr>
            </w:pPr>
          </w:p>
          <w:p w:rsidR="00BC5216" w:rsidRPr="00B640EE" w:rsidRDefault="00BC5216" w:rsidP="003C6BB0">
            <w:pPr>
              <w:rPr>
                <w:szCs w:val="22"/>
              </w:rPr>
            </w:pPr>
          </w:p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>Принятие и внедрение в практическую деятельность разработанных систем, услуг и инструментов.</w:t>
            </w:r>
          </w:p>
          <w:p w:rsidR="00BC5216" w:rsidRPr="00B640EE" w:rsidRDefault="00BC5216" w:rsidP="003C6BB0">
            <w:pPr>
              <w:rPr>
                <w:szCs w:val="22"/>
              </w:rPr>
            </w:pPr>
          </w:p>
          <w:p w:rsidR="00BC5216" w:rsidRPr="00B640EE" w:rsidRDefault="00BC5216" w:rsidP="003C6BB0">
            <w:pPr>
              <w:ind w:firstLine="720"/>
              <w:rPr>
                <w:szCs w:val="22"/>
              </w:rPr>
            </w:pPr>
          </w:p>
        </w:tc>
      </w:tr>
      <w:tr w:rsidR="00BC5216" w:rsidRPr="00B640EE" w:rsidTr="003C6BB0">
        <w:tc>
          <w:tcPr>
            <w:tcW w:w="3652" w:type="dxa"/>
          </w:tcPr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>Разработка материалов для мероприятий по повышению осведомленности и информационно-разъяснительной деятельности в целях распространения передового опыта</w:t>
            </w:r>
          </w:p>
        </w:tc>
        <w:tc>
          <w:tcPr>
            <w:tcW w:w="5636" w:type="dxa"/>
          </w:tcPr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>Производство информационных материалов/материалов для деятельности по повышению осведомленности</w:t>
            </w:r>
          </w:p>
        </w:tc>
      </w:tr>
    </w:tbl>
    <w:p w:rsidR="00263BD4" w:rsidRDefault="00263BD4"/>
    <w:p w:rsidR="00263BD4" w:rsidRDefault="00263BD4">
      <w:r>
        <w:br w:type="page"/>
      </w:r>
    </w:p>
    <w:p w:rsidR="00C84002" w:rsidRPr="00B640EE" w:rsidRDefault="00C84002"/>
    <w:tbl>
      <w:tblPr>
        <w:tblW w:w="92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636"/>
      </w:tblGrid>
      <w:tr w:rsidR="00BC5216" w:rsidRPr="00B640EE" w:rsidTr="003C6BB0">
        <w:tc>
          <w:tcPr>
            <w:tcW w:w="3652" w:type="dxa"/>
          </w:tcPr>
          <w:p w:rsidR="00BC5216" w:rsidRPr="00B640EE" w:rsidRDefault="00BE55D8" w:rsidP="003C6BB0">
            <w:pPr>
              <w:rPr>
                <w:bCs/>
                <w:i/>
                <w:szCs w:val="22"/>
              </w:rPr>
            </w:pPr>
            <w:r w:rsidRPr="00B640EE">
              <w:br w:type="page"/>
            </w:r>
          </w:p>
          <w:p w:rsidR="00BC5216" w:rsidRPr="00B640EE" w:rsidRDefault="00BE55D8" w:rsidP="003C6BB0">
            <w:pPr>
              <w:rPr>
                <w:bCs/>
                <w:i/>
                <w:szCs w:val="22"/>
              </w:rPr>
            </w:pPr>
            <w:r w:rsidRPr="00B640EE">
              <w:rPr>
                <w:i/>
              </w:rPr>
              <w:t>Цель (цели) проекта</w:t>
            </w:r>
          </w:p>
        </w:tc>
        <w:tc>
          <w:tcPr>
            <w:tcW w:w="5636" w:type="dxa"/>
          </w:tcPr>
          <w:p w:rsidR="00BC5216" w:rsidRPr="00B640EE" w:rsidRDefault="00BC5216" w:rsidP="003C6BB0">
            <w:pPr>
              <w:rPr>
                <w:bCs/>
                <w:i/>
                <w:szCs w:val="22"/>
              </w:rPr>
            </w:pPr>
          </w:p>
          <w:p w:rsidR="00BC5216" w:rsidRPr="00B640EE" w:rsidRDefault="00BE55D8" w:rsidP="003C6BB0">
            <w:pPr>
              <w:rPr>
                <w:bCs/>
                <w:i/>
                <w:szCs w:val="22"/>
              </w:rPr>
            </w:pPr>
            <w:r w:rsidRPr="00B640EE">
              <w:rPr>
                <w:i/>
              </w:rPr>
              <w:t>Показатели успешного достижения целей проекта (показатели результативности)</w:t>
            </w:r>
          </w:p>
          <w:p w:rsidR="00BC5216" w:rsidRPr="00B640EE" w:rsidRDefault="00BC5216" w:rsidP="003C6BB0">
            <w:pPr>
              <w:rPr>
                <w:b/>
                <w:szCs w:val="22"/>
              </w:rPr>
            </w:pPr>
          </w:p>
        </w:tc>
      </w:tr>
      <w:tr w:rsidR="00BC5216" w:rsidRPr="00B640EE" w:rsidTr="003C6BB0">
        <w:tc>
          <w:tcPr>
            <w:tcW w:w="3652" w:type="dxa"/>
          </w:tcPr>
          <w:p w:rsidR="00BC5216" w:rsidRPr="00B640EE" w:rsidRDefault="00BE55D8" w:rsidP="003C6BB0">
            <w:pPr>
              <w:rPr>
                <w:szCs w:val="22"/>
              </w:rPr>
            </w:pPr>
            <w:r w:rsidRPr="00B640EE">
              <w:t>Способствовать более активному использованию системы прав интеллектуальной собственности для финансирования, производства и распространения аудиовизуальных произведений</w:t>
            </w:r>
          </w:p>
          <w:p w:rsidR="00BC5216" w:rsidRPr="00B640EE" w:rsidRDefault="00BC5216" w:rsidP="003C6BB0">
            <w:pPr>
              <w:rPr>
                <w:bCs/>
                <w:szCs w:val="22"/>
              </w:rPr>
            </w:pPr>
          </w:p>
          <w:p w:rsidR="00BC5216" w:rsidRPr="00B640EE" w:rsidRDefault="00BC5216" w:rsidP="003C6BB0">
            <w:pPr>
              <w:rPr>
                <w:bCs/>
                <w:szCs w:val="22"/>
              </w:rPr>
            </w:pPr>
          </w:p>
          <w:p w:rsidR="00BC5216" w:rsidRPr="00B640EE" w:rsidRDefault="00BC5216" w:rsidP="003C6BB0">
            <w:pPr>
              <w:rPr>
                <w:bCs/>
                <w:szCs w:val="22"/>
              </w:rPr>
            </w:pPr>
          </w:p>
          <w:p w:rsidR="00BC5216" w:rsidRPr="00B640EE" w:rsidRDefault="00BC5216" w:rsidP="003C6BB0">
            <w:pPr>
              <w:rPr>
                <w:bCs/>
                <w:szCs w:val="22"/>
              </w:rPr>
            </w:pPr>
          </w:p>
          <w:p w:rsidR="00BC5216" w:rsidRPr="00B640EE" w:rsidRDefault="00BC5216" w:rsidP="003C6BB0">
            <w:pPr>
              <w:rPr>
                <w:bCs/>
                <w:szCs w:val="22"/>
              </w:rPr>
            </w:pPr>
          </w:p>
        </w:tc>
        <w:tc>
          <w:tcPr>
            <w:tcW w:w="5636" w:type="dxa"/>
          </w:tcPr>
          <w:p w:rsidR="00BC5216" w:rsidRPr="00B640EE" w:rsidRDefault="00BE55D8" w:rsidP="003C6BB0">
            <w:pPr>
              <w:rPr>
                <w:bCs/>
                <w:szCs w:val="22"/>
              </w:rPr>
            </w:pPr>
            <w:r w:rsidRPr="00B640EE">
              <w:t>Участники более активно пользуются полученными навыками в области финансирования, производства и распространения аудиовизуальных произведений (проверяется с помощью вопросника, который будет распространен среди участников через шесть месяцев после завершения учебного курса).</w:t>
            </w:r>
          </w:p>
          <w:p w:rsidR="00BC5216" w:rsidRPr="00B640EE" w:rsidRDefault="00BC5216" w:rsidP="003C6BB0">
            <w:pPr>
              <w:rPr>
                <w:bCs/>
                <w:szCs w:val="22"/>
              </w:rPr>
            </w:pPr>
          </w:p>
          <w:p w:rsidR="00BC5216" w:rsidRPr="00B640EE" w:rsidRDefault="00DA5E88" w:rsidP="003C6BB0">
            <w:pPr>
              <w:rPr>
                <w:bCs/>
                <w:szCs w:val="22"/>
              </w:rPr>
            </w:pPr>
            <w:r w:rsidRPr="00B640EE">
              <w:t>Увеличение числа сделок с правами интеллектуальной собственности в аудиовизуальном секторе, связанных с производством и распространением аудиовизуальной продукции (базовый показатель для сравнения будет определен в обзорном документе).</w:t>
            </w:r>
          </w:p>
          <w:p w:rsidR="00BC5216" w:rsidRPr="00B640EE" w:rsidRDefault="00BC5216" w:rsidP="003C6BB0">
            <w:pPr>
              <w:rPr>
                <w:bCs/>
                <w:szCs w:val="22"/>
              </w:rPr>
            </w:pPr>
          </w:p>
          <w:p w:rsidR="00BC5216" w:rsidRPr="00B640EE" w:rsidRDefault="00BE55D8" w:rsidP="003C6BB0">
            <w:pPr>
              <w:rPr>
                <w:bCs/>
                <w:szCs w:val="22"/>
              </w:rPr>
            </w:pPr>
            <w:r w:rsidRPr="00B640EE">
              <w:t>Увеличение числа каналов для законной продажи африканскими авторами прав на фильмы (базовый показатель для сравнения будет определен в обзорном документе).</w:t>
            </w:r>
          </w:p>
          <w:p w:rsidR="00BC5216" w:rsidRPr="00B640EE" w:rsidRDefault="00BC5216" w:rsidP="003C6BB0">
            <w:pPr>
              <w:rPr>
                <w:bCs/>
                <w:szCs w:val="22"/>
              </w:rPr>
            </w:pPr>
          </w:p>
        </w:tc>
      </w:tr>
      <w:tr w:rsidR="00BC5216" w:rsidRPr="00B640EE" w:rsidTr="003C6BB0">
        <w:trPr>
          <w:trHeight w:val="1218"/>
        </w:trPr>
        <w:tc>
          <w:tcPr>
            <w:tcW w:w="3652" w:type="dxa"/>
          </w:tcPr>
          <w:p w:rsidR="00BC5216" w:rsidRPr="00B640EE" w:rsidRDefault="00BE55D8" w:rsidP="003C6BB0">
            <w:pPr>
              <w:rPr>
                <w:bCs/>
                <w:szCs w:val="22"/>
              </w:rPr>
            </w:pPr>
            <w:r w:rsidRPr="00B640EE">
              <w:t>Способствовать более активному использованию системы интеллектуальной собственности для финансирования, производства и распространения аудиовизуальных произведений</w:t>
            </w:r>
          </w:p>
        </w:tc>
        <w:tc>
          <w:tcPr>
            <w:tcW w:w="5636" w:type="dxa"/>
          </w:tcPr>
          <w:p w:rsidR="00BC5216" w:rsidRPr="00B640EE" w:rsidRDefault="00BE55D8" w:rsidP="003C6BB0">
            <w:pPr>
              <w:keepNext/>
              <w:rPr>
                <w:bCs/>
                <w:szCs w:val="22"/>
              </w:rPr>
            </w:pPr>
            <w:r w:rsidRPr="00B640EE">
              <w:t>Увеличение числа сделок с правами интеллектуальной собственности и контрактов, предполагающих передачу аудиовизуальных прав по лицензии, с использованием коллективных переговоров и практики коллективного лицензирования и на основе подготовленных руководящих принципов</w:t>
            </w:r>
            <w:r w:rsidR="005B2250" w:rsidRPr="00B640EE">
              <w:t xml:space="preserve"> </w:t>
            </w:r>
            <w:r w:rsidRPr="00B640EE">
              <w:t>(базовый показатель для сравнения будет определен в страновых планах).</w:t>
            </w:r>
          </w:p>
          <w:p w:rsidR="00BC5216" w:rsidRPr="00B640EE" w:rsidRDefault="00BC5216" w:rsidP="003C6BB0">
            <w:pPr>
              <w:keepNext/>
              <w:rPr>
                <w:bCs/>
                <w:szCs w:val="22"/>
              </w:rPr>
            </w:pPr>
          </w:p>
          <w:p w:rsidR="00BC5216" w:rsidRPr="00B640EE" w:rsidRDefault="00BE55D8" w:rsidP="003C6BB0">
            <w:pPr>
              <w:keepNext/>
              <w:rPr>
                <w:bCs/>
                <w:szCs w:val="22"/>
              </w:rPr>
            </w:pPr>
            <w:r w:rsidRPr="00B640EE">
              <w:t>Расширение и развитие соответствующей международным стандартам инфраструктуры для передачи по лицензии аудиовизуальных прав, в особенности организаций коллективного управления правами</w:t>
            </w:r>
            <w:r w:rsidR="005B2250" w:rsidRPr="00B640EE">
              <w:t xml:space="preserve"> </w:t>
            </w:r>
            <w:r w:rsidRPr="00B640EE">
              <w:t>(базовый показатель для сравнения будет определен в ходе исследования).</w:t>
            </w:r>
          </w:p>
          <w:p w:rsidR="00BC5216" w:rsidRPr="00B640EE" w:rsidRDefault="00BC5216" w:rsidP="003C6BB0">
            <w:pPr>
              <w:keepNext/>
              <w:rPr>
                <w:bCs/>
                <w:szCs w:val="22"/>
              </w:rPr>
            </w:pPr>
          </w:p>
          <w:p w:rsidR="00BC5216" w:rsidRPr="00B640EE" w:rsidRDefault="00DA5E88" w:rsidP="003C6BB0">
            <w:pPr>
              <w:keepNext/>
              <w:rPr>
                <w:szCs w:val="22"/>
              </w:rPr>
            </w:pPr>
            <w:r w:rsidRPr="00B640EE">
              <w:t>Последовательное применение соответствующих международным стандартам инструментария и правил ведения деловых операций в области управления аудиовизуальными произведениями (базовый показатель для сравнения будет определен в обзорном документе).</w:t>
            </w:r>
          </w:p>
          <w:p w:rsidR="00BC5216" w:rsidRPr="00B640EE" w:rsidRDefault="00BC5216" w:rsidP="003C6BB0">
            <w:pPr>
              <w:keepNext/>
              <w:rPr>
                <w:bCs/>
                <w:szCs w:val="22"/>
              </w:rPr>
            </w:pPr>
          </w:p>
        </w:tc>
      </w:tr>
    </w:tbl>
    <w:p w:rsidR="00BE55D8" w:rsidRPr="00B640EE" w:rsidRDefault="00BE55D8" w:rsidP="00BC5216">
      <w:pPr>
        <w:sectPr w:rsidR="00BE55D8" w:rsidRPr="00B640EE" w:rsidSect="00BC5216">
          <w:headerReference w:type="default" r:id="rId19"/>
          <w:footerReference w:type="default" r:id="rId20"/>
          <w:headerReference w:type="first" r:id="rId21"/>
          <w:footerReference w:type="first" r:id="rId22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BC5216" w:rsidRPr="00B640EE" w:rsidRDefault="00BE55D8" w:rsidP="00BC5216">
      <w:pPr>
        <w:pStyle w:val="Heading2"/>
        <w:numPr>
          <w:ilvl w:val="0"/>
          <w:numId w:val="8"/>
        </w:numPr>
        <w:tabs>
          <w:tab w:val="left" w:pos="709"/>
        </w:tabs>
        <w:ind w:hanging="720"/>
        <w:rPr>
          <w:szCs w:val="22"/>
        </w:rPr>
      </w:pPr>
      <w:r w:rsidRPr="00B640EE">
        <w:lastRenderedPageBreak/>
        <w:t>ОБЩИЕ РЕСУРСЫ В РАЗБИВКЕ ПО РЕЗУЛЬТАТАМ</w:t>
      </w:r>
    </w:p>
    <w:p w:rsidR="00BC5216" w:rsidRPr="00B640EE" w:rsidRDefault="00BC5216" w:rsidP="00BC5216">
      <w:pPr>
        <w:rPr>
          <w:sz w:val="20"/>
        </w:rPr>
      </w:pPr>
    </w:p>
    <w:p w:rsidR="00BC5216" w:rsidRPr="00B640EE" w:rsidRDefault="00BE55D8" w:rsidP="00BC5216">
      <w:pPr>
        <w:rPr>
          <w:szCs w:val="22"/>
        </w:rPr>
      </w:pPr>
      <w:r w:rsidRPr="00B640EE">
        <w:t>(a) Двухлетний период 2016</w:t>
      </w:r>
      <w:r w:rsidRPr="00B640EE">
        <w:rPr>
          <w:rtl/>
          <w:cs/>
        </w:rPr>
        <w:t>–</w:t>
      </w:r>
      <w:r w:rsidRPr="00B640EE">
        <w:t>2017 гг.</w:t>
      </w:r>
    </w:p>
    <w:p w:rsidR="00BC5216" w:rsidRPr="00B640EE" w:rsidRDefault="00BC5216" w:rsidP="00BC5216">
      <w:pPr>
        <w:rPr>
          <w:szCs w:val="22"/>
          <w:u w:val="single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493"/>
        <w:gridCol w:w="1493"/>
        <w:gridCol w:w="1493"/>
        <w:gridCol w:w="1493"/>
        <w:gridCol w:w="1493"/>
        <w:gridCol w:w="1493"/>
        <w:gridCol w:w="2807"/>
      </w:tblGrid>
      <w:tr w:rsidR="00BC5216" w:rsidRPr="00B640EE" w:rsidTr="00682F8E">
        <w:tc>
          <w:tcPr>
            <w:tcW w:w="3369" w:type="dxa"/>
          </w:tcPr>
          <w:p w:rsidR="00BC5216" w:rsidRPr="00B640EE" w:rsidRDefault="00BC5216" w:rsidP="003C6BB0">
            <w:pPr>
              <w:rPr>
                <w:sz w:val="20"/>
              </w:rPr>
            </w:pPr>
          </w:p>
        </w:tc>
        <w:tc>
          <w:tcPr>
            <w:tcW w:w="11765" w:type="dxa"/>
            <w:gridSpan w:val="7"/>
          </w:tcPr>
          <w:p w:rsidR="00BC5216" w:rsidRPr="00B640EE" w:rsidRDefault="00BE55D8" w:rsidP="00E10F69">
            <w:pPr>
              <w:jc w:val="center"/>
              <w:rPr>
                <w:i/>
                <w:sz w:val="20"/>
              </w:rPr>
            </w:pPr>
            <w:r w:rsidRPr="00B640EE">
              <w:rPr>
                <w:i/>
                <w:sz w:val="20"/>
              </w:rPr>
              <w:t>(шв. франки)</w:t>
            </w:r>
          </w:p>
        </w:tc>
      </w:tr>
      <w:tr w:rsidR="00BC5216" w:rsidRPr="00B640EE" w:rsidTr="00682F8E">
        <w:tc>
          <w:tcPr>
            <w:tcW w:w="3369" w:type="dxa"/>
          </w:tcPr>
          <w:p w:rsidR="00BC5216" w:rsidRPr="00B640EE" w:rsidRDefault="00BE55D8" w:rsidP="003C6BB0">
            <w:pPr>
              <w:rPr>
                <w:b/>
                <w:sz w:val="20"/>
              </w:rPr>
            </w:pPr>
            <w:r w:rsidRPr="00B640EE">
              <w:rPr>
                <w:b/>
                <w:sz w:val="20"/>
              </w:rPr>
              <w:t>Результаты проекта</w:t>
            </w:r>
          </w:p>
        </w:tc>
        <w:tc>
          <w:tcPr>
            <w:tcW w:w="2986" w:type="dxa"/>
            <w:gridSpan w:val="2"/>
          </w:tcPr>
          <w:p w:rsidR="00BC5216" w:rsidRPr="00B640EE" w:rsidRDefault="00BE55D8" w:rsidP="00E10F69">
            <w:pPr>
              <w:jc w:val="center"/>
              <w:rPr>
                <w:b/>
                <w:sz w:val="20"/>
              </w:rPr>
            </w:pPr>
            <w:r w:rsidRPr="00B640EE">
              <w:rPr>
                <w:b/>
                <w:sz w:val="20"/>
              </w:rPr>
              <w:t>2016 г.</w:t>
            </w:r>
          </w:p>
        </w:tc>
        <w:tc>
          <w:tcPr>
            <w:tcW w:w="2986" w:type="dxa"/>
            <w:gridSpan w:val="2"/>
          </w:tcPr>
          <w:p w:rsidR="00BC5216" w:rsidRPr="00B640EE" w:rsidRDefault="00BE55D8" w:rsidP="00E10F69">
            <w:pPr>
              <w:jc w:val="center"/>
              <w:rPr>
                <w:b/>
                <w:sz w:val="20"/>
              </w:rPr>
            </w:pPr>
            <w:r w:rsidRPr="00B640EE">
              <w:rPr>
                <w:b/>
                <w:sz w:val="20"/>
              </w:rPr>
              <w:t>2017 г.</w:t>
            </w:r>
          </w:p>
        </w:tc>
        <w:tc>
          <w:tcPr>
            <w:tcW w:w="2986" w:type="dxa"/>
            <w:gridSpan w:val="2"/>
          </w:tcPr>
          <w:p w:rsidR="00BC5216" w:rsidRPr="00B640EE" w:rsidRDefault="00BE55D8" w:rsidP="00E10F69">
            <w:pPr>
              <w:jc w:val="center"/>
              <w:rPr>
                <w:b/>
                <w:sz w:val="20"/>
              </w:rPr>
            </w:pPr>
            <w:r w:rsidRPr="00B640EE">
              <w:rPr>
                <w:b/>
                <w:sz w:val="20"/>
              </w:rPr>
              <w:t>Итого</w:t>
            </w:r>
          </w:p>
        </w:tc>
        <w:tc>
          <w:tcPr>
            <w:tcW w:w="2807" w:type="dxa"/>
          </w:tcPr>
          <w:p w:rsidR="00BC5216" w:rsidRPr="00B640EE" w:rsidRDefault="00BE55D8" w:rsidP="00E10F69">
            <w:pPr>
              <w:jc w:val="center"/>
              <w:rPr>
                <w:b/>
                <w:sz w:val="20"/>
              </w:rPr>
            </w:pPr>
            <w:r w:rsidRPr="00B640EE">
              <w:rPr>
                <w:b/>
                <w:sz w:val="20"/>
              </w:rPr>
              <w:t>Итого</w:t>
            </w:r>
          </w:p>
        </w:tc>
      </w:tr>
      <w:tr w:rsidR="00BC5216" w:rsidRPr="00B640EE" w:rsidTr="00682F8E">
        <w:tc>
          <w:tcPr>
            <w:tcW w:w="3369" w:type="dxa"/>
          </w:tcPr>
          <w:p w:rsidR="00BC5216" w:rsidRPr="00B640EE" w:rsidRDefault="00BC5216" w:rsidP="003C6BB0">
            <w:pPr>
              <w:rPr>
                <w:b/>
                <w:sz w:val="20"/>
              </w:rPr>
            </w:pPr>
          </w:p>
        </w:tc>
        <w:tc>
          <w:tcPr>
            <w:tcW w:w="1493" w:type="dxa"/>
          </w:tcPr>
          <w:p w:rsidR="00BC5216" w:rsidRPr="00B640EE" w:rsidRDefault="00BE55D8" w:rsidP="003C6BB0">
            <w:pPr>
              <w:rPr>
                <w:b/>
                <w:sz w:val="20"/>
              </w:rPr>
            </w:pPr>
            <w:r w:rsidRPr="00B640EE">
              <w:rPr>
                <w:b/>
                <w:sz w:val="20"/>
              </w:rPr>
              <w:t>Расходы на персонал</w:t>
            </w:r>
          </w:p>
        </w:tc>
        <w:tc>
          <w:tcPr>
            <w:tcW w:w="1493" w:type="dxa"/>
          </w:tcPr>
          <w:p w:rsidR="00BC5216" w:rsidRPr="00B640EE" w:rsidRDefault="00BE55D8" w:rsidP="003C6BB0">
            <w:pPr>
              <w:rPr>
                <w:b/>
                <w:sz w:val="20"/>
              </w:rPr>
            </w:pPr>
            <w:r w:rsidRPr="00B640EE">
              <w:rPr>
                <w:b/>
                <w:sz w:val="20"/>
              </w:rPr>
              <w:t>Не связанные с персоналом</w:t>
            </w:r>
          </w:p>
        </w:tc>
        <w:tc>
          <w:tcPr>
            <w:tcW w:w="1493" w:type="dxa"/>
          </w:tcPr>
          <w:p w:rsidR="00BC5216" w:rsidRPr="00B640EE" w:rsidRDefault="00BE55D8" w:rsidP="003C6BB0">
            <w:pPr>
              <w:rPr>
                <w:b/>
                <w:sz w:val="20"/>
              </w:rPr>
            </w:pPr>
            <w:r w:rsidRPr="00B640EE">
              <w:rPr>
                <w:b/>
                <w:sz w:val="20"/>
              </w:rPr>
              <w:t>Расходы на персонал</w:t>
            </w:r>
          </w:p>
        </w:tc>
        <w:tc>
          <w:tcPr>
            <w:tcW w:w="1493" w:type="dxa"/>
          </w:tcPr>
          <w:p w:rsidR="00BC5216" w:rsidRPr="00B640EE" w:rsidRDefault="00BE55D8" w:rsidP="003C6BB0">
            <w:pPr>
              <w:rPr>
                <w:b/>
                <w:sz w:val="20"/>
              </w:rPr>
            </w:pPr>
            <w:r w:rsidRPr="00B640EE">
              <w:rPr>
                <w:b/>
                <w:sz w:val="20"/>
              </w:rPr>
              <w:t>Не связанные с персоналом</w:t>
            </w:r>
          </w:p>
        </w:tc>
        <w:tc>
          <w:tcPr>
            <w:tcW w:w="1493" w:type="dxa"/>
          </w:tcPr>
          <w:p w:rsidR="00BC5216" w:rsidRPr="00B640EE" w:rsidRDefault="00BE55D8" w:rsidP="003C6BB0">
            <w:pPr>
              <w:rPr>
                <w:b/>
                <w:sz w:val="20"/>
              </w:rPr>
            </w:pPr>
            <w:r w:rsidRPr="00B640EE">
              <w:rPr>
                <w:b/>
                <w:sz w:val="20"/>
              </w:rPr>
              <w:t>Расходы на персонал</w:t>
            </w:r>
          </w:p>
        </w:tc>
        <w:tc>
          <w:tcPr>
            <w:tcW w:w="1493" w:type="dxa"/>
          </w:tcPr>
          <w:p w:rsidR="00BC5216" w:rsidRPr="00B640EE" w:rsidRDefault="00BE55D8" w:rsidP="003C6BB0">
            <w:pPr>
              <w:rPr>
                <w:b/>
                <w:sz w:val="20"/>
              </w:rPr>
            </w:pPr>
            <w:r w:rsidRPr="00B640EE">
              <w:rPr>
                <w:b/>
                <w:sz w:val="20"/>
              </w:rPr>
              <w:t>Не связанные с персоналом</w:t>
            </w:r>
          </w:p>
        </w:tc>
        <w:tc>
          <w:tcPr>
            <w:tcW w:w="2807" w:type="dxa"/>
          </w:tcPr>
          <w:p w:rsidR="00BC5216" w:rsidRPr="00B640EE" w:rsidRDefault="00BC5216" w:rsidP="003C6BB0">
            <w:pPr>
              <w:rPr>
                <w:b/>
                <w:sz w:val="20"/>
              </w:rPr>
            </w:pPr>
          </w:p>
        </w:tc>
      </w:tr>
      <w:tr w:rsidR="00A715AD" w:rsidRPr="00B640EE" w:rsidTr="00682F8E">
        <w:tc>
          <w:tcPr>
            <w:tcW w:w="3369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Исследование</w:t>
            </w: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20 000</w:t>
            </w: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20 000</w:t>
            </w:r>
          </w:p>
        </w:tc>
        <w:tc>
          <w:tcPr>
            <w:tcW w:w="2807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20 000</w:t>
            </w:r>
          </w:p>
        </w:tc>
      </w:tr>
      <w:tr w:rsidR="00A715AD" w:rsidRPr="00B640EE" w:rsidTr="00682F8E">
        <w:tc>
          <w:tcPr>
            <w:tcW w:w="3369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Определение национальных органов власти и заинтересованных сторон и разработка/обновление рабочих планов</w:t>
            </w: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12 500</w:t>
            </w: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12 500</w:t>
            </w: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25 000</w:t>
            </w:r>
          </w:p>
        </w:tc>
        <w:tc>
          <w:tcPr>
            <w:tcW w:w="2807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25 000</w:t>
            </w:r>
          </w:p>
        </w:tc>
      </w:tr>
      <w:tr w:rsidR="00A715AD" w:rsidRPr="00B640EE" w:rsidTr="00682F8E">
        <w:tc>
          <w:tcPr>
            <w:tcW w:w="3369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Практикумы с участием экспертов</w:t>
            </w: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42 000</w:t>
            </w: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91 000</w:t>
            </w: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133 000</w:t>
            </w:r>
          </w:p>
        </w:tc>
        <w:tc>
          <w:tcPr>
            <w:tcW w:w="2807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133 000</w:t>
            </w:r>
          </w:p>
        </w:tc>
      </w:tr>
      <w:tr w:rsidR="00A715AD" w:rsidRPr="00B640EE" w:rsidTr="00682F8E">
        <w:tc>
          <w:tcPr>
            <w:tcW w:w="3369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Обучение на местах по управлению/ сделкам с правами</w:t>
            </w: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20 000</w:t>
            </w: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35 000</w:t>
            </w: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55 000</w:t>
            </w:r>
          </w:p>
        </w:tc>
        <w:tc>
          <w:tcPr>
            <w:tcW w:w="2807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55 000</w:t>
            </w:r>
          </w:p>
        </w:tc>
      </w:tr>
      <w:tr w:rsidR="00A715AD" w:rsidRPr="00B640EE" w:rsidTr="00682F8E">
        <w:tc>
          <w:tcPr>
            <w:tcW w:w="3369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Поддержка институциональной базы и инфраструктуры АВ сектора</w:t>
            </w: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20 000</w:t>
            </w: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40 000</w:t>
            </w: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60 000</w:t>
            </w:r>
          </w:p>
        </w:tc>
        <w:tc>
          <w:tcPr>
            <w:tcW w:w="2807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60 000</w:t>
            </w:r>
          </w:p>
        </w:tc>
      </w:tr>
      <w:tr w:rsidR="00A715AD" w:rsidRPr="00B640EE" w:rsidTr="00682F8E">
        <w:tc>
          <w:tcPr>
            <w:tcW w:w="3369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Внедрение программы дистанционного обучения и разработка модуля для юристов для включения в учебный план</w:t>
            </w:r>
          </w:p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27 000</w:t>
            </w: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27 000</w:t>
            </w:r>
          </w:p>
        </w:tc>
        <w:tc>
          <w:tcPr>
            <w:tcW w:w="2807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27 000</w:t>
            </w:r>
          </w:p>
        </w:tc>
      </w:tr>
      <w:tr w:rsidR="00A715AD" w:rsidRPr="00B640EE" w:rsidTr="00682F8E">
        <w:tc>
          <w:tcPr>
            <w:tcW w:w="3369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Разработка материалов для мероприятий по повышению осведомленности и информационно-разъяснительной работы</w:t>
            </w: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10 000</w:t>
            </w: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20 000</w:t>
            </w: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30 000</w:t>
            </w:r>
          </w:p>
        </w:tc>
        <w:tc>
          <w:tcPr>
            <w:tcW w:w="2807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30 000</w:t>
            </w:r>
          </w:p>
        </w:tc>
      </w:tr>
      <w:tr w:rsidR="00A715AD" w:rsidRPr="00B640EE" w:rsidTr="00682F8E">
        <w:tc>
          <w:tcPr>
            <w:tcW w:w="3369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Административная поддержка 50%</w:t>
            </w: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35 000</w:t>
            </w: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55 000</w:t>
            </w: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90 000</w:t>
            </w: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2807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90 000</w:t>
            </w:r>
          </w:p>
        </w:tc>
      </w:tr>
      <w:tr w:rsidR="00A715AD" w:rsidRPr="00B640EE" w:rsidTr="00682F8E">
        <w:tc>
          <w:tcPr>
            <w:tcW w:w="3369" w:type="dxa"/>
          </w:tcPr>
          <w:p w:rsidR="00A715AD" w:rsidRPr="00B640EE" w:rsidRDefault="00BE55D8" w:rsidP="003C6BB0">
            <w:pPr>
              <w:rPr>
                <w:b/>
                <w:sz w:val="20"/>
              </w:rPr>
            </w:pPr>
            <w:r w:rsidRPr="00B640EE">
              <w:rPr>
                <w:b/>
                <w:sz w:val="20"/>
              </w:rPr>
              <w:t>Итого</w:t>
            </w: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35 000</w:t>
            </w: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124 500</w:t>
            </w: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55 000</w:t>
            </w: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225 000</w:t>
            </w: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90 000</w:t>
            </w: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350 000</w:t>
            </w:r>
          </w:p>
        </w:tc>
        <w:tc>
          <w:tcPr>
            <w:tcW w:w="2807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440 000</w:t>
            </w:r>
          </w:p>
        </w:tc>
      </w:tr>
    </w:tbl>
    <w:p w:rsidR="00BC5216" w:rsidRPr="00B640EE" w:rsidRDefault="00BC5216" w:rsidP="00BC5216">
      <w:pPr>
        <w:rPr>
          <w:szCs w:val="22"/>
        </w:rPr>
      </w:pPr>
    </w:p>
    <w:p w:rsidR="00BC5216" w:rsidRPr="00B640EE" w:rsidRDefault="00BC5216" w:rsidP="00BC5216">
      <w:pPr>
        <w:spacing w:after="200" w:line="276" w:lineRule="auto"/>
        <w:rPr>
          <w:szCs w:val="22"/>
        </w:rPr>
      </w:pPr>
    </w:p>
    <w:p w:rsidR="00A161F0" w:rsidRPr="00B640EE" w:rsidRDefault="00A161F0" w:rsidP="00BC5216">
      <w:pPr>
        <w:spacing w:after="200" w:line="276" w:lineRule="auto"/>
        <w:rPr>
          <w:szCs w:val="22"/>
        </w:rPr>
      </w:pPr>
    </w:p>
    <w:p w:rsidR="00BC5216" w:rsidRPr="00B640EE" w:rsidRDefault="00BE55D8" w:rsidP="00BC5216">
      <w:pPr>
        <w:rPr>
          <w:szCs w:val="22"/>
        </w:rPr>
      </w:pPr>
      <w:r w:rsidRPr="00B640EE">
        <w:t>(b) 2018 г.*</w:t>
      </w:r>
    </w:p>
    <w:p w:rsidR="00BC5216" w:rsidRPr="00B640EE" w:rsidRDefault="00BC5216" w:rsidP="00BC5216">
      <w:pPr>
        <w:rPr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493"/>
        <w:gridCol w:w="1493"/>
        <w:gridCol w:w="1493"/>
        <w:gridCol w:w="1493"/>
        <w:gridCol w:w="2986"/>
      </w:tblGrid>
      <w:tr w:rsidR="00BC5216" w:rsidRPr="00B640EE" w:rsidTr="00682F8E">
        <w:tc>
          <w:tcPr>
            <w:tcW w:w="3369" w:type="dxa"/>
          </w:tcPr>
          <w:p w:rsidR="00BC5216" w:rsidRPr="00B640EE" w:rsidRDefault="00BC5216" w:rsidP="003C6BB0">
            <w:pPr>
              <w:rPr>
                <w:sz w:val="20"/>
              </w:rPr>
            </w:pPr>
          </w:p>
        </w:tc>
        <w:tc>
          <w:tcPr>
            <w:tcW w:w="8958" w:type="dxa"/>
            <w:gridSpan w:val="5"/>
          </w:tcPr>
          <w:p w:rsidR="00BC5216" w:rsidRPr="00B640EE" w:rsidRDefault="00BE55D8" w:rsidP="00E10F69">
            <w:pPr>
              <w:jc w:val="center"/>
              <w:rPr>
                <w:i/>
                <w:sz w:val="20"/>
              </w:rPr>
            </w:pPr>
            <w:r w:rsidRPr="00B640EE">
              <w:rPr>
                <w:i/>
                <w:sz w:val="20"/>
              </w:rPr>
              <w:t>(шв. франки)</w:t>
            </w:r>
          </w:p>
        </w:tc>
      </w:tr>
      <w:tr w:rsidR="00BC5216" w:rsidRPr="00B640EE" w:rsidTr="00682F8E">
        <w:tc>
          <w:tcPr>
            <w:tcW w:w="3369" w:type="dxa"/>
          </w:tcPr>
          <w:p w:rsidR="00BC5216" w:rsidRPr="00B640EE" w:rsidRDefault="00BE55D8" w:rsidP="003C6BB0">
            <w:pPr>
              <w:rPr>
                <w:b/>
                <w:sz w:val="20"/>
              </w:rPr>
            </w:pPr>
            <w:r w:rsidRPr="00B640EE">
              <w:rPr>
                <w:b/>
                <w:sz w:val="20"/>
              </w:rPr>
              <w:t>Результаты проекта</w:t>
            </w:r>
          </w:p>
        </w:tc>
        <w:tc>
          <w:tcPr>
            <w:tcW w:w="2986" w:type="dxa"/>
            <w:gridSpan w:val="2"/>
          </w:tcPr>
          <w:p w:rsidR="00BC5216" w:rsidRPr="00B640EE" w:rsidRDefault="00BE55D8" w:rsidP="00E10F69">
            <w:pPr>
              <w:jc w:val="center"/>
              <w:rPr>
                <w:b/>
                <w:sz w:val="20"/>
              </w:rPr>
            </w:pPr>
            <w:r w:rsidRPr="00B640EE">
              <w:rPr>
                <w:b/>
                <w:sz w:val="20"/>
              </w:rPr>
              <w:t>2018 г.</w:t>
            </w:r>
          </w:p>
        </w:tc>
        <w:tc>
          <w:tcPr>
            <w:tcW w:w="2986" w:type="dxa"/>
            <w:gridSpan w:val="2"/>
          </w:tcPr>
          <w:p w:rsidR="00BC5216" w:rsidRPr="00B640EE" w:rsidRDefault="00BE55D8" w:rsidP="00E10F69">
            <w:pPr>
              <w:jc w:val="center"/>
              <w:rPr>
                <w:b/>
                <w:sz w:val="20"/>
              </w:rPr>
            </w:pPr>
            <w:r w:rsidRPr="00B640EE">
              <w:rPr>
                <w:b/>
                <w:sz w:val="20"/>
              </w:rPr>
              <w:t>Итого</w:t>
            </w:r>
          </w:p>
        </w:tc>
        <w:tc>
          <w:tcPr>
            <w:tcW w:w="2986" w:type="dxa"/>
          </w:tcPr>
          <w:p w:rsidR="00BC5216" w:rsidRPr="00B640EE" w:rsidRDefault="00BE55D8" w:rsidP="00E10F69">
            <w:pPr>
              <w:jc w:val="center"/>
              <w:rPr>
                <w:b/>
                <w:sz w:val="20"/>
              </w:rPr>
            </w:pPr>
            <w:r w:rsidRPr="00B640EE">
              <w:rPr>
                <w:b/>
                <w:sz w:val="20"/>
              </w:rPr>
              <w:t>Итого</w:t>
            </w:r>
          </w:p>
        </w:tc>
      </w:tr>
      <w:tr w:rsidR="00BC5216" w:rsidRPr="00B640EE" w:rsidTr="00682F8E">
        <w:tc>
          <w:tcPr>
            <w:tcW w:w="3369" w:type="dxa"/>
          </w:tcPr>
          <w:p w:rsidR="00BC5216" w:rsidRPr="00B640EE" w:rsidRDefault="00BC5216" w:rsidP="003C6BB0">
            <w:pPr>
              <w:rPr>
                <w:b/>
                <w:sz w:val="20"/>
              </w:rPr>
            </w:pPr>
          </w:p>
        </w:tc>
        <w:tc>
          <w:tcPr>
            <w:tcW w:w="1493" w:type="dxa"/>
          </w:tcPr>
          <w:p w:rsidR="00BC5216" w:rsidRPr="00B640EE" w:rsidRDefault="00BE55D8" w:rsidP="003C6BB0">
            <w:pPr>
              <w:rPr>
                <w:b/>
                <w:sz w:val="20"/>
              </w:rPr>
            </w:pPr>
            <w:r w:rsidRPr="00B640EE">
              <w:rPr>
                <w:b/>
                <w:sz w:val="20"/>
              </w:rPr>
              <w:t>Расходы на персонал</w:t>
            </w:r>
          </w:p>
        </w:tc>
        <w:tc>
          <w:tcPr>
            <w:tcW w:w="1493" w:type="dxa"/>
          </w:tcPr>
          <w:p w:rsidR="00BC5216" w:rsidRPr="00B640EE" w:rsidRDefault="00BE55D8" w:rsidP="003C6BB0">
            <w:pPr>
              <w:rPr>
                <w:b/>
                <w:sz w:val="20"/>
              </w:rPr>
            </w:pPr>
            <w:r w:rsidRPr="00B640EE">
              <w:rPr>
                <w:b/>
                <w:sz w:val="20"/>
              </w:rPr>
              <w:t>Не связанные с персоналом</w:t>
            </w:r>
          </w:p>
        </w:tc>
        <w:tc>
          <w:tcPr>
            <w:tcW w:w="1493" w:type="dxa"/>
          </w:tcPr>
          <w:p w:rsidR="00BC5216" w:rsidRPr="00B640EE" w:rsidRDefault="00BE55D8" w:rsidP="003C6BB0">
            <w:pPr>
              <w:rPr>
                <w:b/>
                <w:sz w:val="20"/>
              </w:rPr>
            </w:pPr>
            <w:r w:rsidRPr="00B640EE">
              <w:rPr>
                <w:b/>
                <w:sz w:val="20"/>
              </w:rPr>
              <w:t>Расходы на персонал</w:t>
            </w:r>
          </w:p>
        </w:tc>
        <w:tc>
          <w:tcPr>
            <w:tcW w:w="1493" w:type="dxa"/>
          </w:tcPr>
          <w:p w:rsidR="00BC5216" w:rsidRPr="00B640EE" w:rsidRDefault="00BE55D8" w:rsidP="003C6BB0">
            <w:pPr>
              <w:rPr>
                <w:b/>
                <w:sz w:val="20"/>
              </w:rPr>
            </w:pPr>
            <w:r w:rsidRPr="00B640EE">
              <w:rPr>
                <w:b/>
                <w:sz w:val="20"/>
              </w:rPr>
              <w:t>Не связанные с персоналом</w:t>
            </w:r>
          </w:p>
        </w:tc>
        <w:tc>
          <w:tcPr>
            <w:tcW w:w="2986" w:type="dxa"/>
          </w:tcPr>
          <w:p w:rsidR="00BC5216" w:rsidRPr="00B640EE" w:rsidRDefault="00BC5216" w:rsidP="003C6BB0">
            <w:pPr>
              <w:rPr>
                <w:b/>
                <w:sz w:val="20"/>
              </w:rPr>
            </w:pPr>
          </w:p>
        </w:tc>
      </w:tr>
      <w:tr w:rsidR="00A715AD" w:rsidRPr="00B640EE" w:rsidTr="00682F8E">
        <w:tc>
          <w:tcPr>
            <w:tcW w:w="3369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Исследование и оценка проекта</w:t>
            </w: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10 000</w:t>
            </w: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10 000</w:t>
            </w:r>
          </w:p>
        </w:tc>
        <w:tc>
          <w:tcPr>
            <w:tcW w:w="2986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10 000</w:t>
            </w:r>
          </w:p>
        </w:tc>
      </w:tr>
      <w:tr w:rsidR="00A715AD" w:rsidRPr="00B640EE" w:rsidTr="00682F8E">
        <w:tc>
          <w:tcPr>
            <w:tcW w:w="3369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Определение координационных центров, национальных органов власти и заинтересованных сторон и разработка стратегий осуществления</w:t>
            </w: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2986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</w:tr>
      <w:tr w:rsidR="00A715AD" w:rsidRPr="00B640EE" w:rsidTr="00682F8E">
        <w:tc>
          <w:tcPr>
            <w:tcW w:w="3369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Практикумы с участием экспертов</w:t>
            </w: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40 000</w:t>
            </w: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40 000</w:t>
            </w:r>
          </w:p>
        </w:tc>
        <w:tc>
          <w:tcPr>
            <w:tcW w:w="2986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40 000</w:t>
            </w:r>
          </w:p>
        </w:tc>
      </w:tr>
      <w:tr w:rsidR="00A715AD" w:rsidRPr="00B640EE" w:rsidTr="00682F8E">
        <w:tc>
          <w:tcPr>
            <w:tcW w:w="3369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Обучение на местах по управлению/сделкам с правами</w:t>
            </w: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30 000</w:t>
            </w: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30 000</w:t>
            </w:r>
          </w:p>
        </w:tc>
        <w:tc>
          <w:tcPr>
            <w:tcW w:w="2986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30 000</w:t>
            </w:r>
          </w:p>
        </w:tc>
      </w:tr>
      <w:tr w:rsidR="00A715AD" w:rsidRPr="00B640EE" w:rsidTr="00682F8E">
        <w:tc>
          <w:tcPr>
            <w:tcW w:w="3369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Поддержка институциональной базы и инфраструктуры АВ сектора</w:t>
            </w: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2986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</w:tr>
      <w:tr w:rsidR="00A715AD" w:rsidRPr="00B640EE" w:rsidTr="00682F8E">
        <w:tc>
          <w:tcPr>
            <w:tcW w:w="3369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Внедрение программы дистанционного обучения и разработка модуля для юристов для включения в учебный план</w:t>
            </w:r>
          </w:p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2986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</w:tr>
      <w:tr w:rsidR="00A715AD" w:rsidRPr="00B640EE" w:rsidTr="00682F8E">
        <w:tc>
          <w:tcPr>
            <w:tcW w:w="3369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Разработка материалов для мероприятий по повышению осведомленности и информационно-разъяснительной работы</w:t>
            </w:r>
          </w:p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2986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</w:tr>
      <w:tr w:rsidR="00A715AD" w:rsidRPr="00B640EE" w:rsidTr="00682F8E">
        <w:tc>
          <w:tcPr>
            <w:tcW w:w="3369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Административная поддержка 50%</w:t>
            </w: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20 000</w:t>
            </w: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20 000</w:t>
            </w:r>
          </w:p>
        </w:tc>
        <w:tc>
          <w:tcPr>
            <w:tcW w:w="1493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2986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20 000</w:t>
            </w:r>
          </w:p>
        </w:tc>
      </w:tr>
      <w:tr w:rsidR="00A715AD" w:rsidRPr="00B640EE" w:rsidTr="00682F8E">
        <w:tc>
          <w:tcPr>
            <w:tcW w:w="3369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ИТОГО</w:t>
            </w: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20 000</w:t>
            </w: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80 000</w:t>
            </w: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20 000</w:t>
            </w:r>
          </w:p>
        </w:tc>
        <w:tc>
          <w:tcPr>
            <w:tcW w:w="1493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80 000</w:t>
            </w:r>
          </w:p>
        </w:tc>
        <w:tc>
          <w:tcPr>
            <w:tcW w:w="2986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100 000</w:t>
            </w:r>
          </w:p>
        </w:tc>
      </w:tr>
    </w:tbl>
    <w:p w:rsidR="00BC5216" w:rsidRPr="00B640EE" w:rsidRDefault="00BC5216" w:rsidP="00BC5216">
      <w:pPr>
        <w:rPr>
          <w:szCs w:val="22"/>
        </w:rPr>
      </w:pPr>
    </w:p>
    <w:p w:rsidR="00BB524D" w:rsidRPr="00B640EE" w:rsidRDefault="00BE55D8" w:rsidP="00BB524D">
      <w:pPr>
        <w:rPr>
          <w:szCs w:val="22"/>
        </w:rPr>
      </w:pPr>
      <w:r w:rsidRPr="00B640EE">
        <w:t>* При условии одобрения Комитетом по программе и бюджету.</w:t>
      </w:r>
    </w:p>
    <w:p w:rsidR="00BB524D" w:rsidRPr="00B640EE" w:rsidRDefault="00BB524D" w:rsidP="00BB524D">
      <w:pPr>
        <w:rPr>
          <w:szCs w:val="22"/>
        </w:rPr>
      </w:pPr>
    </w:p>
    <w:p w:rsidR="00BB524D" w:rsidRPr="00B640EE" w:rsidRDefault="00BB524D" w:rsidP="00BB524D">
      <w:pPr>
        <w:rPr>
          <w:szCs w:val="22"/>
        </w:rPr>
      </w:pPr>
    </w:p>
    <w:p w:rsidR="00BC5216" w:rsidRPr="00B640EE" w:rsidRDefault="00BE55D8" w:rsidP="00BB524D">
      <w:pPr>
        <w:ind w:hanging="112"/>
        <w:rPr>
          <w:bCs/>
          <w:iCs/>
          <w:szCs w:val="22"/>
        </w:rPr>
      </w:pPr>
      <w:r w:rsidRPr="00B640EE">
        <w:t>5.</w:t>
      </w:r>
      <w:r w:rsidRPr="00B640EE">
        <w:tab/>
        <w:t>РЕСУРСЫ, НЕ СВЯЗАННЫЕ С ПЕРСОНАЛОМ, В РАЗБИВКЕ ПО КАТЕГОРИЯМ РАСХОДОВ</w:t>
      </w:r>
    </w:p>
    <w:p w:rsidR="00BB524D" w:rsidRPr="00B640EE" w:rsidRDefault="00BB524D" w:rsidP="00BB524D">
      <w:pPr>
        <w:rPr>
          <w:bCs/>
          <w:iCs/>
          <w:szCs w:val="22"/>
        </w:rPr>
      </w:pPr>
    </w:p>
    <w:p w:rsidR="00BC5216" w:rsidRPr="00B640EE" w:rsidRDefault="00BE55D8" w:rsidP="00BC5216">
      <w:pPr>
        <w:ind w:hanging="142"/>
        <w:rPr>
          <w:szCs w:val="22"/>
        </w:rPr>
      </w:pPr>
      <w:r w:rsidRPr="00B640EE">
        <w:t>(a) Двухлетний период 2016</w:t>
      </w:r>
      <w:r w:rsidRPr="00B640EE">
        <w:rPr>
          <w:rtl/>
          <w:cs/>
        </w:rPr>
        <w:t>–</w:t>
      </w:r>
      <w:r w:rsidRPr="00B640EE">
        <w:t>2017 гг.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1659"/>
        <w:gridCol w:w="1406"/>
        <w:gridCol w:w="1374"/>
        <w:gridCol w:w="1591"/>
        <w:gridCol w:w="1425"/>
        <w:gridCol w:w="2118"/>
        <w:gridCol w:w="1545"/>
        <w:gridCol w:w="939"/>
      </w:tblGrid>
      <w:tr w:rsidR="00BC5216" w:rsidRPr="00B640EE" w:rsidTr="00682F8E">
        <w:tc>
          <w:tcPr>
            <w:tcW w:w="3085" w:type="dxa"/>
          </w:tcPr>
          <w:p w:rsidR="00BC5216" w:rsidRPr="00B640EE" w:rsidRDefault="00BC5216" w:rsidP="003C6BB0">
            <w:pPr>
              <w:rPr>
                <w:sz w:val="20"/>
              </w:rPr>
            </w:pPr>
          </w:p>
        </w:tc>
        <w:tc>
          <w:tcPr>
            <w:tcW w:w="12049" w:type="dxa"/>
            <w:gridSpan w:val="8"/>
          </w:tcPr>
          <w:p w:rsidR="00BC5216" w:rsidRPr="00B640EE" w:rsidRDefault="00BE55D8" w:rsidP="00E10F69">
            <w:pPr>
              <w:jc w:val="center"/>
              <w:rPr>
                <w:i/>
                <w:sz w:val="20"/>
              </w:rPr>
            </w:pPr>
            <w:r w:rsidRPr="00B640EE">
              <w:rPr>
                <w:i/>
                <w:sz w:val="20"/>
              </w:rPr>
              <w:t>(шв. франки)</w:t>
            </w:r>
          </w:p>
        </w:tc>
      </w:tr>
      <w:tr w:rsidR="00BC5216" w:rsidRPr="00B640EE" w:rsidTr="00682F8E">
        <w:tc>
          <w:tcPr>
            <w:tcW w:w="3085" w:type="dxa"/>
            <w:vMerge w:val="restart"/>
          </w:tcPr>
          <w:p w:rsidR="00BC5216" w:rsidRPr="00B640EE" w:rsidRDefault="00BE55D8" w:rsidP="003C6BB0">
            <w:pPr>
              <w:rPr>
                <w:sz w:val="20"/>
              </w:rPr>
            </w:pPr>
            <w:r w:rsidRPr="00B640EE">
              <w:rPr>
                <w:b/>
                <w:sz w:val="20"/>
              </w:rPr>
              <w:t>Виды деятельности</w:t>
            </w:r>
          </w:p>
        </w:tc>
        <w:tc>
          <w:tcPr>
            <w:tcW w:w="4441" w:type="dxa"/>
            <w:gridSpan w:val="3"/>
          </w:tcPr>
          <w:p w:rsidR="00BC5216" w:rsidRPr="00B640EE" w:rsidRDefault="00BE55D8" w:rsidP="00E10F69">
            <w:pPr>
              <w:jc w:val="center"/>
              <w:rPr>
                <w:b/>
                <w:bCs/>
                <w:sz w:val="20"/>
              </w:rPr>
            </w:pPr>
            <w:r w:rsidRPr="00B640EE">
              <w:rPr>
                <w:b/>
                <w:sz w:val="20"/>
              </w:rPr>
              <w:t>Поездки, обучение и гранты</w:t>
            </w:r>
          </w:p>
        </w:tc>
        <w:tc>
          <w:tcPr>
            <w:tcW w:w="6680" w:type="dxa"/>
            <w:gridSpan w:val="4"/>
          </w:tcPr>
          <w:p w:rsidR="00BC5216" w:rsidRPr="00B640EE" w:rsidRDefault="00BE55D8" w:rsidP="00E10F69">
            <w:pPr>
              <w:jc w:val="center"/>
              <w:rPr>
                <w:sz w:val="20"/>
              </w:rPr>
            </w:pPr>
            <w:r w:rsidRPr="00B640EE">
              <w:rPr>
                <w:b/>
                <w:sz w:val="20"/>
              </w:rPr>
              <w:t>Услуги по контрактам</w:t>
            </w:r>
          </w:p>
        </w:tc>
        <w:tc>
          <w:tcPr>
            <w:tcW w:w="928" w:type="dxa"/>
            <w:vMerge w:val="restart"/>
          </w:tcPr>
          <w:p w:rsidR="00BC5216" w:rsidRPr="00B640EE" w:rsidRDefault="00BE55D8" w:rsidP="003C6BB0">
            <w:pPr>
              <w:rPr>
                <w:b/>
                <w:sz w:val="20"/>
              </w:rPr>
            </w:pPr>
            <w:r w:rsidRPr="00B640EE">
              <w:rPr>
                <w:b/>
                <w:sz w:val="20"/>
              </w:rPr>
              <w:t>Итого</w:t>
            </w:r>
          </w:p>
        </w:tc>
      </w:tr>
      <w:tr w:rsidR="00BC5216" w:rsidRPr="00B640EE" w:rsidTr="00682F8E">
        <w:trPr>
          <w:trHeight w:val="1140"/>
        </w:trPr>
        <w:tc>
          <w:tcPr>
            <w:tcW w:w="3085" w:type="dxa"/>
            <w:vMerge/>
          </w:tcPr>
          <w:p w:rsidR="00BC5216" w:rsidRPr="00B640EE" w:rsidRDefault="00BC5216" w:rsidP="003C6BB0">
            <w:pPr>
              <w:rPr>
                <w:b/>
                <w:sz w:val="20"/>
              </w:rPr>
            </w:pPr>
          </w:p>
        </w:tc>
        <w:tc>
          <w:tcPr>
            <w:tcW w:w="1659" w:type="dxa"/>
          </w:tcPr>
          <w:p w:rsidR="00BC5216" w:rsidRPr="00B640EE" w:rsidRDefault="00BE55D8" w:rsidP="003C6BB0">
            <w:pPr>
              <w:rPr>
                <w:sz w:val="20"/>
              </w:rPr>
            </w:pPr>
            <w:r w:rsidRPr="00B640EE">
              <w:rPr>
                <w:b/>
                <w:sz w:val="20"/>
              </w:rPr>
              <w:t>Служебные командировки</w:t>
            </w:r>
          </w:p>
        </w:tc>
        <w:tc>
          <w:tcPr>
            <w:tcW w:w="1408" w:type="dxa"/>
          </w:tcPr>
          <w:p w:rsidR="00BC5216" w:rsidRPr="00B640EE" w:rsidRDefault="00BE55D8" w:rsidP="003C6BB0">
            <w:pPr>
              <w:rPr>
                <w:sz w:val="20"/>
              </w:rPr>
            </w:pPr>
            <w:r w:rsidRPr="00B640EE">
              <w:rPr>
                <w:b/>
                <w:sz w:val="20"/>
              </w:rPr>
              <w:t>Поездки третьих лиц</w:t>
            </w:r>
          </w:p>
        </w:tc>
        <w:tc>
          <w:tcPr>
            <w:tcW w:w="1374" w:type="dxa"/>
          </w:tcPr>
          <w:p w:rsidR="00BC5216" w:rsidRPr="00B640EE" w:rsidRDefault="00BE55D8" w:rsidP="003C6BB0">
            <w:pPr>
              <w:rPr>
                <w:b/>
                <w:bCs/>
                <w:sz w:val="20"/>
              </w:rPr>
            </w:pPr>
            <w:r w:rsidRPr="00B640EE">
              <w:rPr>
                <w:b/>
                <w:sz w:val="20"/>
              </w:rPr>
              <w:t>Обучение и связанные с ним гранты на поездки</w:t>
            </w:r>
          </w:p>
        </w:tc>
        <w:tc>
          <w:tcPr>
            <w:tcW w:w="1591" w:type="dxa"/>
          </w:tcPr>
          <w:p w:rsidR="00BC5216" w:rsidRPr="00B640EE" w:rsidRDefault="00BE55D8" w:rsidP="003C6BB0">
            <w:pPr>
              <w:rPr>
                <w:sz w:val="20"/>
              </w:rPr>
            </w:pPr>
            <w:r w:rsidRPr="00B640EE">
              <w:rPr>
                <w:b/>
                <w:sz w:val="20"/>
              </w:rPr>
              <w:t>Конференции</w:t>
            </w:r>
          </w:p>
        </w:tc>
        <w:tc>
          <w:tcPr>
            <w:tcW w:w="1425" w:type="dxa"/>
          </w:tcPr>
          <w:p w:rsidR="00BC5216" w:rsidRPr="00B640EE" w:rsidRDefault="00BE55D8" w:rsidP="003C6BB0">
            <w:pPr>
              <w:rPr>
                <w:b/>
                <w:bCs/>
                <w:sz w:val="20"/>
              </w:rPr>
            </w:pPr>
            <w:r w:rsidRPr="00B640EE">
              <w:rPr>
                <w:b/>
                <w:sz w:val="20"/>
              </w:rPr>
              <w:t>Публикации</w:t>
            </w:r>
          </w:p>
        </w:tc>
        <w:tc>
          <w:tcPr>
            <w:tcW w:w="2118" w:type="dxa"/>
          </w:tcPr>
          <w:p w:rsidR="00BC5216" w:rsidRPr="00B640EE" w:rsidRDefault="00BE55D8" w:rsidP="003C6BB0">
            <w:pPr>
              <w:rPr>
                <w:sz w:val="20"/>
              </w:rPr>
            </w:pPr>
            <w:r w:rsidRPr="00B640EE">
              <w:rPr>
                <w:b/>
                <w:sz w:val="20"/>
              </w:rPr>
              <w:t>Услуги по контрактам с индивидуальными подрядчиками</w:t>
            </w:r>
          </w:p>
        </w:tc>
        <w:tc>
          <w:tcPr>
            <w:tcW w:w="1546" w:type="dxa"/>
          </w:tcPr>
          <w:p w:rsidR="00BC5216" w:rsidRPr="00B640EE" w:rsidRDefault="00BE55D8" w:rsidP="003C6BB0">
            <w:pPr>
              <w:rPr>
                <w:sz w:val="20"/>
              </w:rPr>
            </w:pPr>
            <w:r w:rsidRPr="00B640EE">
              <w:rPr>
                <w:b/>
                <w:sz w:val="20"/>
              </w:rPr>
              <w:t>Прочие услуги по контрактам</w:t>
            </w:r>
          </w:p>
        </w:tc>
        <w:tc>
          <w:tcPr>
            <w:tcW w:w="928" w:type="dxa"/>
            <w:vMerge/>
          </w:tcPr>
          <w:p w:rsidR="00BC5216" w:rsidRPr="00B640EE" w:rsidRDefault="00BC5216" w:rsidP="003C6BB0">
            <w:pPr>
              <w:rPr>
                <w:sz w:val="20"/>
              </w:rPr>
            </w:pPr>
          </w:p>
        </w:tc>
      </w:tr>
      <w:tr w:rsidR="00A715AD" w:rsidRPr="00B640EE" w:rsidTr="00682F8E">
        <w:tc>
          <w:tcPr>
            <w:tcW w:w="3085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Исследование</w:t>
            </w:r>
          </w:p>
        </w:tc>
        <w:tc>
          <w:tcPr>
            <w:tcW w:w="1659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08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374" w:type="dxa"/>
          </w:tcPr>
          <w:p w:rsidR="00A715AD" w:rsidRPr="00B640EE" w:rsidRDefault="00A715AD" w:rsidP="009A5DEA">
            <w:pPr>
              <w:rPr>
                <w:sz w:val="20"/>
              </w:rPr>
            </w:pPr>
          </w:p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591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25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2118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20 000</w:t>
            </w:r>
          </w:p>
        </w:tc>
        <w:tc>
          <w:tcPr>
            <w:tcW w:w="1546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928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20 000</w:t>
            </w:r>
          </w:p>
        </w:tc>
      </w:tr>
      <w:tr w:rsidR="00A715AD" w:rsidRPr="00B640EE" w:rsidTr="00682F8E">
        <w:tc>
          <w:tcPr>
            <w:tcW w:w="3085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Определение координационных центров, национальных органов власти и заинтересованных сторон и разработка стратегий осуществления</w:t>
            </w:r>
          </w:p>
        </w:tc>
        <w:tc>
          <w:tcPr>
            <w:tcW w:w="1659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08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5 000</w:t>
            </w:r>
          </w:p>
        </w:tc>
        <w:tc>
          <w:tcPr>
            <w:tcW w:w="1374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591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25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2118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20 000</w:t>
            </w:r>
          </w:p>
        </w:tc>
        <w:tc>
          <w:tcPr>
            <w:tcW w:w="1546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928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25 000</w:t>
            </w:r>
          </w:p>
        </w:tc>
      </w:tr>
      <w:tr w:rsidR="00A715AD" w:rsidRPr="00B640EE" w:rsidTr="00682F8E">
        <w:tc>
          <w:tcPr>
            <w:tcW w:w="3085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Практикумы с участием экспертов</w:t>
            </w:r>
          </w:p>
        </w:tc>
        <w:tc>
          <w:tcPr>
            <w:tcW w:w="1659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31 000</w:t>
            </w:r>
          </w:p>
        </w:tc>
        <w:tc>
          <w:tcPr>
            <w:tcW w:w="1408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62 000</w:t>
            </w:r>
          </w:p>
        </w:tc>
        <w:tc>
          <w:tcPr>
            <w:tcW w:w="1374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591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40 000</w:t>
            </w:r>
          </w:p>
        </w:tc>
        <w:tc>
          <w:tcPr>
            <w:tcW w:w="1425" w:type="dxa"/>
          </w:tcPr>
          <w:p w:rsidR="00A715AD" w:rsidRPr="00B640EE" w:rsidRDefault="00A715AD" w:rsidP="009A5DEA">
            <w:pPr>
              <w:rPr>
                <w:sz w:val="20"/>
              </w:rPr>
            </w:pPr>
          </w:p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2118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546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928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133 000</w:t>
            </w:r>
          </w:p>
        </w:tc>
      </w:tr>
      <w:tr w:rsidR="00A715AD" w:rsidRPr="00B640EE" w:rsidTr="00682F8E">
        <w:tc>
          <w:tcPr>
            <w:tcW w:w="3085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Обучение на местах по управлению</w:t>
            </w:r>
          </w:p>
        </w:tc>
        <w:tc>
          <w:tcPr>
            <w:tcW w:w="1659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15 000</w:t>
            </w:r>
          </w:p>
        </w:tc>
        <w:tc>
          <w:tcPr>
            <w:tcW w:w="1408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374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591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6 000</w:t>
            </w:r>
          </w:p>
        </w:tc>
        <w:tc>
          <w:tcPr>
            <w:tcW w:w="1425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2118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34 000</w:t>
            </w:r>
          </w:p>
        </w:tc>
        <w:tc>
          <w:tcPr>
            <w:tcW w:w="1546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928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55 000</w:t>
            </w:r>
          </w:p>
        </w:tc>
      </w:tr>
      <w:tr w:rsidR="00A715AD" w:rsidRPr="00B640EE" w:rsidTr="00682F8E">
        <w:tc>
          <w:tcPr>
            <w:tcW w:w="3085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Поддержка институциональной базы и инфраструктуры АВ сектора</w:t>
            </w:r>
          </w:p>
        </w:tc>
        <w:tc>
          <w:tcPr>
            <w:tcW w:w="1659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10 000</w:t>
            </w:r>
          </w:p>
        </w:tc>
        <w:tc>
          <w:tcPr>
            <w:tcW w:w="1408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15 000</w:t>
            </w:r>
          </w:p>
        </w:tc>
        <w:tc>
          <w:tcPr>
            <w:tcW w:w="1374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591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5 000</w:t>
            </w:r>
          </w:p>
        </w:tc>
        <w:tc>
          <w:tcPr>
            <w:tcW w:w="1425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2118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30 000</w:t>
            </w:r>
          </w:p>
        </w:tc>
        <w:tc>
          <w:tcPr>
            <w:tcW w:w="1546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928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60 000</w:t>
            </w:r>
          </w:p>
        </w:tc>
      </w:tr>
      <w:tr w:rsidR="00A715AD" w:rsidRPr="00B640EE" w:rsidTr="00682F8E">
        <w:tc>
          <w:tcPr>
            <w:tcW w:w="3085" w:type="dxa"/>
          </w:tcPr>
          <w:p w:rsidR="00A715AD" w:rsidRPr="00B640EE" w:rsidRDefault="00BE55D8" w:rsidP="00A17CA0">
            <w:pPr>
              <w:rPr>
                <w:sz w:val="20"/>
              </w:rPr>
            </w:pPr>
            <w:r w:rsidRPr="00B640EE">
              <w:rPr>
                <w:sz w:val="20"/>
              </w:rPr>
              <w:t>Внедрение программы дистанционного обучения и разработка модуля для юристов для включения в учебный план</w:t>
            </w:r>
          </w:p>
        </w:tc>
        <w:tc>
          <w:tcPr>
            <w:tcW w:w="1659" w:type="dxa"/>
            <w:vAlign w:val="center"/>
          </w:tcPr>
          <w:p w:rsidR="00A715AD" w:rsidRPr="00B640EE" w:rsidRDefault="00A715AD" w:rsidP="003C6BB0">
            <w:pPr>
              <w:rPr>
                <w:b/>
                <w:sz w:val="20"/>
              </w:rPr>
            </w:pPr>
          </w:p>
        </w:tc>
        <w:tc>
          <w:tcPr>
            <w:tcW w:w="1408" w:type="dxa"/>
            <w:vAlign w:val="center"/>
          </w:tcPr>
          <w:p w:rsidR="00A715AD" w:rsidRPr="00B640EE" w:rsidRDefault="00A715AD" w:rsidP="003C6BB0">
            <w:pPr>
              <w:rPr>
                <w:b/>
                <w:sz w:val="20"/>
              </w:rPr>
            </w:pPr>
          </w:p>
        </w:tc>
        <w:tc>
          <w:tcPr>
            <w:tcW w:w="1374" w:type="dxa"/>
          </w:tcPr>
          <w:p w:rsidR="00A715AD" w:rsidRPr="00B640EE" w:rsidRDefault="00A715AD" w:rsidP="003C6BB0">
            <w:pPr>
              <w:rPr>
                <w:b/>
                <w:sz w:val="20"/>
              </w:rPr>
            </w:pPr>
          </w:p>
        </w:tc>
        <w:tc>
          <w:tcPr>
            <w:tcW w:w="1591" w:type="dxa"/>
            <w:vAlign w:val="center"/>
          </w:tcPr>
          <w:p w:rsidR="00A715AD" w:rsidRPr="00B640EE" w:rsidRDefault="00A715AD" w:rsidP="003C6BB0">
            <w:pPr>
              <w:rPr>
                <w:b/>
                <w:sz w:val="20"/>
              </w:rPr>
            </w:pPr>
          </w:p>
        </w:tc>
        <w:tc>
          <w:tcPr>
            <w:tcW w:w="1425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2118" w:type="dxa"/>
            <w:vAlign w:val="center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27 000</w:t>
            </w:r>
          </w:p>
        </w:tc>
        <w:tc>
          <w:tcPr>
            <w:tcW w:w="1546" w:type="dxa"/>
            <w:vAlign w:val="center"/>
          </w:tcPr>
          <w:p w:rsidR="00A715AD" w:rsidRPr="00B640EE" w:rsidRDefault="00A715AD" w:rsidP="003C6BB0">
            <w:pPr>
              <w:rPr>
                <w:b/>
                <w:sz w:val="20"/>
              </w:rPr>
            </w:pPr>
          </w:p>
        </w:tc>
        <w:tc>
          <w:tcPr>
            <w:tcW w:w="928" w:type="dxa"/>
            <w:vAlign w:val="center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27 000</w:t>
            </w:r>
          </w:p>
        </w:tc>
      </w:tr>
      <w:tr w:rsidR="00A715AD" w:rsidRPr="00B640EE" w:rsidTr="00682F8E">
        <w:tc>
          <w:tcPr>
            <w:tcW w:w="3085" w:type="dxa"/>
          </w:tcPr>
          <w:p w:rsidR="00A715AD" w:rsidRPr="00B640EE" w:rsidRDefault="00BE55D8" w:rsidP="00A17CA0">
            <w:pPr>
              <w:rPr>
                <w:sz w:val="20"/>
              </w:rPr>
            </w:pPr>
            <w:r w:rsidRPr="00B640EE">
              <w:rPr>
                <w:sz w:val="20"/>
              </w:rPr>
              <w:t>Разработка материалов для мероприятий по повышению осведомленности и информационно-разъяснительной работы</w:t>
            </w:r>
          </w:p>
        </w:tc>
        <w:tc>
          <w:tcPr>
            <w:tcW w:w="1659" w:type="dxa"/>
            <w:vAlign w:val="center"/>
          </w:tcPr>
          <w:p w:rsidR="00A715AD" w:rsidRPr="00B640EE" w:rsidRDefault="00A715AD" w:rsidP="003C6BB0">
            <w:pPr>
              <w:rPr>
                <w:b/>
                <w:sz w:val="20"/>
              </w:rPr>
            </w:pPr>
          </w:p>
        </w:tc>
        <w:tc>
          <w:tcPr>
            <w:tcW w:w="1408" w:type="dxa"/>
            <w:vAlign w:val="center"/>
          </w:tcPr>
          <w:p w:rsidR="00A715AD" w:rsidRPr="00B640EE" w:rsidRDefault="00A715AD" w:rsidP="003C6BB0">
            <w:pPr>
              <w:rPr>
                <w:b/>
                <w:sz w:val="20"/>
              </w:rPr>
            </w:pPr>
          </w:p>
        </w:tc>
        <w:tc>
          <w:tcPr>
            <w:tcW w:w="1374" w:type="dxa"/>
          </w:tcPr>
          <w:p w:rsidR="00A715AD" w:rsidRPr="00B640EE" w:rsidRDefault="00A715AD" w:rsidP="003C6BB0">
            <w:pPr>
              <w:rPr>
                <w:b/>
                <w:sz w:val="20"/>
              </w:rPr>
            </w:pPr>
          </w:p>
        </w:tc>
        <w:tc>
          <w:tcPr>
            <w:tcW w:w="1591" w:type="dxa"/>
            <w:vAlign w:val="center"/>
          </w:tcPr>
          <w:p w:rsidR="00A715AD" w:rsidRPr="00B640EE" w:rsidRDefault="00A715AD" w:rsidP="003C6BB0">
            <w:pPr>
              <w:rPr>
                <w:b/>
                <w:sz w:val="20"/>
              </w:rPr>
            </w:pPr>
          </w:p>
        </w:tc>
        <w:tc>
          <w:tcPr>
            <w:tcW w:w="1425" w:type="dxa"/>
          </w:tcPr>
          <w:p w:rsidR="00A715AD" w:rsidRPr="00B640EE" w:rsidRDefault="00BE55D8" w:rsidP="009A5DEA">
            <w:pPr>
              <w:rPr>
                <w:sz w:val="20"/>
              </w:rPr>
            </w:pPr>
            <w:r w:rsidRPr="00B640EE">
              <w:rPr>
                <w:sz w:val="20"/>
              </w:rPr>
              <w:t>10 000</w:t>
            </w:r>
          </w:p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2118" w:type="dxa"/>
            <w:vAlign w:val="center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20 000</w:t>
            </w:r>
          </w:p>
        </w:tc>
        <w:tc>
          <w:tcPr>
            <w:tcW w:w="1546" w:type="dxa"/>
            <w:vAlign w:val="center"/>
          </w:tcPr>
          <w:p w:rsidR="00A715AD" w:rsidRPr="00B640EE" w:rsidRDefault="00A715AD" w:rsidP="003C6BB0">
            <w:pPr>
              <w:rPr>
                <w:b/>
                <w:sz w:val="20"/>
              </w:rPr>
            </w:pPr>
          </w:p>
        </w:tc>
        <w:tc>
          <w:tcPr>
            <w:tcW w:w="928" w:type="dxa"/>
            <w:vAlign w:val="center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30 000</w:t>
            </w:r>
          </w:p>
        </w:tc>
      </w:tr>
      <w:tr w:rsidR="00A715AD" w:rsidRPr="00B640EE" w:rsidTr="00682F8E">
        <w:tc>
          <w:tcPr>
            <w:tcW w:w="3085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ИТОГО</w:t>
            </w:r>
          </w:p>
        </w:tc>
        <w:tc>
          <w:tcPr>
            <w:tcW w:w="1659" w:type="dxa"/>
            <w:vAlign w:val="center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56 000</w:t>
            </w:r>
          </w:p>
        </w:tc>
        <w:tc>
          <w:tcPr>
            <w:tcW w:w="1408" w:type="dxa"/>
            <w:vAlign w:val="center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82 000</w:t>
            </w:r>
          </w:p>
        </w:tc>
        <w:tc>
          <w:tcPr>
            <w:tcW w:w="1374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591" w:type="dxa"/>
            <w:vAlign w:val="center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51 000</w:t>
            </w:r>
          </w:p>
        </w:tc>
        <w:tc>
          <w:tcPr>
            <w:tcW w:w="1425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10 000</w:t>
            </w:r>
          </w:p>
        </w:tc>
        <w:tc>
          <w:tcPr>
            <w:tcW w:w="2118" w:type="dxa"/>
            <w:vAlign w:val="center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151 000</w:t>
            </w:r>
          </w:p>
        </w:tc>
        <w:tc>
          <w:tcPr>
            <w:tcW w:w="1546" w:type="dxa"/>
            <w:vAlign w:val="center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928" w:type="dxa"/>
            <w:vAlign w:val="center"/>
          </w:tcPr>
          <w:p w:rsidR="00A715AD" w:rsidRPr="00B640EE" w:rsidRDefault="00BE55D8" w:rsidP="003C6BB0">
            <w:pPr>
              <w:rPr>
                <w:b/>
                <w:sz w:val="20"/>
              </w:rPr>
            </w:pPr>
            <w:r w:rsidRPr="00B640EE">
              <w:rPr>
                <w:sz w:val="20"/>
              </w:rPr>
              <w:t>350 000</w:t>
            </w:r>
          </w:p>
        </w:tc>
      </w:tr>
    </w:tbl>
    <w:p w:rsidR="00A715AD" w:rsidRPr="00B640EE" w:rsidRDefault="00A715AD" w:rsidP="00BC5216">
      <w:pPr>
        <w:ind w:hanging="142"/>
        <w:rPr>
          <w:szCs w:val="22"/>
        </w:rPr>
      </w:pPr>
    </w:p>
    <w:p w:rsidR="00BC5216" w:rsidRPr="00B640EE" w:rsidRDefault="00BE55D8" w:rsidP="00BC5216">
      <w:pPr>
        <w:ind w:hanging="142"/>
        <w:rPr>
          <w:szCs w:val="22"/>
        </w:rPr>
      </w:pPr>
      <w:r w:rsidRPr="00B640EE">
        <w:t>(b) 2018 г.*</w:t>
      </w:r>
    </w:p>
    <w:p w:rsidR="00E52A3D" w:rsidRPr="00B640EE" w:rsidRDefault="00E52A3D" w:rsidP="00BC5216">
      <w:pPr>
        <w:ind w:hanging="142"/>
        <w:rPr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659"/>
        <w:gridCol w:w="1414"/>
        <w:gridCol w:w="1321"/>
        <w:gridCol w:w="1652"/>
        <w:gridCol w:w="1467"/>
        <w:gridCol w:w="2118"/>
        <w:gridCol w:w="1431"/>
        <w:gridCol w:w="987"/>
      </w:tblGrid>
      <w:tr w:rsidR="00BC5216" w:rsidRPr="00B640EE" w:rsidTr="00B640EE">
        <w:tc>
          <w:tcPr>
            <w:tcW w:w="3085" w:type="dxa"/>
          </w:tcPr>
          <w:p w:rsidR="00BC5216" w:rsidRPr="00B640EE" w:rsidRDefault="00BC5216" w:rsidP="003C6BB0">
            <w:pPr>
              <w:rPr>
                <w:sz w:val="20"/>
              </w:rPr>
            </w:pPr>
          </w:p>
        </w:tc>
        <w:tc>
          <w:tcPr>
            <w:tcW w:w="12049" w:type="dxa"/>
            <w:gridSpan w:val="8"/>
          </w:tcPr>
          <w:p w:rsidR="00BC5216" w:rsidRPr="00B640EE" w:rsidRDefault="00BE55D8" w:rsidP="00E10F69">
            <w:pPr>
              <w:jc w:val="center"/>
              <w:rPr>
                <w:i/>
                <w:sz w:val="20"/>
              </w:rPr>
            </w:pPr>
            <w:r w:rsidRPr="00B640EE">
              <w:rPr>
                <w:i/>
                <w:sz w:val="20"/>
              </w:rPr>
              <w:t>(шв. франки)</w:t>
            </w:r>
          </w:p>
        </w:tc>
      </w:tr>
      <w:tr w:rsidR="00BC5216" w:rsidRPr="00B640EE" w:rsidTr="00B640EE">
        <w:tc>
          <w:tcPr>
            <w:tcW w:w="3085" w:type="dxa"/>
            <w:vMerge w:val="restart"/>
          </w:tcPr>
          <w:p w:rsidR="00BC5216" w:rsidRPr="00B640EE" w:rsidRDefault="00BE55D8" w:rsidP="003C6BB0">
            <w:pPr>
              <w:rPr>
                <w:sz w:val="20"/>
              </w:rPr>
            </w:pPr>
            <w:r w:rsidRPr="00B640EE">
              <w:rPr>
                <w:b/>
                <w:sz w:val="20"/>
              </w:rPr>
              <w:t>Виды деятельности</w:t>
            </w:r>
          </w:p>
        </w:tc>
        <w:tc>
          <w:tcPr>
            <w:tcW w:w="4394" w:type="dxa"/>
            <w:gridSpan w:val="3"/>
          </w:tcPr>
          <w:p w:rsidR="00BC5216" w:rsidRPr="00B640EE" w:rsidRDefault="00BE55D8" w:rsidP="00E10F69">
            <w:pPr>
              <w:jc w:val="center"/>
              <w:rPr>
                <w:b/>
                <w:bCs/>
                <w:sz w:val="20"/>
              </w:rPr>
            </w:pPr>
            <w:r w:rsidRPr="00B640EE">
              <w:rPr>
                <w:b/>
                <w:sz w:val="20"/>
              </w:rPr>
              <w:t>Поездки, обучение и гранты</w:t>
            </w:r>
          </w:p>
        </w:tc>
        <w:tc>
          <w:tcPr>
            <w:tcW w:w="6668" w:type="dxa"/>
            <w:gridSpan w:val="4"/>
          </w:tcPr>
          <w:p w:rsidR="00BC5216" w:rsidRPr="00B640EE" w:rsidRDefault="00BE55D8" w:rsidP="00E10F69">
            <w:pPr>
              <w:jc w:val="center"/>
              <w:rPr>
                <w:sz w:val="20"/>
              </w:rPr>
            </w:pPr>
            <w:r w:rsidRPr="00B640EE">
              <w:rPr>
                <w:b/>
                <w:sz w:val="20"/>
              </w:rPr>
              <w:t>Услуги по контрактам</w:t>
            </w:r>
          </w:p>
        </w:tc>
        <w:tc>
          <w:tcPr>
            <w:tcW w:w="987" w:type="dxa"/>
            <w:vMerge w:val="restart"/>
          </w:tcPr>
          <w:p w:rsidR="00BC5216" w:rsidRPr="00B640EE" w:rsidRDefault="00BE55D8" w:rsidP="003C6BB0">
            <w:pPr>
              <w:rPr>
                <w:b/>
                <w:sz w:val="20"/>
              </w:rPr>
            </w:pPr>
            <w:r w:rsidRPr="00B640EE">
              <w:rPr>
                <w:b/>
                <w:sz w:val="20"/>
              </w:rPr>
              <w:t>Итого</w:t>
            </w:r>
          </w:p>
        </w:tc>
      </w:tr>
      <w:tr w:rsidR="00BC5216" w:rsidRPr="00B640EE" w:rsidTr="00B640EE">
        <w:tc>
          <w:tcPr>
            <w:tcW w:w="3085" w:type="dxa"/>
            <w:vMerge/>
          </w:tcPr>
          <w:p w:rsidR="00BC5216" w:rsidRPr="00B640EE" w:rsidRDefault="00BC5216" w:rsidP="003C6BB0">
            <w:pPr>
              <w:rPr>
                <w:b/>
                <w:sz w:val="20"/>
              </w:rPr>
            </w:pPr>
          </w:p>
        </w:tc>
        <w:tc>
          <w:tcPr>
            <w:tcW w:w="1659" w:type="dxa"/>
          </w:tcPr>
          <w:p w:rsidR="00BC5216" w:rsidRPr="00B640EE" w:rsidRDefault="00BE55D8" w:rsidP="003C6BB0">
            <w:pPr>
              <w:rPr>
                <w:sz w:val="20"/>
              </w:rPr>
            </w:pPr>
            <w:r w:rsidRPr="00B640EE">
              <w:rPr>
                <w:b/>
                <w:sz w:val="20"/>
              </w:rPr>
              <w:t>Служебные командировки</w:t>
            </w:r>
          </w:p>
        </w:tc>
        <w:tc>
          <w:tcPr>
            <w:tcW w:w="1414" w:type="dxa"/>
          </w:tcPr>
          <w:p w:rsidR="00BC5216" w:rsidRPr="00B640EE" w:rsidRDefault="00BE55D8" w:rsidP="003C6BB0">
            <w:pPr>
              <w:rPr>
                <w:sz w:val="20"/>
              </w:rPr>
            </w:pPr>
            <w:r w:rsidRPr="00B640EE">
              <w:rPr>
                <w:b/>
                <w:sz w:val="20"/>
              </w:rPr>
              <w:t>Поездки третьих лиц</w:t>
            </w:r>
          </w:p>
        </w:tc>
        <w:tc>
          <w:tcPr>
            <w:tcW w:w="1321" w:type="dxa"/>
          </w:tcPr>
          <w:p w:rsidR="00BC5216" w:rsidRPr="00B640EE" w:rsidRDefault="00BE55D8" w:rsidP="003C6BB0">
            <w:pPr>
              <w:rPr>
                <w:b/>
                <w:bCs/>
                <w:sz w:val="20"/>
              </w:rPr>
            </w:pPr>
            <w:r w:rsidRPr="00B640EE">
              <w:rPr>
                <w:b/>
                <w:sz w:val="20"/>
              </w:rPr>
              <w:t>Обучение и связанные с ним гранты на поездки</w:t>
            </w:r>
          </w:p>
        </w:tc>
        <w:tc>
          <w:tcPr>
            <w:tcW w:w="1652" w:type="dxa"/>
          </w:tcPr>
          <w:p w:rsidR="00BC5216" w:rsidRPr="00B640EE" w:rsidRDefault="00BE55D8" w:rsidP="003C6BB0">
            <w:pPr>
              <w:rPr>
                <w:sz w:val="20"/>
              </w:rPr>
            </w:pPr>
            <w:r w:rsidRPr="00B640EE">
              <w:rPr>
                <w:b/>
                <w:sz w:val="20"/>
              </w:rPr>
              <w:t>Конференции</w:t>
            </w:r>
          </w:p>
        </w:tc>
        <w:tc>
          <w:tcPr>
            <w:tcW w:w="1467" w:type="dxa"/>
          </w:tcPr>
          <w:p w:rsidR="00BC5216" w:rsidRPr="00B640EE" w:rsidRDefault="00BE55D8" w:rsidP="00682F8E">
            <w:pPr>
              <w:rPr>
                <w:b/>
                <w:bCs/>
                <w:sz w:val="20"/>
              </w:rPr>
            </w:pPr>
            <w:r w:rsidRPr="00B640EE">
              <w:rPr>
                <w:b/>
                <w:sz w:val="20"/>
              </w:rPr>
              <w:t>Публикации</w:t>
            </w:r>
          </w:p>
        </w:tc>
        <w:tc>
          <w:tcPr>
            <w:tcW w:w="2118" w:type="dxa"/>
          </w:tcPr>
          <w:p w:rsidR="00BC5216" w:rsidRPr="00B640EE" w:rsidRDefault="00BE55D8" w:rsidP="003C6BB0">
            <w:pPr>
              <w:rPr>
                <w:sz w:val="20"/>
              </w:rPr>
            </w:pPr>
            <w:r w:rsidRPr="00B640EE">
              <w:rPr>
                <w:b/>
                <w:sz w:val="20"/>
              </w:rPr>
              <w:t>Услуги по контрактам с индивидуальными подрядчиками</w:t>
            </w:r>
          </w:p>
        </w:tc>
        <w:tc>
          <w:tcPr>
            <w:tcW w:w="1431" w:type="dxa"/>
          </w:tcPr>
          <w:p w:rsidR="00BC5216" w:rsidRPr="00B640EE" w:rsidRDefault="00BE55D8" w:rsidP="003C6BB0">
            <w:pPr>
              <w:rPr>
                <w:sz w:val="20"/>
              </w:rPr>
            </w:pPr>
            <w:r w:rsidRPr="00B640EE">
              <w:rPr>
                <w:b/>
                <w:sz w:val="20"/>
              </w:rPr>
              <w:t>Прочие услуги по контрактам</w:t>
            </w:r>
          </w:p>
        </w:tc>
        <w:tc>
          <w:tcPr>
            <w:tcW w:w="987" w:type="dxa"/>
            <w:vMerge/>
          </w:tcPr>
          <w:p w:rsidR="00BC5216" w:rsidRPr="00B640EE" w:rsidRDefault="00BC5216" w:rsidP="003C6BB0">
            <w:pPr>
              <w:rPr>
                <w:sz w:val="20"/>
              </w:rPr>
            </w:pPr>
          </w:p>
        </w:tc>
      </w:tr>
      <w:tr w:rsidR="00A715AD" w:rsidRPr="00B640EE" w:rsidTr="00B640EE">
        <w:tc>
          <w:tcPr>
            <w:tcW w:w="3085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Оценка</w:t>
            </w:r>
          </w:p>
        </w:tc>
        <w:tc>
          <w:tcPr>
            <w:tcW w:w="1659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14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321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652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67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2118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10 000</w:t>
            </w:r>
          </w:p>
        </w:tc>
        <w:tc>
          <w:tcPr>
            <w:tcW w:w="1431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987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10 000</w:t>
            </w:r>
          </w:p>
        </w:tc>
      </w:tr>
      <w:tr w:rsidR="00A715AD" w:rsidRPr="00B640EE" w:rsidTr="00B640EE">
        <w:tc>
          <w:tcPr>
            <w:tcW w:w="3085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Определение координационных центров, национальных органов власти и заинтересованных сторон и разработка рабочих планов</w:t>
            </w:r>
          </w:p>
        </w:tc>
        <w:tc>
          <w:tcPr>
            <w:tcW w:w="1659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14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321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652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67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2118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31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987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</w:tr>
      <w:tr w:rsidR="00A715AD" w:rsidRPr="00B640EE" w:rsidTr="00B640EE">
        <w:tc>
          <w:tcPr>
            <w:tcW w:w="3085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Практикумы с участием экспертов</w:t>
            </w:r>
          </w:p>
        </w:tc>
        <w:tc>
          <w:tcPr>
            <w:tcW w:w="1659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14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20 000</w:t>
            </w:r>
          </w:p>
        </w:tc>
        <w:tc>
          <w:tcPr>
            <w:tcW w:w="1321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652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20 000</w:t>
            </w:r>
          </w:p>
        </w:tc>
        <w:tc>
          <w:tcPr>
            <w:tcW w:w="1467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2118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31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987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40 000</w:t>
            </w:r>
          </w:p>
        </w:tc>
      </w:tr>
      <w:tr w:rsidR="00A715AD" w:rsidRPr="00B640EE" w:rsidTr="00B640EE">
        <w:tc>
          <w:tcPr>
            <w:tcW w:w="3085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Обучение на местах по управлению</w:t>
            </w:r>
          </w:p>
        </w:tc>
        <w:tc>
          <w:tcPr>
            <w:tcW w:w="1659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14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321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652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15 000</w:t>
            </w:r>
          </w:p>
        </w:tc>
        <w:tc>
          <w:tcPr>
            <w:tcW w:w="1467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2118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15 000</w:t>
            </w:r>
          </w:p>
        </w:tc>
        <w:tc>
          <w:tcPr>
            <w:tcW w:w="1431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987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30 000</w:t>
            </w:r>
          </w:p>
        </w:tc>
      </w:tr>
      <w:tr w:rsidR="00A715AD" w:rsidRPr="00B640EE" w:rsidTr="00B640EE">
        <w:tc>
          <w:tcPr>
            <w:tcW w:w="3085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Поддержка институциональной базы и инфраструктуры АВ сектора</w:t>
            </w:r>
          </w:p>
        </w:tc>
        <w:tc>
          <w:tcPr>
            <w:tcW w:w="1659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14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321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652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67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2118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31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987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</w:tr>
      <w:tr w:rsidR="00A715AD" w:rsidRPr="00B640EE" w:rsidTr="00B640EE">
        <w:tc>
          <w:tcPr>
            <w:tcW w:w="3085" w:type="dxa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Внедрение программы дистанционного обучения и разработка модуля для юристов для включения в учебный план</w:t>
            </w:r>
          </w:p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659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14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321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652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67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2118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31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987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</w:tr>
      <w:tr w:rsidR="00A715AD" w:rsidRPr="00B640EE" w:rsidTr="00B640EE">
        <w:tc>
          <w:tcPr>
            <w:tcW w:w="3085" w:type="dxa"/>
          </w:tcPr>
          <w:p w:rsidR="00A715AD" w:rsidRPr="00B640EE" w:rsidRDefault="00BE55D8" w:rsidP="00E52A3D">
            <w:pPr>
              <w:rPr>
                <w:sz w:val="20"/>
              </w:rPr>
            </w:pPr>
            <w:r w:rsidRPr="00B640EE">
              <w:rPr>
                <w:sz w:val="20"/>
              </w:rPr>
              <w:t>Разработка материалов для мероприятий по повышению осведомленности и информационно-разъяснительной работы</w:t>
            </w:r>
          </w:p>
        </w:tc>
        <w:tc>
          <w:tcPr>
            <w:tcW w:w="1659" w:type="dxa"/>
            <w:vAlign w:val="center"/>
          </w:tcPr>
          <w:p w:rsidR="00A715AD" w:rsidRPr="00B640EE" w:rsidRDefault="00A715AD" w:rsidP="003C6BB0">
            <w:pPr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 w:rsidR="00A715AD" w:rsidRPr="00B640EE" w:rsidRDefault="00A715AD" w:rsidP="003C6BB0">
            <w:pPr>
              <w:rPr>
                <w:b/>
                <w:sz w:val="20"/>
              </w:rPr>
            </w:pPr>
          </w:p>
        </w:tc>
        <w:tc>
          <w:tcPr>
            <w:tcW w:w="1321" w:type="dxa"/>
          </w:tcPr>
          <w:p w:rsidR="00A715AD" w:rsidRPr="00B640EE" w:rsidRDefault="00A715AD" w:rsidP="003C6BB0">
            <w:pPr>
              <w:rPr>
                <w:b/>
                <w:sz w:val="20"/>
              </w:rPr>
            </w:pPr>
          </w:p>
        </w:tc>
        <w:tc>
          <w:tcPr>
            <w:tcW w:w="1652" w:type="dxa"/>
            <w:vAlign w:val="center"/>
          </w:tcPr>
          <w:p w:rsidR="00A715AD" w:rsidRPr="00B640EE" w:rsidRDefault="00A715AD" w:rsidP="003C6BB0">
            <w:pPr>
              <w:rPr>
                <w:b/>
                <w:sz w:val="20"/>
              </w:rPr>
            </w:pPr>
          </w:p>
        </w:tc>
        <w:tc>
          <w:tcPr>
            <w:tcW w:w="1467" w:type="dxa"/>
          </w:tcPr>
          <w:p w:rsidR="00A715AD" w:rsidRPr="00B640EE" w:rsidRDefault="00A715AD" w:rsidP="003C6BB0">
            <w:pPr>
              <w:rPr>
                <w:b/>
                <w:sz w:val="20"/>
              </w:rPr>
            </w:pPr>
          </w:p>
        </w:tc>
        <w:tc>
          <w:tcPr>
            <w:tcW w:w="2118" w:type="dxa"/>
            <w:vAlign w:val="center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31" w:type="dxa"/>
            <w:vAlign w:val="center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987" w:type="dxa"/>
            <w:vAlign w:val="center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</w:tr>
      <w:tr w:rsidR="00A715AD" w:rsidRPr="00B640EE" w:rsidTr="00B640EE">
        <w:tc>
          <w:tcPr>
            <w:tcW w:w="3085" w:type="dxa"/>
          </w:tcPr>
          <w:p w:rsidR="00A715AD" w:rsidRPr="00B640EE" w:rsidRDefault="00BE55D8" w:rsidP="003C6BB0">
            <w:pPr>
              <w:rPr>
                <w:b/>
                <w:sz w:val="20"/>
              </w:rPr>
            </w:pPr>
            <w:r w:rsidRPr="00B640EE">
              <w:rPr>
                <w:sz w:val="20"/>
              </w:rPr>
              <w:t>ИТОГО</w:t>
            </w:r>
          </w:p>
        </w:tc>
        <w:tc>
          <w:tcPr>
            <w:tcW w:w="1659" w:type="dxa"/>
            <w:vAlign w:val="center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414" w:type="dxa"/>
            <w:vAlign w:val="center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20 000</w:t>
            </w:r>
          </w:p>
        </w:tc>
        <w:tc>
          <w:tcPr>
            <w:tcW w:w="1321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1652" w:type="dxa"/>
            <w:vAlign w:val="center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35 000</w:t>
            </w:r>
          </w:p>
        </w:tc>
        <w:tc>
          <w:tcPr>
            <w:tcW w:w="1467" w:type="dxa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2118" w:type="dxa"/>
            <w:vAlign w:val="center"/>
          </w:tcPr>
          <w:p w:rsidR="00A715AD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25 000</w:t>
            </w:r>
          </w:p>
        </w:tc>
        <w:tc>
          <w:tcPr>
            <w:tcW w:w="1431" w:type="dxa"/>
            <w:vAlign w:val="center"/>
          </w:tcPr>
          <w:p w:rsidR="00A715AD" w:rsidRPr="00B640EE" w:rsidRDefault="00A715AD" w:rsidP="003C6BB0">
            <w:pPr>
              <w:rPr>
                <w:sz w:val="20"/>
              </w:rPr>
            </w:pPr>
          </w:p>
        </w:tc>
        <w:tc>
          <w:tcPr>
            <w:tcW w:w="987" w:type="dxa"/>
            <w:vAlign w:val="center"/>
          </w:tcPr>
          <w:p w:rsidR="00A715AD" w:rsidRPr="00B640EE" w:rsidRDefault="00BE55D8" w:rsidP="003C6BB0">
            <w:pPr>
              <w:rPr>
                <w:b/>
                <w:sz w:val="20"/>
              </w:rPr>
            </w:pPr>
            <w:r w:rsidRPr="00B640EE">
              <w:rPr>
                <w:sz w:val="20"/>
              </w:rPr>
              <w:t>80 000</w:t>
            </w:r>
          </w:p>
        </w:tc>
      </w:tr>
    </w:tbl>
    <w:p w:rsidR="00D07086" w:rsidRPr="00B640EE" w:rsidRDefault="00BE55D8" w:rsidP="00D07086">
      <w:pPr>
        <w:ind w:hanging="142"/>
        <w:rPr>
          <w:szCs w:val="22"/>
        </w:rPr>
      </w:pPr>
      <w:r w:rsidRPr="00B640EE">
        <w:t>* При условии одобрения Комитетом по программе и бюджету.</w:t>
      </w:r>
    </w:p>
    <w:p w:rsidR="00A715AD" w:rsidRPr="00B640EE" w:rsidRDefault="00A715AD" w:rsidP="00D07086">
      <w:pPr>
        <w:ind w:hanging="142"/>
        <w:rPr>
          <w:szCs w:val="22"/>
        </w:rPr>
      </w:pPr>
    </w:p>
    <w:p w:rsidR="00BC5216" w:rsidRPr="00B640EE" w:rsidRDefault="00BE55D8" w:rsidP="00D07086">
      <w:pPr>
        <w:ind w:hanging="142"/>
        <w:rPr>
          <w:bCs/>
          <w:iCs/>
          <w:szCs w:val="22"/>
        </w:rPr>
      </w:pPr>
      <w:r w:rsidRPr="00B640EE">
        <w:lastRenderedPageBreak/>
        <w:t>6.</w:t>
      </w:r>
      <w:r w:rsidRPr="00B640EE">
        <w:tab/>
        <w:t>СРОКИ ОСУЩЕСТВЛЕНИЯ</w:t>
      </w:r>
      <w:r w:rsidRPr="00B640EE">
        <w:br/>
      </w:r>
    </w:p>
    <w:p w:rsidR="00BC5216" w:rsidRPr="00B640EE" w:rsidRDefault="00BE55D8" w:rsidP="00BC5216">
      <w:pPr>
        <w:rPr>
          <w:bCs/>
          <w:iCs/>
          <w:szCs w:val="22"/>
        </w:rPr>
      </w:pPr>
      <w:r w:rsidRPr="00B640EE">
        <w:t>(a) Двухлетний период 2016</w:t>
      </w:r>
      <w:r w:rsidRPr="00B640EE">
        <w:rPr>
          <w:rtl/>
          <w:cs/>
        </w:rPr>
        <w:t>–</w:t>
      </w:r>
      <w:r w:rsidRPr="00B640EE">
        <w:t>2017 гг.</w:t>
      </w:r>
    </w:p>
    <w:p w:rsidR="00BC5216" w:rsidRPr="00B640EE" w:rsidRDefault="00BC5216" w:rsidP="00BC5216">
      <w:pPr>
        <w:rPr>
          <w:bCs/>
          <w:i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1410"/>
        <w:gridCol w:w="1415"/>
        <w:gridCol w:w="1412"/>
        <w:gridCol w:w="1412"/>
        <w:gridCol w:w="1411"/>
        <w:gridCol w:w="1415"/>
        <w:gridCol w:w="1412"/>
        <w:gridCol w:w="1412"/>
      </w:tblGrid>
      <w:tr w:rsidR="00BC5216" w:rsidRPr="00B640EE" w:rsidTr="00E10F69">
        <w:tc>
          <w:tcPr>
            <w:tcW w:w="2876" w:type="dxa"/>
            <w:vMerge w:val="restart"/>
          </w:tcPr>
          <w:p w:rsidR="00BC5216" w:rsidRPr="00B640EE" w:rsidRDefault="00BE55D8" w:rsidP="003C6BB0">
            <w:pPr>
              <w:rPr>
                <w:b/>
                <w:bCs/>
                <w:iCs/>
                <w:sz w:val="20"/>
              </w:rPr>
            </w:pPr>
            <w:r w:rsidRPr="00B640EE">
              <w:rPr>
                <w:b/>
                <w:sz w:val="20"/>
              </w:rPr>
              <w:t>Вид деятельности</w:t>
            </w:r>
          </w:p>
        </w:tc>
        <w:tc>
          <w:tcPr>
            <w:tcW w:w="5649" w:type="dxa"/>
            <w:gridSpan w:val="4"/>
          </w:tcPr>
          <w:p w:rsidR="00BC5216" w:rsidRPr="00B640EE" w:rsidRDefault="00BE55D8" w:rsidP="00E10F69">
            <w:pPr>
              <w:jc w:val="center"/>
              <w:rPr>
                <w:b/>
                <w:bCs/>
                <w:iCs/>
                <w:sz w:val="20"/>
              </w:rPr>
            </w:pPr>
            <w:r w:rsidRPr="00B640EE">
              <w:rPr>
                <w:b/>
                <w:sz w:val="20"/>
              </w:rPr>
              <w:t>Кварталы 2016 г.</w:t>
            </w:r>
          </w:p>
        </w:tc>
        <w:tc>
          <w:tcPr>
            <w:tcW w:w="5650" w:type="dxa"/>
            <w:gridSpan w:val="4"/>
          </w:tcPr>
          <w:p w:rsidR="00BC5216" w:rsidRPr="00B640EE" w:rsidRDefault="00BE55D8" w:rsidP="00E10F69">
            <w:pPr>
              <w:jc w:val="center"/>
              <w:rPr>
                <w:b/>
                <w:bCs/>
                <w:iCs/>
                <w:sz w:val="20"/>
              </w:rPr>
            </w:pPr>
            <w:r w:rsidRPr="00B640EE">
              <w:rPr>
                <w:b/>
                <w:sz w:val="20"/>
              </w:rPr>
              <w:t>Кварталы 2017 г.</w:t>
            </w:r>
          </w:p>
        </w:tc>
      </w:tr>
      <w:tr w:rsidR="00BC5216" w:rsidRPr="00B640EE" w:rsidTr="00E10F69">
        <w:tc>
          <w:tcPr>
            <w:tcW w:w="2876" w:type="dxa"/>
            <w:vMerge/>
          </w:tcPr>
          <w:p w:rsidR="00BC5216" w:rsidRPr="00B640EE" w:rsidRDefault="00BC5216" w:rsidP="003C6BB0">
            <w:pPr>
              <w:rPr>
                <w:bCs/>
                <w:iCs/>
                <w:sz w:val="20"/>
              </w:rPr>
            </w:pPr>
          </w:p>
        </w:tc>
        <w:tc>
          <w:tcPr>
            <w:tcW w:w="1410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I</w:t>
            </w:r>
          </w:p>
        </w:tc>
        <w:tc>
          <w:tcPr>
            <w:tcW w:w="1415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II</w:t>
            </w:r>
          </w:p>
        </w:tc>
        <w:tc>
          <w:tcPr>
            <w:tcW w:w="1412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III</w:t>
            </w:r>
          </w:p>
        </w:tc>
        <w:tc>
          <w:tcPr>
            <w:tcW w:w="1412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IV</w:t>
            </w:r>
          </w:p>
        </w:tc>
        <w:tc>
          <w:tcPr>
            <w:tcW w:w="1411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I</w:t>
            </w:r>
          </w:p>
        </w:tc>
        <w:tc>
          <w:tcPr>
            <w:tcW w:w="1415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II</w:t>
            </w:r>
          </w:p>
        </w:tc>
        <w:tc>
          <w:tcPr>
            <w:tcW w:w="1412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III</w:t>
            </w:r>
          </w:p>
        </w:tc>
        <w:tc>
          <w:tcPr>
            <w:tcW w:w="1412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IV</w:t>
            </w:r>
          </w:p>
        </w:tc>
      </w:tr>
      <w:tr w:rsidR="00BC5216" w:rsidRPr="00B640EE" w:rsidTr="00E10F69">
        <w:tc>
          <w:tcPr>
            <w:tcW w:w="2876" w:type="dxa"/>
          </w:tcPr>
          <w:p w:rsidR="00BC5216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Исследование и оценка</w:t>
            </w:r>
          </w:p>
        </w:tc>
        <w:tc>
          <w:tcPr>
            <w:tcW w:w="1410" w:type="dxa"/>
          </w:tcPr>
          <w:p w:rsidR="00BC5216" w:rsidRPr="00B640EE" w:rsidRDefault="00BC5216" w:rsidP="003C6BB0">
            <w:pPr>
              <w:rPr>
                <w:bCs/>
                <w:iCs/>
                <w:sz w:val="20"/>
              </w:rPr>
            </w:pPr>
          </w:p>
        </w:tc>
        <w:tc>
          <w:tcPr>
            <w:tcW w:w="1415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2" w:type="dxa"/>
          </w:tcPr>
          <w:p w:rsidR="00BC5216" w:rsidRPr="00B640EE" w:rsidRDefault="00BC5216" w:rsidP="003C6BB0">
            <w:pPr>
              <w:rPr>
                <w:bCs/>
                <w:iCs/>
                <w:sz w:val="20"/>
              </w:rPr>
            </w:pPr>
          </w:p>
        </w:tc>
        <w:tc>
          <w:tcPr>
            <w:tcW w:w="1412" w:type="dxa"/>
          </w:tcPr>
          <w:p w:rsidR="00BC5216" w:rsidRPr="00B640EE" w:rsidRDefault="00BC5216" w:rsidP="003C6BB0">
            <w:pPr>
              <w:rPr>
                <w:bCs/>
                <w:iCs/>
                <w:sz w:val="20"/>
              </w:rPr>
            </w:pPr>
          </w:p>
        </w:tc>
        <w:tc>
          <w:tcPr>
            <w:tcW w:w="1411" w:type="dxa"/>
          </w:tcPr>
          <w:p w:rsidR="00BC5216" w:rsidRPr="00B640EE" w:rsidRDefault="00BC5216" w:rsidP="003C6BB0">
            <w:pPr>
              <w:rPr>
                <w:bCs/>
                <w:iCs/>
                <w:sz w:val="20"/>
              </w:rPr>
            </w:pPr>
          </w:p>
        </w:tc>
        <w:tc>
          <w:tcPr>
            <w:tcW w:w="1415" w:type="dxa"/>
          </w:tcPr>
          <w:p w:rsidR="00BC5216" w:rsidRPr="00B640EE" w:rsidRDefault="00BC5216" w:rsidP="003C6BB0">
            <w:pPr>
              <w:rPr>
                <w:bCs/>
                <w:iCs/>
                <w:sz w:val="20"/>
              </w:rPr>
            </w:pPr>
          </w:p>
        </w:tc>
        <w:tc>
          <w:tcPr>
            <w:tcW w:w="1412" w:type="dxa"/>
          </w:tcPr>
          <w:p w:rsidR="00BC5216" w:rsidRPr="00B640EE" w:rsidRDefault="00BC5216" w:rsidP="003C6BB0">
            <w:pPr>
              <w:rPr>
                <w:bCs/>
                <w:iCs/>
                <w:sz w:val="20"/>
              </w:rPr>
            </w:pPr>
          </w:p>
        </w:tc>
        <w:tc>
          <w:tcPr>
            <w:tcW w:w="1412" w:type="dxa"/>
          </w:tcPr>
          <w:p w:rsidR="00BC5216" w:rsidRPr="00B640EE" w:rsidRDefault="00BC5216" w:rsidP="003C6BB0">
            <w:pPr>
              <w:rPr>
                <w:bCs/>
                <w:iCs/>
                <w:sz w:val="20"/>
              </w:rPr>
            </w:pPr>
          </w:p>
        </w:tc>
      </w:tr>
      <w:tr w:rsidR="00BC5216" w:rsidRPr="00B640EE" w:rsidTr="00E10F69">
        <w:tc>
          <w:tcPr>
            <w:tcW w:w="2876" w:type="dxa"/>
          </w:tcPr>
          <w:p w:rsidR="00BC5216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Определение координационных центров, национальных органов власти и заинтересованных сторон и разработка рабочих планов</w:t>
            </w:r>
          </w:p>
        </w:tc>
        <w:tc>
          <w:tcPr>
            <w:tcW w:w="1410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5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2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2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1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5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2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2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</w:tr>
      <w:tr w:rsidR="00BC5216" w:rsidRPr="00B640EE" w:rsidTr="00E10F69">
        <w:tc>
          <w:tcPr>
            <w:tcW w:w="2876" w:type="dxa"/>
          </w:tcPr>
          <w:p w:rsidR="00BC5216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Практикумы с участием экспертов</w:t>
            </w:r>
          </w:p>
        </w:tc>
        <w:tc>
          <w:tcPr>
            <w:tcW w:w="1410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5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2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2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1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5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2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2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</w:tr>
      <w:tr w:rsidR="00BC5216" w:rsidRPr="00B640EE" w:rsidTr="00E10F69">
        <w:tc>
          <w:tcPr>
            <w:tcW w:w="2876" w:type="dxa"/>
          </w:tcPr>
          <w:p w:rsidR="00BC5216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Обучение на местах по управлению</w:t>
            </w:r>
          </w:p>
        </w:tc>
        <w:tc>
          <w:tcPr>
            <w:tcW w:w="1410" w:type="dxa"/>
          </w:tcPr>
          <w:p w:rsidR="00BC5216" w:rsidRPr="00B640EE" w:rsidRDefault="00BC5216" w:rsidP="003C6BB0">
            <w:pPr>
              <w:rPr>
                <w:bCs/>
                <w:iCs/>
                <w:sz w:val="20"/>
              </w:rPr>
            </w:pPr>
          </w:p>
        </w:tc>
        <w:tc>
          <w:tcPr>
            <w:tcW w:w="1415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2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2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1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5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2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2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</w:tr>
      <w:tr w:rsidR="00BC5216" w:rsidRPr="00B640EE" w:rsidTr="00E10F69">
        <w:tc>
          <w:tcPr>
            <w:tcW w:w="2876" w:type="dxa"/>
          </w:tcPr>
          <w:p w:rsidR="00BC5216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Поддержка институциональной базы и инфраструктуры АВ сектора</w:t>
            </w:r>
          </w:p>
        </w:tc>
        <w:tc>
          <w:tcPr>
            <w:tcW w:w="1410" w:type="dxa"/>
          </w:tcPr>
          <w:p w:rsidR="00BC5216" w:rsidRPr="00B640EE" w:rsidRDefault="00BC5216" w:rsidP="003C6BB0">
            <w:pPr>
              <w:rPr>
                <w:bCs/>
                <w:iCs/>
                <w:sz w:val="20"/>
              </w:rPr>
            </w:pPr>
          </w:p>
        </w:tc>
        <w:tc>
          <w:tcPr>
            <w:tcW w:w="1415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2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2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1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5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2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2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</w:tr>
      <w:tr w:rsidR="00BC5216" w:rsidRPr="00B640EE" w:rsidTr="00E10F69">
        <w:tc>
          <w:tcPr>
            <w:tcW w:w="2876" w:type="dxa"/>
          </w:tcPr>
          <w:p w:rsidR="00BC5216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Внедрение программы дистанционного обучения и разработка модуля для юристов для включения в учебный план</w:t>
            </w:r>
          </w:p>
          <w:p w:rsidR="00BC5216" w:rsidRPr="00B640EE" w:rsidRDefault="00BC5216" w:rsidP="003C6BB0">
            <w:pPr>
              <w:rPr>
                <w:sz w:val="20"/>
              </w:rPr>
            </w:pPr>
          </w:p>
        </w:tc>
        <w:tc>
          <w:tcPr>
            <w:tcW w:w="1410" w:type="dxa"/>
          </w:tcPr>
          <w:p w:rsidR="00BC5216" w:rsidRPr="00B640EE" w:rsidRDefault="00BC5216" w:rsidP="003C6BB0">
            <w:pPr>
              <w:rPr>
                <w:bCs/>
                <w:iCs/>
                <w:sz w:val="20"/>
              </w:rPr>
            </w:pPr>
          </w:p>
        </w:tc>
        <w:tc>
          <w:tcPr>
            <w:tcW w:w="1415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2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2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1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5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2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2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</w:tr>
      <w:tr w:rsidR="00BC5216" w:rsidRPr="00B640EE" w:rsidTr="00E10F69">
        <w:tc>
          <w:tcPr>
            <w:tcW w:w="2876" w:type="dxa"/>
          </w:tcPr>
          <w:p w:rsidR="00BC5216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Разработка материалов для мероприятий по повышению осведомленности и информационно-разъяснительной работы</w:t>
            </w:r>
          </w:p>
          <w:p w:rsidR="00BC5216" w:rsidRPr="00B640EE" w:rsidRDefault="00BC5216" w:rsidP="003C6BB0">
            <w:pPr>
              <w:rPr>
                <w:sz w:val="20"/>
              </w:rPr>
            </w:pPr>
          </w:p>
        </w:tc>
        <w:tc>
          <w:tcPr>
            <w:tcW w:w="1410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5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2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2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1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5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2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12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</w:tr>
    </w:tbl>
    <w:p w:rsidR="00B640EE" w:rsidRPr="00B640EE" w:rsidRDefault="00B640EE" w:rsidP="00BC5216">
      <w:pPr>
        <w:rPr>
          <w:bCs/>
          <w:iCs/>
          <w:szCs w:val="22"/>
        </w:rPr>
      </w:pPr>
    </w:p>
    <w:p w:rsidR="00B640EE" w:rsidRPr="00B640EE" w:rsidRDefault="00B640EE">
      <w:pPr>
        <w:rPr>
          <w:bCs/>
          <w:iCs/>
          <w:szCs w:val="22"/>
        </w:rPr>
      </w:pPr>
    </w:p>
    <w:p w:rsidR="00B640EE" w:rsidRPr="00B640EE" w:rsidRDefault="00B640EE">
      <w:pPr>
        <w:rPr>
          <w:bCs/>
          <w:iCs/>
          <w:szCs w:val="22"/>
        </w:rPr>
      </w:pPr>
    </w:p>
    <w:p w:rsidR="00B640EE" w:rsidRPr="00B640EE" w:rsidRDefault="00B640EE">
      <w:pPr>
        <w:rPr>
          <w:bCs/>
          <w:iCs/>
          <w:szCs w:val="22"/>
        </w:rPr>
      </w:pPr>
    </w:p>
    <w:p w:rsidR="00B640EE" w:rsidRPr="00B640EE" w:rsidRDefault="00B640EE">
      <w:pPr>
        <w:rPr>
          <w:bCs/>
          <w:iCs/>
          <w:szCs w:val="22"/>
        </w:rPr>
      </w:pPr>
    </w:p>
    <w:p w:rsidR="00557A64" w:rsidRPr="00B640EE" w:rsidRDefault="00557A64" w:rsidP="00BC5216">
      <w:pPr>
        <w:rPr>
          <w:bCs/>
          <w:iCs/>
          <w:szCs w:val="22"/>
        </w:rPr>
      </w:pPr>
    </w:p>
    <w:p w:rsidR="00BC5216" w:rsidRPr="00B640EE" w:rsidRDefault="00BE55D8" w:rsidP="00BC5216">
      <w:pPr>
        <w:rPr>
          <w:bCs/>
          <w:iCs/>
          <w:szCs w:val="22"/>
        </w:rPr>
      </w:pPr>
      <w:r w:rsidRPr="00B640EE">
        <w:t>(b) 2018 г.*</w:t>
      </w:r>
    </w:p>
    <w:p w:rsidR="00BC5216" w:rsidRPr="00B640EE" w:rsidRDefault="00BC5216" w:rsidP="00BC5216">
      <w:pPr>
        <w:rPr>
          <w:bCs/>
          <w:i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1343"/>
        <w:gridCol w:w="1482"/>
      </w:tblGrid>
      <w:tr w:rsidR="00BC5216" w:rsidRPr="00B640EE" w:rsidTr="00E10F69">
        <w:trPr>
          <w:gridAfter w:val="2"/>
          <w:wAfter w:w="2825" w:type="dxa"/>
          <w:trHeight w:val="253"/>
        </w:trPr>
        <w:tc>
          <w:tcPr>
            <w:tcW w:w="2876" w:type="dxa"/>
            <w:vMerge w:val="restart"/>
          </w:tcPr>
          <w:p w:rsidR="00BC5216" w:rsidRPr="00B640EE" w:rsidRDefault="00BE55D8" w:rsidP="003C6BB0">
            <w:pPr>
              <w:rPr>
                <w:b/>
                <w:bCs/>
                <w:iCs/>
                <w:sz w:val="20"/>
              </w:rPr>
            </w:pPr>
            <w:r w:rsidRPr="00B640EE">
              <w:rPr>
                <w:b/>
                <w:sz w:val="20"/>
              </w:rPr>
              <w:t>Вид деятельности</w:t>
            </w:r>
          </w:p>
        </w:tc>
      </w:tr>
      <w:tr w:rsidR="00BC5216" w:rsidRPr="00B640EE" w:rsidTr="00E10F69">
        <w:tc>
          <w:tcPr>
            <w:tcW w:w="2876" w:type="dxa"/>
            <w:vMerge/>
          </w:tcPr>
          <w:p w:rsidR="00BC5216" w:rsidRPr="00B640EE" w:rsidRDefault="00BC5216" w:rsidP="003C6BB0">
            <w:pPr>
              <w:rPr>
                <w:bCs/>
                <w:iCs/>
                <w:sz w:val="20"/>
              </w:rPr>
            </w:pPr>
          </w:p>
        </w:tc>
        <w:tc>
          <w:tcPr>
            <w:tcW w:w="1343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I</w:t>
            </w:r>
          </w:p>
        </w:tc>
        <w:tc>
          <w:tcPr>
            <w:tcW w:w="1482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II</w:t>
            </w:r>
          </w:p>
        </w:tc>
      </w:tr>
      <w:tr w:rsidR="00BC5216" w:rsidRPr="00B640EE" w:rsidTr="00E10F69">
        <w:tc>
          <w:tcPr>
            <w:tcW w:w="2876" w:type="dxa"/>
          </w:tcPr>
          <w:p w:rsidR="00BC5216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Оценка</w:t>
            </w:r>
          </w:p>
        </w:tc>
        <w:tc>
          <w:tcPr>
            <w:tcW w:w="1343" w:type="dxa"/>
          </w:tcPr>
          <w:p w:rsidR="00BC5216" w:rsidRPr="00B640EE" w:rsidRDefault="00BC5216" w:rsidP="003C6BB0">
            <w:pPr>
              <w:rPr>
                <w:bCs/>
                <w:iCs/>
                <w:sz w:val="20"/>
              </w:rPr>
            </w:pPr>
          </w:p>
        </w:tc>
        <w:tc>
          <w:tcPr>
            <w:tcW w:w="1482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</w:tr>
      <w:tr w:rsidR="00BC5216" w:rsidRPr="00B640EE" w:rsidTr="00E10F69">
        <w:tc>
          <w:tcPr>
            <w:tcW w:w="2876" w:type="dxa"/>
          </w:tcPr>
          <w:p w:rsidR="00BC5216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Определение координационных центров, национальных органов власти и заинтересованных сторон и разработка/обновление рабочих планов</w:t>
            </w:r>
          </w:p>
        </w:tc>
        <w:tc>
          <w:tcPr>
            <w:tcW w:w="1343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82" w:type="dxa"/>
          </w:tcPr>
          <w:p w:rsidR="00BC5216" w:rsidRPr="00B640EE" w:rsidRDefault="00BC5216" w:rsidP="003C6BB0">
            <w:pPr>
              <w:rPr>
                <w:bCs/>
                <w:iCs/>
                <w:sz w:val="20"/>
              </w:rPr>
            </w:pPr>
          </w:p>
        </w:tc>
      </w:tr>
      <w:tr w:rsidR="00BC5216" w:rsidRPr="00B640EE" w:rsidTr="00E10F69">
        <w:tc>
          <w:tcPr>
            <w:tcW w:w="2876" w:type="dxa"/>
          </w:tcPr>
          <w:p w:rsidR="00BC5216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Практикумы с участием экспертов</w:t>
            </w:r>
          </w:p>
        </w:tc>
        <w:tc>
          <w:tcPr>
            <w:tcW w:w="1343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82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</w:tr>
      <w:tr w:rsidR="00BC5216" w:rsidRPr="00B640EE" w:rsidTr="00E10F69">
        <w:tc>
          <w:tcPr>
            <w:tcW w:w="2876" w:type="dxa"/>
          </w:tcPr>
          <w:p w:rsidR="00BC5216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Обучение на местах по управлению</w:t>
            </w:r>
          </w:p>
        </w:tc>
        <w:tc>
          <w:tcPr>
            <w:tcW w:w="1343" w:type="dxa"/>
          </w:tcPr>
          <w:p w:rsidR="00BC5216" w:rsidRPr="00B640EE" w:rsidRDefault="00BC5216" w:rsidP="003C6BB0">
            <w:pPr>
              <w:rPr>
                <w:bCs/>
                <w:iCs/>
                <w:sz w:val="20"/>
              </w:rPr>
            </w:pPr>
          </w:p>
        </w:tc>
        <w:tc>
          <w:tcPr>
            <w:tcW w:w="1482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</w:tr>
      <w:tr w:rsidR="00BC5216" w:rsidRPr="00B640EE" w:rsidTr="00E10F69">
        <w:tc>
          <w:tcPr>
            <w:tcW w:w="2876" w:type="dxa"/>
          </w:tcPr>
          <w:p w:rsidR="00BC5216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Поддержка институциональной базы и инфраструктуры АВ сектора</w:t>
            </w:r>
          </w:p>
        </w:tc>
        <w:tc>
          <w:tcPr>
            <w:tcW w:w="1343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82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</w:tr>
      <w:tr w:rsidR="00BC5216" w:rsidRPr="00B640EE" w:rsidTr="00E10F69">
        <w:tc>
          <w:tcPr>
            <w:tcW w:w="2876" w:type="dxa"/>
          </w:tcPr>
          <w:p w:rsidR="00BC5216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Внедрение программы дистанционного обучения и разработка модуля для юристов для включения в учебный план</w:t>
            </w:r>
          </w:p>
          <w:p w:rsidR="00BC5216" w:rsidRPr="00B640EE" w:rsidRDefault="00BC5216" w:rsidP="003C6BB0">
            <w:pPr>
              <w:rPr>
                <w:sz w:val="20"/>
              </w:rPr>
            </w:pPr>
          </w:p>
        </w:tc>
        <w:tc>
          <w:tcPr>
            <w:tcW w:w="1343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82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</w:tr>
      <w:tr w:rsidR="00BC5216" w:rsidRPr="00B640EE" w:rsidTr="00E10F69">
        <w:tc>
          <w:tcPr>
            <w:tcW w:w="2876" w:type="dxa"/>
          </w:tcPr>
          <w:p w:rsidR="00BC5216" w:rsidRPr="00B640EE" w:rsidRDefault="00BE55D8" w:rsidP="003C6BB0">
            <w:pPr>
              <w:rPr>
                <w:sz w:val="20"/>
              </w:rPr>
            </w:pPr>
            <w:r w:rsidRPr="00B640EE">
              <w:rPr>
                <w:sz w:val="20"/>
              </w:rPr>
              <w:t>Разработка материалов для мероприятий по повышению осведомленности и информационно-разъяснительной работы</w:t>
            </w:r>
          </w:p>
          <w:p w:rsidR="00BC5216" w:rsidRPr="00B640EE" w:rsidRDefault="00BC5216" w:rsidP="003C6BB0">
            <w:pPr>
              <w:rPr>
                <w:sz w:val="20"/>
              </w:rPr>
            </w:pPr>
          </w:p>
        </w:tc>
        <w:tc>
          <w:tcPr>
            <w:tcW w:w="1343" w:type="dxa"/>
          </w:tcPr>
          <w:p w:rsidR="00BC5216" w:rsidRPr="00B640EE" w:rsidRDefault="00BE55D8" w:rsidP="003C6BB0">
            <w:pPr>
              <w:rPr>
                <w:bCs/>
                <w:iCs/>
                <w:sz w:val="20"/>
              </w:rPr>
            </w:pPr>
            <w:r w:rsidRPr="00B640EE">
              <w:rPr>
                <w:sz w:val="20"/>
              </w:rPr>
              <w:t>X</w:t>
            </w:r>
          </w:p>
        </w:tc>
        <w:tc>
          <w:tcPr>
            <w:tcW w:w="1482" w:type="dxa"/>
          </w:tcPr>
          <w:p w:rsidR="00BC5216" w:rsidRPr="00B640EE" w:rsidRDefault="00BC5216" w:rsidP="003C6BB0">
            <w:pPr>
              <w:rPr>
                <w:bCs/>
                <w:iCs/>
                <w:sz w:val="20"/>
              </w:rPr>
            </w:pPr>
          </w:p>
        </w:tc>
      </w:tr>
    </w:tbl>
    <w:p w:rsidR="00BC5216" w:rsidRPr="00B640EE" w:rsidRDefault="00BC5216" w:rsidP="00BC5216">
      <w:pPr>
        <w:rPr>
          <w:szCs w:val="22"/>
        </w:rPr>
      </w:pPr>
    </w:p>
    <w:p w:rsidR="00BC5216" w:rsidRPr="00B640EE" w:rsidRDefault="00BE55D8" w:rsidP="00BC5216">
      <w:pPr>
        <w:rPr>
          <w:szCs w:val="22"/>
        </w:rPr>
      </w:pPr>
      <w:r w:rsidRPr="00B640EE">
        <w:t>* При условии утверждения бюджета проекта на 2018 г. Комитетом по программе и бюджету.</w:t>
      </w:r>
    </w:p>
    <w:p w:rsidR="00BC5216" w:rsidRPr="00B640EE" w:rsidRDefault="00BC5216" w:rsidP="00BC5216">
      <w:pPr>
        <w:rPr>
          <w:szCs w:val="22"/>
        </w:rPr>
      </w:pPr>
    </w:p>
    <w:p w:rsidR="00B640EE" w:rsidRPr="00B640EE" w:rsidRDefault="00B640EE" w:rsidP="00767FCB">
      <w:pPr>
        <w:pStyle w:val="Endofdocument-Annex"/>
        <w:jc w:val="center"/>
      </w:pPr>
    </w:p>
    <w:p w:rsidR="00BC5216" w:rsidRPr="00263BD4" w:rsidRDefault="00BE55D8" w:rsidP="00263BD4">
      <w:pPr>
        <w:pStyle w:val="Endofdocument-Annex"/>
        <w:jc w:val="center"/>
        <w:rPr>
          <w:lang w:val="en-US"/>
        </w:rPr>
      </w:pPr>
      <w:r w:rsidRPr="00B640EE">
        <w:t xml:space="preserve">[Конец </w:t>
      </w:r>
      <w:r w:rsidR="00263BD4">
        <w:t>п</w:t>
      </w:r>
      <w:r w:rsidRPr="00B640EE">
        <w:t>риложения и документа]</w:t>
      </w:r>
    </w:p>
    <w:sectPr w:rsidR="00BC5216" w:rsidRPr="00263BD4" w:rsidSect="004D266B">
      <w:headerReference w:type="default" r:id="rId23"/>
      <w:headerReference w:type="first" r:id="rId24"/>
      <w:footerReference w:type="first" r:id="rId25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38F" w:rsidRDefault="00CB138F">
      <w:r>
        <w:separator/>
      </w:r>
    </w:p>
  </w:endnote>
  <w:endnote w:type="continuationSeparator" w:id="0">
    <w:p w:rsidR="00CB138F" w:rsidRDefault="00CB138F" w:rsidP="003B38C1">
      <w:r>
        <w:separator/>
      </w:r>
    </w:p>
    <w:p w:rsidR="00CB138F" w:rsidRPr="003B38C1" w:rsidRDefault="00CB138F" w:rsidP="003B38C1">
      <w:pPr>
        <w:spacing w:after="60"/>
        <w:rPr>
          <w:sz w:val="17"/>
        </w:rPr>
      </w:pPr>
      <w:r>
        <w:rPr>
          <w:sz w:val="17"/>
        </w:rPr>
        <w:t xml:space="preserve">[Продолжение </w:t>
      </w:r>
      <w:r>
        <w:rPr>
          <w:sz w:val="17"/>
        </w:rPr>
        <w:t>концевой сноски с предыдущей страницы]</w:t>
      </w:r>
    </w:p>
  </w:endnote>
  <w:endnote w:type="continuationNotice" w:id="1">
    <w:p w:rsidR="00CB138F" w:rsidRPr="003B38C1" w:rsidRDefault="00CB138F" w:rsidP="003B38C1">
      <w:pPr>
        <w:spacing w:before="60"/>
        <w:jc w:val="right"/>
        <w:rPr>
          <w:sz w:val="17"/>
          <w:szCs w:val="17"/>
        </w:rPr>
      </w:pPr>
      <w:r>
        <w:rPr>
          <w:sz w:val="17"/>
        </w:rPr>
        <w:t xml:space="preserve">[Продолжение </w:t>
      </w:r>
      <w:r>
        <w:rPr>
          <w:sz w:val="17"/>
        </w:rPr>
        <w:t>концевой сноски на следующей странице]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38F" w:rsidRDefault="00CB13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38F" w:rsidRDefault="00CB13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38F" w:rsidRDefault="00CB138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38F" w:rsidRDefault="00CB138F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38F" w:rsidRDefault="00CB138F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38F" w:rsidRDefault="00CB13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38F" w:rsidRDefault="00CB138F">
      <w:r>
        <w:separator/>
      </w:r>
    </w:p>
  </w:footnote>
  <w:footnote w:type="continuationSeparator" w:id="0">
    <w:p w:rsidR="00CB138F" w:rsidRDefault="00CB138F" w:rsidP="008B60B2">
      <w:r>
        <w:separator/>
      </w:r>
    </w:p>
    <w:p w:rsidR="00CB138F" w:rsidRPr="00ED77FB" w:rsidRDefault="00CB138F" w:rsidP="008B60B2">
      <w:pPr>
        <w:spacing w:after="60"/>
        <w:rPr>
          <w:sz w:val="17"/>
          <w:szCs w:val="17"/>
        </w:rPr>
      </w:pPr>
      <w:r>
        <w:rPr>
          <w:sz w:val="17"/>
        </w:rPr>
        <w:t>[Продолжение сноски с предыдущей страницы]</w:t>
      </w:r>
    </w:p>
  </w:footnote>
  <w:footnote w:type="continuationNotice" w:id="1">
    <w:p w:rsidR="00CB138F" w:rsidRPr="00ED77FB" w:rsidRDefault="00CB138F" w:rsidP="008B60B2">
      <w:pPr>
        <w:spacing w:before="60"/>
        <w:jc w:val="right"/>
        <w:rPr>
          <w:sz w:val="17"/>
          <w:szCs w:val="17"/>
        </w:rPr>
      </w:pPr>
      <w:r>
        <w:rPr>
          <w:sz w:val="17"/>
        </w:rPr>
        <w:t xml:space="preserve">[Продолжение </w:t>
      </w:r>
      <w:r>
        <w:rPr>
          <w:sz w:val="17"/>
        </w:rPr>
        <w:t>сноски на следующей странице]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38F" w:rsidRDefault="00CB13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38F" w:rsidRDefault="00CB138F" w:rsidP="00477D6B">
    <w:pPr>
      <w:jc w:val="right"/>
    </w:pPr>
    <w:r>
      <w:t>CDIP/14/xx</w:t>
    </w:r>
  </w:p>
  <w:p w:rsidR="00CB138F" w:rsidRDefault="00CB138F" w:rsidP="00477D6B">
    <w:pPr>
      <w:jc w:val="right"/>
    </w:pPr>
    <w:r>
      <w:t>страница 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14</w:t>
    </w:r>
    <w:r>
      <w:fldChar w:fldCharType="end"/>
    </w:r>
  </w:p>
  <w:p w:rsidR="00CB138F" w:rsidRDefault="00CB138F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38F" w:rsidRDefault="00CB138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38F" w:rsidRPr="00CC74DE" w:rsidRDefault="00CB138F" w:rsidP="003C6BB0">
    <w:pPr>
      <w:pStyle w:val="Header"/>
      <w:jc w:val="right"/>
    </w:pPr>
    <w:r>
      <w:t>CDIP/17/7</w:t>
    </w:r>
  </w:p>
  <w:p w:rsidR="00CB138F" w:rsidRPr="00CC74DE" w:rsidRDefault="00CB138F" w:rsidP="003C6BB0">
    <w:pPr>
      <w:pStyle w:val="Header"/>
      <w:jc w:val="right"/>
    </w:pPr>
    <w:r>
      <w:t>Приложение, стр. </w:t>
    </w:r>
    <w:r>
      <w:fldChar w:fldCharType="begin"/>
    </w:r>
    <w:r>
      <w:instrText xml:space="preserve"> PAGE   \* MERGEFORMAT </w:instrText>
    </w:r>
    <w:r>
      <w:fldChar w:fldCharType="separate"/>
    </w:r>
    <w:r w:rsidR="00084556">
      <w:rPr>
        <w:noProof/>
      </w:rPr>
      <w:t>10</w:t>
    </w:r>
    <w:r>
      <w:rPr>
        <w:noProof/>
      </w:rPr>
      <w:fldChar w:fldCharType="end"/>
    </w:r>
  </w:p>
  <w:p w:rsidR="00CB138F" w:rsidRPr="00CC74DE" w:rsidRDefault="00CB138F" w:rsidP="003C6BB0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38F" w:rsidRDefault="00CB138F" w:rsidP="003C6BB0">
    <w:pPr>
      <w:pStyle w:val="Header"/>
      <w:jc w:val="right"/>
    </w:pPr>
    <w:r>
      <w:t>CDIP/17/7</w:t>
    </w:r>
  </w:p>
  <w:p w:rsidR="00CB138F" w:rsidRDefault="00CB138F" w:rsidP="003C6BB0">
    <w:pPr>
      <w:pStyle w:val="Header"/>
      <w:jc w:val="right"/>
    </w:pPr>
    <w:r>
      <w:t>ПРИЛОЖЕНИЕ</w:t>
    </w:r>
  </w:p>
  <w:p w:rsidR="00CB138F" w:rsidRDefault="00CB138F" w:rsidP="003C6BB0">
    <w:pPr>
      <w:pStyle w:val="Header"/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38F" w:rsidRDefault="00CB138F" w:rsidP="00477D6B">
    <w:pPr>
      <w:jc w:val="right"/>
    </w:pPr>
    <w:bookmarkStart w:id="6" w:name="Code2"/>
    <w:bookmarkEnd w:id="6"/>
    <w:r>
      <w:t>CDIP/17/7</w:t>
    </w:r>
  </w:p>
  <w:p w:rsidR="00CB138F" w:rsidRDefault="00CB138F" w:rsidP="00477D6B">
    <w:pPr>
      <w:jc w:val="right"/>
    </w:pPr>
    <w:r>
      <w:t>Приложение, стр. </w:t>
    </w:r>
    <w:r>
      <w:fldChar w:fldCharType="begin"/>
    </w:r>
    <w:r>
      <w:instrText xml:space="preserve"> PAGE  \* MERGEFORMAT </w:instrText>
    </w:r>
    <w:r>
      <w:fldChar w:fldCharType="separate"/>
    </w:r>
    <w:r w:rsidR="00084556">
      <w:rPr>
        <w:noProof/>
      </w:rPr>
      <w:t>16</w:t>
    </w:r>
    <w:r>
      <w:rPr>
        <w:noProof/>
      </w:rPr>
      <w:fldChar w:fldCharType="end"/>
    </w:r>
  </w:p>
  <w:p w:rsidR="00CB138F" w:rsidRDefault="00CB138F" w:rsidP="00477D6B">
    <w:pPr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38F" w:rsidRDefault="00CB138F" w:rsidP="003C6BB0">
    <w:pPr>
      <w:pStyle w:val="Header"/>
      <w:jc w:val="right"/>
    </w:pPr>
    <w:r>
      <w:t>CDIP/17/7</w:t>
    </w:r>
  </w:p>
  <w:p w:rsidR="00CB138F" w:rsidRDefault="00CB138F" w:rsidP="003C6BB0">
    <w:pPr>
      <w:pStyle w:val="Header"/>
      <w:jc w:val="right"/>
    </w:pPr>
    <w:r>
      <w:t>Приложение, стр. </w:t>
    </w:r>
    <w:r>
      <w:fldChar w:fldCharType="begin"/>
    </w:r>
    <w:r>
      <w:instrText xml:space="preserve"> PAGE   \* MERGEFORMAT </w:instrText>
    </w:r>
    <w:r>
      <w:fldChar w:fldCharType="separate"/>
    </w:r>
    <w:r w:rsidR="00084556">
      <w:rPr>
        <w:noProof/>
      </w:rPr>
      <w:t>11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4BAF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0F4E469D"/>
    <w:multiLevelType w:val="hybridMultilevel"/>
    <w:tmpl w:val="4D66D05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C62428"/>
    <w:multiLevelType w:val="hybridMultilevel"/>
    <w:tmpl w:val="09BCCBA8"/>
    <w:lvl w:ilvl="0" w:tplc="FFFFFFFF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343FF"/>
    <w:multiLevelType w:val="hybridMultilevel"/>
    <w:tmpl w:val="4D66D05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6">
    <w:nsid w:val="2AB47019"/>
    <w:multiLevelType w:val="hybridMultilevel"/>
    <w:tmpl w:val="8D162900"/>
    <w:lvl w:ilvl="0" w:tplc="FFFFFFFF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947343"/>
    <w:multiLevelType w:val="multilevel"/>
    <w:tmpl w:val="2DD83C9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8">
    <w:nsid w:val="45AC0B15"/>
    <w:multiLevelType w:val="hybridMultilevel"/>
    <w:tmpl w:val="5BDC9192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B3C46"/>
    <w:multiLevelType w:val="hybridMultilevel"/>
    <w:tmpl w:val="799E19C6"/>
    <w:lvl w:ilvl="0" w:tplc="FFFFFFFF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15E3AF2"/>
    <w:multiLevelType w:val="hybridMultilevel"/>
    <w:tmpl w:val="385A5CD2"/>
    <w:lvl w:ilvl="0" w:tplc="FFFFFFF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6C3079C"/>
    <w:multiLevelType w:val="hybridMultilevel"/>
    <w:tmpl w:val="452634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9"/>
  </w:num>
  <w:num w:numId="4">
    <w:abstractNumId w:val="1"/>
  </w:num>
  <w:num w:numId="5">
    <w:abstractNumId w:val="5"/>
  </w:num>
  <w:num w:numId="6">
    <w:abstractNumId w:val="11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8"/>
  </w:num>
  <w:num w:numId="12">
    <w:abstractNumId w:val="3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B"/>
    <w:rsid w:val="000578E9"/>
    <w:rsid w:val="000674AE"/>
    <w:rsid w:val="00084556"/>
    <w:rsid w:val="000F5E56"/>
    <w:rsid w:val="00124B96"/>
    <w:rsid w:val="001713B0"/>
    <w:rsid w:val="001832A6"/>
    <w:rsid w:val="002463F9"/>
    <w:rsid w:val="00256B2E"/>
    <w:rsid w:val="00263BD4"/>
    <w:rsid w:val="002779FA"/>
    <w:rsid w:val="002928D3"/>
    <w:rsid w:val="002B294D"/>
    <w:rsid w:val="0036066A"/>
    <w:rsid w:val="00361450"/>
    <w:rsid w:val="003845C1"/>
    <w:rsid w:val="003B38C1"/>
    <w:rsid w:val="003C6BB0"/>
    <w:rsid w:val="00477D6B"/>
    <w:rsid w:val="004D266B"/>
    <w:rsid w:val="0053057A"/>
    <w:rsid w:val="00557A64"/>
    <w:rsid w:val="005677EE"/>
    <w:rsid w:val="005B2250"/>
    <w:rsid w:val="00610FBE"/>
    <w:rsid w:val="00682F8E"/>
    <w:rsid w:val="006D47DA"/>
    <w:rsid w:val="006E28A8"/>
    <w:rsid w:val="00724831"/>
    <w:rsid w:val="00767FCB"/>
    <w:rsid w:val="00794A8F"/>
    <w:rsid w:val="007B0961"/>
    <w:rsid w:val="00863D4D"/>
    <w:rsid w:val="00876A69"/>
    <w:rsid w:val="00882FB9"/>
    <w:rsid w:val="008A38C6"/>
    <w:rsid w:val="008B2CC1"/>
    <w:rsid w:val="008B60B2"/>
    <w:rsid w:val="0090731E"/>
    <w:rsid w:val="00916EE2"/>
    <w:rsid w:val="009374C6"/>
    <w:rsid w:val="009A5DEA"/>
    <w:rsid w:val="009F4605"/>
    <w:rsid w:val="00A13CA0"/>
    <w:rsid w:val="00A161F0"/>
    <w:rsid w:val="00A17CA0"/>
    <w:rsid w:val="00A518B2"/>
    <w:rsid w:val="00A70298"/>
    <w:rsid w:val="00A715AD"/>
    <w:rsid w:val="00AA7DB4"/>
    <w:rsid w:val="00AC205C"/>
    <w:rsid w:val="00AC3279"/>
    <w:rsid w:val="00B333BF"/>
    <w:rsid w:val="00B640EE"/>
    <w:rsid w:val="00B7209A"/>
    <w:rsid w:val="00BB524D"/>
    <w:rsid w:val="00BC5216"/>
    <w:rsid w:val="00BD0E87"/>
    <w:rsid w:val="00BE186A"/>
    <w:rsid w:val="00BE55D8"/>
    <w:rsid w:val="00C71CF5"/>
    <w:rsid w:val="00C84002"/>
    <w:rsid w:val="00CB138F"/>
    <w:rsid w:val="00CC74DE"/>
    <w:rsid w:val="00D07086"/>
    <w:rsid w:val="00D453A8"/>
    <w:rsid w:val="00DA5E88"/>
    <w:rsid w:val="00E10F69"/>
    <w:rsid w:val="00E1734C"/>
    <w:rsid w:val="00E52A3D"/>
    <w:rsid w:val="00EC4E49"/>
    <w:rsid w:val="00ED64CB"/>
    <w:rsid w:val="00ED77FB"/>
    <w:rsid w:val="00EF0146"/>
    <w:rsid w:val="00F864E3"/>
    <w:rsid w:val="00FC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Arial" w:eastAsia="SimSun" w:hAnsi="Arial" w:cs="Arial"/>
      <w:b/>
      <w:bCs/>
      <w:cap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="Arial" w:eastAsia="SimSun" w:hAnsi="Arial" w:cs="Arial"/>
      <w:bCs/>
      <w:iCs/>
      <w:cap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locked/>
    <w:rPr>
      <w:rFonts w:ascii="Arial" w:eastAsia="SimSun" w:hAnsi="Arial" w:cs="Arial"/>
      <w:bCs/>
      <w:sz w:val="26"/>
      <w:szCs w:val="26"/>
      <w:u w:val="single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locked/>
    <w:rPr>
      <w:rFonts w:ascii="Arial" w:eastAsia="SimSun" w:hAnsi="Arial" w:cs="Arial"/>
      <w:bCs/>
      <w:i/>
      <w:sz w:val="28"/>
      <w:szCs w:val="28"/>
      <w:lang w:val="ru-RU" w:eastAsia="ru-RU"/>
    </w:r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link w:val="BodyTextChar"/>
    <w:uiPriority w:val="99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Arial" w:eastAsia="SimSun" w:hAnsi="Arial" w:cs="Arial"/>
      <w:sz w:val="22"/>
      <w:lang w:val="ru-RU" w:eastAsia="ru-RU"/>
    </w:rPr>
  </w:style>
  <w:style w:type="paragraph" w:styleId="Caption">
    <w:name w:val="caption"/>
    <w:basedOn w:val="Normal"/>
    <w:next w:val="Normal"/>
    <w:uiPriority w:val="35"/>
    <w:qFormat/>
    <w:rPr>
      <w:b/>
      <w:bCs/>
      <w:sz w:val="18"/>
    </w:rPr>
  </w:style>
  <w:style w:type="paragraph" w:styleId="CommentText">
    <w:name w:val="annotation text"/>
    <w:basedOn w:val="Normal"/>
    <w:link w:val="CommentTextChar2"/>
    <w:uiPriority w:val="99"/>
    <w:semiHidden/>
    <w:rPr>
      <w:sz w:val="18"/>
    </w:rPr>
  </w:style>
  <w:style w:type="character" w:customStyle="1" w:styleId="CommentTextChar2">
    <w:name w:val="Comment Text Char2"/>
    <w:basedOn w:val="DefaultParagraphFont"/>
    <w:link w:val="CommentText"/>
    <w:uiPriority w:val="99"/>
    <w:semiHidden/>
    <w:locked/>
    <w:rPr>
      <w:rFonts w:ascii="Arial" w:eastAsia="SimSun" w:hAnsi="Arial" w:cs="Arial"/>
      <w:sz w:val="18"/>
      <w:lang w:val="ru-RU" w:eastAsia="ru-RU"/>
    </w:rPr>
  </w:style>
  <w:style w:type="paragraph" w:styleId="EndnoteText">
    <w:name w:val="endnote text"/>
    <w:basedOn w:val="Normal"/>
    <w:link w:val="EndnoteTextChar"/>
    <w:uiPriority w:val="99"/>
    <w:semiHidden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Arial" w:eastAsia="SimSun" w:hAnsi="Arial" w:cs="Arial"/>
      <w:sz w:val="18"/>
      <w:lang w:val="ru-RU"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eastAsia="SimSun" w:hAnsi="Arial" w:cs="Arial"/>
      <w:sz w:val="22"/>
      <w:lang w:val="ru-RU" w:eastAsia="ru-RU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eastAsia="SimSun" w:hAnsi="Arial" w:cs="Arial"/>
      <w:sz w:val="18"/>
      <w:lang w:val="ru-RU" w:eastAsia="ru-RU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eastAsia="SimSun" w:hAnsi="Arial" w:cs="Arial"/>
      <w:sz w:val="22"/>
      <w:lang w:val="ru-RU" w:eastAsia="ru-RU"/>
    </w:rPr>
  </w:style>
  <w:style w:type="paragraph" w:styleId="ListNumber">
    <w:name w:val="List Number"/>
    <w:basedOn w:val="Normal"/>
    <w:uiPriority w:val="99"/>
    <w:semiHidden/>
    <w:pPr>
      <w:numPr>
        <w:numId w:val="3"/>
      </w:numPr>
    </w:pPr>
  </w:style>
  <w:style w:type="paragraph" w:customStyle="1" w:styleId="ONUME">
    <w:name w:val="ONUM E"/>
    <w:basedOn w:val="BodyText"/>
    <w:pPr>
      <w:numPr>
        <w:numId w:val="4"/>
      </w:numPr>
    </w:pPr>
  </w:style>
  <w:style w:type="paragraph" w:customStyle="1" w:styleId="ONUMFS">
    <w:name w:val="ONUM FS"/>
    <w:basedOn w:val="BodyText"/>
    <w:pPr>
      <w:numPr>
        <w:numId w:val="5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ascii="Arial" w:eastAsia="SimSun" w:hAnsi="Arial" w:cs="Arial"/>
      <w:sz w:val="22"/>
      <w:lang w:val="ru-RU" w:eastAsia="ru-RU"/>
    </w:rPr>
  </w:style>
  <w:style w:type="paragraph" w:styleId="Signature">
    <w:name w:val="Signature"/>
    <w:basedOn w:val="Normal"/>
    <w:link w:val="SignatureChar"/>
    <w:uiPriority w:val="99"/>
    <w:semiHidden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ascii="Arial" w:eastAsia="SimSun" w:hAnsi="Arial" w:cs="Arial"/>
      <w:sz w:val="22"/>
      <w:lang w:val="ru-RU" w:eastAsia="ru-RU"/>
    </w:rPr>
  </w:style>
  <w:style w:type="character" w:styleId="Hyperlink">
    <w:name w:val="Hyperlink"/>
    <w:basedOn w:val="DefaultParagraphFont"/>
    <w:uiPriority w:val="99"/>
    <w:unhideWhenUsed/>
    <w:rPr>
      <w:rFonts w:cs="Times New Roman"/>
      <w:color w:val="526897"/>
      <w:u w:val="none"/>
      <w:effect w:val="none"/>
      <w:lang w:val="ru-RU" w:eastAsia="ru-RU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ahoma" w:eastAsia="SimSun" w:hAnsi="Tahoma" w:cs="Tahoma"/>
      <w:sz w:val="16"/>
      <w:szCs w:val="16"/>
      <w:lang w:val="ru-RU" w:eastAsia="ru-RU"/>
    </w:rPr>
  </w:style>
  <w:style w:type="character" w:customStyle="1" w:styleId="CommentTextChar">
    <w:name w:val="Comment Text Char"/>
    <w:basedOn w:val="DefaultParagraphFont"/>
    <w:semiHidden/>
    <w:rPr>
      <w:rFonts w:ascii="Arial" w:eastAsia="SimSun" w:hAnsi="Arial" w:cs="Arial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  <w:lang w:val="ru-RU" w:eastAsia="ru-RU"/>
    </w:rPr>
  </w:style>
  <w:style w:type="character" w:styleId="PageNumber">
    <w:name w:val="page number"/>
    <w:basedOn w:val="DefaultParagraphFont"/>
    <w:uiPriority w:val="99"/>
    <w:rPr>
      <w:rFonts w:cs="Times New Roman"/>
      <w:lang w:val="ru-RU" w:eastAsia="ru-RU"/>
    </w:rPr>
  </w:style>
  <w:style w:type="paragraph" w:customStyle="1" w:styleId="CarCar">
    <w:name w:val="Car Car"/>
    <w:basedOn w:val="Normal"/>
    <w:pPr>
      <w:spacing w:after="160" w:line="240" w:lineRule="exact"/>
    </w:pPr>
    <w:rPr>
      <w:rFonts w:ascii="Verdana" w:eastAsia="Times New Roman" w:hAnsi="Verdana" w:cs="Times New Roman"/>
      <w:sz w:val="20"/>
    </w:rPr>
  </w:style>
  <w:style w:type="character" w:styleId="CommentReference">
    <w:name w:val="annotation reference"/>
    <w:basedOn w:val="DefaultParagraphFont"/>
    <w:uiPriority w:val="99"/>
    <w:unhideWhenUsed/>
    <w:rPr>
      <w:rFonts w:cs="Times New Roman"/>
      <w:sz w:val="16"/>
      <w:lang w:val="ru-RU" w:eastAsia="ru-RU"/>
    </w:rPr>
  </w:style>
  <w:style w:type="character" w:customStyle="1" w:styleId="CommentTextChar1">
    <w:name w:val="Comment Text Char1"/>
    <w:uiPriority w:val="99"/>
    <w:semiHidden/>
    <w:rPr>
      <w:rFonts w:ascii="Arial" w:eastAsia="SimSun" w:hAnsi="Arial"/>
      <w:sz w:val="20"/>
      <w:lang w:val="ru-RU" w:eastAsia="ru-RU"/>
    </w:rPr>
  </w:style>
  <w:style w:type="paragraph" w:styleId="Revision">
    <w:name w:val="Revision"/>
    <w:hidden/>
    <w:uiPriority w:val="99"/>
    <w:semiHidden/>
    <w:rPr>
      <w:rFonts w:ascii="Arial" w:hAnsi="Arial" w:cs="Arial"/>
      <w:sz w:val="22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rFonts w:eastAsia="Times New Roman"/>
      <w:b/>
      <w:bCs/>
      <w:sz w:val="20"/>
    </w:rPr>
  </w:style>
  <w:style w:type="character" w:customStyle="1" w:styleId="CommentSubjectChar">
    <w:name w:val="Comment Subject Char"/>
    <w:basedOn w:val="CommentTextChar2"/>
    <w:link w:val="CommentSubject"/>
    <w:uiPriority w:val="99"/>
    <w:locked/>
    <w:rPr>
      <w:rFonts w:ascii="Arial" w:eastAsia="SimSun" w:hAnsi="Arial" w:cs="Arial"/>
      <w:b/>
      <w:bCs/>
      <w:sz w:val="18"/>
      <w:lang w:val="ru-RU"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Arial" w:eastAsia="SimSun" w:hAnsi="Arial" w:cs="Arial"/>
      <w:b/>
      <w:bCs/>
      <w:cap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="Arial" w:eastAsia="SimSun" w:hAnsi="Arial" w:cs="Arial"/>
      <w:bCs/>
      <w:iCs/>
      <w:cap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locked/>
    <w:rPr>
      <w:rFonts w:ascii="Arial" w:eastAsia="SimSun" w:hAnsi="Arial" w:cs="Arial"/>
      <w:bCs/>
      <w:sz w:val="26"/>
      <w:szCs w:val="26"/>
      <w:u w:val="single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locked/>
    <w:rPr>
      <w:rFonts w:ascii="Arial" w:eastAsia="SimSun" w:hAnsi="Arial" w:cs="Arial"/>
      <w:bCs/>
      <w:i/>
      <w:sz w:val="28"/>
      <w:szCs w:val="28"/>
      <w:lang w:val="ru-RU" w:eastAsia="ru-RU"/>
    </w:r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link w:val="BodyTextChar"/>
    <w:uiPriority w:val="99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Arial" w:eastAsia="SimSun" w:hAnsi="Arial" w:cs="Arial"/>
      <w:sz w:val="22"/>
      <w:lang w:val="ru-RU" w:eastAsia="ru-RU"/>
    </w:rPr>
  </w:style>
  <w:style w:type="paragraph" w:styleId="Caption">
    <w:name w:val="caption"/>
    <w:basedOn w:val="Normal"/>
    <w:next w:val="Normal"/>
    <w:uiPriority w:val="35"/>
    <w:qFormat/>
    <w:rPr>
      <w:b/>
      <w:bCs/>
      <w:sz w:val="18"/>
    </w:rPr>
  </w:style>
  <w:style w:type="paragraph" w:styleId="CommentText">
    <w:name w:val="annotation text"/>
    <w:basedOn w:val="Normal"/>
    <w:link w:val="CommentTextChar2"/>
    <w:uiPriority w:val="99"/>
    <w:semiHidden/>
    <w:rPr>
      <w:sz w:val="18"/>
    </w:rPr>
  </w:style>
  <w:style w:type="character" w:customStyle="1" w:styleId="CommentTextChar2">
    <w:name w:val="Comment Text Char2"/>
    <w:basedOn w:val="DefaultParagraphFont"/>
    <w:link w:val="CommentText"/>
    <w:uiPriority w:val="99"/>
    <w:semiHidden/>
    <w:locked/>
    <w:rPr>
      <w:rFonts w:ascii="Arial" w:eastAsia="SimSun" w:hAnsi="Arial" w:cs="Arial"/>
      <w:sz w:val="18"/>
      <w:lang w:val="ru-RU" w:eastAsia="ru-RU"/>
    </w:rPr>
  </w:style>
  <w:style w:type="paragraph" w:styleId="EndnoteText">
    <w:name w:val="endnote text"/>
    <w:basedOn w:val="Normal"/>
    <w:link w:val="EndnoteTextChar"/>
    <w:uiPriority w:val="99"/>
    <w:semiHidden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Arial" w:eastAsia="SimSun" w:hAnsi="Arial" w:cs="Arial"/>
      <w:sz w:val="18"/>
      <w:lang w:val="ru-RU"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eastAsia="SimSun" w:hAnsi="Arial" w:cs="Arial"/>
      <w:sz w:val="22"/>
      <w:lang w:val="ru-RU" w:eastAsia="ru-RU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eastAsia="SimSun" w:hAnsi="Arial" w:cs="Arial"/>
      <w:sz w:val="18"/>
      <w:lang w:val="ru-RU" w:eastAsia="ru-RU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eastAsia="SimSun" w:hAnsi="Arial" w:cs="Arial"/>
      <w:sz w:val="22"/>
      <w:lang w:val="ru-RU" w:eastAsia="ru-RU"/>
    </w:rPr>
  </w:style>
  <w:style w:type="paragraph" w:styleId="ListNumber">
    <w:name w:val="List Number"/>
    <w:basedOn w:val="Normal"/>
    <w:uiPriority w:val="99"/>
    <w:semiHidden/>
    <w:pPr>
      <w:numPr>
        <w:numId w:val="3"/>
      </w:numPr>
    </w:pPr>
  </w:style>
  <w:style w:type="paragraph" w:customStyle="1" w:styleId="ONUME">
    <w:name w:val="ONUM E"/>
    <w:basedOn w:val="BodyText"/>
    <w:pPr>
      <w:numPr>
        <w:numId w:val="4"/>
      </w:numPr>
    </w:pPr>
  </w:style>
  <w:style w:type="paragraph" w:customStyle="1" w:styleId="ONUMFS">
    <w:name w:val="ONUM FS"/>
    <w:basedOn w:val="BodyText"/>
    <w:pPr>
      <w:numPr>
        <w:numId w:val="5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ascii="Arial" w:eastAsia="SimSun" w:hAnsi="Arial" w:cs="Arial"/>
      <w:sz w:val="22"/>
      <w:lang w:val="ru-RU" w:eastAsia="ru-RU"/>
    </w:rPr>
  </w:style>
  <w:style w:type="paragraph" w:styleId="Signature">
    <w:name w:val="Signature"/>
    <w:basedOn w:val="Normal"/>
    <w:link w:val="SignatureChar"/>
    <w:uiPriority w:val="99"/>
    <w:semiHidden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ascii="Arial" w:eastAsia="SimSun" w:hAnsi="Arial" w:cs="Arial"/>
      <w:sz w:val="22"/>
      <w:lang w:val="ru-RU" w:eastAsia="ru-RU"/>
    </w:rPr>
  </w:style>
  <w:style w:type="character" w:styleId="Hyperlink">
    <w:name w:val="Hyperlink"/>
    <w:basedOn w:val="DefaultParagraphFont"/>
    <w:uiPriority w:val="99"/>
    <w:unhideWhenUsed/>
    <w:rPr>
      <w:rFonts w:cs="Times New Roman"/>
      <w:color w:val="526897"/>
      <w:u w:val="none"/>
      <w:effect w:val="none"/>
      <w:lang w:val="ru-RU" w:eastAsia="ru-RU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ahoma" w:eastAsia="SimSun" w:hAnsi="Tahoma" w:cs="Tahoma"/>
      <w:sz w:val="16"/>
      <w:szCs w:val="16"/>
      <w:lang w:val="ru-RU" w:eastAsia="ru-RU"/>
    </w:rPr>
  </w:style>
  <w:style w:type="character" w:customStyle="1" w:styleId="CommentTextChar">
    <w:name w:val="Comment Text Char"/>
    <w:basedOn w:val="DefaultParagraphFont"/>
    <w:semiHidden/>
    <w:rPr>
      <w:rFonts w:ascii="Arial" w:eastAsia="SimSun" w:hAnsi="Arial" w:cs="Arial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  <w:lang w:val="ru-RU" w:eastAsia="ru-RU"/>
    </w:rPr>
  </w:style>
  <w:style w:type="character" w:styleId="PageNumber">
    <w:name w:val="page number"/>
    <w:basedOn w:val="DefaultParagraphFont"/>
    <w:uiPriority w:val="99"/>
    <w:rPr>
      <w:rFonts w:cs="Times New Roman"/>
      <w:lang w:val="ru-RU" w:eastAsia="ru-RU"/>
    </w:rPr>
  </w:style>
  <w:style w:type="paragraph" w:customStyle="1" w:styleId="CarCar">
    <w:name w:val="Car Car"/>
    <w:basedOn w:val="Normal"/>
    <w:pPr>
      <w:spacing w:after="160" w:line="240" w:lineRule="exact"/>
    </w:pPr>
    <w:rPr>
      <w:rFonts w:ascii="Verdana" w:eastAsia="Times New Roman" w:hAnsi="Verdana" w:cs="Times New Roman"/>
      <w:sz w:val="20"/>
    </w:rPr>
  </w:style>
  <w:style w:type="character" w:styleId="CommentReference">
    <w:name w:val="annotation reference"/>
    <w:basedOn w:val="DefaultParagraphFont"/>
    <w:uiPriority w:val="99"/>
    <w:unhideWhenUsed/>
    <w:rPr>
      <w:rFonts w:cs="Times New Roman"/>
      <w:sz w:val="16"/>
      <w:lang w:val="ru-RU" w:eastAsia="ru-RU"/>
    </w:rPr>
  </w:style>
  <w:style w:type="character" w:customStyle="1" w:styleId="CommentTextChar1">
    <w:name w:val="Comment Text Char1"/>
    <w:uiPriority w:val="99"/>
    <w:semiHidden/>
    <w:rPr>
      <w:rFonts w:ascii="Arial" w:eastAsia="SimSun" w:hAnsi="Arial"/>
      <w:sz w:val="20"/>
      <w:lang w:val="ru-RU" w:eastAsia="ru-RU"/>
    </w:rPr>
  </w:style>
  <w:style w:type="paragraph" w:styleId="Revision">
    <w:name w:val="Revision"/>
    <w:hidden/>
    <w:uiPriority w:val="99"/>
    <w:semiHidden/>
    <w:rPr>
      <w:rFonts w:ascii="Arial" w:hAnsi="Arial" w:cs="Arial"/>
      <w:sz w:val="22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rFonts w:eastAsia="Times New Roman"/>
      <w:b/>
      <w:bCs/>
      <w:sz w:val="20"/>
    </w:rPr>
  </w:style>
  <w:style w:type="character" w:customStyle="1" w:styleId="CommentSubjectChar">
    <w:name w:val="Comment Subject Char"/>
    <w:basedOn w:val="CommentTextChar2"/>
    <w:link w:val="CommentSubject"/>
    <w:uiPriority w:val="99"/>
    <w:locked/>
    <w:rPr>
      <w:rFonts w:ascii="Arial" w:eastAsia="SimSun" w:hAnsi="Arial" w:cs="Arial"/>
      <w:b/>
      <w:bCs/>
      <w:sz w:val="18"/>
      <w:lang w:val="ru-RU"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://www.wipo.int/edocs/mdocs/mdocs/en/cdip_14/cdip_14_inf_2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://www.wipo.int/edocs/mdocs/africa/en/ompi_pi_dak_15/ompi_pi_dak_15_declaration.pdf" TargetMode="Externa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yperlink" Target="http://www.wipo.int/meetings/en/doc_details.jsp?doc_id=202139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F2ABD-1CAB-4028-AA26-C043566CF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3958</Words>
  <Characters>28922</Characters>
  <Application>Microsoft Office Word</Application>
  <DocSecurity>0</DocSecurity>
  <Lines>556</Lines>
  <Paragraphs>125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CDIP/17/</vt:lpstr>
      <vt:lpstr>CDIP/17/</vt:lpstr>
    </vt:vector>
  </TitlesOfParts>
  <Company>WIPO</Company>
  <LinksUpToDate>false</LinksUpToDate>
  <CharactersWithSpaces>32755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CDIP/17/</dc:title>
  <dc:creator>BRACI Biljana</dc:creator>
  <cp:lastModifiedBy>BRACI Biljana</cp:lastModifiedBy>
  <cp:revision>5</cp:revision>
  <cp:lastPrinted>2016-02-29T14:45:00Z</cp:lastPrinted>
  <dcterms:created xsi:type="dcterms:W3CDTF">2016-02-29T14:43:00Z</dcterms:created>
  <dcterms:modified xsi:type="dcterms:W3CDTF">2016-02-29T15:50:00Z</dcterms:modified>
</cp:coreProperties>
</file>