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AE4FC3" w:rsidRPr="00AE4FC3" w:rsidTr="00881191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AE4FC3" w:rsidRDefault="0089720B" w:rsidP="00AE4FC3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AE4FC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E4FC3" w:rsidRPr="00AE4FC3" w:rsidTr="00881191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AE4FC3" w:rsidRDefault="002634C4" w:rsidP="00AE4FC3">
            <w:pPr>
              <w:rPr>
                <w:lang w:val="fr-FR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AE4FC3" w:rsidRDefault="00CD2423" w:rsidP="00AE4FC3">
            <w:pPr>
              <w:rPr>
                <w:lang w:val="fr-FR"/>
              </w:rPr>
            </w:pPr>
            <w:r w:rsidRPr="00AE4FC3">
              <w:rPr>
                <w:noProof/>
                <w:lang w:eastAsia="en-US"/>
              </w:rPr>
              <w:drawing>
                <wp:inline distT="0" distB="0" distL="0" distR="0" wp14:anchorId="5FEB5172" wp14:editId="61A06278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FC3" w:rsidRPr="00AE4FC3" w:rsidTr="00881191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AE4FC3" w:rsidRDefault="00EF094C" w:rsidP="00AE4FC3">
            <w:pPr>
              <w:rPr>
                <w:b/>
                <w:caps/>
                <w:sz w:val="24"/>
                <w:lang w:val="fr-FR"/>
              </w:rPr>
            </w:pPr>
            <w:r w:rsidRPr="00AE4FC3">
              <w:rPr>
                <w:b/>
                <w:caps/>
                <w:sz w:val="24"/>
                <w:lang w:val="fr-FR"/>
              </w:rPr>
              <w:t>CONFÉRENCE INTERNATIONALE</w:t>
            </w:r>
          </w:p>
        </w:tc>
      </w:tr>
      <w:tr w:rsidR="00AE4FC3" w:rsidRPr="00AE4FC3" w:rsidTr="00881191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E4FC3" w:rsidRDefault="00AE3D20" w:rsidP="00AE4FC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4FC3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r w:rsidR="00EF094C" w:rsidRPr="00AE4FC3">
              <w:rPr>
                <w:rFonts w:ascii="Arial Black" w:hAnsi="Arial Black"/>
                <w:caps/>
                <w:sz w:val="15"/>
                <w:lang w:val="fr-FR"/>
              </w:rPr>
              <w:t>/GDC</w:t>
            </w:r>
            <w:r w:rsidRPr="00AE4FC3">
              <w:rPr>
                <w:rFonts w:ascii="Arial Black" w:hAnsi="Arial Black"/>
                <w:caps/>
                <w:sz w:val="15"/>
                <w:lang w:val="fr-FR"/>
              </w:rPr>
              <w:t>M</w:t>
            </w:r>
            <w:r w:rsidR="00EF094C" w:rsidRPr="00AE4FC3">
              <w:rPr>
                <w:rFonts w:ascii="Arial Black" w:hAnsi="Arial Black"/>
                <w:caps/>
                <w:sz w:val="15"/>
                <w:lang w:val="fr-FR"/>
              </w:rPr>
              <w:t>/GE/16/INF/2</w:t>
            </w:r>
          </w:p>
        </w:tc>
      </w:tr>
      <w:tr w:rsidR="00AE4FC3" w:rsidRPr="00AE4FC3" w:rsidTr="00881191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AE4FC3" w:rsidRDefault="00EF094C" w:rsidP="00AE4FC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4FC3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B2CC1" w:rsidRPr="00AE4FC3" w:rsidTr="00881191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AE4FC3" w:rsidRDefault="00EF094C" w:rsidP="005B0C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4FC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66B20" w:rsidRPr="00AE4FC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1367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5B0C9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5B0C97" w:rsidRPr="005B0C97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5B0C97">
              <w:rPr>
                <w:rFonts w:ascii="Arial Black" w:hAnsi="Arial Black"/>
                <w:caps/>
                <w:sz w:val="15"/>
                <w:lang w:val="fr-FR"/>
              </w:rPr>
              <w:t> avril</w:t>
            </w:r>
            <w:r w:rsidR="00F136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E4FC3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EF094C" w:rsidP="00AE4FC3">
      <w:pPr>
        <w:rPr>
          <w:b/>
          <w:sz w:val="28"/>
          <w:szCs w:val="28"/>
          <w:lang w:val="fr-FR"/>
        </w:rPr>
      </w:pPr>
      <w:r w:rsidRPr="00AE4FC3">
        <w:rPr>
          <w:b/>
          <w:sz w:val="28"/>
          <w:szCs w:val="28"/>
          <w:lang w:val="fr-FR"/>
        </w:rPr>
        <w:t>Le marché mondial des contenus numériques</w:t>
      </w:r>
    </w:p>
    <w:p w:rsidR="002661F7" w:rsidRDefault="002661F7" w:rsidP="00AE4FC3">
      <w:pPr>
        <w:rPr>
          <w:lang w:val="fr-FR"/>
        </w:rPr>
      </w:pPr>
    </w:p>
    <w:p w:rsidR="00F03AC7" w:rsidRPr="00AE4FC3" w:rsidRDefault="00F03AC7" w:rsidP="00AE4FC3">
      <w:pPr>
        <w:rPr>
          <w:lang w:val="fr-FR"/>
        </w:rPr>
      </w:pPr>
    </w:p>
    <w:p w:rsidR="002661F7" w:rsidRPr="00AE4FC3" w:rsidRDefault="00AE4FC3" w:rsidP="00AE4FC3">
      <w:pPr>
        <w:rPr>
          <w:lang w:val="fr-FR"/>
        </w:rPr>
      </w:pPr>
      <w:r w:rsidRPr="00AE4FC3">
        <w:rPr>
          <w:lang w:val="fr-FR"/>
        </w:rPr>
        <w:t xml:space="preserve">Conférence </w:t>
      </w:r>
      <w:r w:rsidR="00EF094C" w:rsidRPr="00AE4FC3">
        <w:rPr>
          <w:lang w:val="fr-FR"/>
        </w:rPr>
        <w:t>organisé</w:t>
      </w:r>
      <w:r w:rsidR="00AE3D20" w:rsidRPr="00AE4FC3">
        <w:rPr>
          <w:lang w:val="fr-FR"/>
        </w:rPr>
        <w:t>e</w:t>
      </w:r>
      <w:r w:rsidR="00EF094C" w:rsidRPr="00AE4FC3">
        <w:rPr>
          <w:lang w:val="fr-FR"/>
        </w:rPr>
        <w:t xml:space="preserve"> par l</w:t>
      </w:r>
      <w:r w:rsidR="00CD2423" w:rsidRPr="00AE4FC3">
        <w:rPr>
          <w:lang w:val="fr-FR"/>
        </w:rPr>
        <w:t>’</w:t>
      </w:r>
      <w:r w:rsidR="00EF094C" w:rsidRPr="00AE4FC3">
        <w:rPr>
          <w:lang w:val="fr-FR"/>
        </w:rPr>
        <w:t>Organisation Mondiale de la Propriété Intellectuelle (OMPI)</w:t>
      </w: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EF094C" w:rsidP="00AE4FC3">
      <w:pPr>
        <w:rPr>
          <w:b/>
          <w:sz w:val="24"/>
          <w:szCs w:val="24"/>
          <w:lang w:val="fr-FR"/>
        </w:rPr>
      </w:pPr>
      <w:r w:rsidRPr="00AE4FC3">
        <w:rPr>
          <w:b/>
          <w:sz w:val="24"/>
          <w:szCs w:val="24"/>
          <w:lang w:val="fr-FR"/>
        </w:rPr>
        <w:t>Genève, 20 – 22 avril 2016</w:t>
      </w: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CD2423" w:rsidRPr="00F13677" w:rsidRDefault="00F13677" w:rsidP="00F13677">
      <w:pPr>
        <w:rPr>
          <w:caps/>
          <w:sz w:val="24"/>
          <w:szCs w:val="24"/>
          <w:lang w:val="fr-FR"/>
        </w:rPr>
      </w:pPr>
      <w:bookmarkStart w:id="1" w:name="TitleOfDoc"/>
      <w:bookmarkEnd w:id="1"/>
      <w:r w:rsidRPr="00F13677">
        <w:rPr>
          <w:caps/>
          <w:sz w:val="24"/>
          <w:szCs w:val="24"/>
          <w:lang w:val="fr-FR"/>
        </w:rPr>
        <w:t>Document d’information à l’intention des participants</w:t>
      </w:r>
    </w:p>
    <w:p w:rsidR="002661F7" w:rsidRPr="00AE4FC3" w:rsidRDefault="002661F7" w:rsidP="00AE4FC3">
      <w:pPr>
        <w:rPr>
          <w:lang w:val="fr-FR"/>
        </w:rPr>
      </w:pPr>
    </w:p>
    <w:p w:rsidR="002661F7" w:rsidRPr="005B0C97" w:rsidRDefault="005B0C97" w:rsidP="00AE4FC3">
      <w:pPr>
        <w:rPr>
          <w:i/>
          <w:lang w:val="fr-FR"/>
        </w:rPr>
      </w:pPr>
      <w:bookmarkStart w:id="2" w:name="Prepared"/>
      <w:bookmarkEnd w:id="2"/>
      <w:r w:rsidRPr="005B0C97">
        <w:rPr>
          <w:i/>
          <w:lang w:val="fr-FR"/>
        </w:rPr>
        <w:t>établi par le Bureau international de l’OMPI</w:t>
      </w: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661F7" w:rsidP="00AE4FC3">
      <w:pPr>
        <w:rPr>
          <w:lang w:val="fr-FR"/>
        </w:rPr>
      </w:pPr>
    </w:p>
    <w:p w:rsidR="002661F7" w:rsidRPr="00AE4FC3" w:rsidRDefault="002F73AD" w:rsidP="00F03AC7">
      <w:pPr>
        <w:pStyle w:val="Heading1"/>
        <w:rPr>
          <w:lang w:val="fr-FR"/>
        </w:rPr>
      </w:pPr>
      <w:r w:rsidRPr="00AE4FC3">
        <w:rPr>
          <w:lang w:val="fr-FR"/>
        </w:rPr>
        <w:br w:type="page"/>
      </w:r>
      <w:r w:rsidR="00F03AC7" w:rsidRPr="00AE4FC3">
        <w:rPr>
          <w:lang w:val="fr-FR"/>
        </w:rPr>
        <w:lastRenderedPageBreak/>
        <w:t>Introduction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BE5FAB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Avec </w:t>
      </w:r>
      <w:r w:rsidR="00DA6EEF" w:rsidRPr="00AE4FC3">
        <w:rPr>
          <w:szCs w:val="22"/>
          <w:lang w:val="fr-FR"/>
        </w:rPr>
        <w:t>le</w:t>
      </w:r>
      <w:r w:rsidRPr="00AE4FC3">
        <w:rPr>
          <w:szCs w:val="22"/>
          <w:lang w:val="fr-FR"/>
        </w:rPr>
        <w:t xml:space="preserve"> numérique, l</w:t>
      </w:r>
      <w:r w:rsidR="00EF094C" w:rsidRPr="00AE4FC3">
        <w:rPr>
          <w:szCs w:val="22"/>
          <w:lang w:val="fr-FR"/>
        </w:rPr>
        <w:t>es modèles com</w:t>
      </w:r>
      <w:r w:rsidRPr="00AE4FC3">
        <w:rPr>
          <w:szCs w:val="22"/>
          <w:lang w:val="fr-FR"/>
        </w:rPr>
        <w:t>merciaux établis de longue date évoluent rapideme</w:t>
      </w:r>
      <w:r w:rsidR="00881191" w:rsidRPr="00AE4FC3">
        <w:rPr>
          <w:szCs w:val="22"/>
          <w:lang w:val="fr-FR"/>
        </w:rPr>
        <w:t>nt.  Ce</w:t>
      </w:r>
      <w:r w:rsidR="00EF094C" w:rsidRPr="00AE4FC3">
        <w:rPr>
          <w:szCs w:val="22"/>
          <w:lang w:val="fr-FR"/>
        </w:rPr>
        <w:t>s dernières années ont vu l</w:t>
      </w:r>
      <w:r w:rsidR="00CD2423" w:rsidRPr="00AE4FC3">
        <w:rPr>
          <w:szCs w:val="22"/>
          <w:lang w:val="fr-FR"/>
        </w:rPr>
        <w:t>’</w:t>
      </w:r>
      <w:r w:rsidR="00EF094C" w:rsidRPr="00AE4FC3">
        <w:rPr>
          <w:szCs w:val="22"/>
          <w:lang w:val="fr-FR"/>
        </w:rPr>
        <w:t>apparition d</w:t>
      </w:r>
      <w:r w:rsidR="00CD2423" w:rsidRPr="00AE4FC3">
        <w:rPr>
          <w:szCs w:val="22"/>
          <w:lang w:val="fr-FR"/>
        </w:rPr>
        <w:t>’</w:t>
      </w:r>
      <w:r w:rsidR="00EF094C" w:rsidRPr="00AE4FC3">
        <w:rPr>
          <w:szCs w:val="22"/>
          <w:lang w:val="fr-FR"/>
        </w:rPr>
        <w:t xml:space="preserve">une </w:t>
      </w:r>
      <w:r w:rsidR="00166B20" w:rsidRPr="00AE4FC3">
        <w:rPr>
          <w:szCs w:val="22"/>
          <w:lang w:val="fr-FR"/>
        </w:rPr>
        <w:t>“</w:t>
      </w:r>
      <w:r w:rsidR="00EF094C" w:rsidRPr="00AE4FC3">
        <w:rPr>
          <w:szCs w:val="22"/>
          <w:lang w:val="fr-FR"/>
        </w:rPr>
        <w:t>économie de parta</w:t>
      </w:r>
      <w:r w:rsidRPr="00AE4FC3">
        <w:rPr>
          <w:szCs w:val="22"/>
          <w:lang w:val="fr-FR"/>
        </w:rPr>
        <w:t>ge</w:t>
      </w:r>
      <w:r w:rsidR="00166B20" w:rsidRPr="00AE4FC3">
        <w:rPr>
          <w:szCs w:val="22"/>
          <w:lang w:val="fr-FR"/>
        </w:rPr>
        <w:t>”</w:t>
      </w:r>
      <w:r w:rsidRPr="00AE4FC3">
        <w:rPr>
          <w:szCs w:val="22"/>
          <w:lang w:val="fr-FR"/>
        </w:rPr>
        <w:t xml:space="preserve"> avec Uber et Airbnb, </w:t>
      </w:r>
      <w:r w:rsidR="00AE4FC3" w:rsidRPr="00AE4FC3">
        <w:rPr>
          <w:szCs w:val="22"/>
          <w:lang w:val="fr-FR"/>
        </w:rPr>
        <w:t>qui offre</w:t>
      </w:r>
      <w:r w:rsidRPr="00AE4FC3">
        <w:rPr>
          <w:szCs w:val="22"/>
          <w:lang w:val="fr-FR"/>
        </w:rPr>
        <w:t>nt respectivement</w:t>
      </w:r>
      <w:r w:rsidR="00EF094C" w:rsidRPr="00AE4FC3">
        <w:rPr>
          <w:szCs w:val="22"/>
          <w:lang w:val="fr-FR"/>
        </w:rPr>
        <w:t xml:space="preserve"> un service de taxi et un service d</w:t>
      </w:r>
      <w:r w:rsidR="00CD2423" w:rsidRPr="00AE4FC3">
        <w:rPr>
          <w:szCs w:val="22"/>
          <w:lang w:val="fr-FR"/>
        </w:rPr>
        <w:t>’</w:t>
      </w:r>
      <w:r w:rsidR="00EF094C" w:rsidRPr="00AE4FC3">
        <w:rPr>
          <w:szCs w:val="22"/>
          <w:lang w:val="fr-FR"/>
        </w:rPr>
        <w:t xml:space="preserve">hébergement plus flexible et meilleur marché, et Vizeat, le </w:t>
      </w:r>
      <w:r w:rsidRPr="00AE4FC3">
        <w:rPr>
          <w:szCs w:val="22"/>
          <w:lang w:val="fr-FR"/>
        </w:rPr>
        <w:t xml:space="preserve">nouveau </w:t>
      </w:r>
      <w:r w:rsidR="00EF094C" w:rsidRPr="00AE4FC3">
        <w:rPr>
          <w:szCs w:val="22"/>
          <w:lang w:val="fr-FR"/>
        </w:rPr>
        <w:t>site de réservation de repas chez l</w:t>
      </w:r>
      <w:r w:rsidR="00CD2423" w:rsidRPr="00AE4FC3">
        <w:rPr>
          <w:szCs w:val="22"/>
          <w:lang w:val="fr-FR"/>
        </w:rPr>
        <w:t>’</w:t>
      </w:r>
      <w:r w:rsidR="00EF094C" w:rsidRPr="00AE4FC3">
        <w:rPr>
          <w:szCs w:val="22"/>
          <w:lang w:val="fr-FR"/>
        </w:rPr>
        <w:t>habitant.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7A7A3F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Dep</w:t>
      </w:r>
      <w:r w:rsidR="005B0C97">
        <w:rPr>
          <w:szCs w:val="22"/>
          <w:lang w:val="fr-FR"/>
        </w:rPr>
        <w:t>uis plus de 10 </w:t>
      </w:r>
      <w:r w:rsidRPr="00AE4FC3">
        <w:rPr>
          <w:szCs w:val="22"/>
          <w:lang w:val="fr-FR"/>
        </w:rPr>
        <w:t>ans,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économie de</w:t>
      </w:r>
      <w:r w:rsidR="00AE4FC3" w:rsidRPr="00AE4FC3">
        <w:rPr>
          <w:szCs w:val="22"/>
          <w:lang w:val="fr-FR"/>
        </w:rPr>
        <w:t>s</w:t>
      </w:r>
      <w:r w:rsidRPr="00AE4FC3">
        <w:rPr>
          <w:szCs w:val="22"/>
          <w:lang w:val="fr-FR"/>
        </w:rPr>
        <w:t xml:space="preserve"> contenus </w:t>
      </w:r>
      <w:r w:rsidR="00FE3115" w:rsidRPr="00AE4FC3">
        <w:rPr>
          <w:szCs w:val="22"/>
          <w:lang w:val="fr-FR"/>
        </w:rPr>
        <w:t xml:space="preserve">de </w:t>
      </w:r>
      <w:r w:rsidR="00DA6EEF" w:rsidRPr="00AE4FC3">
        <w:rPr>
          <w:szCs w:val="22"/>
          <w:lang w:val="fr-FR"/>
        </w:rPr>
        <w:t xml:space="preserve">la </w:t>
      </w:r>
      <w:r w:rsidR="00FE3115" w:rsidRPr="00AE4FC3">
        <w:rPr>
          <w:szCs w:val="22"/>
          <w:lang w:val="fr-FR"/>
        </w:rPr>
        <w:t>création</w:t>
      </w:r>
      <w:r w:rsidRPr="00AE4FC3">
        <w:rPr>
          <w:szCs w:val="22"/>
          <w:lang w:val="fr-FR"/>
        </w:rPr>
        <w:t xml:space="preserve"> a été le témoin de changements radicaux en matière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accès et de modèles commercia</w:t>
      </w:r>
      <w:r w:rsidR="00881191" w:rsidRPr="00AE4FC3">
        <w:rPr>
          <w:szCs w:val="22"/>
          <w:lang w:val="fr-FR"/>
        </w:rPr>
        <w:t>ux.  Le</w:t>
      </w:r>
      <w:r w:rsidRPr="00AE4FC3">
        <w:rPr>
          <w:szCs w:val="22"/>
          <w:lang w:val="fr-FR"/>
        </w:rPr>
        <w:t xml:space="preserve">s tensions existant entre un meilleur accès et une chaîne de valeur économique durable </w:t>
      </w:r>
      <w:r w:rsidR="00FE3115" w:rsidRPr="00AE4FC3">
        <w:rPr>
          <w:szCs w:val="22"/>
          <w:lang w:val="fr-FR"/>
        </w:rPr>
        <w:t>sont au</w:t>
      </w:r>
      <w:r w:rsidRPr="00AE4FC3">
        <w:rPr>
          <w:szCs w:val="22"/>
          <w:lang w:val="fr-FR"/>
        </w:rPr>
        <w:t xml:space="preserve"> </w:t>
      </w:r>
      <w:r w:rsidR="004234F2" w:rsidRPr="00AE4FC3">
        <w:rPr>
          <w:szCs w:val="22"/>
          <w:lang w:val="fr-FR"/>
        </w:rPr>
        <w:t>cœur</w:t>
      </w:r>
      <w:r w:rsidRPr="00AE4FC3">
        <w:rPr>
          <w:szCs w:val="22"/>
          <w:lang w:val="fr-FR"/>
        </w:rPr>
        <w:t xml:space="preserve"> de </w:t>
      </w:r>
      <w:r w:rsidR="00FE3115" w:rsidRPr="00AE4FC3">
        <w:rPr>
          <w:szCs w:val="22"/>
          <w:lang w:val="fr-FR"/>
        </w:rPr>
        <w:t>notre</w:t>
      </w:r>
      <w:r w:rsidRPr="00AE4FC3">
        <w:rPr>
          <w:szCs w:val="22"/>
          <w:lang w:val="fr-FR"/>
        </w:rPr>
        <w:t xml:space="preserve"> conférence intitulée </w:t>
      </w:r>
      <w:r w:rsidR="00166B20" w:rsidRPr="00AE4FC3">
        <w:rPr>
          <w:szCs w:val="22"/>
          <w:lang w:val="fr-FR"/>
        </w:rPr>
        <w:t>“</w:t>
      </w:r>
      <w:r w:rsidRPr="00AE4FC3">
        <w:rPr>
          <w:szCs w:val="22"/>
          <w:lang w:val="fr-FR"/>
        </w:rPr>
        <w:t>Le marché m</w:t>
      </w:r>
      <w:r w:rsidR="00FE3115" w:rsidRPr="00AE4FC3">
        <w:rPr>
          <w:szCs w:val="22"/>
          <w:lang w:val="fr-FR"/>
        </w:rPr>
        <w:t>ondial des contenus numériques</w:t>
      </w:r>
      <w:r w:rsidR="00166B20" w:rsidRPr="00AE4FC3">
        <w:rPr>
          <w:szCs w:val="22"/>
          <w:lang w:val="fr-FR"/>
        </w:rPr>
        <w:t>”</w:t>
      </w:r>
      <w:r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203E36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La conférence </w:t>
      </w:r>
      <w:r w:rsidR="00AE4FC3" w:rsidRPr="00AE4FC3">
        <w:rPr>
          <w:szCs w:val="22"/>
          <w:lang w:val="fr-FR"/>
        </w:rPr>
        <w:t>s’intéressera</w:t>
      </w:r>
      <w:r w:rsidRPr="00AE4FC3">
        <w:rPr>
          <w:szCs w:val="22"/>
          <w:lang w:val="fr-FR"/>
        </w:rPr>
        <w:t xml:space="preserve">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abord </w:t>
      </w:r>
      <w:r w:rsidR="00AE4FC3" w:rsidRPr="00AE4FC3">
        <w:rPr>
          <w:szCs w:val="22"/>
          <w:lang w:val="fr-FR"/>
        </w:rPr>
        <w:t>aux</w:t>
      </w:r>
      <w:r w:rsidRPr="00AE4FC3">
        <w:rPr>
          <w:szCs w:val="22"/>
          <w:lang w:val="fr-FR"/>
        </w:rPr>
        <w:t xml:space="preserve"> meilleures pratiques et </w:t>
      </w:r>
      <w:r w:rsidR="00FE3115" w:rsidRPr="00AE4FC3">
        <w:rPr>
          <w:szCs w:val="22"/>
          <w:lang w:val="fr-FR"/>
        </w:rPr>
        <w:t>analysera</w:t>
      </w:r>
      <w:r w:rsidRPr="00AE4FC3">
        <w:rPr>
          <w:szCs w:val="22"/>
          <w:lang w:val="fr-FR"/>
        </w:rPr>
        <w:t xml:space="preserve"> les problèmes par secteur</w:t>
      </w:r>
      <w:r w:rsidR="00166B20" w:rsidRPr="00AE4FC3">
        <w:rPr>
          <w:szCs w:val="22"/>
          <w:lang w:val="fr-FR"/>
        </w:rPr>
        <w:t> :</w:t>
      </w:r>
      <w:r w:rsidRPr="00AE4FC3">
        <w:rPr>
          <w:szCs w:val="22"/>
          <w:lang w:val="fr-FR"/>
        </w:rPr>
        <w:t xml:space="preserve"> </w:t>
      </w:r>
      <w:r w:rsidR="00C241FE"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industrie musicale, </w:t>
      </w:r>
      <w:r w:rsidR="00C241FE"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industrie cinématograp</w:t>
      </w:r>
      <w:r w:rsidR="004234F2" w:rsidRPr="00AE4FC3">
        <w:rPr>
          <w:szCs w:val="22"/>
          <w:lang w:val="fr-FR"/>
        </w:rPr>
        <w:t xml:space="preserve">hique, </w:t>
      </w:r>
      <w:r w:rsidR="00C241FE"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="00C241FE" w:rsidRPr="00AE4FC3">
        <w:rPr>
          <w:szCs w:val="22"/>
          <w:lang w:val="fr-FR"/>
        </w:rPr>
        <w:t>industrie de la radiodiffusion</w:t>
      </w:r>
      <w:r w:rsidRPr="00AE4FC3">
        <w:rPr>
          <w:szCs w:val="22"/>
          <w:lang w:val="fr-FR"/>
        </w:rPr>
        <w:t xml:space="preserve"> et </w:t>
      </w:r>
      <w:r w:rsidR="00C241FE"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industrie de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éditi</w:t>
      </w:r>
      <w:r w:rsidR="00881191" w:rsidRPr="00AE4FC3">
        <w:rPr>
          <w:szCs w:val="22"/>
          <w:lang w:val="fr-FR"/>
        </w:rPr>
        <w:t>on.  L’i</w:t>
      </w:r>
      <w:r w:rsidRPr="00AE4FC3">
        <w:rPr>
          <w:szCs w:val="22"/>
          <w:lang w:val="fr-FR"/>
        </w:rPr>
        <w:t xml:space="preserve">nfrastructure numérique, la gestion collective et les </w:t>
      </w:r>
      <w:r w:rsidR="00FE3115" w:rsidRPr="00AE4FC3">
        <w:rPr>
          <w:szCs w:val="22"/>
          <w:lang w:val="fr-FR"/>
        </w:rPr>
        <w:t>répercussions</w:t>
      </w:r>
      <w:r w:rsidRPr="00AE4FC3">
        <w:rPr>
          <w:szCs w:val="22"/>
          <w:lang w:val="fr-FR"/>
        </w:rPr>
        <w:t xml:space="preserve"> pour le marché et les décideurs</w:t>
      </w:r>
      <w:r w:rsidR="00FE3115" w:rsidRPr="00AE4FC3">
        <w:rPr>
          <w:szCs w:val="22"/>
          <w:lang w:val="fr-FR"/>
        </w:rPr>
        <w:t xml:space="preserve"> seront examinées au cours des deux</w:t>
      </w:r>
      <w:r w:rsidR="00166B20" w:rsidRPr="00AE4FC3">
        <w:rPr>
          <w:szCs w:val="22"/>
          <w:lang w:val="fr-FR"/>
        </w:rPr>
        <w:t> </w:t>
      </w:r>
      <w:r w:rsidR="00FE3115" w:rsidRPr="00AE4FC3">
        <w:rPr>
          <w:szCs w:val="22"/>
          <w:lang w:val="fr-FR"/>
        </w:rPr>
        <w:t>dernières sessions</w:t>
      </w:r>
      <w:r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u w:val="single"/>
          <w:lang w:val="fr-FR"/>
        </w:rPr>
      </w:pPr>
    </w:p>
    <w:p w:rsidR="002661F7" w:rsidRPr="00AE4FC3" w:rsidRDefault="007C6726" w:rsidP="00AE4FC3">
      <w:pPr>
        <w:pStyle w:val="Heading2"/>
        <w:numPr>
          <w:ilvl w:val="0"/>
          <w:numId w:val="7"/>
        </w:numPr>
        <w:spacing w:after="0"/>
        <w:ind w:left="0" w:firstLine="0"/>
        <w:rPr>
          <w:b/>
          <w:lang w:val="fr-FR"/>
        </w:rPr>
      </w:pPr>
      <w:r w:rsidRPr="00AE4FC3">
        <w:rPr>
          <w:b/>
          <w:lang w:val="fr-FR"/>
        </w:rPr>
        <w:t>L</w:t>
      </w:r>
      <w:r w:rsidR="00CD2423" w:rsidRPr="00AE4FC3">
        <w:rPr>
          <w:b/>
          <w:lang w:val="fr-FR"/>
        </w:rPr>
        <w:t>’</w:t>
      </w:r>
      <w:r w:rsidR="00F03AC7">
        <w:rPr>
          <w:b/>
          <w:lang w:val="fr-FR"/>
        </w:rPr>
        <w:t>industrie musicale</w:t>
      </w:r>
    </w:p>
    <w:p w:rsidR="002661F7" w:rsidRPr="00AE4FC3" w:rsidRDefault="00272D28" w:rsidP="00AE4FC3">
      <w:pPr>
        <w:pStyle w:val="Heading3"/>
        <w:rPr>
          <w:lang w:val="fr-FR"/>
        </w:rPr>
      </w:pPr>
      <w:r w:rsidRPr="00AE4FC3">
        <w:rPr>
          <w:lang w:val="fr-FR"/>
        </w:rPr>
        <w:t>Aperçu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272D28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industrie musicale est en </w:t>
      </w:r>
      <w:r w:rsidR="000B605A" w:rsidRPr="00AE4FC3">
        <w:rPr>
          <w:szCs w:val="22"/>
          <w:lang w:val="fr-FR"/>
        </w:rPr>
        <w:t>pleine</w:t>
      </w:r>
      <w:r w:rsidRPr="00AE4FC3">
        <w:rPr>
          <w:szCs w:val="22"/>
          <w:lang w:val="fr-FR"/>
        </w:rPr>
        <w:t xml:space="preserve"> mutation car elle continue de s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adapter à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ère du numériq</w:t>
      </w:r>
      <w:r w:rsidR="00881191" w:rsidRPr="00AE4FC3">
        <w:rPr>
          <w:szCs w:val="22"/>
          <w:lang w:val="fr-FR"/>
        </w:rPr>
        <w:t>ue.  Bi</w:t>
      </w:r>
      <w:r w:rsidR="000B605A" w:rsidRPr="00AE4FC3">
        <w:rPr>
          <w:szCs w:val="22"/>
          <w:lang w:val="fr-FR"/>
        </w:rPr>
        <w:t>en</w:t>
      </w:r>
      <w:r w:rsidRPr="00AE4FC3">
        <w:rPr>
          <w:szCs w:val="22"/>
          <w:lang w:val="fr-FR"/>
        </w:rPr>
        <w:t xml:space="preserve"> qu</w:t>
      </w:r>
      <w:r w:rsidR="000B605A" w:rsidRPr="00AE4FC3">
        <w:rPr>
          <w:szCs w:val="22"/>
          <w:lang w:val="fr-FR"/>
        </w:rPr>
        <w:t xml:space="preserve">e le marché du numérique </w:t>
      </w:r>
      <w:r w:rsidR="00C241FE" w:rsidRPr="00AE4FC3">
        <w:rPr>
          <w:szCs w:val="22"/>
          <w:lang w:val="fr-FR"/>
        </w:rPr>
        <w:t>soit</w:t>
      </w:r>
      <w:r w:rsidRPr="00AE4FC3">
        <w:rPr>
          <w:szCs w:val="22"/>
          <w:lang w:val="fr-FR"/>
        </w:rPr>
        <w:t xml:space="preserve"> de plus en plus </w:t>
      </w:r>
      <w:r w:rsidR="000B605A" w:rsidRPr="00AE4FC3">
        <w:rPr>
          <w:szCs w:val="22"/>
          <w:lang w:val="fr-FR"/>
        </w:rPr>
        <w:t>sophistiqué</w:t>
      </w:r>
      <w:r w:rsidRPr="00AE4FC3">
        <w:rPr>
          <w:szCs w:val="22"/>
          <w:lang w:val="fr-FR"/>
        </w:rPr>
        <w:t>,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augmentation des ventes numériques </w:t>
      </w:r>
      <w:r w:rsidR="000B605A" w:rsidRPr="00AE4FC3">
        <w:rPr>
          <w:szCs w:val="22"/>
          <w:lang w:val="fr-FR"/>
        </w:rPr>
        <w:t>ne compense pas encore</w:t>
      </w:r>
      <w:r w:rsidRPr="00AE4FC3">
        <w:rPr>
          <w:szCs w:val="22"/>
          <w:lang w:val="fr-FR"/>
        </w:rPr>
        <w:t xml:space="preserve"> la baisse des ventes de supports matériels. </w:t>
      </w:r>
      <w:r w:rsidR="002F73AD" w:rsidRPr="00AE4FC3">
        <w:rPr>
          <w:lang w:val="fr-FR"/>
        </w:rPr>
        <w:t xml:space="preserve"> </w:t>
      </w:r>
      <w:r w:rsidRPr="00AE4FC3">
        <w:rPr>
          <w:szCs w:val="22"/>
          <w:lang w:val="fr-FR"/>
        </w:rPr>
        <w:t xml:space="preserve">Cette évolution modifie la chaîne de valeur, influence le parcours professionnel des artistes et </w:t>
      </w:r>
      <w:r w:rsidR="000B605A" w:rsidRPr="00AE4FC3">
        <w:rPr>
          <w:szCs w:val="22"/>
          <w:lang w:val="fr-FR"/>
        </w:rPr>
        <w:t xml:space="preserve">ouvre </w:t>
      </w: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industrie musicale</w:t>
      </w:r>
      <w:r w:rsidR="000B605A" w:rsidRPr="00AE4FC3">
        <w:rPr>
          <w:szCs w:val="22"/>
          <w:lang w:val="fr-FR"/>
        </w:rPr>
        <w:t xml:space="preserve"> à de nouveaux acteurs</w:t>
      </w:r>
      <w:r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272D28" w:rsidP="00AE4FC3">
      <w:pPr>
        <w:pStyle w:val="Heading3"/>
        <w:rPr>
          <w:lang w:val="fr-FR"/>
        </w:rPr>
      </w:pPr>
      <w:r w:rsidRPr="00AE4FC3">
        <w:rPr>
          <w:lang w:val="fr-FR"/>
        </w:rPr>
        <w:t>Taille et croissance</w:t>
      </w:r>
      <w:r w:rsidR="002F73AD" w:rsidRPr="00AE4FC3">
        <w:rPr>
          <w:lang w:val="fr-FR"/>
        </w:rPr>
        <w:t xml:space="preserve"> </w:t>
      </w:r>
      <w:r w:rsidR="00503DD4" w:rsidRPr="00AE4FC3">
        <w:rPr>
          <w:lang w:val="fr-FR"/>
        </w:rPr>
        <w:t>du marché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715ED8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industrie</w:t>
      </w:r>
      <w:r w:rsidR="00503DD4" w:rsidRPr="00AE4FC3">
        <w:rPr>
          <w:szCs w:val="22"/>
          <w:lang w:val="fr-FR"/>
        </w:rPr>
        <w:t xml:space="preserve"> </w:t>
      </w:r>
      <w:r w:rsidR="00C241FE" w:rsidRPr="00AE4FC3">
        <w:rPr>
          <w:szCs w:val="22"/>
          <w:lang w:val="fr-FR"/>
        </w:rPr>
        <w:t>musicale</w:t>
      </w:r>
      <w:r w:rsidR="00503DD4" w:rsidRPr="00AE4FC3">
        <w:rPr>
          <w:szCs w:val="22"/>
          <w:lang w:val="fr-FR"/>
        </w:rPr>
        <w:t xml:space="preserve"> mondiale vaut 15 </w:t>
      </w:r>
      <w:r w:rsidRPr="00AE4FC3">
        <w:rPr>
          <w:szCs w:val="22"/>
          <w:lang w:val="fr-FR"/>
        </w:rPr>
        <w:t>milliards de dollars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U</w:t>
      </w:r>
      <w:r w:rsidRPr="00AE4FC3">
        <w:rPr>
          <w:rStyle w:val="FootnoteReference"/>
          <w:szCs w:val="22"/>
          <w:lang w:val="fr-FR"/>
        </w:rPr>
        <w:footnoteReference w:id="2"/>
      </w:r>
      <w:r w:rsidRPr="00AE4FC3">
        <w:rPr>
          <w:szCs w:val="22"/>
          <w:lang w:val="fr-FR"/>
        </w:rPr>
        <w:t>.</w:t>
      </w:r>
      <w:r w:rsidR="002F73AD" w:rsidRPr="00AE4FC3">
        <w:rPr>
          <w:lang w:val="fr-FR"/>
        </w:rPr>
        <w:t xml:space="preserve">  </w:t>
      </w:r>
      <w:r w:rsidR="000B605A" w:rsidRPr="00AE4FC3">
        <w:rPr>
          <w:szCs w:val="22"/>
          <w:lang w:val="fr-FR"/>
        </w:rPr>
        <w:t xml:space="preserve">Ses </w:t>
      </w:r>
      <w:r w:rsidR="00503DD4" w:rsidRPr="00AE4FC3">
        <w:rPr>
          <w:szCs w:val="22"/>
          <w:lang w:val="fr-FR"/>
        </w:rPr>
        <w:t>recettes</w:t>
      </w:r>
      <w:r w:rsidR="000B605A" w:rsidRPr="00AE4FC3">
        <w:rPr>
          <w:szCs w:val="22"/>
          <w:lang w:val="fr-FR"/>
        </w:rPr>
        <w:t xml:space="preserve"> pour l</w:t>
      </w:r>
      <w:r w:rsidR="00CD2423" w:rsidRPr="00AE4FC3">
        <w:rPr>
          <w:szCs w:val="22"/>
          <w:lang w:val="fr-FR"/>
        </w:rPr>
        <w:t>’</w:t>
      </w:r>
      <w:r w:rsidR="00AE3D20" w:rsidRPr="00AE4FC3">
        <w:rPr>
          <w:szCs w:val="22"/>
          <w:lang w:val="fr-FR"/>
        </w:rPr>
        <w:t>année </w:t>
      </w:r>
      <w:r w:rsidRPr="00AE4FC3">
        <w:rPr>
          <w:szCs w:val="22"/>
          <w:lang w:val="fr-FR"/>
        </w:rPr>
        <w:t xml:space="preserve">2014 </w:t>
      </w:r>
      <w:r w:rsidR="000B605A" w:rsidRPr="00AE4FC3">
        <w:rPr>
          <w:szCs w:val="22"/>
          <w:lang w:val="fr-FR"/>
        </w:rPr>
        <w:t>ont diminué de 3,9% par rapport à 2013, a</w:t>
      </w:r>
      <w:r w:rsidR="0012185C" w:rsidRPr="00AE4FC3">
        <w:rPr>
          <w:szCs w:val="22"/>
          <w:lang w:val="fr-FR"/>
        </w:rPr>
        <w:t xml:space="preserve">lors que </w:t>
      </w:r>
      <w:r w:rsidR="00503DD4" w:rsidRPr="00AE4FC3">
        <w:rPr>
          <w:szCs w:val="22"/>
          <w:lang w:val="fr-FR"/>
        </w:rPr>
        <w:t>celles issues</w:t>
      </w:r>
      <w:r w:rsidR="0012185C" w:rsidRPr="00AE4FC3">
        <w:rPr>
          <w:szCs w:val="22"/>
          <w:lang w:val="fr-FR"/>
        </w:rPr>
        <w:t xml:space="preserve"> de sources numériques ont augmenté de 6,8 milliards de dollars</w:t>
      </w:r>
      <w:r w:rsidR="00166B20" w:rsidRPr="00AE4FC3">
        <w:rPr>
          <w:szCs w:val="22"/>
          <w:lang w:val="fr-FR"/>
        </w:rPr>
        <w:t> </w:t>
      </w:r>
      <w:r w:rsidR="0012185C"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="0012185C" w:rsidRPr="00AE4FC3">
        <w:rPr>
          <w:szCs w:val="22"/>
          <w:lang w:val="fr-FR"/>
        </w:rPr>
        <w:t>U. et égalent à présent ceux des supports matérie</w:t>
      </w:r>
      <w:r w:rsidR="00881191" w:rsidRPr="00AE4FC3">
        <w:rPr>
          <w:szCs w:val="22"/>
          <w:lang w:val="fr-FR"/>
        </w:rPr>
        <w:t>ls.  Le</w:t>
      </w:r>
      <w:r w:rsidR="0012185C" w:rsidRPr="00AE4FC3">
        <w:rPr>
          <w:szCs w:val="22"/>
          <w:lang w:val="fr-FR"/>
        </w:rPr>
        <w:t xml:space="preserve">s </w:t>
      </w:r>
      <w:r w:rsidR="00D409CD" w:rsidRPr="00AE4FC3">
        <w:rPr>
          <w:szCs w:val="22"/>
          <w:lang w:val="fr-FR"/>
        </w:rPr>
        <w:t>services d</w:t>
      </w:r>
      <w:r w:rsidR="00CD2423" w:rsidRPr="00AE4FC3">
        <w:rPr>
          <w:szCs w:val="22"/>
          <w:lang w:val="fr-FR"/>
        </w:rPr>
        <w:t>’</w:t>
      </w:r>
      <w:r w:rsidR="0012185C" w:rsidRPr="00AE4FC3">
        <w:rPr>
          <w:szCs w:val="22"/>
          <w:lang w:val="fr-FR"/>
        </w:rPr>
        <w:t>abonnements et de diffusion en continu progressent rapidement</w:t>
      </w:r>
      <w:r w:rsidR="00D409CD" w:rsidRPr="00AE4FC3">
        <w:rPr>
          <w:szCs w:val="22"/>
          <w:lang w:val="fr-FR"/>
        </w:rPr>
        <w:t>,</w:t>
      </w:r>
      <w:r w:rsidR="0012185C" w:rsidRPr="00AE4FC3">
        <w:rPr>
          <w:szCs w:val="22"/>
          <w:lang w:val="fr-FR"/>
        </w:rPr>
        <w:t xml:space="preserve"> avec un taux de croissance de 51% en</w:t>
      </w:r>
      <w:r w:rsidR="00166B20" w:rsidRPr="00AE4FC3">
        <w:rPr>
          <w:szCs w:val="22"/>
          <w:lang w:val="fr-FR"/>
        </w:rPr>
        <w:t> </w:t>
      </w:r>
      <w:r w:rsidR="0012185C" w:rsidRPr="00AE4FC3">
        <w:rPr>
          <w:szCs w:val="22"/>
          <w:lang w:val="fr-FR"/>
        </w:rPr>
        <w:t>2013</w:t>
      </w:r>
      <w:r w:rsidR="00D409CD" w:rsidRPr="00AE4FC3">
        <w:rPr>
          <w:szCs w:val="22"/>
          <w:lang w:val="fr-FR"/>
        </w:rPr>
        <w:t xml:space="preserve"> et des </w:t>
      </w:r>
      <w:r w:rsidR="00503DD4" w:rsidRPr="00AE4FC3">
        <w:rPr>
          <w:szCs w:val="22"/>
          <w:lang w:val="fr-FR"/>
        </w:rPr>
        <w:t>recettes</w:t>
      </w:r>
      <w:r w:rsidR="00AE3D20" w:rsidRPr="00AE4FC3">
        <w:rPr>
          <w:szCs w:val="22"/>
          <w:lang w:val="fr-FR"/>
        </w:rPr>
        <w:t xml:space="preserve"> atteignant un milliard </w:t>
      </w:r>
      <w:r w:rsidR="0012185C" w:rsidRPr="00AE4FC3">
        <w:rPr>
          <w:szCs w:val="22"/>
          <w:lang w:val="fr-FR"/>
        </w:rPr>
        <w:t>de dollars</w:t>
      </w:r>
      <w:r w:rsidR="00166B20" w:rsidRPr="00AE4FC3">
        <w:rPr>
          <w:szCs w:val="22"/>
          <w:lang w:val="fr-FR"/>
        </w:rPr>
        <w:t> </w:t>
      </w:r>
      <w:r w:rsidR="0012185C"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="0012185C" w:rsidRPr="00AE4FC3">
        <w:rPr>
          <w:szCs w:val="22"/>
          <w:lang w:val="fr-FR"/>
        </w:rPr>
        <w:t>U</w:t>
      </w:r>
      <w:r w:rsidR="0012185C" w:rsidRPr="00AE4FC3">
        <w:rPr>
          <w:rStyle w:val="FootnoteReference"/>
          <w:szCs w:val="22"/>
          <w:lang w:val="fr-FR"/>
        </w:rPr>
        <w:footnoteReference w:id="3"/>
      </w:r>
      <w:r w:rsidR="0012185C"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503DD4" w:rsidP="00AE4FC3">
      <w:pPr>
        <w:pStyle w:val="Heading3"/>
        <w:rPr>
          <w:lang w:val="fr-FR"/>
        </w:rPr>
      </w:pPr>
      <w:r w:rsidRPr="00AE4FC3">
        <w:rPr>
          <w:lang w:val="fr-FR"/>
        </w:rPr>
        <w:t>La part du</w:t>
      </w:r>
      <w:r w:rsidR="00D409CD" w:rsidRPr="00AE4FC3">
        <w:rPr>
          <w:lang w:val="fr-FR"/>
        </w:rPr>
        <w:t xml:space="preserve"> n</w:t>
      </w:r>
      <w:r w:rsidR="00BC5736" w:rsidRPr="00AE4FC3">
        <w:rPr>
          <w:lang w:val="fr-FR"/>
        </w:rPr>
        <w:t>umérique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D33480" w:rsidRDefault="00BC5736" w:rsidP="00D33480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industrie </w:t>
      </w:r>
      <w:r w:rsidR="00400E95" w:rsidRPr="00AE4FC3">
        <w:rPr>
          <w:szCs w:val="22"/>
          <w:lang w:val="fr-FR"/>
        </w:rPr>
        <w:t>musicale</w:t>
      </w:r>
      <w:r w:rsidRPr="00AE4FC3">
        <w:rPr>
          <w:szCs w:val="22"/>
          <w:lang w:val="fr-FR"/>
        </w:rPr>
        <w:t xml:space="preserve"> a été la première affectée par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apparition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Intern</w:t>
      </w:r>
      <w:r w:rsidR="00881191" w:rsidRPr="00AE4FC3">
        <w:rPr>
          <w:szCs w:val="22"/>
          <w:lang w:val="fr-FR"/>
        </w:rPr>
        <w:t xml:space="preserve">et.  À </w:t>
      </w:r>
      <w:r w:rsidR="002B34FB"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="002B34FB" w:rsidRPr="00AE4FC3">
        <w:rPr>
          <w:szCs w:val="22"/>
          <w:lang w:val="fr-FR"/>
        </w:rPr>
        <w:t>époque où le consommateur achetait des CD en ligne, le commerce en ligne (e</w:t>
      </w:r>
      <w:r w:rsidR="00B0592F">
        <w:rPr>
          <w:szCs w:val="22"/>
          <w:lang w:val="fr-FR"/>
        </w:rPr>
        <w:noBreakHyphen/>
      </w:r>
      <w:r w:rsidR="002B34FB" w:rsidRPr="00AE4FC3">
        <w:rPr>
          <w:szCs w:val="22"/>
          <w:lang w:val="fr-FR"/>
        </w:rPr>
        <w:t>commerce) offrait de véritables occasio</w:t>
      </w:r>
      <w:r w:rsidR="00881191" w:rsidRPr="00AE4FC3">
        <w:rPr>
          <w:szCs w:val="22"/>
          <w:lang w:val="fr-FR"/>
        </w:rPr>
        <w:t>ns.  To</w:t>
      </w:r>
      <w:r w:rsidR="002B34FB" w:rsidRPr="00AE4FC3">
        <w:rPr>
          <w:szCs w:val="22"/>
          <w:lang w:val="fr-FR"/>
        </w:rPr>
        <w:t xml:space="preserve">ut cela change </w:t>
      </w:r>
      <w:r w:rsidR="00D409CD" w:rsidRPr="00AE4FC3">
        <w:rPr>
          <w:szCs w:val="22"/>
          <w:lang w:val="fr-FR"/>
        </w:rPr>
        <w:t>dans les années</w:t>
      </w:r>
      <w:r w:rsidR="00166B20" w:rsidRPr="00AE4FC3">
        <w:rPr>
          <w:szCs w:val="22"/>
          <w:lang w:val="fr-FR"/>
        </w:rPr>
        <w:t> 90</w:t>
      </w:r>
      <w:r w:rsidR="00D409CD" w:rsidRPr="00AE4FC3">
        <w:rPr>
          <w:szCs w:val="22"/>
          <w:lang w:val="fr-FR"/>
        </w:rPr>
        <w:t xml:space="preserve"> avec l</w:t>
      </w:r>
      <w:r w:rsidR="00CD2423" w:rsidRPr="00AE4FC3">
        <w:rPr>
          <w:szCs w:val="22"/>
          <w:lang w:val="fr-FR"/>
        </w:rPr>
        <w:t>’</w:t>
      </w:r>
      <w:r w:rsidR="00D409CD" w:rsidRPr="00AE4FC3">
        <w:rPr>
          <w:szCs w:val="22"/>
          <w:lang w:val="fr-FR"/>
        </w:rPr>
        <w:t xml:space="preserve">apparition </w:t>
      </w:r>
      <w:r w:rsidR="006E4896" w:rsidRPr="00AE4FC3">
        <w:rPr>
          <w:szCs w:val="22"/>
          <w:lang w:val="fr-FR"/>
        </w:rPr>
        <w:t xml:space="preserve">sur le marché </w:t>
      </w:r>
      <w:r w:rsidR="00D409CD" w:rsidRPr="00AE4FC3">
        <w:rPr>
          <w:szCs w:val="22"/>
          <w:lang w:val="fr-FR"/>
        </w:rPr>
        <w:t>des premiers</w:t>
      </w:r>
      <w:r w:rsidR="002B34FB" w:rsidRPr="00AE4FC3">
        <w:rPr>
          <w:szCs w:val="22"/>
          <w:lang w:val="fr-FR"/>
        </w:rPr>
        <w:t xml:space="preserve"> fichiers audio</w:t>
      </w:r>
      <w:r w:rsidR="00D409CD" w:rsidRPr="00AE4FC3">
        <w:rPr>
          <w:szCs w:val="22"/>
          <w:lang w:val="fr-FR"/>
        </w:rPr>
        <w:t xml:space="preserve"> </w:t>
      </w:r>
      <w:r w:rsidR="002B34FB" w:rsidRPr="00AE4FC3">
        <w:rPr>
          <w:szCs w:val="22"/>
          <w:lang w:val="fr-FR"/>
        </w:rPr>
        <w:t>numériques</w:t>
      </w:r>
      <w:r w:rsidR="006E4896" w:rsidRPr="00AE4FC3">
        <w:rPr>
          <w:szCs w:val="22"/>
          <w:lang w:val="fr-FR"/>
        </w:rPr>
        <w:t xml:space="preserve">, diffusés </w:t>
      </w:r>
      <w:r w:rsidR="00400E95" w:rsidRPr="00AE4FC3">
        <w:rPr>
          <w:szCs w:val="22"/>
          <w:lang w:val="fr-FR"/>
        </w:rPr>
        <w:t>dans un premier temps</w:t>
      </w:r>
      <w:r w:rsidR="006E4896" w:rsidRPr="00AE4FC3">
        <w:rPr>
          <w:szCs w:val="22"/>
          <w:lang w:val="fr-FR"/>
        </w:rPr>
        <w:t xml:space="preserve"> </w:t>
      </w:r>
      <w:r w:rsidR="00AF55EA" w:rsidRPr="00AE4FC3">
        <w:rPr>
          <w:szCs w:val="22"/>
          <w:lang w:val="fr-FR"/>
        </w:rPr>
        <w:t>en dehors des circuits autoris</w:t>
      </w:r>
      <w:r w:rsidR="00881191" w:rsidRPr="00AE4FC3">
        <w:rPr>
          <w:szCs w:val="22"/>
          <w:lang w:val="fr-FR"/>
        </w:rPr>
        <w:t>és.  La</w:t>
      </w:r>
      <w:r w:rsidR="00BD5116" w:rsidRPr="00AE4FC3">
        <w:rPr>
          <w:szCs w:val="22"/>
          <w:lang w:val="fr-FR"/>
        </w:rPr>
        <w:t xml:space="preserve"> création de valeur est</w:t>
      </w:r>
      <w:r w:rsidR="006E4896" w:rsidRPr="00AE4FC3">
        <w:rPr>
          <w:szCs w:val="22"/>
          <w:lang w:val="fr-FR"/>
        </w:rPr>
        <w:t xml:space="preserve"> ainsi</w:t>
      </w:r>
      <w:r w:rsidR="00BD5116" w:rsidRPr="00AE4FC3">
        <w:rPr>
          <w:szCs w:val="22"/>
          <w:lang w:val="fr-FR"/>
        </w:rPr>
        <w:t xml:space="preserve"> passée entre les mains de nouveaux venus</w:t>
      </w:r>
      <w:r w:rsidR="006E4896" w:rsidRPr="00AE4FC3">
        <w:rPr>
          <w:szCs w:val="22"/>
          <w:lang w:val="fr-FR"/>
        </w:rPr>
        <w:t xml:space="preserve"> dans le secteur</w:t>
      </w:r>
      <w:r w:rsidR="00BD5116" w:rsidRPr="00AE4FC3">
        <w:rPr>
          <w:szCs w:val="22"/>
          <w:lang w:val="fr-FR"/>
        </w:rPr>
        <w:t xml:space="preserve">, notamment les fabricants de lecteurs de musique et les </w:t>
      </w:r>
      <w:r w:rsidR="006E4896" w:rsidRPr="00AE4FC3">
        <w:rPr>
          <w:szCs w:val="22"/>
          <w:lang w:val="fr-FR"/>
        </w:rPr>
        <w:t>plate</w:t>
      </w:r>
      <w:r w:rsidR="00013AD4" w:rsidRPr="00AE4FC3">
        <w:rPr>
          <w:szCs w:val="22"/>
          <w:lang w:val="fr-FR"/>
        </w:rPr>
        <w:t>s</w:t>
      </w:r>
      <w:r w:rsidR="00B0592F">
        <w:rPr>
          <w:szCs w:val="22"/>
          <w:lang w:val="fr-FR"/>
        </w:rPr>
        <w:noBreakHyphen/>
      </w:r>
      <w:r w:rsidR="006E4896" w:rsidRPr="00AE4FC3">
        <w:rPr>
          <w:szCs w:val="22"/>
          <w:lang w:val="fr-FR"/>
        </w:rPr>
        <w:t>formes</w:t>
      </w:r>
      <w:r w:rsidR="00BD5116" w:rsidRPr="00AE4FC3">
        <w:rPr>
          <w:szCs w:val="22"/>
          <w:lang w:val="fr-FR"/>
        </w:rPr>
        <w:t xml:space="preserve"> </w:t>
      </w:r>
      <w:r w:rsidR="00400E95" w:rsidRPr="00AE4FC3">
        <w:rPr>
          <w:szCs w:val="22"/>
          <w:lang w:val="fr-FR"/>
        </w:rPr>
        <w:t>de détaillants</w:t>
      </w:r>
      <w:r w:rsidR="00BD5116" w:rsidRPr="00AE4FC3">
        <w:rPr>
          <w:szCs w:val="22"/>
          <w:lang w:val="fr-FR"/>
        </w:rPr>
        <w:t xml:space="preserve"> en ligne.</w:t>
      </w:r>
      <w:r w:rsidR="00D33480">
        <w:rPr>
          <w:szCs w:val="22"/>
          <w:lang w:val="fr-FR"/>
        </w:rPr>
        <w:t xml:space="preserve">  </w:t>
      </w:r>
      <w:r w:rsidR="00D33480">
        <w:rPr>
          <w:szCs w:val="22"/>
          <w:lang w:val="fr-FR"/>
        </w:rPr>
        <w:br w:type="page"/>
      </w:r>
    </w:p>
    <w:p w:rsidR="00CD2423" w:rsidRPr="00AE4FC3" w:rsidRDefault="00BD5116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lastRenderedPageBreak/>
        <w:t>La musique numérique diminue les coûts liés à la création, la distribution et le stockage de copies d</w:t>
      </w:r>
      <w:r w:rsidR="00CD2423" w:rsidRPr="00AE4FC3">
        <w:rPr>
          <w:szCs w:val="22"/>
          <w:lang w:val="fr-FR"/>
        </w:rPr>
        <w:t>’</w:t>
      </w:r>
      <w:r w:rsidR="004409E2" w:rsidRPr="00AE4FC3">
        <w:rPr>
          <w:szCs w:val="22"/>
          <w:lang w:val="fr-FR"/>
        </w:rPr>
        <w:t>œuvres</w:t>
      </w:r>
      <w:r w:rsidRPr="00AE4FC3">
        <w:rPr>
          <w:szCs w:val="22"/>
          <w:lang w:val="fr-FR"/>
        </w:rPr>
        <w:t xml:space="preserve"> musical</w:t>
      </w:r>
      <w:r w:rsidR="00881191" w:rsidRPr="00AE4FC3">
        <w:rPr>
          <w:szCs w:val="22"/>
          <w:lang w:val="fr-FR"/>
        </w:rPr>
        <w:t>es.  Il</w:t>
      </w:r>
      <w:r w:rsidR="006D2E10" w:rsidRPr="00AE4FC3">
        <w:rPr>
          <w:szCs w:val="22"/>
          <w:lang w:val="fr-FR"/>
        </w:rPr>
        <w:t xml:space="preserve"> en résulte</w:t>
      </w:r>
      <w:r w:rsidRPr="00AE4FC3">
        <w:rPr>
          <w:szCs w:val="22"/>
          <w:lang w:val="fr-FR"/>
        </w:rPr>
        <w:t xml:space="preserve"> une diminution des p</w:t>
      </w:r>
      <w:r w:rsidR="00AE3D20" w:rsidRPr="00AE4FC3">
        <w:rPr>
          <w:szCs w:val="22"/>
          <w:lang w:val="fr-FR"/>
        </w:rPr>
        <w:t>oints de vente et des ventes de </w:t>
      </w:r>
      <w:r w:rsidRPr="00AE4FC3">
        <w:rPr>
          <w:szCs w:val="22"/>
          <w:lang w:val="fr-FR"/>
        </w:rPr>
        <w:t>CD en général.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C0777B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Le marché</w:t>
      </w:r>
      <w:r w:rsidR="00DB2629" w:rsidRPr="00AE4FC3">
        <w:rPr>
          <w:szCs w:val="22"/>
          <w:lang w:val="fr-FR"/>
        </w:rPr>
        <w:t xml:space="preserve"> du</w:t>
      </w:r>
      <w:r w:rsidRPr="00AE4FC3">
        <w:rPr>
          <w:szCs w:val="22"/>
          <w:lang w:val="fr-FR"/>
        </w:rPr>
        <w:t xml:space="preserve"> numérique n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 pas encore atteint son point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équilib</w:t>
      </w:r>
      <w:r w:rsidR="00881191" w:rsidRPr="00AE4FC3">
        <w:rPr>
          <w:szCs w:val="22"/>
          <w:lang w:val="fr-FR"/>
        </w:rPr>
        <w:t>re.  Un</w:t>
      </w:r>
      <w:r w:rsidRPr="00AE4FC3">
        <w:rPr>
          <w:szCs w:val="22"/>
          <w:lang w:val="fr-FR"/>
        </w:rPr>
        <w:t xml:space="preserve"> modèle de vente au détail </w:t>
      </w:r>
      <w:r w:rsidR="006B039B" w:rsidRPr="00AE4FC3">
        <w:rPr>
          <w:szCs w:val="22"/>
          <w:lang w:val="fr-FR"/>
        </w:rPr>
        <w:t xml:space="preserve">typique </w:t>
      </w:r>
      <w:r w:rsidRPr="00AE4FC3">
        <w:rPr>
          <w:szCs w:val="22"/>
          <w:lang w:val="fr-FR"/>
        </w:rPr>
        <w:t>est celui où le consommateur achète des fichiers numériques qui deviennent ainsi sa proprié</w:t>
      </w:r>
      <w:r w:rsidR="00881191" w:rsidRPr="00AE4FC3">
        <w:rPr>
          <w:szCs w:val="22"/>
          <w:lang w:val="fr-FR"/>
        </w:rPr>
        <w:t>té.  Da</w:t>
      </w:r>
      <w:r w:rsidR="006B039B" w:rsidRPr="00AE4FC3">
        <w:rPr>
          <w:szCs w:val="22"/>
          <w:lang w:val="fr-FR"/>
        </w:rPr>
        <w:t>ns le cadre des services d</w:t>
      </w:r>
      <w:r w:rsidR="00CD2423" w:rsidRPr="00AE4FC3">
        <w:rPr>
          <w:szCs w:val="22"/>
          <w:lang w:val="fr-FR"/>
        </w:rPr>
        <w:t>’</w:t>
      </w:r>
      <w:r w:rsidR="006B039B" w:rsidRPr="00AE4FC3">
        <w:rPr>
          <w:szCs w:val="22"/>
          <w:lang w:val="fr-FR"/>
        </w:rPr>
        <w:t>abonnement</w:t>
      </w:r>
      <w:r w:rsidR="00DB2629" w:rsidRPr="00AE4FC3">
        <w:rPr>
          <w:szCs w:val="22"/>
          <w:lang w:val="fr-FR"/>
        </w:rPr>
        <w:t xml:space="preserve"> de diffusion en ligne</w:t>
      </w:r>
      <w:r w:rsidR="006B039B" w:rsidRPr="00AE4FC3">
        <w:rPr>
          <w:szCs w:val="22"/>
          <w:lang w:val="fr-FR"/>
        </w:rPr>
        <w:t>, au contraire, le consommateur paie</w:t>
      </w:r>
      <w:r w:rsidR="00771A6B" w:rsidRPr="00AE4FC3">
        <w:rPr>
          <w:szCs w:val="22"/>
          <w:lang w:val="fr-FR"/>
        </w:rPr>
        <w:t xml:space="preserve"> une certaine somme pour accéd</w:t>
      </w:r>
      <w:r w:rsidR="006B039B" w:rsidRPr="00AE4FC3">
        <w:rPr>
          <w:szCs w:val="22"/>
          <w:lang w:val="fr-FR"/>
        </w:rPr>
        <w:t xml:space="preserve">er au service, </w:t>
      </w:r>
      <w:r w:rsidR="00400E95" w:rsidRPr="00AE4FC3">
        <w:rPr>
          <w:szCs w:val="22"/>
          <w:lang w:val="fr-FR"/>
        </w:rPr>
        <w:t>sans pour autant acheter</w:t>
      </w:r>
      <w:r w:rsidR="00771A6B" w:rsidRPr="00AE4FC3">
        <w:rPr>
          <w:szCs w:val="22"/>
          <w:lang w:val="fr-FR"/>
        </w:rPr>
        <w:t xml:space="preserve"> le conte</w:t>
      </w:r>
      <w:r w:rsidR="00881191" w:rsidRPr="00AE4FC3">
        <w:rPr>
          <w:szCs w:val="22"/>
          <w:lang w:val="fr-FR"/>
        </w:rPr>
        <w:t>nu.  Sp</w:t>
      </w:r>
      <w:r w:rsidR="00645E34" w:rsidRPr="00AE4FC3">
        <w:rPr>
          <w:szCs w:val="22"/>
          <w:lang w:val="fr-FR"/>
        </w:rPr>
        <w:t xml:space="preserve">otify est </w:t>
      </w:r>
      <w:r w:rsidR="00DB2629" w:rsidRPr="00AE4FC3">
        <w:rPr>
          <w:szCs w:val="22"/>
          <w:lang w:val="fr-FR"/>
        </w:rPr>
        <w:t>un exemple de ce genre de</w:t>
      </w:r>
      <w:r w:rsidR="00645E34" w:rsidRPr="00AE4FC3">
        <w:rPr>
          <w:szCs w:val="22"/>
          <w:lang w:val="fr-FR"/>
        </w:rPr>
        <w:t xml:space="preserve"> </w:t>
      </w:r>
      <w:r w:rsidR="00DB2629" w:rsidRPr="00AE4FC3">
        <w:rPr>
          <w:szCs w:val="22"/>
          <w:lang w:val="fr-FR"/>
        </w:rPr>
        <w:t>plate</w:t>
      </w:r>
      <w:r w:rsidR="00B0592F">
        <w:rPr>
          <w:szCs w:val="22"/>
          <w:lang w:val="fr-FR"/>
        </w:rPr>
        <w:noBreakHyphen/>
      </w:r>
      <w:r w:rsidR="00DB2629" w:rsidRPr="00AE4FC3">
        <w:rPr>
          <w:szCs w:val="22"/>
          <w:lang w:val="fr-FR"/>
        </w:rPr>
        <w:t>forme</w:t>
      </w:r>
      <w:r w:rsidR="00645E34" w:rsidRPr="00AE4FC3">
        <w:rPr>
          <w:szCs w:val="22"/>
          <w:lang w:val="fr-FR"/>
        </w:rPr>
        <w:t xml:space="preserve">, </w:t>
      </w:r>
      <w:r w:rsidR="00DB2629" w:rsidRPr="00AE4FC3">
        <w:rPr>
          <w:szCs w:val="22"/>
          <w:lang w:val="fr-FR"/>
        </w:rPr>
        <w:t xml:space="preserve">accessible </w:t>
      </w:r>
      <w:r w:rsidR="00645E34" w:rsidRPr="00AE4FC3">
        <w:rPr>
          <w:szCs w:val="22"/>
          <w:lang w:val="fr-FR"/>
        </w:rPr>
        <w:t xml:space="preserve">sur abonnement en Europe occidentale et </w:t>
      </w:r>
      <w:r w:rsidR="00503DD4" w:rsidRPr="00AE4FC3">
        <w:rPr>
          <w:szCs w:val="22"/>
          <w:lang w:val="fr-FR"/>
        </w:rPr>
        <w:t>aux</w:t>
      </w:r>
      <w:r w:rsidR="00645E34" w:rsidRPr="00AE4FC3">
        <w:rPr>
          <w:szCs w:val="22"/>
          <w:lang w:val="fr-FR"/>
        </w:rPr>
        <w:t xml:space="preserve"> Amériqu</w:t>
      </w:r>
      <w:r w:rsidR="00881191" w:rsidRPr="00AE4FC3">
        <w:rPr>
          <w:szCs w:val="22"/>
          <w:lang w:val="fr-FR"/>
        </w:rPr>
        <w:t>es.  De</w:t>
      </w:r>
      <w:r w:rsidR="00645E34" w:rsidRPr="00AE4FC3">
        <w:rPr>
          <w:szCs w:val="22"/>
          <w:lang w:val="fr-FR"/>
        </w:rPr>
        <w:t xml:space="preserve">s différends opposent </w:t>
      </w:r>
      <w:r w:rsidR="00DB2629" w:rsidRPr="00AE4FC3">
        <w:rPr>
          <w:szCs w:val="22"/>
          <w:lang w:val="fr-FR"/>
        </w:rPr>
        <w:t xml:space="preserve">cependant </w:t>
      </w:r>
      <w:r w:rsidR="00645E34" w:rsidRPr="00AE4FC3">
        <w:rPr>
          <w:szCs w:val="22"/>
          <w:lang w:val="fr-FR"/>
        </w:rPr>
        <w:t xml:space="preserve">les </w:t>
      </w:r>
      <w:r w:rsidR="00400E95" w:rsidRPr="00AE4FC3">
        <w:rPr>
          <w:szCs w:val="22"/>
          <w:lang w:val="fr-FR"/>
        </w:rPr>
        <w:t>détaillants</w:t>
      </w:r>
      <w:r w:rsidR="00645E34" w:rsidRPr="00AE4FC3">
        <w:rPr>
          <w:szCs w:val="22"/>
          <w:lang w:val="fr-FR"/>
        </w:rPr>
        <w:t xml:space="preserve"> de fichiers numériques aux artistes</w:t>
      </w:r>
      <w:r w:rsidR="00DB2629" w:rsidRPr="00AE4FC3">
        <w:rPr>
          <w:szCs w:val="22"/>
          <w:lang w:val="fr-FR"/>
        </w:rPr>
        <w:t>,</w:t>
      </w:r>
      <w:r w:rsidR="00645E34" w:rsidRPr="00AE4FC3">
        <w:rPr>
          <w:szCs w:val="22"/>
          <w:lang w:val="fr-FR"/>
        </w:rPr>
        <w:t xml:space="preserve"> qui soutiennent que leurs rémunérations ne sont pas proportionnelles à la valeur de leur musique.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594C6B" w:rsidP="00F13677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Comme la source majeure de revenus a évolué, donner des</w:t>
      </w:r>
      <w:r w:rsidR="00306B78" w:rsidRPr="00AE4FC3">
        <w:rPr>
          <w:szCs w:val="22"/>
          <w:lang w:val="fr-FR"/>
        </w:rPr>
        <w:t xml:space="preserve"> concerts </w:t>
      </w:r>
      <w:r w:rsidRPr="00AE4FC3">
        <w:rPr>
          <w:szCs w:val="22"/>
          <w:lang w:val="fr-FR"/>
        </w:rPr>
        <w:t>permet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augmenter les recett</w:t>
      </w:r>
      <w:r w:rsidR="00881191" w:rsidRPr="00AE4FC3">
        <w:rPr>
          <w:szCs w:val="22"/>
          <w:lang w:val="fr-FR"/>
        </w:rPr>
        <w:t>es.  De</w:t>
      </w:r>
      <w:r w:rsidRPr="00AE4FC3">
        <w:rPr>
          <w:szCs w:val="22"/>
          <w:lang w:val="fr-FR"/>
        </w:rPr>
        <w:t xml:space="preserve"> même, l</w:t>
      </w:r>
      <w:r w:rsidR="004B1EE8" w:rsidRPr="00AE4FC3">
        <w:rPr>
          <w:szCs w:val="22"/>
          <w:lang w:val="fr-FR"/>
        </w:rPr>
        <w:t xml:space="preserve">es maisons de disques publient des éditions spéciales et vendent des produits dérivés pour compenser la baisse des </w:t>
      </w:r>
      <w:r w:rsidR="00503DD4" w:rsidRPr="00AE4FC3">
        <w:rPr>
          <w:szCs w:val="22"/>
          <w:lang w:val="fr-FR"/>
        </w:rPr>
        <w:t>recettes</w:t>
      </w:r>
      <w:r w:rsidR="004B1EE8"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B607BF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ère </w:t>
      </w:r>
      <w:r w:rsidR="00594C6B" w:rsidRPr="00AE4FC3">
        <w:rPr>
          <w:szCs w:val="22"/>
          <w:lang w:val="fr-FR"/>
        </w:rPr>
        <w:t xml:space="preserve">du </w:t>
      </w:r>
      <w:r w:rsidRPr="00AE4FC3">
        <w:rPr>
          <w:szCs w:val="22"/>
          <w:lang w:val="fr-FR"/>
        </w:rPr>
        <w:t xml:space="preserve">numérique est </w:t>
      </w:r>
      <w:r w:rsidR="00594C6B" w:rsidRPr="00AE4FC3">
        <w:rPr>
          <w:szCs w:val="22"/>
          <w:lang w:val="fr-FR"/>
        </w:rPr>
        <w:t xml:space="preserve">aussi </w:t>
      </w:r>
      <w:r w:rsidRPr="00AE4FC3">
        <w:rPr>
          <w:szCs w:val="22"/>
          <w:lang w:val="fr-FR"/>
        </w:rPr>
        <w:t xml:space="preserve">en train de </w:t>
      </w:r>
      <w:r w:rsidR="00594C6B" w:rsidRPr="00AE4FC3">
        <w:rPr>
          <w:szCs w:val="22"/>
          <w:lang w:val="fr-FR"/>
        </w:rPr>
        <w:t>transformer</w:t>
      </w:r>
      <w:r w:rsidRPr="00AE4FC3">
        <w:rPr>
          <w:szCs w:val="22"/>
          <w:lang w:val="fr-FR"/>
        </w:rPr>
        <w:t xml:space="preserve"> le parcours professionnel des artist</w:t>
      </w:r>
      <w:r w:rsidR="00881191" w:rsidRPr="00AE4FC3">
        <w:rPr>
          <w:szCs w:val="22"/>
          <w:lang w:val="fr-FR"/>
        </w:rPr>
        <w:t>es.  No</w:t>
      </w:r>
      <w:r w:rsidR="00594C6B" w:rsidRPr="00AE4FC3">
        <w:rPr>
          <w:szCs w:val="22"/>
          <w:lang w:val="fr-FR"/>
        </w:rPr>
        <w:t>mbre d</w:t>
      </w:r>
      <w:r w:rsidR="00CD2423" w:rsidRPr="00AE4FC3">
        <w:rPr>
          <w:szCs w:val="22"/>
          <w:lang w:val="fr-FR"/>
        </w:rPr>
        <w:t>’</w:t>
      </w:r>
      <w:r w:rsidR="00594C6B" w:rsidRPr="00AE4FC3">
        <w:rPr>
          <w:szCs w:val="22"/>
          <w:lang w:val="fr-FR"/>
        </w:rPr>
        <w:t>entre eux</w:t>
      </w:r>
      <w:r w:rsidR="005833A4" w:rsidRPr="00AE4FC3">
        <w:rPr>
          <w:szCs w:val="22"/>
          <w:lang w:val="fr-FR"/>
        </w:rPr>
        <w:t xml:space="preserve"> se constituent eux</w:t>
      </w:r>
      <w:r w:rsidR="00B0592F">
        <w:rPr>
          <w:szCs w:val="22"/>
          <w:lang w:val="fr-FR"/>
        </w:rPr>
        <w:noBreakHyphen/>
      </w:r>
      <w:r w:rsidR="005833A4" w:rsidRPr="00AE4FC3">
        <w:rPr>
          <w:szCs w:val="22"/>
          <w:lang w:val="fr-FR"/>
        </w:rPr>
        <w:t xml:space="preserve">mêmes un réseau de fans en distribuant leur musique </w:t>
      </w:r>
      <w:r w:rsidR="00594C6B" w:rsidRPr="00AE4FC3">
        <w:rPr>
          <w:szCs w:val="22"/>
          <w:lang w:val="fr-FR"/>
        </w:rPr>
        <w:t>sur Internet, même si</w:t>
      </w:r>
      <w:r w:rsidR="005833A4" w:rsidRPr="00AE4FC3">
        <w:rPr>
          <w:szCs w:val="22"/>
          <w:lang w:val="fr-FR"/>
        </w:rPr>
        <w:t xml:space="preserve"> l</w:t>
      </w:r>
      <w:r w:rsidR="00CD2423" w:rsidRPr="00AE4FC3">
        <w:rPr>
          <w:szCs w:val="22"/>
          <w:lang w:val="fr-FR"/>
        </w:rPr>
        <w:t>’</w:t>
      </w:r>
      <w:r w:rsidR="005833A4" w:rsidRPr="00AE4FC3">
        <w:rPr>
          <w:szCs w:val="22"/>
          <w:lang w:val="fr-FR"/>
        </w:rPr>
        <w:t xml:space="preserve">objectif final reste souvent </w:t>
      </w:r>
      <w:r w:rsidR="00594C6B" w:rsidRPr="00AE4FC3">
        <w:rPr>
          <w:szCs w:val="22"/>
          <w:lang w:val="fr-FR"/>
        </w:rPr>
        <w:t xml:space="preserve">celui </w:t>
      </w:r>
      <w:r w:rsidR="005833A4" w:rsidRPr="00AE4FC3">
        <w:rPr>
          <w:szCs w:val="22"/>
          <w:lang w:val="fr-FR"/>
        </w:rPr>
        <w:t>de signer un contrat avec une maison de disques.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5833A4" w:rsidP="00AE4FC3">
      <w:pPr>
        <w:pStyle w:val="Heading3"/>
        <w:rPr>
          <w:lang w:val="fr-FR"/>
        </w:rPr>
      </w:pPr>
      <w:r w:rsidRPr="00AE4FC3">
        <w:rPr>
          <w:lang w:val="fr-FR"/>
        </w:rPr>
        <w:t>Les modèles émergents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5833A4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En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2015, le site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Web culturel rwandais www.InyaRwanda.com lançait Afriframe, un service destiné aux artistes indépendants</w:t>
      </w:r>
      <w:r w:rsidR="0074508C" w:rsidRPr="00AE4FC3">
        <w:rPr>
          <w:szCs w:val="22"/>
          <w:lang w:val="fr-FR"/>
        </w:rPr>
        <w:t xml:space="preserve">, </w:t>
      </w:r>
      <w:r w:rsidR="00400E95" w:rsidRPr="00AE4FC3">
        <w:rPr>
          <w:szCs w:val="22"/>
          <w:lang w:val="fr-FR"/>
        </w:rPr>
        <w:t>grâce auquel ils peuvent</w:t>
      </w:r>
      <w:r w:rsidR="000F7CF9" w:rsidRPr="00AE4FC3">
        <w:rPr>
          <w:szCs w:val="22"/>
          <w:lang w:val="fr-FR"/>
        </w:rPr>
        <w:t xml:space="preserve"> distribuer et monétiser leur contenu en lig</w:t>
      </w:r>
      <w:r w:rsidR="00881191" w:rsidRPr="00AE4FC3">
        <w:rPr>
          <w:szCs w:val="22"/>
          <w:lang w:val="fr-FR"/>
        </w:rPr>
        <w:t>ne.  Ap</w:t>
      </w:r>
      <w:r w:rsidR="0074508C" w:rsidRPr="00AE4FC3">
        <w:rPr>
          <w:szCs w:val="22"/>
          <w:lang w:val="fr-FR"/>
        </w:rPr>
        <w:t xml:space="preserve">rès avoir signé un contrat avec ces musiciens, </w:t>
      </w:r>
      <w:r w:rsidR="000F7CF9" w:rsidRPr="00AE4FC3">
        <w:rPr>
          <w:szCs w:val="22"/>
          <w:lang w:val="fr-FR"/>
        </w:rPr>
        <w:t xml:space="preserve">Afriframe distribue </w:t>
      </w:r>
      <w:r w:rsidR="0074508C" w:rsidRPr="00AE4FC3">
        <w:rPr>
          <w:szCs w:val="22"/>
          <w:lang w:val="fr-FR"/>
        </w:rPr>
        <w:t xml:space="preserve">leurs œuvres </w:t>
      </w:r>
      <w:r w:rsidR="000F7CF9" w:rsidRPr="00AE4FC3">
        <w:rPr>
          <w:szCs w:val="22"/>
          <w:lang w:val="fr-FR"/>
        </w:rPr>
        <w:t>sur des plate</w:t>
      </w:r>
      <w:r w:rsidR="00013AD4" w:rsidRPr="00AE4FC3">
        <w:rPr>
          <w:szCs w:val="22"/>
          <w:lang w:val="fr-FR"/>
        </w:rPr>
        <w:t>s</w:t>
      </w:r>
      <w:r w:rsidR="00B0592F">
        <w:rPr>
          <w:szCs w:val="22"/>
          <w:lang w:val="fr-FR"/>
        </w:rPr>
        <w:noBreakHyphen/>
      </w:r>
      <w:r w:rsidR="000F7CF9" w:rsidRPr="00AE4FC3">
        <w:rPr>
          <w:szCs w:val="22"/>
          <w:lang w:val="fr-FR"/>
        </w:rPr>
        <w:t>formes en ligne telles que iTunes, Spotify et Shaz</w:t>
      </w:r>
      <w:r w:rsidR="00881191" w:rsidRPr="00AE4FC3">
        <w:rPr>
          <w:szCs w:val="22"/>
          <w:lang w:val="fr-FR"/>
        </w:rPr>
        <w:t>am.  De</w:t>
      </w:r>
      <w:r w:rsidR="000F7CF9" w:rsidRPr="00AE4FC3">
        <w:rPr>
          <w:szCs w:val="22"/>
          <w:lang w:val="fr-FR"/>
        </w:rPr>
        <w:t xml:space="preserve"> telles initiatives permettent aux artistes indépendants de vendre leur musique dans le monde entier.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7C6726" w:rsidP="00AE4FC3">
      <w:pPr>
        <w:pStyle w:val="Heading2"/>
        <w:numPr>
          <w:ilvl w:val="0"/>
          <w:numId w:val="7"/>
        </w:numPr>
        <w:ind w:left="0" w:firstLine="0"/>
        <w:rPr>
          <w:b/>
          <w:lang w:val="fr-FR"/>
        </w:rPr>
      </w:pPr>
      <w:r w:rsidRPr="00AE4FC3">
        <w:rPr>
          <w:b/>
          <w:lang w:val="fr-FR"/>
        </w:rPr>
        <w:t>L</w:t>
      </w:r>
      <w:r w:rsidR="00CD2423" w:rsidRPr="00AE4FC3">
        <w:rPr>
          <w:b/>
          <w:lang w:val="fr-FR"/>
        </w:rPr>
        <w:t>’</w:t>
      </w:r>
      <w:r w:rsidR="00F13677">
        <w:rPr>
          <w:b/>
          <w:lang w:val="fr-FR"/>
        </w:rPr>
        <w:t>industrie cinématographique</w:t>
      </w:r>
    </w:p>
    <w:p w:rsidR="002661F7" w:rsidRPr="00AE4FC3" w:rsidRDefault="000F7CF9" w:rsidP="00AE4FC3">
      <w:pPr>
        <w:pStyle w:val="Heading3"/>
        <w:rPr>
          <w:lang w:val="fr-FR"/>
        </w:rPr>
      </w:pPr>
      <w:r w:rsidRPr="00AE4FC3">
        <w:rPr>
          <w:lang w:val="fr-FR"/>
        </w:rPr>
        <w:t>Aperçu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505E8D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industrie cinématographique mondiale </w:t>
      </w:r>
      <w:r w:rsidR="00F745B3" w:rsidRPr="00AE4FC3">
        <w:rPr>
          <w:szCs w:val="22"/>
          <w:lang w:val="fr-FR"/>
        </w:rPr>
        <w:t xml:space="preserve">est en pleine mutation; </w:t>
      </w:r>
      <w:r w:rsidRPr="00AE4FC3">
        <w:rPr>
          <w:szCs w:val="22"/>
          <w:lang w:val="fr-FR"/>
        </w:rPr>
        <w:t xml:space="preserve"> </w:t>
      </w:r>
      <w:r w:rsidR="00F745B3" w:rsidRPr="00AE4FC3">
        <w:rPr>
          <w:szCs w:val="22"/>
          <w:lang w:val="fr-FR"/>
        </w:rPr>
        <w:t>certains marchés voient les</w:t>
      </w:r>
      <w:r w:rsidRPr="00AE4FC3">
        <w:rPr>
          <w:szCs w:val="22"/>
          <w:lang w:val="fr-FR"/>
        </w:rPr>
        <w:t xml:space="preserve"> vente</w:t>
      </w:r>
      <w:r w:rsidR="00F745B3" w:rsidRPr="00AE4FC3">
        <w:rPr>
          <w:szCs w:val="22"/>
          <w:lang w:val="fr-FR"/>
        </w:rPr>
        <w:t>s</w:t>
      </w:r>
      <w:r w:rsidRPr="00AE4FC3">
        <w:rPr>
          <w:szCs w:val="22"/>
          <w:lang w:val="fr-FR"/>
        </w:rPr>
        <w:t xml:space="preserve"> des </w:t>
      </w:r>
      <w:r w:rsidR="00F745B3" w:rsidRPr="00AE4FC3">
        <w:rPr>
          <w:szCs w:val="22"/>
          <w:lang w:val="fr-FR"/>
        </w:rPr>
        <w:t>billets de</w:t>
      </w:r>
      <w:r w:rsidRPr="00AE4FC3">
        <w:rPr>
          <w:szCs w:val="22"/>
          <w:lang w:val="fr-FR"/>
        </w:rPr>
        <w:t xml:space="preserve"> cinéma </w:t>
      </w:r>
      <w:r w:rsidR="00F745B3" w:rsidRPr="00AE4FC3">
        <w:rPr>
          <w:szCs w:val="22"/>
          <w:lang w:val="fr-FR"/>
        </w:rPr>
        <w:t>s</w:t>
      </w:r>
      <w:r w:rsidR="00CD2423" w:rsidRPr="00AE4FC3">
        <w:rPr>
          <w:szCs w:val="22"/>
          <w:lang w:val="fr-FR"/>
        </w:rPr>
        <w:t>’</w:t>
      </w:r>
      <w:r w:rsidR="00F745B3" w:rsidRPr="00AE4FC3">
        <w:rPr>
          <w:szCs w:val="22"/>
          <w:lang w:val="fr-FR"/>
        </w:rPr>
        <w:t>envoler</w:t>
      </w:r>
      <w:r w:rsidRPr="00AE4FC3">
        <w:rPr>
          <w:szCs w:val="22"/>
          <w:lang w:val="fr-FR"/>
        </w:rPr>
        <w:t>, alors que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autres </w:t>
      </w:r>
      <w:r w:rsidR="00F745B3" w:rsidRPr="00AE4FC3">
        <w:rPr>
          <w:szCs w:val="22"/>
          <w:lang w:val="fr-FR"/>
        </w:rPr>
        <w:t>assistent à</w:t>
      </w:r>
      <w:r w:rsidR="00AE4FC3" w:rsidRPr="00AE4FC3">
        <w:rPr>
          <w:szCs w:val="22"/>
          <w:lang w:val="fr-FR"/>
        </w:rPr>
        <w:t xml:space="preserve"> une augmentation rapide des</w:t>
      </w:r>
      <w:r w:rsidRPr="00AE4FC3">
        <w:rPr>
          <w:szCs w:val="22"/>
          <w:lang w:val="fr-FR"/>
        </w:rPr>
        <w:t xml:space="preserve"> contenu</w:t>
      </w:r>
      <w:r w:rsidR="00AE4FC3" w:rsidRPr="00AE4FC3">
        <w:rPr>
          <w:szCs w:val="22"/>
          <w:lang w:val="fr-FR"/>
        </w:rPr>
        <w:t>s</w:t>
      </w:r>
      <w:r w:rsidRPr="00AE4FC3">
        <w:rPr>
          <w:szCs w:val="22"/>
          <w:lang w:val="fr-FR"/>
        </w:rPr>
        <w:t xml:space="preserve"> numériq</w:t>
      </w:r>
      <w:r w:rsidR="00881191" w:rsidRPr="00AE4FC3">
        <w:rPr>
          <w:szCs w:val="22"/>
          <w:lang w:val="fr-FR"/>
        </w:rPr>
        <w:t>ue</w:t>
      </w:r>
      <w:r w:rsidR="00AE4FC3" w:rsidRPr="00AE4FC3">
        <w:rPr>
          <w:szCs w:val="22"/>
          <w:lang w:val="fr-FR"/>
        </w:rPr>
        <w:t>s</w:t>
      </w:r>
      <w:r w:rsidR="00881191" w:rsidRPr="00AE4FC3">
        <w:rPr>
          <w:szCs w:val="22"/>
          <w:lang w:val="fr-FR"/>
        </w:rPr>
        <w:t>.  Ce</w:t>
      </w:r>
      <w:r w:rsidR="002459E5" w:rsidRPr="00AE4FC3">
        <w:rPr>
          <w:szCs w:val="22"/>
          <w:lang w:val="fr-FR"/>
        </w:rPr>
        <w:t>tte évolution s</w:t>
      </w:r>
      <w:r w:rsidR="00CD2423" w:rsidRPr="00AE4FC3">
        <w:rPr>
          <w:szCs w:val="22"/>
          <w:lang w:val="fr-FR"/>
        </w:rPr>
        <w:t>’</w:t>
      </w:r>
      <w:r w:rsidR="002459E5" w:rsidRPr="00AE4FC3">
        <w:rPr>
          <w:szCs w:val="22"/>
          <w:lang w:val="fr-FR"/>
        </w:rPr>
        <w:t>accompagne d</w:t>
      </w:r>
      <w:r w:rsidR="00CD2423" w:rsidRPr="00AE4FC3">
        <w:rPr>
          <w:szCs w:val="22"/>
          <w:lang w:val="fr-FR"/>
        </w:rPr>
        <w:t>’</w:t>
      </w:r>
      <w:r w:rsidR="002459E5" w:rsidRPr="00AE4FC3">
        <w:rPr>
          <w:szCs w:val="22"/>
          <w:lang w:val="fr-FR"/>
        </w:rPr>
        <w:t>une transformation de la chaîne de valeur, car le numérique réduit les coûts, remet en question les stratégies commerciales traditionnelles et offre de nouvelles perspectives aux petits acteurs.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2459E5" w:rsidP="00AE4FC3">
      <w:pPr>
        <w:pStyle w:val="Heading3"/>
        <w:rPr>
          <w:lang w:val="fr-FR"/>
        </w:rPr>
      </w:pPr>
      <w:r w:rsidRPr="00AE4FC3">
        <w:rPr>
          <w:lang w:val="fr-FR"/>
        </w:rPr>
        <w:t>Taille et croissance</w:t>
      </w:r>
      <w:r w:rsidR="00503DD4" w:rsidRPr="00AE4FC3">
        <w:rPr>
          <w:lang w:val="fr-FR"/>
        </w:rPr>
        <w:t xml:space="preserve"> du marché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2459E5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En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2014, les recettes mondiale</w:t>
      </w:r>
      <w:r w:rsidR="00F745B3" w:rsidRPr="00AE4FC3">
        <w:rPr>
          <w:szCs w:val="22"/>
          <w:lang w:val="fr-FR"/>
        </w:rPr>
        <w:t>s</w:t>
      </w:r>
      <w:r w:rsidRPr="00AE4FC3">
        <w:rPr>
          <w:szCs w:val="22"/>
          <w:lang w:val="fr-FR"/>
        </w:rPr>
        <w:t xml:space="preserve"> des salles de cinéma ont atteint 36,4</w:t>
      </w:r>
      <w:r w:rsidR="00166B20" w:rsidRPr="00AE4FC3">
        <w:rPr>
          <w:szCs w:val="22"/>
          <w:lang w:val="fr-FR"/>
        </w:rPr>
        <w:t> </w:t>
      </w:r>
      <w:r w:rsidR="00947487" w:rsidRPr="00AE4FC3">
        <w:rPr>
          <w:szCs w:val="22"/>
          <w:lang w:val="fr-FR"/>
        </w:rPr>
        <w:t xml:space="preserve">milliards de </w:t>
      </w:r>
      <w:r w:rsidR="004B3C2C" w:rsidRPr="00AE4FC3">
        <w:rPr>
          <w:szCs w:val="22"/>
          <w:lang w:val="fr-CH"/>
        </w:rPr>
        <w:t xml:space="preserve">dollars </w:t>
      </w:r>
      <w:r w:rsidR="004B3C2C"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="004B3C2C" w:rsidRPr="00AE4FC3">
        <w:rPr>
          <w:szCs w:val="22"/>
          <w:lang w:val="fr-CH"/>
        </w:rPr>
        <w:t>U.</w:t>
      </w:r>
      <w:r w:rsidR="004B3C2C" w:rsidRPr="00AE4FC3">
        <w:rPr>
          <w:rStyle w:val="FootnoteReference"/>
          <w:szCs w:val="22"/>
        </w:rPr>
        <w:footnoteReference w:id="4"/>
      </w:r>
      <w:r w:rsidR="004B3C2C" w:rsidRPr="00AE4FC3">
        <w:rPr>
          <w:szCs w:val="22"/>
          <w:lang w:val="fr-CH"/>
        </w:rPr>
        <w:t xml:space="preserve">.  </w:t>
      </w:r>
      <w:r w:rsidR="00733EC0" w:rsidRPr="00AE4FC3">
        <w:rPr>
          <w:szCs w:val="22"/>
          <w:lang w:val="fr-FR"/>
        </w:rPr>
        <w:t>Les cinq</w:t>
      </w:r>
      <w:r w:rsidR="00166B20" w:rsidRPr="00AE4FC3">
        <w:rPr>
          <w:szCs w:val="22"/>
          <w:lang w:val="fr-FR"/>
        </w:rPr>
        <w:t> </w:t>
      </w:r>
      <w:r w:rsidR="00733EC0" w:rsidRPr="00AE4FC3">
        <w:rPr>
          <w:szCs w:val="22"/>
          <w:lang w:val="fr-FR"/>
        </w:rPr>
        <w:t>plus grands producteurs de films du monde sont l</w:t>
      </w:r>
      <w:r w:rsidR="00CD2423" w:rsidRPr="00AE4FC3">
        <w:rPr>
          <w:szCs w:val="22"/>
          <w:lang w:val="fr-FR"/>
        </w:rPr>
        <w:t>’</w:t>
      </w:r>
      <w:r w:rsidR="00733EC0" w:rsidRPr="00AE4FC3">
        <w:rPr>
          <w:szCs w:val="22"/>
          <w:lang w:val="fr-FR"/>
        </w:rPr>
        <w:t>Inde, les États</w:t>
      </w:r>
      <w:r w:rsidR="00B0592F">
        <w:rPr>
          <w:szCs w:val="22"/>
          <w:lang w:val="fr-FR"/>
        </w:rPr>
        <w:noBreakHyphen/>
      </w:r>
      <w:r w:rsidR="00733EC0" w:rsidRPr="00AE4FC3">
        <w:rPr>
          <w:szCs w:val="22"/>
          <w:lang w:val="fr-FR"/>
        </w:rPr>
        <w:t>Unis d</w:t>
      </w:r>
      <w:r w:rsidR="00CD2423" w:rsidRPr="00AE4FC3">
        <w:rPr>
          <w:szCs w:val="22"/>
          <w:lang w:val="fr-FR"/>
        </w:rPr>
        <w:t>’</w:t>
      </w:r>
      <w:r w:rsidR="00733EC0" w:rsidRPr="00AE4FC3">
        <w:rPr>
          <w:szCs w:val="22"/>
          <w:lang w:val="fr-FR"/>
        </w:rPr>
        <w:t>Amérique, la Chine, le Japon et le Royaume</w:t>
      </w:r>
      <w:r w:rsidR="00B0592F">
        <w:rPr>
          <w:szCs w:val="22"/>
          <w:lang w:val="fr-FR"/>
        </w:rPr>
        <w:noBreakHyphen/>
      </w:r>
      <w:r w:rsidR="00733EC0" w:rsidRPr="00AE4FC3">
        <w:rPr>
          <w:szCs w:val="22"/>
          <w:lang w:val="fr-FR"/>
        </w:rPr>
        <w:t>Uni</w:t>
      </w:r>
      <w:r w:rsidR="00733EC0" w:rsidRPr="00AE4FC3">
        <w:rPr>
          <w:rStyle w:val="FootnoteReference"/>
          <w:szCs w:val="22"/>
          <w:lang w:val="fr-FR"/>
        </w:rPr>
        <w:footnoteReference w:id="5"/>
      </w:r>
      <w:r w:rsidR="00733EC0" w:rsidRPr="00AE4FC3">
        <w:rPr>
          <w:szCs w:val="22"/>
          <w:lang w:val="fr-FR"/>
        </w:rPr>
        <w:t>, avec une mention spéciale pour le Nigéria et son abondante production non officielle.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5A2939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lastRenderedPageBreak/>
        <w:t>Depuis une dizaine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années, les </w:t>
      </w:r>
      <w:r w:rsidR="00503DD4" w:rsidRPr="00AE4FC3">
        <w:rPr>
          <w:szCs w:val="22"/>
          <w:lang w:val="fr-FR"/>
        </w:rPr>
        <w:t>recettes</w:t>
      </w:r>
      <w:r w:rsidRPr="00AE4FC3">
        <w:rPr>
          <w:szCs w:val="22"/>
          <w:lang w:val="fr-FR"/>
        </w:rPr>
        <w:t xml:space="preserve"> issu</w:t>
      </w:r>
      <w:r w:rsidR="00503DD4" w:rsidRPr="00AE4FC3">
        <w:rPr>
          <w:szCs w:val="22"/>
          <w:lang w:val="fr-FR"/>
        </w:rPr>
        <w:t>e</w:t>
      </w:r>
      <w:r w:rsidRPr="00AE4FC3">
        <w:rPr>
          <w:szCs w:val="22"/>
          <w:lang w:val="fr-FR"/>
        </w:rPr>
        <w:t>s de la vente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entrées au cinéma ont peu </w:t>
      </w:r>
      <w:r w:rsidR="00995E84" w:rsidRPr="00AE4FC3">
        <w:rPr>
          <w:szCs w:val="22"/>
          <w:lang w:val="fr-FR"/>
        </w:rPr>
        <w:t>évol</w:t>
      </w:r>
      <w:r w:rsidR="00881191" w:rsidRPr="00AE4FC3">
        <w:rPr>
          <w:szCs w:val="22"/>
          <w:lang w:val="fr-FR"/>
        </w:rPr>
        <w:t>ué.  L’a</w:t>
      </w:r>
      <w:r w:rsidRPr="00AE4FC3">
        <w:rPr>
          <w:szCs w:val="22"/>
          <w:lang w:val="fr-FR"/>
        </w:rPr>
        <w:t xml:space="preserve">nnée 2014 </w:t>
      </w:r>
      <w:r w:rsidR="0062799D" w:rsidRPr="00AE4FC3">
        <w:rPr>
          <w:szCs w:val="22"/>
          <w:lang w:val="fr-FR"/>
        </w:rPr>
        <w:t>a vu</w:t>
      </w:r>
      <w:r w:rsidRPr="00AE4FC3">
        <w:rPr>
          <w:szCs w:val="22"/>
          <w:lang w:val="fr-FR"/>
        </w:rPr>
        <w:t xml:space="preserve"> une hausse de 1%</w:t>
      </w:r>
      <w:r w:rsidR="00995E84" w:rsidRPr="00AE4FC3">
        <w:rPr>
          <w:szCs w:val="22"/>
          <w:lang w:val="fr-FR"/>
        </w:rPr>
        <w:t xml:space="preserve"> à peine</w:t>
      </w:r>
      <w:r w:rsidR="00A90FD2" w:rsidRPr="00AE4FC3">
        <w:rPr>
          <w:rStyle w:val="FootnoteReference"/>
          <w:szCs w:val="22"/>
          <w:lang w:val="fr-FR"/>
        </w:rPr>
        <w:footnoteReference w:id="6"/>
      </w:r>
      <w:r w:rsidRPr="00AE4FC3">
        <w:rPr>
          <w:szCs w:val="22"/>
          <w:lang w:val="fr-FR"/>
        </w:rPr>
        <w:t>, et cela après plusieurs années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une croissance mitig</w:t>
      </w:r>
      <w:r w:rsidR="00881191" w:rsidRPr="00AE4FC3">
        <w:rPr>
          <w:szCs w:val="22"/>
          <w:lang w:val="fr-FR"/>
        </w:rPr>
        <w:t>ée</w:t>
      </w:r>
      <w:r w:rsidR="00A90FD2" w:rsidRPr="00AE4FC3">
        <w:rPr>
          <w:rStyle w:val="FootnoteReference"/>
          <w:szCs w:val="22"/>
          <w:lang w:val="fr-FR"/>
        </w:rPr>
        <w:footnoteReference w:id="7"/>
      </w:r>
      <w:r w:rsidR="00881191" w:rsidRPr="00AE4FC3">
        <w:rPr>
          <w:szCs w:val="22"/>
          <w:lang w:val="fr-FR"/>
        </w:rPr>
        <w:t>.  Al</w:t>
      </w:r>
      <w:r w:rsidRPr="00AE4FC3">
        <w:rPr>
          <w:szCs w:val="22"/>
          <w:lang w:val="fr-FR"/>
        </w:rPr>
        <w:t>ors que la courbe des ventes de billets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entrée diminue ou reste stable en Amérique du Nord et en Europe, elle a augmenté dans la région Asie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Pacifique, notamment en Chine qui a vu son marché s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envoler avec une ha</w:t>
      </w:r>
      <w:r w:rsidR="00995E84" w:rsidRPr="00AE4FC3">
        <w:rPr>
          <w:szCs w:val="22"/>
          <w:lang w:val="fr-FR"/>
        </w:rPr>
        <w:t>usse de 34% pour atteindre 4,8 </w:t>
      </w:r>
      <w:r w:rsidR="00947487" w:rsidRPr="00AE4FC3">
        <w:rPr>
          <w:szCs w:val="22"/>
          <w:lang w:val="fr-FR"/>
        </w:rPr>
        <w:t>milliards </w:t>
      </w:r>
      <w:r w:rsidRPr="00AE4FC3">
        <w:rPr>
          <w:szCs w:val="22"/>
          <w:lang w:val="fr-FR"/>
        </w:rPr>
        <w:t>de dollars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U. en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2014</w:t>
      </w:r>
      <w:r w:rsidR="00C0580A" w:rsidRPr="00AE4FC3">
        <w:rPr>
          <w:rStyle w:val="FootnoteReference"/>
          <w:szCs w:val="22"/>
          <w:lang w:val="fr-FR"/>
        </w:rPr>
        <w:footnoteReference w:id="8"/>
      </w:r>
      <w:r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6553B5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Les ventes </w:t>
      </w:r>
      <w:r w:rsidR="00590E66" w:rsidRPr="00AE4FC3">
        <w:rPr>
          <w:szCs w:val="22"/>
          <w:lang w:val="fr-FR"/>
        </w:rPr>
        <w:t xml:space="preserve">numériques </w:t>
      </w:r>
      <w:r w:rsidRPr="00AE4FC3">
        <w:rPr>
          <w:szCs w:val="22"/>
          <w:lang w:val="fr-FR"/>
        </w:rPr>
        <w:t>de films se multiplient</w:t>
      </w:r>
      <w:r w:rsidR="00590E66" w:rsidRPr="00AE4FC3">
        <w:rPr>
          <w:szCs w:val="22"/>
          <w:lang w:val="fr-FR"/>
        </w:rPr>
        <w:t xml:space="preserve"> sur Intern</w:t>
      </w:r>
      <w:r w:rsidR="00881191" w:rsidRPr="00AE4FC3">
        <w:rPr>
          <w:szCs w:val="22"/>
          <w:lang w:val="fr-FR"/>
        </w:rPr>
        <w:t>et.  Au</w:t>
      </w:r>
      <w:r w:rsidRPr="00AE4FC3">
        <w:rPr>
          <w:szCs w:val="22"/>
          <w:lang w:val="fr-FR"/>
        </w:rPr>
        <w:t>x États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Unis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Amérique, le secteur du divertissement à domicile se développe rapidement et la vente </w:t>
      </w:r>
      <w:r w:rsidR="00590E66" w:rsidRPr="00AE4FC3">
        <w:rPr>
          <w:szCs w:val="22"/>
          <w:lang w:val="fr-FR"/>
        </w:rPr>
        <w:t>en ligne</w:t>
      </w:r>
      <w:r w:rsidRPr="00AE4FC3">
        <w:rPr>
          <w:szCs w:val="22"/>
          <w:lang w:val="fr-FR"/>
        </w:rPr>
        <w:t xml:space="preserve"> des nouveautés a augmenté de 60%</w:t>
      </w:r>
      <w:r w:rsidRPr="00AE4FC3">
        <w:rPr>
          <w:rStyle w:val="FootnoteReference"/>
          <w:szCs w:val="22"/>
          <w:lang w:val="fr-FR"/>
        </w:rPr>
        <w:footnoteReference w:id="9"/>
      </w:r>
      <w:r w:rsidRPr="00AE4FC3">
        <w:rPr>
          <w:szCs w:val="22"/>
          <w:lang w:val="fr-FR"/>
        </w:rPr>
        <w:t xml:space="preserve"> en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2014;  cette hausse s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accompagne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une diminution des ventes de DVD ou </w:t>
      </w:r>
      <w:r w:rsidR="00590E66" w:rsidRPr="00AE4FC3">
        <w:rPr>
          <w:szCs w:val="22"/>
          <w:lang w:val="fr-FR"/>
        </w:rPr>
        <w:t>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autres disqu</w:t>
      </w:r>
      <w:r w:rsidR="00881191" w:rsidRPr="00AE4FC3">
        <w:rPr>
          <w:szCs w:val="22"/>
          <w:lang w:val="fr-FR"/>
        </w:rPr>
        <w:t>es.  On</w:t>
      </w:r>
      <w:r w:rsidR="004D458B" w:rsidRPr="00AE4FC3">
        <w:rPr>
          <w:szCs w:val="22"/>
          <w:lang w:val="fr-FR"/>
        </w:rPr>
        <w:t xml:space="preserve"> estime qu</w:t>
      </w:r>
      <w:r w:rsidR="00CD2423" w:rsidRPr="00AE4FC3">
        <w:rPr>
          <w:szCs w:val="22"/>
          <w:lang w:val="fr-FR"/>
        </w:rPr>
        <w:t>’</w:t>
      </w:r>
      <w:r w:rsidR="004D458B" w:rsidRPr="00AE4FC3">
        <w:rPr>
          <w:szCs w:val="22"/>
          <w:lang w:val="fr-FR"/>
        </w:rPr>
        <w:t>au Royaume</w:t>
      </w:r>
      <w:r w:rsidR="00B0592F">
        <w:rPr>
          <w:szCs w:val="22"/>
          <w:lang w:val="fr-FR"/>
        </w:rPr>
        <w:noBreakHyphen/>
      </w:r>
      <w:r w:rsidR="004D458B" w:rsidRPr="00AE4FC3">
        <w:rPr>
          <w:szCs w:val="22"/>
          <w:lang w:val="fr-FR"/>
        </w:rPr>
        <w:t xml:space="preserve">Uni </w:t>
      </w:r>
      <w:r w:rsidR="00FB1654" w:rsidRPr="00AE4FC3">
        <w:rPr>
          <w:szCs w:val="22"/>
          <w:lang w:val="fr-FR"/>
        </w:rPr>
        <w:t xml:space="preserve">les achats </w:t>
      </w:r>
      <w:r w:rsidR="00590E66" w:rsidRPr="00AE4FC3">
        <w:rPr>
          <w:szCs w:val="22"/>
          <w:lang w:val="fr-FR"/>
        </w:rPr>
        <w:t xml:space="preserve">numériques </w:t>
      </w:r>
      <w:r w:rsidR="00FB1654" w:rsidRPr="00AE4FC3">
        <w:rPr>
          <w:szCs w:val="22"/>
          <w:lang w:val="fr-FR"/>
        </w:rPr>
        <w:t>de films ont atteint 490 millions de dollars</w:t>
      </w:r>
      <w:r w:rsidR="00166B20" w:rsidRPr="00AE4FC3">
        <w:rPr>
          <w:szCs w:val="22"/>
          <w:lang w:val="fr-FR"/>
        </w:rPr>
        <w:t> </w:t>
      </w:r>
      <w:r w:rsidR="00FB1654"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="00FB1654" w:rsidRPr="00AE4FC3">
        <w:rPr>
          <w:szCs w:val="22"/>
          <w:lang w:val="fr-FR"/>
        </w:rPr>
        <w:t>U.</w:t>
      </w:r>
      <w:r w:rsidR="00166B20" w:rsidRPr="00AE4FC3">
        <w:rPr>
          <w:szCs w:val="22"/>
          <w:lang w:val="fr-FR"/>
        </w:rPr>
        <w:t> </w:t>
      </w:r>
      <w:r w:rsidR="00FB1654" w:rsidRPr="00AE4FC3">
        <w:rPr>
          <w:szCs w:val="22"/>
          <w:lang w:val="fr-FR"/>
        </w:rPr>
        <w:t>(323 millions de livres sterling) en</w:t>
      </w:r>
      <w:r w:rsidR="00166B20" w:rsidRPr="00AE4FC3">
        <w:rPr>
          <w:szCs w:val="22"/>
          <w:lang w:val="fr-FR"/>
        </w:rPr>
        <w:t> </w:t>
      </w:r>
      <w:r w:rsidR="00FB1654" w:rsidRPr="00AE4FC3">
        <w:rPr>
          <w:szCs w:val="22"/>
          <w:lang w:val="fr-FR"/>
        </w:rPr>
        <w:t xml:space="preserve">2013, ce qui représente une hausse de 400% </w:t>
      </w:r>
      <w:r w:rsidR="004D458B" w:rsidRPr="00AE4FC3">
        <w:rPr>
          <w:szCs w:val="22"/>
          <w:lang w:val="fr-FR"/>
        </w:rPr>
        <w:t>par rapport à</w:t>
      </w:r>
      <w:r w:rsidR="00FB1654" w:rsidRPr="00AE4FC3">
        <w:rPr>
          <w:szCs w:val="22"/>
          <w:lang w:val="fr-FR"/>
        </w:rPr>
        <w:t xml:space="preserve"> 2002</w:t>
      </w:r>
      <w:r w:rsidR="00FB1654" w:rsidRPr="00AE4FC3">
        <w:rPr>
          <w:rStyle w:val="FootnoteReference"/>
          <w:szCs w:val="22"/>
          <w:lang w:val="fr-FR"/>
        </w:rPr>
        <w:footnoteReference w:id="10"/>
      </w:r>
      <w:r w:rsidR="00FB1654"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503DD4" w:rsidP="00AE4FC3">
      <w:pPr>
        <w:pStyle w:val="Heading3"/>
        <w:rPr>
          <w:lang w:val="fr-FR"/>
        </w:rPr>
      </w:pPr>
      <w:r w:rsidRPr="00AE4FC3">
        <w:rPr>
          <w:lang w:val="fr-FR"/>
        </w:rPr>
        <w:t>La part du</w:t>
      </w:r>
      <w:r w:rsidR="00FB1654" w:rsidRPr="00AE4FC3">
        <w:rPr>
          <w:lang w:val="fr-FR"/>
        </w:rPr>
        <w:t xml:space="preserve"> numérique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743C13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Le numérique </w:t>
      </w:r>
      <w:r w:rsidR="00590E66" w:rsidRPr="00AE4FC3">
        <w:rPr>
          <w:szCs w:val="22"/>
          <w:lang w:val="fr-FR"/>
        </w:rPr>
        <w:t>se répercute</w:t>
      </w:r>
      <w:r w:rsidRPr="00AE4FC3">
        <w:rPr>
          <w:szCs w:val="22"/>
          <w:lang w:val="fr-FR"/>
        </w:rPr>
        <w:t xml:space="preserve"> sur la chaîne de valeur de différentes faço</w:t>
      </w:r>
      <w:r w:rsidR="00881191" w:rsidRPr="00AE4FC3">
        <w:rPr>
          <w:szCs w:val="22"/>
          <w:lang w:val="fr-FR"/>
        </w:rPr>
        <w:t>ns.  En</w:t>
      </w:r>
      <w:r w:rsidRPr="00AE4FC3">
        <w:rPr>
          <w:szCs w:val="22"/>
          <w:lang w:val="fr-FR"/>
        </w:rPr>
        <w:t xml:space="preserve"> phase de production, la technologie numérique a </w:t>
      </w:r>
      <w:r w:rsidR="00BA6374" w:rsidRPr="00AE4FC3">
        <w:rPr>
          <w:szCs w:val="22"/>
          <w:lang w:val="fr-FR"/>
        </w:rPr>
        <w:t>permis de diminuer</w:t>
      </w:r>
      <w:r w:rsidRPr="00AE4FC3">
        <w:rPr>
          <w:szCs w:val="22"/>
          <w:lang w:val="fr-FR"/>
        </w:rPr>
        <w:t xml:space="preserve"> les coûts de production et multiplié les possibilités en matière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effets visue</w:t>
      </w:r>
      <w:r w:rsidR="00881191" w:rsidRPr="00AE4FC3">
        <w:rPr>
          <w:szCs w:val="22"/>
          <w:lang w:val="fr-FR"/>
        </w:rPr>
        <w:t>ls.  De</w:t>
      </w:r>
      <w:r w:rsidR="00710836" w:rsidRPr="00AE4FC3">
        <w:rPr>
          <w:szCs w:val="22"/>
          <w:lang w:val="fr-FR"/>
        </w:rPr>
        <w:t xml:space="preserve"> même, les coûts de distribution</w:t>
      </w:r>
      <w:r w:rsidR="00DC510B" w:rsidRPr="00AE4FC3">
        <w:rPr>
          <w:szCs w:val="22"/>
          <w:lang w:val="fr-FR"/>
        </w:rPr>
        <w:t xml:space="preserve"> ont bais</w:t>
      </w:r>
      <w:r w:rsidR="00881191" w:rsidRPr="00AE4FC3">
        <w:rPr>
          <w:szCs w:val="22"/>
          <w:lang w:val="fr-FR"/>
        </w:rPr>
        <w:t>sé.  Ce</w:t>
      </w:r>
      <w:r w:rsidR="00DC66D5" w:rsidRPr="00AE4FC3">
        <w:rPr>
          <w:szCs w:val="22"/>
          <w:lang w:val="fr-FR"/>
        </w:rPr>
        <w:t>pendant, c</w:t>
      </w:r>
      <w:r w:rsidR="00CD2423" w:rsidRPr="00AE4FC3">
        <w:rPr>
          <w:szCs w:val="22"/>
          <w:lang w:val="fr-FR"/>
        </w:rPr>
        <w:t>’</w:t>
      </w:r>
      <w:r w:rsidR="00DC66D5" w:rsidRPr="00AE4FC3">
        <w:rPr>
          <w:szCs w:val="22"/>
          <w:lang w:val="fr-FR"/>
        </w:rPr>
        <w:t>est sur la traditionnelle chronologie des médias</w:t>
      </w:r>
      <w:r w:rsidR="00DC66D5" w:rsidRPr="00AE4FC3">
        <w:rPr>
          <w:rStyle w:val="FootnoteReference"/>
          <w:szCs w:val="22"/>
          <w:lang w:val="fr-FR"/>
        </w:rPr>
        <w:footnoteReference w:id="11"/>
      </w:r>
      <w:r w:rsidR="00DC66D5" w:rsidRPr="00AE4FC3">
        <w:rPr>
          <w:szCs w:val="22"/>
          <w:lang w:val="fr-FR"/>
        </w:rPr>
        <w:t xml:space="preserve"> que les retombées ont été les plus important</w:t>
      </w:r>
      <w:r w:rsidR="00881191" w:rsidRPr="00AE4FC3">
        <w:rPr>
          <w:szCs w:val="22"/>
          <w:lang w:val="fr-FR"/>
        </w:rPr>
        <w:t>es.  Le</w:t>
      </w:r>
      <w:r w:rsidR="00DC66D5" w:rsidRPr="00AE4FC3">
        <w:rPr>
          <w:szCs w:val="22"/>
          <w:lang w:val="fr-FR"/>
        </w:rPr>
        <w:t>s contraintes physiques liées aux bobines de films et</w:t>
      </w:r>
      <w:r w:rsidR="00CD2423" w:rsidRPr="00AE4FC3">
        <w:rPr>
          <w:szCs w:val="22"/>
          <w:lang w:val="fr-FR"/>
        </w:rPr>
        <w:t xml:space="preserve"> aux DVD</w:t>
      </w:r>
      <w:r w:rsidR="00DC66D5" w:rsidRPr="00AE4FC3">
        <w:rPr>
          <w:szCs w:val="22"/>
          <w:lang w:val="fr-FR"/>
        </w:rPr>
        <w:t xml:space="preserve"> n</w:t>
      </w:r>
      <w:r w:rsidR="00CD2423" w:rsidRPr="00AE4FC3">
        <w:rPr>
          <w:szCs w:val="22"/>
          <w:lang w:val="fr-FR"/>
        </w:rPr>
        <w:t>’</w:t>
      </w:r>
      <w:r w:rsidR="00DC66D5" w:rsidRPr="00AE4FC3">
        <w:rPr>
          <w:szCs w:val="22"/>
          <w:lang w:val="fr-FR"/>
        </w:rPr>
        <w:t>ont plus aucune importan</w:t>
      </w:r>
      <w:r w:rsidR="00881191" w:rsidRPr="00AE4FC3">
        <w:rPr>
          <w:szCs w:val="22"/>
          <w:lang w:val="fr-FR"/>
        </w:rPr>
        <w:t>ce.  Au</w:t>
      </w:r>
      <w:r w:rsidR="00DC510B" w:rsidRPr="00AE4FC3">
        <w:rPr>
          <w:szCs w:val="22"/>
          <w:lang w:val="fr-FR"/>
        </w:rPr>
        <w:t xml:space="preserve"> contraire, l</w:t>
      </w:r>
      <w:r w:rsidR="00DC66D5" w:rsidRPr="00AE4FC3">
        <w:rPr>
          <w:szCs w:val="22"/>
          <w:lang w:val="fr-FR"/>
        </w:rPr>
        <w:t xml:space="preserve">es possibilités </w:t>
      </w:r>
      <w:r w:rsidR="00DC510B" w:rsidRPr="00AE4FC3">
        <w:rPr>
          <w:szCs w:val="22"/>
          <w:lang w:val="fr-FR"/>
        </w:rPr>
        <w:t>offertes par</w:t>
      </w:r>
      <w:r w:rsidR="00DC66D5" w:rsidRPr="00AE4FC3">
        <w:rPr>
          <w:szCs w:val="22"/>
          <w:lang w:val="fr-FR"/>
        </w:rPr>
        <w:t xml:space="preserve"> </w:t>
      </w:r>
      <w:r w:rsidR="00DC510B" w:rsidRPr="00AE4FC3">
        <w:rPr>
          <w:szCs w:val="22"/>
          <w:lang w:val="fr-FR"/>
        </w:rPr>
        <w:t>la diffusion en continu</w:t>
      </w:r>
      <w:r w:rsidR="00DC66D5" w:rsidRPr="00AE4FC3">
        <w:rPr>
          <w:szCs w:val="22"/>
          <w:lang w:val="fr-FR"/>
        </w:rPr>
        <w:t xml:space="preserve"> en ligne ont changé les attentes du public et les délais entre les exploitations successives d</w:t>
      </w:r>
      <w:r w:rsidR="00CD2423" w:rsidRPr="00AE4FC3">
        <w:rPr>
          <w:szCs w:val="22"/>
          <w:lang w:val="fr-FR"/>
        </w:rPr>
        <w:t>’</w:t>
      </w:r>
      <w:r w:rsidR="00DC66D5" w:rsidRPr="00AE4FC3">
        <w:rPr>
          <w:szCs w:val="22"/>
          <w:lang w:val="fr-FR"/>
        </w:rPr>
        <w:t xml:space="preserve">un film </w:t>
      </w:r>
      <w:r w:rsidR="00DC510B" w:rsidRPr="00AE4FC3">
        <w:rPr>
          <w:szCs w:val="22"/>
          <w:lang w:val="fr-FR"/>
        </w:rPr>
        <w:t>sont de plus en plus cour</w:t>
      </w:r>
      <w:r w:rsidR="00881191" w:rsidRPr="00AE4FC3">
        <w:rPr>
          <w:szCs w:val="22"/>
          <w:lang w:val="fr-FR"/>
        </w:rPr>
        <w:t>ts.  L’i</w:t>
      </w:r>
      <w:r w:rsidR="00213D8E" w:rsidRPr="00AE4FC3">
        <w:rPr>
          <w:szCs w:val="22"/>
          <w:lang w:val="fr-FR"/>
        </w:rPr>
        <w:t xml:space="preserve">ndustrie profite </w:t>
      </w:r>
      <w:r w:rsidR="00DC510B" w:rsidRPr="00AE4FC3">
        <w:rPr>
          <w:szCs w:val="22"/>
          <w:lang w:val="fr-FR"/>
        </w:rPr>
        <w:t xml:space="preserve">ainsi </w:t>
      </w:r>
      <w:r w:rsidR="00213D8E" w:rsidRPr="00AE4FC3">
        <w:rPr>
          <w:szCs w:val="22"/>
          <w:lang w:val="fr-FR"/>
        </w:rPr>
        <w:t xml:space="preserve">de moins en moins de la vente de billets pour des films à succès, </w:t>
      </w:r>
      <w:r w:rsidR="00DC510B" w:rsidRPr="00AE4FC3">
        <w:rPr>
          <w:szCs w:val="22"/>
          <w:lang w:val="fr-FR"/>
        </w:rPr>
        <w:t xml:space="preserve">alors que </w:t>
      </w:r>
      <w:r w:rsidR="00213D8E" w:rsidRPr="00AE4FC3">
        <w:rPr>
          <w:szCs w:val="22"/>
          <w:lang w:val="fr-FR"/>
        </w:rPr>
        <w:t xml:space="preserve">les </w:t>
      </w:r>
      <w:r w:rsidR="0062799D" w:rsidRPr="00AE4FC3">
        <w:rPr>
          <w:szCs w:val="22"/>
          <w:lang w:val="fr-FR"/>
        </w:rPr>
        <w:t>recettes</w:t>
      </w:r>
      <w:r w:rsidR="00213D8E" w:rsidRPr="00AE4FC3">
        <w:rPr>
          <w:szCs w:val="22"/>
          <w:lang w:val="fr-FR"/>
        </w:rPr>
        <w:t xml:space="preserve"> généré</w:t>
      </w:r>
      <w:r w:rsidR="0062799D" w:rsidRPr="00AE4FC3">
        <w:rPr>
          <w:szCs w:val="22"/>
          <w:lang w:val="fr-FR"/>
        </w:rPr>
        <w:t>e</w:t>
      </w:r>
      <w:r w:rsidR="00213D8E" w:rsidRPr="00AE4FC3">
        <w:rPr>
          <w:szCs w:val="22"/>
          <w:lang w:val="fr-FR"/>
        </w:rPr>
        <w:t>s par les ventes en ligne augmentent progressivement.</w:t>
      </w:r>
    </w:p>
    <w:p w:rsidR="00CD2423" w:rsidRPr="00AE4FC3" w:rsidRDefault="00792C1E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Le transfert au numérique a </w:t>
      </w:r>
      <w:r w:rsidR="00DC510B" w:rsidRPr="00AE4FC3">
        <w:rPr>
          <w:szCs w:val="22"/>
          <w:lang w:val="fr-FR"/>
        </w:rPr>
        <w:t>offert</w:t>
      </w:r>
      <w:r w:rsidRPr="00AE4FC3">
        <w:rPr>
          <w:szCs w:val="22"/>
          <w:lang w:val="fr-FR"/>
        </w:rPr>
        <w:t xml:space="preserve"> de nouvelles possibilités </w:t>
      </w:r>
      <w:r w:rsidR="00DC510B" w:rsidRPr="00AE4FC3">
        <w:rPr>
          <w:szCs w:val="22"/>
          <w:lang w:val="fr-FR"/>
        </w:rPr>
        <w:t>aux</w:t>
      </w:r>
      <w:r w:rsidRPr="00AE4FC3">
        <w:rPr>
          <w:szCs w:val="22"/>
          <w:lang w:val="fr-FR"/>
        </w:rPr>
        <w:t xml:space="preserve"> acteurs plus petits de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</w:t>
      </w:r>
      <w:r w:rsidR="00881191" w:rsidRPr="00AE4FC3">
        <w:rPr>
          <w:szCs w:val="22"/>
          <w:lang w:val="fr-FR"/>
        </w:rPr>
        <w:t>ie.  La</w:t>
      </w:r>
      <w:r w:rsidR="00DC510B" w:rsidRPr="00AE4FC3">
        <w:rPr>
          <w:szCs w:val="22"/>
          <w:lang w:val="fr-FR"/>
        </w:rPr>
        <w:t xml:space="preserve"> vidéo sur demande (Vo</w:t>
      </w:r>
      <w:r w:rsidR="00F5332C" w:rsidRPr="00AE4FC3">
        <w:rPr>
          <w:szCs w:val="22"/>
          <w:lang w:val="fr-FR"/>
        </w:rPr>
        <w:t>D), un service in</w:t>
      </w:r>
      <w:r w:rsidR="00DC510B" w:rsidRPr="00AE4FC3">
        <w:rPr>
          <w:szCs w:val="22"/>
          <w:lang w:val="fr-FR"/>
        </w:rPr>
        <w:t>teractif en ligne qui permet au consommateur</w:t>
      </w:r>
      <w:r w:rsidR="00F5332C" w:rsidRPr="00AE4FC3">
        <w:rPr>
          <w:szCs w:val="22"/>
          <w:lang w:val="fr-FR"/>
        </w:rPr>
        <w:t xml:space="preserve"> de choisir un </w:t>
      </w:r>
      <w:r w:rsidR="00DC510B" w:rsidRPr="00AE4FC3">
        <w:rPr>
          <w:szCs w:val="22"/>
          <w:lang w:val="fr-FR"/>
        </w:rPr>
        <w:t>film et de le regarder quand il veu</w:t>
      </w:r>
      <w:r w:rsidR="00F5332C" w:rsidRPr="00AE4FC3">
        <w:rPr>
          <w:szCs w:val="22"/>
          <w:lang w:val="fr-FR"/>
        </w:rPr>
        <w:t xml:space="preserve">t, est un parfait exemple des changements que le numérique peut </w:t>
      </w:r>
      <w:r w:rsidR="0062799D" w:rsidRPr="00AE4FC3">
        <w:rPr>
          <w:szCs w:val="22"/>
          <w:lang w:val="fr-FR"/>
        </w:rPr>
        <w:t>apport</w:t>
      </w:r>
      <w:r w:rsidR="00881191" w:rsidRPr="00AE4FC3">
        <w:rPr>
          <w:szCs w:val="22"/>
          <w:lang w:val="fr-FR"/>
        </w:rPr>
        <w:t>er.  Le</w:t>
      </w:r>
      <w:r w:rsidR="00F5332C" w:rsidRPr="00AE4FC3">
        <w:rPr>
          <w:szCs w:val="22"/>
          <w:lang w:val="fr-FR"/>
        </w:rPr>
        <w:t xml:space="preserve">s cinéastes indépendants peuvent </w:t>
      </w:r>
      <w:r w:rsidR="004C6079" w:rsidRPr="00AE4FC3">
        <w:rPr>
          <w:szCs w:val="22"/>
          <w:lang w:val="fr-FR"/>
        </w:rPr>
        <w:t xml:space="preserve">maintenant </w:t>
      </w:r>
      <w:r w:rsidR="00F5332C" w:rsidRPr="00AE4FC3">
        <w:rPr>
          <w:szCs w:val="22"/>
          <w:lang w:val="fr-FR"/>
        </w:rPr>
        <w:t>vendre leurs films directement au public sans devoir signer des contrats de licence et de distributi</w:t>
      </w:r>
      <w:r w:rsidR="00881191" w:rsidRPr="00AE4FC3">
        <w:rPr>
          <w:szCs w:val="22"/>
          <w:lang w:val="fr-FR"/>
        </w:rPr>
        <w:t>on.  Et</w:t>
      </w:r>
      <w:r w:rsidR="004C6079" w:rsidRPr="00AE4FC3">
        <w:rPr>
          <w:szCs w:val="22"/>
          <w:lang w:val="fr-FR"/>
        </w:rPr>
        <w:t xml:space="preserve"> l</w:t>
      </w:r>
      <w:r w:rsidR="000A0CD2" w:rsidRPr="00AE4FC3">
        <w:rPr>
          <w:szCs w:val="22"/>
          <w:lang w:val="fr-FR"/>
        </w:rPr>
        <w:t xml:space="preserve">es services de diffusion en continu par abonnement, auxquels </w:t>
      </w:r>
      <w:r w:rsidR="004C6079" w:rsidRPr="00AE4FC3">
        <w:rPr>
          <w:szCs w:val="22"/>
          <w:lang w:val="fr-FR"/>
        </w:rPr>
        <w:t>il faut verser</w:t>
      </w:r>
      <w:r w:rsidR="000A0CD2" w:rsidRPr="00AE4FC3">
        <w:rPr>
          <w:szCs w:val="22"/>
          <w:lang w:val="fr-FR"/>
        </w:rPr>
        <w:t xml:space="preserve"> un</w:t>
      </w:r>
      <w:r w:rsidR="004C6079" w:rsidRPr="00AE4FC3">
        <w:rPr>
          <w:szCs w:val="22"/>
          <w:lang w:val="fr-FR"/>
        </w:rPr>
        <w:t xml:space="preserve"> certain</w:t>
      </w:r>
      <w:r w:rsidR="000A0CD2" w:rsidRPr="00AE4FC3">
        <w:rPr>
          <w:szCs w:val="22"/>
          <w:lang w:val="fr-FR"/>
        </w:rPr>
        <w:t xml:space="preserve"> montant mensuel pour accéder à leur contenu, gagnent en popularité.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0A0CD2" w:rsidP="00AE4FC3">
      <w:pPr>
        <w:pStyle w:val="Heading3"/>
        <w:rPr>
          <w:lang w:val="fr-FR"/>
        </w:rPr>
      </w:pPr>
      <w:r w:rsidRPr="00AE4FC3">
        <w:rPr>
          <w:lang w:val="fr-FR"/>
        </w:rPr>
        <w:t>Les modèles émergents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A8189E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En </w:t>
      </w:r>
      <w:r w:rsidR="00CD2423" w:rsidRPr="00AE4FC3">
        <w:rPr>
          <w:szCs w:val="22"/>
          <w:lang w:val="fr-FR"/>
        </w:rPr>
        <w:t>mai 20</w:t>
      </w:r>
      <w:r w:rsidRPr="00AE4FC3">
        <w:rPr>
          <w:szCs w:val="22"/>
          <w:lang w:val="fr-FR"/>
        </w:rPr>
        <w:t>15, la start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up brésilienne Setima a lancé une plate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forme VoD pour les films indépendants brésilie</w:t>
      </w:r>
      <w:r w:rsidR="00881191" w:rsidRPr="00AE4FC3">
        <w:rPr>
          <w:szCs w:val="22"/>
          <w:lang w:val="fr-FR"/>
        </w:rPr>
        <w:t>ns.  El</w:t>
      </w:r>
      <w:r w:rsidRPr="00AE4FC3">
        <w:rPr>
          <w:szCs w:val="22"/>
          <w:lang w:val="fr-FR"/>
        </w:rPr>
        <w:t xml:space="preserve">le a pour objectif de permettre aux cinéastes indépendants de stocker, gérer, promouvoir et diffuser leurs films, les rapprochant </w:t>
      </w:r>
      <w:r w:rsidR="002734B5" w:rsidRPr="00AE4FC3">
        <w:rPr>
          <w:szCs w:val="22"/>
          <w:lang w:val="fr-FR"/>
        </w:rPr>
        <w:t xml:space="preserve">ainsi </w:t>
      </w:r>
      <w:r w:rsidRPr="00AE4FC3">
        <w:rPr>
          <w:szCs w:val="22"/>
          <w:lang w:val="fr-FR"/>
        </w:rPr>
        <w:t>du publ</w:t>
      </w:r>
      <w:r w:rsidR="00881191" w:rsidRPr="00AE4FC3">
        <w:rPr>
          <w:szCs w:val="22"/>
          <w:lang w:val="fr-FR"/>
        </w:rPr>
        <w:t>ic.  Le</w:t>
      </w:r>
      <w:r w:rsidRPr="00AE4FC3">
        <w:rPr>
          <w:szCs w:val="22"/>
          <w:lang w:val="fr-FR"/>
        </w:rPr>
        <w:t>s profits générés par la plate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forme serviront à produire de nouveaux fil</w:t>
      </w:r>
      <w:r w:rsidR="00881191" w:rsidRPr="00AE4FC3">
        <w:rPr>
          <w:szCs w:val="22"/>
          <w:lang w:val="fr-FR"/>
        </w:rPr>
        <w:t>ms.  De</w:t>
      </w:r>
      <w:r w:rsidR="00FB25C2" w:rsidRPr="00AE4FC3">
        <w:rPr>
          <w:szCs w:val="22"/>
          <w:lang w:val="fr-FR"/>
        </w:rPr>
        <w:t xml:space="preserve"> tels projets montre</w:t>
      </w:r>
      <w:r w:rsidR="002734B5" w:rsidRPr="00AE4FC3">
        <w:rPr>
          <w:szCs w:val="22"/>
          <w:lang w:val="fr-FR"/>
        </w:rPr>
        <w:t>nt</w:t>
      </w:r>
      <w:r w:rsidR="00FB25C2" w:rsidRPr="00AE4FC3">
        <w:rPr>
          <w:szCs w:val="22"/>
          <w:lang w:val="fr-FR"/>
        </w:rPr>
        <w:t xml:space="preserve"> que le numérique peut aussi </w:t>
      </w:r>
      <w:r w:rsidR="002734B5" w:rsidRPr="00AE4FC3">
        <w:rPr>
          <w:szCs w:val="22"/>
          <w:lang w:val="fr-FR"/>
        </w:rPr>
        <w:t xml:space="preserve">servir à </w:t>
      </w:r>
      <w:r w:rsidR="00FB25C2" w:rsidRPr="00AE4FC3">
        <w:rPr>
          <w:szCs w:val="22"/>
          <w:lang w:val="fr-FR"/>
        </w:rPr>
        <w:t>promouvoir le pat</w:t>
      </w:r>
      <w:r w:rsidR="002734B5" w:rsidRPr="00AE4FC3">
        <w:rPr>
          <w:szCs w:val="22"/>
          <w:lang w:val="fr-FR"/>
        </w:rPr>
        <w:t>rimoine culturel et à prêter main</w:t>
      </w:r>
      <w:r w:rsidR="00B0592F">
        <w:rPr>
          <w:szCs w:val="22"/>
          <w:lang w:val="fr-FR"/>
        </w:rPr>
        <w:noBreakHyphen/>
      </w:r>
      <w:r w:rsidR="00FB25C2" w:rsidRPr="00AE4FC3">
        <w:rPr>
          <w:szCs w:val="22"/>
          <w:lang w:val="fr-FR"/>
        </w:rPr>
        <w:t>forte aux cinéastes moins connus.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7C6726" w:rsidP="00AE4FC3">
      <w:pPr>
        <w:pStyle w:val="Heading2"/>
        <w:numPr>
          <w:ilvl w:val="0"/>
          <w:numId w:val="7"/>
        </w:numPr>
        <w:ind w:left="0" w:firstLine="0"/>
        <w:rPr>
          <w:b/>
          <w:lang w:val="fr-FR"/>
        </w:rPr>
      </w:pPr>
      <w:r w:rsidRPr="00AE4FC3">
        <w:rPr>
          <w:b/>
          <w:lang w:val="fr-FR"/>
        </w:rPr>
        <w:lastRenderedPageBreak/>
        <w:t>L</w:t>
      </w:r>
      <w:r w:rsidR="00CD2423" w:rsidRPr="00AE4FC3">
        <w:rPr>
          <w:b/>
          <w:lang w:val="fr-FR"/>
        </w:rPr>
        <w:t>’</w:t>
      </w:r>
      <w:r w:rsidR="00F13677">
        <w:rPr>
          <w:b/>
          <w:lang w:val="fr-FR"/>
        </w:rPr>
        <w:t>industrie de la radiodiffusion</w:t>
      </w:r>
    </w:p>
    <w:p w:rsidR="002661F7" w:rsidRPr="00AE4FC3" w:rsidRDefault="00FB25C2" w:rsidP="00AE4FC3">
      <w:pPr>
        <w:pStyle w:val="Heading3"/>
        <w:rPr>
          <w:lang w:val="fr-FR"/>
        </w:rPr>
      </w:pPr>
      <w:r w:rsidRPr="00AE4FC3">
        <w:rPr>
          <w:lang w:val="fr-FR"/>
        </w:rPr>
        <w:t>Aperçu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0F24E6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Avec le déclin des services analogiques et la progression des services numériques et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Internet, les perspectives pour la télévision sont mitigé</w:t>
      </w:r>
      <w:r w:rsidR="00881191" w:rsidRPr="00AE4FC3">
        <w:rPr>
          <w:szCs w:val="22"/>
          <w:lang w:val="fr-FR"/>
        </w:rPr>
        <w:t>es.  Le</w:t>
      </w:r>
      <w:r w:rsidR="00A31934" w:rsidRPr="00AE4FC3">
        <w:rPr>
          <w:szCs w:val="22"/>
          <w:lang w:val="fr-FR"/>
        </w:rPr>
        <w:t xml:space="preserve">s chaînes privées </w:t>
      </w:r>
      <w:r w:rsidR="00FF2602" w:rsidRPr="00AE4FC3">
        <w:rPr>
          <w:szCs w:val="22"/>
          <w:lang w:val="fr-FR"/>
        </w:rPr>
        <w:t>sont</w:t>
      </w:r>
      <w:r w:rsidR="00A31934" w:rsidRPr="00AE4FC3">
        <w:rPr>
          <w:szCs w:val="22"/>
          <w:lang w:val="fr-FR"/>
        </w:rPr>
        <w:t xml:space="preserve"> ainsi </w:t>
      </w:r>
      <w:r w:rsidR="00FF2602" w:rsidRPr="00AE4FC3">
        <w:rPr>
          <w:szCs w:val="22"/>
          <w:lang w:val="fr-FR"/>
        </w:rPr>
        <w:t>confrontées</w:t>
      </w:r>
      <w:r w:rsidR="00A31934" w:rsidRPr="00AE4FC3">
        <w:rPr>
          <w:szCs w:val="22"/>
          <w:lang w:val="fr-FR"/>
        </w:rPr>
        <w:t xml:space="preserve"> à une plus forte compétition</w:t>
      </w:r>
      <w:r w:rsidR="00652D2E" w:rsidRPr="00AE4FC3">
        <w:rPr>
          <w:szCs w:val="22"/>
          <w:lang w:val="fr-FR"/>
        </w:rPr>
        <w:t xml:space="preserve"> </w:t>
      </w:r>
      <w:r w:rsidR="00F46C15" w:rsidRPr="00AE4FC3">
        <w:rPr>
          <w:szCs w:val="22"/>
          <w:lang w:val="fr-FR"/>
        </w:rPr>
        <w:t xml:space="preserve">pour les recettes publicitaires et </w:t>
      </w:r>
      <w:r w:rsidR="00A31934"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="00A31934" w:rsidRPr="00AE4FC3">
        <w:rPr>
          <w:szCs w:val="22"/>
          <w:lang w:val="fr-FR"/>
        </w:rPr>
        <w:t>audien</w:t>
      </w:r>
      <w:r w:rsidR="00881191" w:rsidRPr="00AE4FC3">
        <w:rPr>
          <w:szCs w:val="22"/>
          <w:lang w:val="fr-FR"/>
        </w:rPr>
        <w:t>ce.  La</w:t>
      </w:r>
      <w:r w:rsidR="00F46C15" w:rsidRPr="00AE4FC3">
        <w:rPr>
          <w:szCs w:val="22"/>
          <w:lang w:val="fr-FR"/>
        </w:rPr>
        <w:t xml:space="preserve"> croissance est faible dans les pays développés mais plus forte dans les pays en développeme</w:t>
      </w:r>
      <w:r w:rsidR="00881191" w:rsidRPr="00AE4FC3">
        <w:rPr>
          <w:szCs w:val="22"/>
          <w:lang w:val="fr-FR"/>
        </w:rPr>
        <w:t>nt.  La</w:t>
      </w:r>
      <w:r w:rsidR="00F46C15" w:rsidRPr="00AE4FC3">
        <w:rPr>
          <w:szCs w:val="22"/>
          <w:lang w:val="fr-FR"/>
        </w:rPr>
        <w:t xml:space="preserve"> radio connaît les mêmes tendances.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F46C15" w:rsidP="00AE4FC3">
      <w:pPr>
        <w:pStyle w:val="Heading3"/>
        <w:rPr>
          <w:lang w:val="fr-FR"/>
        </w:rPr>
      </w:pPr>
      <w:r w:rsidRPr="00AE4FC3">
        <w:rPr>
          <w:lang w:val="fr-FR"/>
        </w:rPr>
        <w:t>Taille et croissance</w:t>
      </w:r>
      <w:r w:rsidR="00503DD4" w:rsidRPr="00AE4FC3">
        <w:rPr>
          <w:lang w:val="fr-FR"/>
        </w:rPr>
        <w:t xml:space="preserve"> du marché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F46C15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Les </w:t>
      </w:r>
      <w:r w:rsidR="00503DD4" w:rsidRPr="00AE4FC3">
        <w:rPr>
          <w:szCs w:val="22"/>
          <w:lang w:val="fr-FR"/>
        </w:rPr>
        <w:t>recettes</w:t>
      </w:r>
      <w:r w:rsidRPr="00AE4FC3">
        <w:rPr>
          <w:szCs w:val="22"/>
          <w:lang w:val="fr-FR"/>
        </w:rPr>
        <w:t xml:space="preserve"> </w:t>
      </w:r>
      <w:r w:rsidR="00773B09" w:rsidRPr="00AE4FC3">
        <w:rPr>
          <w:szCs w:val="22"/>
          <w:lang w:val="fr-FR"/>
        </w:rPr>
        <w:t>mondia</w:t>
      </w:r>
      <w:r w:rsidR="00503DD4" w:rsidRPr="00AE4FC3">
        <w:rPr>
          <w:szCs w:val="22"/>
          <w:lang w:val="fr-FR"/>
        </w:rPr>
        <w:t>les</w:t>
      </w:r>
      <w:r w:rsidR="00773B09" w:rsidRPr="00AE4FC3">
        <w:rPr>
          <w:szCs w:val="22"/>
          <w:lang w:val="fr-FR"/>
        </w:rPr>
        <w:t xml:space="preserve"> </w:t>
      </w:r>
      <w:r w:rsidRPr="00AE4FC3">
        <w:rPr>
          <w:szCs w:val="22"/>
          <w:lang w:val="fr-FR"/>
        </w:rPr>
        <w:t>de la télévision payante (diffusion par satellite et pa</w:t>
      </w:r>
      <w:r w:rsidR="00773B09" w:rsidRPr="00AE4FC3">
        <w:rPr>
          <w:szCs w:val="22"/>
          <w:lang w:val="fr-FR"/>
        </w:rPr>
        <w:t>r câble inclus) ont atteint 183 </w:t>
      </w:r>
      <w:r w:rsidRPr="00AE4FC3">
        <w:rPr>
          <w:szCs w:val="22"/>
          <w:lang w:val="fr-FR"/>
        </w:rPr>
        <w:t>milliards de dollars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Pr="00AE4FC3">
        <w:rPr>
          <w:szCs w:val="22"/>
          <w:lang w:val="fr-FR"/>
        </w:rPr>
        <w:t>U. en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2012 et le nombre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abonnés a augmenté de 32% depuis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2008.</w:t>
      </w:r>
      <w:r w:rsidR="002F73AD" w:rsidRPr="00AE4FC3">
        <w:rPr>
          <w:lang w:val="fr-FR"/>
        </w:rPr>
        <w:t xml:space="preserve">  </w:t>
      </w:r>
      <w:r w:rsidR="00D25F5E" w:rsidRPr="00AE4FC3">
        <w:rPr>
          <w:szCs w:val="22"/>
          <w:lang w:val="fr-FR"/>
        </w:rPr>
        <w:t xml:space="preserve">Cette croissance repose sur les pays en développement où 34% des </w:t>
      </w:r>
      <w:r w:rsidR="00773B09" w:rsidRPr="00AE4FC3">
        <w:rPr>
          <w:szCs w:val="22"/>
          <w:lang w:val="fr-FR"/>
        </w:rPr>
        <w:t>foyers</w:t>
      </w:r>
      <w:r w:rsidR="00D25F5E" w:rsidRPr="00AE4FC3">
        <w:rPr>
          <w:szCs w:val="22"/>
          <w:lang w:val="fr-FR"/>
        </w:rPr>
        <w:t xml:space="preserve"> sont abonnés à la télévision payante</w:t>
      </w:r>
      <w:r w:rsidR="00D25F5E" w:rsidRPr="00AE4FC3">
        <w:rPr>
          <w:rStyle w:val="FootnoteReference"/>
          <w:szCs w:val="22"/>
          <w:lang w:val="fr-FR"/>
        </w:rPr>
        <w:footnoteReference w:id="12"/>
      </w:r>
      <w:r w:rsidR="00D25F5E" w:rsidRPr="00AE4FC3">
        <w:rPr>
          <w:szCs w:val="22"/>
          <w:lang w:val="fr-FR"/>
        </w:rPr>
        <w:t>.</w:t>
      </w:r>
      <w:r w:rsidR="002F73AD" w:rsidRPr="00AE4FC3">
        <w:rPr>
          <w:lang w:val="fr-FR"/>
        </w:rPr>
        <w:t xml:space="preserve">  </w:t>
      </w:r>
      <w:r w:rsidR="00D25F5E" w:rsidRPr="00AE4FC3">
        <w:rPr>
          <w:szCs w:val="22"/>
          <w:lang w:val="fr-FR"/>
        </w:rPr>
        <w:t xml:space="preserve">Si les </w:t>
      </w:r>
      <w:r w:rsidR="00503DD4" w:rsidRPr="00AE4FC3">
        <w:rPr>
          <w:szCs w:val="22"/>
          <w:lang w:val="fr-FR"/>
        </w:rPr>
        <w:t xml:space="preserve">recettes </w:t>
      </w:r>
      <w:r w:rsidR="00D25F5E" w:rsidRPr="00AE4FC3">
        <w:rPr>
          <w:szCs w:val="22"/>
          <w:lang w:val="fr-FR"/>
        </w:rPr>
        <w:t>généré</w:t>
      </w:r>
      <w:r w:rsidR="00503DD4" w:rsidRPr="00AE4FC3">
        <w:rPr>
          <w:szCs w:val="22"/>
          <w:lang w:val="fr-FR"/>
        </w:rPr>
        <w:t>e</w:t>
      </w:r>
      <w:r w:rsidR="00D25F5E" w:rsidRPr="00AE4FC3">
        <w:rPr>
          <w:szCs w:val="22"/>
          <w:lang w:val="fr-FR"/>
        </w:rPr>
        <w:t xml:space="preserve">s par les abonnements à la télévision augmentent de 3,5% chaque année, le financement </w:t>
      </w:r>
      <w:r w:rsidR="00773B09" w:rsidRPr="00AE4FC3">
        <w:rPr>
          <w:szCs w:val="22"/>
          <w:lang w:val="fr-FR"/>
        </w:rPr>
        <w:t>des chaînes</w:t>
      </w:r>
      <w:r w:rsidR="00D25F5E" w:rsidRPr="00AE4FC3">
        <w:rPr>
          <w:szCs w:val="22"/>
          <w:lang w:val="fr-FR"/>
        </w:rPr>
        <w:t xml:space="preserve"> publique</w:t>
      </w:r>
      <w:r w:rsidR="00773B09" w:rsidRPr="00AE4FC3">
        <w:rPr>
          <w:szCs w:val="22"/>
          <w:lang w:val="fr-FR"/>
        </w:rPr>
        <w:t>s</w:t>
      </w:r>
      <w:r w:rsidR="00D25F5E" w:rsidRPr="00AE4FC3">
        <w:rPr>
          <w:szCs w:val="22"/>
          <w:lang w:val="fr-FR"/>
        </w:rPr>
        <w:t xml:space="preserve"> </w:t>
      </w:r>
      <w:r w:rsidR="00773B09" w:rsidRPr="00AE4FC3">
        <w:rPr>
          <w:szCs w:val="22"/>
          <w:lang w:val="fr-FR"/>
        </w:rPr>
        <w:t>s</w:t>
      </w:r>
      <w:r w:rsidR="00CD2423" w:rsidRPr="00AE4FC3">
        <w:rPr>
          <w:szCs w:val="22"/>
          <w:lang w:val="fr-FR"/>
        </w:rPr>
        <w:t>’</w:t>
      </w:r>
      <w:r w:rsidR="00773B09" w:rsidRPr="00AE4FC3">
        <w:rPr>
          <w:szCs w:val="22"/>
          <w:lang w:val="fr-FR"/>
        </w:rPr>
        <w:t>accroît</w:t>
      </w:r>
      <w:r w:rsidR="00D25F5E" w:rsidRPr="00AE4FC3">
        <w:rPr>
          <w:szCs w:val="22"/>
          <w:lang w:val="fr-FR"/>
        </w:rPr>
        <w:t xml:space="preserve"> de moins de 1% </w:t>
      </w:r>
      <w:r w:rsidR="00773B09" w:rsidRPr="00AE4FC3">
        <w:rPr>
          <w:szCs w:val="22"/>
          <w:lang w:val="fr-FR"/>
        </w:rPr>
        <w:t xml:space="preserve">par an </w:t>
      </w:r>
      <w:r w:rsidR="00AE4FC3" w:rsidRPr="00AE4FC3">
        <w:rPr>
          <w:szCs w:val="22"/>
          <w:lang w:val="fr-FR"/>
        </w:rPr>
        <w:t>du fait</w:t>
      </w:r>
      <w:r w:rsidR="00D25F5E" w:rsidRPr="00AE4FC3">
        <w:rPr>
          <w:szCs w:val="22"/>
          <w:lang w:val="fr-FR"/>
        </w:rPr>
        <w:t xml:space="preserve"> des coupes budgétaires gouvernementales</w:t>
      </w:r>
      <w:r w:rsidR="00D25F5E" w:rsidRPr="00AE4FC3">
        <w:rPr>
          <w:rStyle w:val="FootnoteReference"/>
          <w:szCs w:val="22"/>
          <w:lang w:val="fr-FR"/>
        </w:rPr>
        <w:footnoteReference w:id="13"/>
      </w:r>
      <w:r w:rsidR="00D25F5E"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A71CE9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La majorité des </w:t>
      </w:r>
      <w:r w:rsidR="00773B09" w:rsidRPr="00AE4FC3">
        <w:rPr>
          <w:szCs w:val="22"/>
          <w:lang w:val="fr-FR"/>
        </w:rPr>
        <w:t>foyer</w:t>
      </w:r>
      <w:r w:rsidR="00013AD4" w:rsidRPr="00AE4FC3">
        <w:rPr>
          <w:szCs w:val="22"/>
          <w:lang w:val="fr-FR"/>
        </w:rPr>
        <w:t>s</w:t>
      </w:r>
      <w:r w:rsidRPr="00AE4FC3">
        <w:rPr>
          <w:szCs w:val="22"/>
          <w:lang w:val="fr-FR"/>
        </w:rPr>
        <w:t xml:space="preserve"> possède une télévision</w:t>
      </w:r>
      <w:r w:rsidR="00166B20" w:rsidRPr="00AE4FC3">
        <w:rPr>
          <w:szCs w:val="22"/>
          <w:lang w:val="fr-FR"/>
        </w:rPr>
        <w:t> :</w:t>
      </w:r>
      <w:r w:rsidRPr="00AE4FC3">
        <w:rPr>
          <w:szCs w:val="22"/>
          <w:lang w:val="fr-FR"/>
        </w:rPr>
        <w:t xml:space="preserve"> 79% dans les pays développés et 72% dans les pays en développement.</w:t>
      </w:r>
      <w:r w:rsidR="002F73AD" w:rsidRPr="00AE4FC3">
        <w:rPr>
          <w:lang w:val="fr-FR"/>
        </w:rPr>
        <w:t xml:space="preserve">  </w:t>
      </w: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Afrique a le taux de croissance le plus élevé en termes de foyers possédant un téléviseur, </w:t>
      </w:r>
      <w:r w:rsidR="00AE4FC3" w:rsidRPr="00AE4FC3">
        <w:rPr>
          <w:szCs w:val="22"/>
          <w:lang w:val="fr-FR"/>
        </w:rPr>
        <w:t>ce chiffre ayant augmenté</w:t>
      </w:r>
      <w:r w:rsidRPr="00AE4FC3">
        <w:rPr>
          <w:szCs w:val="22"/>
          <w:lang w:val="fr-FR"/>
        </w:rPr>
        <w:t xml:space="preserve"> de 18% entre 2008 et 2012</w:t>
      </w:r>
      <w:r w:rsidRPr="00AE4FC3">
        <w:rPr>
          <w:rStyle w:val="FootnoteReference"/>
          <w:szCs w:val="22"/>
          <w:lang w:val="fr-FR"/>
        </w:rPr>
        <w:footnoteReference w:id="14"/>
      </w:r>
      <w:r w:rsidRPr="00AE4FC3">
        <w:rPr>
          <w:szCs w:val="22"/>
          <w:lang w:val="fr-FR"/>
        </w:rPr>
        <w:t>.</w:t>
      </w:r>
      <w:r w:rsidR="002F73AD" w:rsidRPr="00AE4FC3">
        <w:rPr>
          <w:lang w:val="fr-FR"/>
        </w:rPr>
        <w:t xml:space="preserve">  </w:t>
      </w:r>
      <w:r w:rsidR="006E19BF" w:rsidRPr="00AE4FC3">
        <w:rPr>
          <w:szCs w:val="22"/>
          <w:lang w:val="fr-FR"/>
        </w:rPr>
        <w:t xml:space="preserve">Les </w:t>
      </w:r>
      <w:r w:rsidR="00503DD4" w:rsidRPr="00AE4FC3">
        <w:rPr>
          <w:szCs w:val="22"/>
          <w:lang w:val="fr-FR"/>
        </w:rPr>
        <w:t>recettes</w:t>
      </w:r>
      <w:r w:rsidR="006E19BF" w:rsidRPr="00AE4FC3">
        <w:rPr>
          <w:szCs w:val="22"/>
          <w:lang w:val="fr-FR"/>
        </w:rPr>
        <w:t xml:space="preserve"> </w:t>
      </w:r>
      <w:r w:rsidR="00773B09" w:rsidRPr="00AE4FC3">
        <w:rPr>
          <w:szCs w:val="22"/>
          <w:lang w:val="fr-FR"/>
        </w:rPr>
        <w:t>publicitaires</w:t>
      </w:r>
      <w:r w:rsidR="003C0AA9" w:rsidRPr="00AE4FC3">
        <w:rPr>
          <w:szCs w:val="22"/>
          <w:lang w:val="fr-FR"/>
        </w:rPr>
        <w:t xml:space="preserve"> </w:t>
      </w:r>
      <w:r w:rsidR="0020298A" w:rsidRPr="00AE4FC3">
        <w:rPr>
          <w:szCs w:val="22"/>
          <w:lang w:val="fr-FR"/>
        </w:rPr>
        <w:t>mondiales</w:t>
      </w:r>
      <w:r w:rsidR="006E19BF" w:rsidRPr="00AE4FC3">
        <w:rPr>
          <w:szCs w:val="22"/>
          <w:lang w:val="fr-FR"/>
        </w:rPr>
        <w:t xml:space="preserve"> </w:t>
      </w:r>
      <w:r w:rsidR="003C0AA9" w:rsidRPr="00AE4FC3">
        <w:rPr>
          <w:szCs w:val="22"/>
          <w:lang w:val="fr-FR"/>
        </w:rPr>
        <w:t xml:space="preserve">de la télévision </w:t>
      </w:r>
      <w:r w:rsidR="006E19BF" w:rsidRPr="00AE4FC3">
        <w:rPr>
          <w:szCs w:val="22"/>
          <w:lang w:val="fr-FR"/>
        </w:rPr>
        <w:t>devraient atteindre 7</w:t>
      </w:r>
      <w:r w:rsidR="00166B20" w:rsidRPr="00AE4FC3">
        <w:rPr>
          <w:szCs w:val="22"/>
          <w:lang w:val="fr-FR"/>
        </w:rPr>
        <w:t> </w:t>
      </w:r>
      <w:r w:rsidR="006E19BF" w:rsidRPr="00AE4FC3">
        <w:rPr>
          <w:szCs w:val="22"/>
          <w:lang w:val="fr-FR"/>
        </w:rPr>
        <w:t>milliards de dollars</w:t>
      </w:r>
      <w:r w:rsidR="00166B20" w:rsidRPr="00AE4FC3">
        <w:rPr>
          <w:szCs w:val="22"/>
          <w:lang w:val="fr-FR"/>
        </w:rPr>
        <w:t> </w:t>
      </w:r>
      <w:r w:rsidR="006E19BF" w:rsidRPr="00AE4FC3">
        <w:rPr>
          <w:szCs w:val="22"/>
          <w:lang w:val="fr-FR"/>
        </w:rPr>
        <w:t>É.</w:t>
      </w:r>
      <w:r w:rsidR="00B0592F">
        <w:rPr>
          <w:szCs w:val="22"/>
          <w:lang w:val="fr-FR"/>
        </w:rPr>
        <w:noBreakHyphen/>
      </w:r>
      <w:r w:rsidR="006E19BF" w:rsidRPr="00AE4FC3">
        <w:rPr>
          <w:szCs w:val="22"/>
          <w:lang w:val="fr-FR"/>
        </w:rPr>
        <w:t>U. en</w:t>
      </w:r>
      <w:r w:rsidR="00166B20" w:rsidRPr="00AE4FC3">
        <w:rPr>
          <w:szCs w:val="22"/>
          <w:lang w:val="fr-FR"/>
        </w:rPr>
        <w:t> </w:t>
      </w:r>
      <w:r w:rsidR="006E19BF" w:rsidRPr="00AE4FC3">
        <w:rPr>
          <w:szCs w:val="22"/>
          <w:lang w:val="fr-FR"/>
        </w:rPr>
        <w:t>2016</w:t>
      </w:r>
      <w:r w:rsidR="006E19BF" w:rsidRPr="00AE4FC3">
        <w:rPr>
          <w:rStyle w:val="FootnoteReference"/>
          <w:szCs w:val="22"/>
          <w:lang w:val="fr-FR"/>
        </w:rPr>
        <w:footnoteReference w:id="15"/>
      </w:r>
      <w:r w:rsidR="006E19BF" w:rsidRPr="00AE4FC3">
        <w:rPr>
          <w:szCs w:val="22"/>
          <w:lang w:val="fr-FR"/>
        </w:rPr>
        <w:t>.</w:t>
      </w:r>
      <w:r w:rsidR="002F73AD" w:rsidRPr="00AE4FC3">
        <w:rPr>
          <w:lang w:val="fr-FR"/>
        </w:rPr>
        <w:t xml:space="preserve">  </w:t>
      </w:r>
      <w:r w:rsidR="003C0AA9" w:rsidRPr="00AE4FC3">
        <w:rPr>
          <w:szCs w:val="22"/>
          <w:lang w:val="fr-FR"/>
        </w:rPr>
        <w:t>Le marché publicitaire</w:t>
      </w:r>
      <w:r w:rsidR="006E19BF" w:rsidRPr="00AE4FC3">
        <w:rPr>
          <w:szCs w:val="22"/>
          <w:lang w:val="fr-FR"/>
        </w:rPr>
        <w:t xml:space="preserve"> de la télévision en ligne</w:t>
      </w:r>
      <w:r w:rsidR="006E19BF" w:rsidRPr="00AE4FC3">
        <w:rPr>
          <w:rStyle w:val="FootnoteReference"/>
          <w:szCs w:val="22"/>
          <w:lang w:val="fr-FR"/>
        </w:rPr>
        <w:footnoteReference w:id="16"/>
      </w:r>
      <w:r w:rsidR="006E19BF" w:rsidRPr="00AE4FC3">
        <w:rPr>
          <w:szCs w:val="22"/>
          <w:lang w:val="fr-FR"/>
        </w:rPr>
        <w:t xml:space="preserve"> augmente chaque année de 20%</w:t>
      </w:r>
      <w:r w:rsidR="006E19BF" w:rsidRPr="00AE4FC3">
        <w:rPr>
          <w:rStyle w:val="FootnoteReference"/>
          <w:szCs w:val="22"/>
          <w:lang w:val="fr-FR"/>
        </w:rPr>
        <w:footnoteReference w:id="17"/>
      </w:r>
      <w:r w:rsidR="006E19BF" w:rsidRPr="00AE4FC3">
        <w:rPr>
          <w:szCs w:val="22"/>
          <w:lang w:val="fr-FR"/>
        </w:rPr>
        <w:t>.</w:t>
      </w:r>
      <w:r w:rsidR="002F73AD" w:rsidRPr="00AE4FC3">
        <w:rPr>
          <w:lang w:val="fr-FR"/>
        </w:rPr>
        <w:t xml:space="preserve">  </w:t>
      </w:r>
      <w:r w:rsidR="00026A1A" w:rsidRPr="00AE4FC3">
        <w:rPr>
          <w:szCs w:val="22"/>
          <w:lang w:val="fr-FR"/>
        </w:rPr>
        <w:t>Le Brésil, la Chine et l</w:t>
      </w:r>
      <w:r w:rsidR="00CD2423" w:rsidRPr="00AE4FC3">
        <w:rPr>
          <w:szCs w:val="22"/>
          <w:lang w:val="fr-FR"/>
        </w:rPr>
        <w:t>’</w:t>
      </w:r>
      <w:r w:rsidR="00026A1A" w:rsidRPr="00AE4FC3">
        <w:rPr>
          <w:szCs w:val="22"/>
          <w:lang w:val="fr-FR"/>
        </w:rPr>
        <w:t xml:space="preserve">Inde devraient contribuer à </w:t>
      </w:r>
      <w:r w:rsidR="003C0AA9" w:rsidRPr="00AE4FC3">
        <w:rPr>
          <w:szCs w:val="22"/>
          <w:lang w:val="fr-FR"/>
        </w:rPr>
        <w:t>augmenter</w:t>
      </w:r>
      <w:r w:rsidR="00026A1A" w:rsidRPr="00AE4FC3">
        <w:rPr>
          <w:szCs w:val="22"/>
          <w:lang w:val="fr-FR"/>
        </w:rPr>
        <w:t xml:space="preserve"> </w:t>
      </w:r>
      <w:r w:rsidR="003C0AA9" w:rsidRPr="00AE4FC3">
        <w:rPr>
          <w:szCs w:val="22"/>
          <w:lang w:val="fr-FR"/>
        </w:rPr>
        <w:t>les</w:t>
      </w:r>
      <w:r w:rsidR="00026A1A" w:rsidRPr="00AE4FC3">
        <w:rPr>
          <w:szCs w:val="22"/>
          <w:lang w:val="fr-FR"/>
        </w:rPr>
        <w:t xml:space="preserve"> </w:t>
      </w:r>
      <w:r w:rsidR="00503DD4" w:rsidRPr="00AE4FC3">
        <w:rPr>
          <w:szCs w:val="22"/>
          <w:lang w:val="fr-FR"/>
        </w:rPr>
        <w:t>recettes</w:t>
      </w:r>
      <w:r w:rsidR="00026A1A" w:rsidRPr="00AE4FC3">
        <w:rPr>
          <w:szCs w:val="22"/>
          <w:lang w:val="fr-FR"/>
        </w:rPr>
        <w:t xml:space="preserve"> publicitaires </w:t>
      </w:r>
      <w:r w:rsidR="003C0AA9" w:rsidRPr="00AE4FC3">
        <w:rPr>
          <w:szCs w:val="22"/>
          <w:lang w:val="fr-FR"/>
        </w:rPr>
        <w:t>de la télévision de 23% au cours</w:t>
      </w:r>
      <w:r w:rsidR="00026A1A" w:rsidRPr="00AE4FC3">
        <w:rPr>
          <w:szCs w:val="22"/>
          <w:lang w:val="fr-FR"/>
        </w:rPr>
        <w:t xml:space="preserve"> de</w:t>
      </w:r>
      <w:r w:rsidR="003C0AA9" w:rsidRPr="00AE4FC3">
        <w:rPr>
          <w:szCs w:val="22"/>
          <w:lang w:val="fr-FR"/>
        </w:rPr>
        <w:t>s</w:t>
      </w:r>
      <w:r w:rsidR="00026A1A" w:rsidRPr="00AE4FC3">
        <w:rPr>
          <w:szCs w:val="22"/>
          <w:lang w:val="fr-FR"/>
        </w:rPr>
        <w:t xml:space="preserve"> cinq</w:t>
      </w:r>
      <w:r w:rsidR="00166B20" w:rsidRPr="00AE4FC3">
        <w:rPr>
          <w:szCs w:val="22"/>
          <w:lang w:val="fr-FR"/>
        </w:rPr>
        <w:t> </w:t>
      </w:r>
      <w:r w:rsidR="00026A1A" w:rsidRPr="00AE4FC3">
        <w:rPr>
          <w:szCs w:val="22"/>
          <w:lang w:val="fr-FR"/>
        </w:rPr>
        <w:t>prochaines années</w:t>
      </w:r>
      <w:r w:rsidR="00026A1A" w:rsidRPr="00AE4FC3">
        <w:rPr>
          <w:rStyle w:val="FootnoteReference"/>
          <w:szCs w:val="22"/>
          <w:lang w:val="fr-FR"/>
        </w:rPr>
        <w:footnoteReference w:id="18"/>
      </w:r>
      <w:r w:rsidR="00026A1A" w:rsidRPr="00AE4FC3">
        <w:rPr>
          <w:szCs w:val="22"/>
          <w:lang w:val="fr-FR"/>
        </w:rPr>
        <w:t>.</w:t>
      </w:r>
    </w:p>
    <w:p w:rsidR="002661F7" w:rsidRPr="00AE4FC3" w:rsidRDefault="002661F7" w:rsidP="00AE4FC3">
      <w:pPr>
        <w:outlineLvl w:val="0"/>
        <w:rPr>
          <w:szCs w:val="22"/>
          <w:u w:val="single"/>
          <w:lang w:val="fr-FR"/>
        </w:rPr>
      </w:pPr>
    </w:p>
    <w:p w:rsidR="002661F7" w:rsidRPr="00AE4FC3" w:rsidRDefault="00503DD4" w:rsidP="008468F9">
      <w:pPr>
        <w:pStyle w:val="Heading3"/>
        <w:keepNext w:val="0"/>
        <w:rPr>
          <w:lang w:val="fr-FR"/>
        </w:rPr>
      </w:pPr>
      <w:r w:rsidRPr="00AE4FC3">
        <w:rPr>
          <w:lang w:val="fr-FR"/>
        </w:rPr>
        <w:t>La part du</w:t>
      </w:r>
      <w:r w:rsidR="00DE0621" w:rsidRPr="00AE4FC3">
        <w:rPr>
          <w:lang w:val="fr-FR"/>
        </w:rPr>
        <w:t xml:space="preserve"> numérique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D33480" w:rsidRDefault="005D3641" w:rsidP="00D33480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>Les nouvelles technologies, notamment en matière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enregistrement vidéo, de di</w:t>
      </w:r>
      <w:r w:rsidR="00AE4FC3" w:rsidRPr="00AE4FC3">
        <w:rPr>
          <w:szCs w:val="22"/>
          <w:lang w:val="fr-FR"/>
        </w:rPr>
        <w:t>ffusion en continu par Internet</w:t>
      </w:r>
      <w:r w:rsidRPr="00AE4FC3">
        <w:rPr>
          <w:szCs w:val="22"/>
          <w:lang w:val="fr-FR"/>
        </w:rPr>
        <w:t xml:space="preserve"> et de lecteurs de médias numériques, sont en train de transformer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industrie de la radiodiffusi</w:t>
      </w:r>
      <w:r w:rsidR="00881191" w:rsidRPr="00AE4FC3">
        <w:rPr>
          <w:szCs w:val="22"/>
          <w:lang w:val="fr-FR"/>
        </w:rPr>
        <w:t>on.  Gr</w:t>
      </w:r>
      <w:r w:rsidRPr="00AE4FC3">
        <w:rPr>
          <w:szCs w:val="22"/>
          <w:lang w:val="fr-FR"/>
        </w:rPr>
        <w:t>âce à Internet,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industrie dépend moins </w:t>
      </w:r>
      <w:r w:rsidR="004843EE" w:rsidRPr="00AE4FC3">
        <w:rPr>
          <w:szCs w:val="22"/>
          <w:lang w:val="fr-FR"/>
        </w:rPr>
        <w:t>du</w:t>
      </w:r>
      <w:r w:rsidRPr="00AE4FC3">
        <w:rPr>
          <w:szCs w:val="22"/>
          <w:lang w:val="fr-FR"/>
        </w:rPr>
        <w:t xml:space="preserve"> câble ou </w:t>
      </w:r>
      <w:r w:rsidR="004843EE" w:rsidRPr="00AE4FC3">
        <w:rPr>
          <w:szCs w:val="22"/>
          <w:lang w:val="fr-FR"/>
        </w:rPr>
        <w:t>d</w:t>
      </w:r>
      <w:r w:rsidR="00CD2423" w:rsidRPr="00AE4FC3">
        <w:rPr>
          <w:szCs w:val="22"/>
          <w:lang w:val="fr-FR"/>
        </w:rPr>
        <w:t>’</w:t>
      </w:r>
      <w:r w:rsidR="004843EE" w:rsidRPr="00AE4FC3">
        <w:rPr>
          <w:szCs w:val="22"/>
          <w:lang w:val="fr-FR"/>
        </w:rPr>
        <w:t>un</w:t>
      </w:r>
      <w:r w:rsidRPr="00AE4FC3">
        <w:rPr>
          <w:szCs w:val="22"/>
          <w:lang w:val="fr-FR"/>
        </w:rPr>
        <w:t xml:space="preserve"> satelli</w:t>
      </w:r>
      <w:r w:rsidR="00881191" w:rsidRPr="00AE4FC3">
        <w:rPr>
          <w:szCs w:val="22"/>
          <w:lang w:val="fr-FR"/>
        </w:rPr>
        <w:t>te.  Av</w:t>
      </w:r>
      <w:r w:rsidR="002E4CEC" w:rsidRPr="00AE4FC3">
        <w:rPr>
          <w:szCs w:val="22"/>
          <w:lang w:val="fr-FR"/>
        </w:rPr>
        <w:t>ec l</w:t>
      </w:r>
      <w:r w:rsidR="00CD2423" w:rsidRPr="00AE4FC3">
        <w:rPr>
          <w:szCs w:val="22"/>
          <w:lang w:val="fr-FR"/>
        </w:rPr>
        <w:t>’</w:t>
      </w:r>
      <w:r w:rsidR="002E4CEC" w:rsidRPr="00AE4FC3">
        <w:rPr>
          <w:szCs w:val="22"/>
          <w:lang w:val="fr-FR"/>
        </w:rPr>
        <w:t>arrivée de nouve</w:t>
      </w:r>
      <w:r w:rsidR="004843EE" w:rsidRPr="00AE4FC3">
        <w:rPr>
          <w:szCs w:val="22"/>
          <w:lang w:val="fr-FR"/>
        </w:rPr>
        <w:t>aux acteurs sur le marché et de</w:t>
      </w:r>
      <w:r w:rsidR="002E4CEC" w:rsidRPr="00AE4FC3">
        <w:rPr>
          <w:szCs w:val="22"/>
          <w:lang w:val="fr-FR"/>
        </w:rPr>
        <w:t xml:space="preserve"> spectateurs moins limités par des horaires de diffusion fixes, la multiplication des moyens de diffusion a accentué la rivalité pour gagner des parts </w:t>
      </w:r>
      <w:r w:rsidR="004843EE" w:rsidRPr="00AE4FC3">
        <w:rPr>
          <w:szCs w:val="22"/>
          <w:lang w:val="fr-FR"/>
        </w:rPr>
        <w:t>d</w:t>
      </w:r>
      <w:r w:rsidR="00CD2423" w:rsidRPr="00AE4FC3">
        <w:rPr>
          <w:szCs w:val="22"/>
          <w:lang w:val="fr-FR"/>
        </w:rPr>
        <w:t>’</w:t>
      </w:r>
      <w:r w:rsidR="004843EE" w:rsidRPr="00AE4FC3">
        <w:rPr>
          <w:szCs w:val="22"/>
          <w:lang w:val="fr-FR"/>
        </w:rPr>
        <w:t>audience</w:t>
      </w:r>
      <w:r w:rsidR="002E4CEC" w:rsidRPr="00AE4FC3">
        <w:rPr>
          <w:szCs w:val="22"/>
          <w:lang w:val="fr-FR"/>
        </w:rPr>
        <w:t>.</w:t>
      </w:r>
      <w:r w:rsidR="00D33480">
        <w:rPr>
          <w:szCs w:val="22"/>
          <w:lang w:val="fr-FR"/>
        </w:rPr>
        <w:t xml:space="preserve">  </w:t>
      </w:r>
      <w:r w:rsidR="00D33480">
        <w:rPr>
          <w:szCs w:val="22"/>
          <w:lang w:val="fr-FR"/>
        </w:rPr>
        <w:br w:type="page"/>
      </w:r>
    </w:p>
    <w:p w:rsidR="00CD2423" w:rsidRPr="00AE4FC3" w:rsidRDefault="00646C64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lastRenderedPageBreak/>
        <w:t>La chaîne de valeur principale du secteu</w:t>
      </w:r>
      <w:r w:rsidR="00AE3C92" w:rsidRPr="00AE4FC3">
        <w:rPr>
          <w:szCs w:val="22"/>
          <w:lang w:val="fr-FR"/>
        </w:rPr>
        <w:t xml:space="preserve">r de la radiodiffusion perdure car </w:t>
      </w:r>
      <w:r w:rsidRPr="00AE4FC3">
        <w:rPr>
          <w:szCs w:val="22"/>
          <w:lang w:val="fr-FR"/>
        </w:rPr>
        <w:t>la production, la progra</w:t>
      </w:r>
      <w:r w:rsidR="00AE3C92" w:rsidRPr="00AE4FC3">
        <w:rPr>
          <w:szCs w:val="22"/>
          <w:lang w:val="fr-FR"/>
        </w:rPr>
        <w:t>mmation et la distribution reste</w:t>
      </w:r>
      <w:r w:rsidRPr="00AE4FC3">
        <w:rPr>
          <w:szCs w:val="22"/>
          <w:lang w:val="fr-FR"/>
        </w:rPr>
        <w:t>nt des activités clés;</w:t>
      </w:r>
      <w:r w:rsidR="00AE3C92" w:rsidRPr="00AE4FC3">
        <w:rPr>
          <w:szCs w:val="22"/>
          <w:lang w:val="fr-FR"/>
        </w:rPr>
        <w:t xml:space="preserve"> </w:t>
      </w:r>
      <w:r w:rsidRPr="00AE4FC3">
        <w:rPr>
          <w:szCs w:val="22"/>
          <w:lang w:val="fr-FR"/>
        </w:rPr>
        <w:t xml:space="preserve"> la publicité et les abonnements sont des sources de revenus importantes pour les chaînes privées.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503DD4" w:rsidP="00AE4FC3">
      <w:pPr>
        <w:pStyle w:val="Heading3"/>
        <w:rPr>
          <w:lang w:val="fr-FR"/>
        </w:rPr>
      </w:pPr>
      <w:r w:rsidRPr="00AE4FC3">
        <w:rPr>
          <w:lang w:val="fr-FR"/>
        </w:rPr>
        <w:t>La r</w:t>
      </w:r>
      <w:r w:rsidR="00646C64" w:rsidRPr="00AE4FC3">
        <w:rPr>
          <w:lang w:val="fr-FR"/>
        </w:rPr>
        <w:t>adio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CD2423" w:rsidRPr="00AE4FC3" w:rsidRDefault="004F6C1C" w:rsidP="00AE4FC3">
      <w:pPr>
        <w:outlineLvl w:val="0"/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Comme pour la télévision, le marché de </w:t>
      </w:r>
      <w:r w:rsidR="0062799D" w:rsidRPr="00AE4FC3">
        <w:rPr>
          <w:szCs w:val="22"/>
          <w:lang w:val="fr-FR"/>
        </w:rPr>
        <w:t>la radiodiffusion est confronté</w:t>
      </w:r>
      <w:r w:rsidRPr="00AE4FC3">
        <w:rPr>
          <w:szCs w:val="22"/>
          <w:lang w:val="fr-FR"/>
        </w:rPr>
        <w:t xml:space="preserve"> à des changement</w:t>
      </w:r>
      <w:r w:rsidR="008B142A" w:rsidRPr="00AE4FC3">
        <w:rPr>
          <w:szCs w:val="22"/>
          <w:lang w:val="fr-FR"/>
        </w:rPr>
        <w:t>s</w:t>
      </w:r>
      <w:r w:rsidRPr="00AE4FC3">
        <w:rPr>
          <w:szCs w:val="22"/>
          <w:lang w:val="fr-FR"/>
        </w:rPr>
        <w:t xml:space="preserve"> en matière de public</w:t>
      </w:r>
      <w:r w:rsidR="008B142A" w:rsidRPr="00AE4FC3">
        <w:rPr>
          <w:szCs w:val="22"/>
          <w:lang w:val="fr-FR"/>
        </w:rPr>
        <w:t>ité et de nouveaux formats tels</w:t>
      </w:r>
      <w:r w:rsidRPr="00AE4FC3">
        <w:rPr>
          <w:szCs w:val="22"/>
          <w:lang w:val="fr-FR"/>
        </w:rPr>
        <w:t xml:space="preserve"> que les chaînes radio </w:t>
      </w:r>
      <w:r w:rsidR="00166B20" w:rsidRPr="00AE4FC3">
        <w:rPr>
          <w:szCs w:val="22"/>
          <w:lang w:val="fr-FR"/>
        </w:rPr>
        <w:t>“</w:t>
      </w:r>
      <w:r w:rsidRPr="00AE4FC3">
        <w:rPr>
          <w:szCs w:val="22"/>
          <w:lang w:val="fr-FR"/>
        </w:rPr>
        <w:t>premium</w:t>
      </w:r>
      <w:r w:rsidR="00166B20" w:rsidRPr="00AE4FC3">
        <w:rPr>
          <w:szCs w:val="22"/>
          <w:lang w:val="fr-FR"/>
        </w:rPr>
        <w:t>”</w:t>
      </w:r>
      <w:r w:rsidRPr="00AE4FC3">
        <w:rPr>
          <w:szCs w:val="22"/>
          <w:lang w:val="fr-FR"/>
        </w:rPr>
        <w:t>, les stations radio en ligne et les podcas</w:t>
      </w:r>
      <w:r w:rsidR="00881191" w:rsidRPr="00AE4FC3">
        <w:rPr>
          <w:szCs w:val="22"/>
          <w:lang w:val="fr-FR"/>
        </w:rPr>
        <w:t>ts.  Le</w:t>
      </w:r>
      <w:r w:rsidRPr="00AE4FC3">
        <w:rPr>
          <w:szCs w:val="22"/>
          <w:lang w:val="fr-FR"/>
        </w:rPr>
        <w:t xml:space="preserve"> degré de pénétration du marché radiophonique est en recul.</w:t>
      </w:r>
    </w:p>
    <w:p w:rsidR="002661F7" w:rsidRPr="00AE4FC3" w:rsidRDefault="002661F7" w:rsidP="00AE4FC3">
      <w:pPr>
        <w:outlineLvl w:val="0"/>
        <w:rPr>
          <w:szCs w:val="22"/>
          <w:lang w:val="fr-FR"/>
        </w:rPr>
      </w:pPr>
    </w:p>
    <w:p w:rsidR="002661F7" w:rsidRPr="00AE4FC3" w:rsidRDefault="00503DD4" w:rsidP="00AE4FC3">
      <w:pPr>
        <w:pStyle w:val="Heading3"/>
        <w:rPr>
          <w:lang w:val="fr-FR"/>
        </w:rPr>
      </w:pPr>
      <w:r w:rsidRPr="00AE4FC3">
        <w:rPr>
          <w:lang w:val="fr-FR"/>
        </w:rPr>
        <w:t>Les m</w:t>
      </w:r>
      <w:r w:rsidR="006A1B06" w:rsidRPr="00AE4FC3">
        <w:rPr>
          <w:lang w:val="fr-FR"/>
        </w:rPr>
        <w:t>odèles émergents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CD2423" w:rsidRPr="00AE4FC3" w:rsidRDefault="008139C7" w:rsidP="00AE4FC3">
      <w:pPr>
        <w:rPr>
          <w:i/>
          <w:szCs w:val="22"/>
          <w:lang w:val="fr-FR"/>
        </w:rPr>
      </w:pPr>
      <w:r w:rsidRPr="00AE4FC3">
        <w:rPr>
          <w:szCs w:val="22"/>
          <w:lang w:val="fr-FR"/>
        </w:rPr>
        <w:t xml:space="preserve">La société américaine Netflix montre à quel point la technologie numérique a transformé les méthodes de </w:t>
      </w:r>
      <w:r w:rsidR="00AE3C92" w:rsidRPr="00AE4FC3">
        <w:rPr>
          <w:szCs w:val="22"/>
          <w:lang w:val="fr-FR"/>
        </w:rPr>
        <w:t>diffusi</w:t>
      </w:r>
      <w:r w:rsidR="00881191" w:rsidRPr="00AE4FC3">
        <w:rPr>
          <w:szCs w:val="22"/>
          <w:lang w:val="fr-FR"/>
        </w:rPr>
        <w:t>on.  Ne</w:t>
      </w:r>
      <w:r w:rsidR="001502E3" w:rsidRPr="00AE4FC3">
        <w:rPr>
          <w:szCs w:val="22"/>
          <w:lang w:val="fr-FR"/>
        </w:rPr>
        <w:t>tflix, qui était à l</w:t>
      </w:r>
      <w:r w:rsidR="00CD2423" w:rsidRPr="00AE4FC3">
        <w:rPr>
          <w:szCs w:val="22"/>
          <w:lang w:val="fr-FR"/>
        </w:rPr>
        <w:t>’</w:t>
      </w:r>
      <w:r w:rsidR="001502E3" w:rsidRPr="00AE4FC3">
        <w:rPr>
          <w:szCs w:val="22"/>
          <w:lang w:val="fr-FR"/>
        </w:rPr>
        <w:t>origine une société de location de DVD par correspondance avec une inter</w:t>
      </w:r>
      <w:r w:rsidR="007C6726" w:rsidRPr="00AE4FC3">
        <w:rPr>
          <w:szCs w:val="22"/>
          <w:lang w:val="fr-FR"/>
        </w:rPr>
        <w:t>face sur Internet, s</w:t>
      </w:r>
      <w:r w:rsidR="00CD2423" w:rsidRPr="00AE4FC3">
        <w:rPr>
          <w:szCs w:val="22"/>
          <w:lang w:val="fr-FR"/>
        </w:rPr>
        <w:t>’</w:t>
      </w:r>
      <w:r w:rsidR="007C6726" w:rsidRPr="00AE4FC3">
        <w:rPr>
          <w:szCs w:val="22"/>
          <w:lang w:val="fr-FR"/>
        </w:rPr>
        <w:t>est tourné</w:t>
      </w:r>
      <w:r w:rsidR="001502E3" w:rsidRPr="00AE4FC3">
        <w:rPr>
          <w:szCs w:val="22"/>
          <w:lang w:val="fr-FR"/>
        </w:rPr>
        <w:t xml:space="preserve"> </w:t>
      </w:r>
      <w:r w:rsidR="007C6726" w:rsidRPr="00AE4FC3">
        <w:rPr>
          <w:szCs w:val="22"/>
          <w:lang w:val="fr-FR"/>
        </w:rPr>
        <w:t xml:space="preserve">depuis </w:t>
      </w:r>
      <w:r w:rsidR="001502E3" w:rsidRPr="00AE4FC3">
        <w:rPr>
          <w:szCs w:val="22"/>
          <w:lang w:val="fr-FR"/>
        </w:rPr>
        <w:t>vers la diffusion en conti</w:t>
      </w:r>
      <w:r w:rsidR="00881191" w:rsidRPr="00AE4FC3">
        <w:rPr>
          <w:szCs w:val="22"/>
          <w:lang w:val="fr-FR"/>
        </w:rPr>
        <w:t>nu.  De</w:t>
      </w:r>
      <w:r w:rsidR="0062799D" w:rsidRPr="00AE4FC3">
        <w:rPr>
          <w:szCs w:val="22"/>
          <w:lang w:val="fr-FR"/>
        </w:rPr>
        <w:t>puis</w:t>
      </w:r>
      <w:r w:rsidR="00166B20" w:rsidRPr="00AE4FC3">
        <w:rPr>
          <w:szCs w:val="22"/>
          <w:lang w:val="fr-FR"/>
        </w:rPr>
        <w:t> </w:t>
      </w:r>
      <w:r w:rsidR="00EE4913" w:rsidRPr="00AE4FC3">
        <w:rPr>
          <w:szCs w:val="22"/>
          <w:lang w:val="fr-FR"/>
        </w:rPr>
        <w:t xml:space="preserve">2013, </w:t>
      </w:r>
      <w:r w:rsidR="0062799D" w:rsidRPr="00AE4FC3">
        <w:rPr>
          <w:szCs w:val="22"/>
          <w:lang w:val="fr-FR"/>
        </w:rPr>
        <w:t>elle</w:t>
      </w:r>
      <w:r w:rsidR="00EE4913" w:rsidRPr="00AE4FC3">
        <w:rPr>
          <w:szCs w:val="22"/>
          <w:lang w:val="fr-FR"/>
        </w:rPr>
        <w:t xml:space="preserve"> offre du contenu original, tel que la série </w:t>
      </w:r>
      <w:r w:rsidR="00EE4913" w:rsidRPr="00AE4FC3">
        <w:rPr>
          <w:i/>
          <w:szCs w:val="22"/>
          <w:lang w:val="fr-FR"/>
        </w:rPr>
        <w:t>House of Cards</w:t>
      </w:r>
      <w:r w:rsidR="00EE4913" w:rsidRPr="00AE4FC3">
        <w:rPr>
          <w:szCs w:val="22"/>
          <w:lang w:val="fr-FR"/>
        </w:rPr>
        <w:t xml:space="preserve"> dont </w:t>
      </w:r>
      <w:r w:rsidR="00AE4FC3" w:rsidRPr="00AE4FC3">
        <w:rPr>
          <w:szCs w:val="22"/>
          <w:lang w:val="fr-FR"/>
        </w:rPr>
        <w:t>elle</w:t>
      </w:r>
      <w:r w:rsidR="00EE4913" w:rsidRPr="00AE4FC3">
        <w:rPr>
          <w:szCs w:val="22"/>
          <w:lang w:val="fr-FR"/>
        </w:rPr>
        <w:t xml:space="preserve"> est le distributeur principal.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EE4913" w:rsidP="00AE4FC3">
      <w:pPr>
        <w:pStyle w:val="Heading2"/>
        <w:numPr>
          <w:ilvl w:val="0"/>
          <w:numId w:val="7"/>
        </w:numPr>
        <w:ind w:left="0" w:firstLine="0"/>
        <w:rPr>
          <w:b/>
          <w:lang w:val="fr-FR"/>
        </w:rPr>
      </w:pPr>
      <w:r w:rsidRPr="00AE4FC3">
        <w:rPr>
          <w:b/>
          <w:lang w:val="fr-FR"/>
        </w:rPr>
        <w:t>L</w:t>
      </w:r>
      <w:r w:rsidR="00CD2423" w:rsidRPr="00AE4FC3">
        <w:rPr>
          <w:b/>
          <w:lang w:val="fr-FR"/>
        </w:rPr>
        <w:t>’</w:t>
      </w:r>
      <w:r w:rsidR="00D33480">
        <w:rPr>
          <w:b/>
          <w:lang w:val="fr-FR"/>
        </w:rPr>
        <w:t>industrie de l’édition</w:t>
      </w:r>
    </w:p>
    <w:p w:rsidR="002661F7" w:rsidRPr="00AE4FC3" w:rsidRDefault="00EE4913" w:rsidP="00AE4FC3">
      <w:pPr>
        <w:pStyle w:val="Heading3"/>
        <w:rPr>
          <w:lang w:val="fr-FR"/>
        </w:rPr>
      </w:pPr>
      <w:r w:rsidRPr="00AE4FC3">
        <w:rPr>
          <w:lang w:val="fr-FR"/>
        </w:rPr>
        <w:t>Aperçu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7C6726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industrie de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édition est en pleine mutation avec l</w:t>
      </w:r>
      <w:r w:rsidR="00CD2423" w:rsidRPr="00AE4FC3">
        <w:rPr>
          <w:szCs w:val="22"/>
          <w:lang w:val="fr-FR"/>
        </w:rPr>
        <w:t>’</w:t>
      </w:r>
      <w:r w:rsidR="00FA6A43" w:rsidRPr="00AE4FC3">
        <w:rPr>
          <w:szCs w:val="22"/>
          <w:lang w:val="fr-FR"/>
        </w:rPr>
        <w:t xml:space="preserve">essor du commerce </w:t>
      </w:r>
      <w:r w:rsidRPr="00AE4FC3">
        <w:rPr>
          <w:szCs w:val="22"/>
          <w:lang w:val="fr-FR"/>
        </w:rPr>
        <w:t>en ligne</w:t>
      </w:r>
      <w:r w:rsidR="00FA6A43" w:rsidRPr="00AE4FC3">
        <w:rPr>
          <w:szCs w:val="22"/>
          <w:lang w:val="fr-FR"/>
        </w:rPr>
        <w:t xml:space="preserve"> et</w:t>
      </w:r>
      <w:r w:rsidRPr="00AE4FC3">
        <w:rPr>
          <w:szCs w:val="22"/>
          <w:lang w:val="fr-FR"/>
        </w:rPr>
        <w:t xml:space="preserve"> de</w:t>
      </w:r>
      <w:r w:rsidR="00FA6A43" w:rsidRPr="00AE4FC3">
        <w:rPr>
          <w:szCs w:val="22"/>
          <w:lang w:val="fr-FR"/>
        </w:rPr>
        <w:t xml:space="preserve"> </w:t>
      </w: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édition électronique qui modifie</w:t>
      </w:r>
      <w:r w:rsidR="00FA6A43" w:rsidRPr="00AE4FC3">
        <w:rPr>
          <w:szCs w:val="22"/>
          <w:lang w:val="fr-FR"/>
        </w:rPr>
        <w:t xml:space="preserve"> la chaîne de vale</w:t>
      </w:r>
      <w:r w:rsidR="00881191" w:rsidRPr="00AE4FC3">
        <w:rPr>
          <w:szCs w:val="22"/>
          <w:lang w:val="fr-FR"/>
        </w:rPr>
        <w:t>ur.  Le</w:t>
      </w:r>
      <w:r w:rsidR="00FA6A43" w:rsidRPr="00AE4FC3">
        <w:rPr>
          <w:szCs w:val="22"/>
          <w:lang w:val="fr-FR"/>
        </w:rPr>
        <w:t>s technologies émergentes et les changements observés dans la vente au détail suggèrent que le marché est en pleine évoluti</w:t>
      </w:r>
      <w:r w:rsidR="00881191" w:rsidRPr="00AE4FC3">
        <w:rPr>
          <w:szCs w:val="22"/>
          <w:lang w:val="fr-FR"/>
        </w:rPr>
        <w:t>on.  Le</w:t>
      </w:r>
      <w:r w:rsidR="00FA6A43" w:rsidRPr="00AE4FC3">
        <w:rPr>
          <w:szCs w:val="22"/>
          <w:lang w:val="fr-FR"/>
        </w:rPr>
        <w:t xml:space="preserve"> secteur </w:t>
      </w:r>
      <w:r w:rsidRPr="00AE4FC3">
        <w:rPr>
          <w:szCs w:val="22"/>
          <w:lang w:val="fr-FR"/>
        </w:rPr>
        <w:t>de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édition </w:t>
      </w:r>
      <w:r w:rsidR="00FA6A43" w:rsidRPr="00AE4FC3">
        <w:rPr>
          <w:szCs w:val="22"/>
          <w:lang w:val="fr-FR"/>
        </w:rPr>
        <w:t>des périodiques est soumis aux mêmes changements.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FA6A43" w:rsidP="00AE4FC3">
      <w:pPr>
        <w:pStyle w:val="Heading3"/>
        <w:rPr>
          <w:lang w:val="fr-FR"/>
        </w:rPr>
      </w:pPr>
      <w:r w:rsidRPr="00AE4FC3">
        <w:rPr>
          <w:lang w:val="fr-FR"/>
        </w:rPr>
        <w:t>Taille et croissance</w:t>
      </w:r>
      <w:r w:rsidR="00503DD4" w:rsidRPr="00AE4FC3">
        <w:rPr>
          <w:lang w:val="fr-FR"/>
        </w:rPr>
        <w:t xml:space="preserve"> du marché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FA6A43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Le marché de 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édition vaut 114 milliards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euros</w:t>
      </w:r>
      <w:r w:rsidRPr="00AE4FC3">
        <w:rPr>
          <w:rStyle w:val="FootnoteReference"/>
          <w:szCs w:val="22"/>
          <w:lang w:val="fr-FR"/>
        </w:rPr>
        <w:footnoteReference w:id="19"/>
      </w:r>
      <w:r w:rsidRPr="00AE4FC3">
        <w:rPr>
          <w:szCs w:val="22"/>
          <w:lang w:val="fr-FR"/>
        </w:rPr>
        <w:t>.</w:t>
      </w:r>
      <w:r w:rsidR="002F73AD" w:rsidRPr="00AE4FC3">
        <w:rPr>
          <w:lang w:val="fr-FR"/>
        </w:rPr>
        <w:t xml:space="preserve">  </w:t>
      </w:r>
      <w:r w:rsidR="00B82870" w:rsidRPr="00AE4FC3">
        <w:rPr>
          <w:szCs w:val="22"/>
          <w:lang w:val="fr-FR"/>
        </w:rPr>
        <w:t>Les livres représentent 15%</w:t>
      </w:r>
      <w:r w:rsidR="00B82870" w:rsidRPr="00AE4FC3">
        <w:rPr>
          <w:rStyle w:val="FootnoteReference"/>
          <w:szCs w:val="22"/>
          <w:lang w:val="fr-FR"/>
        </w:rPr>
        <w:footnoteReference w:id="20"/>
      </w:r>
      <w:r w:rsidR="00B82870" w:rsidRPr="00AE4FC3">
        <w:rPr>
          <w:szCs w:val="22"/>
          <w:lang w:val="fr-FR"/>
        </w:rPr>
        <w:t xml:space="preserve"> des dépenses totales du consommateur en matière de médias et de divertisseme</w:t>
      </w:r>
      <w:r w:rsidR="00881191" w:rsidRPr="00AE4FC3">
        <w:rPr>
          <w:szCs w:val="22"/>
          <w:lang w:val="fr-FR"/>
        </w:rPr>
        <w:t>nt.  Le</w:t>
      </w:r>
      <w:r w:rsidR="00B82870" w:rsidRPr="00AE4FC3">
        <w:rPr>
          <w:szCs w:val="22"/>
          <w:lang w:val="fr-FR"/>
        </w:rPr>
        <w:t>s ventes de livres électroniques augmentent et le marché mondial pour ce genre d</w:t>
      </w:r>
      <w:r w:rsidR="00CD2423" w:rsidRPr="00AE4FC3">
        <w:rPr>
          <w:szCs w:val="22"/>
          <w:lang w:val="fr-FR"/>
        </w:rPr>
        <w:t>’</w:t>
      </w:r>
      <w:r w:rsidR="00B82870" w:rsidRPr="00AE4FC3">
        <w:rPr>
          <w:szCs w:val="22"/>
          <w:lang w:val="fr-FR"/>
        </w:rPr>
        <w:t xml:space="preserve">ouvrages est </w:t>
      </w:r>
      <w:r w:rsidR="00223ADA" w:rsidRPr="00AE4FC3">
        <w:rPr>
          <w:szCs w:val="22"/>
          <w:lang w:val="fr-FR"/>
        </w:rPr>
        <w:t xml:space="preserve">près de </w:t>
      </w:r>
      <w:r w:rsidR="00B82870" w:rsidRPr="00AE4FC3">
        <w:rPr>
          <w:szCs w:val="22"/>
          <w:lang w:val="fr-FR"/>
        </w:rPr>
        <w:t>20 fois</w:t>
      </w:r>
      <w:r w:rsidR="00B82870" w:rsidRPr="00AE4FC3">
        <w:rPr>
          <w:rStyle w:val="FootnoteReference"/>
          <w:szCs w:val="22"/>
          <w:lang w:val="fr-FR"/>
        </w:rPr>
        <w:footnoteReference w:id="21"/>
      </w:r>
      <w:r w:rsidR="00B82870" w:rsidRPr="00AE4FC3">
        <w:rPr>
          <w:szCs w:val="22"/>
          <w:lang w:val="fr-FR"/>
        </w:rPr>
        <w:t xml:space="preserve"> plus important qu</w:t>
      </w:r>
      <w:r w:rsidR="00CD2423" w:rsidRPr="00AE4FC3">
        <w:rPr>
          <w:szCs w:val="22"/>
          <w:lang w:val="fr-FR"/>
        </w:rPr>
        <w:t>’</w:t>
      </w:r>
      <w:r w:rsidR="00B82870" w:rsidRPr="00AE4FC3">
        <w:rPr>
          <w:szCs w:val="22"/>
          <w:lang w:val="fr-FR"/>
        </w:rPr>
        <w:t>en</w:t>
      </w:r>
      <w:r w:rsidR="00166B20" w:rsidRPr="00AE4FC3">
        <w:rPr>
          <w:szCs w:val="22"/>
          <w:lang w:val="fr-FR"/>
        </w:rPr>
        <w:t> </w:t>
      </w:r>
      <w:r w:rsidR="00B82870" w:rsidRPr="00AE4FC3">
        <w:rPr>
          <w:szCs w:val="22"/>
          <w:lang w:val="fr-FR"/>
        </w:rPr>
        <w:t>2008.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CD2423" w:rsidRPr="00AE4FC3" w:rsidRDefault="002661F7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La croissance </w:t>
      </w:r>
      <w:r w:rsidR="00223ADA" w:rsidRPr="00AE4FC3">
        <w:rPr>
          <w:szCs w:val="22"/>
          <w:lang w:val="fr-FR"/>
        </w:rPr>
        <w:t xml:space="preserve">au sein </w:t>
      </w:r>
      <w:r w:rsidRPr="00AE4FC3">
        <w:rPr>
          <w:szCs w:val="22"/>
          <w:lang w:val="fr-FR"/>
        </w:rPr>
        <w:t>du marché est mitig</w:t>
      </w:r>
      <w:r w:rsidR="00881191" w:rsidRPr="00AE4FC3">
        <w:rPr>
          <w:szCs w:val="22"/>
          <w:lang w:val="fr-FR"/>
        </w:rPr>
        <w:t>ée.  Si</w:t>
      </w:r>
      <w:r w:rsidRPr="00AE4FC3">
        <w:rPr>
          <w:szCs w:val="22"/>
          <w:lang w:val="fr-FR"/>
        </w:rPr>
        <w:t xml:space="preserve"> la part des livres électroniques augmente, les ventes totales de livres diminuent ou </w:t>
      </w:r>
      <w:r w:rsidR="0062799D" w:rsidRPr="00AE4FC3">
        <w:rPr>
          <w:szCs w:val="22"/>
          <w:lang w:val="fr-FR"/>
        </w:rPr>
        <w:t>restent</w:t>
      </w:r>
      <w:r w:rsidRPr="00AE4FC3">
        <w:rPr>
          <w:szCs w:val="22"/>
          <w:lang w:val="fr-FR"/>
        </w:rPr>
        <w:t xml:space="preserve"> stables dans les pays développés, </w:t>
      </w:r>
      <w:r w:rsidR="0062799D" w:rsidRPr="00AE4FC3">
        <w:rPr>
          <w:szCs w:val="22"/>
          <w:lang w:val="fr-FR"/>
        </w:rPr>
        <w:t>alors qu</w:t>
      </w:r>
      <w:r w:rsidR="00CD2423" w:rsidRPr="00AE4FC3">
        <w:rPr>
          <w:szCs w:val="22"/>
          <w:lang w:val="fr-FR"/>
        </w:rPr>
        <w:t>’</w:t>
      </w:r>
      <w:r w:rsidR="0062799D" w:rsidRPr="00AE4FC3">
        <w:rPr>
          <w:szCs w:val="22"/>
          <w:lang w:val="fr-FR"/>
        </w:rPr>
        <w:t>elles</w:t>
      </w:r>
      <w:r w:rsidRPr="00AE4FC3">
        <w:rPr>
          <w:szCs w:val="22"/>
          <w:lang w:val="fr-FR"/>
        </w:rPr>
        <w:t xml:space="preserve"> sont en légère hausse dans les pays en développeme</w:t>
      </w:r>
      <w:r w:rsidR="00881191" w:rsidRPr="00AE4FC3">
        <w:rPr>
          <w:szCs w:val="22"/>
          <w:lang w:val="fr-FR"/>
        </w:rPr>
        <w:t>nt.  Da</w:t>
      </w:r>
      <w:r w:rsidR="00F313E3" w:rsidRPr="00AE4FC3">
        <w:rPr>
          <w:szCs w:val="22"/>
          <w:lang w:val="fr-FR"/>
        </w:rPr>
        <w:t>ns l</w:t>
      </w:r>
      <w:r w:rsidR="00CD2423" w:rsidRPr="00AE4FC3">
        <w:rPr>
          <w:szCs w:val="22"/>
          <w:lang w:val="fr-FR"/>
        </w:rPr>
        <w:t>’</w:t>
      </w:r>
      <w:r w:rsidR="00F313E3" w:rsidRPr="00AE4FC3">
        <w:rPr>
          <w:szCs w:val="22"/>
          <w:lang w:val="fr-FR"/>
        </w:rPr>
        <w:t xml:space="preserve">ensemble, les </w:t>
      </w:r>
      <w:r w:rsidR="00503DD4" w:rsidRPr="00AE4FC3">
        <w:rPr>
          <w:szCs w:val="22"/>
          <w:lang w:val="fr-FR"/>
        </w:rPr>
        <w:t>recettes</w:t>
      </w:r>
      <w:r w:rsidR="00F313E3" w:rsidRPr="00AE4FC3">
        <w:rPr>
          <w:szCs w:val="22"/>
          <w:lang w:val="fr-FR"/>
        </w:rPr>
        <w:t xml:space="preserve"> du secteur n</w:t>
      </w:r>
      <w:r w:rsidR="00CD2423" w:rsidRPr="00AE4FC3">
        <w:rPr>
          <w:szCs w:val="22"/>
          <w:lang w:val="fr-FR"/>
        </w:rPr>
        <w:t>’</w:t>
      </w:r>
      <w:r w:rsidR="00F313E3" w:rsidRPr="00AE4FC3">
        <w:rPr>
          <w:szCs w:val="22"/>
          <w:lang w:val="fr-FR"/>
        </w:rPr>
        <w:t>ont connu aucune hausse ces cinq</w:t>
      </w:r>
      <w:r w:rsidR="00166B20" w:rsidRPr="00AE4FC3">
        <w:rPr>
          <w:szCs w:val="22"/>
          <w:lang w:val="fr-FR"/>
        </w:rPr>
        <w:t> </w:t>
      </w:r>
      <w:r w:rsidR="00F313E3" w:rsidRPr="00AE4FC3">
        <w:rPr>
          <w:szCs w:val="22"/>
          <w:lang w:val="fr-FR"/>
        </w:rPr>
        <w:t>dernières années.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503DD4" w:rsidP="00AE4FC3">
      <w:pPr>
        <w:pStyle w:val="Heading3"/>
        <w:rPr>
          <w:lang w:val="fr-FR"/>
        </w:rPr>
      </w:pPr>
      <w:r w:rsidRPr="00AE4FC3">
        <w:rPr>
          <w:lang w:val="fr-FR"/>
        </w:rPr>
        <w:lastRenderedPageBreak/>
        <w:t>La part du</w:t>
      </w:r>
      <w:r w:rsidR="00F313E3" w:rsidRPr="00AE4FC3">
        <w:rPr>
          <w:lang w:val="fr-FR"/>
        </w:rPr>
        <w:t xml:space="preserve"> numérique</w:t>
      </w:r>
    </w:p>
    <w:p w:rsidR="002661F7" w:rsidRPr="00AE4FC3" w:rsidRDefault="002661F7" w:rsidP="008468F9">
      <w:pPr>
        <w:keepNext/>
        <w:rPr>
          <w:szCs w:val="22"/>
          <w:lang w:val="fr-FR"/>
        </w:rPr>
      </w:pPr>
    </w:p>
    <w:p w:rsidR="00CD2423" w:rsidRPr="00AE4FC3" w:rsidRDefault="0020298A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incidence la plus importante</w:t>
      </w:r>
      <w:r w:rsidR="00223ADA" w:rsidRPr="00AE4FC3">
        <w:rPr>
          <w:szCs w:val="22"/>
          <w:lang w:val="fr-FR"/>
        </w:rPr>
        <w:t xml:space="preserve"> </w:t>
      </w:r>
      <w:r w:rsidRPr="00AE4FC3">
        <w:rPr>
          <w:szCs w:val="22"/>
          <w:lang w:val="fr-FR"/>
        </w:rPr>
        <w:t>du</w:t>
      </w:r>
      <w:r w:rsidR="00B6493D" w:rsidRPr="00AE4FC3">
        <w:rPr>
          <w:szCs w:val="22"/>
          <w:lang w:val="fr-FR"/>
        </w:rPr>
        <w:t xml:space="preserve"> numérique </w:t>
      </w:r>
      <w:r w:rsidRPr="00AE4FC3">
        <w:rPr>
          <w:szCs w:val="22"/>
          <w:lang w:val="fr-FR"/>
        </w:rPr>
        <w:t>sur</w:t>
      </w:r>
      <w:r w:rsidR="00B6493D" w:rsidRPr="00AE4FC3">
        <w:rPr>
          <w:szCs w:val="22"/>
          <w:lang w:val="fr-FR"/>
        </w:rPr>
        <w:t xml:space="preserve"> l</w:t>
      </w:r>
      <w:r w:rsidR="00CD2423" w:rsidRPr="00AE4FC3">
        <w:rPr>
          <w:szCs w:val="22"/>
          <w:lang w:val="fr-FR"/>
        </w:rPr>
        <w:t>’</w:t>
      </w:r>
      <w:r w:rsidR="00B6493D" w:rsidRPr="00AE4FC3">
        <w:rPr>
          <w:szCs w:val="22"/>
          <w:lang w:val="fr-FR"/>
        </w:rPr>
        <w:t xml:space="preserve">édition est </w:t>
      </w:r>
      <w:r w:rsidRPr="00AE4FC3">
        <w:rPr>
          <w:szCs w:val="22"/>
          <w:lang w:val="fr-FR"/>
        </w:rPr>
        <w:t>l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apparition du commerce électronique par des détaillants </w:t>
      </w:r>
      <w:r w:rsidR="00B6493D" w:rsidRPr="00AE4FC3">
        <w:rPr>
          <w:szCs w:val="22"/>
          <w:lang w:val="fr-FR"/>
        </w:rPr>
        <w:t xml:space="preserve">en ligne </w:t>
      </w:r>
      <w:r w:rsidRPr="00AE4FC3">
        <w:rPr>
          <w:szCs w:val="22"/>
          <w:lang w:val="fr-FR"/>
        </w:rPr>
        <w:t>tels qu</w:t>
      </w:r>
      <w:r w:rsidR="00CD2423" w:rsidRPr="00AE4FC3">
        <w:rPr>
          <w:szCs w:val="22"/>
          <w:lang w:val="fr-FR"/>
        </w:rPr>
        <w:t>’</w:t>
      </w:r>
      <w:r w:rsidR="00B6493D" w:rsidRPr="00AE4FC3">
        <w:rPr>
          <w:szCs w:val="22"/>
          <w:lang w:val="fr-FR"/>
        </w:rPr>
        <w:t>Amazon</w:t>
      </w:r>
      <w:r w:rsidR="0062799D" w:rsidRPr="00AE4FC3">
        <w:rPr>
          <w:szCs w:val="22"/>
          <w:lang w:val="fr-FR"/>
        </w:rPr>
        <w:t>,</w:t>
      </w:r>
      <w:r w:rsidR="00CC5945" w:rsidRPr="00AE4FC3">
        <w:rPr>
          <w:szCs w:val="22"/>
          <w:lang w:val="fr-FR"/>
        </w:rPr>
        <w:t xml:space="preserve"> qui</w:t>
      </w:r>
      <w:r w:rsidR="00B6493D" w:rsidRPr="00AE4FC3">
        <w:rPr>
          <w:szCs w:val="22"/>
          <w:lang w:val="fr-FR"/>
        </w:rPr>
        <w:t xml:space="preserve"> a réduit la viabilité des librairies et </w:t>
      </w:r>
      <w:r w:rsidR="00CC5945" w:rsidRPr="00AE4FC3">
        <w:rPr>
          <w:szCs w:val="22"/>
          <w:lang w:val="fr-FR"/>
        </w:rPr>
        <w:t>contribué à</w:t>
      </w:r>
      <w:r w:rsidR="00B6493D" w:rsidRPr="00AE4FC3">
        <w:rPr>
          <w:szCs w:val="22"/>
          <w:lang w:val="fr-FR"/>
        </w:rPr>
        <w:t xml:space="preserve"> baisser le prix des livres d</w:t>
      </w:r>
      <w:r w:rsidR="00CD2423" w:rsidRPr="00AE4FC3">
        <w:rPr>
          <w:szCs w:val="22"/>
          <w:lang w:val="fr-FR"/>
        </w:rPr>
        <w:t>’</w:t>
      </w:r>
      <w:r w:rsidR="00B6493D" w:rsidRPr="00AE4FC3">
        <w:rPr>
          <w:szCs w:val="22"/>
          <w:lang w:val="fr-FR"/>
        </w:rPr>
        <w:t>environ 40% aux États</w:t>
      </w:r>
      <w:r w:rsidR="00B0592F">
        <w:rPr>
          <w:szCs w:val="22"/>
          <w:lang w:val="fr-FR"/>
        </w:rPr>
        <w:noBreakHyphen/>
      </w:r>
      <w:r w:rsidR="00B6493D" w:rsidRPr="00AE4FC3">
        <w:rPr>
          <w:szCs w:val="22"/>
          <w:lang w:val="fr-FR"/>
        </w:rPr>
        <w:t>Unis d</w:t>
      </w:r>
      <w:r w:rsidR="00CD2423" w:rsidRPr="00AE4FC3">
        <w:rPr>
          <w:szCs w:val="22"/>
          <w:lang w:val="fr-FR"/>
        </w:rPr>
        <w:t>’</w:t>
      </w:r>
      <w:r w:rsidR="00C0580A" w:rsidRPr="00AE4FC3">
        <w:rPr>
          <w:szCs w:val="22"/>
          <w:lang w:val="fr-FR"/>
        </w:rPr>
        <w:t>Amérique.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6D16EA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Les livres électroniques représentent une nouvelle opportunité pour les éditeurs qui peuvent ainsi vendre la version électronique de leurs ouvrag</w:t>
      </w:r>
      <w:r w:rsidR="00881191" w:rsidRPr="00AE4FC3">
        <w:rPr>
          <w:szCs w:val="22"/>
          <w:lang w:val="fr-FR"/>
        </w:rPr>
        <w:t>es.  Le</w:t>
      </w:r>
      <w:r w:rsidRPr="00AE4FC3">
        <w:rPr>
          <w:szCs w:val="22"/>
          <w:lang w:val="fr-FR"/>
        </w:rPr>
        <w:t xml:space="preserve">s livres électroniques diminuent le coût </w:t>
      </w:r>
      <w:r w:rsidR="0020298A" w:rsidRPr="00AE4FC3">
        <w:rPr>
          <w:szCs w:val="22"/>
          <w:lang w:val="fr-FR"/>
        </w:rPr>
        <w:t xml:space="preserve">de production </w:t>
      </w:r>
      <w:r w:rsidRPr="00AE4FC3">
        <w:rPr>
          <w:szCs w:val="22"/>
          <w:lang w:val="fr-FR"/>
        </w:rPr>
        <w:t xml:space="preserve">par livre et rendent la vente </w:t>
      </w:r>
      <w:r w:rsidR="0020298A" w:rsidRPr="00AE4FC3">
        <w:rPr>
          <w:szCs w:val="22"/>
          <w:lang w:val="fr-FR"/>
        </w:rPr>
        <w:t>d</w:t>
      </w:r>
      <w:r w:rsidR="00CD2423" w:rsidRPr="00AE4FC3">
        <w:rPr>
          <w:szCs w:val="22"/>
          <w:lang w:val="fr-FR"/>
        </w:rPr>
        <w:t>’</w:t>
      </w:r>
      <w:r w:rsidR="0020298A" w:rsidRPr="00AE4FC3">
        <w:rPr>
          <w:szCs w:val="22"/>
          <w:lang w:val="fr-FR"/>
        </w:rPr>
        <w:t>ouvrages</w:t>
      </w:r>
      <w:r w:rsidRPr="00AE4FC3">
        <w:rPr>
          <w:szCs w:val="22"/>
          <w:lang w:val="fr-FR"/>
        </w:rPr>
        <w:t xml:space="preserve"> par chapitres</w:t>
      </w:r>
      <w:r w:rsidR="0062799D" w:rsidRPr="00AE4FC3">
        <w:rPr>
          <w:szCs w:val="22"/>
          <w:lang w:val="fr-FR"/>
        </w:rPr>
        <w:t xml:space="preserve"> financièrement intéressa</w:t>
      </w:r>
      <w:r w:rsidR="00881191" w:rsidRPr="00AE4FC3">
        <w:rPr>
          <w:szCs w:val="22"/>
          <w:lang w:val="fr-FR"/>
        </w:rPr>
        <w:t>nt</w:t>
      </w:r>
      <w:r w:rsidR="00013AD4" w:rsidRPr="00AE4FC3">
        <w:rPr>
          <w:szCs w:val="22"/>
          <w:lang w:val="fr-FR"/>
        </w:rPr>
        <w:t>e</w:t>
      </w:r>
      <w:r w:rsidR="00881191" w:rsidRPr="00AE4FC3">
        <w:rPr>
          <w:szCs w:val="22"/>
          <w:lang w:val="fr-FR"/>
        </w:rPr>
        <w:t>.  De</w:t>
      </w:r>
      <w:r w:rsidR="00476732" w:rsidRPr="00AE4FC3">
        <w:rPr>
          <w:szCs w:val="22"/>
          <w:lang w:val="fr-FR"/>
        </w:rPr>
        <w:t xml:space="preserve"> nouvelles stratégies de prix, comme celles pratiquées par des services d</w:t>
      </w:r>
      <w:r w:rsidR="00CD2423" w:rsidRPr="00AE4FC3">
        <w:rPr>
          <w:szCs w:val="22"/>
          <w:lang w:val="fr-FR"/>
        </w:rPr>
        <w:t>’</w:t>
      </w:r>
      <w:r w:rsidR="00476732" w:rsidRPr="00AE4FC3">
        <w:rPr>
          <w:szCs w:val="22"/>
          <w:lang w:val="fr-FR"/>
        </w:rPr>
        <w:t>abo</w:t>
      </w:r>
      <w:r w:rsidR="00223ADA" w:rsidRPr="00AE4FC3">
        <w:rPr>
          <w:szCs w:val="22"/>
          <w:lang w:val="fr-FR"/>
        </w:rPr>
        <w:t>nnement tels qu</w:t>
      </w:r>
      <w:r w:rsidR="00CD2423" w:rsidRPr="00AE4FC3">
        <w:rPr>
          <w:szCs w:val="22"/>
          <w:lang w:val="fr-FR"/>
        </w:rPr>
        <w:t>’</w:t>
      </w:r>
      <w:r w:rsidR="00476732" w:rsidRPr="00AE4FC3">
        <w:rPr>
          <w:szCs w:val="22"/>
          <w:lang w:val="fr-FR"/>
        </w:rPr>
        <w:t>Izneo en France et Tolino en Allemagne, par exemple, modifient le concept de propriété.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CD2423" w:rsidRPr="00AE4FC3" w:rsidRDefault="00476732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Le système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impression à la demande, par lequel un livre n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est imprimé que s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 xml:space="preserve">il est commandé, pourrait réduire le gaspillage </w:t>
      </w:r>
      <w:r w:rsidR="00715151" w:rsidRPr="00AE4FC3">
        <w:rPr>
          <w:szCs w:val="22"/>
          <w:lang w:val="fr-FR"/>
        </w:rPr>
        <w:t>que représentent</w:t>
      </w:r>
      <w:r w:rsidRPr="00AE4FC3">
        <w:rPr>
          <w:szCs w:val="22"/>
          <w:lang w:val="fr-FR"/>
        </w:rPr>
        <w:t xml:space="preserve"> les livres imprimés invendus.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476732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Les livres électroniques et l</w:t>
      </w:r>
      <w:r w:rsidR="00CD2423" w:rsidRPr="00AE4FC3">
        <w:rPr>
          <w:szCs w:val="22"/>
          <w:lang w:val="fr-FR"/>
        </w:rPr>
        <w:t>’</w:t>
      </w:r>
      <w:r w:rsidR="00715151" w:rsidRPr="00AE4FC3">
        <w:rPr>
          <w:szCs w:val="22"/>
          <w:lang w:val="fr-FR"/>
        </w:rPr>
        <w:t>i</w:t>
      </w:r>
      <w:r w:rsidRPr="00AE4FC3">
        <w:rPr>
          <w:szCs w:val="22"/>
          <w:lang w:val="fr-FR"/>
        </w:rPr>
        <w:t>mpression sur demande ont contribué au développement de la</w:t>
      </w:r>
      <w:r w:rsidR="00715151" w:rsidRPr="00AE4FC3">
        <w:rPr>
          <w:szCs w:val="22"/>
          <w:lang w:val="fr-FR"/>
        </w:rPr>
        <w:t xml:space="preserve"> publication à compte d</w:t>
      </w:r>
      <w:r w:rsidR="00CD2423" w:rsidRPr="00AE4FC3">
        <w:rPr>
          <w:szCs w:val="22"/>
          <w:lang w:val="fr-FR"/>
        </w:rPr>
        <w:t>’</w:t>
      </w:r>
      <w:r w:rsidR="00715151" w:rsidRPr="00AE4FC3">
        <w:rPr>
          <w:szCs w:val="22"/>
          <w:lang w:val="fr-FR"/>
        </w:rPr>
        <w:t xml:space="preserve">auteur et les </w:t>
      </w:r>
      <w:r w:rsidRPr="00AE4FC3">
        <w:rPr>
          <w:szCs w:val="22"/>
          <w:lang w:val="fr-FR"/>
        </w:rPr>
        <w:t xml:space="preserve">auteurs peuvent </w:t>
      </w:r>
      <w:r w:rsidR="00715151" w:rsidRPr="00AE4FC3">
        <w:rPr>
          <w:szCs w:val="22"/>
          <w:lang w:val="fr-FR"/>
        </w:rPr>
        <w:t xml:space="preserve">maintenant </w:t>
      </w:r>
      <w:r w:rsidRPr="00AE4FC3">
        <w:rPr>
          <w:szCs w:val="22"/>
          <w:lang w:val="fr-FR"/>
        </w:rPr>
        <w:t xml:space="preserve">promouvoir leurs ouvrages directement </w:t>
      </w:r>
      <w:r w:rsidR="00AE4FC3" w:rsidRPr="00AE4FC3">
        <w:rPr>
          <w:szCs w:val="22"/>
          <w:lang w:val="fr-FR"/>
        </w:rPr>
        <w:t>auprès de</w:t>
      </w:r>
      <w:r w:rsidRPr="00AE4FC3">
        <w:rPr>
          <w:szCs w:val="22"/>
          <w:lang w:val="fr-FR"/>
        </w:rPr>
        <w:t xml:space="preserve"> leurs lecteurs.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CD2423" w:rsidRPr="00AE4FC3" w:rsidRDefault="00390FC0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 xml:space="preserve">Contrairement aux autres secteurs des industries de la création, le support papier traditionnel a </w:t>
      </w:r>
      <w:r w:rsidR="0062799D" w:rsidRPr="00AE4FC3">
        <w:rPr>
          <w:szCs w:val="22"/>
          <w:lang w:val="fr-FR"/>
        </w:rPr>
        <w:t xml:space="preserve">bien </w:t>
      </w:r>
      <w:r w:rsidRPr="00AE4FC3">
        <w:rPr>
          <w:szCs w:val="22"/>
          <w:lang w:val="fr-FR"/>
        </w:rPr>
        <w:t>résis</w:t>
      </w:r>
      <w:r w:rsidR="00881191" w:rsidRPr="00AE4FC3">
        <w:rPr>
          <w:szCs w:val="22"/>
          <w:lang w:val="fr-FR"/>
        </w:rPr>
        <w:t>té.  La</w:t>
      </w:r>
      <w:r w:rsidRPr="00AE4FC3">
        <w:rPr>
          <w:szCs w:val="22"/>
          <w:lang w:val="fr-FR"/>
        </w:rPr>
        <w:t xml:space="preserve"> croissance du marché du livre électronique </w:t>
      </w:r>
      <w:r w:rsidR="0062799D" w:rsidRPr="00AE4FC3">
        <w:rPr>
          <w:szCs w:val="22"/>
          <w:lang w:val="fr-FR"/>
        </w:rPr>
        <w:t>ralentit</w:t>
      </w:r>
      <w:r w:rsidRPr="00AE4FC3">
        <w:rPr>
          <w:szCs w:val="22"/>
          <w:lang w:val="fr-FR"/>
        </w:rPr>
        <w:t xml:space="preserve"> et les préférences des consommateurs semblent indiquer que le livre imprimé restera un modèle commercial viable.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390FC0" w:rsidP="00AE4FC3">
      <w:pPr>
        <w:pStyle w:val="Heading3"/>
        <w:rPr>
          <w:lang w:val="fr-FR"/>
        </w:rPr>
      </w:pPr>
      <w:r w:rsidRPr="00AE4FC3">
        <w:rPr>
          <w:lang w:val="fr-FR"/>
        </w:rPr>
        <w:t>Les modèles émergents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390FC0" w:rsidP="00AE4FC3">
      <w:pPr>
        <w:rPr>
          <w:szCs w:val="22"/>
          <w:lang w:val="fr-FR"/>
        </w:rPr>
      </w:pPr>
      <w:r w:rsidRPr="00AE4FC3">
        <w:rPr>
          <w:szCs w:val="22"/>
          <w:lang w:val="fr-FR"/>
        </w:rPr>
        <w:t>Le site</w:t>
      </w:r>
      <w:r w:rsidR="00166B20" w:rsidRPr="00AE4FC3">
        <w:rPr>
          <w:szCs w:val="22"/>
          <w:lang w:val="fr-FR"/>
        </w:rPr>
        <w:t> </w:t>
      </w:r>
      <w:r w:rsidRPr="00AE4FC3">
        <w:rPr>
          <w:szCs w:val="22"/>
          <w:lang w:val="fr-FR"/>
        </w:rPr>
        <w:t>Web chinois, www.Qidian.com, publie aussi bien des amateurs que des auteurs professionnels et compte plus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un million d</w:t>
      </w:r>
      <w:r w:rsidR="00CD2423" w:rsidRPr="00AE4FC3">
        <w:rPr>
          <w:szCs w:val="22"/>
          <w:lang w:val="fr-FR"/>
        </w:rPr>
        <w:t>’</w:t>
      </w:r>
      <w:r w:rsidRPr="00AE4FC3">
        <w:rPr>
          <w:szCs w:val="22"/>
          <w:lang w:val="fr-FR"/>
        </w:rPr>
        <w:t>ouvrages</w:t>
      </w:r>
      <w:r w:rsidR="0062799D" w:rsidRPr="00AE4FC3">
        <w:rPr>
          <w:szCs w:val="22"/>
          <w:lang w:val="fr-FR"/>
        </w:rPr>
        <w:t xml:space="preserve"> qui </w:t>
      </w:r>
      <w:r w:rsidR="00B95113" w:rsidRPr="00AE4FC3">
        <w:rPr>
          <w:szCs w:val="22"/>
          <w:lang w:val="fr-FR"/>
        </w:rPr>
        <w:t xml:space="preserve">sont </w:t>
      </w:r>
      <w:r w:rsidR="004B1393" w:rsidRPr="00AE4FC3">
        <w:rPr>
          <w:szCs w:val="22"/>
          <w:lang w:val="fr-FR"/>
        </w:rPr>
        <w:t>initialement offert</w:t>
      </w:r>
      <w:r w:rsidR="00B95113" w:rsidRPr="00AE4FC3">
        <w:rPr>
          <w:szCs w:val="22"/>
          <w:lang w:val="fr-FR"/>
        </w:rPr>
        <w:t>s gratuiteme</w:t>
      </w:r>
      <w:r w:rsidR="00881191" w:rsidRPr="00AE4FC3">
        <w:rPr>
          <w:szCs w:val="22"/>
          <w:lang w:val="fr-FR"/>
        </w:rPr>
        <w:t>nt.  Se</w:t>
      </w:r>
      <w:r w:rsidR="00B95113" w:rsidRPr="00AE4FC3">
        <w:rPr>
          <w:szCs w:val="22"/>
          <w:lang w:val="fr-FR"/>
        </w:rPr>
        <w:t xml:space="preserve">uls les </w:t>
      </w:r>
      <w:r w:rsidR="004B1393" w:rsidRPr="00AE4FC3">
        <w:rPr>
          <w:szCs w:val="22"/>
          <w:lang w:val="fr-FR"/>
        </w:rPr>
        <w:t>livres</w:t>
      </w:r>
      <w:r w:rsidR="00B95113" w:rsidRPr="00AE4FC3">
        <w:rPr>
          <w:szCs w:val="22"/>
          <w:lang w:val="fr-FR"/>
        </w:rPr>
        <w:t xml:space="preserve"> et les auteurs à succès deviennent du contenu payant</w:t>
      </w:r>
      <w:r w:rsidR="004B1393" w:rsidRPr="00AE4FC3">
        <w:rPr>
          <w:szCs w:val="22"/>
          <w:lang w:val="fr-FR"/>
        </w:rPr>
        <w:t xml:space="preserve"> auquel les</w:t>
      </w:r>
      <w:r w:rsidR="00BE5FAB" w:rsidRPr="00AE4FC3">
        <w:rPr>
          <w:szCs w:val="22"/>
          <w:lang w:val="fr-FR"/>
        </w:rPr>
        <w:t xml:space="preserve"> lecteurs</w:t>
      </w:r>
      <w:r w:rsidR="004B1393" w:rsidRPr="00AE4FC3">
        <w:rPr>
          <w:szCs w:val="22"/>
          <w:lang w:val="fr-FR"/>
        </w:rPr>
        <w:t xml:space="preserve"> accèdent en </w:t>
      </w:r>
      <w:r w:rsidR="0062799D" w:rsidRPr="00AE4FC3">
        <w:rPr>
          <w:szCs w:val="22"/>
          <w:lang w:val="fr-FR"/>
        </w:rPr>
        <w:t>versant</w:t>
      </w:r>
      <w:r w:rsidR="004B1393" w:rsidRPr="00AE4FC3">
        <w:rPr>
          <w:szCs w:val="22"/>
          <w:lang w:val="fr-FR"/>
        </w:rPr>
        <w:t xml:space="preserve"> des</w:t>
      </w:r>
      <w:r w:rsidR="00BE5FAB" w:rsidRPr="00AE4FC3">
        <w:rPr>
          <w:szCs w:val="22"/>
          <w:lang w:val="fr-FR"/>
        </w:rPr>
        <w:t xml:space="preserve"> </w:t>
      </w:r>
      <w:r w:rsidR="00715151" w:rsidRPr="00AE4FC3">
        <w:rPr>
          <w:szCs w:val="22"/>
          <w:lang w:val="fr-FR"/>
        </w:rPr>
        <w:t>a</w:t>
      </w:r>
      <w:r w:rsidR="004B1393" w:rsidRPr="00AE4FC3">
        <w:rPr>
          <w:szCs w:val="22"/>
          <w:lang w:val="fr-FR"/>
        </w:rPr>
        <w:t>comptes</w:t>
      </w:r>
      <w:r w:rsidR="00BE5FAB" w:rsidRPr="00AE4FC3">
        <w:rPr>
          <w:szCs w:val="22"/>
          <w:lang w:val="fr-FR"/>
        </w:rPr>
        <w:t xml:space="preserve"> au fur et à mesure </w:t>
      </w:r>
      <w:r w:rsidR="004B1393" w:rsidRPr="00AE4FC3">
        <w:rPr>
          <w:szCs w:val="22"/>
          <w:lang w:val="fr-FR"/>
        </w:rPr>
        <w:t>de leur lectu</w:t>
      </w:r>
      <w:r w:rsidR="00881191" w:rsidRPr="00AE4FC3">
        <w:rPr>
          <w:szCs w:val="22"/>
          <w:lang w:val="fr-FR"/>
        </w:rPr>
        <w:t>re.  Ce</w:t>
      </w:r>
      <w:r w:rsidR="00BE5FAB" w:rsidRPr="00AE4FC3">
        <w:rPr>
          <w:szCs w:val="22"/>
          <w:lang w:val="fr-FR"/>
        </w:rPr>
        <w:t>rtains auteurs sont devenus millionnaires grâce à ce site</w:t>
      </w:r>
      <w:r w:rsidR="00166B20" w:rsidRPr="00AE4FC3">
        <w:rPr>
          <w:szCs w:val="22"/>
          <w:lang w:val="fr-FR"/>
        </w:rPr>
        <w:t> Web</w:t>
      </w:r>
      <w:r w:rsidR="00BE5FAB" w:rsidRPr="00AE4FC3">
        <w:rPr>
          <w:szCs w:val="22"/>
          <w:lang w:val="fr-FR"/>
        </w:rPr>
        <w:t>, fondé en</w:t>
      </w:r>
      <w:r w:rsidR="00166B20" w:rsidRPr="00AE4FC3">
        <w:rPr>
          <w:szCs w:val="22"/>
          <w:lang w:val="fr-FR"/>
        </w:rPr>
        <w:t> </w:t>
      </w:r>
      <w:r w:rsidR="00BE5FAB" w:rsidRPr="00AE4FC3">
        <w:rPr>
          <w:szCs w:val="22"/>
          <w:lang w:val="fr-FR"/>
        </w:rPr>
        <w:t>2002.</w:t>
      </w: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2661F7" w:rsidP="00AE4FC3">
      <w:pPr>
        <w:rPr>
          <w:szCs w:val="22"/>
          <w:lang w:val="fr-FR"/>
        </w:rPr>
      </w:pPr>
    </w:p>
    <w:p w:rsidR="002661F7" w:rsidRPr="00AE4FC3" w:rsidRDefault="00BE5FAB" w:rsidP="00AE4FC3">
      <w:pPr>
        <w:ind w:left="5529"/>
        <w:rPr>
          <w:lang w:val="fr-FR"/>
        </w:rPr>
      </w:pPr>
      <w:r w:rsidRPr="00AE4FC3">
        <w:rPr>
          <w:lang w:val="fr-FR"/>
        </w:rPr>
        <w:t>[Fin du document]</w:t>
      </w:r>
    </w:p>
    <w:sectPr w:rsidR="002661F7" w:rsidRPr="00AE4FC3" w:rsidSect="003271B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FC" w:rsidRDefault="00BE54FC">
      <w:r>
        <w:separator/>
      </w:r>
    </w:p>
  </w:endnote>
  <w:endnote w:type="continuationSeparator" w:id="0">
    <w:p w:rsidR="00BE54FC" w:rsidRDefault="00BE54FC" w:rsidP="000C7343">
      <w:r>
        <w:separator/>
      </w:r>
    </w:p>
    <w:p w:rsidR="00BE54FC" w:rsidRPr="000C7343" w:rsidRDefault="00BE54FC" w:rsidP="000C7343">
      <w:r>
        <w:rPr>
          <w:sz w:val="17"/>
        </w:rPr>
        <w:t>[Endnote continued from previous page]</w:t>
      </w:r>
    </w:p>
  </w:endnote>
  <w:endnote w:type="continuationNotice" w:id="1">
    <w:p w:rsidR="00BE54FC" w:rsidRPr="000C7343" w:rsidRDefault="00BE54FC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FC" w:rsidRDefault="00BE54FC">
      <w:r>
        <w:separator/>
      </w:r>
    </w:p>
  </w:footnote>
  <w:footnote w:type="continuationSeparator" w:id="0">
    <w:p w:rsidR="00BE54FC" w:rsidRDefault="00BE54FC" w:rsidP="000C7343">
      <w:r>
        <w:separator/>
      </w:r>
    </w:p>
    <w:p w:rsidR="00BE54FC" w:rsidRPr="000C7343" w:rsidRDefault="00BE54FC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E54FC" w:rsidRPr="000C7343" w:rsidRDefault="00BE54FC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715ED8" w:rsidRPr="00C0580A" w:rsidRDefault="00715ED8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12185C" w:rsidRPr="00C0580A">
        <w:rPr>
          <w:color w:val="000000"/>
          <w:szCs w:val="18"/>
          <w:lang w:val="fr-CH"/>
        </w:rPr>
        <w:t>L</w:t>
      </w:r>
      <w:r w:rsidR="00F03AC7">
        <w:rPr>
          <w:color w:val="000000"/>
          <w:szCs w:val="18"/>
          <w:lang w:val="fr-CH"/>
        </w:rPr>
        <w:t>’</w:t>
      </w:r>
      <w:r w:rsidR="0012185C" w:rsidRPr="00C0580A">
        <w:rPr>
          <w:color w:val="000000"/>
          <w:szCs w:val="18"/>
          <w:lang w:val="fr-CH"/>
        </w:rPr>
        <w:t>industrie de l</w:t>
      </w:r>
      <w:r w:rsidR="00F03AC7">
        <w:rPr>
          <w:color w:val="000000"/>
          <w:szCs w:val="18"/>
          <w:lang w:val="fr-CH"/>
        </w:rPr>
        <w:t>’</w:t>
      </w:r>
      <w:r w:rsidR="0012185C" w:rsidRPr="00C0580A">
        <w:rPr>
          <w:color w:val="000000"/>
          <w:szCs w:val="18"/>
          <w:lang w:val="fr-CH"/>
        </w:rPr>
        <w:t>enregistrement est l</w:t>
      </w:r>
      <w:r w:rsidR="00F03AC7">
        <w:rPr>
          <w:color w:val="000000"/>
          <w:szCs w:val="18"/>
          <w:lang w:val="fr-CH"/>
        </w:rPr>
        <w:t>’</w:t>
      </w:r>
      <w:r w:rsidR="0012185C" w:rsidRPr="00C0580A">
        <w:rPr>
          <w:color w:val="000000"/>
          <w:szCs w:val="18"/>
          <w:lang w:val="fr-CH"/>
        </w:rPr>
        <w:t>industrie spécialisée dans l</w:t>
      </w:r>
      <w:r w:rsidR="00F03AC7">
        <w:rPr>
          <w:color w:val="000000"/>
          <w:szCs w:val="18"/>
          <w:lang w:val="fr-CH"/>
        </w:rPr>
        <w:t>’</w:t>
      </w:r>
      <w:r w:rsidR="0012185C" w:rsidRPr="00C0580A">
        <w:rPr>
          <w:color w:val="000000"/>
          <w:szCs w:val="18"/>
          <w:lang w:val="fr-CH"/>
        </w:rPr>
        <w:t>enregistrement et la vente de musique.</w:t>
      </w:r>
      <w:r w:rsidRPr="00B0592F">
        <w:rPr>
          <w:color w:val="000000"/>
          <w:lang w:val="fr-CH"/>
        </w:rPr>
        <w:t xml:space="preserve">  </w:t>
      </w:r>
      <w:r w:rsidR="006E4896" w:rsidRPr="00C0580A">
        <w:rPr>
          <w:color w:val="000000"/>
          <w:szCs w:val="18"/>
          <w:lang w:val="fr-CH"/>
        </w:rPr>
        <w:t xml:space="preserve">Au sens plus large, </w:t>
      </w:r>
      <w:r w:rsidR="00AE4FC3">
        <w:rPr>
          <w:color w:val="000000"/>
          <w:szCs w:val="18"/>
          <w:lang w:val="fr-CH"/>
        </w:rPr>
        <w:t>l</w:t>
      </w:r>
      <w:r w:rsidR="00F03AC7">
        <w:rPr>
          <w:color w:val="000000"/>
          <w:szCs w:val="18"/>
          <w:lang w:val="fr-CH"/>
        </w:rPr>
        <w:t>’</w:t>
      </w:r>
      <w:r w:rsidR="00AE4FC3">
        <w:rPr>
          <w:color w:val="000000"/>
          <w:szCs w:val="18"/>
          <w:lang w:val="fr-CH"/>
        </w:rPr>
        <w:t>industrie musicale</w:t>
      </w:r>
      <w:r w:rsidR="006E4896" w:rsidRPr="00C0580A">
        <w:rPr>
          <w:color w:val="000000"/>
          <w:szCs w:val="18"/>
          <w:lang w:val="fr-CH"/>
        </w:rPr>
        <w:t xml:space="preserve"> </w:t>
      </w:r>
      <w:r w:rsidR="00920995" w:rsidRPr="00C0580A">
        <w:rPr>
          <w:color w:val="000000"/>
          <w:szCs w:val="18"/>
          <w:lang w:val="fr-CH"/>
        </w:rPr>
        <w:t xml:space="preserve">inclut les </w:t>
      </w:r>
      <w:r w:rsidR="00C241FE" w:rsidRPr="00C0580A">
        <w:rPr>
          <w:color w:val="000000"/>
          <w:szCs w:val="18"/>
          <w:lang w:val="fr-CH"/>
        </w:rPr>
        <w:t>concerts,</w:t>
      </w:r>
      <w:r w:rsidR="00920995" w:rsidRPr="00C0580A">
        <w:rPr>
          <w:color w:val="000000"/>
          <w:szCs w:val="18"/>
          <w:lang w:val="fr-CH"/>
        </w:rPr>
        <w:t xml:space="preserve"> la vente de produits </w:t>
      </w:r>
      <w:r w:rsidR="006E4896" w:rsidRPr="00C0580A">
        <w:rPr>
          <w:color w:val="000000"/>
          <w:szCs w:val="18"/>
          <w:lang w:val="fr-CH"/>
        </w:rPr>
        <w:t>dérivés</w:t>
      </w:r>
      <w:r w:rsidR="00920995" w:rsidRPr="00C0580A">
        <w:rPr>
          <w:color w:val="000000"/>
          <w:szCs w:val="18"/>
          <w:lang w:val="fr-CH"/>
        </w:rPr>
        <w:t xml:space="preserve"> et diverses activités liées à la musique.</w:t>
      </w:r>
    </w:p>
  </w:footnote>
  <w:footnote w:id="3">
    <w:p w:rsidR="0012185C" w:rsidRPr="00C0580A" w:rsidRDefault="0012185C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A90FD2" w:rsidRPr="00C0580A">
        <w:rPr>
          <w:szCs w:val="18"/>
          <w:lang w:val="fr-CH"/>
        </w:rPr>
        <w:tab/>
      </w:r>
      <w:r w:rsidR="00BC5736" w:rsidRPr="00C0580A">
        <w:rPr>
          <w:color w:val="000000"/>
          <w:szCs w:val="18"/>
          <w:lang w:val="fr-CH"/>
        </w:rPr>
        <w:t>Tous les chiffres reposent sur les données 2013 du rapport sur la musique numérique publié</w:t>
      </w:r>
      <w:r w:rsidR="006E4896" w:rsidRPr="00C0580A">
        <w:rPr>
          <w:color w:val="000000"/>
          <w:szCs w:val="18"/>
          <w:lang w:val="fr-CH"/>
        </w:rPr>
        <w:t xml:space="preserve"> en</w:t>
      </w:r>
      <w:r w:rsidR="00E8199E">
        <w:rPr>
          <w:color w:val="000000"/>
          <w:szCs w:val="18"/>
          <w:lang w:val="fr-CH"/>
        </w:rPr>
        <w:t> </w:t>
      </w:r>
      <w:r w:rsidR="006E4896" w:rsidRPr="00C0580A">
        <w:rPr>
          <w:color w:val="000000"/>
          <w:szCs w:val="18"/>
          <w:lang w:val="fr-CH"/>
        </w:rPr>
        <w:t>2014</w:t>
      </w:r>
      <w:r w:rsidR="00BC5736" w:rsidRPr="00C0580A">
        <w:rPr>
          <w:color w:val="000000"/>
          <w:szCs w:val="18"/>
          <w:lang w:val="fr-CH"/>
        </w:rPr>
        <w:t xml:space="preserve"> par la Fédération internationale de l</w:t>
      </w:r>
      <w:r w:rsidR="00F03AC7">
        <w:rPr>
          <w:color w:val="000000"/>
          <w:szCs w:val="18"/>
          <w:lang w:val="fr-CH"/>
        </w:rPr>
        <w:t>’</w:t>
      </w:r>
      <w:r w:rsidR="00BC5736" w:rsidRPr="00C0580A">
        <w:rPr>
          <w:color w:val="000000"/>
          <w:szCs w:val="18"/>
          <w:lang w:val="fr-CH"/>
        </w:rPr>
        <w:t>industrie phonographique (IFPI) http://www.ifpi.org/global</w:t>
      </w:r>
      <w:r w:rsidR="00B0592F">
        <w:rPr>
          <w:color w:val="000000"/>
          <w:szCs w:val="18"/>
          <w:lang w:val="fr-CH"/>
        </w:rPr>
        <w:noBreakHyphen/>
      </w:r>
      <w:r w:rsidR="00BC5736" w:rsidRPr="00C0580A">
        <w:rPr>
          <w:color w:val="000000"/>
          <w:szCs w:val="18"/>
          <w:lang w:val="fr-CH"/>
        </w:rPr>
        <w:t>statistics.php</w:t>
      </w:r>
    </w:p>
  </w:footnote>
  <w:footnote w:id="4">
    <w:p w:rsidR="004B3C2C" w:rsidRPr="00C0580A" w:rsidRDefault="004B3C2C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Pr="00C0580A">
        <w:rPr>
          <w:szCs w:val="18"/>
          <w:lang w:val="fr-CH"/>
        </w:rPr>
        <w:tab/>
      </w:r>
      <w:r w:rsidR="00B0592F">
        <w:rPr>
          <w:color w:val="000000"/>
          <w:szCs w:val="18"/>
          <w:lang w:val="fr-CH"/>
        </w:rPr>
        <w:t>Statistiques </w:t>
      </w:r>
      <w:r w:rsidRPr="00C0580A">
        <w:rPr>
          <w:color w:val="000000"/>
          <w:szCs w:val="18"/>
          <w:lang w:val="fr-CH"/>
        </w:rPr>
        <w:t xml:space="preserve">2014 du marché </w:t>
      </w:r>
      <w:r w:rsidR="00C05D6F">
        <w:rPr>
          <w:color w:val="000000"/>
          <w:szCs w:val="18"/>
          <w:lang w:val="fr-CH"/>
        </w:rPr>
        <w:t>cinématographique</w:t>
      </w:r>
      <w:r w:rsidRPr="00C0580A">
        <w:rPr>
          <w:color w:val="000000"/>
          <w:szCs w:val="18"/>
          <w:lang w:val="fr-CH"/>
        </w:rPr>
        <w:t xml:space="preserve"> de la Motion Picture Association of America (MPAA).</w:t>
      </w:r>
    </w:p>
  </w:footnote>
  <w:footnote w:id="5">
    <w:p w:rsidR="00733EC0" w:rsidRPr="00C0580A" w:rsidRDefault="00733EC0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4500E9" w:rsidRPr="00C0580A">
        <w:rPr>
          <w:color w:val="000000"/>
          <w:szCs w:val="18"/>
          <w:lang w:val="fr-CH"/>
        </w:rPr>
        <w:t>Institut de statistiques de l</w:t>
      </w:r>
      <w:r w:rsidR="00F03AC7">
        <w:rPr>
          <w:color w:val="000000"/>
          <w:szCs w:val="18"/>
          <w:lang w:val="fr-CH"/>
        </w:rPr>
        <w:t>’</w:t>
      </w:r>
      <w:r w:rsidR="004500E9" w:rsidRPr="00C0580A">
        <w:rPr>
          <w:color w:val="000000"/>
          <w:szCs w:val="18"/>
          <w:lang w:val="fr-CH"/>
        </w:rPr>
        <w:t>UNESCO (2013)</w:t>
      </w:r>
      <w:r w:rsidR="00013AD4" w:rsidRPr="00C0580A">
        <w:rPr>
          <w:color w:val="000000"/>
          <w:szCs w:val="18"/>
          <w:lang w:val="fr-CH"/>
        </w:rPr>
        <w:t xml:space="preserve">. </w:t>
      </w:r>
      <w:r w:rsidR="004500E9" w:rsidRPr="00C0580A">
        <w:rPr>
          <w:color w:val="000000"/>
          <w:szCs w:val="18"/>
          <w:lang w:val="fr-CH"/>
        </w:rPr>
        <w:t xml:space="preserve"> Les marchés émergents et la numérisation de l</w:t>
      </w:r>
      <w:r w:rsidR="00F03AC7">
        <w:rPr>
          <w:color w:val="000000"/>
          <w:szCs w:val="18"/>
          <w:lang w:val="fr-CH"/>
        </w:rPr>
        <w:t>’</w:t>
      </w:r>
      <w:r w:rsidR="004500E9" w:rsidRPr="00C0580A">
        <w:rPr>
          <w:color w:val="000000"/>
          <w:szCs w:val="18"/>
          <w:lang w:val="fr-CH"/>
        </w:rPr>
        <w:t>industrie cinématographique.</w:t>
      </w:r>
    </w:p>
  </w:footnote>
  <w:footnote w:id="6">
    <w:p w:rsidR="00A90FD2" w:rsidRPr="00C0580A" w:rsidRDefault="00A90FD2" w:rsidP="00B0592F">
      <w:pPr>
        <w:pStyle w:val="FootnoteText"/>
        <w:rPr>
          <w:szCs w:val="18"/>
          <w:lang w:val="fr-CH"/>
        </w:rPr>
      </w:pPr>
      <w:r w:rsidRPr="00C05D6F">
        <w:rPr>
          <w:rStyle w:val="FootnoteReference"/>
          <w:szCs w:val="18"/>
        </w:rPr>
        <w:footnoteRef/>
      </w:r>
      <w:r w:rsidRPr="00C05D6F">
        <w:rPr>
          <w:szCs w:val="18"/>
        </w:rPr>
        <w:t xml:space="preserve"> </w:t>
      </w:r>
      <w:r w:rsidRPr="00C05D6F">
        <w:rPr>
          <w:szCs w:val="18"/>
          <w:lang w:val="fr-CH"/>
        </w:rPr>
        <w:tab/>
      </w:r>
      <w:r w:rsidR="00B0592F">
        <w:rPr>
          <w:szCs w:val="18"/>
          <w:lang w:val="fr-CH"/>
        </w:rPr>
        <w:t>Statistiques </w:t>
      </w:r>
      <w:r w:rsidR="00C05D6F">
        <w:rPr>
          <w:szCs w:val="18"/>
          <w:lang w:val="fr-CH"/>
        </w:rPr>
        <w:t>2014 du marché cinématographique de</w:t>
      </w:r>
      <w:r w:rsidR="00F03AC7">
        <w:rPr>
          <w:szCs w:val="18"/>
          <w:lang w:val="fr-CH"/>
        </w:rPr>
        <w:t xml:space="preserve"> la MPA</w:t>
      </w:r>
      <w:r w:rsidR="00C05D6F">
        <w:rPr>
          <w:szCs w:val="18"/>
          <w:lang w:val="fr-CH"/>
        </w:rPr>
        <w:t>A</w:t>
      </w:r>
      <w:r w:rsidRPr="00C05D6F">
        <w:rPr>
          <w:szCs w:val="18"/>
          <w:lang w:val="fr-CH"/>
        </w:rPr>
        <w:t>.</w:t>
      </w:r>
    </w:p>
  </w:footnote>
  <w:footnote w:id="7">
    <w:p w:rsidR="00A90FD2" w:rsidRPr="00C05D6F" w:rsidRDefault="00A90FD2" w:rsidP="00B0592F">
      <w:pPr>
        <w:pStyle w:val="FootnoteText"/>
        <w:rPr>
          <w:szCs w:val="18"/>
          <w:lang w:val="fr-FR"/>
        </w:rPr>
      </w:pPr>
      <w:r w:rsidRPr="00C05D6F">
        <w:rPr>
          <w:rStyle w:val="FootnoteReference"/>
          <w:szCs w:val="18"/>
        </w:rPr>
        <w:footnoteRef/>
      </w:r>
      <w:r w:rsidRPr="00C05D6F">
        <w:rPr>
          <w:szCs w:val="18"/>
        </w:rPr>
        <w:t xml:space="preserve"> </w:t>
      </w:r>
      <w:r w:rsidRPr="00C05D6F">
        <w:rPr>
          <w:szCs w:val="18"/>
          <w:lang w:val="fr-CH"/>
        </w:rPr>
        <w:tab/>
      </w:r>
      <w:r w:rsidR="00C05D6F" w:rsidRPr="00C05D6F">
        <w:rPr>
          <w:szCs w:val="18"/>
          <w:lang w:val="fr-FR"/>
        </w:rPr>
        <w:t>En comparaison, il y a eu une baisse de</w:t>
      </w:r>
      <w:r w:rsidR="009D5EF5" w:rsidRPr="00C05D6F">
        <w:rPr>
          <w:szCs w:val="18"/>
          <w:lang w:val="fr-FR"/>
        </w:rPr>
        <w:t xml:space="preserve"> 4% </w:t>
      </w:r>
      <w:r w:rsidR="00C05D6F">
        <w:rPr>
          <w:szCs w:val="18"/>
          <w:lang w:val="fr-FR"/>
        </w:rPr>
        <w:t>en</w:t>
      </w:r>
      <w:r w:rsidR="00E8199E">
        <w:rPr>
          <w:szCs w:val="18"/>
          <w:lang w:val="fr-FR"/>
        </w:rPr>
        <w:t> </w:t>
      </w:r>
      <w:r w:rsidR="009D5EF5" w:rsidRPr="00C05D6F">
        <w:rPr>
          <w:szCs w:val="18"/>
          <w:lang w:val="fr-FR"/>
        </w:rPr>
        <w:t xml:space="preserve">2013, </w:t>
      </w:r>
      <w:r w:rsidR="00C05D6F" w:rsidRPr="00C05D6F">
        <w:rPr>
          <w:szCs w:val="18"/>
          <w:lang w:val="fr-FR"/>
        </w:rPr>
        <w:t xml:space="preserve">de </w:t>
      </w:r>
      <w:r w:rsidR="009D5EF5" w:rsidRPr="00C05D6F">
        <w:rPr>
          <w:szCs w:val="18"/>
          <w:lang w:val="fr-FR"/>
        </w:rPr>
        <w:t xml:space="preserve">6% </w:t>
      </w:r>
      <w:r w:rsidR="00C05D6F">
        <w:rPr>
          <w:szCs w:val="18"/>
          <w:lang w:val="fr-FR"/>
        </w:rPr>
        <w:t>en</w:t>
      </w:r>
      <w:r w:rsidR="00E8199E">
        <w:rPr>
          <w:szCs w:val="18"/>
          <w:lang w:val="fr-FR"/>
        </w:rPr>
        <w:t> </w:t>
      </w:r>
      <w:r w:rsidR="009D5EF5" w:rsidRPr="00C05D6F">
        <w:rPr>
          <w:szCs w:val="18"/>
          <w:lang w:val="fr-FR"/>
        </w:rPr>
        <w:t xml:space="preserve">2012, </w:t>
      </w:r>
      <w:r w:rsidR="00C05D6F" w:rsidRPr="00C05D6F">
        <w:rPr>
          <w:szCs w:val="18"/>
          <w:lang w:val="fr-FR"/>
        </w:rPr>
        <w:t>une baisse de</w:t>
      </w:r>
      <w:r w:rsidR="009D5EF5" w:rsidRPr="00C05D6F">
        <w:rPr>
          <w:szCs w:val="18"/>
          <w:lang w:val="fr-FR"/>
        </w:rPr>
        <w:t xml:space="preserve"> 4% </w:t>
      </w:r>
      <w:r w:rsidR="00C05D6F">
        <w:rPr>
          <w:szCs w:val="18"/>
          <w:lang w:val="fr-FR"/>
        </w:rPr>
        <w:t>en</w:t>
      </w:r>
      <w:r w:rsidR="00E8199E">
        <w:rPr>
          <w:szCs w:val="18"/>
          <w:lang w:val="fr-FR"/>
        </w:rPr>
        <w:t> </w:t>
      </w:r>
      <w:r w:rsidR="009D5EF5" w:rsidRPr="00C05D6F">
        <w:rPr>
          <w:szCs w:val="18"/>
          <w:lang w:val="fr-FR"/>
        </w:rPr>
        <w:t xml:space="preserve">2011 </w:t>
      </w:r>
      <w:r w:rsidR="00C05D6F" w:rsidRPr="00C05D6F">
        <w:rPr>
          <w:szCs w:val="18"/>
          <w:lang w:val="fr-FR"/>
        </w:rPr>
        <w:t>et une hausse de</w:t>
      </w:r>
      <w:r w:rsidR="009D5EF5" w:rsidRPr="00C05D6F">
        <w:rPr>
          <w:szCs w:val="18"/>
          <w:lang w:val="fr-FR"/>
        </w:rPr>
        <w:t xml:space="preserve"> 6% </w:t>
      </w:r>
      <w:r w:rsidR="00C05D6F" w:rsidRPr="00C05D6F">
        <w:rPr>
          <w:szCs w:val="18"/>
          <w:lang w:val="fr-FR"/>
        </w:rPr>
        <w:t>de</w:t>
      </w:r>
      <w:r w:rsidR="00E8199E">
        <w:rPr>
          <w:szCs w:val="18"/>
          <w:lang w:val="fr-FR"/>
        </w:rPr>
        <w:t> </w:t>
      </w:r>
      <w:r w:rsidR="009D5EF5" w:rsidRPr="00C05D6F">
        <w:rPr>
          <w:szCs w:val="18"/>
          <w:lang w:val="fr-FR"/>
        </w:rPr>
        <w:t xml:space="preserve">2006 </w:t>
      </w:r>
      <w:r w:rsidR="00C05D6F" w:rsidRPr="00C05D6F">
        <w:rPr>
          <w:szCs w:val="18"/>
          <w:lang w:val="fr-FR"/>
        </w:rPr>
        <w:t>à</w:t>
      </w:r>
      <w:r w:rsidR="00B0592F">
        <w:rPr>
          <w:szCs w:val="18"/>
          <w:lang w:val="fr-FR"/>
        </w:rPr>
        <w:t> </w:t>
      </w:r>
      <w:r w:rsidR="009D5EF5" w:rsidRPr="00C05D6F">
        <w:rPr>
          <w:szCs w:val="18"/>
          <w:lang w:val="fr-FR"/>
        </w:rPr>
        <w:t xml:space="preserve">2011 </w:t>
      </w:r>
      <w:r w:rsidR="00C0580A" w:rsidRPr="00C05D6F">
        <w:rPr>
          <w:szCs w:val="18"/>
          <w:lang w:val="fr-FR"/>
        </w:rPr>
        <w:t>(</w:t>
      </w:r>
      <w:r w:rsidR="009D5EF5" w:rsidRPr="00C05D6F">
        <w:rPr>
          <w:szCs w:val="18"/>
          <w:lang w:val="fr-FR"/>
        </w:rPr>
        <w:t>MPAA</w:t>
      </w:r>
      <w:r w:rsidR="00C0580A" w:rsidRPr="00C05D6F">
        <w:rPr>
          <w:szCs w:val="18"/>
          <w:lang w:val="fr-FR"/>
        </w:rPr>
        <w:t>).</w:t>
      </w:r>
    </w:p>
  </w:footnote>
  <w:footnote w:id="8">
    <w:p w:rsidR="00C0580A" w:rsidRPr="00C05D6F" w:rsidRDefault="00C0580A" w:rsidP="00B0592F">
      <w:pPr>
        <w:pStyle w:val="FootnoteText"/>
        <w:rPr>
          <w:szCs w:val="18"/>
          <w:lang w:val="fr-FR"/>
        </w:rPr>
      </w:pPr>
      <w:r w:rsidRPr="00C05D6F">
        <w:rPr>
          <w:rStyle w:val="FootnoteReference"/>
          <w:szCs w:val="18"/>
          <w:lang w:val="fr-FR"/>
        </w:rPr>
        <w:footnoteRef/>
      </w:r>
      <w:r w:rsidRPr="00C05D6F">
        <w:rPr>
          <w:szCs w:val="18"/>
          <w:lang w:val="fr-FR"/>
        </w:rPr>
        <w:t xml:space="preserve"> </w:t>
      </w:r>
      <w:r w:rsidRPr="00C05D6F">
        <w:rPr>
          <w:szCs w:val="18"/>
          <w:lang w:val="fr-FR"/>
        </w:rPr>
        <w:tab/>
      </w:r>
      <w:r w:rsidR="00B0592F">
        <w:rPr>
          <w:szCs w:val="18"/>
          <w:lang w:val="fr-FR"/>
        </w:rPr>
        <w:t>Statistiques </w:t>
      </w:r>
      <w:r w:rsidR="00C05D6F" w:rsidRPr="00C05D6F">
        <w:rPr>
          <w:szCs w:val="18"/>
          <w:lang w:val="fr-FR"/>
        </w:rPr>
        <w:t>2014 du marché cinématographique de</w:t>
      </w:r>
      <w:r w:rsidR="00F03AC7" w:rsidRPr="00C05D6F">
        <w:rPr>
          <w:szCs w:val="18"/>
          <w:lang w:val="fr-FR"/>
        </w:rPr>
        <w:t xml:space="preserve"> la</w:t>
      </w:r>
      <w:r w:rsidR="00F03AC7">
        <w:rPr>
          <w:szCs w:val="18"/>
          <w:lang w:val="fr-FR"/>
        </w:rPr>
        <w:t> </w:t>
      </w:r>
      <w:r w:rsidR="00F03AC7" w:rsidRPr="00C05D6F">
        <w:rPr>
          <w:szCs w:val="18"/>
          <w:lang w:val="fr-FR"/>
        </w:rPr>
        <w:t>MPA</w:t>
      </w:r>
      <w:r w:rsidR="00C05D6F" w:rsidRPr="00C05D6F">
        <w:rPr>
          <w:szCs w:val="18"/>
          <w:lang w:val="fr-FR"/>
        </w:rPr>
        <w:t>A</w:t>
      </w:r>
      <w:r w:rsidRPr="00C05D6F">
        <w:rPr>
          <w:szCs w:val="18"/>
          <w:lang w:val="fr-FR"/>
        </w:rPr>
        <w:t>.</w:t>
      </w:r>
    </w:p>
  </w:footnote>
  <w:footnote w:id="9">
    <w:p w:rsidR="006553B5" w:rsidRPr="00C05D6F" w:rsidRDefault="006553B5" w:rsidP="00B0592F">
      <w:pPr>
        <w:pStyle w:val="FootnoteText"/>
        <w:rPr>
          <w:szCs w:val="18"/>
          <w:lang w:val="fr-FR"/>
        </w:rPr>
      </w:pPr>
      <w:r w:rsidRPr="00C05D6F">
        <w:rPr>
          <w:rStyle w:val="FootnoteReference"/>
          <w:szCs w:val="18"/>
          <w:lang w:val="fr-FR"/>
        </w:rPr>
        <w:footnoteRef/>
      </w:r>
      <w:r w:rsidRPr="00C05D6F">
        <w:rPr>
          <w:szCs w:val="18"/>
          <w:lang w:val="fr-FR"/>
        </w:rPr>
        <w:t xml:space="preserve"> </w:t>
      </w:r>
      <w:r w:rsidR="00881191" w:rsidRPr="00C05D6F">
        <w:rPr>
          <w:szCs w:val="18"/>
          <w:lang w:val="fr-FR"/>
        </w:rPr>
        <w:tab/>
      </w:r>
      <w:r w:rsidR="00FB1654" w:rsidRPr="00C05D6F">
        <w:rPr>
          <w:color w:val="000000"/>
          <w:szCs w:val="18"/>
          <w:lang w:val="fr-FR"/>
        </w:rPr>
        <w:t>The Digital Entertainment Groups, Year</w:t>
      </w:r>
      <w:r w:rsidR="00B0592F">
        <w:rPr>
          <w:color w:val="000000"/>
          <w:szCs w:val="18"/>
          <w:lang w:val="fr-FR"/>
        </w:rPr>
        <w:noBreakHyphen/>
        <w:t>end 2</w:t>
      </w:r>
      <w:r w:rsidR="00FB1654" w:rsidRPr="00C05D6F">
        <w:rPr>
          <w:color w:val="000000"/>
          <w:szCs w:val="18"/>
          <w:lang w:val="fr-FR"/>
        </w:rPr>
        <w:t>014 Home Entertainment Report.</w:t>
      </w:r>
    </w:p>
  </w:footnote>
  <w:footnote w:id="10">
    <w:p w:rsidR="00FB1654" w:rsidRPr="00C05D6F" w:rsidRDefault="00FB1654" w:rsidP="00B0592F">
      <w:pPr>
        <w:pStyle w:val="FootnoteText"/>
        <w:rPr>
          <w:szCs w:val="18"/>
          <w:lang w:val="fr-FR"/>
        </w:rPr>
      </w:pPr>
      <w:r w:rsidRPr="00C05D6F">
        <w:rPr>
          <w:rStyle w:val="FootnoteReference"/>
          <w:szCs w:val="18"/>
          <w:lang w:val="fr-FR"/>
        </w:rPr>
        <w:footnoteRef/>
      </w:r>
      <w:r w:rsidRPr="00C05D6F">
        <w:rPr>
          <w:szCs w:val="18"/>
          <w:lang w:val="fr-FR"/>
        </w:rPr>
        <w:t xml:space="preserve"> </w:t>
      </w:r>
      <w:r w:rsidR="00881191" w:rsidRPr="00C05D6F">
        <w:rPr>
          <w:szCs w:val="18"/>
          <w:lang w:val="fr-FR"/>
        </w:rPr>
        <w:tab/>
      </w:r>
      <w:r w:rsidRPr="00C05D6F">
        <w:rPr>
          <w:color w:val="000000"/>
          <w:szCs w:val="18"/>
          <w:lang w:val="fr-FR"/>
        </w:rPr>
        <w:t>British Film Institute 2014 Statistical Yearbook.</w:t>
      </w:r>
    </w:p>
  </w:footnote>
  <w:footnote w:id="11">
    <w:p w:rsidR="00DC66D5" w:rsidRPr="00C0580A" w:rsidRDefault="00DC66D5" w:rsidP="00B0592F">
      <w:pPr>
        <w:pStyle w:val="FootnoteText"/>
        <w:rPr>
          <w:szCs w:val="18"/>
          <w:lang w:val="fr-CH"/>
        </w:rPr>
      </w:pPr>
      <w:r w:rsidRPr="00C05D6F">
        <w:rPr>
          <w:rStyle w:val="FootnoteReference"/>
          <w:szCs w:val="18"/>
          <w:lang w:val="fr-FR"/>
        </w:rPr>
        <w:footnoteRef/>
      </w:r>
      <w:r w:rsidRPr="00C05D6F">
        <w:rPr>
          <w:szCs w:val="18"/>
          <w:lang w:val="fr-FR"/>
        </w:rPr>
        <w:t xml:space="preserve"> </w:t>
      </w:r>
      <w:r w:rsidR="00881191" w:rsidRPr="00C05D6F">
        <w:rPr>
          <w:szCs w:val="18"/>
          <w:lang w:val="fr-FR"/>
        </w:rPr>
        <w:tab/>
      </w:r>
      <w:r w:rsidR="00792C1E" w:rsidRPr="00C05D6F">
        <w:rPr>
          <w:color w:val="000000"/>
          <w:szCs w:val="18"/>
          <w:lang w:val="fr-FR"/>
        </w:rPr>
        <w:t>Le calendrier</w:t>
      </w:r>
      <w:r w:rsidR="00792C1E" w:rsidRPr="00C0580A">
        <w:rPr>
          <w:color w:val="000000"/>
          <w:szCs w:val="18"/>
          <w:lang w:val="fr-CH"/>
        </w:rPr>
        <w:t xml:space="preserve"> d</w:t>
      </w:r>
      <w:r w:rsidR="00F03AC7">
        <w:rPr>
          <w:color w:val="000000"/>
          <w:szCs w:val="18"/>
          <w:lang w:val="fr-CH"/>
        </w:rPr>
        <w:t>’</w:t>
      </w:r>
      <w:r w:rsidR="00792C1E" w:rsidRPr="00C0580A">
        <w:rPr>
          <w:color w:val="000000"/>
          <w:szCs w:val="18"/>
          <w:lang w:val="fr-CH"/>
        </w:rPr>
        <w:t>exploitation d</w:t>
      </w:r>
      <w:r w:rsidR="00F03AC7">
        <w:rPr>
          <w:color w:val="000000"/>
          <w:szCs w:val="18"/>
          <w:lang w:val="fr-CH"/>
        </w:rPr>
        <w:t>’</w:t>
      </w:r>
      <w:r w:rsidR="00792C1E" w:rsidRPr="00C0580A">
        <w:rPr>
          <w:color w:val="000000"/>
          <w:szCs w:val="18"/>
          <w:lang w:val="fr-CH"/>
        </w:rPr>
        <w:t xml:space="preserve">un film qui fixe les délais selon lesquels il est diffusé par les différents médias pour augmenter les </w:t>
      </w:r>
      <w:r w:rsidR="00503DD4" w:rsidRPr="00C0580A">
        <w:rPr>
          <w:color w:val="000000"/>
          <w:szCs w:val="18"/>
          <w:lang w:val="fr-CH"/>
        </w:rPr>
        <w:t>recettes</w:t>
      </w:r>
      <w:r w:rsidR="00792C1E" w:rsidRPr="00C0580A">
        <w:rPr>
          <w:color w:val="000000"/>
          <w:szCs w:val="18"/>
          <w:lang w:val="fr-CH"/>
        </w:rPr>
        <w:t xml:space="preserve">. </w:t>
      </w:r>
      <w:r w:rsidR="00E8199E">
        <w:rPr>
          <w:color w:val="000000"/>
          <w:szCs w:val="18"/>
          <w:lang w:val="fr-CH"/>
        </w:rPr>
        <w:t xml:space="preserve"> </w:t>
      </w:r>
      <w:r w:rsidR="00792C1E" w:rsidRPr="00C0580A">
        <w:rPr>
          <w:color w:val="000000"/>
          <w:szCs w:val="18"/>
          <w:lang w:val="fr-CH"/>
        </w:rPr>
        <w:t>Par exemple, un film peut d</w:t>
      </w:r>
      <w:r w:rsidR="00F03AC7">
        <w:rPr>
          <w:color w:val="000000"/>
          <w:szCs w:val="18"/>
          <w:lang w:val="fr-CH"/>
        </w:rPr>
        <w:t>’</w:t>
      </w:r>
      <w:r w:rsidR="00792C1E" w:rsidRPr="00C0580A">
        <w:rPr>
          <w:color w:val="000000"/>
          <w:szCs w:val="18"/>
          <w:lang w:val="fr-CH"/>
        </w:rPr>
        <w:t>abord sortir en salle, puis être disponible en vidéo, pour enfin être diffusé à la télévision.</w:t>
      </w:r>
    </w:p>
  </w:footnote>
  <w:footnote w:id="12">
    <w:p w:rsidR="00D25F5E" w:rsidRPr="00C0580A" w:rsidRDefault="00D25F5E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4843EE" w:rsidRPr="00C0580A">
        <w:rPr>
          <w:color w:val="000000"/>
          <w:szCs w:val="18"/>
          <w:lang w:val="fr-CH"/>
        </w:rPr>
        <w:t>C</w:t>
      </w:r>
      <w:r w:rsidR="00F22CCF" w:rsidRPr="00C0580A">
        <w:rPr>
          <w:color w:val="000000"/>
          <w:szCs w:val="18"/>
          <w:lang w:val="fr-CH"/>
        </w:rPr>
        <w:t xml:space="preserve">hiffres </w:t>
      </w:r>
      <w:r w:rsidR="004843EE" w:rsidRPr="00C0580A">
        <w:rPr>
          <w:color w:val="000000"/>
          <w:szCs w:val="18"/>
          <w:lang w:val="fr-CH"/>
        </w:rPr>
        <w:t>fournis par</w:t>
      </w:r>
      <w:r w:rsidR="00F22CCF" w:rsidRPr="00C0580A">
        <w:rPr>
          <w:color w:val="000000"/>
          <w:szCs w:val="18"/>
          <w:lang w:val="fr-CH"/>
        </w:rPr>
        <w:t xml:space="preserve"> l</w:t>
      </w:r>
      <w:r w:rsidR="00F03AC7">
        <w:rPr>
          <w:color w:val="000000"/>
          <w:szCs w:val="18"/>
          <w:lang w:val="fr-CH"/>
        </w:rPr>
        <w:t>’</w:t>
      </w:r>
      <w:r w:rsidR="00F22CCF" w:rsidRPr="00C0580A">
        <w:rPr>
          <w:color w:val="000000"/>
          <w:szCs w:val="18"/>
          <w:lang w:val="fr-CH"/>
        </w:rPr>
        <w:t xml:space="preserve">Union internationale des télécommunications (UIT) (2013) </w:t>
      </w:r>
      <w:r w:rsidR="00E8199E">
        <w:rPr>
          <w:color w:val="000000"/>
          <w:szCs w:val="18"/>
          <w:lang w:val="fr-CH"/>
        </w:rPr>
        <w:t>“</w:t>
      </w:r>
      <w:r w:rsidR="00F22CCF" w:rsidRPr="00C0580A">
        <w:rPr>
          <w:color w:val="000000"/>
          <w:szCs w:val="18"/>
          <w:lang w:val="fr-CH"/>
        </w:rPr>
        <w:t>Mesurer la Société de l</w:t>
      </w:r>
      <w:r w:rsidR="00F03AC7">
        <w:rPr>
          <w:color w:val="000000"/>
          <w:szCs w:val="18"/>
          <w:lang w:val="fr-CH"/>
        </w:rPr>
        <w:t>’</w:t>
      </w:r>
      <w:r w:rsidR="00F22CCF" w:rsidRPr="00C0580A">
        <w:rPr>
          <w:color w:val="000000"/>
          <w:szCs w:val="18"/>
          <w:lang w:val="fr-CH"/>
        </w:rPr>
        <w:t>Information</w:t>
      </w:r>
      <w:r w:rsidR="00E8199E">
        <w:rPr>
          <w:color w:val="000000"/>
          <w:szCs w:val="18"/>
          <w:lang w:val="fr-CH"/>
        </w:rPr>
        <w:t>”</w:t>
      </w:r>
      <w:r w:rsidR="00F22CCF" w:rsidRPr="00C0580A">
        <w:rPr>
          <w:color w:val="000000"/>
          <w:szCs w:val="18"/>
          <w:lang w:val="fr-CH"/>
        </w:rPr>
        <w:t xml:space="preserve"> disponible à l</w:t>
      </w:r>
      <w:r w:rsidR="00F03AC7">
        <w:rPr>
          <w:color w:val="000000"/>
          <w:szCs w:val="18"/>
          <w:lang w:val="fr-CH"/>
        </w:rPr>
        <w:t>’</w:t>
      </w:r>
      <w:r w:rsidR="00F22CCF" w:rsidRPr="00C0580A">
        <w:rPr>
          <w:color w:val="000000"/>
          <w:szCs w:val="18"/>
          <w:lang w:val="fr-CH"/>
        </w:rPr>
        <w:t>adresse suivante</w:t>
      </w:r>
      <w:r w:rsidR="00E8199E">
        <w:rPr>
          <w:color w:val="000000"/>
          <w:szCs w:val="18"/>
          <w:lang w:val="fr-CH"/>
        </w:rPr>
        <w:t> </w:t>
      </w:r>
      <w:r w:rsidR="00F22CCF" w:rsidRPr="00C0580A">
        <w:rPr>
          <w:color w:val="000000"/>
          <w:szCs w:val="18"/>
          <w:lang w:val="fr-CH"/>
        </w:rPr>
        <w:t>: http://www.itu.int/en/ITU</w:t>
      </w:r>
      <w:r w:rsidR="00B0592F">
        <w:rPr>
          <w:color w:val="000000"/>
          <w:szCs w:val="18"/>
          <w:lang w:val="fr-CH"/>
        </w:rPr>
        <w:noBreakHyphen/>
      </w:r>
      <w:r w:rsidR="00F22CCF" w:rsidRPr="00C0580A">
        <w:rPr>
          <w:color w:val="000000"/>
          <w:szCs w:val="18"/>
          <w:lang w:val="fr-CH"/>
        </w:rPr>
        <w:t>D/Statistics/Pages/publications/mis2013.aspx</w:t>
      </w:r>
    </w:p>
  </w:footnote>
  <w:footnote w:id="13">
    <w:p w:rsidR="00D25F5E" w:rsidRPr="00C0580A" w:rsidRDefault="00D25F5E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A71CE9" w:rsidRPr="00C0580A">
        <w:rPr>
          <w:color w:val="000000"/>
          <w:szCs w:val="18"/>
          <w:lang w:val="fr-CH"/>
        </w:rPr>
        <w:t>Estimations parues dans le rapport publié en</w:t>
      </w:r>
      <w:r w:rsidR="00E8199E">
        <w:rPr>
          <w:color w:val="000000"/>
          <w:szCs w:val="18"/>
          <w:lang w:val="fr-CH"/>
        </w:rPr>
        <w:t> </w:t>
      </w:r>
      <w:r w:rsidR="00A71CE9" w:rsidRPr="00C0580A">
        <w:rPr>
          <w:color w:val="000000"/>
          <w:szCs w:val="18"/>
          <w:lang w:val="fr-CH"/>
        </w:rPr>
        <w:t xml:space="preserve">2015 par PricewaterhouseCoopers </w:t>
      </w:r>
      <w:r w:rsidR="004843EE" w:rsidRPr="00C0580A">
        <w:rPr>
          <w:color w:val="000000"/>
          <w:szCs w:val="18"/>
          <w:lang w:val="fr-CH"/>
        </w:rPr>
        <w:t xml:space="preserve">(PWC) </w:t>
      </w:r>
      <w:r w:rsidR="00A71CE9" w:rsidRPr="00C0580A">
        <w:rPr>
          <w:color w:val="000000"/>
          <w:szCs w:val="18"/>
          <w:lang w:val="fr-CH"/>
        </w:rPr>
        <w:t xml:space="preserve">intitulé, </w:t>
      </w:r>
      <w:r w:rsidR="00E8199E">
        <w:rPr>
          <w:color w:val="000000"/>
          <w:szCs w:val="18"/>
          <w:lang w:val="fr-CH"/>
        </w:rPr>
        <w:t>“</w:t>
      </w:r>
      <w:r w:rsidR="00B0592F">
        <w:rPr>
          <w:i/>
          <w:color w:val="000000"/>
          <w:szCs w:val="18"/>
          <w:lang w:val="fr-CH"/>
        </w:rPr>
        <w:t>TV </w:t>
      </w:r>
      <w:r w:rsidR="00A71CE9" w:rsidRPr="00C0580A">
        <w:rPr>
          <w:i/>
          <w:color w:val="000000"/>
          <w:szCs w:val="18"/>
          <w:lang w:val="fr-CH"/>
        </w:rPr>
        <w:t>Subscriptions and license fees Insights at a Glance</w:t>
      </w:r>
      <w:r w:rsidR="00E8199E">
        <w:rPr>
          <w:color w:val="000000"/>
          <w:szCs w:val="18"/>
          <w:lang w:val="fr-CH"/>
        </w:rPr>
        <w:t>”</w:t>
      </w:r>
      <w:r w:rsidR="00A71CE9" w:rsidRPr="00C0580A">
        <w:rPr>
          <w:color w:val="000000"/>
          <w:szCs w:val="18"/>
          <w:lang w:val="fr-CH"/>
        </w:rPr>
        <w:t xml:space="preserve"> 6, disponible à l</w:t>
      </w:r>
      <w:r w:rsidR="00F03AC7">
        <w:rPr>
          <w:color w:val="000000"/>
          <w:szCs w:val="18"/>
          <w:lang w:val="fr-CH"/>
        </w:rPr>
        <w:t>’</w:t>
      </w:r>
      <w:r w:rsidR="00A71CE9" w:rsidRPr="00C0580A">
        <w:rPr>
          <w:color w:val="000000"/>
          <w:szCs w:val="18"/>
          <w:lang w:val="fr-CH"/>
        </w:rPr>
        <w:t>adresse suivante</w:t>
      </w:r>
      <w:r w:rsidR="00E8199E">
        <w:rPr>
          <w:color w:val="000000"/>
          <w:szCs w:val="18"/>
          <w:lang w:val="fr-CH"/>
        </w:rPr>
        <w:t> </w:t>
      </w:r>
      <w:r w:rsidR="00A71CE9" w:rsidRPr="00C0580A">
        <w:rPr>
          <w:color w:val="000000"/>
          <w:szCs w:val="18"/>
          <w:lang w:val="fr-CH"/>
        </w:rPr>
        <w:t>: http://www.pwc.com/gx/en/global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entertainment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media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outlook/assets/2015/tv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subscriptions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and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licence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fees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key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insights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6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tv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public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licence</w:t>
      </w:r>
      <w:r w:rsidR="00F03AC7">
        <w:rPr>
          <w:color w:val="000000"/>
          <w:szCs w:val="18"/>
          <w:lang w:val="fr-CH"/>
        </w:rPr>
        <w:t>-</w:t>
      </w:r>
      <w:r w:rsidR="00A71CE9" w:rsidRPr="00C0580A">
        <w:rPr>
          <w:color w:val="000000"/>
          <w:szCs w:val="18"/>
          <w:lang w:val="fr-CH"/>
        </w:rPr>
        <w:t>fee.pdf</w:t>
      </w:r>
      <w:r w:rsidR="00B0592F">
        <w:rPr>
          <w:color w:val="000000"/>
          <w:szCs w:val="18"/>
          <w:lang w:val="fr-CH"/>
        </w:rPr>
        <w:t>.</w:t>
      </w:r>
    </w:p>
  </w:footnote>
  <w:footnote w:id="14">
    <w:p w:rsidR="00A71CE9" w:rsidRPr="00C0580A" w:rsidRDefault="00A71CE9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026A1A" w:rsidRPr="00C0580A">
        <w:rPr>
          <w:color w:val="000000"/>
          <w:szCs w:val="18"/>
          <w:lang w:val="fr-CH"/>
        </w:rPr>
        <w:t>UIT, ibid.</w:t>
      </w:r>
    </w:p>
  </w:footnote>
  <w:footnote w:id="15">
    <w:p w:rsidR="006E19BF" w:rsidRPr="00C0580A" w:rsidRDefault="006E19BF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3E52BB" w:rsidRPr="00C0580A">
        <w:rPr>
          <w:color w:val="000000"/>
          <w:szCs w:val="18"/>
          <w:lang w:val="fr-CH"/>
        </w:rPr>
        <w:t>Selon les statistique</w:t>
      </w:r>
      <w:r w:rsidR="004843EE" w:rsidRPr="00C0580A">
        <w:rPr>
          <w:color w:val="000000"/>
          <w:szCs w:val="18"/>
          <w:lang w:val="fr-CH"/>
        </w:rPr>
        <w:t>s de PWC publiées par Statista</w:t>
      </w:r>
      <w:r w:rsidR="003E52BB" w:rsidRPr="00C0580A">
        <w:rPr>
          <w:color w:val="000000"/>
          <w:szCs w:val="18"/>
          <w:lang w:val="fr-CH"/>
        </w:rPr>
        <w:t xml:space="preserve">.com, </w:t>
      </w:r>
      <w:r w:rsidR="00E8199E">
        <w:rPr>
          <w:color w:val="000000"/>
          <w:szCs w:val="18"/>
          <w:lang w:val="fr-CH"/>
        </w:rPr>
        <w:t>“</w:t>
      </w:r>
      <w:r w:rsidR="003E52BB" w:rsidRPr="00C0580A">
        <w:rPr>
          <w:i/>
          <w:color w:val="000000"/>
          <w:szCs w:val="18"/>
          <w:lang w:val="fr-CH"/>
        </w:rPr>
        <w:t xml:space="preserve">Global TV advertising revenue from 2012 to 2017, by source (in billion U.S. </w:t>
      </w:r>
      <w:r w:rsidR="00E8199E">
        <w:rPr>
          <w:i/>
          <w:color w:val="000000"/>
          <w:szCs w:val="18"/>
          <w:lang w:val="fr-CH"/>
        </w:rPr>
        <w:t xml:space="preserve"> </w:t>
      </w:r>
      <w:r w:rsidR="003E52BB" w:rsidRPr="00C0580A">
        <w:rPr>
          <w:i/>
          <w:color w:val="000000"/>
          <w:szCs w:val="18"/>
          <w:lang w:val="fr-CH"/>
        </w:rPr>
        <w:t>dollars)</w:t>
      </w:r>
      <w:r w:rsidR="00E8199E">
        <w:rPr>
          <w:color w:val="000000"/>
          <w:szCs w:val="18"/>
          <w:lang w:val="fr-CH"/>
        </w:rPr>
        <w:t>”</w:t>
      </w:r>
      <w:r w:rsidR="003E52BB" w:rsidRPr="00C0580A">
        <w:rPr>
          <w:color w:val="000000"/>
          <w:szCs w:val="18"/>
          <w:lang w:val="fr-CH"/>
        </w:rPr>
        <w:t xml:space="preserve"> consultées le 12 </w:t>
      </w:r>
      <w:r w:rsidR="00F03AC7" w:rsidRPr="00C0580A">
        <w:rPr>
          <w:color w:val="000000"/>
          <w:szCs w:val="18"/>
          <w:lang w:val="fr-CH"/>
        </w:rPr>
        <w:t>octobre</w:t>
      </w:r>
      <w:r w:rsidR="00F03AC7">
        <w:rPr>
          <w:color w:val="000000"/>
          <w:szCs w:val="18"/>
          <w:lang w:val="fr-CH"/>
        </w:rPr>
        <w:t> </w:t>
      </w:r>
      <w:r w:rsidR="00F03AC7" w:rsidRPr="00C0580A">
        <w:rPr>
          <w:color w:val="000000"/>
          <w:szCs w:val="18"/>
          <w:lang w:val="fr-CH"/>
        </w:rPr>
        <w:t>20</w:t>
      </w:r>
      <w:r w:rsidR="003E52BB" w:rsidRPr="00C0580A">
        <w:rPr>
          <w:color w:val="000000"/>
          <w:szCs w:val="18"/>
          <w:lang w:val="fr-CH"/>
        </w:rPr>
        <w:t>15 à l</w:t>
      </w:r>
      <w:r w:rsidR="00F03AC7">
        <w:rPr>
          <w:color w:val="000000"/>
          <w:szCs w:val="18"/>
          <w:lang w:val="fr-CH"/>
        </w:rPr>
        <w:t>’</w:t>
      </w:r>
      <w:r w:rsidR="003E52BB" w:rsidRPr="00C0580A">
        <w:rPr>
          <w:color w:val="000000"/>
          <w:szCs w:val="18"/>
          <w:lang w:val="fr-CH"/>
        </w:rPr>
        <w:t>adresse suivante</w:t>
      </w:r>
      <w:r w:rsidR="00E8199E">
        <w:rPr>
          <w:color w:val="000000"/>
          <w:szCs w:val="18"/>
          <w:lang w:val="fr-CH"/>
        </w:rPr>
        <w:t> :</w:t>
      </w:r>
      <w:r w:rsidR="003E52BB" w:rsidRPr="00C0580A">
        <w:rPr>
          <w:color w:val="000000"/>
          <w:szCs w:val="18"/>
          <w:lang w:val="fr-CH"/>
        </w:rPr>
        <w:t xml:space="preserve"> http://www.statista.com/statistics/260123/global</w:t>
      </w:r>
      <w:r w:rsidR="00F03AC7">
        <w:rPr>
          <w:color w:val="000000"/>
          <w:szCs w:val="18"/>
          <w:lang w:val="fr-CH"/>
        </w:rPr>
        <w:t>-</w:t>
      </w:r>
      <w:r w:rsidR="003E52BB" w:rsidRPr="00C0580A">
        <w:rPr>
          <w:color w:val="000000"/>
          <w:szCs w:val="18"/>
          <w:lang w:val="fr-CH"/>
        </w:rPr>
        <w:t>tv</w:t>
      </w:r>
      <w:r w:rsidR="00F03AC7">
        <w:rPr>
          <w:color w:val="000000"/>
          <w:szCs w:val="18"/>
          <w:lang w:val="fr-CH"/>
        </w:rPr>
        <w:t>-</w:t>
      </w:r>
      <w:r w:rsidR="003E52BB" w:rsidRPr="00C0580A">
        <w:rPr>
          <w:color w:val="000000"/>
          <w:szCs w:val="18"/>
          <w:lang w:val="fr-CH"/>
        </w:rPr>
        <w:t>advertising</w:t>
      </w:r>
      <w:r w:rsidR="00F03AC7">
        <w:rPr>
          <w:color w:val="000000"/>
          <w:szCs w:val="18"/>
          <w:lang w:val="fr-CH"/>
        </w:rPr>
        <w:t>-</w:t>
      </w:r>
      <w:r w:rsidR="003E52BB" w:rsidRPr="00C0580A">
        <w:rPr>
          <w:color w:val="000000"/>
          <w:szCs w:val="18"/>
          <w:lang w:val="fr-CH"/>
        </w:rPr>
        <w:t>revenue</w:t>
      </w:r>
      <w:r w:rsidR="00F03AC7">
        <w:rPr>
          <w:color w:val="000000"/>
          <w:szCs w:val="18"/>
          <w:lang w:val="fr-CH"/>
        </w:rPr>
        <w:t>-</w:t>
      </w:r>
      <w:r w:rsidR="003E52BB" w:rsidRPr="00C0580A">
        <w:rPr>
          <w:color w:val="000000"/>
          <w:szCs w:val="18"/>
          <w:lang w:val="fr-CH"/>
        </w:rPr>
        <w:t>by</w:t>
      </w:r>
      <w:r w:rsidR="00F03AC7">
        <w:rPr>
          <w:color w:val="000000"/>
          <w:szCs w:val="18"/>
          <w:lang w:val="fr-CH"/>
        </w:rPr>
        <w:t>-</w:t>
      </w:r>
      <w:r w:rsidR="00B0592F">
        <w:rPr>
          <w:color w:val="000000"/>
          <w:szCs w:val="18"/>
          <w:lang w:val="fr-CH"/>
        </w:rPr>
        <w:t>source/.</w:t>
      </w:r>
    </w:p>
  </w:footnote>
  <w:footnote w:id="16">
    <w:p w:rsidR="006E19BF" w:rsidRPr="00C0580A" w:rsidRDefault="006E19BF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3E52BB" w:rsidRPr="00C0580A">
        <w:rPr>
          <w:color w:val="000000"/>
          <w:szCs w:val="18"/>
          <w:lang w:val="fr-CH"/>
        </w:rPr>
        <w:t xml:space="preserve">Bien que la part de la télévision </w:t>
      </w:r>
      <w:r w:rsidR="00AE4FC3">
        <w:rPr>
          <w:color w:val="000000"/>
          <w:szCs w:val="18"/>
          <w:lang w:val="fr-CH"/>
        </w:rPr>
        <w:t>dans les</w:t>
      </w:r>
      <w:r w:rsidR="003E52BB" w:rsidRPr="00C0580A">
        <w:rPr>
          <w:color w:val="000000"/>
          <w:szCs w:val="18"/>
          <w:lang w:val="fr-CH"/>
        </w:rPr>
        <w:t xml:space="preserve"> </w:t>
      </w:r>
      <w:r w:rsidR="00503DD4" w:rsidRPr="00C0580A">
        <w:rPr>
          <w:color w:val="000000"/>
          <w:szCs w:val="18"/>
          <w:lang w:val="fr-CH"/>
        </w:rPr>
        <w:t>recettes</w:t>
      </w:r>
      <w:r w:rsidR="00AE4FC3">
        <w:rPr>
          <w:color w:val="000000"/>
          <w:szCs w:val="18"/>
          <w:lang w:val="fr-CH"/>
        </w:rPr>
        <w:t xml:space="preserve"> publicitaires mondiales</w:t>
      </w:r>
      <w:r w:rsidR="003E52BB" w:rsidRPr="00C0580A">
        <w:rPr>
          <w:color w:val="000000"/>
          <w:szCs w:val="18"/>
          <w:lang w:val="fr-CH"/>
        </w:rPr>
        <w:t xml:space="preserve"> diminue, </w:t>
      </w:r>
      <w:r w:rsidR="00AE4FC3">
        <w:rPr>
          <w:color w:val="000000"/>
          <w:szCs w:val="18"/>
          <w:lang w:val="fr-CH"/>
        </w:rPr>
        <w:t>celles</w:t>
      </w:r>
      <w:r w:rsidR="00B0592F">
        <w:rPr>
          <w:color w:val="000000"/>
          <w:szCs w:val="18"/>
          <w:lang w:val="fr-FR"/>
        </w:rPr>
        <w:noBreakHyphen/>
      </w:r>
      <w:r w:rsidR="00AE4FC3">
        <w:rPr>
          <w:color w:val="000000"/>
          <w:szCs w:val="18"/>
          <w:lang w:val="fr-FR"/>
        </w:rPr>
        <w:t>ci</w:t>
      </w:r>
      <w:r w:rsidR="003E52BB" w:rsidRPr="00C0580A">
        <w:rPr>
          <w:color w:val="000000"/>
          <w:szCs w:val="18"/>
          <w:lang w:val="fr-CH"/>
        </w:rPr>
        <w:t xml:space="preserve"> continue</w:t>
      </w:r>
      <w:r w:rsidR="00AE4FC3">
        <w:rPr>
          <w:color w:val="000000"/>
          <w:szCs w:val="18"/>
          <w:lang w:val="fr-CH"/>
        </w:rPr>
        <w:t>nt</w:t>
      </w:r>
      <w:r w:rsidR="003E52BB" w:rsidRPr="00C0580A">
        <w:rPr>
          <w:color w:val="000000"/>
          <w:szCs w:val="18"/>
          <w:lang w:val="fr-CH"/>
        </w:rPr>
        <w:t xml:space="preserve"> néanmoins à progresser, avec un tau</w:t>
      </w:r>
      <w:r w:rsidR="00B0592F">
        <w:rPr>
          <w:color w:val="000000"/>
          <w:szCs w:val="18"/>
          <w:lang w:val="fr-CH"/>
        </w:rPr>
        <w:t>x de croissance de moins de </w:t>
      </w:r>
      <w:r w:rsidR="004843EE" w:rsidRPr="00C0580A">
        <w:rPr>
          <w:color w:val="000000"/>
          <w:szCs w:val="18"/>
          <w:lang w:val="fr-CH"/>
        </w:rPr>
        <w:t>5%</w:t>
      </w:r>
      <w:r w:rsidR="003E52BB" w:rsidRPr="00C0580A">
        <w:rPr>
          <w:color w:val="000000"/>
          <w:szCs w:val="18"/>
          <w:lang w:val="fr-CH"/>
        </w:rPr>
        <w:t xml:space="preserve"> dans les pays développés, mais </w:t>
      </w:r>
      <w:r w:rsidR="004843EE" w:rsidRPr="00C0580A">
        <w:rPr>
          <w:color w:val="000000"/>
          <w:szCs w:val="18"/>
          <w:lang w:val="fr-CH"/>
        </w:rPr>
        <w:t xml:space="preserve">avec des taux </w:t>
      </w:r>
      <w:r w:rsidR="003E52BB" w:rsidRPr="00C0580A">
        <w:rPr>
          <w:color w:val="000000"/>
          <w:szCs w:val="18"/>
          <w:lang w:val="fr-CH"/>
        </w:rPr>
        <w:t>plus élevé</w:t>
      </w:r>
      <w:r w:rsidR="004843EE" w:rsidRPr="00C0580A">
        <w:rPr>
          <w:color w:val="000000"/>
          <w:szCs w:val="18"/>
          <w:lang w:val="fr-CH"/>
        </w:rPr>
        <w:t>s</w:t>
      </w:r>
      <w:r w:rsidR="003E52BB" w:rsidRPr="00C0580A">
        <w:rPr>
          <w:color w:val="000000"/>
          <w:szCs w:val="18"/>
          <w:lang w:val="fr-CH"/>
        </w:rPr>
        <w:t xml:space="preserve"> dans les pays en développement.</w:t>
      </w:r>
      <w:r w:rsidRPr="00B0592F">
        <w:rPr>
          <w:color w:val="000000"/>
          <w:lang w:val="fr-CH"/>
        </w:rPr>
        <w:t xml:space="preserve">  </w:t>
      </w:r>
    </w:p>
  </w:footnote>
  <w:footnote w:id="17">
    <w:p w:rsidR="006E19BF" w:rsidRPr="00C0580A" w:rsidRDefault="006E19BF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DE0621" w:rsidRPr="00C0580A">
        <w:rPr>
          <w:color w:val="000000"/>
          <w:szCs w:val="18"/>
          <w:lang w:val="fr-CH"/>
        </w:rPr>
        <w:t>Selon les estimations publiées en</w:t>
      </w:r>
      <w:r w:rsidR="00E8199E">
        <w:rPr>
          <w:color w:val="000000"/>
          <w:szCs w:val="18"/>
          <w:lang w:val="fr-CH"/>
        </w:rPr>
        <w:t> </w:t>
      </w:r>
      <w:r w:rsidR="00DE0621" w:rsidRPr="00C0580A">
        <w:rPr>
          <w:color w:val="000000"/>
          <w:szCs w:val="18"/>
          <w:lang w:val="fr-CH"/>
        </w:rPr>
        <w:t xml:space="preserve">2015 par PWC dans un rapport intitulé, </w:t>
      </w:r>
      <w:r w:rsidR="00E8199E">
        <w:rPr>
          <w:color w:val="000000"/>
          <w:szCs w:val="18"/>
          <w:lang w:val="fr-CH"/>
        </w:rPr>
        <w:t>“</w:t>
      </w:r>
      <w:r w:rsidR="00DE0621" w:rsidRPr="00C0580A">
        <w:rPr>
          <w:i/>
          <w:color w:val="000000"/>
          <w:szCs w:val="18"/>
          <w:lang w:val="fr-CH"/>
        </w:rPr>
        <w:t>TV Advertising Key Insights at a Glance</w:t>
      </w:r>
      <w:r w:rsidR="00E8199E">
        <w:rPr>
          <w:color w:val="000000"/>
          <w:szCs w:val="18"/>
          <w:lang w:val="fr-CH"/>
        </w:rPr>
        <w:t>”</w:t>
      </w:r>
      <w:r w:rsidR="00B0592F">
        <w:rPr>
          <w:color w:val="000000"/>
          <w:szCs w:val="18"/>
          <w:lang w:val="fr-CH"/>
        </w:rPr>
        <w:t> </w:t>
      </w:r>
      <w:r w:rsidR="00DE0621" w:rsidRPr="00C0580A">
        <w:rPr>
          <w:color w:val="000000"/>
          <w:szCs w:val="18"/>
          <w:lang w:val="fr-CH"/>
        </w:rPr>
        <w:t>1, disponible à l</w:t>
      </w:r>
      <w:r w:rsidR="00F03AC7">
        <w:rPr>
          <w:color w:val="000000"/>
          <w:szCs w:val="18"/>
          <w:lang w:val="fr-CH"/>
        </w:rPr>
        <w:t>’</w:t>
      </w:r>
      <w:r w:rsidR="00DE0621" w:rsidRPr="00C0580A">
        <w:rPr>
          <w:color w:val="000000"/>
          <w:szCs w:val="18"/>
          <w:lang w:val="fr-CH"/>
        </w:rPr>
        <w:t>adresse suivante</w:t>
      </w:r>
      <w:r w:rsidR="00E8199E">
        <w:rPr>
          <w:color w:val="000000"/>
          <w:szCs w:val="18"/>
          <w:lang w:val="fr-CH"/>
        </w:rPr>
        <w:t> </w:t>
      </w:r>
      <w:r w:rsidR="00DE0621" w:rsidRPr="00C0580A">
        <w:rPr>
          <w:color w:val="000000"/>
          <w:szCs w:val="18"/>
          <w:lang w:val="fr-CH"/>
        </w:rPr>
        <w:t>: https://www.pwc.com/gx/en/global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entertainment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media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outlook/assets/2015/tv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advertising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key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insights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1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global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tv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advertising.pdf</w:t>
      </w:r>
      <w:r w:rsidR="00B0592F">
        <w:rPr>
          <w:color w:val="000000"/>
          <w:szCs w:val="18"/>
          <w:lang w:val="fr-CH"/>
        </w:rPr>
        <w:t>.</w:t>
      </w:r>
    </w:p>
  </w:footnote>
  <w:footnote w:id="18">
    <w:p w:rsidR="00026A1A" w:rsidRPr="00C0580A" w:rsidRDefault="00026A1A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DE0621" w:rsidRPr="00C0580A">
        <w:rPr>
          <w:color w:val="000000"/>
          <w:szCs w:val="18"/>
          <w:lang w:val="fr-CH"/>
        </w:rPr>
        <w:t>De 2015 à 2019, estimations publiées en</w:t>
      </w:r>
      <w:r w:rsidR="00E8199E">
        <w:rPr>
          <w:color w:val="000000"/>
          <w:szCs w:val="18"/>
          <w:lang w:val="fr-CH"/>
        </w:rPr>
        <w:t> </w:t>
      </w:r>
      <w:r w:rsidR="00DE0621" w:rsidRPr="00C0580A">
        <w:rPr>
          <w:color w:val="000000"/>
          <w:szCs w:val="18"/>
          <w:lang w:val="fr-CH"/>
        </w:rPr>
        <w:t xml:space="preserve">2015 par PWC dans un rapport intitulé, </w:t>
      </w:r>
      <w:r w:rsidR="00E8199E">
        <w:rPr>
          <w:color w:val="000000"/>
          <w:szCs w:val="18"/>
          <w:lang w:val="fr-CH"/>
        </w:rPr>
        <w:t>“</w:t>
      </w:r>
      <w:r w:rsidR="00DE0621" w:rsidRPr="00C0580A">
        <w:rPr>
          <w:i/>
          <w:color w:val="000000"/>
          <w:szCs w:val="18"/>
          <w:lang w:val="fr-CH"/>
        </w:rPr>
        <w:t>TV Advertising Key Insights at a Glance</w:t>
      </w:r>
      <w:r w:rsidR="00E8199E">
        <w:rPr>
          <w:color w:val="000000"/>
          <w:szCs w:val="18"/>
          <w:lang w:val="fr-CH"/>
        </w:rPr>
        <w:t>”</w:t>
      </w:r>
      <w:r w:rsidR="00B0592F">
        <w:rPr>
          <w:color w:val="000000"/>
          <w:szCs w:val="18"/>
          <w:lang w:val="fr-CH"/>
        </w:rPr>
        <w:t> </w:t>
      </w:r>
      <w:r w:rsidR="00DE0621" w:rsidRPr="00C0580A">
        <w:rPr>
          <w:color w:val="000000"/>
          <w:szCs w:val="18"/>
          <w:lang w:val="fr-CH"/>
        </w:rPr>
        <w:t>6, disponible à l</w:t>
      </w:r>
      <w:r w:rsidR="00F03AC7">
        <w:rPr>
          <w:color w:val="000000"/>
          <w:szCs w:val="18"/>
          <w:lang w:val="fr-CH"/>
        </w:rPr>
        <w:t>’</w:t>
      </w:r>
      <w:r w:rsidR="00DE0621" w:rsidRPr="00C0580A">
        <w:rPr>
          <w:color w:val="000000"/>
          <w:szCs w:val="18"/>
          <w:lang w:val="fr-CH"/>
        </w:rPr>
        <w:t>adresse suivante</w:t>
      </w:r>
      <w:r w:rsidR="00E8199E">
        <w:rPr>
          <w:color w:val="000000"/>
          <w:szCs w:val="18"/>
          <w:lang w:val="fr-CH"/>
        </w:rPr>
        <w:t> </w:t>
      </w:r>
      <w:r w:rsidR="00DE0621" w:rsidRPr="00C0580A">
        <w:rPr>
          <w:color w:val="000000"/>
          <w:szCs w:val="18"/>
          <w:lang w:val="fr-CH"/>
        </w:rPr>
        <w:t>: http://www.pwc.com/gx/en/global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entertainment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media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outlook/assets/2015/tv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advertising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key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insights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6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brazil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china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and</w:t>
      </w:r>
      <w:r w:rsidR="00F03AC7">
        <w:rPr>
          <w:color w:val="000000"/>
          <w:szCs w:val="18"/>
          <w:lang w:val="fr-CH"/>
        </w:rPr>
        <w:t>-</w:t>
      </w:r>
      <w:r w:rsidR="00DE0621" w:rsidRPr="00C0580A">
        <w:rPr>
          <w:color w:val="000000"/>
          <w:szCs w:val="18"/>
          <w:lang w:val="fr-CH"/>
        </w:rPr>
        <w:t>india.pdf</w:t>
      </w:r>
      <w:r w:rsidR="00B0592F">
        <w:rPr>
          <w:color w:val="000000"/>
          <w:szCs w:val="18"/>
          <w:lang w:val="fr-CH"/>
        </w:rPr>
        <w:t>.</w:t>
      </w:r>
    </w:p>
  </w:footnote>
  <w:footnote w:id="19">
    <w:p w:rsidR="00FA6A43" w:rsidRPr="00C0580A" w:rsidRDefault="00FA6A43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B0592F">
        <w:rPr>
          <w:color w:val="000000"/>
          <w:szCs w:val="18"/>
          <w:lang w:val="fr-CH"/>
        </w:rPr>
        <w:t>Wischenbart, </w:t>
      </w:r>
      <w:r w:rsidR="00B82870" w:rsidRPr="00C0580A">
        <w:rPr>
          <w:color w:val="000000"/>
          <w:szCs w:val="18"/>
          <w:lang w:val="fr-CH"/>
        </w:rPr>
        <w:t>R.</w:t>
      </w:r>
      <w:r w:rsidR="00E8199E">
        <w:rPr>
          <w:color w:val="000000"/>
          <w:szCs w:val="18"/>
          <w:lang w:val="fr-CH"/>
        </w:rPr>
        <w:t> </w:t>
      </w:r>
      <w:r w:rsidR="00B82870" w:rsidRPr="00C0580A">
        <w:rPr>
          <w:color w:val="000000"/>
          <w:szCs w:val="18"/>
          <w:lang w:val="fr-CH"/>
        </w:rPr>
        <w:t>(2013).</w:t>
      </w:r>
      <w:r w:rsidR="00E8199E">
        <w:rPr>
          <w:color w:val="000000"/>
          <w:szCs w:val="18"/>
          <w:lang w:val="fr-CH"/>
        </w:rPr>
        <w:t xml:space="preserve"> </w:t>
      </w:r>
      <w:r w:rsidRPr="00B0592F">
        <w:rPr>
          <w:color w:val="000000"/>
          <w:lang w:val="fr-CH"/>
        </w:rPr>
        <w:t xml:space="preserve"> </w:t>
      </w:r>
      <w:r w:rsidR="00F800E4" w:rsidRPr="00C0580A">
        <w:rPr>
          <w:color w:val="000000"/>
          <w:szCs w:val="18"/>
          <w:lang w:val="fr-CH"/>
        </w:rPr>
        <w:t>Statistiques mondiales du secteur de l</w:t>
      </w:r>
      <w:r w:rsidR="00F03AC7">
        <w:rPr>
          <w:color w:val="000000"/>
          <w:szCs w:val="18"/>
          <w:lang w:val="fr-CH"/>
        </w:rPr>
        <w:t>’</w:t>
      </w:r>
      <w:r w:rsidR="00F800E4" w:rsidRPr="00C0580A">
        <w:rPr>
          <w:color w:val="000000"/>
          <w:szCs w:val="18"/>
          <w:lang w:val="fr-CH"/>
        </w:rPr>
        <w:t>édition de l</w:t>
      </w:r>
      <w:r w:rsidR="00F03AC7">
        <w:rPr>
          <w:color w:val="000000"/>
          <w:szCs w:val="18"/>
          <w:lang w:val="fr-CH"/>
        </w:rPr>
        <w:t>’</w:t>
      </w:r>
      <w:r w:rsidR="00F800E4" w:rsidRPr="00C0580A">
        <w:rPr>
          <w:color w:val="000000"/>
          <w:szCs w:val="18"/>
          <w:lang w:val="fr-CH"/>
        </w:rPr>
        <w:t>Union international des éditeurs (UIE).</w:t>
      </w:r>
      <w:r w:rsidRPr="00B0592F">
        <w:rPr>
          <w:color w:val="000000"/>
          <w:lang w:val="fr-CH"/>
        </w:rPr>
        <w:t xml:space="preserve"> </w:t>
      </w:r>
      <w:r w:rsidR="00E8199E">
        <w:rPr>
          <w:color w:val="000000"/>
          <w:szCs w:val="18"/>
          <w:lang w:val="fr-CH"/>
        </w:rPr>
        <w:t xml:space="preserve"> </w:t>
      </w:r>
      <w:r w:rsidR="002661F7" w:rsidRPr="00C0580A">
        <w:rPr>
          <w:color w:val="000000"/>
          <w:szCs w:val="18"/>
          <w:lang w:val="fr-CH"/>
        </w:rPr>
        <w:t>Monde, 114(12,189), 7</w:t>
      </w:r>
      <w:r w:rsidR="00B0592F">
        <w:rPr>
          <w:color w:val="000000"/>
          <w:szCs w:val="18"/>
          <w:lang w:val="fr-CH"/>
        </w:rPr>
        <w:noBreakHyphen/>
      </w:r>
      <w:r w:rsidR="002661F7" w:rsidRPr="00C0580A">
        <w:rPr>
          <w:color w:val="000000"/>
          <w:szCs w:val="18"/>
          <w:lang w:val="fr-CH"/>
        </w:rPr>
        <w:t>046.</w:t>
      </w:r>
    </w:p>
  </w:footnote>
  <w:footnote w:id="20">
    <w:p w:rsidR="00B82870" w:rsidRPr="00C0580A" w:rsidRDefault="00B82870" w:rsidP="00B0592F">
      <w:pPr>
        <w:pStyle w:val="FootnoteText"/>
        <w:rPr>
          <w:szCs w:val="18"/>
          <w:lang w:val="fr-CH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2661F7" w:rsidRPr="00C0580A">
        <w:rPr>
          <w:color w:val="000000"/>
          <w:szCs w:val="18"/>
          <w:lang w:val="fr-CH"/>
        </w:rPr>
        <w:t>Wischenbart, ibid.</w:t>
      </w:r>
    </w:p>
  </w:footnote>
  <w:footnote w:id="21">
    <w:p w:rsidR="00B82870" w:rsidRPr="00C0580A" w:rsidRDefault="00B82870" w:rsidP="00B0592F">
      <w:pPr>
        <w:pStyle w:val="FootnoteText"/>
        <w:rPr>
          <w:szCs w:val="18"/>
        </w:rPr>
      </w:pPr>
      <w:r w:rsidRPr="00C0580A">
        <w:rPr>
          <w:rStyle w:val="FootnoteReference"/>
          <w:szCs w:val="18"/>
        </w:rPr>
        <w:footnoteRef/>
      </w:r>
      <w:r w:rsidRPr="00C0580A">
        <w:rPr>
          <w:szCs w:val="18"/>
          <w:lang w:val="fr-CH"/>
        </w:rPr>
        <w:t xml:space="preserve"> </w:t>
      </w:r>
      <w:r w:rsidR="00881191" w:rsidRPr="00C0580A">
        <w:rPr>
          <w:szCs w:val="18"/>
          <w:lang w:val="fr-CH"/>
        </w:rPr>
        <w:tab/>
      </w:r>
      <w:r w:rsidR="00B0592F">
        <w:rPr>
          <w:color w:val="000000"/>
          <w:szCs w:val="18"/>
          <w:lang w:val="fr-CH"/>
        </w:rPr>
        <w:t>Simon, </w:t>
      </w:r>
      <w:r w:rsidR="002661F7" w:rsidRPr="00C0580A">
        <w:rPr>
          <w:color w:val="000000"/>
          <w:szCs w:val="18"/>
          <w:lang w:val="fr-CH"/>
        </w:rPr>
        <w:t>J.</w:t>
      </w:r>
      <w:r w:rsidR="00E8199E">
        <w:rPr>
          <w:color w:val="000000"/>
          <w:szCs w:val="18"/>
          <w:lang w:val="fr-CH"/>
        </w:rPr>
        <w:t> </w:t>
      </w:r>
      <w:r w:rsidR="002661F7" w:rsidRPr="00C0580A">
        <w:rPr>
          <w:color w:val="000000"/>
          <w:szCs w:val="18"/>
          <w:lang w:val="fr-CH"/>
        </w:rPr>
        <w:t>P., et G.</w:t>
      </w:r>
      <w:r w:rsidR="00E8199E">
        <w:rPr>
          <w:color w:val="000000"/>
          <w:szCs w:val="18"/>
          <w:lang w:val="fr-CH"/>
        </w:rPr>
        <w:t> </w:t>
      </w:r>
      <w:r w:rsidR="002661F7" w:rsidRPr="00C0580A">
        <w:rPr>
          <w:color w:val="000000"/>
          <w:szCs w:val="18"/>
          <w:lang w:val="fr-CH"/>
        </w:rPr>
        <w:t>De</w:t>
      </w:r>
      <w:r w:rsidR="00B0592F">
        <w:rPr>
          <w:color w:val="000000"/>
          <w:szCs w:val="18"/>
          <w:lang w:val="fr-CH"/>
        </w:rPr>
        <w:t> </w:t>
      </w:r>
      <w:r w:rsidR="002661F7" w:rsidRPr="00C0580A">
        <w:rPr>
          <w:color w:val="000000"/>
          <w:szCs w:val="18"/>
          <w:lang w:val="fr-CH"/>
        </w:rPr>
        <w:t>Prato.</w:t>
      </w:r>
      <w:r w:rsidRPr="00B0592F">
        <w:rPr>
          <w:color w:val="000000"/>
          <w:lang w:val="fr-CH"/>
        </w:rPr>
        <w:t xml:space="preserve"> </w:t>
      </w:r>
      <w:r w:rsidR="00E8199E">
        <w:rPr>
          <w:color w:val="000000"/>
          <w:szCs w:val="18"/>
          <w:lang w:val="fr-CH"/>
        </w:rPr>
        <w:t xml:space="preserve"> </w:t>
      </w:r>
      <w:r w:rsidR="00E8199E">
        <w:rPr>
          <w:color w:val="000000"/>
          <w:szCs w:val="18"/>
        </w:rPr>
        <w:t>“</w:t>
      </w:r>
      <w:r w:rsidR="002661F7" w:rsidRPr="00C0580A">
        <w:rPr>
          <w:i/>
          <w:color w:val="000000"/>
          <w:szCs w:val="18"/>
        </w:rPr>
        <w:t>Statistical, ecosystems and competitiveness analysis of the media and content industries</w:t>
      </w:r>
      <w:r w:rsidR="00E8199E">
        <w:rPr>
          <w:i/>
          <w:color w:val="000000"/>
          <w:szCs w:val="18"/>
        </w:rPr>
        <w:t>”</w:t>
      </w:r>
      <w:r w:rsidR="002661F7" w:rsidRPr="00C0580A">
        <w:rPr>
          <w:i/>
          <w:color w:val="000000"/>
          <w:szCs w:val="18"/>
        </w:rPr>
        <w:t xml:space="preserve"> (2012)</w:t>
      </w:r>
      <w:r w:rsidR="002661F7" w:rsidRPr="00C0580A">
        <w:rPr>
          <w:color w:val="000000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AE4FC3" w:rsidRDefault="00AE3D20" w:rsidP="00BE5FAB">
    <w:pPr>
      <w:jc w:val="right"/>
    </w:pPr>
    <w:r w:rsidRPr="00AE4FC3">
      <w:t>WIPO</w:t>
    </w:r>
    <w:r w:rsidR="00BE5FAB" w:rsidRPr="00AE4FC3">
      <w:t>/GDCM/GE/16/INF/2</w:t>
    </w:r>
  </w:p>
  <w:p w:rsidR="004F4D9B" w:rsidRPr="00AE4FC3" w:rsidRDefault="00BE5FAB" w:rsidP="00BE5FAB">
    <w:pPr>
      <w:jc w:val="right"/>
    </w:pPr>
    <w:r w:rsidRPr="00AE4FC3">
      <w:t>page</w:t>
    </w:r>
    <w:r w:rsidR="004F4D9B" w:rsidRPr="00AE4FC3">
      <w:t xml:space="preserve"> </w:t>
    </w:r>
    <w:r w:rsidR="004F4D9B" w:rsidRPr="00AE4FC3">
      <w:fldChar w:fldCharType="begin"/>
    </w:r>
    <w:r w:rsidR="004F4D9B" w:rsidRPr="00AE4FC3">
      <w:instrText xml:space="preserve"> PAGE  \* MERGEFORMAT </w:instrText>
    </w:r>
    <w:r w:rsidR="004F4D9B" w:rsidRPr="00AE4FC3">
      <w:fldChar w:fldCharType="separate"/>
    </w:r>
    <w:r w:rsidR="00C35851">
      <w:rPr>
        <w:noProof/>
      </w:rPr>
      <w:t>7</w:t>
    </w:r>
    <w:r w:rsidR="004F4D9B" w:rsidRPr="00AE4FC3">
      <w:fldChar w:fldCharType="end"/>
    </w:r>
  </w:p>
  <w:p w:rsidR="004F4D9B" w:rsidRPr="00AE4FC3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C264C"/>
    <w:multiLevelType w:val="hybridMultilevel"/>
    <w:tmpl w:val="988CC216"/>
    <w:lvl w:ilvl="0" w:tplc="F670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2F73AD"/>
    <w:rsid w:val="00013AD4"/>
    <w:rsid w:val="00026990"/>
    <w:rsid w:val="00026A1A"/>
    <w:rsid w:val="00053E4E"/>
    <w:rsid w:val="00061778"/>
    <w:rsid w:val="000A0CD2"/>
    <w:rsid w:val="000A2C9B"/>
    <w:rsid w:val="000A46A9"/>
    <w:rsid w:val="000A7768"/>
    <w:rsid w:val="000B605A"/>
    <w:rsid w:val="000C7343"/>
    <w:rsid w:val="000D50DA"/>
    <w:rsid w:val="000E0A95"/>
    <w:rsid w:val="000E1E21"/>
    <w:rsid w:val="000E7585"/>
    <w:rsid w:val="000F24E6"/>
    <w:rsid w:val="000F5E56"/>
    <w:rsid w:val="000F7CF9"/>
    <w:rsid w:val="00110437"/>
    <w:rsid w:val="0012185C"/>
    <w:rsid w:val="001362EE"/>
    <w:rsid w:val="001502E3"/>
    <w:rsid w:val="00166B20"/>
    <w:rsid w:val="00172573"/>
    <w:rsid w:val="001832A6"/>
    <w:rsid w:val="0019469C"/>
    <w:rsid w:val="001B3C6A"/>
    <w:rsid w:val="001D7119"/>
    <w:rsid w:val="001F6AAF"/>
    <w:rsid w:val="0020298A"/>
    <w:rsid w:val="00203E36"/>
    <w:rsid w:val="00205EA6"/>
    <w:rsid w:val="00213D8E"/>
    <w:rsid w:val="00216C3D"/>
    <w:rsid w:val="00223ADA"/>
    <w:rsid w:val="002456E6"/>
    <w:rsid w:val="002459E5"/>
    <w:rsid w:val="002634C4"/>
    <w:rsid w:val="002661F7"/>
    <w:rsid w:val="00272D28"/>
    <w:rsid w:val="002734B5"/>
    <w:rsid w:val="0028381B"/>
    <w:rsid w:val="00286C21"/>
    <w:rsid w:val="002A04A8"/>
    <w:rsid w:val="002B34FB"/>
    <w:rsid w:val="002C5261"/>
    <w:rsid w:val="002E4CEC"/>
    <w:rsid w:val="002F1379"/>
    <w:rsid w:val="002F4E68"/>
    <w:rsid w:val="002F5448"/>
    <w:rsid w:val="002F73AD"/>
    <w:rsid w:val="002F7C75"/>
    <w:rsid w:val="00306B78"/>
    <w:rsid w:val="003271B2"/>
    <w:rsid w:val="00360A5E"/>
    <w:rsid w:val="003707CB"/>
    <w:rsid w:val="00384452"/>
    <w:rsid w:val="003845C1"/>
    <w:rsid w:val="00385E79"/>
    <w:rsid w:val="00390FC0"/>
    <w:rsid w:val="003A4769"/>
    <w:rsid w:val="003C0AA9"/>
    <w:rsid w:val="003E52BB"/>
    <w:rsid w:val="003F1476"/>
    <w:rsid w:val="00400E95"/>
    <w:rsid w:val="00405950"/>
    <w:rsid w:val="004234F2"/>
    <w:rsid w:val="00423E3E"/>
    <w:rsid w:val="00427AF4"/>
    <w:rsid w:val="004409E2"/>
    <w:rsid w:val="00447374"/>
    <w:rsid w:val="004500E9"/>
    <w:rsid w:val="004647DA"/>
    <w:rsid w:val="00476732"/>
    <w:rsid w:val="00477D6B"/>
    <w:rsid w:val="004843EE"/>
    <w:rsid w:val="004B1393"/>
    <w:rsid w:val="004B1EE8"/>
    <w:rsid w:val="004B3C2C"/>
    <w:rsid w:val="004C6079"/>
    <w:rsid w:val="004D458B"/>
    <w:rsid w:val="004F0075"/>
    <w:rsid w:val="004F4D9B"/>
    <w:rsid w:val="004F6C1C"/>
    <w:rsid w:val="00503DD4"/>
    <w:rsid w:val="00505E8D"/>
    <w:rsid w:val="0051479E"/>
    <w:rsid w:val="005406E1"/>
    <w:rsid w:val="005620FA"/>
    <w:rsid w:val="00573BD3"/>
    <w:rsid w:val="005775DD"/>
    <w:rsid w:val="005833A4"/>
    <w:rsid w:val="005842B8"/>
    <w:rsid w:val="00590E66"/>
    <w:rsid w:val="005914B5"/>
    <w:rsid w:val="00593903"/>
    <w:rsid w:val="00594C6B"/>
    <w:rsid w:val="00596122"/>
    <w:rsid w:val="005A2939"/>
    <w:rsid w:val="005A53F4"/>
    <w:rsid w:val="005B0C97"/>
    <w:rsid w:val="005D3641"/>
    <w:rsid w:val="005F652F"/>
    <w:rsid w:val="005F7D22"/>
    <w:rsid w:val="00605827"/>
    <w:rsid w:val="00611F39"/>
    <w:rsid w:val="0062799D"/>
    <w:rsid w:val="006364DA"/>
    <w:rsid w:val="00645E34"/>
    <w:rsid w:val="00646C64"/>
    <w:rsid w:val="00652D2E"/>
    <w:rsid w:val="006553B5"/>
    <w:rsid w:val="006A1B06"/>
    <w:rsid w:val="006B039B"/>
    <w:rsid w:val="006B64BE"/>
    <w:rsid w:val="006D16EA"/>
    <w:rsid w:val="006D2E10"/>
    <w:rsid w:val="006D52A6"/>
    <w:rsid w:val="006E19BF"/>
    <w:rsid w:val="006E4896"/>
    <w:rsid w:val="00710836"/>
    <w:rsid w:val="00711489"/>
    <w:rsid w:val="00715151"/>
    <w:rsid w:val="00715A6B"/>
    <w:rsid w:val="00715ED8"/>
    <w:rsid w:val="00733EC0"/>
    <w:rsid w:val="00743653"/>
    <w:rsid w:val="00743C13"/>
    <w:rsid w:val="0074508C"/>
    <w:rsid w:val="00771A6B"/>
    <w:rsid w:val="00773B09"/>
    <w:rsid w:val="00792C1E"/>
    <w:rsid w:val="007A7A3F"/>
    <w:rsid w:val="007A7BEF"/>
    <w:rsid w:val="007B54D9"/>
    <w:rsid w:val="007B63B3"/>
    <w:rsid w:val="007C6726"/>
    <w:rsid w:val="007C73AF"/>
    <w:rsid w:val="007F2316"/>
    <w:rsid w:val="00803B4C"/>
    <w:rsid w:val="0081368F"/>
    <w:rsid w:val="008139C7"/>
    <w:rsid w:val="008468F9"/>
    <w:rsid w:val="00881191"/>
    <w:rsid w:val="0089487E"/>
    <w:rsid w:val="0089720B"/>
    <w:rsid w:val="008A3809"/>
    <w:rsid w:val="008B142A"/>
    <w:rsid w:val="008B2CC1"/>
    <w:rsid w:val="0090731E"/>
    <w:rsid w:val="009104B1"/>
    <w:rsid w:val="00920995"/>
    <w:rsid w:val="009317B5"/>
    <w:rsid w:val="00947487"/>
    <w:rsid w:val="00966A22"/>
    <w:rsid w:val="009711F1"/>
    <w:rsid w:val="00987349"/>
    <w:rsid w:val="00995E84"/>
    <w:rsid w:val="009C40F8"/>
    <w:rsid w:val="009D5EF5"/>
    <w:rsid w:val="00A05097"/>
    <w:rsid w:val="00A125F9"/>
    <w:rsid w:val="00A179E6"/>
    <w:rsid w:val="00A31934"/>
    <w:rsid w:val="00A4403B"/>
    <w:rsid w:val="00A55ABA"/>
    <w:rsid w:val="00A71CE9"/>
    <w:rsid w:val="00A8189E"/>
    <w:rsid w:val="00A90FD2"/>
    <w:rsid w:val="00A94F2C"/>
    <w:rsid w:val="00AE3C92"/>
    <w:rsid w:val="00AE3D20"/>
    <w:rsid w:val="00AE4FC3"/>
    <w:rsid w:val="00AF55EA"/>
    <w:rsid w:val="00B0592F"/>
    <w:rsid w:val="00B11AC3"/>
    <w:rsid w:val="00B15D63"/>
    <w:rsid w:val="00B5045D"/>
    <w:rsid w:val="00B607BF"/>
    <w:rsid w:val="00B6493D"/>
    <w:rsid w:val="00B82870"/>
    <w:rsid w:val="00B95113"/>
    <w:rsid w:val="00BA6374"/>
    <w:rsid w:val="00BC5736"/>
    <w:rsid w:val="00BD5116"/>
    <w:rsid w:val="00BE54FC"/>
    <w:rsid w:val="00BE5FAB"/>
    <w:rsid w:val="00C01DE6"/>
    <w:rsid w:val="00C0580A"/>
    <w:rsid w:val="00C05D6F"/>
    <w:rsid w:val="00C071DF"/>
    <w:rsid w:val="00C0777B"/>
    <w:rsid w:val="00C17225"/>
    <w:rsid w:val="00C241FE"/>
    <w:rsid w:val="00C35851"/>
    <w:rsid w:val="00C47F8E"/>
    <w:rsid w:val="00C50490"/>
    <w:rsid w:val="00C715CC"/>
    <w:rsid w:val="00C8724A"/>
    <w:rsid w:val="00CC5945"/>
    <w:rsid w:val="00CD2423"/>
    <w:rsid w:val="00CE00C0"/>
    <w:rsid w:val="00D25F5E"/>
    <w:rsid w:val="00D33480"/>
    <w:rsid w:val="00D409CD"/>
    <w:rsid w:val="00D5505D"/>
    <w:rsid w:val="00D70D78"/>
    <w:rsid w:val="00D71B4D"/>
    <w:rsid w:val="00D93D55"/>
    <w:rsid w:val="00DA6EEF"/>
    <w:rsid w:val="00DB2629"/>
    <w:rsid w:val="00DC510B"/>
    <w:rsid w:val="00DC66D5"/>
    <w:rsid w:val="00DE0621"/>
    <w:rsid w:val="00DE6DF2"/>
    <w:rsid w:val="00E17984"/>
    <w:rsid w:val="00E242B0"/>
    <w:rsid w:val="00E30BAE"/>
    <w:rsid w:val="00E8199E"/>
    <w:rsid w:val="00E91F42"/>
    <w:rsid w:val="00ED663D"/>
    <w:rsid w:val="00EE4913"/>
    <w:rsid w:val="00EF094C"/>
    <w:rsid w:val="00EF1D84"/>
    <w:rsid w:val="00EF2C66"/>
    <w:rsid w:val="00F03AC7"/>
    <w:rsid w:val="00F06445"/>
    <w:rsid w:val="00F13677"/>
    <w:rsid w:val="00F17EFC"/>
    <w:rsid w:val="00F20661"/>
    <w:rsid w:val="00F22CCF"/>
    <w:rsid w:val="00F313E3"/>
    <w:rsid w:val="00F379E5"/>
    <w:rsid w:val="00F46C15"/>
    <w:rsid w:val="00F5332C"/>
    <w:rsid w:val="00F66152"/>
    <w:rsid w:val="00F72018"/>
    <w:rsid w:val="00F745B3"/>
    <w:rsid w:val="00F800E4"/>
    <w:rsid w:val="00FA6A43"/>
    <w:rsid w:val="00FB1654"/>
    <w:rsid w:val="00FB25C2"/>
    <w:rsid w:val="00FD19F0"/>
    <w:rsid w:val="00FE3115"/>
    <w:rsid w:val="00FE5B0B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5A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F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F73AD"/>
    <w:rPr>
      <w:color w:val="0000FF"/>
      <w:u w:val="single"/>
    </w:rPr>
  </w:style>
  <w:style w:type="character" w:styleId="FootnoteReference">
    <w:name w:val="footnote reference"/>
    <w:basedOn w:val="DefaultParagraphFont"/>
    <w:rsid w:val="00385E79"/>
    <w:rPr>
      <w:vertAlign w:val="superscript"/>
    </w:rPr>
  </w:style>
  <w:style w:type="character" w:styleId="CommentReference">
    <w:name w:val="annotation reference"/>
    <w:basedOn w:val="DefaultParagraphFont"/>
    <w:rsid w:val="00931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17B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7B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317B5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5A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F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F73AD"/>
    <w:rPr>
      <w:color w:val="0000FF"/>
      <w:u w:val="single"/>
    </w:rPr>
  </w:style>
  <w:style w:type="character" w:styleId="FootnoteReference">
    <w:name w:val="footnote reference"/>
    <w:basedOn w:val="DefaultParagraphFont"/>
    <w:rsid w:val="00385E79"/>
    <w:rPr>
      <w:vertAlign w:val="superscript"/>
    </w:rPr>
  </w:style>
  <w:style w:type="character" w:styleId="CommentReference">
    <w:name w:val="annotation reference"/>
    <w:basedOn w:val="DefaultParagraphFont"/>
    <w:rsid w:val="00931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17B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7B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317B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WIPO%20GDCM%20GE%201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A5C5-C0C9-4862-88F3-ABB3A891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GDCM GE 16 (E)</Template>
  <TotalTime>1</TotalTime>
  <Pages>7</Pages>
  <Words>2261</Words>
  <Characters>12520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WIPO/GDCM/GE/16/</vt:lpstr>
    </vt:vector>
  </TitlesOfParts>
  <Company>WIPO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WIPO/GDCM/GE/16/</dc:title>
  <dc:creator>MARIN-CUDRAZ DAVI Nicoletta</dc:creator>
  <cp:keywords>SG/NGG/mhf/ko</cp:keywords>
  <cp:lastModifiedBy>WICKREMASINGHE Nayana</cp:lastModifiedBy>
  <cp:revision>2</cp:revision>
  <cp:lastPrinted>2016-03-10T11:09:00Z</cp:lastPrinted>
  <dcterms:created xsi:type="dcterms:W3CDTF">2016-04-01T14:05:00Z</dcterms:created>
  <dcterms:modified xsi:type="dcterms:W3CDTF">2016-04-01T14:05:00Z</dcterms:modified>
</cp:coreProperties>
</file>