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1803" w:rsidRPr="00CF2E77" w:rsidTr="00B2365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F2E77" w:rsidRDefault="00EC4E49" w:rsidP="003A0F49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F2E77" w:rsidRDefault="00DA7FAD" w:rsidP="003A0F49">
            <w:pPr>
              <w:rPr>
                <w:lang w:val="fr-FR"/>
              </w:rPr>
            </w:pPr>
            <w:r w:rsidRPr="00CF2E77">
              <w:rPr>
                <w:noProof/>
                <w:lang w:eastAsia="en-US"/>
              </w:rPr>
              <w:drawing>
                <wp:inline distT="0" distB="0" distL="0" distR="0" wp14:anchorId="4B3270EC" wp14:editId="6922F2CF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F2E77" w:rsidRDefault="00DA7FAD" w:rsidP="003A0F49">
            <w:pPr>
              <w:jc w:val="right"/>
              <w:rPr>
                <w:lang w:val="fr-FR"/>
              </w:rPr>
            </w:pPr>
            <w:r w:rsidRPr="00CF2E7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21803" w:rsidRPr="00CF2E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F2E77" w:rsidRDefault="00A84BDF" w:rsidP="003A0F4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2E77">
              <w:rPr>
                <w:rFonts w:ascii="Arial Black" w:hAnsi="Arial Black"/>
                <w:caps/>
                <w:sz w:val="15"/>
                <w:lang w:val="fr-FR"/>
              </w:rPr>
              <w:t>LI/R</w:t>
            </w:r>
            <w:r w:rsidR="00D80804" w:rsidRPr="00CF2E77">
              <w:rPr>
                <w:rFonts w:ascii="Arial Black" w:hAnsi="Arial Black"/>
                <w:caps/>
                <w:sz w:val="15"/>
                <w:lang w:val="fr-FR"/>
              </w:rPr>
              <w:t>/Pm</w:t>
            </w:r>
            <w:r w:rsidR="00844CB0" w:rsidRPr="00CF2E77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7D5941" w:rsidRPr="00CF2E77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A42DAF" w:rsidRPr="00CF2E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  <w:bookmarkStart w:id="1" w:name="Code"/>
        <w:bookmarkEnd w:id="1"/>
      </w:tr>
      <w:tr w:rsidR="00621803" w:rsidRPr="00CF2E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F2E77" w:rsidRDefault="008B2CC1" w:rsidP="003A0F4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2E7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F06E6" w:rsidRPr="00CF2E7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F2E77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A42DAF" w:rsidRPr="00CF2E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DF06E6" w:rsidRPr="00CF2E7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21803" w:rsidRPr="00CF2E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F2E77" w:rsidRDefault="008B2CC1" w:rsidP="003A0F4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2E7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F06E6" w:rsidRPr="00CF2E7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F2E77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A42DAF" w:rsidRPr="00CF2E7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DA7FAD" w:rsidRPr="00CF2E77">
              <w:rPr>
                <w:rFonts w:ascii="Arial Black" w:hAnsi="Arial Black"/>
                <w:caps/>
                <w:sz w:val="15"/>
                <w:lang w:val="fr-FR"/>
              </w:rPr>
              <w:t>7 ao</w:t>
            </w:r>
            <w:r w:rsidR="00CF2E77" w:rsidRPr="00CF2E77">
              <w:rPr>
                <w:rFonts w:ascii="Arial Black" w:hAnsi="Arial Black"/>
                <w:caps/>
                <w:sz w:val="15"/>
                <w:lang w:val="fr-FR"/>
              </w:rPr>
              <w:t>û</w:t>
            </w:r>
            <w:r w:rsidR="00DA7FAD" w:rsidRPr="00CF2E77">
              <w:rPr>
                <w:rFonts w:ascii="Arial Black" w:hAnsi="Arial Black"/>
                <w:caps/>
                <w:sz w:val="15"/>
                <w:lang w:val="fr-FR"/>
              </w:rPr>
              <w:t>t </w:t>
            </w:r>
            <w:r w:rsidR="007D5941" w:rsidRPr="00CF2E77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  <w:r w:rsidRPr="00CF2E77">
        <w:rPr>
          <w:b/>
          <w:sz w:val="28"/>
          <w:szCs w:val="28"/>
          <w:lang w:val="fr-FR"/>
        </w:rPr>
        <w:t>Comité préparatoire de la conférence diplomatique pour l</w:t>
      </w:r>
      <w:r w:rsidR="00DA7FAD" w:rsidRPr="00CF2E77">
        <w:rPr>
          <w:b/>
          <w:sz w:val="28"/>
          <w:szCs w:val="28"/>
          <w:lang w:val="fr-FR"/>
        </w:rPr>
        <w:t>’</w:t>
      </w:r>
      <w:r w:rsidRPr="00CF2E77">
        <w:rPr>
          <w:b/>
          <w:sz w:val="28"/>
          <w:szCs w:val="28"/>
          <w:lang w:val="fr-FR"/>
        </w:rPr>
        <w:t>adoption d</w:t>
      </w:r>
      <w:r w:rsidR="00DA7FAD" w:rsidRPr="00CF2E77">
        <w:rPr>
          <w:b/>
          <w:sz w:val="28"/>
          <w:szCs w:val="28"/>
          <w:lang w:val="fr-FR"/>
        </w:rPr>
        <w:t>’</w:t>
      </w:r>
      <w:r w:rsidRPr="00CF2E77">
        <w:rPr>
          <w:b/>
          <w:sz w:val="28"/>
          <w:szCs w:val="28"/>
          <w:lang w:val="fr-FR"/>
        </w:rPr>
        <w:t>un Arrangement de Lisbonne révisé sur les appellations d</w:t>
      </w:r>
      <w:r w:rsidR="00DA7FAD" w:rsidRPr="00CF2E77">
        <w:rPr>
          <w:b/>
          <w:sz w:val="28"/>
          <w:szCs w:val="28"/>
          <w:lang w:val="fr-FR"/>
        </w:rPr>
        <w:t>’</w:t>
      </w:r>
      <w:r w:rsidRPr="00CF2E77">
        <w:rPr>
          <w:b/>
          <w:sz w:val="28"/>
          <w:szCs w:val="28"/>
          <w:lang w:val="fr-FR"/>
        </w:rPr>
        <w:t>origine et les indications géographiques</w:t>
      </w: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b/>
          <w:sz w:val="24"/>
          <w:szCs w:val="24"/>
          <w:lang w:val="fr-FR"/>
        </w:rPr>
      </w:pPr>
      <w:r w:rsidRPr="00CF2E77">
        <w:rPr>
          <w:b/>
          <w:sz w:val="24"/>
          <w:szCs w:val="24"/>
          <w:lang w:val="fr-FR"/>
        </w:rPr>
        <w:t>Genève, 30 et 31 octobre 2014</w:t>
      </w: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caps/>
          <w:sz w:val="24"/>
          <w:lang w:val="fr-FR"/>
        </w:rPr>
      </w:pPr>
      <w:bookmarkStart w:id="4" w:name="TitleOfDoc"/>
      <w:bookmarkEnd w:id="4"/>
      <w:r w:rsidRPr="00CF2E77">
        <w:rPr>
          <w:caps/>
          <w:lang w:val="fr-FR"/>
        </w:rPr>
        <w:t>ordre du</w:t>
      </w:r>
      <w:r w:rsidR="00716D74">
        <w:rPr>
          <w:caps/>
          <w:lang w:val="fr-FR"/>
        </w:rPr>
        <w:t xml:space="preserve"> jour, dates et lieu de la confÉ</w:t>
      </w:r>
      <w:r w:rsidRPr="00CF2E77">
        <w:rPr>
          <w:caps/>
          <w:lang w:val="fr-FR"/>
        </w:rPr>
        <w:t>rence diplomatique</w:t>
      </w: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i/>
          <w:lang w:val="fr-FR"/>
        </w:rPr>
      </w:pPr>
      <w:bookmarkStart w:id="5" w:name="Prepared"/>
      <w:bookmarkEnd w:id="5"/>
      <w:r w:rsidRPr="00CF2E77">
        <w:rPr>
          <w:i/>
          <w:lang w:val="fr-FR"/>
        </w:rPr>
        <w:t>Document établi par le Directeur général</w:t>
      </w: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7C59CA" w:rsidP="003A0F49">
      <w:pPr>
        <w:rPr>
          <w:lang w:val="fr-FR"/>
        </w:rPr>
      </w:pPr>
    </w:p>
    <w:p w:rsidR="007C59CA" w:rsidRPr="00CF2E77" w:rsidRDefault="00D80804" w:rsidP="003A0F49">
      <w:pPr>
        <w:pStyle w:val="Heading1"/>
        <w:rPr>
          <w:lang w:val="fr-FR"/>
        </w:rPr>
      </w:pPr>
      <w:r w:rsidRPr="00CF2E77">
        <w:rPr>
          <w:lang w:val="fr-FR"/>
        </w:rPr>
        <w:br w:type="page"/>
      </w:r>
      <w:r w:rsidRPr="00CF2E77">
        <w:rPr>
          <w:lang w:val="fr-FR"/>
        </w:rPr>
        <w:lastRenderedPageBreak/>
        <w:t>I</w:t>
      </w:r>
      <w:r w:rsidR="009D4BE0" w:rsidRPr="00CF2E77">
        <w:rPr>
          <w:lang w:val="fr-FR"/>
        </w:rPr>
        <w:t>NTRODUCTION</w:t>
      </w:r>
    </w:p>
    <w:p w:rsidR="007C59CA" w:rsidRPr="00CF2E77" w:rsidRDefault="007C59CA" w:rsidP="003A0F49">
      <w:pPr>
        <w:keepNext/>
        <w:rPr>
          <w:szCs w:val="22"/>
          <w:lang w:val="fr-FR"/>
        </w:rPr>
      </w:pPr>
    </w:p>
    <w:p w:rsidR="00DA7FAD" w:rsidRPr="00CF2E77" w:rsidRDefault="00F17DA8" w:rsidP="003A0F49">
      <w:pPr>
        <w:pStyle w:val="ONUMFS"/>
        <w:rPr>
          <w:lang w:val="fr-FR"/>
        </w:rPr>
      </w:pPr>
      <w:r w:rsidRPr="00CF2E77">
        <w:rPr>
          <w:lang w:val="fr-FR"/>
        </w:rPr>
        <w:t>À sa vingt</w:t>
      </w:r>
      <w:r w:rsidR="00FA05FD" w:rsidRPr="00CF2E77">
        <w:rPr>
          <w:lang w:val="fr-FR"/>
        </w:rPr>
        <w:noBreakHyphen/>
      </w:r>
      <w:r w:rsidRPr="00CF2E77">
        <w:rPr>
          <w:lang w:val="fr-FR"/>
        </w:rPr>
        <w:t>troisième session (6e session extraordinaire) tenue du 22 au 30 septembre 2008,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Assemblée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Union de Lisbonne a créé </w:t>
      </w:r>
      <w:r w:rsidR="008C79AB">
        <w:rPr>
          <w:lang w:val="fr-FR"/>
        </w:rPr>
        <w:t>un</w:t>
      </w:r>
      <w:r w:rsidRPr="00CF2E77">
        <w:rPr>
          <w:lang w:val="fr-FR"/>
        </w:rPr>
        <w:t xml:space="preserve"> Groupe de travail sur le développement du système de Lisbonne (ci</w:t>
      </w:r>
      <w:r w:rsidR="00FA05FD" w:rsidRPr="00CF2E77">
        <w:rPr>
          <w:lang w:val="fr-FR"/>
        </w:rPr>
        <w:noBreakHyphen/>
      </w:r>
      <w:r w:rsidRPr="00CF2E77">
        <w:rPr>
          <w:lang w:val="fr-FR"/>
        </w:rPr>
        <w:t>après dénommé “groupe de travail”), chargé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étudier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éventuelles améliorations à apporter aux procédures selon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Arrangement de Lisbonne, composé de tous les membres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Union de Lisbonne et ouvert à </w:t>
      </w:r>
      <w:r w:rsidR="008C79AB">
        <w:rPr>
          <w:lang w:val="fr-FR"/>
        </w:rPr>
        <w:t xml:space="preserve">la participation </w:t>
      </w:r>
      <w:r w:rsidR="00716D74">
        <w:rPr>
          <w:lang w:val="fr-FR"/>
        </w:rPr>
        <w:br/>
      </w:r>
      <w:r w:rsidR="008C79AB">
        <w:rPr>
          <w:lang w:val="fr-FR"/>
        </w:rPr>
        <w:t>des a</w:t>
      </w:r>
      <w:r w:rsidRPr="00CF2E77">
        <w:rPr>
          <w:lang w:val="fr-FR"/>
        </w:rPr>
        <w:t>utres États membres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OMPI et des organisations intéressées avec un statut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observateur.  </w:t>
      </w:r>
      <w:r w:rsidR="00FA05FD" w:rsidRPr="00CF2E77">
        <w:rPr>
          <w:lang w:val="fr-FR"/>
        </w:rPr>
        <w:t xml:space="preserve">À </w:t>
      </w:r>
      <w:r w:rsidRPr="00CF2E77">
        <w:rPr>
          <w:lang w:val="fr-FR"/>
        </w:rPr>
        <w:t>sa vingt</w:t>
      </w:r>
      <w:r w:rsidR="00FA05FD" w:rsidRPr="00CF2E77">
        <w:rPr>
          <w:lang w:val="fr-FR"/>
        </w:rPr>
        <w:noBreakHyphen/>
      </w:r>
      <w:r w:rsidRPr="00CF2E77">
        <w:rPr>
          <w:lang w:val="fr-FR"/>
        </w:rPr>
        <w:t>cinquième</w:t>
      </w:r>
      <w:r w:rsidR="00C258B0" w:rsidRPr="00CF2E77">
        <w:rPr>
          <w:lang w:val="fr-FR"/>
        </w:rPr>
        <w:t> </w:t>
      </w:r>
      <w:r w:rsidRPr="00CF2E77">
        <w:rPr>
          <w:lang w:val="fr-FR"/>
        </w:rPr>
        <w:t>session (18</w:t>
      </w:r>
      <w:r w:rsidRPr="008C79AB">
        <w:rPr>
          <w:vertAlign w:val="superscript"/>
          <w:lang w:val="fr-FR"/>
        </w:rPr>
        <w:t>e</w:t>
      </w:r>
      <w:r w:rsidRPr="00CF2E77">
        <w:rPr>
          <w:lang w:val="fr-FR"/>
        </w:rPr>
        <w:t xml:space="preserve"> session ordinaire), tenue du 2</w:t>
      </w:r>
      <w:r w:rsidR="00DA7FAD" w:rsidRPr="00CF2E77">
        <w:rPr>
          <w:lang w:val="fr-FR"/>
        </w:rPr>
        <w:t>2 septembre</w:t>
      </w:r>
      <w:r w:rsidRPr="00CF2E77">
        <w:rPr>
          <w:lang w:val="fr-FR"/>
        </w:rPr>
        <w:t xml:space="preserve"> au </w:t>
      </w:r>
      <w:r w:rsidR="00DA7FAD" w:rsidRPr="00CF2E77">
        <w:rPr>
          <w:lang w:val="fr-FR"/>
        </w:rPr>
        <w:t>1</w:t>
      </w:r>
      <w:r w:rsidR="00DA7FAD" w:rsidRPr="008C79AB">
        <w:rPr>
          <w:vertAlign w:val="superscript"/>
          <w:lang w:val="fr-FR"/>
        </w:rPr>
        <w:t>er</w:t>
      </w:r>
      <w:r w:rsidR="00DA7FAD" w:rsidRPr="00CF2E77">
        <w:rPr>
          <w:lang w:val="fr-FR"/>
        </w:rPr>
        <w:t> </w:t>
      </w:r>
      <w:r w:rsidR="00716D74">
        <w:rPr>
          <w:lang w:val="fr-FR"/>
        </w:rPr>
        <w:t xml:space="preserve">octobre </w:t>
      </w:r>
      <w:r w:rsidRPr="00CF2E77">
        <w:rPr>
          <w:lang w:val="fr-FR"/>
        </w:rPr>
        <w:t>2009,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Assemblée a chargé le groupe de travail de procéder à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examen en détail du système de Lisbonne, dans le but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étudier les </w:t>
      </w:r>
      <w:r w:rsidR="008C79AB">
        <w:rPr>
          <w:lang w:val="fr-FR"/>
        </w:rPr>
        <w:t>améliorations</w:t>
      </w:r>
      <w:r w:rsidRPr="00CF2E77">
        <w:rPr>
          <w:lang w:val="fr-FR"/>
        </w:rPr>
        <w:t xml:space="preserve"> qu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il serait souhaitable d</w:t>
      </w:r>
      <w:r w:rsidR="00DA7FAD" w:rsidRPr="00CF2E77">
        <w:rPr>
          <w:lang w:val="fr-FR"/>
        </w:rPr>
        <w:t>’</w:t>
      </w:r>
      <w:r w:rsidR="00FA05FD" w:rsidRPr="00CF2E77">
        <w:rPr>
          <w:lang w:val="fr-FR"/>
        </w:rPr>
        <w:t>y </w:t>
      </w:r>
      <w:r w:rsidRPr="00CF2E77">
        <w:rPr>
          <w:lang w:val="fr-FR"/>
        </w:rPr>
        <w:t>apporter afin de le rendre plus attrayant pour les États et les utilisateurs tout en préservant les principes et les objectifs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Arrangement d</w:t>
      </w:r>
      <w:r w:rsidR="00FA05FD" w:rsidRPr="00CF2E77">
        <w:rPr>
          <w:lang w:val="fr-FR"/>
        </w:rPr>
        <w:t>e Lisbonne (document</w:t>
      </w:r>
      <w:r w:rsidR="008C79AB">
        <w:rPr>
          <w:lang w:val="fr-FR"/>
        </w:rPr>
        <w:t>s</w:t>
      </w:r>
      <w:r w:rsidR="00FA05FD" w:rsidRPr="00CF2E77">
        <w:rPr>
          <w:lang w:val="fr-FR"/>
        </w:rPr>
        <w:t xml:space="preserve"> LI/A/25/1 et</w:t>
      </w:r>
      <w:r w:rsidRPr="00CF2E77">
        <w:rPr>
          <w:lang w:val="fr-FR"/>
        </w:rPr>
        <w:t xml:space="preserve"> 2).</w:t>
      </w:r>
    </w:p>
    <w:p w:rsidR="00DA7FAD" w:rsidRPr="00CF2E77" w:rsidRDefault="00F17DA8" w:rsidP="003A0F49">
      <w:pPr>
        <w:pStyle w:val="ONUMFS"/>
        <w:rPr>
          <w:lang w:val="fr-FR"/>
        </w:rPr>
      </w:pPr>
      <w:r w:rsidRPr="00CF2E77">
        <w:rPr>
          <w:lang w:val="fr-FR"/>
        </w:rPr>
        <w:t>Depuis</w:t>
      </w:r>
      <w:r w:rsidR="00C258B0" w:rsidRPr="00CF2E77">
        <w:rPr>
          <w:lang w:val="fr-FR"/>
        </w:rPr>
        <w:t> </w:t>
      </w:r>
      <w:r w:rsidRPr="00CF2E77">
        <w:rPr>
          <w:lang w:val="fr-FR"/>
        </w:rPr>
        <w:t xml:space="preserve">2012, cet examen a </w:t>
      </w:r>
      <w:r w:rsidR="006E7D45">
        <w:rPr>
          <w:lang w:val="fr-FR"/>
        </w:rPr>
        <w:t>porté sur les points suivants</w:t>
      </w:r>
      <w:r w:rsidR="00C258B0" w:rsidRPr="00CF2E77">
        <w:rPr>
          <w:lang w:val="fr-FR"/>
        </w:rPr>
        <w:t> </w:t>
      </w:r>
      <w:r w:rsidRPr="00CF2E77">
        <w:rPr>
          <w:lang w:val="fr-FR"/>
        </w:rPr>
        <w:t>: premièrement, procéder à une révision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Arrangement de Lisbonne en perfectionnant son cadre juridique actuel et en prévoyant une possibilité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adhésion pour les organisations intergouvernementales tout en préservant les principes et les objectifs de </w:t>
      </w:r>
      <w:r w:rsidR="008C79AB">
        <w:rPr>
          <w:lang w:val="fr-FR"/>
        </w:rPr>
        <w:t>cet a</w:t>
      </w:r>
      <w:r w:rsidRPr="00CF2E77">
        <w:rPr>
          <w:lang w:val="fr-FR"/>
        </w:rPr>
        <w:t>rrangement et, deuxièmement, établir un système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enregistrement international pour les indications géographiques.</w:t>
      </w:r>
    </w:p>
    <w:p w:rsidR="00DA7FAD" w:rsidRPr="00CF2E77" w:rsidRDefault="00F17DA8" w:rsidP="003A0F49">
      <w:pPr>
        <w:pStyle w:val="ONUMFS"/>
        <w:rPr>
          <w:lang w:val="fr-FR"/>
        </w:rPr>
      </w:pPr>
      <w:r w:rsidRPr="00CF2E77">
        <w:rPr>
          <w:lang w:val="fr-FR"/>
        </w:rPr>
        <w:t>À sa vingt</w:t>
      </w:r>
      <w:r w:rsidR="00FA05FD" w:rsidRPr="00CF2E77">
        <w:rPr>
          <w:lang w:val="fr-FR"/>
        </w:rPr>
        <w:noBreakHyphen/>
      </w:r>
      <w:r w:rsidRPr="00CF2E77">
        <w:rPr>
          <w:lang w:val="fr-FR"/>
        </w:rPr>
        <w:t>neuvième</w:t>
      </w:r>
      <w:r w:rsidR="00C258B0" w:rsidRPr="00CF2E77">
        <w:rPr>
          <w:lang w:val="fr-FR"/>
        </w:rPr>
        <w:t> </w:t>
      </w:r>
      <w:r w:rsidRPr="00CF2E77">
        <w:rPr>
          <w:lang w:val="fr-FR"/>
        </w:rPr>
        <w:t>session (20</w:t>
      </w:r>
      <w:r w:rsidRPr="008C79AB">
        <w:rPr>
          <w:vertAlign w:val="superscript"/>
          <w:lang w:val="fr-FR"/>
        </w:rPr>
        <w:t>e</w:t>
      </w:r>
      <w:r w:rsidRPr="00CF2E77">
        <w:rPr>
          <w:lang w:val="fr-FR"/>
        </w:rPr>
        <w:t xml:space="preserve"> session ordinaire), tenue du 2</w:t>
      </w:r>
      <w:r w:rsidR="00DA7FAD" w:rsidRPr="00CF2E77">
        <w:rPr>
          <w:lang w:val="fr-FR"/>
        </w:rPr>
        <w:t>3 septembre</w:t>
      </w:r>
      <w:r w:rsidRPr="00CF2E77">
        <w:rPr>
          <w:lang w:val="fr-FR"/>
        </w:rPr>
        <w:t xml:space="preserve"> au </w:t>
      </w:r>
      <w:r w:rsidR="00DA7FAD" w:rsidRPr="00CF2E77">
        <w:rPr>
          <w:lang w:val="fr-FR"/>
        </w:rPr>
        <w:t>2 octobre 20</w:t>
      </w:r>
      <w:r w:rsidRPr="00CF2E77">
        <w:rPr>
          <w:lang w:val="fr-FR"/>
        </w:rPr>
        <w:t>13,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Assemblée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Union de Lisbonne a approuvé la convocation en</w:t>
      </w:r>
      <w:r w:rsidR="00C258B0" w:rsidRPr="00CF2E77">
        <w:rPr>
          <w:lang w:val="fr-FR"/>
        </w:rPr>
        <w:t> </w:t>
      </w:r>
      <w:r w:rsidRPr="00CF2E77">
        <w:rPr>
          <w:lang w:val="fr-FR"/>
        </w:rPr>
        <w:t xml:space="preserve">2015 </w:t>
      </w:r>
      <w:r w:rsidR="00716D74">
        <w:rPr>
          <w:lang w:val="fr-FR"/>
        </w:rPr>
        <w:br/>
      </w:r>
      <w:r w:rsidRPr="00CF2E77">
        <w:rPr>
          <w:lang w:val="fr-FR"/>
        </w:rPr>
        <w:t>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une Conférence diplomatique pour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adoption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un Arrangement de Lisbonne révisé sur </w:t>
      </w:r>
      <w:r w:rsidR="00716D74">
        <w:rPr>
          <w:lang w:val="fr-FR"/>
        </w:rPr>
        <w:br/>
      </w:r>
      <w:r w:rsidRPr="00CF2E77">
        <w:rPr>
          <w:lang w:val="fr-FR"/>
        </w:rPr>
        <w:t>les appellations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origine et les indications géographiques, dont la date et le lieu exacts </w:t>
      </w:r>
      <w:r w:rsidR="00716D74">
        <w:rPr>
          <w:lang w:val="fr-FR"/>
        </w:rPr>
        <w:br/>
      </w:r>
      <w:r w:rsidRPr="00CF2E77">
        <w:rPr>
          <w:lang w:val="fr-FR"/>
        </w:rPr>
        <w:t xml:space="preserve">seraient arrêtés par le comité préparatoire de la conférence diplomatique (voir </w:t>
      </w:r>
      <w:r w:rsidR="008C79AB">
        <w:rPr>
          <w:lang w:val="fr-FR"/>
        </w:rPr>
        <w:t xml:space="preserve">les </w:t>
      </w:r>
      <w:r w:rsidR="00716D74">
        <w:rPr>
          <w:lang w:val="fr-FR"/>
        </w:rPr>
        <w:br/>
      </w:r>
      <w:r w:rsidR="008C79AB">
        <w:rPr>
          <w:lang w:val="fr-FR"/>
        </w:rPr>
        <w:t>documents</w:t>
      </w:r>
      <w:r w:rsidRPr="00CF2E77">
        <w:rPr>
          <w:lang w:val="fr-FR"/>
        </w:rPr>
        <w:t xml:space="preserve"> LI/A/29/1 et 2).</w:t>
      </w:r>
    </w:p>
    <w:p w:rsidR="00DA7FAD" w:rsidRPr="00CF2E77" w:rsidRDefault="00F17DA8" w:rsidP="003A0F49">
      <w:pPr>
        <w:pStyle w:val="ONUMFS"/>
        <w:rPr>
          <w:lang w:val="fr-FR"/>
        </w:rPr>
      </w:pPr>
      <w:r w:rsidRPr="00CF2E77">
        <w:rPr>
          <w:lang w:val="fr-FR"/>
        </w:rPr>
        <w:t>Au total, neuf</w:t>
      </w:r>
      <w:r w:rsidR="00C258B0" w:rsidRPr="00CF2E77">
        <w:rPr>
          <w:lang w:val="fr-FR"/>
        </w:rPr>
        <w:t> </w:t>
      </w:r>
      <w:r w:rsidR="008C79AB">
        <w:rPr>
          <w:lang w:val="fr-FR"/>
        </w:rPr>
        <w:t>sessions du g</w:t>
      </w:r>
      <w:r w:rsidRPr="00CF2E77">
        <w:rPr>
          <w:lang w:val="fr-FR"/>
        </w:rPr>
        <w:t xml:space="preserve">roupe de travail se sont tenues entre </w:t>
      </w:r>
      <w:r w:rsidR="00DA7FAD" w:rsidRPr="00CF2E77">
        <w:rPr>
          <w:lang w:val="fr-FR"/>
        </w:rPr>
        <w:t>mars 20</w:t>
      </w:r>
      <w:r w:rsidRPr="00CF2E77">
        <w:rPr>
          <w:lang w:val="fr-FR"/>
        </w:rPr>
        <w:t xml:space="preserve">09 et </w:t>
      </w:r>
      <w:r w:rsidR="00DA7FAD" w:rsidRPr="00CF2E77">
        <w:rPr>
          <w:lang w:val="fr-FR"/>
        </w:rPr>
        <w:t>juin 20</w:t>
      </w:r>
      <w:r w:rsidRPr="00CF2E77">
        <w:rPr>
          <w:lang w:val="fr-FR"/>
        </w:rPr>
        <w:t>14.</w:t>
      </w:r>
      <w:r w:rsidR="00AE295B" w:rsidRPr="00CF2E77">
        <w:rPr>
          <w:lang w:val="fr-FR"/>
        </w:rPr>
        <w:t xml:space="preserve">  </w:t>
      </w:r>
      <w:r w:rsidR="00621803" w:rsidRPr="00CF2E77">
        <w:rPr>
          <w:lang w:val="fr-FR"/>
        </w:rPr>
        <w:t>Une dixième</w:t>
      </w:r>
      <w:r w:rsidR="00C258B0" w:rsidRPr="00CF2E77">
        <w:rPr>
          <w:lang w:val="fr-FR"/>
        </w:rPr>
        <w:t> </w:t>
      </w:r>
      <w:r w:rsidR="00621803" w:rsidRPr="00CF2E77">
        <w:rPr>
          <w:lang w:val="fr-FR"/>
        </w:rPr>
        <w:t>session du groupe de travail est prévue du 27 au 3</w:t>
      </w:r>
      <w:r w:rsidR="00DA7FAD" w:rsidRPr="00CF2E77">
        <w:rPr>
          <w:lang w:val="fr-FR"/>
        </w:rPr>
        <w:t>1 octobre 20</w:t>
      </w:r>
      <w:r w:rsidR="00621803" w:rsidRPr="00CF2E77">
        <w:rPr>
          <w:lang w:val="fr-FR"/>
        </w:rPr>
        <w:t>14, parallèlement à la réunion du comité préparatoire.</w:t>
      </w:r>
    </w:p>
    <w:p w:rsidR="00DA7FAD" w:rsidRPr="00CF2E77" w:rsidRDefault="00621803" w:rsidP="003A0F49">
      <w:pPr>
        <w:pStyle w:val="ONUMFS"/>
        <w:rPr>
          <w:lang w:val="fr-FR"/>
        </w:rPr>
      </w:pPr>
      <w:r w:rsidRPr="00CF2E77">
        <w:rPr>
          <w:lang w:val="fr-FR"/>
        </w:rPr>
        <w:t>Depuis sa septième</w:t>
      </w:r>
      <w:r w:rsidR="00C258B0" w:rsidRPr="00CF2E77">
        <w:rPr>
          <w:lang w:val="fr-FR"/>
        </w:rPr>
        <w:t> </w:t>
      </w:r>
      <w:r w:rsidR="008C79AB">
        <w:rPr>
          <w:lang w:val="fr-FR"/>
        </w:rPr>
        <w:t>session (</w:t>
      </w:r>
      <w:r w:rsidRPr="00CF2E77">
        <w:rPr>
          <w:lang w:val="fr-FR"/>
        </w:rPr>
        <w:t>du 2</w:t>
      </w:r>
      <w:r w:rsidR="00DA7FAD" w:rsidRPr="00CF2E77">
        <w:rPr>
          <w:lang w:val="fr-FR"/>
        </w:rPr>
        <w:t>9 avril</w:t>
      </w:r>
      <w:r w:rsidRPr="00CF2E77">
        <w:rPr>
          <w:lang w:val="fr-FR"/>
        </w:rPr>
        <w:t xml:space="preserve"> au </w:t>
      </w:r>
      <w:r w:rsidR="00DA7FAD" w:rsidRPr="00CF2E77">
        <w:rPr>
          <w:lang w:val="fr-FR"/>
        </w:rPr>
        <w:t>3 mai 20</w:t>
      </w:r>
      <w:r w:rsidRPr="00CF2E77">
        <w:rPr>
          <w:lang w:val="fr-FR"/>
        </w:rPr>
        <w:t>13), le groupe de travail a examiné des projets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articles et de règles en vue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établissement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un Arrangement de Lisbonne révisé sur les appellations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origine et les indications géographiques.</w:t>
      </w:r>
    </w:p>
    <w:p w:rsidR="007C59CA" w:rsidRPr="00CF2E77" w:rsidRDefault="00621803" w:rsidP="003A0F49">
      <w:pPr>
        <w:pStyle w:val="Heading2"/>
        <w:spacing w:before="0" w:after="0"/>
        <w:rPr>
          <w:szCs w:val="22"/>
          <w:lang w:val="fr-FR"/>
        </w:rPr>
      </w:pPr>
      <w:r w:rsidRPr="00CF2E77">
        <w:rPr>
          <w:szCs w:val="22"/>
          <w:lang w:val="fr-FR"/>
        </w:rPr>
        <w:t>ORDRE DU JOUR DE LA CONFÉRENCE DIPLOMATIQUE</w:t>
      </w:r>
    </w:p>
    <w:p w:rsidR="007C59CA" w:rsidRPr="00CF2E77" w:rsidRDefault="007C59CA" w:rsidP="003A0F49">
      <w:pPr>
        <w:pStyle w:val="Footer"/>
        <w:keepNext/>
        <w:rPr>
          <w:szCs w:val="22"/>
          <w:lang w:val="fr-FR"/>
        </w:rPr>
      </w:pPr>
    </w:p>
    <w:p w:rsidR="007C59CA" w:rsidRPr="00CF2E77" w:rsidRDefault="00621803" w:rsidP="003A0F49">
      <w:pPr>
        <w:pStyle w:val="ONUMFS"/>
        <w:rPr>
          <w:lang w:val="fr-FR"/>
        </w:rPr>
      </w:pPr>
      <w:r w:rsidRPr="00CF2E77">
        <w:rPr>
          <w:lang w:val="fr-FR"/>
        </w:rPr>
        <w:t>Le projet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ordre du jour de la conférence diplomatique figure dans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annexe.</w:t>
      </w:r>
    </w:p>
    <w:p w:rsidR="00716D74" w:rsidRDefault="00621803" w:rsidP="003A0F49">
      <w:pPr>
        <w:pStyle w:val="ONUMFS"/>
        <w:rPr>
          <w:lang w:val="fr-FR"/>
        </w:rPr>
      </w:pPr>
      <w:r w:rsidRPr="00CF2E77">
        <w:rPr>
          <w:lang w:val="fr-FR"/>
        </w:rPr>
        <w:t>Ce projet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ordre du jour est calqué sur l</w:t>
      </w:r>
      <w:r w:rsidR="00DA7FAD" w:rsidRPr="00CF2E77">
        <w:rPr>
          <w:lang w:val="fr-FR"/>
        </w:rPr>
        <w:t>’</w:t>
      </w:r>
      <w:r w:rsidR="008D7AF6" w:rsidRPr="00CF2E77">
        <w:rPr>
          <w:lang w:val="fr-FR"/>
        </w:rPr>
        <w:t>ordre du jour de la C</w:t>
      </w:r>
      <w:r w:rsidRPr="00CF2E77">
        <w:rPr>
          <w:lang w:val="fr-FR"/>
        </w:rPr>
        <w:t>onférence diplomatique de 2012 à Beijing sur la protection des interprétations et exéc</w:t>
      </w:r>
      <w:r w:rsidR="008D7AF6" w:rsidRPr="00CF2E77">
        <w:rPr>
          <w:lang w:val="fr-FR"/>
        </w:rPr>
        <w:t>utions audiovisuelles et de la C</w:t>
      </w:r>
      <w:r w:rsidRPr="00CF2E77">
        <w:rPr>
          <w:lang w:val="fr-FR"/>
        </w:rPr>
        <w:t>onférence diplomatique de 2013 à Marrakech pour la conclusion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un traité visant à faciliter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accès des déficients visuels et des personnes ayant des difficultés de lecture des textes imprimés aux œuvres publiées, tenues sous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égide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>OMPI.</w:t>
      </w:r>
    </w:p>
    <w:p w:rsidR="00716D74" w:rsidRDefault="00716D74">
      <w:pPr>
        <w:rPr>
          <w:lang w:val="fr-FR"/>
        </w:rPr>
      </w:pPr>
      <w:r>
        <w:rPr>
          <w:lang w:val="fr-FR"/>
        </w:rPr>
        <w:br w:type="page"/>
      </w:r>
    </w:p>
    <w:p w:rsidR="007C59CA" w:rsidRPr="00CF2E77" w:rsidRDefault="00621803" w:rsidP="003A0F49">
      <w:pPr>
        <w:pStyle w:val="Heading2"/>
        <w:spacing w:before="0" w:after="0"/>
        <w:rPr>
          <w:szCs w:val="22"/>
          <w:lang w:val="fr-FR"/>
        </w:rPr>
      </w:pPr>
      <w:r w:rsidRPr="00CF2E77">
        <w:rPr>
          <w:szCs w:val="22"/>
          <w:lang w:val="fr-FR"/>
        </w:rPr>
        <w:lastRenderedPageBreak/>
        <w:t>DATES ET LIEU DE LA CONFÉRENCE DIPLOMATIQUE</w:t>
      </w:r>
    </w:p>
    <w:p w:rsidR="007C59CA" w:rsidRPr="00CF2E77" w:rsidRDefault="007C59CA" w:rsidP="003A0F49">
      <w:pPr>
        <w:keepNext/>
        <w:rPr>
          <w:szCs w:val="22"/>
          <w:lang w:val="fr-FR"/>
        </w:rPr>
      </w:pPr>
    </w:p>
    <w:p w:rsidR="007C59CA" w:rsidRPr="00716D74" w:rsidRDefault="00621803" w:rsidP="003A0F49">
      <w:pPr>
        <w:pStyle w:val="ONUMFS"/>
        <w:rPr>
          <w:lang w:val="fr-FR"/>
        </w:rPr>
      </w:pPr>
      <w:r w:rsidRPr="00CF2E77">
        <w:rPr>
          <w:lang w:val="fr-FR"/>
        </w:rPr>
        <w:t>Au moment de l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établissement de la version </w:t>
      </w:r>
      <w:r w:rsidR="008C79AB">
        <w:rPr>
          <w:lang w:val="fr-FR"/>
        </w:rPr>
        <w:t>finale</w:t>
      </w:r>
      <w:r w:rsidRPr="00CF2E77">
        <w:rPr>
          <w:lang w:val="fr-FR"/>
        </w:rPr>
        <w:t xml:space="preserve"> du présent document, le Bureau international de l</w:t>
      </w:r>
      <w:r w:rsidR="00DA7FAD" w:rsidRPr="00CF2E77">
        <w:rPr>
          <w:lang w:val="fr-FR"/>
        </w:rPr>
        <w:t>’</w:t>
      </w:r>
      <w:r w:rsidR="008C79AB">
        <w:rPr>
          <w:lang w:val="fr-FR"/>
        </w:rPr>
        <w:t xml:space="preserve">OMPI avait reçu une </w:t>
      </w:r>
      <w:r w:rsidRPr="00CF2E77">
        <w:rPr>
          <w:lang w:val="fr-FR"/>
        </w:rPr>
        <w:t xml:space="preserve">invitation </w:t>
      </w:r>
      <w:r w:rsidR="008C79AB">
        <w:rPr>
          <w:lang w:val="fr-FR"/>
        </w:rPr>
        <w:t xml:space="preserve">officielle de la part </w:t>
      </w:r>
      <w:r w:rsidRPr="00CF2E77">
        <w:rPr>
          <w:lang w:val="fr-FR"/>
        </w:rPr>
        <w:t xml:space="preserve">du Gouvernement du </w:t>
      </w:r>
      <w:r w:rsidR="008C79AB">
        <w:rPr>
          <w:lang w:val="fr-FR"/>
        </w:rPr>
        <w:t xml:space="preserve">Portugal, </w:t>
      </w:r>
      <w:r w:rsidRPr="00CF2E77">
        <w:rPr>
          <w:lang w:val="fr-FR"/>
        </w:rPr>
        <w:t>qui proposait d</w:t>
      </w:r>
      <w:r w:rsidR="00DA7FAD" w:rsidRPr="00CF2E77">
        <w:rPr>
          <w:lang w:val="fr-FR"/>
        </w:rPr>
        <w:t>’</w:t>
      </w:r>
      <w:r w:rsidRPr="00CF2E77">
        <w:rPr>
          <w:lang w:val="fr-FR"/>
        </w:rPr>
        <w:t xml:space="preserve">accueillir la conférence diplomatique </w:t>
      </w:r>
      <w:r w:rsidR="00ED479F">
        <w:rPr>
          <w:lang w:val="fr-FR"/>
        </w:rPr>
        <w:t xml:space="preserve">dans une </w:t>
      </w:r>
      <w:r w:rsidRPr="00CF2E77">
        <w:rPr>
          <w:lang w:val="fr-FR"/>
        </w:rPr>
        <w:t xml:space="preserve">lettre </w:t>
      </w:r>
      <w:r w:rsidR="00ED479F">
        <w:rPr>
          <w:lang w:val="fr-FR"/>
        </w:rPr>
        <w:t xml:space="preserve">datée </w:t>
      </w:r>
      <w:r w:rsidRPr="00CF2E77">
        <w:rPr>
          <w:lang w:val="fr-FR"/>
        </w:rPr>
        <w:t>du 1</w:t>
      </w:r>
      <w:r w:rsidR="00DA7FAD" w:rsidRPr="00CF2E77">
        <w:rPr>
          <w:lang w:val="fr-FR"/>
        </w:rPr>
        <w:t>3 janvier 20</w:t>
      </w:r>
      <w:r w:rsidRPr="00CF2E77">
        <w:rPr>
          <w:lang w:val="fr-FR"/>
        </w:rPr>
        <w:t>14</w:t>
      </w:r>
      <w:r w:rsidR="00F17E07">
        <w:rPr>
          <w:lang w:val="fr-FR"/>
        </w:rPr>
        <w:t xml:space="preserve"> qui a été envoyée aux </w:t>
      </w:r>
      <w:r w:rsidR="0030661D">
        <w:rPr>
          <w:lang w:val="fr-FR"/>
        </w:rPr>
        <w:t>membres de l’Union de Lisbonne para la circulaire C. LIS 79 datée du 10 février 2014</w:t>
      </w:r>
      <w:r w:rsidRPr="00CF2E77">
        <w:rPr>
          <w:lang w:val="fr-FR"/>
        </w:rPr>
        <w:t>.</w:t>
      </w:r>
      <w:r w:rsidR="00877EAE" w:rsidRPr="00CF2E77">
        <w:rPr>
          <w:lang w:val="fr-FR"/>
        </w:rPr>
        <w:t xml:space="preserve">  </w:t>
      </w:r>
      <w:r w:rsidRPr="00CF2E77">
        <w:rPr>
          <w:lang w:val="fr-FR"/>
        </w:rPr>
        <w:t>Il est proposé que la conférence</w:t>
      </w:r>
      <w:r w:rsidR="008C79AB">
        <w:rPr>
          <w:lang w:val="fr-FR"/>
        </w:rPr>
        <w:t xml:space="preserve"> diplomatique se tienne </w:t>
      </w:r>
      <w:r w:rsidRPr="00CF2E77">
        <w:rPr>
          <w:lang w:val="fr-FR"/>
        </w:rPr>
        <w:t xml:space="preserve">du </w:t>
      </w:r>
      <w:r w:rsidR="00ED479F">
        <w:rPr>
          <w:lang w:val="fr-FR"/>
        </w:rPr>
        <w:t xml:space="preserve">11 au 21 mai 2015. </w:t>
      </w:r>
    </w:p>
    <w:p w:rsidR="007C59CA" w:rsidRPr="00CF2E77" w:rsidRDefault="00621803" w:rsidP="003A0F49">
      <w:pPr>
        <w:pStyle w:val="ONUMFS"/>
        <w:ind w:left="5533"/>
        <w:rPr>
          <w:i/>
          <w:lang w:val="fr-FR"/>
        </w:rPr>
      </w:pPr>
      <w:r w:rsidRPr="00CF2E77">
        <w:rPr>
          <w:i/>
          <w:lang w:val="fr-FR"/>
        </w:rPr>
        <w:t>Le comité préparatoire est invité à approuver le projet d</w:t>
      </w:r>
      <w:r w:rsidR="00DA7FAD" w:rsidRPr="00CF2E77">
        <w:rPr>
          <w:i/>
          <w:lang w:val="fr-FR"/>
        </w:rPr>
        <w:t>’</w:t>
      </w:r>
      <w:r w:rsidRPr="00CF2E77">
        <w:rPr>
          <w:i/>
          <w:lang w:val="fr-FR"/>
        </w:rPr>
        <w:t>ordre du jour de la c</w:t>
      </w:r>
      <w:r w:rsidR="00FA05FD" w:rsidRPr="00CF2E77">
        <w:rPr>
          <w:i/>
          <w:lang w:val="fr-FR"/>
        </w:rPr>
        <w:t>onférence diplomatique, ainsi qu</w:t>
      </w:r>
      <w:r w:rsidR="00DA7FAD" w:rsidRPr="00CF2E77">
        <w:rPr>
          <w:i/>
          <w:lang w:val="fr-FR"/>
        </w:rPr>
        <w:t>’</w:t>
      </w:r>
      <w:r w:rsidRPr="00CF2E77">
        <w:rPr>
          <w:i/>
          <w:lang w:val="fr-FR"/>
        </w:rPr>
        <w:t>à convenir du lieu et des dates de la conférence diplomatique.</w:t>
      </w:r>
    </w:p>
    <w:p w:rsidR="007C59CA" w:rsidRDefault="007C59CA" w:rsidP="00716D74">
      <w:pPr>
        <w:pStyle w:val="DecisionParagraph"/>
        <w:ind w:left="0"/>
        <w:rPr>
          <w:rFonts w:ascii="Arial" w:hAnsi="Arial" w:cs="Arial"/>
          <w:sz w:val="22"/>
          <w:szCs w:val="22"/>
          <w:lang w:val="fr-FR"/>
        </w:rPr>
      </w:pPr>
    </w:p>
    <w:p w:rsidR="00716D74" w:rsidRPr="00CF2E77" w:rsidRDefault="00716D74" w:rsidP="00716D74">
      <w:pPr>
        <w:pStyle w:val="DecisionParagraph"/>
        <w:ind w:left="0"/>
        <w:rPr>
          <w:rFonts w:ascii="Arial" w:hAnsi="Arial" w:cs="Arial"/>
          <w:sz w:val="22"/>
          <w:szCs w:val="22"/>
          <w:lang w:val="fr-FR"/>
        </w:rPr>
      </w:pPr>
    </w:p>
    <w:p w:rsidR="00FA05FD" w:rsidRPr="00CF2E77" w:rsidRDefault="00621803" w:rsidP="003A0F49">
      <w:pPr>
        <w:pStyle w:val="EndofDocument"/>
        <w:ind w:left="5533"/>
        <w:jc w:val="left"/>
        <w:rPr>
          <w:rFonts w:ascii="Arial" w:hAnsi="Arial" w:cs="Arial"/>
          <w:sz w:val="22"/>
          <w:szCs w:val="22"/>
          <w:lang w:val="fr-FR"/>
        </w:rPr>
        <w:sectPr w:rsidR="00FA05FD" w:rsidRPr="00CF2E77" w:rsidSect="00B23653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CF2E77">
        <w:rPr>
          <w:rFonts w:ascii="Arial" w:hAnsi="Arial" w:cs="Arial"/>
          <w:sz w:val="22"/>
          <w:szCs w:val="22"/>
          <w:lang w:val="fr-FR"/>
        </w:rPr>
        <w:t>[L</w:t>
      </w:r>
      <w:r w:rsidR="00DA7FAD" w:rsidRPr="00CF2E77">
        <w:rPr>
          <w:rFonts w:ascii="Arial" w:hAnsi="Arial" w:cs="Arial"/>
          <w:sz w:val="22"/>
          <w:szCs w:val="22"/>
          <w:lang w:val="fr-FR"/>
        </w:rPr>
        <w:t>’</w:t>
      </w:r>
      <w:r w:rsidRPr="00CF2E77">
        <w:rPr>
          <w:rFonts w:ascii="Arial" w:hAnsi="Arial" w:cs="Arial"/>
          <w:sz w:val="22"/>
          <w:szCs w:val="22"/>
          <w:lang w:val="fr-FR"/>
        </w:rPr>
        <w:t>annexe suit]</w:t>
      </w:r>
    </w:p>
    <w:p w:rsidR="007C59CA" w:rsidRPr="00CF2E77" w:rsidRDefault="00621803" w:rsidP="003A0F49">
      <w:pPr>
        <w:rPr>
          <w:szCs w:val="22"/>
          <w:lang w:val="fr-FR"/>
        </w:rPr>
      </w:pPr>
      <w:r w:rsidRPr="00CF2E77">
        <w:rPr>
          <w:szCs w:val="22"/>
          <w:lang w:val="fr-FR"/>
        </w:rPr>
        <w:lastRenderedPageBreak/>
        <w:t>PROJET D</w:t>
      </w:r>
      <w:r w:rsidR="00DA7FAD" w:rsidRPr="00CF2E77">
        <w:rPr>
          <w:szCs w:val="22"/>
          <w:lang w:val="fr-FR"/>
        </w:rPr>
        <w:t>’</w:t>
      </w:r>
      <w:r w:rsidRPr="00CF2E77">
        <w:rPr>
          <w:szCs w:val="22"/>
          <w:lang w:val="fr-FR"/>
        </w:rPr>
        <w:t xml:space="preserve">ORDRE DU JOUR DE LA </w:t>
      </w:r>
      <w:r w:rsidR="00FA05FD" w:rsidRPr="00CF2E77">
        <w:rPr>
          <w:szCs w:val="22"/>
          <w:lang w:val="fr-FR"/>
        </w:rPr>
        <w:t>CONFÉRENCE</w:t>
      </w:r>
      <w:r w:rsidRPr="00CF2E77">
        <w:rPr>
          <w:szCs w:val="22"/>
          <w:lang w:val="fr-FR"/>
        </w:rPr>
        <w:t xml:space="preserve"> DIPLOMATIQUE</w:t>
      </w:r>
    </w:p>
    <w:p w:rsidR="007C59CA" w:rsidRPr="00CF2E77" w:rsidRDefault="007C59CA" w:rsidP="003A0F49">
      <w:pPr>
        <w:ind w:left="567" w:hanging="567"/>
        <w:rPr>
          <w:szCs w:val="22"/>
          <w:lang w:val="fr-FR"/>
        </w:rPr>
      </w:pPr>
    </w:p>
    <w:p w:rsidR="007C59CA" w:rsidRPr="00CF2E77" w:rsidRDefault="007C59CA" w:rsidP="003A0F49">
      <w:pPr>
        <w:ind w:left="567" w:hanging="567"/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630" w:hanging="630"/>
        <w:rPr>
          <w:szCs w:val="22"/>
          <w:lang w:val="fr-FR"/>
        </w:rPr>
      </w:pPr>
      <w:r w:rsidRPr="00CF2E77">
        <w:rPr>
          <w:szCs w:val="22"/>
          <w:lang w:val="fr-FR"/>
        </w:rPr>
        <w:t>Ouverture de la conférence par le Directeur général de l</w:t>
      </w:r>
      <w:r w:rsidR="00DA7FAD" w:rsidRPr="00CF2E77">
        <w:rPr>
          <w:szCs w:val="22"/>
          <w:lang w:val="fr-FR"/>
        </w:rPr>
        <w:t>’</w:t>
      </w:r>
      <w:r w:rsidRPr="00CF2E77">
        <w:rPr>
          <w:szCs w:val="22"/>
          <w:lang w:val="fr-FR"/>
        </w:rPr>
        <w:t>OMPI</w:t>
      </w:r>
    </w:p>
    <w:p w:rsidR="007C59CA" w:rsidRPr="00CF2E77" w:rsidRDefault="007C59CA" w:rsidP="003A0F49">
      <w:pPr>
        <w:pStyle w:val="Footer"/>
        <w:tabs>
          <w:tab w:val="left" w:pos="630"/>
        </w:tabs>
        <w:ind w:left="630" w:hanging="630"/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630" w:hanging="630"/>
        <w:rPr>
          <w:szCs w:val="22"/>
          <w:lang w:val="fr-FR"/>
        </w:rPr>
      </w:pPr>
      <w:r w:rsidRPr="00CF2E77">
        <w:rPr>
          <w:szCs w:val="22"/>
          <w:lang w:val="fr-FR"/>
        </w:rPr>
        <w:t>Examen et adoption du règlement intérieur</w:t>
      </w:r>
    </w:p>
    <w:p w:rsidR="007C59CA" w:rsidRPr="00CF2E77" w:rsidRDefault="007C59CA" w:rsidP="003A0F49">
      <w:pPr>
        <w:tabs>
          <w:tab w:val="left" w:pos="630"/>
        </w:tabs>
        <w:ind w:left="630" w:hanging="630"/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ind w:left="630" w:hanging="630"/>
        <w:rPr>
          <w:szCs w:val="22"/>
          <w:lang w:val="fr-FR"/>
        </w:rPr>
      </w:pPr>
      <w:r w:rsidRPr="00CF2E77">
        <w:rPr>
          <w:szCs w:val="22"/>
          <w:lang w:val="fr-FR"/>
        </w:rPr>
        <w:t>Élection du président de la conférence</w:t>
      </w:r>
    </w:p>
    <w:p w:rsidR="007C59CA" w:rsidRPr="00CF2E77" w:rsidRDefault="007C59CA" w:rsidP="003A0F49">
      <w:pPr>
        <w:tabs>
          <w:tab w:val="left" w:pos="630"/>
        </w:tabs>
        <w:ind w:left="630" w:hanging="630"/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630" w:hanging="630"/>
        <w:rPr>
          <w:szCs w:val="22"/>
          <w:lang w:val="fr-FR"/>
        </w:rPr>
      </w:pPr>
      <w:r w:rsidRPr="00CF2E77">
        <w:rPr>
          <w:szCs w:val="22"/>
          <w:lang w:val="fr-FR"/>
        </w:rPr>
        <w:t>Examen et adoption de l</w:t>
      </w:r>
      <w:r w:rsidR="00DA7FAD" w:rsidRPr="00CF2E77">
        <w:rPr>
          <w:szCs w:val="22"/>
          <w:lang w:val="fr-FR"/>
        </w:rPr>
        <w:t>’</w:t>
      </w:r>
      <w:r w:rsidRPr="00CF2E77">
        <w:rPr>
          <w:szCs w:val="22"/>
          <w:lang w:val="fr-FR"/>
        </w:rPr>
        <w:t>ordre du jour</w:t>
      </w:r>
    </w:p>
    <w:p w:rsidR="007C59CA" w:rsidRPr="00CF2E77" w:rsidRDefault="007C59CA" w:rsidP="003A0F49">
      <w:pPr>
        <w:ind w:left="630" w:hanging="630"/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ind w:left="630" w:hanging="630"/>
        <w:rPr>
          <w:szCs w:val="22"/>
          <w:lang w:val="fr-FR"/>
        </w:rPr>
      </w:pPr>
      <w:r w:rsidRPr="00CF2E77">
        <w:rPr>
          <w:szCs w:val="22"/>
          <w:lang w:val="fr-FR"/>
        </w:rPr>
        <w:t>Élection des vice</w:t>
      </w:r>
      <w:r w:rsidR="00FA05FD" w:rsidRPr="00CF2E77">
        <w:rPr>
          <w:szCs w:val="22"/>
          <w:lang w:val="fr-FR"/>
        </w:rPr>
        <w:noBreakHyphen/>
      </w:r>
      <w:r w:rsidRPr="00CF2E77">
        <w:rPr>
          <w:szCs w:val="22"/>
          <w:lang w:val="fr-FR"/>
        </w:rPr>
        <w:t>présidents de la conférence</w:t>
      </w:r>
    </w:p>
    <w:p w:rsidR="007C59CA" w:rsidRPr="00CF2E77" w:rsidRDefault="007C59CA" w:rsidP="003A0F49">
      <w:pPr>
        <w:ind w:left="630" w:hanging="630"/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ind w:left="630" w:hanging="630"/>
        <w:rPr>
          <w:szCs w:val="22"/>
          <w:lang w:val="fr-FR"/>
        </w:rPr>
      </w:pPr>
      <w:r w:rsidRPr="00CF2E77">
        <w:rPr>
          <w:szCs w:val="22"/>
          <w:lang w:val="fr-FR"/>
        </w:rPr>
        <w:t>Élection des membres de la Commission de vérification des pouvoirs</w:t>
      </w:r>
    </w:p>
    <w:p w:rsidR="007C59CA" w:rsidRPr="00CF2E77" w:rsidRDefault="007C59CA" w:rsidP="003A0F49">
      <w:pPr>
        <w:ind w:left="630" w:hanging="630"/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ind w:left="630" w:hanging="630"/>
        <w:rPr>
          <w:szCs w:val="22"/>
          <w:lang w:val="fr-FR"/>
        </w:rPr>
      </w:pPr>
      <w:r w:rsidRPr="00CF2E77">
        <w:rPr>
          <w:szCs w:val="22"/>
          <w:lang w:val="fr-FR"/>
        </w:rPr>
        <w:t>Élection des membres du Comité de rédaction</w:t>
      </w:r>
    </w:p>
    <w:p w:rsidR="007C59CA" w:rsidRPr="00CF2E77" w:rsidRDefault="007C59CA" w:rsidP="003A0F49">
      <w:pPr>
        <w:pStyle w:val="BodyTextIndent2"/>
        <w:spacing w:after="0"/>
        <w:ind w:left="630" w:hanging="630"/>
        <w:rPr>
          <w:rFonts w:ascii="Arial" w:hAnsi="Arial" w:cs="Arial"/>
          <w:sz w:val="22"/>
          <w:szCs w:val="22"/>
          <w:lang w:val="fr-FR"/>
        </w:rPr>
      </w:pPr>
    </w:p>
    <w:p w:rsidR="007C59CA" w:rsidRPr="00CF2E77" w:rsidRDefault="00621803" w:rsidP="003A0F49">
      <w:pPr>
        <w:pStyle w:val="BodyTextIndent2"/>
        <w:numPr>
          <w:ilvl w:val="0"/>
          <w:numId w:val="14"/>
        </w:numPr>
        <w:tabs>
          <w:tab w:val="clear" w:pos="851"/>
          <w:tab w:val="right" w:pos="-3969"/>
        </w:tabs>
        <w:spacing w:after="0"/>
        <w:ind w:left="630" w:hanging="630"/>
        <w:rPr>
          <w:rFonts w:ascii="Arial" w:hAnsi="Arial" w:cs="Arial"/>
          <w:sz w:val="22"/>
          <w:szCs w:val="22"/>
          <w:lang w:val="fr-FR"/>
        </w:rPr>
      </w:pPr>
      <w:r w:rsidRPr="00CF2E77">
        <w:rPr>
          <w:rFonts w:ascii="Arial" w:hAnsi="Arial" w:cs="Arial"/>
          <w:sz w:val="22"/>
          <w:szCs w:val="22"/>
          <w:lang w:val="fr-FR"/>
        </w:rPr>
        <w:t>Élection du bureau de la Commission de vérification des pouvoirs, des Commissions principales et du Comité de rédaction</w:t>
      </w:r>
    </w:p>
    <w:p w:rsidR="007C59CA" w:rsidRPr="00CF2E77" w:rsidRDefault="007C59CA" w:rsidP="003A0F49">
      <w:pPr>
        <w:pStyle w:val="BodyTextIndent2"/>
        <w:tabs>
          <w:tab w:val="clear" w:pos="851"/>
          <w:tab w:val="right" w:pos="-3969"/>
        </w:tabs>
        <w:spacing w:after="0"/>
        <w:ind w:left="567" w:hanging="567"/>
        <w:rPr>
          <w:rFonts w:ascii="Arial" w:hAnsi="Arial" w:cs="Arial"/>
          <w:sz w:val="22"/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rPr>
          <w:szCs w:val="22"/>
          <w:lang w:val="fr-FR"/>
        </w:rPr>
      </w:pPr>
      <w:r w:rsidRPr="00CF2E77">
        <w:rPr>
          <w:szCs w:val="22"/>
          <w:lang w:val="fr-FR"/>
        </w:rPr>
        <w:t>Déclarations liminaires des délégations et des représentants des observateurs</w:t>
      </w:r>
    </w:p>
    <w:p w:rsidR="007C59CA" w:rsidRPr="00CF2E77" w:rsidRDefault="007C59CA" w:rsidP="003A0F49">
      <w:pPr>
        <w:tabs>
          <w:tab w:val="left" w:pos="630"/>
        </w:tabs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rPr>
          <w:szCs w:val="22"/>
          <w:lang w:val="fr-FR"/>
        </w:rPr>
      </w:pPr>
      <w:r w:rsidRPr="00CF2E77">
        <w:rPr>
          <w:szCs w:val="22"/>
          <w:lang w:val="fr-FR"/>
        </w:rPr>
        <w:t>Examen du premier rapport de la Commission de vérification des pouvoirs</w:t>
      </w:r>
    </w:p>
    <w:p w:rsidR="007C59CA" w:rsidRPr="00CF2E77" w:rsidRDefault="007C59CA" w:rsidP="003A0F49">
      <w:pPr>
        <w:tabs>
          <w:tab w:val="left" w:pos="630"/>
        </w:tabs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rPr>
          <w:szCs w:val="22"/>
          <w:lang w:val="fr-FR"/>
        </w:rPr>
      </w:pPr>
      <w:r w:rsidRPr="00CF2E77">
        <w:rPr>
          <w:szCs w:val="22"/>
          <w:lang w:val="fr-FR"/>
        </w:rPr>
        <w:t>Examen des textes proposés par les commissions principales</w:t>
      </w:r>
    </w:p>
    <w:p w:rsidR="007C59CA" w:rsidRPr="00CF2E77" w:rsidRDefault="007C59CA" w:rsidP="003A0F49">
      <w:pPr>
        <w:pStyle w:val="Footer"/>
        <w:tabs>
          <w:tab w:val="left" w:pos="630"/>
        </w:tabs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rPr>
          <w:szCs w:val="22"/>
          <w:lang w:val="fr-FR"/>
        </w:rPr>
      </w:pPr>
      <w:r w:rsidRPr="00CF2E77">
        <w:rPr>
          <w:szCs w:val="22"/>
          <w:lang w:val="fr-FR"/>
        </w:rPr>
        <w:t>Examen du deuxième rapport de la Commission de vérification des pouvoirs</w:t>
      </w:r>
    </w:p>
    <w:p w:rsidR="007C59CA" w:rsidRPr="00CF2E77" w:rsidRDefault="007C59CA" w:rsidP="003A0F49">
      <w:pPr>
        <w:tabs>
          <w:tab w:val="left" w:pos="630"/>
        </w:tabs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0" w:firstLine="0"/>
        <w:rPr>
          <w:szCs w:val="22"/>
          <w:lang w:val="fr-FR"/>
        </w:rPr>
      </w:pPr>
      <w:r w:rsidRPr="00CF2E77">
        <w:rPr>
          <w:szCs w:val="22"/>
          <w:lang w:val="fr-FR"/>
        </w:rPr>
        <w:t>Adoption du traité et de son règlement d</w:t>
      </w:r>
      <w:r w:rsidR="00DA7FAD" w:rsidRPr="00CF2E77">
        <w:rPr>
          <w:szCs w:val="22"/>
          <w:lang w:val="fr-FR"/>
        </w:rPr>
        <w:t>’</w:t>
      </w:r>
      <w:r w:rsidRPr="00CF2E77">
        <w:rPr>
          <w:szCs w:val="22"/>
          <w:lang w:val="fr-FR"/>
        </w:rPr>
        <w:t>exécution</w:t>
      </w:r>
    </w:p>
    <w:p w:rsidR="007C59CA" w:rsidRPr="00CF2E77" w:rsidRDefault="007C59CA" w:rsidP="003A0F49">
      <w:pPr>
        <w:tabs>
          <w:tab w:val="left" w:pos="630"/>
        </w:tabs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4"/>
        </w:numPr>
        <w:tabs>
          <w:tab w:val="left" w:pos="630"/>
        </w:tabs>
        <w:ind w:left="567" w:hanging="567"/>
        <w:rPr>
          <w:szCs w:val="22"/>
          <w:lang w:val="fr-FR"/>
        </w:rPr>
      </w:pPr>
      <w:r w:rsidRPr="00CF2E77">
        <w:rPr>
          <w:szCs w:val="22"/>
          <w:lang w:val="fr-FR"/>
        </w:rPr>
        <w:t>Adoption éventuelle de recommandations, de résolutions, de déclarations communes ou d</w:t>
      </w:r>
      <w:r w:rsidR="00DA7FAD" w:rsidRPr="00CF2E77">
        <w:rPr>
          <w:szCs w:val="22"/>
          <w:lang w:val="fr-FR"/>
        </w:rPr>
        <w:t>’</w:t>
      </w:r>
      <w:r w:rsidRPr="00CF2E77">
        <w:rPr>
          <w:szCs w:val="22"/>
          <w:lang w:val="fr-FR"/>
        </w:rPr>
        <w:t>un acte final</w:t>
      </w:r>
    </w:p>
    <w:p w:rsidR="007C59CA" w:rsidRPr="00CF2E77" w:rsidRDefault="007C59CA" w:rsidP="003A0F49">
      <w:pPr>
        <w:tabs>
          <w:tab w:val="left" w:pos="720"/>
        </w:tabs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6"/>
        </w:numPr>
        <w:tabs>
          <w:tab w:val="clear" w:pos="930"/>
          <w:tab w:val="left" w:pos="630"/>
          <w:tab w:val="num" w:pos="720"/>
        </w:tabs>
        <w:ind w:left="0" w:firstLine="0"/>
        <w:rPr>
          <w:szCs w:val="22"/>
          <w:lang w:val="fr-FR"/>
        </w:rPr>
      </w:pPr>
      <w:r w:rsidRPr="00CF2E77">
        <w:rPr>
          <w:szCs w:val="22"/>
          <w:lang w:val="fr-FR"/>
        </w:rPr>
        <w:t>Déclarations de clôture des délégations et des représentants des observateurs</w:t>
      </w:r>
    </w:p>
    <w:p w:rsidR="007C59CA" w:rsidRPr="00CF2E77" w:rsidRDefault="007C59CA" w:rsidP="003A0F49">
      <w:pPr>
        <w:tabs>
          <w:tab w:val="left" w:pos="630"/>
          <w:tab w:val="num" w:pos="720"/>
        </w:tabs>
        <w:rPr>
          <w:szCs w:val="22"/>
          <w:lang w:val="fr-FR"/>
        </w:rPr>
      </w:pPr>
    </w:p>
    <w:p w:rsidR="007C59CA" w:rsidRPr="00CF2E77" w:rsidRDefault="00621803" w:rsidP="003A0F49">
      <w:pPr>
        <w:pStyle w:val="ListParagraph"/>
        <w:numPr>
          <w:ilvl w:val="0"/>
          <w:numId w:val="16"/>
        </w:numPr>
        <w:tabs>
          <w:tab w:val="clear" w:pos="930"/>
          <w:tab w:val="left" w:pos="630"/>
          <w:tab w:val="num" w:pos="720"/>
        </w:tabs>
        <w:spacing w:after="120"/>
        <w:ind w:left="0" w:firstLine="0"/>
        <w:rPr>
          <w:szCs w:val="22"/>
          <w:lang w:val="fr-FR"/>
        </w:rPr>
      </w:pPr>
      <w:r w:rsidRPr="00CF2E77">
        <w:rPr>
          <w:szCs w:val="22"/>
          <w:lang w:val="fr-FR"/>
        </w:rPr>
        <w:t>Clôture de la conférence par le président</w:t>
      </w:r>
      <w:r w:rsidRPr="00CF2E77">
        <w:rPr>
          <w:rStyle w:val="FootnoteReference"/>
          <w:szCs w:val="22"/>
          <w:lang w:val="fr-FR"/>
        </w:rPr>
        <w:footnoteReference w:id="2"/>
      </w:r>
    </w:p>
    <w:p w:rsidR="007C59CA" w:rsidRPr="00CF2E77" w:rsidRDefault="007C59CA" w:rsidP="003A0F49">
      <w:pPr>
        <w:rPr>
          <w:szCs w:val="22"/>
          <w:lang w:val="fr-FR"/>
        </w:rPr>
      </w:pPr>
    </w:p>
    <w:p w:rsidR="007C59CA" w:rsidRPr="00CF2E77" w:rsidRDefault="007C59CA" w:rsidP="003A0F49">
      <w:pPr>
        <w:rPr>
          <w:szCs w:val="22"/>
          <w:lang w:val="fr-FR"/>
        </w:rPr>
      </w:pPr>
    </w:p>
    <w:p w:rsidR="007C59CA" w:rsidRPr="00CF2E77" w:rsidRDefault="007C59CA" w:rsidP="003A0F49">
      <w:pPr>
        <w:rPr>
          <w:szCs w:val="22"/>
          <w:lang w:val="fr-FR"/>
        </w:rPr>
      </w:pPr>
    </w:p>
    <w:p w:rsidR="007C59CA" w:rsidRPr="00CF2E77" w:rsidRDefault="00621803" w:rsidP="003A0F49">
      <w:pPr>
        <w:pStyle w:val="EndofDocument"/>
        <w:ind w:left="5529"/>
        <w:jc w:val="left"/>
        <w:rPr>
          <w:rFonts w:ascii="Arial" w:hAnsi="Arial" w:cs="Arial"/>
          <w:sz w:val="22"/>
          <w:szCs w:val="22"/>
          <w:lang w:val="fr-FR"/>
        </w:rPr>
      </w:pPr>
      <w:r w:rsidRPr="00CF2E77">
        <w:rPr>
          <w:rFonts w:ascii="Arial" w:hAnsi="Arial" w:cs="Arial"/>
          <w:sz w:val="22"/>
          <w:szCs w:val="22"/>
          <w:lang w:val="fr-FR"/>
        </w:rPr>
        <w:t>[Fin de l</w:t>
      </w:r>
      <w:r w:rsidR="00DA7FAD" w:rsidRPr="00CF2E77">
        <w:rPr>
          <w:rFonts w:ascii="Arial" w:hAnsi="Arial" w:cs="Arial"/>
          <w:sz w:val="22"/>
          <w:szCs w:val="22"/>
          <w:lang w:val="fr-FR"/>
        </w:rPr>
        <w:t>’</w:t>
      </w:r>
      <w:r w:rsidRPr="00CF2E77">
        <w:rPr>
          <w:rFonts w:ascii="Arial" w:hAnsi="Arial" w:cs="Arial"/>
          <w:sz w:val="22"/>
          <w:szCs w:val="22"/>
          <w:lang w:val="fr-FR"/>
        </w:rPr>
        <w:t>annexe et du document]</w:t>
      </w:r>
    </w:p>
    <w:p w:rsidR="007C59CA" w:rsidRPr="00CF2E77" w:rsidRDefault="007C59CA" w:rsidP="003A0F49">
      <w:pPr>
        <w:rPr>
          <w:lang w:val="fr-FR"/>
        </w:rPr>
      </w:pPr>
    </w:p>
    <w:p w:rsidR="002928D3" w:rsidRPr="00CF2E77" w:rsidRDefault="002928D3" w:rsidP="003A0F49">
      <w:pPr>
        <w:rPr>
          <w:lang w:val="fr-FR"/>
        </w:rPr>
      </w:pPr>
    </w:p>
    <w:sectPr w:rsidR="002928D3" w:rsidRPr="00CF2E77" w:rsidSect="00B23653"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90" w:rsidRDefault="00743B90">
      <w:r>
        <w:separator/>
      </w:r>
    </w:p>
  </w:endnote>
  <w:endnote w:type="continuationSeparator" w:id="0">
    <w:p w:rsidR="00743B90" w:rsidRDefault="00743B90" w:rsidP="003B38C1">
      <w:r>
        <w:separator/>
      </w:r>
    </w:p>
    <w:p w:rsidR="00743B90" w:rsidRPr="003B38C1" w:rsidRDefault="00743B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3B90" w:rsidRPr="003B38C1" w:rsidRDefault="00743B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653" w:rsidRPr="00B23653" w:rsidRDefault="00B23653" w:rsidP="00B23653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653" w:rsidRPr="00B23653" w:rsidRDefault="00B23653" w:rsidP="00B236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90" w:rsidRDefault="00743B90">
      <w:r>
        <w:separator/>
      </w:r>
    </w:p>
  </w:footnote>
  <w:footnote w:type="continuationSeparator" w:id="0">
    <w:p w:rsidR="00743B90" w:rsidRDefault="00743B90" w:rsidP="008B60B2">
      <w:r>
        <w:separator/>
      </w:r>
    </w:p>
    <w:p w:rsidR="00743B90" w:rsidRPr="00ED77FB" w:rsidRDefault="00743B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3B90" w:rsidRPr="00ED77FB" w:rsidRDefault="00743B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21803" w:rsidRPr="00621803" w:rsidRDefault="00621803" w:rsidP="00621803">
      <w:pPr>
        <w:pStyle w:val="FootnoteText"/>
        <w:rPr>
          <w:lang w:val="fr-CH"/>
        </w:rPr>
      </w:pPr>
      <w:r w:rsidRPr="00621803">
        <w:rPr>
          <w:rStyle w:val="FootnoteReference"/>
        </w:rPr>
        <w:footnoteRef/>
      </w:r>
      <w:r w:rsidRPr="00621803">
        <w:rPr>
          <w:lang w:val="fr-CH"/>
        </w:rPr>
        <w:t xml:space="preserve"> </w:t>
      </w:r>
      <w:r w:rsidRPr="00621803">
        <w:rPr>
          <w:lang w:val="fr-CH"/>
        </w:rPr>
        <w:tab/>
        <w:t>L’acte final, le cas échéant, et l’instrument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FD" w:rsidRDefault="00FA05FD">
    <w:pPr>
      <w:pStyle w:val="Header"/>
      <w:jc w:val="right"/>
    </w:pPr>
    <w:r>
      <w:t>L</w:t>
    </w:r>
    <w:r w:rsidR="008D7AF6">
      <w:t>I</w:t>
    </w:r>
    <w:r>
      <w:t>/R/PM/4</w:t>
    </w:r>
  </w:p>
  <w:p w:rsidR="00FA05FD" w:rsidRDefault="00FA05FD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-17752467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1B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A855D0" w:rsidRDefault="00A855D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FD" w:rsidRDefault="00FA05FD" w:rsidP="00FA05FD">
    <w:pPr>
      <w:pStyle w:val="Header"/>
      <w:jc w:val="right"/>
    </w:pPr>
    <w:r>
      <w:t>L</w:t>
    </w:r>
    <w:r w:rsidR="008D7AF6">
      <w:t>I</w:t>
    </w:r>
    <w:r>
      <w:t>/R/PM/4</w:t>
    </w:r>
  </w:p>
  <w:p w:rsidR="00FA05FD" w:rsidRDefault="00FA05FD" w:rsidP="00FA05FD">
    <w:pPr>
      <w:pStyle w:val="Header"/>
      <w:jc w:val="right"/>
    </w:pPr>
    <w:r>
      <w:t>ANNEXE</w:t>
    </w:r>
  </w:p>
  <w:p w:rsidR="00FA05FD" w:rsidRDefault="00FA05FD" w:rsidP="00716D74">
    <w:pPr>
      <w:pStyle w:val="Header"/>
      <w:tabs>
        <w:tab w:val="clear" w:pos="4536"/>
        <w:tab w:val="clear" w:pos="9072"/>
        <w:tab w:val="left" w:pos="2767"/>
      </w:tabs>
    </w:pPr>
  </w:p>
  <w:p w:rsidR="00716D74" w:rsidRDefault="00716D74" w:rsidP="00716D74">
    <w:pPr>
      <w:pStyle w:val="Header"/>
      <w:tabs>
        <w:tab w:val="clear" w:pos="4536"/>
        <w:tab w:val="clear" w:pos="9072"/>
        <w:tab w:val="left" w:pos="276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366DE1"/>
    <w:multiLevelType w:val="hybridMultilevel"/>
    <w:tmpl w:val="5B0EBABC"/>
    <w:lvl w:ilvl="0" w:tplc="0E042F8E">
      <w:start w:val="1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4109"/>
    <w:multiLevelType w:val="hybridMultilevel"/>
    <w:tmpl w:val="6666C680"/>
    <w:lvl w:ilvl="0" w:tplc="0E042F8E">
      <w:start w:val="1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21DD1"/>
    <w:multiLevelType w:val="hybridMultilevel"/>
    <w:tmpl w:val="76143D44"/>
    <w:lvl w:ilvl="0" w:tplc="9466733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D3675E4"/>
    <w:multiLevelType w:val="hybridMultilevel"/>
    <w:tmpl w:val="EEBA047E"/>
    <w:lvl w:ilvl="0" w:tplc="0E042F8E">
      <w:start w:val="1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E6944"/>
    <w:multiLevelType w:val="hybridMultilevel"/>
    <w:tmpl w:val="60F4EE3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E6C35"/>
    <w:multiLevelType w:val="hybridMultilevel"/>
    <w:tmpl w:val="E2AEE35C"/>
    <w:lvl w:ilvl="0" w:tplc="7F94C9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B0151"/>
    <w:multiLevelType w:val="hybridMultilevel"/>
    <w:tmpl w:val="EE001B92"/>
    <w:lvl w:ilvl="0" w:tplc="2376E756">
      <w:start w:val="1"/>
      <w:numFmt w:val="decimal"/>
      <w:pStyle w:val="ListBullet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918B5"/>
    <w:multiLevelType w:val="hybridMultilevel"/>
    <w:tmpl w:val="36305D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11102"/>
    <w:multiLevelType w:val="hybridMultilevel"/>
    <w:tmpl w:val="5E16C7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12"/>
    <w:lvlOverride w:ilvl="0">
      <w:startOverride w:val="1"/>
    </w:lvlOverride>
  </w:num>
  <w:num w:numId="13">
    <w:abstractNumId w:val="13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49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Treaties\Model Laws|Treaties\Other Laws and Agreements|Treaties\WIPO-administered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ademarks\Meetings|Trademarks\Other|Trademarks\Publications|Administrative\Meetings|Administrative\Other|Administrative\Publications"/>
    <w:docVar w:name="TextBaseURL" w:val="empty"/>
    <w:docVar w:name="UILng" w:val="en"/>
  </w:docVars>
  <w:rsids>
    <w:rsidRoot w:val="00D80804"/>
    <w:rsid w:val="000427AA"/>
    <w:rsid w:val="00043CAA"/>
    <w:rsid w:val="00044D3A"/>
    <w:rsid w:val="00052D73"/>
    <w:rsid w:val="00075432"/>
    <w:rsid w:val="000968ED"/>
    <w:rsid w:val="000E0006"/>
    <w:rsid w:val="000F5E56"/>
    <w:rsid w:val="001362EE"/>
    <w:rsid w:val="00142E13"/>
    <w:rsid w:val="001611C4"/>
    <w:rsid w:val="00176873"/>
    <w:rsid w:val="00182A73"/>
    <w:rsid w:val="001832A6"/>
    <w:rsid w:val="001A3CEA"/>
    <w:rsid w:val="001F24A3"/>
    <w:rsid w:val="001F43B6"/>
    <w:rsid w:val="00227FD1"/>
    <w:rsid w:val="00232EF4"/>
    <w:rsid w:val="00234D7E"/>
    <w:rsid w:val="002373F6"/>
    <w:rsid w:val="002605EA"/>
    <w:rsid w:val="002634C4"/>
    <w:rsid w:val="0026782B"/>
    <w:rsid w:val="00270AB6"/>
    <w:rsid w:val="00275582"/>
    <w:rsid w:val="002928D3"/>
    <w:rsid w:val="00292BC3"/>
    <w:rsid w:val="00295309"/>
    <w:rsid w:val="002F1FE6"/>
    <w:rsid w:val="002F4E68"/>
    <w:rsid w:val="0030661D"/>
    <w:rsid w:val="00312F7F"/>
    <w:rsid w:val="00321844"/>
    <w:rsid w:val="00323054"/>
    <w:rsid w:val="0032594C"/>
    <w:rsid w:val="00327581"/>
    <w:rsid w:val="003560E6"/>
    <w:rsid w:val="00361450"/>
    <w:rsid w:val="0036159D"/>
    <w:rsid w:val="003673CF"/>
    <w:rsid w:val="003845C1"/>
    <w:rsid w:val="00396B7D"/>
    <w:rsid w:val="003A0F49"/>
    <w:rsid w:val="003A6F89"/>
    <w:rsid w:val="003B227C"/>
    <w:rsid w:val="003B38C1"/>
    <w:rsid w:val="003F4B4B"/>
    <w:rsid w:val="00417687"/>
    <w:rsid w:val="00423E3E"/>
    <w:rsid w:val="00427AF4"/>
    <w:rsid w:val="004647DA"/>
    <w:rsid w:val="00474062"/>
    <w:rsid w:val="004770D3"/>
    <w:rsid w:val="00477D6B"/>
    <w:rsid w:val="005019FF"/>
    <w:rsid w:val="005119CE"/>
    <w:rsid w:val="00522859"/>
    <w:rsid w:val="0053057A"/>
    <w:rsid w:val="00560A29"/>
    <w:rsid w:val="00571E3C"/>
    <w:rsid w:val="00572893"/>
    <w:rsid w:val="005A4F1F"/>
    <w:rsid w:val="005B32D2"/>
    <w:rsid w:val="005B612A"/>
    <w:rsid w:val="005C21C3"/>
    <w:rsid w:val="005C6649"/>
    <w:rsid w:val="005D4544"/>
    <w:rsid w:val="00605827"/>
    <w:rsid w:val="00621803"/>
    <w:rsid w:val="00637882"/>
    <w:rsid w:val="00646050"/>
    <w:rsid w:val="00664080"/>
    <w:rsid w:val="006713CA"/>
    <w:rsid w:val="00676C5C"/>
    <w:rsid w:val="006E7D45"/>
    <w:rsid w:val="006F449C"/>
    <w:rsid w:val="007003CD"/>
    <w:rsid w:val="00716D74"/>
    <w:rsid w:val="00743B90"/>
    <w:rsid w:val="00755DFB"/>
    <w:rsid w:val="00781675"/>
    <w:rsid w:val="007B34C5"/>
    <w:rsid w:val="007B3974"/>
    <w:rsid w:val="007C1416"/>
    <w:rsid w:val="007C5090"/>
    <w:rsid w:val="007C59CA"/>
    <w:rsid w:val="007D1613"/>
    <w:rsid w:val="007D5941"/>
    <w:rsid w:val="007E3BFD"/>
    <w:rsid w:val="007F267D"/>
    <w:rsid w:val="0080095F"/>
    <w:rsid w:val="00806210"/>
    <w:rsid w:val="00822AE8"/>
    <w:rsid w:val="00825CAE"/>
    <w:rsid w:val="00827AA6"/>
    <w:rsid w:val="008377C4"/>
    <w:rsid w:val="00844CB0"/>
    <w:rsid w:val="00866E78"/>
    <w:rsid w:val="008743A9"/>
    <w:rsid w:val="00877EAE"/>
    <w:rsid w:val="008858A3"/>
    <w:rsid w:val="008919A6"/>
    <w:rsid w:val="008A543C"/>
    <w:rsid w:val="008A7B58"/>
    <w:rsid w:val="008B2CC1"/>
    <w:rsid w:val="008B60B2"/>
    <w:rsid w:val="008C79AB"/>
    <w:rsid w:val="008D7AF6"/>
    <w:rsid w:val="008F2F6B"/>
    <w:rsid w:val="0090731E"/>
    <w:rsid w:val="009127AF"/>
    <w:rsid w:val="00914AD2"/>
    <w:rsid w:val="00916EE2"/>
    <w:rsid w:val="00921345"/>
    <w:rsid w:val="009279D1"/>
    <w:rsid w:val="00933CD0"/>
    <w:rsid w:val="00936760"/>
    <w:rsid w:val="00954C9D"/>
    <w:rsid w:val="00966A22"/>
    <w:rsid w:val="0096722F"/>
    <w:rsid w:val="00973D16"/>
    <w:rsid w:val="00980843"/>
    <w:rsid w:val="009811B5"/>
    <w:rsid w:val="009904CD"/>
    <w:rsid w:val="00991C78"/>
    <w:rsid w:val="009A0AD8"/>
    <w:rsid w:val="009D4820"/>
    <w:rsid w:val="009D4BE0"/>
    <w:rsid w:val="009E2791"/>
    <w:rsid w:val="009E3F6F"/>
    <w:rsid w:val="009E6E24"/>
    <w:rsid w:val="009F499F"/>
    <w:rsid w:val="009F4DFA"/>
    <w:rsid w:val="00A05207"/>
    <w:rsid w:val="00A42DAF"/>
    <w:rsid w:val="00A45BD8"/>
    <w:rsid w:val="00A71BD3"/>
    <w:rsid w:val="00A823B7"/>
    <w:rsid w:val="00A84BDF"/>
    <w:rsid w:val="00A855D0"/>
    <w:rsid w:val="00A869B7"/>
    <w:rsid w:val="00A954F8"/>
    <w:rsid w:val="00AB1821"/>
    <w:rsid w:val="00AC205C"/>
    <w:rsid w:val="00AE295B"/>
    <w:rsid w:val="00AE6DAE"/>
    <w:rsid w:val="00AF0A6B"/>
    <w:rsid w:val="00B05A69"/>
    <w:rsid w:val="00B22CBA"/>
    <w:rsid w:val="00B23653"/>
    <w:rsid w:val="00B35C30"/>
    <w:rsid w:val="00B506B8"/>
    <w:rsid w:val="00B9734B"/>
    <w:rsid w:val="00BC2DFD"/>
    <w:rsid w:val="00BE7BB9"/>
    <w:rsid w:val="00BF25D8"/>
    <w:rsid w:val="00BF7223"/>
    <w:rsid w:val="00C11BFE"/>
    <w:rsid w:val="00C141D6"/>
    <w:rsid w:val="00C258B0"/>
    <w:rsid w:val="00C817FE"/>
    <w:rsid w:val="00CA3D18"/>
    <w:rsid w:val="00CC654C"/>
    <w:rsid w:val="00CF2E77"/>
    <w:rsid w:val="00D0216C"/>
    <w:rsid w:val="00D14A0E"/>
    <w:rsid w:val="00D45252"/>
    <w:rsid w:val="00D71B4D"/>
    <w:rsid w:val="00D7385E"/>
    <w:rsid w:val="00D75572"/>
    <w:rsid w:val="00D80804"/>
    <w:rsid w:val="00D851BF"/>
    <w:rsid w:val="00D93D55"/>
    <w:rsid w:val="00DA1658"/>
    <w:rsid w:val="00DA29DA"/>
    <w:rsid w:val="00DA7FAD"/>
    <w:rsid w:val="00DB6B9A"/>
    <w:rsid w:val="00DE520E"/>
    <w:rsid w:val="00DF06E6"/>
    <w:rsid w:val="00DF5A56"/>
    <w:rsid w:val="00E3343F"/>
    <w:rsid w:val="00E335FE"/>
    <w:rsid w:val="00E3711F"/>
    <w:rsid w:val="00E553CA"/>
    <w:rsid w:val="00E71E13"/>
    <w:rsid w:val="00EB28D3"/>
    <w:rsid w:val="00EC4E49"/>
    <w:rsid w:val="00ED479F"/>
    <w:rsid w:val="00ED77FB"/>
    <w:rsid w:val="00EE3C70"/>
    <w:rsid w:val="00EE45FA"/>
    <w:rsid w:val="00F00300"/>
    <w:rsid w:val="00F03797"/>
    <w:rsid w:val="00F17100"/>
    <w:rsid w:val="00F17DA8"/>
    <w:rsid w:val="00F17E07"/>
    <w:rsid w:val="00F571A2"/>
    <w:rsid w:val="00F6537A"/>
    <w:rsid w:val="00F66152"/>
    <w:rsid w:val="00F877D6"/>
    <w:rsid w:val="00FA05FD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A05FD"/>
    <w:pPr>
      <w:keepNext/>
      <w:spacing w:before="240" w:after="60"/>
      <w:outlineLvl w:val="0"/>
    </w:pPr>
    <w:rPr>
      <w:bCs/>
      <w:cap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D80804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8080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D80804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cisionParagraph">
    <w:name w:val="Decision Paragraph"/>
    <w:basedOn w:val="Normal"/>
    <w:rsid w:val="00D80804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Bullet">
    <w:name w:val="List Bullet"/>
    <w:basedOn w:val="Normal"/>
    <w:autoRedefine/>
    <w:rsid w:val="00275582"/>
    <w:pPr>
      <w:numPr>
        <w:numId w:val="10"/>
      </w:numPr>
      <w:tabs>
        <w:tab w:val="left" w:pos="630"/>
      </w:tabs>
      <w:ind w:left="0" w:firstLine="0"/>
    </w:pPr>
    <w:rPr>
      <w:rFonts w:eastAsia="Times New Roman"/>
      <w:szCs w:val="22"/>
      <w:lang w:eastAsia="en-US"/>
    </w:rPr>
  </w:style>
  <w:style w:type="character" w:styleId="CommentReference">
    <w:name w:val="annotation reference"/>
    <w:semiHidden/>
    <w:rsid w:val="00D80804"/>
    <w:rPr>
      <w:sz w:val="16"/>
      <w:szCs w:val="16"/>
    </w:rPr>
  </w:style>
  <w:style w:type="paragraph" w:styleId="BalloonText">
    <w:name w:val="Balloon Text"/>
    <w:basedOn w:val="Normal"/>
    <w:semiHidden/>
    <w:rsid w:val="00D808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873"/>
    <w:pPr>
      <w:ind w:left="720"/>
      <w:contextualSpacing/>
    </w:pPr>
  </w:style>
  <w:style w:type="character" w:styleId="Hyperlink">
    <w:name w:val="Hyperlink"/>
    <w:basedOn w:val="DefaultParagraphFont"/>
    <w:rsid w:val="00FA05F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A05FD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A05F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A05FD"/>
    <w:pPr>
      <w:keepNext/>
      <w:spacing w:before="240" w:after="60"/>
      <w:outlineLvl w:val="0"/>
    </w:pPr>
    <w:rPr>
      <w:bCs/>
      <w:cap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D80804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80804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D80804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DecisionParagraph">
    <w:name w:val="Decision Paragraph"/>
    <w:basedOn w:val="Normal"/>
    <w:rsid w:val="00D80804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Bullet">
    <w:name w:val="List Bullet"/>
    <w:basedOn w:val="Normal"/>
    <w:autoRedefine/>
    <w:rsid w:val="00275582"/>
    <w:pPr>
      <w:numPr>
        <w:numId w:val="10"/>
      </w:numPr>
      <w:tabs>
        <w:tab w:val="left" w:pos="630"/>
      </w:tabs>
      <w:ind w:left="0" w:firstLine="0"/>
    </w:pPr>
    <w:rPr>
      <w:rFonts w:eastAsia="Times New Roman"/>
      <w:szCs w:val="22"/>
      <w:lang w:eastAsia="en-US"/>
    </w:rPr>
  </w:style>
  <w:style w:type="character" w:styleId="CommentReference">
    <w:name w:val="annotation reference"/>
    <w:semiHidden/>
    <w:rsid w:val="00D80804"/>
    <w:rPr>
      <w:sz w:val="16"/>
      <w:szCs w:val="16"/>
    </w:rPr>
  </w:style>
  <w:style w:type="paragraph" w:styleId="BalloonText">
    <w:name w:val="Balloon Text"/>
    <w:basedOn w:val="Normal"/>
    <w:semiHidden/>
    <w:rsid w:val="00D808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873"/>
    <w:pPr>
      <w:ind w:left="720"/>
      <w:contextualSpacing/>
    </w:pPr>
  </w:style>
  <w:style w:type="character" w:styleId="Hyperlink">
    <w:name w:val="Hyperlink"/>
    <w:basedOn w:val="DefaultParagraphFont"/>
    <w:rsid w:val="00FA05F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A05FD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A05F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6A2C-57D2-461F-A16A-A67B90694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4215D-0327-45BD-9EF2-E8D49D46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WIPO/IS/VIP-PPD/GE/12/</vt:lpstr>
    </vt:vector>
  </TitlesOfParts>
  <Company>WIPO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WIPO/IS/VIP-PPD/GE/12/</dc:title>
  <dc:creator>Haizel</dc:creator>
  <cp:keywords>NG/mhf</cp:keywords>
  <cp:lastModifiedBy>VINCENT Anouck</cp:lastModifiedBy>
  <cp:revision>7</cp:revision>
  <cp:lastPrinted>2014-09-29T14:32:00Z</cp:lastPrinted>
  <dcterms:created xsi:type="dcterms:W3CDTF">2014-09-16T15:54:00Z</dcterms:created>
  <dcterms:modified xsi:type="dcterms:W3CDTF">2014-09-29T14:32:00Z</dcterms:modified>
</cp:coreProperties>
</file>